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95F03" w14:textId="426875F7" w:rsidR="004011EE" w:rsidRPr="00520F5E" w:rsidRDefault="00EA78D8" w:rsidP="00B20451">
      <w:pPr>
        <w:pStyle w:val="VNKNormaaliSisentmtn"/>
        <w:spacing w:line="276" w:lineRule="auto"/>
        <w:rPr>
          <w:rFonts w:cs="Tahoma"/>
          <w:b/>
          <w:color w:val="000000" w:themeColor="text1"/>
          <w:sz w:val="24"/>
          <w:szCs w:val="24"/>
          <w:lang w:val="en-US"/>
        </w:rPr>
      </w:pPr>
      <w:bookmarkStart w:id="0" w:name="_GoBack"/>
      <w:bookmarkEnd w:id="0"/>
      <w:r w:rsidRPr="00520F5E">
        <w:rPr>
          <w:rFonts w:cs="Tahoma"/>
          <w:b/>
          <w:color w:val="000000" w:themeColor="text1"/>
          <w:sz w:val="24"/>
          <w:szCs w:val="24"/>
        </w:rPr>
        <w:tab/>
      </w:r>
      <w:r w:rsidR="008F467C">
        <w:rPr>
          <w:rFonts w:cs="Tahoma"/>
          <w:b/>
          <w:color w:val="000000" w:themeColor="text1"/>
          <w:sz w:val="24"/>
          <w:szCs w:val="24"/>
        </w:rPr>
        <w:tab/>
      </w:r>
      <w:r w:rsidR="008F467C">
        <w:rPr>
          <w:rFonts w:cs="Tahoma"/>
          <w:b/>
          <w:color w:val="000000" w:themeColor="text1"/>
          <w:sz w:val="24"/>
          <w:szCs w:val="24"/>
        </w:rPr>
        <w:tab/>
      </w:r>
      <w:r w:rsidR="008F467C">
        <w:rPr>
          <w:rFonts w:cs="Tahoma"/>
          <w:b/>
          <w:color w:val="000000" w:themeColor="text1"/>
          <w:sz w:val="24"/>
          <w:szCs w:val="24"/>
        </w:rPr>
        <w:tab/>
      </w:r>
      <w:r w:rsidR="008F467C">
        <w:rPr>
          <w:rFonts w:cs="Tahoma"/>
          <w:b/>
          <w:color w:val="000000" w:themeColor="text1"/>
          <w:sz w:val="24"/>
          <w:szCs w:val="24"/>
        </w:rPr>
        <w:tab/>
      </w:r>
      <w:r w:rsidR="008F467C">
        <w:rPr>
          <w:rFonts w:cs="Tahoma"/>
          <w:b/>
          <w:color w:val="000000" w:themeColor="text1"/>
          <w:sz w:val="24"/>
          <w:szCs w:val="24"/>
        </w:rPr>
        <w:tab/>
      </w:r>
      <w:r w:rsidR="008F467C" w:rsidRPr="008F467C">
        <w:rPr>
          <w:rFonts w:ascii="Arial" w:hAnsi="Arial" w:cs="Arial"/>
          <w:b/>
          <w:color w:val="000000" w:themeColor="text1"/>
          <w:szCs w:val="22"/>
          <w:lang w:val="en-US"/>
        </w:rPr>
        <w:t>17 May 2021</w:t>
      </w:r>
      <w:r w:rsidRPr="008F467C">
        <w:rPr>
          <w:rFonts w:cs="Tahoma"/>
          <w:b/>
          <w:color w:val="000000" w:themeColor="text1"/>
          <w:sz w:val="24"/>
          <w:szCs w:val="24"/>
          <w:lang w:val="en-US"/>
        </w:rPr>
        <w:tab/>
      </w:r>
      <w:r w:rsidR="00E61C55" w:rsidRPr="008F467C">
        <w:rPr>
          <w:rFonts w:cs="Tahoma"/>
          <w:b/>
          <w:color w:val="000000" w:themeColor="text1"/>
          <w:sz w:val="24"/>
          <w:szCs w:val="24"/>
          <w:lang w:val="en-US"/>
        </w:rPr>
        <w:tab/>
      </w:r>
      <w:r w:rsidR="00E61C55" w:rsidRPr="008F467C">
        <w:rPr>
          <w:rFonts w:cs="Tahoma"/>
          <w:b/>
          <w:color w:val="000000" w:themeColor="text1"/>
          <w:sz w:val="24"/>
          <w:szCs w:val="24"/>
          <w:lang w:val="en-US"/>
        </w:rPr>
        <w:tab/>
      </w:r>
      <w:r w:rsidR="00E61C55" w:rsidRPr="008F467C">
        <w:rPr>
          <w:rFonts w:cs="Tahoma"/>
          <w:b/>
          <w:color w:val="000000" w:themeColor="text1"/>
          <w:sz w:val="24"/>
          <w:szCs w:val="24"/>
          <w:lang w:val="en-US"/>
        </w:rPr>
        <w:tab/>
      </w:r>
      <w:r w:rsidR="00E61C55" w:rsidRPr="008F467C">
        <w:rPr>
          <w:rFonts w:cs="Tahoma"/>
          <w:b/>
          <w:color w:val="000000" w:themeColor="text1"/>
          <w:sz w:val="24"/>
          <w:szCs w:val="24"/>
          <w:lang w:val="en-US"/>
        </w:rPr>
        <w:tab/>
      </w:r>
      <w:r w:rsidRPr="008F467C">
        <w:rPr>
          <w:rFonts w:cs="Tahoma"/>
          <w:b/>
          <w:color w:val="000000" w:themeColor="text1"/>
          <w:sz w:val="24"/>
          <w:szCs w:val="24"/>
          <w:lang w:val="en-US"/>
        </w:rPr>
        <w:tab/>
      </w:r>
      <w:r w:rsidRPr="008F467C">
        <w:rPr>
          <w:rFonts w:cs="Tahoma"/>
          <w:b/>
          <w:color w:val="000000" w:themeColor="text1"/>
          <w:sz w:val="24"/>
          <w:szCs w:val="24"/>
          <w:lang w:val="en-US"/>
        </w:rPr>
        <w:tab/>
      </w:r>
      <w:r w:rsidR="00E61C55">
        <w:rPr>
          <w:rFonts w:cs="Tahoma"/>
          <w:b/>
          <w:color w:val="000000" w:themeColor="text1"/>
          <w:sz w:val="24"/>
          <w:szCs w:val="24"/>
          <w:lang w:val="en-US"/>
        </w:rPr>
        <w:t xml:space="preserve"> </w:t>
      </w:r>
    </w:p>
    <w:p w14:paraId="43941780" w14:textId="77777777" w:rsidR="00E61C55" w:rsidRPr="00520F5E" w:rsidRDefault="00E61C55" w:rsidP="00E61C55">
      <w:pPr>
        <w:autoSpaceDE w:val="0"/>
        <w:autoSpaceDN w:val="0"/>
        <w:adjustRightInd w:val="0"/>
        <w:spacing w:line="276" w:lineRule="auto"/>
        <w:rPr>
          <w:rFonts w:cs="Tahoma"/>
          <w:b/>
          <w:color w:val="000000" w:themeColor="text1"/>
          <w:szCs w:val="24"/>
          <w:lang w:val="en-US"/>
        </w:rPr>
      </w:pPr>
    </w:p>
    <w:p w14:paraId="0EAF2695" w14:textId="77777777" w:rsidR="008F467C" w:rsidRDefault="00E61C55" w:rsidP="00E61C55">
      <w:pPr>
        <w:jc w:val="center"/>
        <w:rPr>
          <w:rFonts w:ascii="Arial" w:eastAsiaTheme="minorHAnsi" w:hAnsi="Arial" w:cs="Arial"/>
          <w:b/>
          <w:szCs w:val="24"/>
          <w:lang w:val="en-US" w:eastAsia="en-US"/>
        </w:rPr>
      </w:pPr>
      <w:r>
        <w:rPr>
          <w:rFonts w:cs="Tahoma"/>
          <w:b/>
          <w:color w:val="000000" w:themeColor="text1"/>
          <w:szCs w:val="24"/>
          <w:lang w:val="en-US"/>
        </w:rPr>
        <w:t xml:space="preserve"> </w:t>
      </w:r>
      <w:r w:rsidRPr="005623CF">
        <w:rPr>
          <w:rFonts w:ascii="Arial" w:eastAsiaTheme="minorHAnsi" w:hAnsi="Arial" w:cs="Arial"/>
          <w:b/>
          <w:szCs w:val="24"/>
          <w:lang w:val="en-US" w:eastAsia="en-US"/>
        </w:rPr>
        <w:t>Replies by the Government of Fin</w:t>
      </w:r>
      <w:r w:rsidR="008F467C">
        <w:rPr>
          <w:rFonts w:ascii="Arial" w:eastAsiaTheme="minorHAnsi" w:hAnsi="Arial" w:cs="Arial"/>
          <w:b/>
          <w:szCs w:val="24"/>
          <w:lang w:val="en-US" w:eastAsia="en-US"/>
        </w:rPr>
        <w:t xml:space="preserve">land to the questionnaire by </w:t>
      </w:r>
    </w:p>
    <w:p w14:paraId="2356642B" w14:textId="32C3F04E" w:rsidR="00E61C55" w:rsidRPr="005623CF" w:rsidRDefault="008F467C" w:rsidP="00E61C55">
      <w:pPr>
        <w:jc w:val="center"/>
        <w:rPr>
          <w:rFonts w:ascii="Arial" w:eastAsiaTheme="minorHAnsi" w:hAnsi="Arial" w:cs="Arial"/>
          <w:b/>
          <w:szCs w:val="24"/>
          <w:lang w:val="en-US" w:eastAsia="en-US"/>
        </w:rPr>
      </w:pPr>
      <w:proofErr w:type="gramStart"/>
      <w:r>
        <w:rPr>
          <w:rFonts w:ascii="Arial" w:eastAsiaTheme="minorHAnsi" w:hAnsi="Arial" w:cs="Arial"/>
          <w:b/>
          <w:szCs w:val="24"/>
          <w:lang w:val="en-US" w:eastAsia="en-US"/>
        </w:rPr>
        <w:t>the</w:t>
      </w:r>
      <w:proofErr w:type="gramEnd"/>
      <w:r>
        <w:rPr>
          <w:rFonts w:ascii="Arial" w:eastAsiaTheme="minorHAnsi" w:hAnsi="Arial" w:cs="Arial"/>
          <w:b/>
          <w:szCs w:val="24"/>
          <w:lang w:val="en-US" w:eastAsia="en-US"/>
        </w:rPr>
        <w:t xml:space="preserve"> Special Rapporteur on adequate housing</w:t>
      </w:r>
      <w:r w:rsidR="00E61C55" w:rsidRPr="005623CF">
        <w:rPr>
          <w:rFonts w:ascii="Arial" w:eastAsiaTheme="minorHAnsi" w:hAnsi="Arial" w:cs="Arial"/>
          <w:b/>
          <w:szCs w:val="24"/>
          <w:lang w:val="en-US" w:eastAsia="en-US"/>
        </w:rPr>
        <w:t xml:space="preserve"> </w:t>
      </w:r>
    </w:p>
    <w:p w14:paraId="444D87DC" w14:textId="77777777" w:rsidR="00E61C55" w:rsidRPr="00523429" w:rsidRDefault="00E61C55" w:rsidP="00E61C55">
      <w:pPr>
        <w:jc w:val="center"/>
        <w:rPr>
          <w:rFonts w:ascii="Arial" w:eastAsiaTheme="minorHAnsi" w:hAnsi="Arial" w:cs="Arial"/>
          <w:b/>
          <w:szCs w:val="24"/>
          <w:lang w:val="en-US" w:eastAsia="en-US"/>
        </w:rPr>
      </w:pPr>
      <w:r>
        <w:rPr>
          <w:rFonts w:ascii="Arial" w:eastAsiaTheme="minorHAnsi" w:hAnsi="Arial" w:cs="Arial"/>
          <w:b/>
          <w:szCs w:val="24"/>
          <w:lang w:val="en-US" w:eastAsia="en-US"/>
        </w:rPr>
        <w:t xml:space="preserve"> </w:t>
      </w:r>
    </w:p>
    <w:p w14:paraId="6D61CC46" w14:textId="77777777" w:rsidR="00E61C55" w:rsidRPr="005623CF" w:rsidRDefault="00E61C55" w:rsidP="00E61C55">
      <w:pPr>
        <w:rPr>
          <w:rFonts w:ascii="Arial" w:eastAsiaTheme="minorHAnsi" w:hAnsi="Arial" w:cs="Arial"/>
          <w:b/>
          <w:sz w:val="22"/>
          <w:szCs w:val="22"/>
          <w:lang w:val="en-US" w:eastAsia="en-US"/>
        </w:rPr>
      </w:pPr>
    </w:p>
    <w:p w14:paraId="5BE692F6" w14:textId="0453955F" w:rsidR="00E61C55" w:rsidRPr="008961C1" w:rsidRDefault="00E61C55" w:rsidP="00E61C55">
      <w:pPr>
        <w:jc w:val="both"/>
        <w:rPr>
          <w:rFonts w:ascii="Arial" w:eastAsiaTheme="minorHAnsi" w:hAnsi="Arial" w:cs="Arial"/>
          <w:sz w:val="22"/>
          <w:szCs w:val="22"/>
          <w:lang w:val="en-US" w:eastAsia="en-US"/>
        </w:rPr>
      </w:pPr>
      <w:r w:rsidRPr="008961C1">
        <w:rPr>
          <w:rFonts w:ascii="Arial" w:eastAsiaTheme="minorHAnsi" w:hAnsi="Arial" w:cs="Arial"/>
          <w:sz w:val="22"/>
          <w:szCs w:val="22"/>
          <w:lang w:val="en-US" w:eastAsia="en-US"/>
        </w:rPr>
        <w:t>The</w:t>
      </w:r>
      <w:r>
        <w:rPr>
          <w:rFonts w:ascii="Arial" w:eastAsiaTheme="minorHAnsi" w:hAnsi="Arial" w:cs="Arial"/>
          <w:sz w:val="22"/>
          <w:szCs w:val="22"/>
          <w:lang w:val="en-US" w:eastAsia="en-US"/>
        </w:rPr>
        <w:t xml:space="preserve"> Government of Finland thanks Mr. Balakrishnan </w:t>
      </w:r>
      <w:proofErr w:type="spellStart"/>
      <w:r>
        <w:rPr>
          <w:rFonts w:ascii="Arial" w:eastAsiaTheme="minorHAnsi" w:hAnsi="Arial" w:cs="Arial"/>
          <w:sz w:val="22"/>
          <w:szCs w:val="22"/>
          <w:lang w:val="en-US" w:eastAsia="en-US"/>
        </w:rPr>
        <w:t>Rajagobal</w:t>
      </w:r>
      <w:proofErr w:type="spellEnd"/>
      <w:r>
        <w:rPr>
          <w:rFonts w:ascii="Arial" w:eastAsiaTheme="minorHAnsi" w:hAnsi="Arial" w:cs="Arial"/>
          <w:sz w:val="22"/>
          <w:szCs w:val="22"/>
          <w:lang w:val="en-US" w:eastAsia="en-US"/>
        </w:rPr>
        <w:t xml:space="preserve">, </w:t>
      </w:r>
      <w:r w:rsidRPr="008961C1">
        <w:rPr>
          <w:rFonts w:ascii="Arial" w:eastAsiaTheme="minorHAnsi" w:hAnsi="Arial" w:cs="Arial"/>
          <w:sz w:val="22"/>
          <w:szCs w:val="22"/>
          <w:lang w:val="en-US" w:eastAsia="en-US"/>
        </w:rPr>
        <w:t>the Special Rapp</w:t>
      </w:r>
      <w:r w:rsidR="008F467C">
        <w:rPr>
          <w:rFonts w:ascii="Arial" w:eastAsiaTheme="minorHAnsi" w:hAnsi="Arial" w:cs="Arial"/>
          <w:sz w:val="22"/>
          <w:szCs w:val="22"/>
          <w:lang w:val="en-US" w:eastAsia="en-US"/>
        </w:rPr>
        <w:t xml:space="preserve">orteur on </w:t>
      </w:r>
      <w:r>
        <w:rPr>
          <w:rFonts w:ascii="Arial" w:eastAsiaTheme="minorHAnsi" w:hAnsi="Arial" w:cs="Arial"/>
          <w:sz w:val="22"/>
          <w:szCs w:val="22"/>
          <w:lang w:val="en-US" w:eastAsia="en-US"/>
        </w:rPr>
        <w:t>adequate housing for his</w:t>
      </w:r>
      <w:r w:rsidRPr="008961C1">
        <w:rPr>
          <w:rFonts w:ascii="Arial" w:eastAsiaTheme="minorHAnsi" w:hAnsi="Arial" w:cs="Arial"/>
          <w:sz w:val="22"/>
          <w:szCs w:val="22"/>
          <w:lang w:val="en-US" w:eastAsia="en-US"/>
        </w:rPr>
        <w:t xml:space="preserve"> work and presents the following replies to the questionnaire sent by the Special</w:t>
      </w:r>
      <w:r>
        <w:rPr>
          <w:rFonts w:ascii="Arial" w:eastAsiaTheme="minorHAnsi" w:hAnsi="Arial" w:cs="Arial"/>
          <w:sz w:val="22"/>
          <w:szCs w:val="22"/>
          <w:lang w:val="en-US" w:eastAsia="en-US"/>
        </w:rPr>
        <w:t xml:space="preserve"> Rapporteur on 9 March 2021 </w:t>
      </w:r>
      <w:r w:rsidRPr="008961C1">
        <w:rPr>
          <w:rFonts w:ascii="Arial" w:eastAsiaTheme="minorHAnsi" w:hAnsi="Arial" w:cs="Arial"/>
          <w:sz w:val="22"/>
          <w:szCs w:val="22"/>
          <w:lang w:val="en-US" w:eastAsia="en-US"/>
        </w:rPr>
        <w:t xml:space="preserve">for </w:t>
      </w:r>
      <w:r>
        <w:rPr>
          <w:rFonts w:ascii="Arial" w:eastAsiaTheme="minorHAnsi" w:hAnsi="Arial" w:cs="Arial"/>
          <w:sz w:val="22"/>
          <w:szCs w:val="22"/>
          <w:lang w:val="en-US" w:eastAsia="en-US"/>
        </w:rPr>
        <w:t xml:space="preserve">the preparation </w:t>
      </w:r>
      <w:r w:rsidR="008F467C">
        <w:rPr>
          <w:rFonts w:ascii="Arial" w:eastAsiaTheme="minorHAnsi" w:hAnsi="Arial" w:cs="Arial"/>
          <w:sz w:val="22"/>
          <w:szCs w:val="22"/>
          <w:lang w:val="en-US" w:eastAsia="en-US"/>
        </w:rPr>
        <w:t xml:space="preserve">for </w:t>
      </w:r>
      <w:r>
        <w:rPr>
          <w:rFonts w:ascii="Arial" w:eastAsiaTheme="minorHAnsi" w:hAnsi="Arial" w:cs="Arial"/>
          <w:sz w:val="22"/>
          <w:szCs w:val="22"/>
          <w:lang w:val="en-US" w:eastAsia="en-US"/>
        </w:rPr>
        <w:t>thematic reports to the 76</w:t>
      </w:r>
      <w:r w:rsidRPr="008961C1">
        <w:rPr>
          <w:rFonts w:ascii="Arial" w:eastAsiaTheme="minorHAnsi" w:hAnsi="Arial" w:cs="Arial"/>
          <w:sz w:val="22"/>
          <w:szCs w:val="22"/>
          <w:vertAlign w:val="superscript"/>
          <w:lang w:val="en-US" w:eastAsia="en-US"/>
        </w:rPr>
        <w:t>th</w:t>
      </w:r>
      <w:r>
        <w:rPr>
          <w:rFonts w:ascii="Arial" w:eastAsiaTheme="minorHAnsi" w:hAnsi="Arial" w:cs="Arial"/>
          <w:sz w:val="22"/>
          <w:szCs w:val="22"/>
          <w:lang w:val="en-US" w:eastAsia="en-US"/>
        </w:rPr>
        <w:t xml:space="preserve"> session of the General Assembly and 49</w:t>
      </w:r>
      <w:r w:rsidRPr="008961C1">
        <w:rPr>
          <w:rFonts w:ascii="Arial" w:eastAsiaTheme="minorHAnsi" w:hAnsi="Arial" w:cs="Arial"/>
          <w:sz w:val="22"/>
          <w:szCs w:val="22"/>
          <w:vertAlign w:val="superscript"/>
          <w:lang w:val="en-US" w:eastAsia="en-US"/>
        </w:rPr>
        <w:t>th</w:t>
      </w:r>
      <w:r>
        <w:rPr>
          <w:rFonts w:ascii="Arial" w:eastAsiaTheme="minorHAnsi" w:hAnsi="Arial" w:cs="Arial"/>
          <w:sz w:val="22"/>
          <w:szCs w:val="22"/>
          <w:lang w:val="en-US" w:eastAsia="en-US"/>
        </w:rPr>
        <w:t xml:space="preserve"> session of the Human Rights Council.</w:t>
      </w:r>
    </w:p>
    <w:p w14:paraId="37A0D92F" w14:textId="77777777" w:rsidR="00E61C55" w:rsidRPr="008961C1" w:rsidRDefault="00E61C55" w:rsidP="00E61C55">
      <w:pPr>
        <w:jc w:val="both"/>
        <w:rPr>
          <w:rFonts w:ascii="Arial" w:eastAsiaTheme="minorHAnsi" w:hAnsi="Arial" w:cs="Arial"/>
          <w:sz w:val="22"/>
          <w:szCs w:val="22"/>
          <w:lang w:val="en-US" w:eastAsia="en-US"/>
        </w:rPr>
      </w:pPr>
    </w:p>
    <w:p w14:paraId="30B8B68B" w14:textId="7F38851F" w:rsidR="00E61C55" w:rsidRDefault="00E61C55" w:rsidP="00E61C55">
      <w:pPr>
        <w:jc w:val="both"/>
        <w:rPr>
          <w:rFonts w:ascii="Arial" w:eastAsiaTheme="minorHAnsi" w:hAnsi="Arial" w:cs="Arial"/>
          <w:sz w:val="22"/>
          <w:szCs w:val="22"/>
          <w:lang w:val="en-US" w:eastAsia="en-US"/>
        </w:rPr>
      </w:pPr>
      <w:r w:rsidRPr="008961C1">
        <w:rPr>
          <w:rFonts w:ascii="Arial" w:eastAsiaTheme="minorHAnsi" w:hAnsi="Arial" w:cs="Arial"/>
          <w:sz w:val="22"/>
          <w:szCs w:val="22"/>
          <w:lang w:val="en-US" w:eastAsia="en-US"/>
        </w:rPr>
        <w:t xml:space="preserve">The </w:t>
      </w:r>
      <w:r w:rsidR="005B2EAA">
        <w:rPr>
          <w:rFonts w:ascii="Arial" w:eastAsiaTheme="minorHAnsi" w:hAnsi="Arial" w:cs="Arial"/>
          <w:sz w:val="22"/>
          <w:szCs w:val="22"/>
          <w:lang w:val="en-US" w:eastAsia="en-US"/>
        </w:rPr>
        <w:t>replies to the questionnaire were prepared</w:t>
      </w:r>
      <w:r w:rsidRPr="008961C1">
        <w:rPr>
          <w:rFonts w:ascii="Arial" w:eastAsiaTheme="minorHAnsi" w:hAnsi="Arial" w:cs="Arial"/>
          <w:sz w:val="22"/>
          <w:szCs w:val="22"/>
          <w:lang w:val="en-US" w:eastAsia="en-US"/>
        </w:rPr>
        <w:t xml:space="preserve"> by the Ministry of </w:t>
      </w:r>
      <w:r w:rsidR="005B2EAA">
        <w:rPr>
          <w:rFonts w:ascii="Arial" w:eastAsiaTheme="minorHAnsi" w:hAnsi="Arial" w:cs="Arial"/>
          <w:sz w:val="22"/>
          <w:szCs w:val="22"/>
          <w:lang w:val="en-US" w:eastAsia="en-US"/>
        </w:rPr>
        <w:t xml:space="preserve">the </w:t>
      </w:r>
      <w:r>
        <w:rPr>
          <w:rFonts w:ascii="Arial" w:eastAsiaTheme="minorHAnsi" w:hAnsi="Arial" w:cs="Arial"/>
          <w:sz w:val="22"/>
          <w:szCs w:val="22"/>
          <w:lang w:val="en-US" w:eastAsia="en-US"/>
        </w:rPr>
        <w:t>Environment.</w:t>
      </w:r>
      <w:r w:rsidRPr="008961C1">
        <w:rPr>
          <w:rFonts w:ascii="Arial" w:eastAsiaTheme="minorHAnsi" w:hAnsi="Arial" w:cs="Arial"/>
          <w:sz w:val="22"/>
          <w:szCs w:val="22"/>
          <w:lang w:val="en-US" w:eastAsia="en-US"/>
        </w:rPr>
        <w:t xml:space="preserve"> </w:t>
      </w:r>
      <w:r>
        <w:rPr>
          <w:rFonts w:ascii="Arial" w:eastAsiaTheme="minorHAnsi" w:hAnsi="Arial" w:cs="Arial"/>
          <w:sz w:val="22"/>
          <w:szCs w:val="22"/>
          <w:lang w:val="en-US" w:eastAsia="en-US"/>
        </w:rPr>
        <w:t xml:space="preserve"> </w:t>
      </w:r>
    </w:p>
    <w:p w14:paraId="393FBD80" w14:textId="77777777" w:rsidR="00E61C55" w:rsidRDefault="00E61C55" w:rsidP="00E61C55">
      <w:pPr>
        <w:jc w:val="both"/>
        <w:rPr>
          <w:rFonts w:ascii="Arial" w:eastAsiaTheme="minorHAnsi" w:hAnsi="Arial" w:cs="Arial"/>
          <w:sz w:val="22"/>
          <w:szCs w:val="22"/>
          <w:lang w:val="en-US" w:eastAsia="en-US"/>
        </w:rPr>
      </w:pPr>
    </w:p>
    <w:p w14:paraId="5D55AA85" w14:textId="77777777" w:rsidR="00E61C55" w:rsidRDefault="00E61C55" w:rsidP="00E61C55">
      <w:pPr>
        <w:jc w:val="both"/>
        <w:rPr>
          <w:rFonts w:ascii="Arial" w:hAnsi="Arial" w:cs="Arial"/>
          <w:b/>
          <w:sz w:val="22"/>
          <w:szCs w:val="22"/>
          <w:lang w:val="en-US"/>
        </w:rPr>
      </w:pPr>
    </w:p>
    <w:p w14:paraId="3A7B940C" w14:textId="77777777" w:rsidR="00E61C55" w:rsidRPr="00EB20F5" w:rsidRDefault="00E61C55" w:rsidP="00E61C55">
      <w:pPr>
        <w:jc w:val="both"/>
        <w:rPr>
          <w:rFonts w:ascii="Arial" w:hAnsi="Arial" w:cs="Arial"/>
          <w:b/>
          <w:sz w:val="22"/>
          <w:szCs w:val="22"/>
          <w:lang w:val="en-US"/>
        </w:rPr>
      </w:pPr>
      <w:r w:rsidRPr="00EB20F5">
        <w:rPr>
          <w:rFonts w:ascii="Arial" w:hAnsi="Arial" w:cs="Arial"/>
          <w:b/>
          <w:sz w:val="22"/>
          <w:szCs w:val="22"/>
          <w:lang w:val="en-US"/>
        </w:rPr>
        <w:t>H</w:t>
      </w:r>
      <w:r>
        <w:rPr>
          <w:rFonts w:ascii="Arial" w:hAnsi="Arial" w:cs="Arial"/>
          <w:b/>
          <w:sz w:val="22"/>
          <w:szCs w:val="22"/>
          <w:lang w:val="en-US"/>
        </w:rPr>
        <w:t xml:space="preserve">OUSING DISCRIMINATION </w:t>
      </w:r>
    </w:p>
    <w:p w14:paraId="31EB6122" w14:textId="77777777" w:rsidR="00E61C55" w:rsidRPr="002D7998" w:rsidRDefault="00E61C55" w:rsidP="00E61C55">
      <w:pPr>
        <w:jc w:val="both"/>
        <w:rPr>
          <w:szCs w:val="24"/>
          <w:u w:val="single"/>
          <w:lang w:val="en-US"/>
        </w:rPr>
      </w:pPr>
    </w:p>
    <w:p w14:paraId="2DFA27D9" w14:textId="77777777" w:rsidR="00E61C55" w:rsidRPr="00927B74" w:rsidRDefault="00E61C55" w:rsidP="00E61C55">
      <w:pPr>
        <w:jc w:val="both"/>
        <w:rPr>
          <w:rFonts w:ascii="Arial" w:hAnsi="Arial" w:cs="Arial"/>
          <w:i/>
          <w:sz w:val="22"/>
          <w:szCs w:val="22"/>
          <w:lang w:val="en-US"/>
        </w:rPr>
      </w:pPr>
      <w:r w:rsidRPr="00927B74">
        <w:rPr>
          <w:rFonts w:ascii="Arial" w:hAnsi="Arial" w:cs="Arial"/>
          <w:i/>
          <w:sz w:val="22"/>
          <w:szCs w:val="22"/>
          <w:lang w:val="en-US"/>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14:paraId="70D78925" w14:textId="77777777" w:rsidR="00E61C55" w:rsidRPr="00927B74" w:rsidRDefault="00E61C55" w:rsidP="00E61C55">
      <w:pPr>
        <w:jc w:val="both"/>
        <w:rPr>
          <w:rFonts w:ascii="Arial" w:hAnsi="Arial" w:cs="Arial"/>
          <w:i/>
          <w:sz w:val="22"/>
          <w:szCs w:val="22"/>
          <w:lang w:val="en-US"/>
        </w:rPr>
      </w:pPr>
    </w:p>
    <w:p w14:paraId="17B53E10" w14:textId="77777777" w:rsidR="00E61C55" w:rsidRPr="00927B74" w:rsidRDefault="00E61C55" w:rsidP="00E61C55">
      <w:pPr>
        <w:pStyle w:val="ListParagraph"/>
        <w:numPr>
          <w:ilvl w:val="0"/>
          <w:numId w:val="15"/>
        </w:numPr>
        <w:jc w:val="both"/>
        <w:rPr>
          <w:rFonts w:ascii="Arial" w:hAnsi="Arial" w:cs="Arial"/>
          <w:i/>
          <w:sz w:val="22"/>
          <w:szCs w:val="22"/>
          <w:lang w:val="en-US"/>
        </w:rPr>
      </w:pPr>
      <w:r w:rsidRPr="00927B74">
        <w:rPr>
          <w:rFonts w:ascii="Arial" w:hAnsi="Arial" w:cs="Arial"/>
          <w:i/>
          <w:sz w:val="22"/>
          <w:szCs w:val="22"/>
          <w:lang w:val="en-US"/>
        </w:rPr>
        <w:t xml:space="preserve">People of African Descent, or Roma </w:t>
      </w:r>
    </w:p>
    <w:p w14:paraId="1F1ABBC3" w14:textId="77777777" w:rsidR="00E61C55" w:rsidRPr="00927B74" w:rsidRDefault="00E61C55" w:rsidP="00E61C55">
      <w:pPr>
        <w:pStyle w:val="ListParagraph"/>
        <w:numPr>
          <w:ilvl w:val="0"/>
          <w:numId w:val="15"/>
        </w:numPr>
        <w:jc w:val="both"/>
        <w:rPr>
          <w:rFonts w:ascii="Arial" w:hAnsi="Arial" w:cs="Arial"/>
          <w:i/>
          <w:sz w:val="22"/>
          <w:szCs w:val="22"/>
          <w:lang w:val="en-US"/>
        </w:rPr>
      </w:pPr>
      <w:r w:rsidRPr="00927B74">
        <w:rPr>
          <w:rFonts w:ascii="Arial" w:hAnsi="Arial" w:cs="Arial"/>
          <w:i/>
          <w:sz w:val="22"/>
          <w:szCs w:val="22"/>
          <w:lang w:val="en-US"/>
        </w:rPr>
        <w:t>Racial, caste, ethnic, religious groups/minorities or other groups</w:t>
      </w:r>
    </w:p>
    <w:p w14:paraId="5FA1FA69" w14:textId="77777777" w:rsidR="00E61C55" w:rsidRPr="00927B74" w:rsidRDefault="00E61C55" w:rsidP="00E61C55">
      <w:pPr>
        <w:pStyle w:val="ListParagraph"/>
        <w:numPr>
          <w:ilvl w:val="0"/>
          <w:numId w:val="15"/>
        </w:numPr>
        <w:jc w:val="both"/>
        <w:rPr>
          <w:rFonts w:ascii="Arial" w:hAnsi="Arial" w:cs="Arial"/>
          <w:i/>
          <w:sz w:val="22"/>
          <w:szCs w:val="22"/>
          <w:lang w:val="en-US"/>
        </w:rPr>
      </w:pPr>
      <w:r w:rsidRPr="00927B74">
        <w:rPr>
          <w:rFonts w:ascii="Arial" w:hAnsi="Arial" w:cs="Arial"/>
          <w:i/>
          <w:sz w:val="22"/>
          <w:szCs w:val="22"/>
          <w:lang w:val="en-US"/>
        </w:rPr>
        <w:t xml:space="preserve">Migrants, foreigners, refugees, internally displaced persons </w:t>
      </w:r>
    </w:p>
    <w:p w14:paraId="64106E6D" w14:textId="77777777" w:rsidR="00E61C55" w:rsidRPr="00927B74" w:rsidRDefault="00E61C55" w:rsidP="00E61C55">
      <w:pPr>
        <w:pStyle w:val="ListParagraph"/>
        <w:numPr>
          <w:ilvl w:val="0"/>
          <w:numId w:val="15"/>
        </w:numPr>
        <w:jc w:val="both"/>
        <w:rPr>
          <w:rFonts w:ascii="Arial" w:hAnsi="Arial" w:cs="Arial"/>
          <w:i/>
          <w:sz w:val="22"/>
          <w:szCs w:val="22"/>
        </w:rPr>
      </w:pPr>
      <w:r w:rsidRPr="00927B74">
        <w:rPr>
          <w:rFonts w:ascii="Arial" w:hAnsi="Arial" w:cs="Arial"/>
          <w:i/>
          <w:sz w:val="22"/>
          <w:szCs w:val="22"/>
        </w:rPr>
        <w:t xml:space="preserve">Women, children or older persons </w:t>
      </w:r>
    </w:p>
    <w:p w14:paraId="65693518" w14:textId="77777777" w:rsidR="00E61C55" w:rsidRPr="00927B74" w:rsidRDefault="00E61C55" w:rsidP="00E61C55">
      <w:pPr>
        <w:pStyle w:val="ListParagraph"/>
        <w:numPr>
          <w:ilvl w:val="0"/>
          <w:numId w:val="15"/>
        </w:numPr>
        <w:jc w:val="both"/>
        <w:rPr>
          <w:rFonts w:ascii="Arial" w:hAnsi="Arial" w:cs="Arial"/>
          <w:i/>
          <w:sz w:val="22"/>
          <w:szCs w:val="22"/>
        </w:rPr>
      </w:pPr>
      <w:r w:rsidRPr="00927B74">
        <w:rPr>
          <w:rFonts w:ascii="Arial" w:hAnsi="Arial" w:cs="Arial"/>
          <w:i/>
          <w:sz w:val="22"/>
          <w:szCs w:val="22"/>
        </w:rPr>
        <w:t>Indigenous peoples</w:t>
      </w:r>
    </w:p>
    <w:p w14:paraId="1026D055" w14:textId="77777777" w:rsidR="00E61C55" w:rsidRPr="00927B74" w:rsidRDefault="00E61C55" w:rsidP="00E61C55">
      <w:pPr>
        <w:pStyle w:val="ListParagraph"/>
        <w:numPr>
          <w:ilvl w:val="0"/>
          <w:numId w:val="15"/>
        </w:numPr>
        <w:jc w:val="both"/>
        <w:rPr>
          <w:rFonts w:ascii="Arial" w:hAnsi="Arial" w:cs="Arial"/>
          <w:i/>
          <w:sz w:val="22"/>
          <w:szCs w:val="22"/>
        </w:rPr>
      </w:pPr>
      <w:r w:rsidRPr="00927B74">
        <w:rPr>
          <w:rFonts w:ascii="Arial" w:hAnsi="Arial" w:cs="Arial"/>
          <w:i/>
          <w:sz w:val="22"/>
          <w:szCs w:val="22"/>
        </w:rPr>
        <w:t xml:space="preserve">Persons with disabilities </w:t>
      </w:r>
    </w:p>
    <w:p w14:paraId="3C1314F6" w14:textId="77777777" w:rsidR="00E61C55" w:rsidRPr="00927B74" w:rsidRDefault="00E61C55" w:rsidP="00E61C55">
      <w:pPr>
        <w:pStyle w:val="ListParagraph"/>
        <w:numPr>
          <w:ilvl w:val="0"/>
          <w:numId w:val="15"/>
        </w:numPr>
        <w:jc w:val="both"/>
        <w:rPr>
          <w:rFonts w:ascii="Arial" w:hAnsi="Arial" w:cs="Arial"/>
          <w:i/>
          <w:sz w:val="22"/>
          <w:szCs w:val="22"/>
        </w:rPr>
      </w:pPr>
      <w:r w:rsidRPr="00927B74">
        <w:rPr>
          <w:rFonts w:ascii="Arial" w:hAnsi="Arial" w:cs="Arial"/>
          <w:i/>
          <w:sz w:val="22"/>
          <w:szCs w:val="22"/>
        </w:rPr>
        <w:t xml:space="preserve">LGBTQ persons </w:t>
      </w:r>
    </w:p>
    <w:p w14:paraId="4317F12A" w14:textId="77777777" w:rsidR="00E61C55" w:rsidRPr="00927B74" w:rsidRDefault="00E61C55" w:rsidP="00E61C55">
      <w:pPr>
        <w:pStyle w:val="ListParagraph"/>
        <w:numPr>
          <w:ilvl w:val="0"/>
          <w:numId w:val="15"/>
        </w:numPr>
        <w:jc w:val="both"/>
        <w:rPr>
          <w:rFonts w:ascii="Arial" w:hAnsi="Arial" w:cs="Arial"/>
          <w:i/>
          <w:sz w:val="22"/>
          <w:szCs w:val="22"/>
          <w:lang w:val="en-US"/>
        </w:rPr>
      </w:pPr>
      <w:r w:rsidRPr="00927B74">
        <w:rPr>
          <w:rFonts w:ascii="Arial" w:hAnsi="Arial" w:cs="Arial"/>
          <w:i/>
          <w:sz w:val="22"/>
          <w:szCs w:val="22"/>
          <w:lang w:val="en-US"/>
        </w:rPr>
        <w:t xml:space="preserve">Low income persons, including people living in poverty </w:t>
      </w:r>
    </w:p>
    <w:p w14:paraId="088BC342" w14:textId="77777777" w:rsidR="00E61C55" w:rsidRPr="00927B74" w:rsidRDefault="00E61C55" w:rsidP="00E61C55">
      <w:pPr>
        <w:pStyle w:val="ListParagraph"/>
        <w:numPr>
          <w:ilvl w:val="0"/>
          <w:numId w:val="15"/>
        </w:numPr>
        <w:jc w:val="both"/>
        <w:rPr>
          <w:rFonts w:ascii="Arial" w:hAnsi="Arial" w:cs="Arial"/>
          <w:i/>
          <w:sz w:val="22"/>
          <w:szCs w:val="22"/>
          <w:lang w:val="en-US"/>
        </w:rPr>
      </w:pPr>
      <w:r w:rsidRPr="00927B74">
        <w:rPr>
          <w:rFonts w:ascii="Arial" w:hAnsi="Arial" w:cs="Arial"/>
          <w:i/>
          <w:sz w:val="22"/>
          <w:szCs w:val="22"/>
          <w:lang w:val="en-US"/>
        </w:rPr>
        <w:t>Residents of informal settlements; persons experiencing homelessness</w:t>
      </w:r>
    </w:p>
    <w:p w14:paraId="74CE7D23" w14:textId="77777777" w:rsidR="00E61C55" w:rsidRPr="00927B74" w:rsidRDefault="00E61C55" w:rsidP="00E61C55">
      <w:pPr>
        <w:pStyle w:val="ListParagraph"/>
        <w:numPr>
          <w:ilvl w:val="0"/>
          <w:numId w:val="15"/>
        </w:numPr>
        <w:jc w:val="both"/>
        <w:rPr>
          <w:rFonts w:ascii="Arial" w:hAnsi="Arial" w:cs="Arial"/>
          <w:i/>
          <w:sz w:val="22"/>
          <w:szCs w:val="22"/>
        </w:rPr>
      </w:pPr>
      <w:r w:rsidRPr="00927B74">
        <w:rPr>
          <w:rFonts w:ascii="Arial" w:hAnsi="Arial" w:cs="Arial"/>
          <w:i/>
          <w:sz w:val="22"/>
          <w:szCs w:val="22"/>
        </w:rPr>
        <w:t>Other social groups, please specify</w:t>
      </w:r>
    </w:p>
    <w:p w14:paraId="0DE9FCAD" w14:textId="25D5D8CC" w:rsidR="00E61C55" w:rsidRDefault="00E61C55" w:rsidP="00E61C55">
      <w:pPr>
        <w:jc w:val="both"/>
        <w:rPr>
          <w:rFonts w:ascii="Arial" w:hAnsi="Arial" w:cs="Arial"/>
          <w:sz w:val="22"/>
          <w:szCs w:val="22"/>
        </w:rPr>
      </w:pPr>
    </w:p>
    <w:p w14:paraId="637EDF81" w14:textId="002D69CA" w:rsidR="00E61C55" w:rsidRPr="006A5716" w:rsidRDefault="00E61C55" w:rsidP="00E61C55">
      <w:pPr>
        <w:jc w:val="both"/>
        <w:rPr>
          <w:rFonts w:ascii="Arial" w:hAnsi="Arial" w:cs="Arial"/>
          <w:sz w:val="22"/>
          <w:szCs w:val="22"/>
          <w:lang w:val="en-US"/>
        </w:rPr>
      </w:pPr>
      <w:r w:rsidRPr="00EB20F5">
        <w:rPr>
          <w:rFonts w:ascii="Arial" w:hAnsi="Arial" w:cs="Arial"/>
          <w:sz w:val="22"/>
          <w:szCs w:val="22"/>
          <w:lang w:val="en-US"/>
        </w:rPr>
        <w:lastRenderedPageBreak/>
        <w:t>The Roma and many immigrant groups (especially third wo</w:t>
      </w:r>
      <w:r>
        <w:rPr>
          <w:rFonts w:ascii="Arial" w:hAnsi="Arial" w:cs="Arial"/>
          <w:sz w:val="22"/>
          <w:szCs w:val="22"/>
          <w:lang w:val="en-US"/>
        </w:rPr>
        <w:t>r</w:t>
      </w:r>
      <w:r w:rsidRPr="00EB20F5">
        <w:rPr>
          <w:rFonts w:ascii="Arial" w:hAnsi="Arial" w:cs="Arial"/>
          <w:sz w:val="22"/>
          <w:szCs w:val="22"/>
          <w:lang w:val="en-US"/>
        </w:rPr>
        <w:t>ld origin) have problems in getting dwellings in the private housing market because of the attitudes of the main population and the low-income level of the Roma. Therefore, most of the Roma and immigrants working in low-wage jobs live in the state-</w:t>
      </w:r>
      <w:proofErr w:type="spellStart"/>
      <w:r w:rsidRPr="00EB20F5">
        <w:rPr>
          <w:rFonts w:ascii="Arial" w:hAnsi="Arial" w:cs="Arial"/>
          <w:sz w:val="22"/>
          <w:szCs w:val="22"/>
          <w:lang w:val="en-US"/>
        </w:rPr>
        <w:t>subsidised</w:t>
      </w:r>
      <w:proofErr w:type="spellEnd"/>
      <w:r w:rsidRPr="00EB20F5">
        <w:rPr>
          <w:rFonts w:ascii="Arial" w:hAnsi="Arial" w:cs="Arial"/>
          <w:sz w:val="22"/>
          <w:szCs w:val="22"/>
          <w:lang w:val="en-US"/>
        </w:rPr>
        <w:t xml:space="preserve"> social rental housing. </w:t>
      </w:r>
    </w:p>
    <w:p w14:paraId="15514077" w14:textId="77777777" w:rsidR="00E61C55" w:rsidRPr="006A5716" w:rsidRDefault="00E61C55" w:rsidP="00E61C55">
      <w:pPr>
        <w:jc w:val="both"/>
        <w:rPr>
          <w:rFonts w:ascii="Arial" w:hAnsi="Arial" w:cs="Arial"/>
          <w:sz w:val="22"/>
          <w:szCs w:val="22"/>
          <w:lang w:val="en-US"/>
        </w:rPr>
      </w:pPr>
    </w:p>
    <w:p w14:paraId="6922DE95" w14:textId="77777777" w:rsidR="00E61C55" w:rsidRPr="00927B74" w:rsidRDefault="00E61C55" w:rsidP="00E61C55">
      <w:pPr>
        <w:jc w:val="both"/>
        <w:rPr>
          <w:rFonts w:ascii="Arial" w:hAnsi="Arial" w:cs="Arial"/>
          <w:i/>
          <w:sz w:val="22"/>
          <w:szCs w:val="22"/>
          <w:lang w:val="en-US"/>
        </w:rPr>
      </w:pPr>
      <w:r w:rsidRPr="00927B74">
        <w:rPr>
          <w:rFonts w:ascii="Arial" w:hAnsi="Arial" w:cs="Arial"/>
          <w:i/>
          <w:sz w:val="22"/>
          <w:szCs w:val="22"/>
          <w:lang w:val="en-US"/>
        </w:rPr>
        <w:t xml:space="preserve">8. 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 </w:t>
      </w:r>
    </w:p>
    <w:p w14:paraId="79C1F3A9" w14:textId="77777777" w:rsidR="00E61C55" w:rsidRPr="002D7998" w:rsidRDefault="00E61C55" w:rsidP="00E61C55">
      <w:pPr>
        <w:jc w:val="both"/>
        <w:rPr>
          <w:szCs w:val="24"/>
          <w:lang w:val="en-US"/>
        </w:rPr>
      </w:pPr>
    </w:p>
    <w:p w14:paraId="20AD8C10" w14:textId="77777777" w:rsidR="00E61C55" w:rsidRPr="00927B74" w:rsidRDefault="00E61C55" w:rsidP="00E61C55">
      <w:pPr>
        <w:jc w:val="both"/>
        <w:rPr>
          <w:rFonts w:ascii="Arial" w:hAnsi="Arial" w:cs="Arial"/>
          <w:i/>
          <w:sz w:val="22"/>
          <w:szCs w:val="22"/>
        </w:rPr>
      </w:pPr>
      <w:r w:rsidRPr="00927B74">
        <w:rPr>
          <w:rFonts w:ascii="Arial" w:hAnsi="Arial" w:cs="Arial"/>
          <w:i/>
          <w:sz w:val="22"/>
          <w:szCs w:val="22"/>
        </w:rPr>
        <w:t>Accessibility</w:t>
      </w:r>
    </w:p>
    <w:p w14:paraId="3CE30A6B" w14:textId="77777777" w:rsidR="00E61C55" w:rsidRPr="00927B74" w:rsidRDefault="00E61C55" w:rsidP="00E61C55">
      <w:pPr>
        <w:pStyle w:val="ListParagraph"/>
        <w:numPr>
          <w:ilvl w:val="0"/>
          <w:numId w:val="16"/>
        </w:numPr>
        <w:jc w:val="both"/>
        <w:rPr>
          <w:rFonts w:ascii="Arial" w:hAnsi="Arial" w:cs="Arial"/>
          <w:i/>
          <w:sz w:val="22"/>
          <w:szCs w:val="22"/>
          <w:lang w:val="en-US"/>
        </w:rPr>
      </w:pPr>
      <w:r w:rsidRPr="00927B74">
        <w:rPr>
          <w:rFonts w:ascii="Arial" w:hAnsi="Arial" w:cs="Arial"/>
          <w:i/>
          <w:sz w:val="22"/>
          <w:szCs w:val="22"/>
          <w:lang w:val="en-US"/>
        </w:rPr>
        <w:t xml:space="preserve">Discrimination in relation to access to land, including water and natural resources essential for habitation; </w:t>
      </w:r>
    </w:p>
    <w:p w14:paraId="6D138515" w14:textId="77777777" w:rsidR="00E61C55" w:rsidRPr="00927B74" w:rsidRDefault="00E61C55" w:rsidP="00E61C55">
      <w:pPr>
        <w:pStyle w:val="ListParagraph"/>
        <w:numPr>
          <w:ilvl w:val="0"/>
          <w:numId w:val="16"/>
        </w:numPr>
        <w:jc w:val="both"/>
        <w:rPr>
          <w:rFonts w:ascii="Arial" w:hAnsi="Arial" w:cs="Arial"/>
          <w:i/>
          <w:sz w:val="22"/>
          <w:szCs w:val="22"/>
          <w:lang w:val="en-US"/>
        </w:rPr>
      </w:pPr>
      <w:r w:rsidRPr="00927B74">
        <w:rPr>
          <w:rFonts w:ascii="Arial" w:hAnsi="Arial" w:cs="Arial"/>
          <w:i/>
          <w:sz w:val="22"/>
          <w:szCs w:val="22"/>
          <w:lang w:val="en-US"/>
        </w:rPr>
        <w:t xml:space="preserve">Discrimination in relation to housing for rental or for acquisition or in accessing public or social housing; </w:t>
      </w:r>
    </w:p>
    <w:p w14:paraId="20E56B25" w14:textId="77777777" w:rsidR="00E61C55" w:rsidRPr="00927B74" w:rsidRDefault="00E61C55" w:rsidP="00E61C55">
      <w:pPr>
        <w:pStyle w:val="ListParagraph"/>
        <w:numPr>
          <w:ilvl w:val="0"/>
          <w:numId w:val="16"/>
        </w:numPr>
        <w:jc w:val="both"/>
        <w:rPr>
          <w:rFonts w:ascii="Arial" w:hAnsi="Arial" w:cs="Arial"/>
          <w:i/>
          <w:sz w:val="22"/>
          <w:szCs w:val="22"/>
          <w:lang w:val="en-US"/>
        </w:rPr>
      </w:pPr>
      <w:r w:rsidRPr="00927B74">
        <w:rPr>
          <w:rFonts w:ascii="Arial" w:hAnsi="Arial" w:cs="Arial"/>
          <w:i/>
          <w:sz w:val="22"/>
          <w:szCs w:val="22"/>
          <w:lang w:val="en-US"/>
        </w:rPr>
        <w:t>Access to emergency and/or transitional housing after disaster, conflict related displacement or in case of homelessness, family or domestic violence;</w:t>
      </w:r>
    </w:p>
    <w:p w14:paraId="1C4C2F4E" w14:textId="77777777" w:rsidR="00E61C55" w:rsidRPr="00927B74" w:rsidRDefault="00E61C55" w:rsidP="00E61C55">
      <w:pPr>
        <w:pStyle w:val="ListParagraph"/>
        <w:numPr>
          <w:ilvl w:val="0"/>
          <w:numId w:val="16"/>
        </w:numPr>
        <w:jc w:val="both"/>
        <w:rPr>
          <w:rFonts w:ascii="Arial" w:hAnsi="Arial" w:cs="Arial"/>
          <w:i/>
          <w:sz w:val="22"/>
          <w:szCs w:val="22"/>
          <w:lang w:val="en-US"/>
        </w:rPr>
      </w:pPr>
      <w:r w:rsidRPr="00927B74">
        <w:rPr>
          <w:rFonts w:ascii="Arial" w:hAnsi="Arial" w:cs="Arial"/>
          <w:i/>
          <w:sz w:val="22"/>
          <w:szCs w:val="22"/>
          <w:lang w:val="en-US"/>
        </w:rPr>
        <w:t xml:space="preserve">Accessibility of housing for persons with disabilities or older persons, including access to housing for independent living or to care homes; </w:t>
      </w:r>
    </w:p>
    <w:p w14:paraId="31BF740A" w14:textId="77777777" w:rsidR="00E61C55" w:rsidRPr="00927B74" w:rsidRDefault="00E61C55" w:rsidP="00E61C55">
      <w:pPr>
        <w:pStyle w:val="ListParagraph"/>
        <w:numPr>
          <w:ilvl w:val="0"/>
          <w:numId w:val="16"/>
        </w:numPr>
        <w:jc w:val="both"/>
        <w:rPr>
          <w:rFonts w:ascii="Arial" w:hAnsi="Arial" w:cs="Arial"/>
          <w:i/>
          <w:sz w:val="22"/>
          <w:szCs w:val="22"/>
          <w:lang w:val="en-US"/>
        </w:rPr>
      </w:pPr>
      <w:r w:rsidRPr="00927B74">
        <w:rPr>
          <w:rFonts w:ascii="Arial" w:hAnsi="Arial" w:cs="Arial"/>
          <w:i/>
          <w:sz w:val="22"/>
          <w:szCs w:val="22"/>
          <w:lang w:val="en-US"/>
        </w:rPr>
        <w:t xml:space="preserve">data collection or requirements to furnish certain certifications resulting in the exclusion of particular persons from accessing housing; </w:t>
      </w:r>
    </w:p>
    <w:p w14:paraId="18D38006" w14:textId="77777777" w:rsidR="00E61C55" w:rsidRPr="00927B74" w:rsidRDefault="00E61C55" w:rsidP="00E61C55">
      <w:pPr>
        <w:jc w:val="both"/>
        <w:rPr>
          <w:rFonts w:ascii="Arial" w:hAnsi="Arial" w:cs="Arial"/>
          <w:i/>
          <w:sz w:val="22"/>
          <w:szCs w:val="22"/>
          <w:lang w:val="en-US"/>
        </w:rPr>
      </w:pPr>
    </w:p>
    <w:p w14:paraId="04E3183C" w14:textId="77777777" w:rsidR="00E61C55" w:rsidRPr="00927B74" w:rsidRDefault="00E61C55" w:rsidP="00E61C55">
      <w:pPr>
        <w:jc w:val="both"/>
        <w:rPr>
          <w:rFonts w:ascii="Arial" w:hAnsi="Arial" w:cs="Arial"/>
          <w:i/>
          <w:sz w:val="22"/>
          <w:szCs w:val="22"/>
        </w:rPr>
      </w:pPr>
      <w:r w:rsidRPr="00927B74">
        <w:rPr>
          <w:rFonts w:ascii="Arial" w:hAnsi="Arial" w:cs="Arial"/>
          <w:i/>
          <w:sz w:val="22"/>
          <w:szCs w:val="22"/>
        </w:rPr>
        <w:t>Habitability</w:t>
      </w:r>
    </w:p>
    <w:p w14:paraId="1725762A" w14:textId="77777777" w:rsidR="00E61C55" w:rsidRPr="00927B74" w:rsidRDefault="00E61C55" w:rsidP="00E61C55">
      <w:pPr>
        <w:pStyle w:val="ListParagraph"/>
        <w:numPr>
          <w:ilvl w:val="0"/>
          <w:numId w:val="16"/>
        </w:numPr>
        <w:jc w:val="both"/>
        <w:rPr>
          <w:rFonts w:ascii="Arial" w:hAnsi="Arial" w:cs="Arial"/>
          <w:i/>
          <w:sz w:val="22"/>
          <w:szCs w:val="22"/>
          <w:lang w:val="en-US"/>
        </w:rPr>
      </w:pPr>
      <w:r w:rsidRPr="00927B74">
        <w:rPr>
          <w:rFonts w:ascii="Arial" w:hAnsi="Arial" w:cs="Arial"/>
          <w:i/>
          <w:sz w:val="22"/>
          <w:szCs w:val="22"/>
          <w:lang w:val="en-US"/>
        </w:rPr>
        <w:t xml:space="preserve">discrimination in relation to housing conditions, overcrowding or housing maintenance; </w:t>
      </w:r>
    </w:p>
    <w:p w14:paraId="1332DDDC" w14:textId="77777777" w:rsidR="00E61C55" w:rsidRPr="00927B74" w:rsidRDefault="00E61C55" w:rsidP="00E61C55">
      <w:pPr>
        <w:pStyle w:val="ListParagraph"/>
        <w:numPr>
          <w:ilvl w:val="0"/>
          <w:numId w:val="16"/>
        </w:numPr>
        <w:jc w:val="both"/>
        <w:rPr>
          <w:rFonts w:ascii="Arial" w:hAnsi="Arial" w:cs="Arial"/>
          <w:i/>
          <w:sz w:val="22"/>
          <w:szCs w:val="22"/>
          <w:lang w:val="en-US"/>
        </w:rPr>
      </w:pPr>
      <w:r w:rsidRPr="00927B74">
        <w:rPr>
          <w:rFonts w:ascii="Arial" w:hAnsi="Arial" w:cs="Arial"/>
          <w:i/>
          <w:sz w:val="22"/>
          <w:szCs w:val="22"/>
          <w:lang w:val="en-US"/>
        </w:rPr>
        <w:t>Exposure to health risks within the home, including lack of ventilation, heating or insulation, exposure to fire or housing collapse risk, unhealthy building materials, or other unhealthy housing covered by the WHO Guidelines on housing and health;</w:t>
      </w:r>
    </w:p>
    <w:p w14:paraId="21760808" w14:textId="77777777" w:rsidR="00E61C55" w:rsidRPr="00927B74" w:rsidRDefault="00E61C55" w:rsidP="00E61C55">
      <w:pPr>
        <w:pStyle w:val="ListParagraph"/>
        <w:numPr>
          <w:ilvl w:val="0"/>
          <w:numId w:val="16"/>
        </w:numPr>
        <w:jc w:val="both"/>
        <w:rPr>
          <w:rFonts w:ascii="Arial" w:hAnsi="Arial" w:cs="Arial"/>
          <w:i/>
          <w:sz w:val="22"/>
          <w:szCs w:val="22"/>
          <w:lang w:val="en-US"/>
        </w:rPr>
      </w:pPr>
      <w:r w:rsidRPr="00927B74">
        <w:rPr>
          <w:rFonts w:ascii="Arial" w:hAnsi="Arial" w:cs="Arial"/>
          <w:i/>
          <w:sz w:val="22"/>
          <w:szCs w:val="22"/>
          <w:lang w:val="en-US"/>
        </w:rPr>
        <w:t xml:space="preserve">Exposure to other risks which render housing uninhabitable, including sexual or gender-based violence, interference with privacy and physical security in the home and </w:t>
      </w:r>
      <w:proofErr w:type="spellStart"/>
      <w:r w:rsidRPr="00927B74">
        <w:rPr>
          <w:rFonts w:ascii="Arial" w:hAnsi="Arial" w:cs="Arial"/>
          <w:i/>
          <w:sz w:val="22"/>
          <w:szCs w:val="22"/>
          <w:lang w:val="en-US"/>
        </w:rPr>
        <w:t>neighbourhood</w:t>
      </w:r>
      <w:proofErr w:type="spellEnd"/>
      <w:r w:rsidRPr="00927B74">
        <w:rPr>
          <w:rFonts w:ascii="Arial" w:hAnsi="Arial" w:cs="Arial"/>
          <w:i/>
          <w:sz w:val="22"/>
          <w:szCs w:val="22"/>
          <w:lang w:val="en-US"/>
        </w:rPr>
        <w:t xml:space="preserve">; </w:t>
      </w:r>
    </w:p>
    <w:p w14:paraId="481EDCD8" w14:textId="77777777" w:rsidR="00E61C55" w:rsidRPr="00927B74" w:rsidRDefault="00E61C55" w:rsidP="00E61C55">
      <w:pPr>
        <w:pStyle w:val="ListParagraph"/>
        <w:numPr>
          <w:ilvl w:val="0"/>
          <w:numId w:val="16"/>
        </w:numPr>
        <w:jc w:val="both"/>
        <w:rPr>
          <w:rFonts w:ascii="Arial" w:hAnsi="Arial" w:cs="Arial"/>
          <w:i/>
          <w:sz w:val="22"/>
          <w:szCs w:val="22"/>
          <w:lang w:val="en-US"/>
        </w:rPr>
      </w:pPr>
      <w:r w:rsidRPr="00927B74">
        <w:rPr>
          <w:rFonts w:ascii="Arial" w:hAnsi="Arial" w:cs="Arial"/>
          <w:i/>
          <w:sz w:val="22"/>
          <w:szCs w:val="22"/>
          <w:lang w:val="en-US"/>
        </w:rPr>
        <w:t>Discrimination in relation to housing renovation or permission of housing extension;</w:t>
      </w:r>
    </w:p>
    <w:p w14:paraId="630B1E50" w14:textId="77777777" w:rsidR="00E61C55" w:rsidRPr="00927B74" w:rsidRDefault="00E61C55" w:rsidP="00E61C55">
      <w:pPr>
        <w:jc w:val="both"/>
        <w:rPr>
          <w:i/>
          <w:szCs w:val="24"/>
          <w:lang w:val="en-US"/>
        </w:rPr>
      </w:pPr>
    </w:p>
    <w:p w14:paraId="3C96C6B8" w14:textId="77777777" w:rsidR="00E61C55" w:rsidRPr="00927B74" w:rsidRDefault="00E61C55" w:rsidP="00E61C55">
      <w:pPr>
        <w:jc w:val="both"/>
        <w:rPr>
          <w:rFonts w:ascii="Arial" w:hAnsi="Arial" w:cs="Arial"/>
          <w:i/>
          <w:sz w:val="22"/>
          <w:szCs w:val="22"/>
        </w:rPr>
      </w:pPr>
      <w:r w:rsidRPr="00927B74">
        <w:rPr>
          <w:rFonts w:ascii="Arial" w:hAnsi="Arial" w:cs="Arial"/>
          <w:i/>
          <w:sz w:val="22"/>
          <w:szCs w:val="22"/>
        </w:rPr>
        <w:t>Affordability</w:t>
      </w:r>
    </w:p>
    <w:p w14:paraId="7F524AA5" w14:textId="77777777" w:rsidR="00E61C55" w:rsidRPr="00927B74" w:rsidRDefault="00E61C55" w:rsidP="00E61C55">
      <w:pPr>
        <w:pStyle w:val="ListParagraph"/>
        <w:numPr>
          <w:ilvl w:val="0"/>
          <w:numId w:val="16"/>
        </w:numPr>
        <w:jc w:val="both"/>
        <w:rPr>
          <w:rFonts w:ascii="Arial" w:hAnsi="Arial" w:cs="Arial"/>
          <w:i/>
          <w:sz w:val="22"/>
          <w:szCs w:val="22"/>
          <w:lang w:val="en-US"/>
        </w:rPr>
      </w:pPr>
      <w:r w:rsidRPr="00927B74">
        <w:rPr>
          <w:rFonts w:ascii="Arial" w:hAnsi="Arial" w:cs="Arial"/>
          <w:i/>
          <w:sz w:val="22"/>
          <w:szCs w:val="22"/>
          <w:lang w:val="en-US"/>
        </w:rPr>
        <w:t>Discrimination in relation to access to public benefits related to housing;</w:t>
      </w:r>
    </w:p>
    <w:p w14:paraId="130698ED" w14:textId="77777777" w:rsidR="00E61C55" w:rsidRPr="00927B74" w:rsidRDefault="00E61C55" w:rsidP="00E61C55">
      <w:pPr>
        <w:pStyle w:val="ListParagraph"/>
        <w:numPr>
          <w:ilvl w:val="0"/>
          <w:numId w:val="16"/>
        </w:numPr>
        <w:jc w:val="both"/>
        <w:rPr>
          <w:rFonts w:ascii="Arial" w:hAnsi="Arial" w:cs="Arial"/>
          <w:i/>
          <w:sz w:val="22"/>
          <w:szCs w:val="22"/>
          <w:lang w:val="en-US"/>
        </w:rPr>
      </w:pPr>
      <w:r w:rsidRPr="00927B74">
        <w:rPr>
          <w:rFonts w:ascii="Arial" w:hAnsi="Arial" w:cs="Arial"/>
          <w:i/>
          <w:sz w:val="22"/>
          <w:szCs w:val="22"/>
          <w:lang w:val="en-US"/>
        </w:rPr>
        <w:t xml:space="preserve">Lack of equal access to affordable housing; </w:t>
      </w:r>
    </w:p>
    <w:p w14:paraId="7F256EAC" w14:textId="77777777" w:rsidR="00E61C55" w:rsidRPr="00927B74" w:rsidRDefault="00E61C55" w:rsidP="00E61C55">
      <w:pPr>
        <w:pStyle w:val="ListParagraph"/>
        <w:numPr>
          <w:ilvl w:val="0"/>
          <w:numId w:val="16"/>
        </w:numPr>
        <w:jc w:val="both"/>
        <w:rPr>
          <w:rFonts w:ascii="Arial" w:hAnsi="Arial" w:cs="Arial"/>
          <w:i/>
          <w:sz w:val="22"/>
          <w:szCs w:val="22"/>
          <w:lang w:val="en-US"/>
        </w:rPr>
      </w:pPr>
      <w:r w:rsidRPr="00927B74">
        <w:rPr>
          <w:rFonts w:ascii="Arial" w:hAnsi="Arial" w:cs="Arial"/>
          <w:i/>
          <w:sz w:val="22"/>
          <w:szCs w:val="22"/>
          <w:lang w:val="en-US"/>
        </w:rPr>
        <w:t>Discrimination in public and private housing financing;</w:t>
      </w:r>
    </w:p>
    <w:p w14:paraId="5A13ADA0" w14:textId="77777777" w:rsidR="00E61C55" w:rsidRPr="00927B74" w:rsidRDefault="00E61C55" w:rsidP="00E61C55">
      <w:pPr>
        <w:pStyle w:val="ListParagraph"/>
        <w:numPr>
          <w:ilvl w:val="0"/>
          <w:numId w:val="16"/>
        </w:numPr>
        <w:jc w:val="both"/>
        <w:rPr>
          <w:rFonts w:ascii="Arial" w:hAnsi="Arial" w:cs="Arial"/>
          <w:i/>
          <w:sz w:val="22"/>
          <w:szCs w:val="22"/>
          <w:lang w:val="en-US"/>
        </w:rPr>
      </w:pPr>
      <w:r w:rsidRPr="00927B74">
        <w:rPr>
          <w:rFonts w:ascii="Arial" w:hAnsi="Arial" w:cs="Arial"/>
          <w:i/>
          <w:sz w:val="22"/>
          <w:szCs w:val="22"/>
          <w:lang w:val="en-US"/>
        </w:rPr>
        <w:t>Discrimination related to housing and service costs, housing related fees, litigation or taxation;</w:t>
      </w:r>
    </w:p>
    <w:p w14:paraId="3FF8B7C1" w14:textId="77777777" w:rsidR="00E61C55" w:rsidRPr="00927B74" w:rsidRDefault="00E61C55" w:rsidP="00E61C55">
      <w:pPr>
        <w:jc w:val="both"/>
        <w:rPr>
          <w:rFonts w:ascii="Arial" w:hAnsi="Arial" w:cs="Arial"/>
          <w:i/>
          <w:sz w:val="22"/>
          <w:szCs w:val="22"/>
          <w:lang w:val="en-US"/>
        </w:rPr>
      </w:pPr>
    </w:p>
    <w:p w14:paraId="43AE3EC8" w14:textId="77777777" w:rsidR="00E61C55" w:rsidRPr="00927B74" w:rsidRDefault="00E61C55" w:rsidP="00E61C55">
      <w:pPr>
        <w:jc w:val="both"/>
        <w:rPr>
          <w:rFonts w:ascii="Arial" w:hAnsi="Arial" w:cs="Arial"/>
          <w:i/>
          <w:sz w:val="22"/>
          <w:szCs w:val="22"/>
        </w:rPr>
      </w:pPr>
      <w:r w:rsidRPr="00927B74">
        <w:rPr>
          <w:rFonts w:ascii="Arial" w:hAnsi="Arial" w:cs="Arial"/>
          <w:i/>
          <w:sz w:val="22"/>
          <w:szCs w:val="22"/>
        </w:rPr>
        <w:t>Security of tenure</w:t>
      </w:r>
    </w:p>
    <w:p w14:paraId="0EAB4611" w14:textId="77777777" w:rsidR="00E61C55" w:rsidRPr="00927B74" w:rsidRDefault="00E61C55" w:rsidP="00E61C55">
      <w:pPr>
        <w:pStyle w:val="ListParagraph"/>
        <w:numPr>
          <w:ilvl w:val="0"/>
          <w:numId w:val="16"/>
        </w:numPr>
        <w:jc w:val="both"/>
        <w:rPr>
          <w:rFonts w:ascii="Arial" w:hAnsi="Arial" w:cs="Arial"/>
          <w:i/>
          <w:sz w:val="22"/>
          <w:szCs w:val="22"/>
          <w:lang w:val="en-US"/>
        </w:rPr>
      </w:pPr>
      <w:r w:rsidRPr="00927B74">
        <w:rPr>
          <w:rFonts w:ascii="Arial" w:hAnsi="Arial" w:cs="Arial"/>
          <w:i/>
          <w:sz w:val="22"/>
          <w:szCs w:val="22"/>
          <w:lang w:val="en-US"/>
        </w:rPr>
        <w:t>Discrimination in relation to ownership or inheritance of housing and land and related natural resources including water including on the basis of a distinction between formal and informal tenure arrangements;</w:t>
      </w:r>
    </w:p>
    <w:p w14:paraId="5BABB19F" w14:textId="77777777" w:rsidR="00E61C55" w:rsidRPr="00927B74" w:rsidRDefault="00E61C55" w:rsidP="00E61C55">
      <w:pPr>
        <w:pStyle w:val="ListParagraph"/>
        <w:numPr>
          <w:ilvl w:val="0"/>
          <w:numId w:val="16"/>
        </w:numPr>
        <w:jc w:val="both"/>
        <w:rPr>
          <w:rFonts w:ascii="Arial" w:hAnsi="Arial" w:cs="Arial"/>
          <w:i/>
          <w:sz w:val="22"/>
          <w:szCs w:val="22"/>
          <w:lang w:val="en-US"/>
        </w:rPr>
      </w:pPr>
      <w:r w:rsidRPr="00927B74">
        <w:rPr>
          <w:rFonts w:ascii="Arial" w:hAnsi="Arial" w:cs="Arial"/>
          <w:i/>
          <w:sz w:val="22"/>
          <w:szCs w:val="22"/>
          <w:lang w:val="en-US"/>
        </w:rPr>
        <w:t>Discrimination in relation to evictions, resettlement and compensation for loss or damage of housing, land or livelihoods;</w:t>
      </w:r>
    </w:p>
    <w:p w14:paraId="64CA0A7C" w14:textId="77777777" w:rsidR="00E61C55" w:rsidRPr="00927B74" w:rsidRDefault="00E61C55" w:rsidP="00E61C55">
      <w:pPr>
        <w:pStyle w:val="ListParagraph"/>
        <w:numPr>
          <w:ilvl w:val="0"/>
          <w:numId w:val="16"/>
        </w:numPr>
        <w:jc w:val="both"/>
        <w:rPr>
          <w:rFonts w:ascii="Arial" w:hAnsi="Arial" w:cs="Arial"/>
          <w:i/>
          <w:sz w:val="22"/>
          <w:szCs w:val="22"/>
          <w:lang w:val="en-US"/>
        </w:rPr>
      </w:pPr>
      <w:r w:rsidRPr="00927B74">
        <w:rPr>
          <w:rFonts w:ascii="Arial" w:hAnsi="Arial" w:cs="Arial"/>
          <w:i/>
          <w:sz w:val="22"/>
          <w:szCs w:val="22"/>
          <w:lang w:val="en-US"/>
        </w:rPr>
        <w:t>Differential treatment in land or title registration, permission of housing construction;</w:t>
      </w:r>
    </w:p>
    <w:p w14:paraId="36011C33" w14:textId="77777777" w:rsidR="00E61C55" w:rsidRPr="00927B74" w:rsidRDefault="00E61C55" w:rsidP="00E61C55">
      <w:pPr>
        <w:jc w:val="both"/>
        <w:rPr>
          <w:rFonts w:ascii="Arial" w:hAnsi="Arial" w:cs="Arial"/>
          <w:i/>
          <w:sz w:val="22"/>
          <w:szCs w:val="22"/>
          <w:lang w:val="en-US"/>
        </w:rPr>
      </w:pPr>
    </w:p>
    <w:p w14:paraId="63A3B29B" w14:textId="77777777" w:rsidR="00E61C55" w:rsidRPr="00927B74" w:rsidRDefault="00E61C55" w:rsidP="00E61C55">
      <w:pPr>
        <w:jc w:val="both"/>
        <w:rPr>
          <w:rFonts w:ascii="Arial" w:hAnsi="Arial" w:cs="Arial"/>
          <w:i/>
          <w:sz w:val="22"/>
          <w:szCs w:val="22"/>
          <w:lang w:val="en-US"/>
        </w:rPr>
      </w:pPr>
      <w:r w:rsidRPr="00927B74">
        <w:rPr>
          <w:rFonts w:ascii="Arial" w:hAnsi="Arial" w:cs="Arial"/>
          <w:i/>
          <w:sz w:val="22"/>
          <w:szCs w:val="22"/>
          <w:lang w:val="en-US"/>
        </w:rPr>
        <w:t xml:space="preserve">Availability of services, materials, facilities and infrastructure </w:t>
      </w:r>
    </w:p>
    <w:p w14:paraId="1A07DB99" w14:textId="77777777" w:rsidR="00E61C55" w:rsidRPr="00927B74" w:rsidRDefault="00E61C55" w:rsidP="00E61C55">
      <w:pPr>
        <w:pStyle w:val="ListParagraph"/>
        <w:numPr>
          <w:ilvl w:val="0"/>
          <w:numId w:val="16"/>
        </w:numPr>
        <w:jc w:val="both"/>
        <w:rPr>
          <w:rFonts w:ascii="Arial" w:hAnsi="Arial" w:cs="Arial"/>
          <w:i/>
          <w:sz w:val="22"/>
          <w:szCs w:val="22"/>
          <w:lang w:val="en-US"/>
        </w:rPr>
      </w:pPr>
      <w:r w:rsidRPr="00927B74">
        <w:rPr>
          <w:rFonts w:ascii="Arial" w:hAnsi="Arial" w:cs="Arial"/>
          <w:i/>
          <w:sz w:val="22"/>
          <w:szCs w:val="22"/>
          <w:lang w:val="en-US"/>
        </w:rPr>
        <w:t>Discrimination in relation to access to work, schooling, health care or public benefits based on the residential address or related to a lack of an official address;</w:t>
      </w:r>
    </w:p>
    <w:p w14:paraId="3A8036A7" w14:textId="77777777" w:rsidR="00E61C55" w:rsidRPr="00927B74" w:rsidRDefault="00E61C55" w:rsidP="00E61C55">
      <w:pPr>
        <w:pStyle w:val="ListParagraph"/>
        <w:numPr>
          <w:ilvl w:val="0"/>
          <w:numId w:val="16"/>
        </w:numPr>
        <w:jc w:val="both"/>
        <w:rPr>
          <w:rFonts w:ascii="Arial" w:hAnsi="Arial" w:cs="Arial"/>
          <w:i/>
          <w:sz w:val="22"/>
          <w:szCs w:val="22"/>
          <w:lang w:val="en-US"/>
        </w:rPr>
      </w:pPr>
      <w:r w:rsidRPr="00927B74">
        <w:rPr>
          <w:rFonts w:ascii="Arial" w:hAnsi="Arial" w:cs="Arial"/>
          <w:i/>
          <w:sz w:val="22"/>
          <w:szCs w:val="22"/>
          <w:lang w:val="en-US"/>
        </w:rPr>
        <w:t xml:space="preserve">Public transportation services and transportation costs; </w:t>
      </w:r>
    </w:p>
    <w:p w14:paraId="63BD75BD" w14:textId="77777777" w:rsidR="00E61C55" w:rsidRPr="00927B74" w:rsidRDefault="00E61C55" w:rsidP="00E61C55">
      <w:pPr>
        <w:pStyle w:val="ListParagraph"/>
        <w:numPr>
          <w:ilvl w:val="0"/>
          <w:numId w:val="16"/>
        </w:numPr>
        <w:jc w:val="both"/>
        <w:rPr>
          <w:rFonts w:ascii="Arial" w:hAnsi="Arial" w:cs="Arial"/>
          <w:i/>
          <w:sz w:val="22"/>
          <w:szCs w:val="22"/>
          <w:lang w:val="en-US"/>
        </w:rPr>
      </w:pPr>
      <w:r w:rsidRPr="00927B74">
        <w:rPr>
          <w:rFonts w:ascii="Arial" w:hAnsi="Arial" w:cs="Arial"/>
          <w:i/>
          <w:sz w:val="22"/>
          <w:szCs w:val="22"/>
          <w:lang w:val="en-US"/>
        </w:rPr>
        <w:t>Provision of water, sanitation, energy, waste collection and other utility services; their quality or cost, including interruptions/blackouts including policies relating to disconnection from utility services;</w:t>
      </w:r>
    </w:p>
    <w:p w14:paraId="765AC207" w14:textId="77777777" w:rsidR="00E61C55" w:rsidRPr="00927B74" w:rsidRDefault="00E61C55" w:rsidP="00E61C55">
      <w:pPr>
        <w:pStyle w:val="ListParagraph"/>
        <w:numPr>
          <w:ilvl w:val="0"/>
          <w:numId w:val="16"/>
        </w:numPr>
        <w:jc w:val="both"/>
        <w:rPr>
          <w:rFonts w:ascii="Arial" w:hAnsi="Arial" w:cs="Arial"/>
          <w:i/>
          <w:sz w:val="22"/>
          <w:szCs w:val="22"/>
          <w:lang w:val="en-US"/>
        </w:rPr>
      </w:pPr>
      <w:r w:rsidRPr="00927B74">
        <w:rPr>
          <w:rFonts w:ascii="Arial" w:hAnsi="Arial" w:cs="Arial"/>
          <w:i/>
          <w:sz w:val="22"/>
          <w:szCs w:val="22"/>
          <w:lang w:val="en-US"/>
        </w:rPr>
        <w:t xml:space="preserve">spatial disparities in access to health care, education, child care, cultural and recreational facilities; </w:t>
      </w:r>
    </w:p>
    <w:p w14:paraId="12D275BD" w14:textId="77777777" w:rsidR="00E61C55" w:rsidRPr="00927B74" w:rsidRDefault="00E61C55" w:rsidP="00E61C55">
      <w:pPr>
        <w:jc w:val="both"/>
        <w:rPr>
          <w:rFonts w:ascii="Arial" w:hAnsi="Arial" w:cs="Arial"/>
          <w:i/>
          <w:sz w:val="22"/>
          <w:szCs w:val="22"/>
          <w:lang w:val="en-US"/>
        </w:rPr>
      </w:pPr>
    </w:p>
    <w:p w14:paraId="2EFB9C6B" w14:textId="77777777" w:rsidR="00E61C55" w:rsidRPr="00927B74" w:rsidRDefault="00E61C55" w:rsidP="00E61C55">
      <w:pPr>
        <w:jc w:val="both"/>
        <w:rPr>
          <w:rFonts w:ascii="Arial" w:hAnsi="Arial" w:cs="Arial"/>
          <w:i/>
          <w:sz w:val="22"/>
          <w:szCs w:val="22"/>
        </w:rPr>
      </w:pPr>
      <w:r w:rsidRPr="00927B74">
        <w:rPr>
          <w:rFonts w:ascii="Arial" w:hAnsi="Arial" w:cs="Arial"/>
          <w:i/>
          <w:sz w:val="22"/>
          <w:szCs w:val="22"/>
        </w:rPr>
        <w:t>Location</w:t>
      </w:r>
    </w:p>
    <w:p w14:paraId="05AC76A9" w14:textId="77777777" w:rsidR="00E61C55" w:rsidRPr="00927B74" w:rsidRDefault="00E61C55" w:rsidP="00E61C55">
      <w:pPr>
        <w:pStyle w:val="ListParagraph"/>
        <w:numPr>
          <w:ilvl w:val="0"/>
          <w:numId w:val="16"/>
        </w:numPr>
        <w:jc w:val="both"/>
        <w:rPr>
          <w:rFonts w:ascii="Arial" w:hAnsi="Arial" w:cs="Arial"/>
          <w:i/>
          <w:sz w:val="22"/>
          <w:szCs w:val="22"/>
          <w:lang w:val="en-US"/>
        </w:rPr>
      </w:pPr>
      <w:r w:rsidRPr="00927B74">
        <w:rPr>
          <w:rFonts w:ascii="Arial" w:hAnsi="Arial" w:cs="Arial"/>
          <w:i/>
          <w:sz w:val="22"/>
          <w:szCs w:val="22"/>
          <w:lang w:val="en-US"/>
        </w:rPr>
        <w:t>Discrimination in relation to freedom of choice of the place of residency within the country, within a particular region or location;</w:t>
      </w:r>
    </w:p>
    <w:p w14:paraId="4450F74D" w14:textId="77777777" w:rsidR="00E61C55" w:rsidRPr="00927B74" w:rsidRDefault="00E61C55" w:rsidP="00E61C55">
      <w:pPr>
        <w:pStyle w:val="ListParagraph"/>
        <w:numPr>
          <w:ilvl w:val="0"/>
          <w:numId w:val="16"/>
        </w:numPr>
        <w:jc w:val="both"/>
        <w:rPr>
          <w:rFonts w:ascii="Arial" w:hAnsi="Arial" w:cs="Arial"/>
          <w:i/>
          <w:sz w:val="22"/>
          <w:szCs w:val="22"/>
          <w:lang w:val="en-US"/>
        </w:rPr>
      </w:pPr>
      <w:r w:rsidRPr="00927B74">
        <w:rPr>
          <w:rFonts w:ascii="Arial" w:hAnsi="Arial" w:cs="Arial"/>
          <w:i/>
          <w:sz w:val="22"/>
          <w:szCs w:val="22"/>
          <w:lang w:val="en-US"/>
        </w:rPr>
        <w:t>Discrimination based on place of residence or address, such as exclusion from invitation to job interviews or access to credit;</w:t>
      </w:r>
    </w:p>
    <w:p w14:paraId="712C30DE" w14:textId="77777777" w:rsidR="00E61C55" w:rsidRPr="00927B74" w:rsidRDefault="00E61C55" w:rsidP="00E61C55">
      <w:pPr>
        <w:pStyle w:val="ListParagraph"/>
        <w:numPr>
          <w:ilvl w:val="0"/>
          <w:numId w:val="16"/>
        </w:numPr>
        <w:jc w:val="both"/>
        <w:rPr>
          <w:rFonts w:ascii="Arial" w:hAnsi="Arial" w:cs="Arial"/>
          <w:i/>
          <w:sz w:val="22"/>
          <w:szCs w:val="22"/>
          <w:lang w:val="en-US"/>
        </w:rPr>
      </w:pPr>
      <w:r w:rsidRPr="00927B74">
        <w:rPr>
          <w:rFonts w:ascii="Arial" w:hAnsi="Arial" w:cs="Arial"/>
          <w:i/>
          <w:sz w:val="22"/>
          <w:szCs w:val="22"/>
          <w:lang w:val="en-US"/>
        </w:rPr>
        <w:t>Exposure to environmental health risks, such as external air quality, flooding, toxic ground exposure; noise; risk of landslides etc.;</w:t>
      </w:r>
    </w:p>
    <w:p w14:paraId="475BA411" w14:textId="77777777" w:rsidR="00E61C55" w:rsidRPr="00927B74" w:rsidRDefault="00E61C55" w:rsidP="00E61C55">
      <w:pPr>
        <w:pStyle w:val="ListParagraph"/>
        <w:numPr>
          <w:ilvl w:val="0"/>
          <w:numId w:val="16"/>
        </w:numPr>
        <w:jc w:val="both"/>
        <w:rPr>
          <w:rFonts w:ascii="Arial" w:hAnsi="Arial" w:cs="Arial"/>
          <w:i/>
          <w:sz w:val="22"/>
          <w:szCs w:val="22"/>
          <w:lang w:val="en-US"/>
        </w:rPr>
      </w:pPr>
      <w:r w:rsidRPr="00927B74">
        <w:rPr>
          <w:rFonts w:ascii="Arial" w:hAnsi="Arial" w:cs="Arial"/>
          <w:i/>
          <w:sz w:val="22"/>
          <w:szCs w:val="22"/>
          <w:lang w:val="en-US"/>
        </w:rPr>
        <w:lastRenderedPageBreak/>
        <w:t xml:space="preserve">Living quality and physical security in the </w:t>
      </w:r>
      <w:proofErr w:type="spellStart"/>
      <w:r w:rsidRPr="00927B74">
        <w:rPr>
          <w:rFonts w:ascii="Arial" w:hAnsi="Arial" w:cs="Arial"/>
          <w:i/>
          <w:sz w:val="22"/>
          <w:szCs w:val="22"/>
          <w:lang w:val="en-US"/>
        </w:rPr>
        <w:t>neighbourhood</w:t>
      </w:r>
      <w:proofErr w:type="spellEnd"/>
      <w:r w:rsidRPr="00927B74">
        <w:rPr>
          <w:rFonts w:ascii="Arial" w:hAnsi="Arial" w:cs="Arial"/>
          <w:i/>
          <w:sz w:val="22"/>
          <w:szCs w:val="22"/>
          <w:lang w:val="en-US"/>
        </w:rPr>
        <w:t xml:space="preserve">, including geographical disparities in policing and law enforcement; </w:t>
      </w:r>
    </w:p>
    <w:p w14:paraId="21B1FDEA" w14:textId="77777777" w:rsidR="00E61C55" w:rsidRPr="00927B74" w:rsidRDefault="00E61C55" w:rsidP="00E61C55">
      <w:pPr>
        <w:ind w:left="720"/>
        <w:jc w:val="both"/>
        <w:rPr>
          <w:rFonts w:ascii="Arial" w:hAnsi="Arial" w:cs="Arial"/>
          <w:i/>
          <w:sz w:val="22"/>
          <w:szCs w:val="22"/>
          <w:lang w:val="en-US"/>
        </w:rPr>
      </w:pPr>
    </w:p>
    <w:p w14:paraId="4466B666" w14:textId="77777777" w:rsidR="00E61C55" w:rsidRPr="00927B74" w:rsidRDefault="00E61C55" w:rsidP="00E61C55">
      <w:pPr>
        <w:jc w:val="both"/>
        <w:rPr>
          <w:rFonts w:ascii="Arial" w:hAnsi="Arial" w:cs="Arial"/>
          <w:i/>
          <w:sz w:val="22"/>
          <w:szCs w:val="22"/>
        </w:rPr>
      </w:pPr>
      <w:r w:rsidRPr="00927B74">
        <w:rPr>
          <w:rFonts w:ascii="Arial" w:hAnsi="Arial" w:cs="Arial"/>
          <w:i/>
          <w:sz w:val="22"/>
          <w:szCs w:val="22"/>
        </w:rPr>
        <w:t>Cultural adequacy</w:t>
      </w:r>
    </w:p>
    <w:p w14:paraId="33705054" w14:textId="77777777" w:rsidR="00E61C55" w:rsidRPr="00927B74" w:rsidRDefault="00E61C55" w:rsidP="00E61C55">
      <w:pPr>
        <w:pStyle w:val="ListParagraph"/>
        <w:numPr>
          <w:ilvl w:val="0"/>
          <w:numId w:val="16"/>
        </w:numPr>
        <w:jc w:val="both"/>
        <w:rPr>
          <w:rFonts w:ascii="Arial" w:hAnsi="Arial" w:cs="Arial"/>
          <w:i/>
          <w:sz w:val="22"/>
          <w:szCs w:val="22"/>
          <w:lang w:val="en-US"/>
        </w:rPr>
      </w:pPr>
      <w:r w:rsidRPr="00927B74">
        <w:rPr>
          <w:rFonts w:ascii="Arial" w:hAnsi="Arial" w:cs="Arial"/>
          <w:i/>
          <w:sz w:val="22"/>
          <w:szCs w:val="22"/>
          <w:lang w:val="en-US"/>
        </w:rPr>
        <w:t xml:space="preserve">Discrimination in relation to the recognition of culturally adequate dwellings as housing as well as equal access to public space; </w:t>
      </w:r>
    </w:p>
    <w:p w14:paraId="76C68838" w14:textId="77777777" w:rsidR="00E61C55" w:rsidRPr="00927B74" w:rsidRDefault="00E61C55" w:rsidP="00E61C55">
      <w:pPr>
        <w:pStyle w:val="ListParagraph"/>
        <w:numPr>
          <w:ilvl w:val="0"/>
          <w:numId w:val="16"/>
        </w:numPr>
        <w:jc w:val="both"/>
        <w:rPr>
          <w:rFonts w:ascii="Arial" w:hAnsi="Arial" w:cs="Arial"/>
          <w:i/>
          <w:sz w:val="22"/>
          <w:szCs w:val="22"/>
          <w:lang w:val="en-US"/>
        </w:rPr>
      </w:pPr>
      <w:r w:rsidRPr="00927B74">
        <w:rPr>
          <w:rFonts w:ascii="Arial" w:hAnsi="Arial" w:cs="Arial"/>
          <w:i/>
          <w:sz w:val="22"/>
          <w:szCs w:val="22"/>
          <w:lang w:val="en-US"/>
        </w:rPr>
        <w:t>Prohibition of accessing, maintaining or constructing culturally adequate housing;</w:t>
      </w:r>
    </w:p>
    <w:p w14:paraId="3964C727" w14:textId="77777777" w:rsidR="00E61C55" w:rsidRPr="00EB20F5" w:rsidRDefault="00E61C55" w:rsidP="00E61C55">
      <w:pPr>
        <w:pStyle w:val="ListParagraph"/>
        <w:numPr>
          <w:ilvl w:val="0"/>
          <w:numId w:val="16"/>
        </w:numPr>
        <w:jc w:val="both"/>
        <w:rPr>
          <w:rFonts w:ascii="Arial" w:hAnsi="Arial" w:cs="Arial"/>
          <w:sz w:val="22"/>
          <w:szCs w:val="22"/>
          <w:lang w:val="en-US"/>
        </w:rPr>
      </w:pPr>
      <w:r w:rsidRPr="00927B74">
        <w:rPr>
          <w:rFonts w:ascii="Arial" w:hAnsi="Arial" w:cs="Arial"/>
          <w:i/>
          <w:sz w:val="22"/>
          <w:szCs w:val="22"/>
          <w:lang w:val="en-US"/>
        </w:rPr>
        <w:t>Lack of recognition of mobile forms of residency</w:t>
      </w:r>
      <w:r w:rsidRPr="00EB20F5">
        <w:rPr>
          <w:rFonts w:ascii="Arial" w:hAnsi="Arial" w:cs="Arial"/>
          <w:sz w:val="22"/>
          <w:szCs w:val="22"/>
          <w:lang w:val="en-US"/>
        </w:rPr>
        <w:t>.</w:t>
      </w:r>
    </w:p>
    <w:p w14:paraId="6A38F1EA" w14:textId="77777777" w:rsidR="00E61C55" w:rsidRDefault="00E61C55" w:rsidP="00E61C55">
      <w:pPr>
        <w:pStyle w:val="ListParagraph"/>
        <w:jc w:val="both"/>
        <w:rPr>
          <w:i/>
          <w:szCs w:val="24"/>
          <w:lang w:val="en-US"/>
        </w:rPr>
      </w:pPr>
    </w:p>
    <w:p w14:paraId="25A59A8A" w14:textId="77777777" w:rsidR="00E61C55" w:rsidRDefault="00E61C55" w:rsidP="00E61C55">
      <w:pPr>
        <w:jc w:val="both"/>
        <w:rPr>
          <w:rFonts w:ascii="Arial" w:hAnsi="Arial" w:cs="Arial"/>
          <w:sz w:val="22"/>
          <w:szCs w:val="22"/>
          <w:lang w:val="en-US"/>
        </w:rPr>
      </w:pPr>
      <w:r w:rsidRPr="00927B74">
        <w:rPr>
          <w:rFonts w:ascii="Arial" w:hAnsi="Arial" w:cs="Arial"/>
          <w:sz w:val="22"/>
          <w:szCs w:val="22"/>
          <w:lang w:val="en-US"/>
        </w:rPr>
        <w:t>In Finland, the Roma are living in the same residential areas and have the same level of quality in housing as the main population. Most of the Roma live in the state-</w:t>
      </w:r>
      <w:proofErr w:type="spellStart"/>
      <w:r w:rsidRPr="00927B74">
        <w:rPr>
          <w:rFonts w:ascii="Arial" w:hAnsi="Arial" w:cs="Arial"/>
          <w:sz w:val="22"/>
          <w:szCs w:val="22"/>
          <w:lang w:val="en-US"/>
        </w:rPr>
        <w:t>subsidised</w:t>
      </w:r>
      <w:proofErr w:type="spellEnd"/>
      <w:r w:rsidRPr="00927B74">
        <w:rPr>
          <w:rFonts w:ascii="Arial" w:hAnsi="Arial" w:cs="Arial"/>
          <w:sz w:val="22"/>
          <w:szCs w:val="22"/>
          <w:lang w:val="en-US"/>
        </w:rPr>
        <w:t xml:space="preserve"> social rental housing. </w:t>
      </w:r>
    </w:p>
    <w:p w14:paraId="5D2675A0" w14:textId="77777777" w:rsidR="00E61C55" w:rsidRPr="00927B74" w:rsidRDefault="00E61C55" w:rsidP="00E61C55">
      <w:pPr>
        <w:jc w:val="both"/>
        <w:rPr>
          <w:rFonts w:ascii="Arial" w:hAnsi="Arial" w:cs="Arial"/>
          <w:sz w:val="22"/>
          <w:szCs w:val="22"/>
          <w:lang w:val="en-US"/>
        </w:rPr>
      </w:pPr>
    </w:p>
    <w:p w14:paraId="277B5EA2" w14:textId="77777777" w:rsidR="00E61C55" w:rsidRDefault="00E61C55" w:rsidP="00E61C55">
      <w:pPr>
        <w:jc w:val="both"/>
        <w:rPr>
          <w:rFonts w:ascii="Arial" w:hAnsi="Arial" w:cs="Arial"/>
          <w:sz w:val="22"/>
          <w:szCs w:val="22"/>
          <w:lang w:val="en-US"/>
        </w:rPr>
      </w:pPr>
      <w:r w:rsidRPr="00927B74">
        <w:rPr>
          <w:rFonts w:ascii="Arial" w:hAnsi="Arial" w:cs="Arial"/>
          <w:sz w:val="22"/>
          <w:szCs w:val="22"/>
          <w:lang w:val="en-US"/>
        </w:rPr>
        <w:t xml:space="preserve">Local authorities are responsible for the selection of residents in social housing. Tenants are eligible for social rental dwellings according to their need, their income and their financial circumstances. </w:t>
      </w:r>
    </w:p>
    <w:p w14:paraId="42EA28B8" w14:textId="77777777" w:rsidR="00E61C55" w:rsidRPr="00927B74" w:rsidRDefault="00E61C55" w:rsidP="00E61C55">
      <w:pPr>
        <w:jc w:val="both"/>
        <w:rPr>
          <w:rFonts w:ascii="Arial" w:hAnsi="Arial" w:cs="Arial"/>
          <w:sz w:val="22"/>
          <w:szCs w:val="22"/>
          <w:lang w:val="en-US"/>
        </w:rPr>
      </w:pPr>
    </w:p>
    <w:p w14:paraId="2C28F9B4" w14:textId="77777777" w:rsidR="00E61C55" w:rsidRDefault="00E61C55" w:rsidP="00E61C55">
      <w:pPr>
        <w:jc w:val="both"/>
        <w:rPr>
          <w:rFonts w:ascii="Arial" w:hAnsi="Arial" w:cs="Arial"/>
          <w:sz w:val="22"/>
          <w:szCs w:val="22"/>
          <w:lang w:val="en-US"/>
        </w:rPr>
      </w:pPr>
      <w:r w:rsidRPr="00927B74">
        <w:rPr>
          <w:rFonts w:ascii="Arial" w:hAnsi="Arial" w:cs="Arial"/>
          <w:sz w:val="22"/>
          <w:szCs w:val="22"/>
          <w:lang w:val="en-US"/>
        </w:rPr>
        <w:t>Homeless applicants have the highest priority in tenant selection for state-</w:t>
      </w:r>
      <w:proofErr w:type="spellStart"/>
      <w:r w:rsidRPr="00927B74">
        <w:rPr>
          <w:rFonts w:ascii="Arial" w:hAnsi="Arial" w:cs="Arial"/>
          <w:sz w:val="22"/>
          <w:szCs w:val="22"/>
          <w:lang w:val="en-US"/>
        </w:rPr>
        <w:t>subsidised</w:t>
      </w:r>
      <w:proofErr w:type="spellEnd"/>
      <w:r w:rsidRPr="00927B74">
        <w:rPr>
          <w:rFonts w:ascii="Arial" w:hAnsi="Arial" w:cs="Arial"/>
          <w:sz w:val="22"/>
          <w:szCs w:val="22"/>
          <w:lang w:val="en-US"/>
        </w:rPr>
        <w:t xml:space="preserve"> housing. In the end of 2020 there were approximately 4 300 homeless persons in Finland. Contrary to all the other EU member states, homelessness has decreased in Finland in last eight consecutive years. </w:t>
      </w:r>
    </w:p>
    <w:p w14:paraId="3B004695" w14:textId="77777777" w:rsidR="00E61C55" w:rsidRPr="00927B74" w:rsidRDefault="00E61C55" w:rsidP="00E61C55">
      <w:pPr>
        <w:jc w:val="both"/>
        <w:rPr>
          <w:rFonts w:ascii="Arial" w:hAnsi="Arial" w:cs="Arial"/>
          <w:sz w:val="22"/>
          <w:szCs w:val="22"/>
          <w:lang w:val="en-US"/>
        </w:rPr>
      </w:pPr>
    </w:p>
    <w:p w14:paraId="14A093F4" w14:textId="77777777" w:rsidR="00E61C55" w:rsidRPr="002D7998" w:rsidRDefault="00E61C55" w:rsidP="00E61C55">
      <w:pPr>
        <w:jc w:val="both"/>
        <w:rPr>
          <w:szCs w:val="24"/>
          <w:lang w:val="en-US"/>
        </w:rPr>
      </w:pPr>
    </w:p>
    <w:p w14:paraId="6F58B89A" w14:textId="77777777" w:rsidR="00E61C55" w:rsidRPr="00EB20F5" w:rsidRDefault="00E61C55" w:rsidP="00E61C55">
      <w:pPr>
        <w:jc w:val="both"/>
        <w:rPr>
          <w:rFonts w:ascii="Arial" w:hAnsi="Arial" w:cs="Arial"/>
          <w:b/>
          <w:sz w:val="22"/>
          <w:szCs w:val="22"/>
          <w:lang w:val="en-US"/>
        </w:rPr>
      </w:pPr>
      <w:r w:rsidRPr="00EB20F5">
        <w:rPr>
          <w:rFonts w:ascii="Arial" w:hAnsi="Arial" w:cs="Arial"/>
          <w:b/>
          <w:sz w:val="22"/>
          <w:szCs w:val="22"/>
          <w:lang w:val="en-US"/>
        </w:rPr>
        <w:t xml:space="preserve">SPATIAL AND RESIDENTIAL SEGREGATION </w:t>
      </w:r>
    </w:p>
    <w:p w14:paraId="39AED84B" w14:textId="77777777" w:rsidR="00E61C55" w:rsidRPr="00927B74" w:rsidRDefault="00E61C55" w:rsidP="00E61C55">
      <w:pPr>
        <w:jc w:val="both"/>
        <w:rPr>
          <w:rFonts w:ascii="Arial" w:hAnsi="Arial" w:cs="Arial"/>
          <w:sz w:val="22"/>
          <w:szCs w:val="22"/>
          <w:lang w:val="en-US"/>
        </w:rPr>
      </w:pPr>
    </w:p>
    <w:p w14:paraId="03AC81E7" w14:textId="77777777" w:rsidR="00E61C55" w:rsidRPr="00927B74" w:rsidRDefault="00E61C55" w:rsidP="00E61C55">
      <w:pPr>
        <w:jc w:val="both"/>
        <w:rPr>
          <w:rFonts w:ascii="Arial" w:hAnsi="Arial" w:cs="Arial"/>
          <w:i/>
          <w:sz w:val="22"/>
          <w:szCs w:val="22"/>
          <w:lang w:val="en-US"/>
        </w:rPr>
      </w:pPr>
      <w:r w:rsidRPr="00927B74">
        <w:rPr>
          <w:rFonts w:ascii="Arial" w:hAnsi="Arial" w:cs="Arial"/>
          <w:i/>
          <w:sz w:val="22"/>
          <w:szCs w:val="22"/>
          <w:lang w:val="en-US"/>
        </w:rPr>
        <w:t xml:space="preserve">12. What forms of spatial segregation along racial, caste, ethnicity, religion, nationality, migration status, heritage, economic status/income or other social grounds can be observed in urban and urban-rural contexts in your country? </w:t>
      </w:r>
    </w:p>
    <w:p w14:paraId="0C00276E" w14:textId="77777777" w:rsidR="00E61C55" w:rsidRPr="00EB20F5" w:rsidRDefault="00E61C55" w:rsidP="00E61C55">
      <w:pPr>
        <w:jc w:val="both"/>
        <w:rPr>
          <w:rFonts w:ascii="Arial" w:hAnsi="Arial" w:cs="Arial"/>
          <w:sz w:val="22"/>
          <w:szCs w:val="22"/>
          <w:lang w:val="en-US"/>
        </w:rPr>
      </w:pPr>
    </w:p>
    <w:p w14:paraId="7CF55663" w14:textId="77777777" w:rsidR="00E61C55" w:rsidRPr="00927B74" w:rsidRDefault="00E61C55" w:rsidP="00E61C55">
      <w:pPr>
        <w:jc w:val="both"/>
        <w:rPr>
          <w:rFonts w:ascii="Arial" w:hAnsi="Arial" w:cs="Arial"/>
          <w:sz w:val="22"/>
          <w:szCs w:val="22"/>
          <w:lang w:val="en-US"/>
        </w:rPr>
      </w:pPr>
      <w:r w:rsidRPr="00927B74">
        <w:rPr>
          <w:rFonts w:ascii="Arial" w:hAnsi="Arial" w:cs="Arial"/>
          <w:sz w:val="22"/>
          <w:szCs w:val="22"/>
          <w:lang w:val="en-US"/>
        </w:rPr>
        <w:t xml:space="preserve">In the Finnish context spatial segregation means socioeconomic segregation of </w:t>
      </w:r>
      <w:proofErr w:type="spellStart"/>
      <w:r w:rsidRPr="00927B74">
        <w:rPr>
          <w:rFonts w:ascii="Arial" w:hAnsi="Arial" w:cs="Arial"/>
          <w:sz w:val="22"/>
          <w:szCs w:val="22"/>
          <w:lang w:val="en-US"/>
        </w:rPr>
        <w:t>neighbourhoods</w:t>
      </w:r>
      <w:proofErr w:type="spellEnd"/>
      <w:r w:rsidRPr="00927B74">
        <w:rPr>
          <w:rFonts w:ascii="Arial" w:hAnsi="Arial" w:cs="Arial"/>
          <w:sz w:val="22"/>
          <w:szCs w:val="22"/>
          <w:lang w:val="en-US"/>
        </w:rPr>
        <w:t xml:space="preserve"> (residential segregation). Based on existing international comparisons of the city of Helsinki or the metropolitan area around the city, residential segregation by income </w:t>
      </w:r>
      <w:r w:rsidRPr="00927B74">
        <w:rPr>
          <w:rFonts w:ascii="Arial" w:hAnsi="Arial" w:cs="Arial"/>
          <w:sz w:val="22"/>
          <w:szCs w:val="22"/>
          <w:lang w:val="en-US"/>
        </w:rPr>
        <w:lastRenderedPageBreak/>
        <w:t xml:space="preserve">or ethnicity has so far been at a rather modest level. In general, the levels of socioeconomic and especially ethnic segregation are very modest in Finland compared to any other EU country. </w:t>
      </w:r>
    </w:p>
    <w:p w14:paraId="6B001357" w14:textId="77777777" w:rsidR="00E61C55" w:rsidRPr="00927B74" w:rsidRDefault="00E61C55" w:rsidP="00E61C55">
      <w:pPr>
        <w:jc w:val="both"/>
        <w:rPr>
          <w:rFonts w:ascii="Arial" w:hAnsi="Arial" w:cs="Arial"/>
          <w:sz w:val="22"/>
          <w:szCs w:val="22"/>
          <w:lang w:val="en-US"/>
        </w:rPr>
      </w:pPr>
    </w:p>
    <w:p w14:paraId="7CF2E8B6" w14:textId="77777777" w:rsidR="00E61C55" w:rsidRPr="00927B74" w:rsidRDefault="00E61C55" w:rsidP="00E61C55">
      <w:pPr>
        <w:jc w:val="both"/>
        <w:rPr>
          <w:rFonts w:ascii="Arial" w:hAnsi="Arial" w:cs="Arial"/>
          <w:i/>
          <w:sz w:val="22"/>
          <w:szCs w:val="22"/>
          <w:lang w:val="en-US"/>
        </w:rPr>
      </w:pPr>
      <w:r w:rsidRPr="00927B74">
        <w:rPr>
          <w:rFonts w:ascii="Arial" w:hAnsi="Arial" w:cs="Arial"/>
          <w:sz w:val="22"/>
          <w:szCs w:val="22"/>
          <w:lang w:val="en-US"/>
        </w:rPr>
        <w:t xml:space="preserve">However, if the levels of urban segregation are rather modest in Finland and in its biggest cities, the Helsinki region differs from the other regions by stronger segregation between the high-income population and the rest, especially when looking only at the city of Helsinki, and by weaker segregation between the low- and middle-income populations. Due to rising housing prices and lack of affordable rental or owner-occupied flats low-income or even middle-income groups have limited possibilities to choose their residential location. In Finland low-income Finnish-born and foreign-born people live in same residential </w:t>
      </w:r>
      <w:proofErr w:type="spellStart"/>
      <w:r w:rsidRPr="00927B74">
        <w:rPr>
          <w:rFonts w:ascii="Arial" w:hAnsi="Arial" w:cs="Arial"/>
          <w:sz w:val="22"/>
          <w:szCs w:val="22"/>
          <w:lang w:val="en-US"/>
        </w:rPr>
        <w:t>neighbourhoods</w:t>
      </w:r>
      <w:proofErr w:type="spellEnd"/>
      <w:r w:rsidRPr="00927B74">
        <w:rPr>
          <w:rFonts w:ascii="Arial" w:hAnsi="Arial" w:cs="Arial"/>
          <w:sz w:val="22"/>
          <w:szCs w:val="22"/>
          <w:lang w:val="en-US"/>
        </w:rPr>
        <w:t>. Immigrants have lower homeownership rates in all income categories, but higher income predicts higher homeownership rates also among them. The standard of equipment in dwellings is generally good and differences are small in this respect. Immigrants do not live more commonly in sub-standard dwellings, as they are concentrated in newer dwellings built since the 1960s</w:t>
      </w:r>
      <w:r w:rsidRPr="00927B74">
        <w:rPr>
          <w:rFonts w:ascii="Arial" w:hAnsi="Arial" w:cs="Arial"/>
          <w:i/>
          <w:sz w:val="22"/>
          <w:szCs w:val="22"/>
          <w:lang w:val="en-US"/>
        </w:rPr>
        <w:t>.</w:t>
      </w:r>
    </w:p>
    <w:p w14:paraId="0DD694EB" w14:textId="77777777" w:rsidR="00E61C55" w:rsidRPr="002D7998" w:rsidRDefault="00E61C55" w:rsidP="00E61C55">
      <w:pPr>
        <w:jc w:val="both"/>
        <w:rPr>
          <w:szCs w:val="24"/>
          <w:lang w:val="en-US"/>
        </w:rPr>
      </w:pPr>
    </w:p>
    <w:p w14:paraId="7C1BA627" w14:textId="77777777" w:rsidR="00E61C55" w:rsidRPr="00927B74" w:rsidRDefault="00E61C55" w:rsidP="00E61C55">
      <w:pPr>
        <w:jc w:val="both"/>
        <w:rPr>
          <w:rFonts w:ascii="Arial" w:hAnsi="Arial" w:cs="Arial"/>
          <w:i/>
          <w:sz w:val="22"/>
          <w:szCs w:val="22"/>
          <w:lang w:val="en-US"/>
        </w:rPr>
      </w:pPr>
      <w:r w:rsidRPr="00927B74">
        <w:rPr>
          <w:rFonts w:ascii="Arial" w:hAnsi="Arial" w:cs="Arial"/>
          <w:i/>
          <w:sz w:val="22"/>
          <w:szCs w:val="22"/>
          <w:lang w:val="en-US"/>
        </w:rPr>
        <w:t xml:space="preserve">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w:t>
      </w:r>
      <w:proofErr w:type="spellStart"/>
      <w:r w:rsidRPr="00927B74">
        <w:rPr>
          <w:rFonts w:ascii="Arial" w:hAnsi="Arial" w:cs="Arial"/>
          <w:i/>
          <w:sz w:val="22"/>
          <w:szCs w:val="22"/>
          <w:lang w:val="en-US"/>
        </w:rPr>
        <w:t>etc</w:t>
      </w:r>
      <w:proofErr w:type="spellEnd"/>
      <w:r w:rsidRPr="00927B74">
        <w:rPr>
          <w:rFonts w:ascii="Arial" w:hAnsi="Arial" w:cs="Arial"/>
          <w:i/>
          <w:sz w:val="22"/>
          <w:szCs w:val="22"/>
          <w:lang w:val="en-US"/>
        </w:rPr>
        <w:t xml:space="preserve">). </w:t>
      </w:r>
    </w:p>
    <w:p w14:paraId="4BC21B81" w14:textId="77777777" w:rsidR="00E61C55" w:rsidRDefault="00E61C55" w:rsidP="00E61C55">
      <w:pPr>
        <w:jc w:val="both"/>
        <w:rPr>
          <w:rFonts w:ascii="Arial" w:hAnsi="Arial" w:cs="Arial"/>
          <w:sz w:val="22"/>
          <w:szCs w:val="22"/>
          <w:lang w:val="en-US"/>
        </w:rPr>
      </w:pPr>
    </w:p>
    <w:p w14:paraId="70A60F15" w14:textId="77777777" w:rsidR="00E61C55" w:rsidRDefault="00E61C55" w:rsidP="00E61C55">
      <w:pPr>
        <w:jc w:val="both"/>
        <w:rPr>
          <w:rFonts w:ascii="Arial" w:hAnsi="Arial" w:cs="Arial"/>
          <w:sz w:val="22"/>
          <w:szCs w:val="22"/>
          <w:lang w:val="en-US"/>
        </w:rPr>
      </w:pPr>
      <w:r w:rsidRPr="00927B74">
        <w:rPr>
          <w:rFonts w:ascii="Arial" w:hAnsi="Arial" w:cs="Arial"/>
          <w:sz w:val="22"/>
          <w:szCs w:val="22"/>
          <w:lang w:val="en-US"/>
        </w:rPr>
        <w:t xml:space="preserve">The socioeconomic differences/disparities are the main factor of </w:t>
      </w:r>
      <w:proofErr w:type="spellStart"/>
      <w:r w:rsidRPr="00927B74">
        <w:rPr>
          <w:rFonts w:ascii="Arial" w:hAnsi="Arial" w:cs="Arial"/>
          <w:sz w:val="22"/>
          <w:szCs w:val="22"/>
          <w:lang w:val="en-US"/>
        </w:rPr>
        <w:t>neighbourhood</w:t>
      </w:r>
      <w:proofErr w:type="spellEnd"/>
      <w:r w:rsidRPr="00927B74">
        <w:rPr>
          <w:rFonts w:ascii="Arial" w:hAnsi="Arial" w:cs="Arial"/>
          <w:sz w:val="22"/>
          <w:szCs w:val="22"/>
          <w:lang w:val="en-US"/>
        </w:rPr>
        <w:t xml:space="preserve"> segregation, but also disparities in education, employment, health and wellbeing can be observed. However, all people are entitled equally to all services. </w:t>
      </w:r>
    </w:p>
    <w:p w14:paraId="2D9D960F" w14:textId="77777777" w:rsidR="00E61C55" w:rsidRDefault="00E61C55" w:rsidP="00E61C55">
      <w:pPr>
        <w:jc w:val="both"/>
        <w:rPr>
          <w:rFonts w:ascii="Arial" w:hAnsi="Arial" w:cs="Arial"/>
          <w:sz w:val="22"/>
          <w:szCs w:val="22"/>
          <w:lang w:val="en-US"/>
        </w:rPr>
      </w:pPr>
    </w:p>
    <w:p w14:paraId="119299FD" w14:textId="77777777" w:rsidR="00E61C55" w:rsidRDefault="00E61C55" w:rsidP="00E61C55">
      <w:pPr>
        <w:jc w:val="both"/>
        <w:rPr>
          <w:rFonts w:ascii="Arial" w:hAnsi="Arial" w:cs="Arial"/>
          <w:sz w:val="22"/>
          <w:szCs w:val="22"/>
          <w:lang w:val="en-US"/>
        </w:rPr>
      </w:pPr>
      <w:r w:rsidRPr="00927B74">
        <w:rPr>
          <w:rFonts w:ascii="Arial" w:hAnsi="Arial" w:cs="Arial"/>
          <w:sz w:val="22"/>
          <w:szCs w:val="22"/>
          <w:lang w:val="en-US"/>
        </w:rPr>
        <w:t xml:space="preserve">There is a growing concern about school segregation. A recent examination in early childhood education and care (ECEC) and in comprehensive school education (primary and lower secondary education) indicates challenges posed by social and regional divisions. The study identifies the growing social and regional segregation in society challenging the systems of early childhood education and care and comprehensive school education at </w:t>
      </w:r>
      <w:r w:rsidRPr="00927B74">
        <w:rPr>
          <w:rFonts w:ascii="Arial" w:hAnsi="Arial" w:cs="Arial"/>
          <w:sz w:val="22"/>
          <w:szCs w:val="22"/>
          <w:lang w:val="en-US"/>
        </w:rPr>
        <w:lastRenderedPageBreak/>
        <w:t xml:space="preserve">both local and national levels. In comprehensive schools, the growing differences in competence between both students and schools are a particularly worrying signal.  </w:t>
      </w:r>
    </w:p>
    <w:p w14:paraId="402A3EE6" w14:textId="77777777" w:rsidR="00E61C55" w:rsidRDefault="00E61C55" w:rsidP="00E61C55">
      <w:pPr>
        <w:jc w:val="both"/>
        <w:rPr>
          <w:rFonts w:ascii="Arial" w:hAnsi="Arial" w:cs="Arial"/>
          <w:sz w:val="22"/>
          <w:szCs w:val="22"/>
          <w:lang w:val="en-US"/>
        </w:rPr>
      </w:pPr>
    </w:p>
    <w:p w14:paraId="2FBBDC0A" w14:textId="77777777" w:rsidR="00E61C55" w:rsidRPr="002D7998" w:rsidRDefault="00E61C55" w:rsidP="00E61C55">
      <w:pPr>
        <w:jc w:val="both"/>
        <w:rPr>
          <w:szCs w:val="24"/>
          <w:lang w:val="en-US"/>
        </w:rPr>
      </w:pPr>
      <w:r w:rsidRPr="00927B74">
        <w:rPr>
          <w:rFonts w:ascii="Arial" w:hAnsi="Arial" w:cs="Arial"/>
          <w:sz w:val="22"/>
          <w:szCs w:val="22"/>
          <w:lang w:val="en-US"/>
        </w:rPr>
        <w:t xml:space="preserve">As a result of regional socio-economic and ethnic segregation, educational disadvantages are becoming </w:t>
      </w:r>
      <w:proofErr w:type="spellStart"/>
      <w:r w:rsidRPr="00927B74">
        <w:rPr>
          <w:rFonts w:ascii="Arial" w:hAnsi="Arial" w:cs="Arial"/>
          <w:sz w:val="22"/>
          <w:szCs w:val="22"/>
          <w:lang w:val="en-US"/>
        </w:rPr>
        <w:t>localised</w:t>
      </w:r>
      <w:proofErr w:type="spellEnd"/>
      <w:r w:rsidRPr="00927B74">
        <w:rPr>
          <w:rFonts w:ascii="Arial" w:hAnsi="Arial" w:cs="Arial"/>
          <w:sz w:val="22"/>
          <w:szCs w:val="22"/>
          <w:lang w:val="en-US"/>
        </w:rPr>
        <w:t xml:space="preserve"> in certain areas in a way that undermines the capacity of comprehensive schools that are geographically and socially </w:t>
      </w:r>
      <w:proofErr w:type="spellStart"/>
      <w:r w:rsidRPr="00927B74">
        <w:rPr>
          <w:rFonts w:ascii="Arial" w:hAnsi="Arial" w:cs="Arial"/>
          <w:sz w:val="22"/>
          <w:szCs w:val="22"/>
          <w:lang w:val="en-US"/>
        </w:rPr>
        <w:t>marginalised</w:t>
      </w:r>
      <w:proofErr w:type="spellEnd"/>
      <w:r w:rsidRPr="00927B74">
        <w:rPr>
          <w:rFonts w:ascii="Arial" w:hAnsi="Arial" w:cs="Arial"/>
          <w:sz w:val="22"/>
          <w:szCs w:val="22"/>
          <w:lang w:val="en-US"/>
        </w:rPr>
        <w:t xml:space="preserve"> to achieve good learning outcomes. Most of the schools at greatest risk are located in disadvantaged </w:t>
      </w:r>
      <w:proofErr w:type="spellStart"/>
      <w:r w:rsidRPr="00927B74">
        <w:rPr>
          <w:rFonts w:ascii="Arial" w:hAnsi="Arial" w:cs="Arial"/>
          <w:sz w:val="22"/>
          <w:szCs w:val="22"/>
          <w:lang w:val="en-US"/>
        </w:rPr>
        <w:t>neighbourhoods</w:t>
      </w:r>
      <w:proofErr w:type="spellEnd"/>
      <w:r w:rsidRPr="00927B74">
        <w:rPr>
          <w:rFonts w:ascii="Arial" w:hAnsi="Arial" w:cs="Arial"/>
          <w:sz w:val="22"/>
          <w:szCs w:val="22"/>
          <w:lang w:val="en-US"/>
        </w:rPr>
        <w:t xml:space="preserve"> in big cities. The same dynamics of segregation can be seen in early childhood education and care, which impacts the disparate premises for equity from which the children then transition into comprehensive school education.</w:t>
      </w:r>
      <w:r w:rsidRPr="00927B74">
        <w:rPr>
          <w:szCs w:val="24"/>
          <w:lang w:val="en-US"/>
        </w:rPr>
        <w:t xml:space="preserve">  </w:t>
      </w:r>
    </w:p>
    <w:p w14:paraId="54F54758" w14:textId="77777777" w:rsidR="00E61C55" w:rsidRPr="002D7998" w:rsidRDefault="00E61C55" w:rsidP="00E61C55">
      <w:pPr>
        <w:jc w:val="both"/>
        <w:rPr>
          <w:szCs w:val="24"/>
          <w:lang w:val="en-US"/>
        </w:rPr>
      </w:pPr>
    </w:p>
    <w:p w14:paraId="60BEE165" w14:textId="77777777" w:rsidR="00E61C55" w:rsidRDefault="00E61C55" w:rsidP="00E61C55">
      <w:pPr>
        <w:jc w:val="both"/>
        <w:rPr>
          <w:rFonts w:ascii="Arial" w:hAnsi="Arial" w:cs="Arial"/>
          <w:i/>
          <w:sz w:val="22"/>
          <w:szCs w:val="22"/>
          <w:lang w:val="en-US"/>
        </w:rPr>
      </w:pPr>
      <w:r w:rsidRPr="00927B74">
        <w:rPr>
          <w:rFonts w:ascii="Arial" w:hAnsi="Arial" w:cs="Arial"/>
          <w:i/>
          <w:sz w:val="22"/>
          <w:szCs w:val="22"/>
          <w:lang w:val="en-US"/>
        </w:rPr>
        <w:t xml:space="preserve">15. In your view, what factors (current or historical) are the principal drivers of spatial and residential segregation in urban and urban-rural contexts in your country? </w:t>
      </w:r>
    </w:p>
    <w:p w14:paraId="15D9C526" w14:textId="77777777" w:rsidR="00E61C55" w:rsidRDefault="00E61C55" w:rsidP="00E61C55">
      <w:pPr>
        <w:jc w:val="both"/>
        <w:rPr>
          <w:rFonts w:ascii="Arial" w:hAnsi="Arial" w:cs="Arial"/>
          <w:i/>
          <w:sz w:val="22"/>
          <w:szCs w:val="22"/>
          <w:lang w:val="en-US"/>
        </w:rPr>
      </w:pPr>
    </w:p>
    <w:p w14:paraId="5E6CF408" w14:textId="77777777" w:rsidR="00E61C55" w:rsidRPr="00927B74" w:rsidRDefault="00E61C55" w:rsidP="00E61C55">
      <w:pPr>
        <w:jc w:val="both"/>
        <w:rPr>
          <w:rFonts w:ascii="Arial" w:hAnsi="Arial" w:cs="Arial"/>
          <w:sz w:val="22"/>
          <w:szCs w:val="22"/>
          <w:lang w:val="en-US"/>
        </w:rPr>
      </w:pPr>
      <w:r w:rsidRPr="00AC2513">
        <w:rPr>
          <w:rFonts w:ascii="Arial" w:hAnsi="Arial" w:cs="Arial"/>
          <w:sz w:val="22"/>
          <w:szCs w:val="22"/>
          <w:lang w:val="en-US"/>
        </w:rPr>
        <w:t xml:space="preserve">Housing markets are clearly differentiated in different parts of the country. Helsinki and the capital region as well as certain other growth </w:t>
      </w:r>
      <w:proofErr w:type="spellStart"/>
      <w:r w:rsidRPr="00AC2513">
        <w:rPr>
          <w:rFonts w:ascii="Arial" w:hAnsi="Arial" w:cs="Arial"/>
          <w:sz w:val="22"/>
          <w:szCs w:val="22"/>
          <w:lang w:val="en-US"/>
        </w:rPr>
        <w:t>centres</w:t>
      </w:r>
      <w:proofErr w:type="spellEnd"/>
      <w:r w:rsidRPr="00AC2513">
        <w:rPr>
          <w:rFonts w:ascii="Arial" w:hAnsi="Arial" w:cs="Arial"/>
          <w:sz w:val="22"/>
          <w:szCs w:val="22"/>
          <w:lang w:val="en-US"/>
        </w:rPr>
        <w:t xml:space="preserve"> are suffering from housing shortages, high housing prices and high rents.</w:t>
      </w:r>
      <w:r w:rsidRPr="00AC2513" w:rsidDel="004541C6">
        <w:rPr>
          <w:rFonts w:ascii="Arial" w:hAnsi="Arial" w:cs="Arial"/>
          <w:sz w:val="22"/>
          <w:szCs w:val="22"/>
          <w:lang w:val="en-US"/>
        </w:rPr>
        <w:t xml:space="preserve"> </w:t>
      </w:r>
    </w:p>
    <w:p w14:paraId="14DABDB6" w14:textId="77777777" w:rsidR="00E61C55" w:rsidRDefault="00E61C55" w:rsidP="00E61C55">
      <w:pPr>
        <w:jc w:val="both"/>
        <w:rPr>
          <w:rFonts w:ascii="Arial" w:hAnsi="Arial" w:cs="Arial"/>
          <w:sz w:val="22"/>
          <w:szCs w:val="22"/>
          <w:lang w:val="en-US"/>
        </w:rPr>
      </w:pPr>
    </w:p>
    <w:p w14:paraId="26ACAAB0" w14:textId="77777777" w:rsidR="00E61C55" w:rsidRPr="00927B74" w:rsidRDefault="00E61C55" w:rsidP="00E61C55">
      <w:pPr>
        <w:jc w:val="both"/>
        <w:rPr>
          <w:rFonts w:ascii="Arial" w:hAnsi="Arial" w:cs="Arial"/>
          <w:sz w:val="22"/>
          <w:szCs w:val="22"/>
          <w:lang w:val="en-US"/>
        </w:rPr>
      </w:pPr>
    </w:p>
    <w:p w14:paraId="491CE4EC" w14:textId="77777777" w:rsidR="00E61C55" w:rsidRPr="00927B74" w:rsidRDefault="00E61C55" w:rsidP="00E61C55">
      <w:pPr>
        <w:jc w:val="both"/>
        <w:rPr>
          <w:rFonts w:ascii="Arial" w:hAnsi="Arial" w:cs="Arial"/>
          <w:b/>
          <w:sz w:val="22"/>
          <w:szCs w:val="22"/>
          <w:lang w:val="en-US"/>
        </w:rPr>
      </w:pPr>
      <w:r w:rsidRPr="00927B74">
        <w:rPr>
          <w:rFonts w:ascii="Arial" w:hAnsi="Arial" w:cs="Arial"/>
          <w:b/>
          <w:sz w:val="22"/>
          <w:szCs w:val="22"/>
          <w:lang w:val="en-US"/>
        </w:rPr>
        <w:t>MEASURES AND GOOD PRACTICES TO CURB DISCRIMINATION AND REDUCE SEGREGATION</w:t>
      </w:r>
    </w:p>
    <w:p w14:paraId="74871A68" w14:textId="77777777" w:rsidR="00E61C55" w:rsidRPr="00927B74" w:rsidRDefault="00E61C55" w:rsidP="00E61C55">
      <w:pPr>
        <w:jc w:val="both"/>
        <w:rPr>
          <w:rFonts w:ascii="Arial" w:hAnsi="Arial" w:cs="Arial"/>
          <w:sz w:val="22"/>
          <w:szCs w:val="22"/>
          <w:lang w:val="en-US"/>
        </w:rPr>
      </w:pPr>
    </w:p>
    <w:p w14:paraId="7E0CFE77" w14:textId="77777777" w:rsidR="00E61C55" w:rsidRDefault="00E61C55" w:rsidP="00E61C55">
      <w:pPr>
        <w:jc w:val="both"/>
        <w:rPr>
          <w:rFonts w:ascii="Arial" w:hAnsi="Arial" w:cs="Arial"/>
          <w:i/>
          <w:sz w:val="22"/>
          <w:szCs w:val="22"/>
          <w:lang w:val="en-US"/>
        </w:rPr>
      </w:pPr>
      <w:r w:rsidRPr="006A5716">
        <w:rPr>
          <w:rFonts w:ascii="Arial" w:hAnsi="Arial" w:cs="Arial"/>
          <w:i/>
          <w:sz w:val="22"/>
          <w:szCs w:val="22"/>
          <w:lang w:val="en-US"/>
        </w:rPr>
        <w:t xml:space="preserve">21. What laws, policies or measures exist at national or local level to prevent or prohibit discrimination in relation to the right to adequate housing? </w:t>
      </w:r>
    </w:p>
    <w:p w14:paraId="538B10A4" w14:textId="77777777" w:rsidR="00E61C55" w:rsidRDefault="00E61C55" w:rsidP="00E61C55">
      <w:pPr>
        <w:jc w:val="both"/>
        <w:rPr>
          <w:rFonts w:ascii="Arial" w:hAnsi="Arial" w:cs="Arial"/>
          <w:sz w:val="22"/>
          <w:szCs w:val="22"/>
          <w:lang w:val="en-US"/>
        </w:rPr>
      </w:pPr>
    </w:p>
    <w:p w14:paraId="190A55B2" w14:textId="77777777" w:rsidR="00E61C55" w:rsidRDefault="00E61C55" w:rsidP="00E61C55">
      <w:pPr>
        <w:jc w:val="both"/>
        <w:rPr>
          <w:rFonts w:ascii="Arial" w:hAnsi="Arial" w:cs="Arial"/>
          <w:sz w:val="22"/>
          <w:szCs w:val="22"/>
          <w:lang w:val="en-US"/>
        </w:rPr>
      </w:pPr>
      <w:r w:rsidRPr="00927B74">
        <w:rPr>
          <w:rFonts w:ascii="Arial" w:hAnsi="Arial" w:cs="Arial"/>
          <w:sz w:val="22"/>
          <w:szCs w:val="22"/>
          <w:lang w:val="en-US"/>
        </w:rPr>
        <w:t xml:space="preserve">According to the Constitution of Finland, the public authorities shall promote the right of everyone to housing and the opportunity to arrange their own housing. Therefore, the right to housing is not included in fundamental rights in Finland, only that the public authorities shall promote it. In other legislation however, certain groups, such as the disabled persons who cannot arrange their own housing, are given a subjective right to housing. </w:t>
      </w:r>
    </w:p>
    <w:p w14:paraId="3C8659A4" w14:textId="77777777" w:rsidR="00E61C55" w:rsidRPr="00927B74" w:rsidRDefault="00E61C55" w:rsidP="00E61C55">
      <w:pPr>
        <w:jc w:val="both"/>
        <w:rPr>
          <w:rFonts w:ascii="Arial" w:hAnsi="Arial" w:cs="Arial"/>
          <w:sz w:val="22"/>
          <w:szCs w:val="22"/>
          <w:lang w:val="en-US"/>
        </w:rPr>
      </w:pPr>
    </w:p>
    <w:p w14:paraId="0929C977" w14:textId="77777777" w:rsidR="00E61C55" w:rsidRDefault="00E61C55" w:rsidP="00E61C55">
      <w:pPr>
        <w:jc w:val="both"/>
        <w:rPr>
          <w:rFonts w:ascii="Arial" w:hAnsi="Arial" w:cs="Arial"/>
          <w:sz w:val="22"/>
          <w:szCs w:val="22"/>
          <w:lang w:val="en-US"/>
        </w:rPr>
      </w:pPr>
      <w:r w:rsidRPr="00927B74">
        <w:rPr>
          <w:rFonts w:ascii="Arial" w:hAnsi="Arial" w:cs="Arial"/>
          <w:sz w:val="22"/>
          <w:szCs w:val="22"/>
          <w:lang w:val="en-US"/>
        </w:rPr>
        <w:t xml:space="preserve">The Government supports social housing (state subsidized) that is aimed for persons with low income and limited means as well as special groups such as the older people, disabled </w:t>
      </w:r>
      <w:r w:rsidRPr="00927B74">
        <w:rPr>
          <w:rFonts w:ascii="Arial" w:hAnsi="Arial" w:cs="Arial"/>
          <w:sz w:val="22"/>
          <w:szCs w:val="22"/>
          <w:lang w:val="en-US"/>
        </w:rPr>
        <w:lastRenderedPageBreak/>
        <w:t>persons, the homeless, mental health patients and students. The Government awards interest subsidy loans and investment grants to finance the construction, renovation and acquisition of reasonably priced rental dwellings for these groups. Tenants are eligible for social rental accommodation according to their need for housing, their income and their financial circumstances. Priority is given to homeless and low income applicants and to those in urgent need of housing. Citizens of other countries can apply for state-</w:t>
      </w:r>
      <w:proofErr w:type="spellStart"/>
      <w:r w:rsidRPr="00927B74">
        <w:rPr>
          <w:rFonts w:ascii="Arial" w:hAnsi="Arial" w:cs="Arial"/>
          <w:sz w:val="22"/>
          <w:szCs w:val="22"/>
          <w:lang w:val="en-US"/>
        </w:rPr>
        <w:t>subsidised</w:t>
      </w:r>
      <w:proofErr w:type="spellEnd"/>
      <w:r w:rsidRPr="00927B74">
        <w:rPr>
          <w:rFonts w:ascii="Arial" w:hAnsi="Arial" w:cs="Arial"/>
          <w:sz w:val="22"/>
          <w:szCs w:val="22"/>
          <w:lang w:val="en-US"/>
        </w:rPr>
        <w:t xml:space="preserve"> rental housing once they have received a residence permit which is valid for at least 12 months. An applicant who is dissatisfied with a decision concerning the selection or approval of a tenant may request rectification within 30 days of having been informed of the decision. The request for rectification shall be made to the authority that took the decision. Instructions on requesting rectification shall be appended to a decision, which can be appealed, and the request shall be processed without delay.</w:t>
      </w:r>
    </w:p>
    <w:p w14:paraId="23228863" w14:textId="77777777" w:rsidR="00E61C55" w:rsidRPr="00927B74" w:rsidRDefault="00E61C55" w:rsidP="00E61C55">
      <w:pPr>
        <w:jc w:val="both"/>
        <w:rPr>
          <w:rFonts w:ascii="Arial" w:hAnsi="Arial" w:cs="Arial"/>
          <w:sz w:val="22"/>
          <w:szCs w:val="22"/>
          <w:lang w:val="en-US"/>
        </w:rPr>
      </w:pPr>
    </w:p>
    <w:p w14:paraId="7ED7139B" w14:textId="77777777" w:rsidR="00E61C55" w:rsidRPr="00AC2513" w:rsidRDefault="00E61C55" w:rsidP="00E61C55">
      <w:pPr>
        <w:jc w:val="both"/>
        <w:rPr>
          <w:rFonts w:ascii="Arial" w:hAnsi="Arial" w:cs="Arial"/>
          <w:sz w:val="22"/>
          <w:szCs w:val="22"/>
          <w:lang w:val="en-US"/>
        </w:rPr>
      </w:pPr>
      <w:r w:rsidRPr="00927B74">
        <w:rPr>
          <w:rFonts w:ascii="Arial" w:hAnsi="Arial" w:cs="Arial"/>
          <w:sz w:val="22"/>
          <w:szCs w:val="22"/>
          <w:lang w:val="en-US"/>
        </w:rPr>
        <w:t xml:space="preserve">The Government also grants subsidies for the renovation of homes for disabled persons and persons over 65 years old with low income and wealth. Subsidies are also granted for removing impediments to accessibility, making residential buildings, flats and other spaces accessible to people with impaired mobility. Lift subsidies are granted for installing new lifts in blocks of flats whose stairwells lack them. </w:t>
      </w:r>
    </w:p>
    <w:p w14:paraId="1C1812C1" w14:textId="77777777" w:rsidR="00E61C55" w:rsidRPr="00927B74" w:rsidRDefault="00E61C55" w:rsidP="00E61C55">
      <w:pPr>
        <w:jc w:val="both"/>
        <w:rPr>
          <w:rFonts w:ascii="Arial" w:hAnsi="Arial" w:cs="Arial"/>
          <w:sz w:val="22"/>
          <w:szCs w:val="22"/>
          <w:lang w:val="en-US"/>
        </w:rPr>
      </w:pPr>
    </w:p>
    <w:p w14:paraId="629429E3" w14:textId="77777777" w:rsidR="00E61C55" w:rsidRPr="00927B74" w:rsidRDefault="00E61C55" w:rsidP="00E61C55">
      <w:pPr>
        <w:jc w:val="both"/>
        <w:rPr>
          <w:rFonts w:ascii="Arial" w:hAnsi="Arial" w:cs="Arial"/>
          <w:i/>
          <w:sz w:val="22"/>
          <w:szCs w:val="22"/>
          <w:lang w:val="en-US"/>
        </w:rPr>
      </w:pPr>
      <w:r w:rsidRPr="00927B74">
        <w:rPr>
          <w:rFonts w:ascii="Arial" w:hAnsi="Arial" w:cs="Arial"/>
          <w:i/>
          <w:sz w:val="22"/>
          <w:szCs w:val="22"/>
          <w:lang w:val="en-US"/>
        </w:rPr>
        <w:t xml:space="preserve">22. Have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p w14:paraId="6917D702" w14:textId="77777777" w:rsidR="00E61C55" w:rsidRDefault="00E61C55" w:rsidP="00E61C55">
      <w:pPr>
        <w:jc w:val="both"/>
        <w:rPr>
          <w:rFonts w:ascii="Arial" w:hAnsi="Arial" w:cs="Arial"/>
          <w:sz w:val="22"/>
          <w:szCs w:val="22"/>
          <w:lang w:val="en-US"/>
        </w:rPr>
      </w:pPr>
    </w:p>
    <w:p w14:paraId="52A056FF" w14:textId="77777777" w:rsidR="00E61C55" w:rsidRPr="00927B74" w:rsidRDefault="00E61C55" w:rsidP="00E61C55">
      <w:pPr>
        <w:jc w:val="both"/>
        <w:rPr>
          <w:rFonts w:ascii="Arial" w:hAnsi="Arial" w:cs="Arial"/>
          <w:color w:val="FF0000"/>
          <w:sz w:val="22"/>
          <w:szCs w:val="22"/>
          <w:lang w:val="en-US"/>
        </w:rPr>
      </w:pPr>
      <w:r w:rsidRPr="00927B74">
        <w:rPr>
          <w:rFonts w:ascii="Arial" w:hAnsi="Arial" w:cs="Arial"/>
          <w:sz w:val="22"/>
          <w:szCs w:val="22"/>
          <w:lang w:val="en-US"/>
        </w:rPr>
        <w:t xml:space="preserve">The Government has been implementing nationwide </w:t>
      </w:r>
      <w:proofErr w:type="spellStart"/>
      <w:r w:rsidRPr="00927B74">
        <w:rPr>
          <w:rFonts w:ascii="Arial" w:hAnsi="Arial" w:cs="Arial"/>
          <w:sz w:val="22"/>
          <w:szCs w:val="22"/>
          <w:lang w:val="en-US"/>
        </w:rPr>
        <w:t>programmes</w:t>
      </w:r>
      <w:proofErr w:type="spellEnd"/>
      <w:r w:rsidRPr="00927B74">
        <w:rPr>
          <w:rFonts w:ascii="Arial" w:hAnsi="Arial" w:cs="Arial"/>
          <w:sz w:val="22"/>
          <w:szCs w:val="22"/>
          <w:lang w:val="en-US"/>
        </w:rPr>
        <w:t xml:space="preserve"> aiming to reduce residential/spatial segregation. The most recent </w:t>
      </w:r>
      <w:proofErr w:type="spellStart"/>
      <w:r w:rsidRPr="00927B74">
        <w:rPr>
          <w:rFonts w:ascii="Arial" w:hAnsi="Arial" w:cs="Arial"/>
          <w:sz w:val="22"/>
          <w:szCs w:val="22"/>
          <w:lang w:val="en-US"/>
        </w:rPr>
        <w:t>neighbourhood</w:t>
      </w:r>
      <w:proofErr w:type="spellEnd"/>
      <w:r w:rsidRPr="00927B74">
        <w:rPr>
          <w:rFonts w:ascii="Arial" w:hAnsi="Arial" w:cs="Arial"/>
          <w:sz w:val="22"/>
          <w:szCs w:val="22"/>
          <w:lang w:val="en-US"/>
        </w:rPr>
        <w:t xml:space="preserve"> renewal </w:t>
      </w:r>
      <w:proofErr w:type="spellStart"/>
      <w:r w:rsidRPr="00927B74">
        <w:rPr>
          <w:rFonts w:ascii="Arial" w:hAnsi="Arial" w:cs="Arial"/>
          <w:sz w:val="22"/>
          <w:szCs w:val="22"/>
          <w:lang w:val="en-US"/>
        </w:rPr>
        <w:t>programmes</w:t>
      </w:r>
      <w:proofErr w:type="spellEnd"/>
      <w:r w:rsidRPr="00927B74">
        <w:rPr>
          <w:rFonts w:ascii="Arial" w:hAnsi="Arial" w:cs="Arial"/>
          <w:sz w:val="22"/>
          <w:szCs w:val="22"/>
          <w:lang w:val="en-US"/>
        </w:rPr>
        <w:t xml:space="preserve"> have been implemented 2008-2011, 2013-2015 and 2020-2022. The latest is currently in implementation.</w:t>
      </w:r>
    </w:p>
    <w:p w14:paraId="6C36445C" w14:textId="77777777" w:rsidR="00E61C55" w:rsidRPr="002D7998" w:rsidRDefault="00E61C55" w:rsidP="00E61C55">
      <w:pPr>
        <w:jc w:val="both"/>
        <w:rPr>
          <w:szCs w:val="24"/>
          <w:lang w:val="en-US"/>
        </w:rPr>
      </w:pPr>
    </w:p>
    <w:p w14:paraId="78E96173" w14:textId="77777777" w:rsidR="00E61C55" w:rsidRDefault="00E61C55" w:rsidP="00E61C55">
      <w:pPr>
        <w:jc w:val="both"/>
        <w:rPr>
          <w:rFonts w:ascii="Arial" w:hAnsi="Arial" w:cs="Arial"/>
          <w:i/>
          <w:sz w:val="22"/>
          <w:szCs w:val="22"/>
          <w:lang w:val="en-US"/>
        </w:rPr>
      </w:pPr>
      <w:r w:rsidRPr="006A5716">
        <w:rPr>
          <w:rFonts w:ascii="Arial" w:hAnsi="Arial" w:cs="Arial"/>
          <w:i/>
          <w:sz w:val="22"/>
          <w:szCs w:val="22"/>
          <w:lang w:val="en-US"/>
        </w:rPr>
        <w:t>23. Have any particular laws, policies or measures been implemented to limit or reduce residential segregation?  To what extent have such policies raised human rights concerns?</w:t>
      </w:r>
    </w:p>
    <w:p w14:paraId="2C4C6580" w14:textId="77777777" w:rsidR="00E61C55" w:rsidRDefault="00E61C55" w:rsidP="00E61C55">
      <w:pPr>
        <w:jc w:val="both"/>
        <w:rPr>
          <w:rFonts w:ascii="Arial" w:hAnsi="Arial" w:cs="Arial"/>
          <w:i/>
          <w:sz w:val="22"/>
          <w:szCs w:val="22"/>
          <w:lang w:val="en-US"/>
        </w:rPr>
      </w:pPr>
    </w:p>
    <w:p w14:paraId="09DEA88F" w14:textId="77777777" w:rsidR="00E61C55" w:rsidRDefault="00E61C55" w:rsidP="00E61C55">
      <w:pPr>
        <w:jc w:val="both"/>
        <w:rPr>
          <w:rFonts w:ascii="Arial" w:hAnsi="Arial" w:cs="Arial"/>
          <w:sz w:val="22"/>
          <w:szCs w:val="22"/>
          <w:lang w:val="en-US"/>
        </w:rPr>
      </w:pPr>
      <w:r w:rsidRPr="006A5716">
        <w:rPr>
          <w:rFonts w:ascii="Arial" w:hAnsi="Arial" w:cs="Arial"/>
          <w:sz w:val="22"/>
          <w:szCs w:val="22"/>
          <w:lang w:val="en-US"/>
        </w:rPr>
        <w:t xml:space="preserve">In the Finnish context residential segregation means segregation of </w:t>
      </w:r>
      <w:proofErr w:type="spellStart"/>
      <w:r w:rsidRPr="006A5716">
        <w:rPr>
          <w:rFonts w:ascii="Arial" w:hAnsi="Arial" w:cs="Arial"/>
          <w:sz w:val="22"/>
          <w:szCs w:val="22"/>
          <w:lang w:val="en-US"/>
        </w:rPr>
        <w:t>neighbourhoods</w:t>
      </w:r>
      <w:proofErr w:type="spellEnd"/>
      <w:r w:rsidRPr="006A5716">
        <w:rPr>
          <w:rFonts w:ascii="Arial" w:hAnsi="Arial" w:cs="Arial"/>
          <w:sz w:val="22"/>
          <w:szCs w:val="22"/>
          <w:lang w:val="en-US"/>
        </w:rPr>
        <w:t xml:space="preserve">. The socioeconomic differences/disparities are the main factor of </w:t>
      </w:r>
      <w:proofErr w:type="spellStart"/>
      <w:r w:rsidRPr="006A5716">
        <w:rPr>
          <w:rFonts w:ascii="Arial" w:hAnsi="Arial" w:cs="Arial"/>
          <w:sz w:val="22"/>
          <w:szCs w:val="22"/>
          <w:lang w:val="en-US"/>
        </w:rPr>
        <w:t>neighbourhood</w:t>
      </w:r>
      <w:proofErr w:type="spellEnd"/>
      <w:r w:rsidRPr="006A5716">
        <w:rPr>
          <w:rFonts w:ascii="Arial" w:hAnsi="Arial" w:cs="Arial"/>
          <w:sz w:val="22"/>
          <w:szCs w:val="22"/>
          <w:lang w:val="en-US"/>
        </w:rPr>
        <w:t xml:space="preserve"> segregation. </w:t>
      </w:r>
      <w:r w:rsidRPr="006A5716">
        <w:rPr>
          <w:rFonts w:ascii="Arial" w:hAnsi="Arial" w:cs="Arial"/>
          <w:sz w:val="22"/>
          <w:szCs w:val="22"/>
          <w:lang w:val="en-US"/>
        </w:rPr>
        <w:lastRenderedPageBreak/>
        <w:t xml:space="preserve">The Government has been implementing several nationwide </w:t>
      </w:r>
      <w:proofErr w:type="spellStart"/>
      <w:r w:rsidRPr="006A5716">
        <w:rPr>
          <w:rFonts w:ascii="Arial" w:hAnsi="Arial" w:cs="Arial"/>
          <w:sz w:val="22"/>
          <w:szCs w:val="22"/>
          <w:lang w:val="en-US"/>
        </w:rPr>
        <w:t>programmes</w:t>
      </w:r>
      <w:proofErr w:type="spellEnd"/>
      <w:r w:rsidRPr="006A5716">
        <w:rPr>
          <w:rFonts w:ascii="Arial" w:hAnsi="Arial" w:cs="Arial"/>
          <w:sz w:val="22"/>
          <w:szCs w:val="22"/>
          <w:lang w:val="en-US"/>
        </w:rPr>
        <w:t xml:space="preserve"> aiming to reduce </w:t>
      </w:r>
      <w:proofErr w:type="spellStart"/>
      <w:r w:rsidRPr="006A5716">
        <w:rPr>
          <w:rFonts w:ascii="Arial" w:hAnsi="Arial" w:cs="Arial"/>
          <w:sz w:val="22"/>
          <w:szCs w:val="22"/>
          <w:lang w:val="en-US"/>
        </w:rPr>
        <w:t>neighbourhood</w:t>
      </w:r>
      <w:proofErr w:type="spellEnd"/>
      <w:r w:rsidRPr="006A5716">
        <w:rPr>
          <w:rFonts w:ascii="Arial" w:hAnsi="Arial" w:cs="Arial"/>
          <w:sz w:val="22"/>
          <w:szCs w:val="22"/>
          <w:lang w:val="en-US"/>
        </w:rPr>
        <w:t xml:space="preserve"> segregation. The most recent </w:t>
      </w:r>
      <w:proofErr w:type="spellStart"/>
      <w:r w:rsidRPr="006A5716">
        <w:rPr>
          <w:rFonts w:ascii="Arial" w:hAnsi="Arial" w:cs="Arial"/>
          <w:sz w:val="22"/>
          <w:szCs w:val="22"/>
          <w:lang w:val="en-US"/>
        </w:rPr>
        <w:t>neighbourhood</w:t>
      </w:r>
      <w:proofErr w:type="spellEnd"/>
      <w:r w:rsidRPr="006A5716">
        <w:rPr>
          <w:rFonts w:ascii="Arial" w:hAnsi="Arial" w:cs="Arial"/>
          <w:sz w:val="22"/>
          <w:szCs w:val="22"/>
          <w:lang w:val="en-US"/>
        </w:rPr>
        <w:t xml:space="preserve"> renewal </w:t>
      </w:r>
      <w:proofErr w:type="spellStart"/>
      <w:r w:rsidRPr="006A5716">
        <w:rPr>
          <w:rFonts w:ascii="Arial" w:hAnsi="Arial" w:cs="Arial"/>
          <w:sz w:val="22"/>
          <w:szCs w:val="22"/>
          <w:lang w:val="en-US"/>
        </w:rPr>
        <w:t>programme</w:t>
      </w:r>
      <w:proofErr w:type="spellEnd"/>
      <w:r w:rsidRPr="006A5716">
        <w:rPr>
          <w:rFonts w:ascii="Arial" w:hAnsi="Arial" w:cs="Arial"/>
          <w:sz w:val="22"/>
          <w:szCs w:val="22"/>
          <w:lang w:val="en-US"/>
        </w:rPr>
        <w:t xml:space="preserve"> 2020-2022 is currently in implementation. All </w:t>
      </w:r>
      <w:proofErr w:type="spellStart"/>
      <w:r w:rsidRPr="006A5716">
        <w:rPr>
          <w:rFonts w:ascii="Arial" w:hAnsi="Arial" w:cs="Arial"/>
          <w:sz w:val="22"/>
          <w:szCs w:val="22"/>
          <w:lang w:val="en-US"/>
        </w:rPr>
        <w:t>programmes</w:t>
      </w:r>
      <w:proofErr w:type="spellEnd"/>
      <w:r w:rsidRPr="006A5716">
        <w:rPr>
          <w:rFonts w:ascii="Arial" w:hAnsi="Arial" w:cs="Arial"/>
          <w:sz w:val="22"/>
          <w:szCs w:val="22"/>
          <w:lang w:val="en-US"/>
        </w:rPr>
        <w:t xml:space="preserve"> since year 2008 have been targeted to existing </w:t>
      </w:r>
      <w:proofErr w:type="spellStart"/>
      <w:r w:rsidRPr="006A5716">
        <w:rPr>
          <w:rFonts w:ascii="Arial" w:hAnsi="Arial" w:cs="Arial"/>
          <w:sz w:val="22"/>
          <w:szCs w:val="22"/>
          <w:lang w:val="en-US"/>
        </w:rPr>
        <w:t>neighbourhoods</w:t>
      </w:r>
      <w:proofErr w:type="spellEnd"/>
      <w:r w:rsidRPr="006A5716">
        <w:rPr>
          <w:rFonts w:ascii="Arial" w:hAnsi="Arial" w:cs="Arial"/>
          <w:sz w:val="22"/>
          <w:szCs w:val="22"/>
          <w:lang w:val="en-US"/>
        </w:rPr>
        <w:t xml:space="preserve"> and their residents aiming to improve the wellbeing of the </w:t>
      </w:r>
      <w:proofErr w:type="spellStart"/>
      <w:r w:rsidRPr="006A5716">
        <w:rPr>
          <w:rFonts w:ascii="Arial" w:hAnsi="Arial" w:cs="Arial"/>
          <w:sz w:val="22"/>
          <w:szCs w:val="22"/>
          <w:lang w:val="en-US"/>
        </w:rPr>
        <w:t>neighbourhoods</w:t>
      </w:r>
      <w:proofErr w:type="spellEnd"/>
      <w:r w:rsidRPr="006A5716">
        <w:rPr>
          <w:rFonts w:ascii="Arial" w:hAnsi="Arial" w:cs="Arial"/>
          <w:sz w:val="22"/>
          <w:szCs w:val="22"/>
          <w:lang w:val="en-US"/>
        </w:rPr>
        <w:t xml:space="preserve"> and their residents. </w:t>
      </w:r>
    </w:p>
    <w:p w14:paraId="3DF52D3F" w14:textId="77777777" w:rsidR="00E61C55" w:rsidRDefault="00E61C55" w:rsidP="00E61C55">
      <w:pPr>
        <w:jc w:val="both"/>
        <w:rPr>
          <w:rFonts w:ascii="Arial" w:hAnsi="Arial" w:cs="Arial"/>
          <w:sz w:val="22"/>
          <w:szCs w:val="22"/>
          <w:lang w:val="en-US"/>
        </w:rPr>
      </w:pPr>
    </w:p>
    <w:p w14:paraId="01D5A5AE" w14:textId="77777777" w:rsidR="00E61C55" w:rsidRPr="006A5716" w:rsidRDefault="00E61C55" w:rsidP="00E61C55">
      <w:pPr>
        <w:jc w:val="both"/>
        <w:rPr>
          <w:rFonts w:ascii="Arial" w:hAnsi="Arial" w:cs="Arial"/>
          <w:sz w:val="22"/>
          <w:szCs w:val="22"/>
          <w:lang w:val="en-US"/>
        </w:rPr>
      </w:pPr>
      <w:r w:rsidRPr="006A5716">
        <w:rPr>
          <w:rFonts w:ascii="Arial" w:hAnsi="Arial" w:cs="Arial"/>
          <w:sz w:val="22"/>
          <w:szCs w:val="22"/>
          <w:lang w:val="en-US"/>
        </w:rPr>
        <w:t>One of the key principles of the development work is to create inclusion by giving all population groups equal possibility to participate and to have an effect to renewal plans. Therefore, there have not been any human right</w:t>
      </w:r>
      <w:r>
        <w:rPr>
          <w:rFonts w:ascii="Arial" w:hAnsi="Arial" w:cs="Arial"/>
          <w:sz w:val="22"/>
          <w:szCs w:val="22"/>
          <w:lang w:val="en-US"/>
        </w:rPr>
        <w:t>s</w:t>
      </w:r>
      <w:r w:rsidRPr="006A5716">
        <w:rPr>
          <w:rFonts w:ascii="Arial" w:hAnsi="Arial" w:cs="Arial"/>
          <w:sz w:val="22"/>
          <w:szCs w:val="22"/>
          <w:lang w:val="en-US"/>
        </w:rPr>
        <w:t xml:space="preserve"> concerns. The levels of socioeconomic and especially ethnic segregation are very modest in Finland compared to any other EU country. According to the laws and official guidelines governing urban planning and housing, all people must be treated equally and all have a right to participate in urban planning.</w:t>
      </w:r>
    </w:p>
    <w:p w14:paraId="7C41A4E0" w14:textId="77777777" w:rsidR="00E61C55" w:rsidRPr="006A5716" w:rsidRDefault="00E61C55" w:rsidP="00E61C55">
      <w:pPr>
        <w:jc w:val="both"/>
        <w:rPr>
          <w:i/>
          <w:szCs w:val="24"/>
          <w:lang w:val="en-US"/>
        </w:rPr>
      </w:pPr>
    </w:p>
    <w:p w14:paraId="7D5F2D12" w14:textId="77777777" w:rsidR="00E61C55" w:rsidRDefault="00E61C55" w:rsidP="00E61C55">
      <w:pPr>
        <w:jc w:val="both"/>
        <w:rPr>
          <w:rFonts w:ascii="Arial" w:hAnsi="Arial" w:cs="Arial"/>
          <w:i/>
          <w:sz w:val="22"/>
          <w:szCs w:val="22"/>
          <w:lang w:val="en-US"/>
        </w:rPr>
      </w:pPr>
      <w:r w:rsidRPr="006A5716">
        <w:rPr>
          <w:rFonts w:ascii="Arial" w:hAnsi="Arial" w:cs="Arial"/>
          <w:i/>
          <w:sz w:val="22"/>
          <w:szCs w:val="22"/>
          <w:lang w:val="en-US"/>
        </w:rPr>
        <w:t>24. What is the role of the media, as well as other non- governmental organizations, of religious and governmental institutions, in fostering a climate that reduces or exacerbates discrimination in relation to housing and segregation?</w:t>
      </w:r>
    </w:p>
    <w:p w14:paraId="4750FA82" w14:textId="77777777" w:rsidR="00E61C55" w:rsidRPr="006A5716" w:rsidRDefault="00E61C55" w:rsidP="00E61C55">
      <w:pPr>
        <w:jc w:val="both"/>
        <w:rPr>
          <w:rFonts w:ascii="Arial" w:hAnsi="Arial" w:cs="Arial"/>
          <w:i/>
          <w:sz w:val="22"/>
          <w:szCs w:val="22"/>
          <w:lang w:val="en-US"/>
        </w:rPr>
      </w:pPr>
    </w:p>
    <w:p w14:paraId="08A72785" w14:textId="77777777" w:rsidR="00E61C55" w:rsidRPr="006A5716" w:rsidRDefault="00E61C55" w:rsidP="00E61C55">
      <w:pPr>
        <w:jc w:val="both"/>
        <w:rPr>
          <w:rFonts w:ascii="Arial" w:hAnsi="Arial" w:cs="Arial"/>
          <w:sz w:val="22"/>
          <w:szCs w:val="22"/>
          <w:lang w:val="en-US"/>
        </w:rPr>
      </w:pPr>
      <w:r w:rsidRPr="006A5716">
        <w:rPr>
          <w:rFonts w:ascii="Arial" w:hAnsi="Arial" w:cs="Arial"/>
          <w:sz w:val="22"/>
          <w:szCs w:val="22"/>
          <w:lang w:val="en-US"/>
        </w:rPr>
        <w:t xml:space="preserve">The mainstream media and the majority of non-governmental </w:t>
      </w:r>
      <w:proofErr w:type="spellStart"/>
      <w:r w:rsidRPr="006A5716">
        <w:rPr>
          <w:rFonts w:ascii="Arial" w:hAnsi="Arial" w:cs="Arial"/>
          <w:sz w:val="22"/>
          <w:szCs w:val="22"/>
          <w:lang w:val="en-US"/>
        </w:rPr>
        <w:t>organisations</w:t>
      </w:r>
      <w:proofErr w:type="spellEnd"/>
      <w:r w:rsidRPr="006A5716">
        <w:rPr>
          <w:rFonts w:ascii="Arial" w:hAnsi="Arial" w:cs="Arial"/>
          <w:sz w:val="22"/>
          <w:szCs w:val="22"/>
          <w:lang w:val="en-US"/>
        </w:rPr>
        <w:t xml:space="preserve"> are supporting a non-discrimination social climate. </w:t>
      </w:r>
    </w:p>
    <w:p w14:paraId="0FA3C813" w14:textId="77777777" w:rsidR="00E61C55" w:rsidRPr="006A5716" w:rsidRDefault="00E61C55" w:rsidP="00E61C55">
      <w:pPr>
        <w:jc w:val="both"/>
        <w:rPr>
          <w:rFonts w:ascii="Arial" w:hAnsi="Arial" w:cs="Arial"/>
          <w:sz w:val="22"/>
          <w:szCs w:val="22"/>
          <w:lang w:val="en-US"/>
        </w:rPr>
      </w:pPr>
    </w:p>
    <w:p w14:paraId="193F4191" w14:textId="77777777" w:rsidR="00E61C55" w:rsidRPr="00927B74" w:rsidRDefault="00E61C55" w:rsidP="00E61C55">
      <w:pPr>
        <w:ind w:left="360"/>
        <w:jc w:val="both"/>
        <w:rPr>
          <w:rFonts w:ascii="Arial" w:hAnsi="Arial" w:cs="Arial"/>
          <w:sz w:val="22"/>
          <w:szCs w:val="22"/>
          <w:lang w:val="en-US"/>
        </w:rPr>
      </w:pPr>
    </w:p>
    <w:p w14:paraId="2AC32826" w14:textId="77777777" w:rsidR="00E61C55" w:rsidRPr="00927B74" w:rsidRDefault="00E61C55" w:rsidP="00E61C55">
      <w:pPr>
        <w:jc w:val="both"/>
        <w:rPr>
          <w:rFonts w:ascii="Arial" w:hAnsi="Arial" w:cs="Arial"/>
          <w:b/>
          <w:i/>
          <w:sz w:val="22"/>
          <w:szCs w:val="22"/>
          <w:lang w:val="en-US"/>
        </w:rPr>
      </w:pPr>
      <w:r w:rsidRPr="00927B74">
        <w:rPr>
          <w:rFonts w:ascii="Arial" w:hAnsi="Arial" w:cs="Arial"/>
          <w:b/>
          <w:i/>
          <w:sz w:val="22"/>
          <w:szCs w:val="22"/>
          <w:lang w:val="en-US"/>
        </w:rPr>
        <w:t xml:space="preserve">DATA ON DISCRIMINATION IN HOUSING AND SPATIAL/RESIDENTIAL SEGREGATION </w:t>
      </w:r>
    </w:p>
    <w:p w14:paraId="1BE816CB" w14:textId="77777777" w:rsidR="00E61C55" w:rsidRPr="00927B74" w:rsidRDefault="00E61C55" w:rsidP="00E61C55">
      <w:pPr>
        <w:jc w:val="both"/>
        <w:rPr>
          <w:rFonts w:ascii="Arial" w:hAnsi="Arial" w:cs="Arial"/>
          <w:i/>
          <w:sz w:val="22"/>
          <w:szCs w:val="22"/>
          <w:lang w:val="en-US"/>
        </w:rPr>
      </w:pPr>
    </w:p>
    <w:p w14:paraId="31BF2D2F" w14:textId="77777777" w:rsidR="00E61C55" w:rsidRPr="00927B74" w:rsidRDefault="00E61C55" w:rsidP="00E61C55">
      <w:pPr>
        <w:jc w:val="both"/>
        <w:rPr>
          <w:rFonts w:ascii="Arial" w:hAnsi="Arial" w:cs="Arial"/>
          <w:i/>
          <w:sz w:val="22"/>
          <w:szCs w:val="22"/>
          <w:lang w:val="en-US"/>
        </w:rPr>
      </w:pPr>
      <w:r w:rsidRPr="00927B74">
        <w:rPr>
          <w:rFonts w:ascii="Arial" w:hAnsi="Arial" w:cs="Arial"/>
          <w:i/>
          <w:sz w:val="22"/>
          <w:szCs w:val="22"/>
          <w:lang w:val="en-US"/>
        </w:rPr>
        <w:t xml:space="preserve">28. </w:t>
      </w:r>
      <w:proofErr w:type="gramStart"/>
      <w:r w:rsidRPr="00927B74">
        <w:rPr>
          <w:rFonts w:ascii="Arial" w:hAnsi="Arial" w:cs="Arial"/>
          <w:i/>
          <w:sz w:val="22"/>
          <w:szCs w:val="22"/>
          <w:lang w:val="en-US"/>
        </w:rPr>
        <w:t>Is</w:t>
      </w:r>
      <w:proofErr w:type="gramEnd"/>
      <w:r w:rsidRPr="00927B74">
        <w:rPr>
          <w:rFonts w:ascii="Arial" w:hAnsi="Arial" w:cs="Arial"/>
          <w:i/>
          <w:sz w:val="22"/>
          <w:szCs w:val="22"/>
          <w:lang w:val="en-US"/>
        </w:rPr>
        <w:t xml:space="preserve"> any data on housing disparities, housing discrimination and spatial segregation collected and publicly available? If so where can it be accessed? Are there any practical or legal barriers to collect and share such information in your country?</w:t>
      </w:r>
    </w:p>
    <w:p w14:paraId="0E3529D6" w14:textId="77777777" w:rsidR="00E61C55" w:rsidRPr="00927B74" w:rsidRDefault="00E61C55" w:rsidP="00E61C55">
      <w:pPr>
        <w:jc w:val="both"/>
        <w:rPr>
          <w:rFonts w:ascii="Arial" w:hAnsi="Arial" w:cs="Arial"/>
          <w:i/>
          <w:sz w:val="22"/>
          <w:szCs w:val="22"/>
          <w:lang w:val="en-US"/>
        </w:rPr>
      </w:pPr>
    </w:p>
    <w:p w14:paraId="2892AE57" w14:textId="77777777" w:rsidR="00E61C55" w:rsidRPr="00927B74" w:rsidRDefault="00E61C55" w:rsidP="00E61C55">
      <w:pPr>
        <w:jc w:val="both"/>
        <w:rPr>
          <w:rFonts w:ascii="Arial" w:hAnsi="Arial" w:cs="Arial"/>
          <w:sz w:val="22"/>
          <w:szCs w:val="22"/>
          <w:lang w:val="en-US"/>
        </w:rPr>
      </w:pPr>
      <w:r w:rsidRPr="006A5716">
        <w:rPr>
          <w:rFonts w:ascii="Arial" w:hAnsi="Arial" w:cs="Arial"/>
          <w:sz w:val="22"/>
          <w:szCs w:val="22"/>
          <w:lang w:val="en-US"/>
        </w:rPr>
        <w:t>All statistics produced by the Statistics Finland are publicly available. Statistics Finland’s task is to process data accumulated from various data sources into statistics and bring them to the benefit of all Finns: citizens, decision-makers, researchers and other information users. Some specific or detailed statistic information might be rather expensive to use. All research publications are available in scientific journal or other publications.</w:t>
      </w:r>
    </w:p>
    <w:p w14:paraId="1E3710E8" w14:textId="77777777" w:rsidR="00E61C55" w:rsidRPr="002D7998" w:rsidRDefault="00E61C55" w:rsidP="00E61C55">
      <w:pPr>
        <w:jc w:val="both"/>
        <w:rPr>
          <w:szCs w:val="24"/>
          <w:lang w:val="en-US"/>
        </w:rPr>
      </w:pPr>
    </w:p>
    <w:p w14:paraId="41904AD4" w14:textId="77777777" w:rsidR="00E61C55" w:rsidRDefault="00E61C55" w:rsidP="00E61C55">
      <w:pPr>
        <w:jc w:val="both"/>
        <w:rPr>
          <w:rFonts w:ascii="Arial" w:hAnsi="Arial" w:cs="Arial"/>
          <w:i/>
          <w:sz w:val="22"/>
          <w:szCs w:val="22"/>
          <w:lang w:val="en-US"/>
        </w:rPr>
      </w:pPr>
      <w:r w:rsidRPr="00927B74">
        <w:rPr>
          <w:rFonts w:ascii="Arial" w:hAnsi="Arial" w:cs="Arial"/>
          <w:i/>
          <w:sz w:val="22"/>
          <w:szCs w:val="22"/>
          <w:lang w:val="en-US"/>
        </w:rPr>
        <w:lastRenderedPageBreak/>
        <w:t xml:space="preserve">29. Can you kindly share any studies or surveys by local, regional or national Governments or by other institutions to understand better housing disparities, housing discrimination and spatial segregation and how it can be addressed (e.g. title and link, or kindly submit document). </w:t>
      </w:r>
    </w:p>
    <w:p w14:paraId="579389D8" w14:textId="77777777" w:rsidR="00E61C55" w:rsidRDefault="00E61C55" w:rsidP="00E61C55">
      <w:pPr>
        <w:jc w:val="both"/>
        <w:rPr>
          <w:rFonts w:ascii="Arial" w:hAnsi="Arial" w:cs="Arial"/>
          <w:i/>
          <w:sz w:val="22"/>
          <w:szCs w:val="22"/>
          <w:lang w:val="en-US"/>
        </w:rPr>
      </w:pPr>
    </w:p>
    <w:p w14:paraId="521C13B6" w14:textId="77777777" w:rsidR="00E61C55" w:rsidRDefault="00E61C55" w:rsidP="00E61C55">
      <w:pPr>
        <w:jc w:val="both"/>
        <w:rPr>
          <w:rFonts w:ascii="Arial" w:hAnsi="Arial" w:cs="Arial"/>
          <w:sz w:val="22"/>
          <w:szCs w:val="22"/>
          <w:lang w:val="en-US"/>
        </w:rPr>
      </w:pPr>
      <w:r w:rsidRPr="00927B74">
        <w:rPr>
          <w:rFonts w:ascii="Arial" w:hAnsi="Arial" w:cs="Arial"/>
          <w:sz w:val="22"/>
          <w:szCs w:val="22"/>
          <w:lang w:val="en-US"/>
        </w:rPr>
        <w:t xml:space="preserve">In Finland spatial segregation means </w:t>
      </w:r>
      <w:proofErr w:type="spellStart"/>
      <w:r w:rsidRPr="00927B74">
        <w:rPr>
          <w:rFonts w:ascii="Arial" w:hAnsi="Arial" w:cs="Arial"/>
          <w:sz w:val="22"/>
          <w:szCs w:val="22"/>
          <w:lang w:val="en-US"/>
        </w:rPr>
        <w:t>neighbourhoods</w:t>
      </w:r>
      <w:proofErr w:type="spellEnd"/>
      <w:r w:rsidRPr="00927B74">
        <w:rPr>
          <w:rFonts w:ascii="Arial" w:hAnsi="Arial" w:cs="Arial"/>
          <w:sz w:val="22"/>
          <w:szCs w:val="22"/>
          <w:lang w:val="en-US"/>
        </w:rPr>
        <w:t xml:space="preserve"> socioeconomic segregation or housing market disparity between different regions of Finland. Recently there is and have been several research projects carrying research into </w:t>
      </w:r>
      <w:proofErr w:type="spellStart"/>
      <w:r w:rsidRPr="00927B74">
        <w:rPr>
          <w:rFonts w:ascii="Arial" w:hAnsi="Arial" w:cs="Arial"/>
          <w:sz w:val="22"/>
          <w:szCs w:val="22"/>
          <w:lang w:val="en-US"/>
        </w:rPr>
        <w:t>neighbourhood</w:t>
      </w:r>
      <w:proofErr w:type="spellEnd"/>
      <w:r w:rsidRPr="00927B74">
        <w:rPr>
          <w:rFonts w:ascii="Arial" w:hAnsi="Arial" w:cs="Arial"/>
          <w:sz w:val="22"/>
          <w:szCs w:val="22"/>
          <w:lang w:val="en-US"/>
        </w:rPr>
        <w:t xml:space="preserve"> segregation. Therefore a comprehensive list of publication cannot be given. </w:t>
      </w:r>
    </w:p>
    <w:p w14:paraId="1A2D0AB5" w14:textId="77777777" w:rsidR="00E61C55" w:rsidRPr="00523429" w:rsidRDefault="00E61C55" w:rsidP="00E61C55">
      <w:pPr>
        <w:jc w:val="both"/>
        <w:rPr>
          <w:rFonts w:ascii="Arial" w:hAnsi="Arial" w:cs="Arial"/>
          <w:sz w:val="22"/>
          <w:szCs w:val="22"/>
          <w:lang w:val="en-US"/>
        </w:rPr>
      </w:pPr>
    </w:p>
    <w:p w14:paraId="4D007035" w14:textId="77777777" w:rsidR="00E61C55" w:rsidRDefault="00E61C55" w:rsidP="00E61C55">
      <w:pPr>
        <w:jc w:val="both"/>
        <w:rPr>
          <w:rFonts w:ascii="Arial" w:hAnsi="Arial" w:cs="Arial"/>
          <w:sz w:val="22"/>
          <w:szCs w:val="22"/>
          <w:lang w:val="en-US"/>
        </w:rPr>
      </w:pPr>
      <w:r w:rsidRPr="00927B74">
        <w:rPr>
          <w:rFonts w:ascii="Arial" w:hAnsi="Arial" w:cs="Arial"/>
          <w:sz w:val="22"/>
          <w:szCs w:val="22"/>
          <w:lang w:val="en-US"/>
        </w:rPr>
        <w:t>Some research publications:</w:t>
      </w:r>
    </w:p>
    <w:p w14:paraId="24DD92C6" w14:textId="77777777" w:rsidR="00E61C55" w:rsidRPr="00927B74" w:rsidRDefault="00E61C55" w:rsidP="00E61C55">
      <w:pPr>
        <w:jc w:val="both"/>
        <w:rPr>
          <w:rFonts w:ascii="Arial" w:hAnsi="Arial" w:cs="Arial"/>
          <w:sz w:val="22"/>
          <w:szCs w:val="22"/>
          <w:lang w:val="en-US"/>
        </w:rPr>
      </w:pPr>
    </w:p>
    <w:p w14:paraId="63547086" w14:textId="77777777" w:rsidR="00E61C55" w:rsidRPr="00927B74" w:rsidRDefault="00E61C55" w:rsidP="00E61C55">
      <w:pPr>
        <w:pStyle w:val="ListParagraph"/>
        <w:numPr>
          <w:ilvl w:val="0"/>
          <w:numId w:val="17"/>
        </w:numPr>
        <w:jc w:val="both"/>
        <w:rPr>
          <w:rFonts w:ascii="Arial" w:hAnsi="Arial" w:cs="Arial"/>
          <w:sz w:val="22"/>
          <w:szCs w:val="22"/>
          <w:lang w:val="de-AT"/>
        </w:rPr>
      </w:pPr>
      <w:r w:rsidRPr="00927B74">
        <w:rPr>
          <w:rFonts w:ascii="Arial" w:hAnsi="Arial" w:cs="Arial"/>
          <w:sz w:val="22"/>
          <w:szCs w:val="22"/>
        </w:rPr>
        <w:t xml:space="preserve">Kauppinen TM, van Ham M, Bernelius V. (2021). </w:t>
      </w:r>
      <w:r w:rsidRPr="00927B74">
        <w:rPr>
          <w:rFonts w:ascii="Arial" w:hAnsi="Arial" w:cs="Arial"/>
          <w:sz w:val="22"/>
          <w:szCs w:val="22"/>
          <w:lang w:val="en-US"/>
        </w:rPr>
        <w:t xml:space="preserve">Native-origin families with children as drivers of ethnic residential segregation. </w:t>
      </w:r>
      <w:r w:rsidRPr="00927B74">
        <w:rPr>
          <w:rFonts w:ascii="Arial" w:hAnsi="Arial" w:cs="Arial"/>
          <w:sz w:val="22"/>
          <w:szCs w:val="22"/>
          <w:lang w:val="de-AT"/>
        </w:rPr>
        <w:t xml:space="preserve">Housing Studies 1/2021, online. </w:t>
      </w:r>
      <w:r w:rsidR="00211F65">
        <w:rPr>
          <w:rStyle w:val="Hyperlink"/>
          <w:rFonts w:ascii="Arial" w:hAnsi="Arial" w:cs="Arial"/>
          <w:sz w:val="22"/>
          <w:szCs w:val="22"/>
          <w:lang w:val="de-AT"/>
        </w:rPr>
        <w:fldChar w:fldCharType="begin"/>
      </w:r>
      <w:r w:rsidR="00211F65">
        <w:rPr>
          <w:rStyle w:val="Hyperlink"/>
          <w:rFonts w:ascii="Arial" w:hAnsi="Arial" w:cs="Arial"/>
          <w:sz w:val="22"/>
          <w:szCs w:val="22"/>
          <w:lang w:val="de-AT"/>
        </w:rPr>
        <w:instrText xml:space="preserve"> HYPERLINK "https://www.tandfonline.com/doi/full/10.1080/02673037.2020.1857707" </w:instrText>
      </w:r>
      <w:r w:rsidR="00211F65">
        <w:rPr>
          <w:rStyle w:val="Hyperlink"/>
          <w:rFonts w:ascii="Arial" w:hAnsi="Arial" w:cs="Arial"/>
          <w:sz w:val="22"/>
          <w:szCs w:val="22"/>
          <w:lang w:val="de-AT"/>
        </w:rPr>
        <w:fldChar w:fldCharType="separate"/>
      </w:r>
      <w:r w:rsidRPr="00927B74">
        <w:rPr>
          <w:rStyle w:val="Hyperlink"/>
          <w:rFonts w:ascii="Arial" w:hAnsi="Arial" w:cs="Arial"/>
          <w:sz w:val="22"/>
          <w:szCs w:val="22"/>
          <w:lang w:val="de-AT"/>
        </w:rPr>
        <w:t>https://www.tandfonline.com/doi/full/10.1080/02673037.2020.1857707</w:t>
      </w:r>
      <w:r w:rsidR="00211F65">
        <w:rPr>
          <w:rStyle w:val="Hyperlink"/>
          <w:rFonts w:ascii="Arial" w:hAnsi="Arial" w:cs="Arial"/>
          <w:sz w:val="22"/>
          <w:szCs w:val="22"/>
          <w:lang w:val="de-AT"/>
        </w:rPr>
        <w:fldChar w:fldCharType="end"/>
      </w:r>
    </w:p>
    <w:p w14:paraId="396DA02B" w14:textId="77777777" w:rsidR="00E61C55" w:rsidRPr="00927B74" w:rsidRDefault="00E61C55" w:rsidP="00E61C55">
      <w:pPr>
        <w:pStyle w:val="ListParagraph"/>
        <w:numPr>
          <w:ilvl w:val="0"/>
          <w:numId w:val="17"/>
        </w:numPr>
        <w:jc w:val="both"/>
        <w:rPr>
          <w:rFonts w:ascii="Arial" w:hAnsi="Arial" w:cs="Arial"/>
          <w:sz w:val="22"/>
          <w:szCs w:val="22"/>
          <w:lang w:val="en-US"/>
        </w:rPr>
      </w:pPr>
      <w:r w:rsidRPr="00927B74">
        <w:rPr>
          <w:rFonts w:ascii="Arial" w:hAnsi="Arial" w:cs="Arial"/>
          <w:sz w:val="22"/>
          <w:szCs w:val="22"/>
          <w:lang w:val="de-AT"/>
        </w:rPr>
        <w:t xml:space="preserve">Rahnu L, Puur A, Kleinepier T, Tammaru T (2020). </w:t>
      </w:r>
      <w:r w:rsidRPr="00927B74">
        <w:rPr>
          <w:rFonts w:ascii="Arial" w:hAnsi="Arial" w:cs="Arial"/>
          <w:sz w:val="22"/>
          <w:szCs w:val="22"/>
          <w:lang w:val="en-US"/>
        </w:rPr>
        <w:t xml:space="preserve">The role of </w:t>
      </w:r>
      <w:proofErr w:type="spellStart"/>
      <w:r w:rsidRPr="00927B74">
        <w:rPr>
          <w:rFonts w:ascii="Arial" w:hAnsi="Arial" w:cs="Arial"/>
          <w:sz w:val="22"/>
          <w:szCs w:val="22"/>
          <w:lang w:val="en-US"/>
        </w:rPr>
        <w:t>neighbourhood</w:t>
      </w:r>
      <w:proofErr w:type="spellEnd"/>
      <w:r w:rsidRPr="00927B74">
        <w:rPr>
          <w:rFonts w:ascii="Arial" w:hAnsi="Arial" w:cs="Arial"/>
          <w:sz w:val="22"/>
          <w:szCs w:val="22"/>
          <w:lang w:val="en-US"/>
        </w:rPr>
        <w:t xml:space="preserve"> and workplace ethnic contexts in the formation of inter-ethnic partnerships: A native majority perspective. European Journal of </w:t>
      </w:r>
      <w:proofErr w:type="gramStart"/>
      <w:r w:rsidRPr="00927B74">
        <w:rPr>
          <w:rFonts w:ascii="Arial" w:hAnsi="Arial" w:cs="Arial"/>
          <w:sz w:val="22"/>
          <w:szCs w:val="22"/>
          <w:lang w:val="en-US"/>
        </w:rPr>
        <w:t>Population  36</w:t>
      </w:r>
      <w:proofErr w:type="gramEnd"/>
      <w:r w:rsidRPr="00927B74">
        <w:rPr>
          <w:rFonts w:ascii="Arial" w:hAnsi="Arial" w:cs="Arial"/>
          <w:sz w:val="22"/>
          <w:szCs w:val="22"/>
          <w:lang w:val="en-US"/>
        </w:rPr>
        <w:t xml:space="preserve">, pages 247–276. </w:t>
      </w:r>
      <w:hyperlink r:id="rId7" w:history="1">
        <w:r w:rsidRPr="00927B74">
          <w:rPr>
            <w:rStyle w:val="Hyperlink"/>
            <w:rFonts w:ascii="Arial" w:hAnsi="Arial" w:cs="Arial"/>
            <w:sz w:val="22"/>
            <w:szCs w:val="22"/>
            <w:lang w:val="en-US"/>
          </w:rPr>
          <w:t>https://link.springer.com/article/10.1007/s10680-019-09528-x</w:t>
        </w:r>
      </w:hyperlink>
    </w:p>
    <w:p w14:paraId="3DA66325" w14:textId="77777777" w:rsidR="00E61C55" w:rsidRPr="00927B74" w:rsidRDefault="00E61C55" w:rsidP="00E61C55">
      <w:pPr>
        <w:pStyle w:val="ListParagraph"/>
        <w:numPr>
          <w:ilvl w:val="0"/>
          <w:numId w:val="17"/>
        </w:numPr>
        <w:jc w:val="both"/>
        <w:rPr>
          <w:rFonts w:ascii="Arial" w:hAnsi="Arial" w:cs="Arial"/>
          <w:sz w:val="22"/>
          <w:szCs w:val="22"/>
          <w:lang w:val="en-US"/>
        </w:rPr>
      </w:pPr>
      <w:r w:rsidRPr="00927B74">
        <w:rPr>
          <w:rFonts w:ascii="Arial" w:hAnsi="Arial" w:cs="Arial"/>
          <w:sz w:val="22"/>
          <w:szCs w:val="22"/>
        </w:rPr>
        <w:t xml:space="preserve">Kauppinen TM, van Ham M (2019). </w:t>
      </w:r>
      <w:r w:rsidRPr="00927B74">
        <w:rPr>
          <w:rFonts w:ascii="Arial" w:hAnsi="Arial" w:cs="Arial"/>
          <w:sz w:val="22"/>
          <w:szCs w:val="22"/>
          <w:lang w:val="en-US"/>
        </w:rPr>
        <w:t xml:space="preserve">Unravelling the demographic dynamics of ethnic residential segregation. Population, Space and Place 25:2, e2193. </w:t>
      </w:r>
      <w:hyperlink r:id="rId8" w:history="1">
        <w:r w:rsidRPr="00927B74">
          <w:rPr>
            <w:rStyle w:val="Hyperlink"/>
            <w:rFonts w:ascii="Arial" w:hAnsi="Arial" w:cs="Arial"/>
            <w:sz w:val="22"/>
            <w:szCs w:val="22"/>
            <w:lang w:val="en-US"/>
          </w:rPr>
          <w:t>https://doi.org/10.1002/psp.2193</w:t>
        </w:r>
      </w:hyperlink>
      <w:r w:rsidRPr="00927B74">
        <w:rPr>
          <w:rFonts w:ascii="Arial" w:hAnsi="Arial" w:cs="Arial"/>
          <w:sz w:val="22"/>
          <w:szCs w:val="22"/>
          <w:lang w:val="en-US"/>
        </w:rPr>
        <w:t>.</w:t>
      </w:r>
    </w:p>
    <w:p w14:paraId="33364DE5" w14:textId="77777777" w:rsidR="00E61C55" w:rsidRPr="00927B74" w:rsidRDefault="00E61C55" w:rsidP="00E61C55">
      <w:pPr>
        <w:pStyle w:val="ListParagraph"/>
        <w:numPr>
          <w:ilvl w:val="0"/>
          <w:numId w:val="17"/>
        </w:numPr>
        <w:jc w:val="both"/>
        <w:rPr>
          <w:rFonts w:ascii="Arial" w:hAnsi="Arial" w:cs="Arial"/>
          <w:sz w:val="22"/>
          <w:szCs w:val="22"/>
          <w:lang w:val="en-US"/>
        </w:rPr>
      </w:pPr>
      <w:r w:rsidRPr="00927B74">
        <w:rPr>
          <w:rFonts w:ascii="Arial" w:hAnsi="Arial" w:cs="Arial"/>
          <w:sz w:val="22"/>
          <w:szCs w:val="22"/>
        </w:rPr>
        <w:t xml:space="preserve">Vaalavuo M, van Ham M, Kauppinen TM (2019). </w:t>
      </w:r>
      <w:r w:rsidRPr="00927B74">
        <w:rPr>
          <w:rFonts w:ascii="Arial" w:hAnsi="Arial" w:cs="Arial"/>
          <w:sz w:val="22"/>
          <w:szCs w:val="22"/>
          <w:lang w:val="en-US"/>
        </w:rPr>
        <w:t xml:space="preserve">Income mobility and moving to a better </w:t>
      </w:r>
      <w:proofErr w:type="spellStart"/>
      <w:r w:rsidRPr="00927B74">
        <w:rPr>
          <w:rFonts w:ascii="Arial" w:hAnsi="Arial" w:cs="Arial"/>
          <w:sz w:val="22"/>
          <w:szCs w:val="22"/>
          <w:lang w:val="en-US"/>
        </w:rPr>
        <w:t>neighbourhood</w:t>
      </w:r>
      <w:proofErr w:type="spellEnd"/>
      <w:r w:rsidRPr="00927B74">
        <w:rPr>
          <w:rFonts w:ascii="Arial" w:hAnsi="Arial" w:cs="Arial"/>
          <w:sz w:val="22"/>
          <w:szCs w:val="22"/>
          <w:lang w:val="en-US"/>
        </w:rPr>
        <w:t xml:space="preserve"> – an enquiry into ethnic differences in Finland. European Sociological Review 35:4, 538-551.</w:t>
      </w:r>
      <w:r w:rsidRPr="00927B74">
        <w:rPr>
          <w:rFonts w:ascii="Arial" w:hAnsi="Arial" w:cs="Arial"/>
          <w:sz w:val="22"/>
          <w:szCs w:val="22"/>
        </w:rPr>
        <w:t xml:space="preserve"> </w:t>
      </w:r>
      <w:hyperlink r:id="rId9" w:history="1">
        <w:r w:rsidRPr="00927B74">
          <w:rPr>
            <w:rStyle w:val="Hyperlink"/>
            <w:rFonts w:ascii="Arial" w:hAnsi="Arial" w:cs="Arial"/>
            <w:sz w:val="22"/>
            <w:szCs w:val="22"/>
            <w:lang w:val="en-US"/>
          </w:rPr>
          <w:t>https://academic.oup.com/esr/article/35/4/538/5480387</w:t>
        </w:r>
      </w:hyperlink>
    </w:p>
    <w:p w14:paraId="455720A9" w14:textId="77777777" w:rsidR="00E61C55" w:rsidRPr="00927B74" w:rsidRDefault="00E61C55" w:rsidP="00E61C55">
      <w:pPr>
        <w:pStyle w:val="ListParagraph"/>
        <w:numPr>
          <w:ilvl w:val="0"/>
          <w:numId w:val="17"/>
        </w:numPr>
        <w:jc w:val="both"/>
        <w:rPr>
          <w:rStyle w:val="Hyperlink"/>
          <w:rFonts w:ascii="Arial" w:hAnsi="Arial" w:cs="Arial"/>
          <w:color w:val="auto"/>
          <w:sz w:val="22"/>
          <w:szCs w:val="22"/>
          <w:u w:val="none"/>
          <w:lang w:val="en-US"/>
        </w:rPr>
      </w:pPr>
      <w:proofErr w:type="spellStart"/>
      <w:r w:rsidRPr="00927B74">
        <w:rPr>
          <w:rFonts w:ascii="Arial" w:hAnsi="Arial" w:cs="Arial"/>
          <w:sz w:val="22"/>
          <w:szCs w:val="22"/>
          <w:lang w:val="en-US"/>
        </w:rPr>
        <w:t>Tammaru</w:t>
      </w:r>
      <w:proofErr w:type="spellEnd"/>
      <w:r w:rsidRPr="00927B74">
        <w:rPr>
          <w:rFonts w:ascii="Arial" w:hAnsi="Arial" w:cs="Arial"/>
          <w:sz w:val="22"/>
          <w:szCs w:val="22"/>
          <w:lang w:val="en-US"/>
        </w:rPr>
        <w:t xml:space="preserve"> T, </w:t>
      </w:r>
      <w:proofErr w:type="spellStart"/>
      <w:r w:rsidRPr="00927B74">
        <w:rPr>
          <w:rFonts w:ascii="Arial" w:hAnsi="Arial" w:cs="Arial"/>
          <w:sz w:val="22"/>
          <w:szCs w:val="22"/>
          <w:lang w:val="en-US"/>
        </w:rPr>
        <w:t>Marcinczak</w:t>
      </w:r>
      <w:proofErr w:type="spellEnd"/>
      <w:r w:rsidRPr="00927B74">
        <w:rPr>
          <w:rFonts w:ascii="Arial" w:hAnsi="Arial" w:cs="Arial"/>
          <w:sz w:val="22"/>
          <w:szCs w:val="22"/>
          <w:lang w:val="en-US"/>
        </w:rPr>
        <w:t xml:space="preserve"> S, van Ham M, </w:t>
      </w:r>
      <w:proofErr w:type="spellStart"/>
      <w:r w:rsidRPr="00927B74">
        <w:rPr>
          <w:rFonts w:ascii="Arial" w:hAnsi="Arial" w:cs="Arial"/>
          <w:sz w:val="22"/>
          <w:szCs w:val="22"/>
          <w:lang w:val="en-US"/>
        </w:rPr>
        <w:t>Aunap</w:t>
      </w:r>
      <w:proofErr w:type="spellEnd"/>
      <w:r w:rsidRPr="00927B74">
        <w:rPr>
          <w:rFonts w:ascii="Arial" w:hAnsi="Arial" w:cs="Arial"/>
          <w:sz w:val="22"/>
          <w:szCs w:val="22"/>
          <w:lang w:val="en-US"/>
        </w:rPr>
        <w:t xml:space="preserve"> R, Janssen H (2018). Relationship between income inequality and residential segregation between socioeconomic groups. Regional Studies Volume 54, 2020 - Issue 4, p. 450-461. </w:t>
      </w:r>
      <w:hyperlink r:id="rId10" w:history="1">
        <w:r w:rsidRPr="00927B74">
          <w:rPr>
            <w:rStyle w:val="Hyperlink"/>
            <w:rFonts w:ascii="Arial" w:hAnsi="Arial" w:cs="Arial"/>
            <w:sz w:val="22"/>
            <w:szCs w:val="22"/>
            <w:lang w:val="en-US"/>
          </w:rPr>
          <w:t>https://www.tandfonline.com/doi/full/10.1080/00343404.2018.1540035</w:t>
        </w:r>
      </w:hyperlink>
    </w:p>
    <w:p w14:paraId="3A8CBE66" w14:textId="77777777" w:rsidR="00E61C55" w:rsidRPr="00927B74" w:rsidRDefault="00E61C55" w:rsidP="00E61C55">
      <w:pPr>
        <w:pStyle w:val="ListParagraph"/>
        <w:jc w:val="both"/>
        <w:rPr>
          <w:rFonts w:ascii="Arial" w:hAnsi="Arial" w:cs="Arial"/>
          <w:sz w:val="22"/>
          <w:szCs w:val="22"/>
          <w:lang w:val="en-US"/>
        </w:rPr>
      </w:pPr>
    </w:p>
    <w:p w14:paraId="44712213" w14:textId="77777777" w:rsidR="00E61C55" w:rsidRDefault="00E61C55" w:rsidP="00E61C55">
      <w:pPr>
        <w:ind w:left="360"/>
        <w:jc w:val="both"/>
        <w:rPr>
          <w:rFonts w:ascii="Arial" w:hAnsi="Arial" w:cs="Arial"/>
          <w:sz w:val="22"/>
          <w:szCs w:val="22"/>
          <w:u w:val="single"/>
          <w:lang w:val="en-US"/>
        </w:rPr>
      </w:pPr>
      <w:r w:rsidRPr="00927B74">
        <w:rPr>
          <w:rFonts w:ascii="Arial" w:hAnsi="Arial" w:cs="Arial"/>
          <w:sz w:val="22"/>
          <w:szCs w:val="22"/>
          <w:u w:val="single"/>
          <w:lang w:val="en-US"/>
        </w:rPr>
        <w:t>In Finnish (incl. summary or abstract in English):</w:t>
      </w:r>
    </w:p>
    <w:p w14:paraId="433516A2" w14:textId="77777777" w:rsidR="00E61C55" w:rsidRPr="00927B74" w:rsidRDefault="00E61C55" w:rsidP="00E61C55">
      <w:pPr>
        <w:ind w:left="360"/>
        <w:jc w:val="both"/>
        <w:rPr>
          <w:rFonts w:ascii="Arial" w:hAnsi="Arial" w:cs="Arial"/>
          <w:sz w:val="22"/>
          <w:szCs w:val="22"/>
          <w:u w:val="single"/>
          <w:lang w:val="en-US"/>
        </w:rPr>
      </w:pPr>
    </w:p>
    <w:p w14:paraId="66B2159F" w14:textId="77777777" w:rsidR="00E61C55" w:rsidRPr="00927B74" w:rsidRDefault="00E61C55" w:rsidP="00E61C55">
      <w:pPr>
        <w:pStyle w:val="ListParagraph"/>
        <w:numPr>
          <w:ilvl w:val="0"/>
          <w:numId w:val="17"/>
        </w:numPr>
        <w:jc w:val="both"/>
        <w:rPr>
          <w:rFonts w:ascii="Arial" w:hAnsi="Arial" w:cs="Arial"/>
          <w:sz w:val="22"/>
          <w:szCs w:val="22"/>
        </w:rPr>
      </w:pPr>
      <w:r w:rsidRPr="00927B74">
        <w:rPr>
          <w:rFonts w:ascii="Arial" w:hAnsi="Arial" w:cs="Arial"/>
          <w:sz w:val="22"/>
          <w:szCs w:val="22"/>
        </w:rPr>
        <w:lastRenderedPageBreak/>
        <w:t xml:space="preserve">Bernelius, V. ja Huilla, H. (2021). Koulutuksellinen tasa-arvo, alueellinen ja sosiaalinen eriytyminen ja myönteisen erityiskohtelun mahdollisuudet [Educational equity, social and spatial segregation and opportunities for targeted support].VALTIONEUVOSTON JULKAISUJA 2021:7. </w:t>
      </w:r>
      <w:r w:rsidR="00211F65">
        <w:rPr>
          <w:rStyle w:val="Hyperlink"/>
          <w:rFonts w:ascii="Arial" w:hAnsi="Arial" w:cs="Arial"/>
          <w:sz w:val="22"/>
          <w:szCs w:val="22"/>
        </w:rPr>
        <w:fldChar w:fldCharType="begin"/>
      </w:r>
      <w:r w:rsidR="00211F65">
        <w:rPr>
          <w:rStyle w:val="Hyperlink"/>
          <w:rFonts w:ascii="Arial" w:hAnsi="Arial" w:cs="Arial"/>
          <w:sz w:val="22"/>
          <w:szCs w:val="22"/>
        </w:rPr>
        <w:instrText xml:space="preserve"> HYPERL</w:instrText>
      </w:r>
      <w:r w:rsidR="00211F65">
        <w:rPr>
          <w:rStyle w:val="Hyperlink"/>
          <w:rFonts w:ascii="Arial" w:hAnsi="Arial" w:cs="Arial"/>
          <w:sz w:val="22"/>
          <w:szCs w:val="22"/>
        </w:rPr>
        <w:instrText xml:space="preserve">INK "https://julkaisut.valtioneuvosto.fi/bitstream/handle/10024/162857/VN_2021_7.pdf?sequence=4&amp;isAllowed=y" </w:instrText>
      </w:r>
      <w:r w:rsidR="00211F65">
        <w:rPr>
          <w:rStyle w:val="Hyperlink"/>
          <w:rFonts w:ascii="Arial" w:hAnsi="Arial" w:cs="Arial"/>
          <w:sz w:val="22"/>
          <w:szCs w:val="22"/>
        </w:rPr>
        <w:fldChar w:fldCharType="separate"/>
      </w:r>
      <w:r w:rsidRPr="00927B74">
        <w:rPr>
          <w:rStyle w:val="Hyperlink"/>
          <w:rFonts w:ascii="Arial" w:hAnsi="Arial" w:cs="Arial"/>
          <w:sz w:val="22"/>
          <w:szCs w:val="22"/>
        </w:rPr>
        <w:t>https://julkaisut.valtioneuvosto.fi/bitstream/handle/10024/162857/VN_2021_7.pdf?sequence=4&amp;isAllowed=y</w:t>
      </w:r>
      <w:r w:rsidR="00211F65">
        <w:rPr>
          <w:rStyle w:val="Hyperlink"/>
          <w:rFonts w:ascii="Arial" w:hAnsi="Arial" w:cs="Arial"/>
          <w:sz w:val="22"/>
          <w:szCs w:val="22"/>
        </w:rPr>
        <w:fldChar w:fldCharType="end"/>
      </w:r>
    </w:p>
    <w:p w14:paraId="58F46D9F" w14:textId="77777777" w:rsidR="00E61C55" w:rsidRPr="00927B74" w:rsidRDefault="00E61C55" w:rsidP="00E61C55">
      <w:pPr>
        <w:pStyle w:val="ListParagraph"/>
        <w:numPr>
          <w:ilvl w:val="0"/>
          <w:numId w:val="17"/>
        </w:numPr>
        <w:jc w:val="both"/>
        <w:rPr>
          <w:rFonts w:ascii="Arial" w:hAnsi="Arial" w:cs="Arial"/>
          <w:sz w:val="22"/>
          <w:szCs w:val="22"/>
        </w:rPr>
      </w:pPr>
      <w:r w:rsidRPr="00927B74">
        <w:rPr>
          <w:rFonts w:ascii="Arial" w:hAnsi="Arial" w:cs="Arial"/>
          <w:sz w:val="22"/>
          <w:szCs w:val="22"/>
        </w:rPr>
        <w:t xml:space="preserve">Saikkonen P., Hannikainen K., Kauppinen T., Rasinkangas J., Vaalavuo M. (2018). Sosiaalinen kestävyys: asuminen, segregaatio ja tuloerot kolmella kaupunkiseudulla [Social sustainability: housing, segregation and income inequality in three urban regions]. Raportti 2/2018. Helsinki: Terveyden ja hyvinvoinnin laitos. </w:t>
      </w:r>
      <w:hyperlink r:id="rId11" w:history="1">
        <w:r w:rsidRPr="00927B74">
          <w:rPr>
            <w:rStyle w:val="Hyperlink"/>
            <w:rFonts w:ascii="Arial" w:hAnsi="Arial" w:cs="Arial"/>
            <w:sz w:val="22"/>
            <w:szCs w:val="22"/>
          </w:rPr>
          <w:t>http://www.julkari.fi/handle/10024/136125</w:t>
        </w:r>
      </w:hyperlink>
      <w:r w:rsidRPr="00927B74">
        <w:rPr>
          <w:rFonts w:ascii="Arial" w:hAnsi="Arial" w:cs="Arial"/>
          <w:sz w:val="22"/>
          <w:szCs w:val="22"/>
        </w:rPr>
        <w:t xml:space="preserve"> </w:t>
      </w:r>
    </w:p>
    <w:p w14:paraId="341E4614" w14:textId="77777777" w:rsidR="00E61C55" w:rsidRPr="00927B74" w:rsidRDefault="00E61C55" w:rsidP="00E61C55">
      <w:pPr>
        <w:pStyle w:val="ListParagraph"/>
        <w:numPr>
          <w:ilvl w:val="0"/>
          <w:numId w:val="17"/>
        </w:numPr>
        <w:jc w:val="both"/>
        <w:rPr>
          <w:rFonts w:ascii="Arial" w:hAnsi="Arial" w:cs="Arial"/>
          <w:sz w:val="22"/>
          <w:szCs w:val="22"/>
        </w:rPr>
      </w:pPr>
      <w:r w:rsidRPr="00927B74">
        <w:rPr>
          <w:rFonts w:ascii="Arial" w:hAnsi="Arial" w:cs="Arial"/>
          <w:sz w:val="22"/>
          <w:szCs w:val="22"/>
        </w:rPr>
        <w:t xml:space="preserve">Vaalavuo M., Kauppinen T.M. (2018). Muutot pois pienituloisilta alueilta: onko etnisten ryhmien välillä eroja? </w:t>
      </w:r>
      <w:r w:rsidRPr="00927B74">
        <w:rPr>
          <w:rFonts w:ascii="Arial" w:hAnsi="Arial" w:cs="Arial"/>
          <w:sz w:val="22"/>
          <w:szCs w:val="22"/>
          <w:lang w:val="en-US"/>
        </w:rPr>
        <w:t xml:space="preserve">[Moves out from low-income </w:t>
      </w:r>
      <w:proofErr w:type="spellStart"/>
      <w:r w:rsidRPr="00927B74">
        <w:rPr>
          <w:rFonts w:ascii="Arial" w:hAnsi="Arial" w:cs="Arial"/>
          <w:sz w:val="22"/>
          <w:szCs w:val="22"/>
          <w:lang w:val="en-US"/>
        </w:rPr>
        <w:t>neighbourhoods</w:t>
      </w:r>
      <w:proofErr w:type="spellEnd"/>
      <w:r w:rsidRPr="00927B74">
        <w:rPr>
          <w:rFonts w:ascii="Arial" w:hAnsi="Arial" w:cs="Arial"/>
          <w:sz w:val="22"/>
          <w:szCs w:val="22"/>
          <w:lang w:val="en-US"/>
        </w:rPr>
        <w:t xml:space="preserve">: are the differences between ethnic groups?] </w:t>
      </w:r>
      <w:r w:rsidRPr="00927B74">
        <w:rPr>
          <w:rFonts w:ascii="Arial" w:hAnsi="Arial" w:cs="Arial"/>
          <w:sz w:val="22"/>
          <w:szCs w:val="22"/>
        </w:rPr>
        <w:t xml:space="preserve">URMI Urban analysis IV, 25.1.2018. </w:t>
      </w:r>
      <w:hyperlink r:id="rId12" w:history="1">
        <w:r w:rsidRPr="00927B74">
          <w:rPr>
            <w:rStyle w:val="Hyperlink"/>
            <w:rFonts w:ascii="Arial" w:hAnsi="Arial" w:cs="Arial"/>
            <w:sz w:val="22"/>
            <w:szCs w:val="22"/>
          </w:rPr>
          <w:t>http://www.julkari.fi/handle/10024/136665</w:t>
        </w:r>
      </w:hyperlink>
      <w:r w:rsidRPr="00927B74">
        <w:rPr>
          <w:rFonts w:ascii="Arial" w:hAnsi="Arial" w:cs="Arial"/>
          <w:sz w:val="22"/>
          <w:szCs w:val="22"/>
        </w:rPr>
        <w:t xml:space="preserve"> </w:t>
      </w:r>
    </w:p>
    <w:p w14:paraId="08733487" w14:textId="77777777" w:rsidR="00E61C55" w:rsidRPr="00927B74" w:rsidRDefault="00E61C55" w:rsidP="00E61C55">
      <w:pPr>
        <w:pStyle w:val="ListParagraph"/>
        <w:numPr>
          <w:ilvl w:val="0"/>
          <w:numId w:val="17"/>
        </w:numPr>
        <w:jc w:val="both"/>
        <w:rPr>
          <w:rFonts w:ascii="Arial" w:hAnsi="Arial" w:cs="Arial"/>
          <w:sz w:val="22"/>
          <w:szCs w:val="22"/>
          <w:lang w:val="sv-SE"/>
        </w:rPr>
      </w:pPr>
      <w:r w:rsidRPr="00927B74">
        <w:rPr>
          <w:rFonts w:ascii="Arial" w:hAnsi="Arial" w:cs="Arial"/>
          <w:sz w:val="22"/>
          <w:szCs w:val="22"/>
        </w:rPr>
        <w:t xml:space="preserve">Kauppinen T.M., Vaalavuo M. (2017). Työikäisen väestön alueellinen eriytyminen synnyinmaan ja tulotason mukaan suurilla kaupunkiseuduilla [Residential segregation of working-age population by country of birth and income in large urban regions]. </w:t>
      </w:r>
      <w:r w:rsidRPr="00927B74">
        <w:rPr>
          <w:rFonts w:ascii="Arial" w:hAnsi="Arial" w:cs="Arial"/>
          <w:sz w:val="22"/>
          <w:szCs w:val="22"/>
          <w:lang w:val="sv-SE"/>
        </w:rPr>
        <w:t xml:space="preserve">URMI Urban analysis I. </w:t>
      </w:r>
      <w:hyperlink r:id="rId13" w:history="1">
        <w:r w:rsidRPr="00927B74">
          <w:rPr>
            <w:rStyle w:val="Hyperlink"/>
            <w:rFonts w:ascii="Arial" w:hAnsi="Arial" w:cs="Arial"/>
            <w:sz w:val="22"/>
            <w:szCs w:val="22"/>
            <w:lang w:val="sv-SE"/>
          </w:rPr>
          <w:t>https://www.julkari.fi/handle/10024/135602</w:t>
        </w:r>
      </w:hyperlink>
      <w:r w:rsidRPr="00927B74">
        <w:rPr>
          <w:rFonts w:ascii="Arial" w:hAnsi="Arial" w:cs="Arial"/>
          <w:sz w:val="22"/>
          <w:szCs w:val="22"/>
          <w:lang w:val="sv-SE"/>
        </w:rPr>
        <w:t xml:space="preserve"> </w:t>
      </w:r>
    </w:p>
    <w:p w14:paraId="46B2C88E" w14:textId="77777777" w:rsidR="00E61C55" w:rsidRPr="00E61C55" w:rsidRDefault="00E61C55" w:rsidP="00E61C55">
      <w:pPr>
        <w:pStyle w:val="ListParagraph"/>
        <w:numPr>
          <w:ilvl w:val="0"/>
          <w:numId w:val="17"/>
        </w:numPr>
        <w:jc w:val="both"/>
        <w:rPr>
          <w:rFonts w:ascii="Arial" w:hAnsi="Arial" w:cs="Arial"/>
          <w:sz w:val="22"/>
          <w:szCs w:val="22"/>
        </w:rPr>
      </w:pPr>
      <w:r w:rsidRPr="00927B74">
        <w:rPr>
          <w:rFonts w:ascii="Arial" w:hAnsi="Arial" w:cs="Arial"/>
          <w:sz w:val="22"/>
          <w:szCs w:val="22"/>
          <w:lang w:val="sv-SE"/>
        </w:rPr>
        <w:t xml:space="preserve">van Ham M., Tammaru T. (2016). </w:t>
      </w:r>
      <w:r w:rsidRPr="00927B74">
        <w:rPr>
          <w:rFonts w:ascii="Arial" w:hAnsi="Arial" w:cs="Arial"/>
          <w:sz w:val="22"/>
          <w:szCs w:val="22"/>
        </w:rPr>
        <w:t xml:space="preserve">Pieni- ja suurituloiset asuvat aiempaa eriytyneemmin eurooppalaisissa pääkaupungeissa [Increasing Socio-Economic Segregation in European Cities]. URMI Politiikkapaperi 2016:1. </w:t>
      </w:r>
      <w:hyperlink r:id="rId14" w:history="1">
        <w:r w:rsidRPr="00E61C55">
          <w:rPr>
            <w:rStyle w:val="Hyperlink"/>
            <w:rFonts w:ascii="Arial" w:hAnsi="Arial" w:cs="Arial"/>
            <w:sz w:val="22"/>
            <w:szCs w:val="22"/>
          </w:rPr>
          <w:t>http://urmi.fi/wp-content/uploads/2016/11/URMI_policy_brief.pdf</w:t>
        </w:r>
      </w:hyperlink>
      <w:r w:rsidRPr="00E61C55">
        <w:rPr>
          <w:rFonts w:ascii="Arial" w:hAnsi="Arial" w:cs="Arial"/>
          <w:sz w:val="22"/>
          <w:szCs w:val="22"/>
        </w:rPr>
        <w:t xml:space="preserve"> (English version: </w:t>
      </w:r>
      <w:hyperlink r:id="rId15" w:history="1">
        <w:r w:rsidRPr="00E61C55">
          <w:rPr>
            <w:rStyle w:val="Hyperlink"/>
            <w:rFonts w:ascii="Arial" w:hAnsi="Arial" w:cs="Arial"/>
            <w:sz w:val="22"/>
            <w:szCs w:val="22"/>
          </w:rPr>
          <w:t>http://urmi.fi/wp-content/uploads/2016/11/Increasing-socio-economic-segregation-in-European-cities-V2.pdf</w:t>
        </w:r>
      </w:hyperlink>
      <w:r w:rsidRPr="00E61C55">
        <w:rPr>
          <w:rFonts w:ascii="Arial" w:hAnsi="Arial" w:cs="Arial"/>
          <w:sz w:val="22"/>
          <w:szCs w:val="22"/>
        </w:rPr>
        <w:t>)</w:t>
      </w:r>
    </w:p>
    <w:p w14:paraId="53C4BB30" w14:textId="77777777" w:rsidR="00E61C55" w:rsidRPr="00E61C55" w:rsidRDefault="00E61C55" w:rsidP="00E61C55">
      <w:pPr>
        <w:jc w:val="both"/>
        <w:rPr>
          <w:rFonts w:ascii="Arial" w:eastAsiaTheme="minorHAnsi" w:hAnsi="Arial" w:cs="Arial"/>
          <w:sz w:val="22"/>
          <w:szCs w:val="22"/>
          <w:lang w:eastAsia="en-US"/>
        </w:rPr>
      </w:pPr>
    </w:p>
    <w:p w14:paraId="3D4E04D8" w14:textId="77777777" w:rsidR="00E61C55" w:rsidRPr="00E61C55" w:rsidRDefault="00E61C55" w:rsidP="00E61C55">
      <w:pPr>
        <w:spacing w:line="276" w:lineRule="auto"/>
        <w:jc w:val="both"/>
        <w:rPr>
          <w:rFonts w:ascii="Arial" w:hAnsi="Arial" w:cs="Arial"/>
          <w:color w:val="000000" w:themeColor="text1"/>
          <w:sz w:val="22"/>
          <w:szCs w:val="22"/>
        </w:rPr>
      </w:pPr>
    </w:p>
    <w:p w14:paraId="3FEEC4FD" w14:textId="77777777" w:rsidR="004011EE" w:rsidRPr="00E61C55" w:rsidRDefault="004011EE" w:rsidP="00D33D27">
      <w:pPr>
        <w:autoSpaceDE w:val="0"/>
        <w:autoSpaceDN w:val="0"/>
        <w:adjustRightInd w:val="0"/>
        <w:spacing w:line="276" w:lineRule="auto"/>
        <w:rPr>
          <w:rFonts w:cs="Tahoma"/>
          <w:b/>
          <w:color w:val="000000" w:themeColor="text1"/>
          <w:szCs w:val="24"/>
        </w:rPr>
      </w:pPr>
    </w:p>
    <w:p w14:paraId="46080204" w14:textId="77777777" w:rsidR="004011EE" w:rsidRPr="00E61C55" w:rsidRDefault="004011EE" w:rsidP="00D33D27">
      <w:pPr>
        <w:autoSpaceDE w:val="0"/>
        <w:autoSpaceDN w:val="0"/>
        <w:adjustRightInd w:val="0"/>
        <w:spacing w:line="276" w:lineRule="auto"/>
        <w:rPr>
          <w:rFonts w:cs="Tahoma"/>
          <w:b/>
          <w:color w:val="000000" w:themeColor="text1"/>
          <w:szCs w:val="24"/>
        </w:rPr>
      </w:pPr>
    </w:p>
    <w:p w14:paraId="6E19AE24" w14:textId="61A23B65" w:rsidR="004011EE" w:rsidRPr="00E61C55" w:rsidRDefault="00E61C55" w:rsidP="00D33D27">
      <w:pPr>
        <w:pStyle w:val="NoSpacing"/>
        <w:numPr>
          <w:ilvl w:val="0"/>
          <w:numId w:val="0"/>
        </w:numPr>
        <w:spacing w:before="0" w:after="0" w:line="276" w:lineRule="auto"/>
        <w:rPr>
          <w:rFonts w:ascii="Tahoma" w:eastAsia="Times New Roman" w:hAnsi="Tahoma" w:cs="Tahoma"/>
          <w:b/>
          <w:color w:val="000000" w:themeColor="text1"/>
          <w:sz w:val="24"/>
          <w:szCs w:val="24"/>
          <w:shd w:val="clear" w:color="auto" w:fill="auto"/>
          <w:lang w:val="fi-FI" w:eastAsia="fi-FI"/>
        </w:rPr>
      </w:pPr>
      <w:r w:rsidRPr="00E61C55">
        <w:rPr>
          <w:rFonts w:ascii="Tahoma" w:eastAsia="Times New Roman" w:hAnsi="Tahoma" w:cs="Tahoma"/>
          <w:b/>
          <w:color w:val="000000" w:themeColor="text1"/>
          <w:sz w:val="24"/>
          <w:szCs w:val="24"/>
          <w:shd w:val="clear" w:color="auto" w:fill="auto"/>
          <w:lang w:val="fi-FI" w:eastAsia="fi-FI"/>
        </w:rPr>
        <w:t xml:space="preserve"> </w:t>
      </w:r>
    </w:p>
    <w:p w14:paraId="58A4502E" w14:textId="1FE5627F" w:rsidR="007B3B25" w:rsidRPr="00E61C55" w:rsidRDefault="00E61C55" w:rsidP="00DA0D32">
      <w:pPr>
        <w:spacing w:line="276" w:lineRule="auto"/>
        <w:jc w:val="both"/>
        <w:rPr>
          <w:rFonts w:cs="Tahoma"/>
          <w:color w:val="000000" w:themeColor="text1"/>
          <w:szCs w:val="24"/>
        </w:rPr>
      </w:pPr>
      <w:r w:rsidRPr="00E61C55">
        <w:rPr>
          <w:rFonts w:cs="Tahoma"/>
          <w:color w:val="000000" w:themeColor="text1"/>
          <w:szCs w:val="24"/>
        </w:rPr>
        <w:t xml:space="preserve"> </w:t>
      </w:r>
    </w:p>
    <w:sectPr w:rsidR="007B3B25" w:rsidRPr="00E61C55" w:rsidSect="007A4691">
      <w:headerReference w:type="default" r:id="rId16"/>
      <w:headerReference w:type="first" r:id="rId17"/>
      <w:pgSz w:w="11906" w:h="16838" w:code="9"/>
      <w:pgMar w:top="1276" w:right="1274" w:bottom="1560" w:left="1134" w:header="680"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3337A" w14:textId="77777777" w:rsidR="003204C9" w:rsidRDefault="003204C9" w:rsidP="00EA78D8">
      <w:r>
        <w:separator/>
      </w:r>
    </w:p>
  </w:endnote>
  <w:endnote w:type="continuationSeparator" w:id="0">
    <w:p w14:paraId="697307A6" w14:textId="77777777" w:rsidR="003204C9" w:rsidRDefault="003204C9" w:rsidP="00EA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D7359" w14:textId="77777777" w:rsidR="003204C9" w:rsidRDefault="003204C9" w:rsidP="00EA78D8">
      <w:r>
        <w:separator/>
      </w:r>
    </w:p>
  </w:footnote>
  <w:footnote w:type="continuationSeparator" w:id="0">
    <w:p w14:paraId="60907680" w14:textId="77777777" w:rsidR="003204C9" w:rsidRDefault="003204C9" w:rsidP="00EA7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8D0FD" w14:textId="01DADB1C" w:rsidR="00D33D27" w:rsidRDefault="00D33D27" w:rsidP="007A4691">
    <w:pPr>
      <w:pStyle w:val="Header"/>
      <w:jc w:val="right"/>
    </w:pPr>
    <w:r>
      <w:rPr>
        <w:rStyle w:val="PageNumber"/>
      </w:rPr>
      <w:fldChar w:fldCharType="begin"/>
    </w:r>
    <w:r>
      <w:rPr>
        <w:rStyle w:val="PageNumber"/>
      </w:rPr>
      <w:instrText xml:space="preserve"> PAGE </w:instrText>
    </w:r>
    <w:r>
      <w:rPr>
        <w:rStyle w:val="PageNumber"/>
      </w:rPr>
      <w:fldChar w:fldCharType="separate"/>
    </w:r>
    <w:r w:rsidR="00211F65">
      <w:rPr>
        <w:rStyle w:val="PageNumber"/>
        <w:noProof/>
      </w:rPr>
      <w:t>6</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211F65">
      <w:rPr>
        <w:rStyle w:val="PageNumber"/>
        <w:noProof/>
      </w:rPr>
      <w:t>6</w:t>
    </w:r>
    <w:r>
      <w:rPr>
        <w:rStyle w:val="PageNumber"/>
      </w:rPr>
      <w:fldChar w:fldCharType="end"/>
    </w:r>
    <w:r>
      <w:rPr>
        <w:rStyle w:val="PageNumbe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E6F19" w14:textId="77777777" w:rsidR="00D33D27" w:rsidRDefault="00D33D27">
    <w:pPr>
      <w:pStyle w:val="Header"/>
    </w:pPr>
    <w:r w:rsidRPr="007C277B">
      <w:rPr>
        <w:noProof/>
        <w:lang w:val="en-GB" w:eastAsia="en-GB"/>
      </w:rPr>
      <w:drawing>
        <wp:inline distT="0" distB="0" distL="0" distR="0" wp14:anchorId="13AB67B3" wp14:editId="31B607AF">
          <wp:extent cx="16510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742950"/>
                  </a:xfrm>
                  <a:prstGeom prst="rect">
                    <a:avLst/>
                  </a:prstGeom>
                  <a:noFill/>
                  <a:ln>
                    <a:noFill/>
                  </a:ln>
                </pic:spPr>
              </pic:pic>
            </a:graphicData>
          </a:graphic>
        </wp:inline>
      </w:drawing>
    </w:r>
  </w:p>
  <w:p w14:paraId="3528F7C3" w14:textId="77777777" w:rsidR="00D33D27" w:rsidRDefault="00D33D27" w:rsidP="007A4691">
    <w:pPr>
      <w:pStyle w:val="VNK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605FF"/>
    <w:multiLevelType w:val="hybridMultilevel"/>
    <w:tmpl w:val="4DB441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15D1C"/>
    <w:multiLevelType w:val="hybridMultilevel"/>
    <w:tmpl w:val="6EE01D1C"/>
    <w:lvl w:ilvl="0" w:tplc="31DE96A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E551B"/>
    <w:multiLevelType w:val="hybridMultilevel"/>
    <w:tmpl w:val="88FA4138"/>
    <w:lvl w:ilvl="0" w:tplc="280CE0F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7657F"/>
    <w:multiLevelType w:val="hybridMultilevel"/>
    <w:tmpl w:val="09CA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E64F9"/>
    <w:multiLevelType w:val="hybridMultilevel"/>
    <w:tmpl w:val="632E34FE"/>
    <w:lvl w:ilvl="0" w:tplc="5E2AC742">
      <w:start w:val="1"/>
      <w:numFmt w:val="decimal"/>
      <w:pStyle w:val="NoSpacing"/>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83B132D"/>
    <w:multiLevelType w:val="hybridMultilevel"/>
    <w:tmpl w:val="A530B0F8"/>
    <w:lvl w:ilvl="0" w:tplc="280CE0F4">
      <w:numFmt w:val="bullet"/>
      <w:lvlText w:val="•"/>
      <w:lvlJc w:val="left"/>
      <w:pPr>
        <w:ind w:left="720" w:hanging="360"/>
      </w:pPr>
      <w:rPr>
        <w:rFonts w:ascii="Calibri" w:eastAsia="Times New Roman"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5033F4"/>
    <w:multiLevelType w:val="hybridMultilevel"/>
    <w:tmpl w:val="B5B6744C"/>
    <w:lvl w:ilvl="0" w:tplc="280CE0F4">
      <w:numFmt w:val="bullet"/>
      <w:lvlText w:val="•"/>
      <w:lvlJc w:val="left"/>
      <w:pPr>
        <w:ind w:left="720" w:hanging="360"/>
      </w:pPr>
      <w:rPr>
        <w:rFonts w:ascii="Calibri" w:eastAsia="Times New Roman"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224822"/>
    <w:multiLevelType w:val="hybridMultilevel"/>
    <w:tmpl w:val="66DC9ACA"/>
    <w:lvl w:ilvl="0" w:tplc="0809000F">
      <w:start w:val="1"/>
      <w:numFmt w:val="decimal"/>
      <w:lvlText w:val="%1."/>
      <w:lvlJc w:val="left"/>
      <w:pPr>
        <w:ind w:left="360" w:hanging="360"/>
      </w:pPr>
    </w:lvl>
    <w:lvl w:ilvl="1" w:tplc="D07A5FF2">
      <w:numFmt w:val="bullet"/>
      <w:lvlText w:val="-"/>
      <w:lvlJc w:val="left"/>
      <w:pPr>
        <w:ind w:left="1080" w:hanging="360"/>
      </w:pPr>
      <w:rPr>
        <w:rFonts w:ascii="Calibri" w:eastAsia="Times New Roman" w:hAnsi="Calibri" w:cs="Calibri" w:hint="default"/>
        <w:color w:val="0000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B48167F"/>
    <w:multiLevelType w:val="hybridMultilevel"/>
    <w:tmpl w:val="12989FF6"/>
    <w:lvl w:ilvl="0" w:tplc="280CE0F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F858F0"/>
    <w:multiLevelType w:val="hybridMultilevel"/>
    <w:tmpl w:val="4ED80F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066FA4"/>
    <w:multiLevelType w:val="hybridMultilevel"/>
    <w:tmpl w:val="7A3A79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4995B81"/>
    <w:multiLevelType w:val="hybridMultilevel"/>
    <w:tmpl w:val="7C86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9"/>
  </w:num>
  <w:num w:numId="10">
    <w:abstractNumId w:val="5"/>
  </w:num>
  <w:num w:numId="11">
    <w:abstractNumId w:val="6"/>
  </w:num>
  <w:num w:numId="12">
    <w:abstractNumId w:val="12"/>
  </w:num>
  <w:num w:numId="13">
    <w:abstractNumId w:val="4"/>
  </w:num>
  <w:num w:numId="14">
    <w:abstractNumId w:val="4"/>
  </w:num>
  <w:num w:numId="15">
    <w:abstractNumId w:val="7"/>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D8"/>
    <w:rsid w:val="00014E51"/>
    <w:rsid w:val="00033B85"/>
    <w:rsid w:val="00042D76"/>
    <w:rsid w:val="0004758B"/>
    <w:rsid w:val="00050225"/>
    <w:rsid w:val="00054F2C"/>
    <w:rsid w:val="00071556"/>
    <w:rsid w:val="00076A16"/>
    <w:rsid w:val="000772E3"/>
    <w:rsid w:val="00077F29"/>
    <w:rsid w:val="00093E44"/>
    <w:rsid w:val="00096AC8"/>
    <w:rsid w:val="00097438"/>
    <w:rsid w:val="00097BEA"/>
    <w:rsid w:val="000B13C1"/>
    <w:rsid w:val="000C600D"/>
    <w:rsid w:val="000C690E"/>
    <w:rsid w:val="000D3020"/>
    <w:rsid w:val="00105D55"/>
    <w:rsid w:val="001117FA"/>
    <w:rsid w:val="0012032B"/>
    <w:rsid w:val="00121E2F"/>
    <w:rsid w:val="00123480"/>
    <w:rsid w:val="0015513C"/>
    <w:rsid w:val="0016204F"/>
    <w:rsid w:val="00163425"/>
    <w:rsid w:val="001815E9"/>
    <w:rsid w:val="00187F46"/>
    <w:rsid w:val="001A12D6"/>
    <w:rsid w:val="001A332E"/>
    <w:rsid w:val="001D718B"/>
    <w:rsid w:val="0020774C"/>
    <w:rsid w:val="00211F65"/>
    <w:rsid w:val="00242CB8"/>
    <w:rsid w:val="00252C77"/>
    <w:rsid w:val="00253FDC"/>
    <w:rsid w:val="002569D5"/>
    <w:rsid w:val="002651F8"/>
    <w:rsid w:val="00271787"/>
    <w:rsid w:val="00272A7E"/>
    <w:rsid w:val="00281C4C"/>
    <w:rsid w:val="002978C9"/>
    <w:rsid w:val="002A4160"/>
    <w:rsid w:val="002A4F0C"/>
    <w:rsid w:val="002D760B"/>
    <w:rsid w:val="002D7B92"/>
    <w:rsid w:val="003204C9"/>
    <w:rsid w:val="003359DE"/>
    <w:rsid w:val="0036147E"/>
    <w:rsid w:val="0036602E"/>
    <w:rsid w:val="00367042"/>
    <w:rsid w:val="00373201"/>
    <w:rsid w:val="003A1106"/>
    <w:rsid w:val="003B7297"/>
    <w:rsid w:val="003C7E97"/>
    <w:rsid w:val="003D6409"/>
    <w:rsid w:val="003E4B8E"/>
    <w:rsid w:val="003F15AF"/>
    <w:rsid w:val="003F4393"/>
    <w:rsid w:val="004011EE"/>
    <w:rsid w:val="00404222"/>
    <w:rsid w:val="00405BDB"/>
    <w:rsid w:val="004314D6"/>
    <w:rsid w:val="00435A01"/>
    <w:rsid w:val="004453F3"/>
    <w:rsid w:val="00446D9A"/>
    <w:rsid w:val="00457FCF"/>
    <w:rsid w:val="004622FB"/>
    <w:rsid w:val="004B4AD0"/>
    <w:rsid w:val="004B5C8F"/>
    <w:rsid w:val="004D7B74"/>
    <w:rsid w:val="004E3C2F"/>
    <w:rsid w:val="00501C92"/>
    <w:rsid w:val="0051435D"/>
    <w:rsid w:val="00520F5E"/>
    <w:rsid w:val="00524FF4"/>
    <w:rsid w:val="00536D05"/>
    <w:rsid w:val="00560DEA"/>
    <w:rsid w:val="00576EE5"/>
    <w:rsid w:val="005877D1"/>
    <w:rsid w:val="005B2EAA"/>
    <w:rsid w:val="005F3545"/>
    <w:rsid w:val="006013BE"/>
    <w:rsid w:val="00606BE2"/>
    <w:rsid w:val="00622AF5"/>
    <w:rsid w:val="0064181D"/>
    <w:rsid w:val="006418E4"/>
    <w:rsid w:val="006521B3"/>
    <w:rsid w:val="006528D3"/>
    <w:rsid w:val="006924CE"/>
    <w:rsid w:val="006A0B57"/>
    <w:rsid w:val="006B2DCF"/>
    <w:rsid w:val="006D550E"/>
    <w:rsid w:val="006F09BF"/>
    <w:rsid w:val="006F4839"/>
    <w:rsid w:val="00703540"/>
    <w:rsid w:val="0071735E"/>
    <w:rsid w:val="0072711C"/>
    <w:rsid w:val="00740975"/>
    <w:rsid w:val="00756AF1"/>
    <w:rsid w:val="0077559D"/>
    <w:rsid w:val="007A048B"/>
    <w:rsid w:val="007A4691"/>
    <w:rsid w:val="007A654B"/>
    <w:rsid w:val="007B3449"/>
    <w:rsid w:val="007B3B25"/>
    <w:rsid w:val="007C12B2"/>
    <w:rsid w:val="007C1DEC"/>
    <w:rsid w:val="007D66A8"/>
    <w:rsid w:val="00805A0F"/>
    <w:rsid w:val="00833DD5"/>
    <w:rsid w:val="00843463"/>
    <w:rsid w:val="0086349B"/>
    <w:rsid w:val="008670B6"/>
    <w:rsid w:val="008901F7"/>
    <w:rsid w:val="008941AB"/>
    <w:rsid w:val="008B0F03"/>
    <w:rsid w:val="008C05D7"/>
    <w:rsid w:val="008E2BE9"/>
    <w:rsid w:val="008F467C"/>
    <w:rsid w:val="00904EB7"/>
    <w:rsid w:val="00922992"/>
    <w:rsid w:val="0092769D"/>
    <w:rsid w:val="00971DEB"/>
    <w:rsid w:val="009844C3"/>
    <w:rsid w:val="009B1DA8"/>
    <w:rsid w:val="009B6C18"/>
    <w:rsid w:val="009B7136"/>
    <w:rsid w:val="009C6485"/>
    <w:rsid w:val="009D0375"/>
    <w:rsid w:val="009D619D"/>
    <w:rsid w:val="009F3691"/>
    <w:rsid w:val="009F703E"/>
    <w:rsid w:val="00A26F38"/>
    <w:rsid w:val="00A64793"/>
    <w:rsid w:val="00A770C9"/>
    <w:rsid w:val="00A80D8B"/>
    <w:rsid w:val="00AA22CE"/>
    <w:rsid w:val="00AA370F"/>
    <w:rsid w:val="00AD4A26"/>
    <w:rsid w:val="00AE1B2F"/>
    <w:rsid w:val="00AF0887"/>
    <w:rsid w:val="00B06968"/>
    <w:rsid w:val="00B0761F"/>
    <w:rsid w:val="00B10386"/>
    <w:rsid w:val="00B12978"/>
    <w:rsid w:val="00B12999"/>
    <w:rsid w:val="00B146D7"/>
    <w:rsid w:val="00B20451"/>
    <w:rsid w:val="00B30AD7"/>
    <w:rsid w:val="00B562FF"/>
    <w:rsid w:val="00B66CB7"/>
    <w:rsid w:val="00B940FD"/>
    <w:rsid w:val="00BB622A"/>
    <w:rsid w:val="00BE3B83"/>
    <w:rsid w:val="00BE4B93"/>
    <w:rsid w:val="00BE516D"/>
    <w:rsid w:val="00C24C63"/>
    <w:rsid w:val="00C355C6"/>
    <w:rsid w:val="00C36F68"/>
    <w:rsid w:val="00C50521"/>
    <w:rsid w:val="00C54733"/>
    <w:rsid w:val="00C62C03"/>
    <w:rsid w:val="00C648C3"/>
    <w:rsid w:val="00C64BE2"/>
    <w:rsid w:val="00C84DFE"/>
    <w:rsid w:val="00C95E4E"/>
    <w:rsid w:val="00CC1CE3"/>
    <w:rsid w:val="00CC498F"/>
    <w:rsid w:val="00CD2D6E"/>
    <w:rsid w:val="00CE2555"/>
    <w:rsid w:val="00CE564D"/>
    <w:rsid w:val="00CF673C"/>
    <w:rsid w:val="00D11695"/>
    <w:rsid w:val="00D2077D"/>
    <w:rsid w:val="00D33D27"/>
    <w:rsid w:val="00D578CD"/>
    <w:rsid w:val="00D74A82"/>
    <w:rsid w:val="00D92C28"/>
    <w:rsid w:val="00DA0D32"/>
    <w:rsid w:val="00DA15DF"/>
    <w:rsid w:val="00DC6D43"/>
    <w:rsid w:val="00DE0402"/>
    <w:rsid w:val="00DE0A14"/>
    <w:rsid w:val="00DE65D8"/>
    <w:rsid w:val="00DF04E3"/>
    <w:rsid w:val="00DF3E3A"/>
    <w:rsid w:val="00E05A11"/>
    <w:rsid w:val="00E27E3B"/>
    <w:rsid w:val="00E34571"/>
    <w:rsid w:val="00E60EB5"/>
    <w:rsid w:val="00E61C55"/>
    <w:rsid w:val="00E70205"/>
    <w:rsid w:val="00E92145"/>
    <w:rsid w:val="00EA78D8"/>
    <w:rsid w:val="00EB28BB"/>
    <w:rsid w:val="00EE0CC3"/>
    <w:rsid w:val="00F01012"/>
    <w:rsid w:val="00F13A1D"/>
    <w:rsid w:val="00F218A5"/>
    <w:rsid w:val="00F34093"/>
    <w:rsid w:val="00F8178F"/>
    <w:rsid w:val="00FD1044"/>
    <w:rsid w:val="00FE12E7"/>
    <w:rsid w:val="00FF16A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BE45"/>
  <w15:chartTrackingRefBased/>
  <w15:docId w15:val="{AD407515-9F81-4A7C-8A31-27F6B183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8D8"/>
    <w:pPr>
      <w:spacing w:after="0" w:line="240" w:lineRule="auto"/>
    </w:pPr>
    <w:rPr>
      <w:rFonts w:ascii="Tahoma" w:eastAsia="Times New Roman" w:hAnsi="Tahoma" w:cs="Times New Roman"/>
      <w:sz w:val="24"/>
      <w:szCs w:val="20"/>
      <w:lang w:eastAsia="fi-FI"/>
    </w:rPr>
  </w:style>
  <w:style w:type="paragraph" w:styleId="Heading1">
    <w:name w:val="heading 1"/>
    <w:basedOn w:val="Normal"/>
    <w:next w:val="Normal"/>
    <w:link w:val="Heading1Char"/>
    <w:qFormat/>
    <w:rsid w:val="00EA78D8"/>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8D8"/>
    <w:rPr>
      <w:rFonts w:ascii="Tahoma" w:eastAsia="Times New Roman" w:hAnsi="Tahoma" w:cs="Times New Roman"/>
      <w:b/>
      <w:bCs/>
      <w:kern w:val="32"/>
      <w:sz w:val="32"/>
      <w:szCs w:val="32"/>
      <w:lang w:eastAsia="fi-FI"/>
    </w:rPr>
  </w:style>
  <w:style w:type="paragraph" w:styleId="Header">
    <w:name w:val="header"/>
    <w:basedOn w:val="Normal"/>
    <w:link w:val="HeaderChar"/>
    <w:uiPriority w:val="99"/>
    <w:rsid w:val="00EA78D8"/>
    <w:pPr>
      <w:tabs>
        <w:tab w:val="center" w:pos="4819"/>
        <w:tab w:val="right" w:pos="9638"/>
      </w:tabs>
    </w:pPr>
  </w:style>
  <w:style w:type="character" w:customStyle="1" w:styleId="HeaderChar">
    <w:name w:val="Header Char"/>
    <w:basedOn w:val="DefaultParagraphFont"/>
    <w:link w:val="Header"/>
    <w:uiPriority w:val="99"/>
    <w:rsid w:val="00EA78D8"/>
    <w:rPr>
      <w:rFonts w:ascii="Tahoma" w:eastAsia="Times New Roman" w:hAnsi="Tahoma" w:cs="Times New Roman"/>
      <w:sz w:val="24"/>
      <w:szCs w:val="20"/>
      <w:lang w:eastAsia="fi-FI"/>
    </w:rPr>
  </w:style>
  <w:style w:type="paragraph" w:styleId="Footer">
    <w:name w:val="footer"/>
    <w:basedOn w:val="Normal"/>
    <w:link w:val="FooterChar"/>
    <w:rsid w:val="00EA78D8"/>
    <w:pPr>
      <w:tabs>
        <w:tab w:val="center" w:pos="4819"/>
        <w:tab w:val="right" w:pos="9638"/>
      </w:tabs>
    </w:pPr>
  </w:style>
  <w:style w:type="character" w:customStyle="1" w:styleId="FooterChar">
    <w:name w:val="Footer Char"/>
    <w:basedOn w:val="DefaultParagraphFont"/>
    <w:link w:val="Footer"/>
    <w:rsid w:val="00EA78D8"/>
    <w:rPr>
      <w:rFonts w:ascii="Tahoma" w:eastAsia="Times New Roman" w:hAnsi="Tahoma" w:cs="Times New Roman"/>
      <w:sz w:val="24"/>
      <w:szCs w:val="20"/>
      <w:lang w:eastAsia="fi-FI"/>
    </w:rPr>
  </w:style>
  <w:style w:type="paragraph" w:customStyle="1" w:styleId="VNKYltunniste">
    <w:name w:val="VNK_Ylätunniste"/>
    <w:rsid w:val="00EA78D8"/>
    <w:pPr>
      <w:tabs>
        <w:tab w:val="left" w:pos="1304"/>
        <w:tab w:val="left" w:pos="2608"/>
        <w:tab w:val="left" w:pos="3912"/>
        <w:tab w:val="left" w:pos="5216"/>
        <w:tab w:val="left" w:pos="6521"/>
        <w:tab w:val="left" w:pos="7825"/>
        <w:tab w:val="left" w:pos="9129"/>
      </w:tabs>
      <w:spacing w:after="0" w:line="240" w:lineRule="auto"/>
    </w:pPr>
    <w:rPr>
      <w:rFonts w:ascii="Tahoma" w:eastAsia="Times New Roman" w:hAnsi="Tahoma" w:cs="Times New Roman"/>
      <w:szCs w:val="24"/>
      <w:lang w:eastAsia="fi-FI"/>
    </w:rPr>
  </w:style>
  <w:style w:type="paragraph" w:customStyle="1" w:styleId="VNKNormaaliSisentmtn">
    <w:name w:val="VNK_Normaali_Sisentämätön"/>
    <w:rsid w:val="00EA78D8"/>
    <w:pPr>
      <w:spacing w:after="0" w:line="240" w:lineRule="auto"/>
    </w:pPr>
    <w:rPr>
      <w:rFonts w:ascii="Tahoma" w:eastAsia="Times New Roman" w:hAnsi="Tahoma" w:cs="Times New Roman"/>
      <w:szCs w:val="20"/>
      <w:lang w:eastAsia="fi-FI"/>
    </w:rPr>
  </w:style>
  <w:style w:type="character" w:styleId="PageNumber">
    <w:name w:val="page number"/>
    <w:basedOn w:val="DefaultParagraphFont"/>
    <w:rsid w:val="00EA78D8"/>
  </w:style>
  <w:style w:type="paragraph" w:styleId="FootnoteText">
    <w:name w:val="footnote text"/>
    <w:basedOn w:val="Normal"/>
    <w:link w:val="FootnoteTextChar"/>
    <w:unhideWhenUsed/>
    <w:rsid w:val="00EA78D8"/>
    <w:pPr>
      <w:tabs>
        <w:tab w:val="left" w:pos="2608"/>
        <w:tab w:val="left" w:pos="3912"/>
      </w:tabs>
    </w:pPr>
    <w:rPr>
      <w:rFonts w:ascii="Arial" w:hAnsi="Arial"/>
      <w:sz w:val="20"/>
    </w:rPr>
  </w:style>
  <w:style w:type="character" w:customStyle="1" w:styleId="FootnoteTextChar">
    <w:name w:val="Footnote Text Char"/>
    <w:basedOn w:val="DefaultParagraphFont"/>
    <w:link w:val="FootnoteText"/>
    <w:rsid w:val="00EA78D8"/>
    <w:rPr>
      <w:rFonts w:ascii="Arial" w:eastAsia="Times New Roman" w:hAnsi="Arial" w:cs="Times New Roman"/>
      <w:sz w:val="20"/>
      <w:szCs w:val="20"/>
      <w:lang w:eastAsia="fi-FI"/>
    </w:rPr>
  </w:style>
  <w:style w:type="character" w:styleId="FootnoteReference">
    <w:name w:val="footnote reference"/>
    <w:unhideWhenUsed/>
    <w:rsid w:val="00EA78D8"/>
    <w:rPr>
      <w:vertAlign w:val="superscript"/>
    </w:rPr>
  </w:style>
  <w:style w:type="character" w:styleId="Hyperlink">
    <w:name w:val="Hyperlink"/>
    <w:rsid w:val="00EA78D8"/>
    <w:rPr>
      <w:color w:val="0563C1"/>
      <w:u w:val="single"/>
    </w:rPr>
  </w:style>
  <w:style w:type="paragraph" w:styleId="NoSpacing">
    <w:name w:val="No Spacing"/>
    <w:basedOn w:val="ListParagraph"/>
    <w:uiPriority w:val="1"/>
    <w:qFormat/>
    <w:rsid w:val="007B3B25"/>
    <w:pPr>
      <w:numPr>
        <w:numId w:val="1"/>
      </w:numPr>
      <w:spacing w:before="100" w:after="100" w:line="259" w:lineRule="auto"/>
      <w:contextualSpacing w:val="0"/>
    </w:pPr>
    <w:rPr>
      <w:rFonts w:asciiTheme="minorHAnsi" w:eastAsiaTheme="minorEastAsia" w:hAnsiTheme="minorHAnsi" w:cstheme="minorHAnsi"/>
      <w:color w:val="000000"/>
      <w:sz w:val="22"/>
      <w:szCs w:val="22"/>
      <w:shd w:val="clear" w:color="auto" w:fill="FFFFFF"/>
      <w:lang w:val="en-GB" w:eastAsia="ko-KR"/>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7B3B25"/>
    <w:pPr>
      <w:ind w:left="720"/>
      <w:contextualSpacing/>
    </w:pPr>
  </w:style>
  <w:style w:type="character" w:styleId="CommentReference">
    <w:name w:val="annotation reference"/>
    <w:basedOn w:val="DefaultParagraphFont"/>
    <w:uiPriority w:val="99"/>
    <w:semiHidden/>
    <w:unhideWhenUsed/>
    <w:rsid w:val="00C648C3"/>
    <w:rPr>
      <w:sz w:val="16"/>
      <w:szCs w:val="16"/>
    </w:rPr>
  </w:style>
  <w:style w:type="paragraph" w:styleId="CommentText">
    <w:name w:val="annotation text"/>
    <w:basedOn w:val="Normal"/>
    <w:link w:val="CommentTextChar"/>
    <w:uiPriority w:val="99"/>
    <w:semiHidden/>
    <w:unhideWhenUsed/>
    <w:rsid w:val="00C648C3"/>
    <w:rPr>
      <w:sz w:val="20"/>
    </w:rPr>
  </w:style>
  <w:style w:type="character" w:customStyle="1" w:styleId="CommentTextChar">
    <w:name w:val="Comment Text Char"/>
    <w:basedOn w:val="DefaultParagraphFont"/>
    <w:link w:val="CommentText"/>
    <w:uiPriority w:val="99"/>
    <w:semiHidden/>
    <w:rsid w:val="00C648C3"/>
    <w:rPr>
      <w:rFonts w:ascii="Tahoma" w:eastAsia="Times New Roman" w:hAnsi="Tahoma" w:cs="Times New Roman"/>
      <w:sz w:val="20"/>
      <w:szCs w:val="20"/>
      <w:lang w:eastAsia="fi-FI"/>
    </w:rPr>
  </w:style>
  <w:style w:type="paragraph" w:styleId="CommentSubject">
    <w:name w:val="annotation subject"/>
    <w:basedOn w:val="CommentText"/>
    <w:next w:val="CommentText"/>
    <w:link w:val="CommentSubjectChar"/>
    <w:uiPriority w:val="99"/>
    <w:semiHidden/>
    <w:unhideWhenUsed/>
    <w:rsid w:val="00C648C3"/>
    <w:rPr>
      <w:b/>
      <w:bCs/>
    </w:rPr>
  </w:style>
  <w:style w:type="character" w:customStyle="1" w:styleId="CommentSubjectChar">
    <w:name w:val="Comment Subject Char"/>
    <w:basedOn w:val="CommentTextChar"/>
    <w:link w:val="CommentSubject"/>
    <w:uiPriority w:val="99"/>
    <w:semiHidden/>
    <w:rsid w:val="00C648C3"/>
    <w:rPr>
      <w:rFonts w:ascii="Tahoma" w:eastAsia="Times New Roman" w:hAnsi="Tahoma" w:cs="Times New Roman"/>
      <w:b/>
      <w:bCs/>
      <w:sz w:val="20"/>
      <w:szCs w:val="20"/>
      <w:lang w:eastAsia="fi-FI"/>
    </w:rPr>
  </w:style>
  <w:style w:type="paragraph" w:styleId="BalloonText">
    <w:name w:val="Balloon Text"/>
    <w:basedOn w:val="Normal"/>
    <w:link w:val="BalloonTextChar"/>
    <w:uiPriority w:val="99"/>
    <w:semiHidden/>
    <w:unhideWhenUsed/>
    <w:rsid w:val="00C64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8C3"/>
    <w:rPr>
      <w:rFonts w:ascii="Segoe UI" w:eastAsia="Times New Roman" w:hAnsi="Segoe UI" w:cs="Segoe UI"/>
      <w:sz w:val="18"/>
      <w:szCs w:val="18"/>
      <w:lang w:eastAsia="fi-FI"/>
    </w:rPr>
  </w:style>
  <w:style w:type="paragraph" w:styleId="Revision">
    <w:name w:val="Revision"/>
    <w:hidden/>
    <w:uiPriority w:val="99"/>
    <w:semiHidden/>
    <w:rsid w:val="00C648C3"/>
    <w:pPr>
      <w:spacing w:after="0" w:line="240" w:lineRule="auto"/>
    </w:pPr>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096AC8"/>
    <w:rPr>
      <w:color w:val="954F72" w:themeColor="followedHyperlink"/>
      <w:u w:val="single"/>
    </w:rPr>
  </w:style>
  <w:style w:type="paragraph" w:customStyle="1" w:styleId="Default">
    <w:name w:val="Default"/>
    <w:rsid w:val="00097BEA"/>
    <w:pPr>
      <w:autoSpaceDE w:val="0"/>
      <w:autoSpaceDN w:val="0"/>
      <w:adjustRightInd w:val="0"/>
      <w:spacing w:after="0" w:line="240" w:lineRule="auto"/>
    </w:pPr>
    <w:rPr>
      <w:rFonts w:ascii="Verdana" w:hAnsi="Verdana" w:cs="Verdana"/>
      <w:color w:val="000000"/>
      <w:sz w:val="24"/>
      <w:szCs w:val="24"/>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E61C55"/>
    <w:rPr>
      <w:rFonts w:ascii="Tahoma" w:eastAsia="Times New Roman" w:hAnsi="Tahoma" w:cs="Times New Roman"/>
      <w:sz w:val="24"/>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904910">
      <w:bodyDiv w:val="1"/>
      <w:marLeft w:val="0"/>
      <w:marRight w:val="0"/>
      <w:marTop w:val="0"/>
      <w:marBottom w:val="0"/>
      <w:divBdr>
        <w:top w:val="none" w:sz="0" w:space="0" w:color="auto"/>
        <w:left w:val="none" w:sz="0" w:space="0" w:color="auto"/>
        <w:bottom w:val="none" w:sz="0" w:space="0" w:color="auto"/>
        <w:right w:val="none" w:sz="0" w:space="0" w:color="auto"/>
      </w:divBdr>
    </w:div>
    <w:div w:id="543444635">
      <w:bodyDiv w:val="1"/>
      <w:marLeft w:val="0"/>
      <w:marRight w:val="0"/>
      <w:marTop w:val="0"/>
      <w:marBottom w:val="0"/>
      <w:divBdr>
        <w:top w:val="none" w:sz="0" w:space="0" w:color="auto"/>
        <w:left w:val="none" w:sz="0" w:space="0" w:color="auto"/>
        <w:bottom w:val="none" w:sz="0" w:space="0" w:color="auto"/>
        <w:right w:val="none" w:sz="0" w:space="0" w:color="auto"/>
      </w:divBdr>
    </w:div>
    <w:div w:id="106857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psp.2193" TargetMode="External"/><Relationship Id="rId13" Type="http://schemas.openxmlformats.org/officeDocument/2006/relationships/hyperlink" Target="https://www.julkari.fi/handle/10024/135602"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link.springer.com/article/10.1007/s10680-019-09528-x" TargetMode="External"/><Relationship Id="rId12" Type="http://schemas.openxmlformats.org/officeDocument/2006/relationships/hyperlink" Target="http://www.julkari.fi/handle/10024/136665"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lkari.fi/handle/10024/136125" TargetMode="External"/><Relationship Id="rId5" Type="http://schemas.openxmlformats.org/officeDocument/2006/relationships/footnotes" Target="footnotes.xml"/><Relationship Id="rId15" Type="http://schemas.openxmlformats.org/officeDocument/2006/relationships/hyperlink" Target="http://urmi.fi/wp-content/uploads/2016/11/Increasing-socio-economic-segregation-in-European-cities-V2.pdf" TargetMode="External"/><Relationship Id="rId10" Type="http://schemas.openxmlformats.org/officeDocument/2006/relationships/hyperlink" Target="https://www.tandfonline.com/doi/full/10.1080/00343404.2018.154003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cademic.oup.com/esr/article/35/4/538/5480387" TargetMode="External"/><Relationship Id="rId14" Type="http://schemas.openxmlformats.org/officeDocument/2006/relationships/hyperlink" Target="http://urmi.fi/wp-content/uploads/2016/11/URMI_policy_brief.pdf" TargetMode="Externa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6C6A2D-AC31-43E3-92D1-D98F9B15165F}"/>
</file>

<file path=customXml/itemProps2.xml><?xml version="1.0" encoding="utf-8"?>
<ds:datastoreItem xmlns:ds="http://schemas.openxmlformats.org/officeDocument/2006/customXml" ds:itemID="{0E0AEF9E-14AD-4045-B081-D08A3F6A7584}"/>
</file>

<file path=customXml/itemProps3.xml><?xml version="1.0" encoding="utf-8"?>
<ds:datastoreItem xmlns:ds="http://schemas.openxmlformats.org/officeDocument/2006/customXml" ds:itemID="{E405A30E-6939-4F29-9D77-BCB971183BE9}"/>
</file>

<file path=docProps/app.xml><?xml version="1.0" encoding="utf-8"?>
<Properties xmlns="http://schemas.openxmlformats.org/officeDocument/2006/extended-properties" xmlns:vt="http://schemas.openxmlformats.org/officeDocument/2006/docPropsVTypes">
  <Template>Normal.dotm</Template>
  <TotalTime>0</TotalTime>
  <Pages>6</Pages>
  <Words>3006</Words>
  <Characters>17139</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20105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 Bruun</dc:creator>
  <cp:keywords/>
  <dc:description/>
  <cp:lastModifiedBy>THEISSEN Gunnar</cp:lastModifiedBy>
  <cp:revision>2</cp:revision>
  <dcterms:created xsi:type="dcterms:W3CDTF">2021-05-19T11:25:00Z</dcterms:created>
  <dcterms:modified xsi:type="dcterms:W3CDTF">2021-05-19T11:25:00Z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