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E162AE" w14:textId="0835A8AB" w:rsidR="00F332C0" w:rsidRPr="001B7DE4" w:rsidRDefault="0050116A" w:rsidP="006A1CEC">
      <w:pPr>
        <w:ind w:left="720" w:right="-1038"/>
        <w:rPr>
          <w:rFonts w:ascii="Lucida Sans" w:hAnsi="Lucida Sans" w:cs="Arial"/>
          <w:b/>
          <w:iCs/>
          <w:color w:val="008000"/>
          <w:sz w:val="44"/>
          <w:szCs w:val="44"/>
        </w:rPr>
      </w:pPr>
      <w:r>
        <w:rPr>
          <w:rFonts w:ascii="Lucida Sans" w:hAnsi="Lucida Sans"/>
          <w:b/>
          <w:i/>
          <w:smallCaps/>
          <w:color w:val="008000"/>
          <w:sz w:val="48"/>
          <w:szCs w:val="48"/>
        </w:rPr>
        <w:pict w14:anchorId="359682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0.25pt;margin-top:-33.35pt;width:103.75pt;height:94.25pt;z-index:-251658240;mso-wrap-edited:f" wrapcoords="-225 0 -225 21352 21600 21352 21600 0 -225 0">
            <v:imagedata r:id="rId11" o:title="Logo HIC-web"/>
            <w10:wrap anchory="page"/>
            <w10:anchorlock/>
          </v:shape>
        </w:pict>
      </w:r>
      <w:r w:rsidR="00F332C0" w:rsidRPr="001B7DE4">
        <w:rPr>
          <w:rFonts w:ascii="Lucida Sans" w:hAnsi="Lucida Sans"/>
          <w:b/>
          <w:i/>
          <w:smallCaps/>
          <w:color w:val="008000"/>
          <w:sz w:val="48"/>
          <w:szCs w:val="48"/>
        </w:rPr>
        <w:t xml:space="preserve">   </w:t>
      </w:r>
      <w:r w:rsidR="00F332C0" w:rsidRPr="001B7DE4">
        <w:rPr>
          <w:rFonts w:ascii="Lucida Sans" w:hAnsi="Lucida Sans" w:cs="Arial"/>
          <w:b/>
          <w:iCs/>
          <w:smallCaps/>
          <w:color w:val="008000"/>
          <w:spacing w:val="14"/>
          <w:sz w:val="46"/>
          <w:szCs w:val="46"/>
        </w:rPr>
        <w:t>Housing and Land Rights Networ</w:t>
      </w:r>
      <w:r w:rsidR="00F332C0" w:rsidRPr="001B7DE4">
        <w:rPr>
          <w:rFonts w:ascii="Lucida Sans" w:hAnsi="Lucida Sans" w:cs="Arial"/>
          <w:b/>
          <w:iCs/>
          <w:smallCaps/>
          <w:color w:val="008000"/>
          <w:sz w:val="46"/>
          <w:szCs w:val="46"/>
        </w:rPr>
        <w:t>k</w:t>
      </w:r>
    </w:p>
    <w:p w14:paraId="689386E6" w14:textId="05D31154" w:rsidR="00F332C0" w:rsidRPr="001B7DE4" w:rsidRDefault="00F332C0" w:rsidP="006A1CEC">
      <w:pPr>
        <w:pStyle w:val="Heading1"/>
        <w:ind w:right="-1038"/>
        <w:jc w:val="left"/>
        <w:rPr>
          <w:rFonts w:ascii="Lucida Sans" w:hAnsi="Lucida Sans"/>
          <w:iCs/>
          <w:color w:val="000000"/>
          <w:spacing w:val="20"/>
          <w:sz w:val="28"/>
          <w:lang w:val="en-US"/>
        </w:rPr>
      </w:pPr>
      <w:r w:rsidRPr="001B7DE4">
        <w:rPr>
          <w:rFonts w:ascii="Lucida Sans" w:hAnsi="Lucida Sans"/>
          <w:iCs/>
          <w:color w:val="008000"/>
          <w:sz w:val="48"/>
          <w:szCs w:val="48"/>
          <w:lang w:val="en-US"/>
        </w:rPr>
        <w:t xml:space="preserve"> </w:t>
      </w:r>
      <w:r w:rsidRPr="001B7DE4">
        <w:rPr>
          <w:rFonts w:ascii="Lucida Sans" w:hAnsi="Lucida Sans"/>
          <w:i/>
          <w:color w:val="008000"/>
          <w:sz w:val="28"/>
          <w:lang w:val="en-US"/>
        </w:rPr>
        <w:tab/>
        <w:t xml:space="preserve">      </w:t>
      </w:r>
      <w:r>
        <w:rPr>
          <w:rFonts w:ascii="Lucida Sans" w:hAnsi="Lucida Sans"/>
          <w:i/>
          <w:color w:val="008000"/>
          <w:sz w:val="28"/>
          <w:lang w:val="en-US"/>
        </w:rPr>
        <w:tab/>
        <w:t xml:space="preserve">    </w:t>
      </w:r>
      <w:r w:rsidRPr="001B7DE4">
        <w:rPr>
          <w:rFonts w:ascii="Lucida Sans" w:hAnsi="Lucida Sans"/>
          <w:iCs/>
          <w:color w:val="008000"/>
          <w:spacing w:val="122"/>
          <w:sz w:val="28"/>
          <w:lang w:val="en-US"/>
        </w:rPr>
        <w:t>Habitat International Coalitio</w:t>
      </w:r>
      <w:r w:rsidRPr="001B7DE4">
        <w:rPr>
          <w:rFonts w:ascii="Lucida Sans" w:hAnsi="Lucida Sans"/>
          <w:iCs/>
          <w:color w:val="008000"/>
          <w:sz w:val="28"/>
          <w:lang w:val="en-US"/>
        </w:rPr>
        <w:t>n</w:t>
      </w:r>
    </w:p>
    <w:p w14:paraId="7EAB0FA6" w14:textId="77777777" w:rsidR="00F332C0" w:rsidRPr="001B7DE4" w:rsidRDefault="00F332C0">
      <w:pPr>
        <w:rPr>
          <w:rFonts w:ascii="Lucida Sans" w:hAnsi="Lucida Sans"/>
        </w:rPr>
      </w:pPr>
    </w:p>
    <w:p w14:paraId="03845B4E" w14:textId="77777777" w:rsidR="00F332C0" w:rsidRPr="001B7DE4" w:rsidRDefault="00F332C0">
      <w:pPr>
        <w:rPr>
          <w:rFonts w:ascii="Lucida Sans" w:hAnsi="Lucida Sans"/>
        </w:rPr>
      </w:pPr>
    </w:p>
    <w:p w14:paraId="4267FA1A" w14:textId="68ED2E15" w:rsidR="00226F79" w:rsidRPr="00226F79" w:rsidRDefault="00F332C0" w:rsidP="00226F79">
      <w:pPr>
        <w:jc w:val="center"/>
        <w:rPr>
          <w:b/>
          <w:sz w:val="24"/>
        </w:rPr>
      </w:pPr>
      <w:r w:rsidRPr="00226F79">
        <w:rPr>
          <w:b/>
          <w:sz w:val="24"/>
        </w:rPr>
        <w:t>Report</w:t>
      </w:r>
      <w:r>
        <w:rPr>
          <w:b/>
          <w:sz w:val="24"/>
        </w:rPr>
        <w:t>s</w:t>
      </w:r>
      <w:r w:rsidRPr="00226F79">
        <w:rPr>
          <w:b/>
          <w:sz w:val="24"/>
        </w:rPr>
        <w:t xml:space="preserve"> on Discrimination, Segregation and the Right to Adequate Housing</w:t>
      </w:r>
    </w:p>
    <w:p w14:paraId="29F29BED" w14:textId="77777777" w:rsidR="00226F79" w:rsidRDefault="00226F79" w:rsidP="00226F79">
      <w:pPr>
        <w:jc w:val="center"/>
        <w:rPr>
          <w:bCs/>
        </w:rPr>
      </w:pPr>
    </w:p>
    <w:p w14:paraId="5B549CD3" w14:textId="6173BB81" w:rsidR="00226F79" w:rsidRPr="00242490" w:rsidRDefault="00F332C0" w:rsidP="00226F79">
      <w:pPr>
        <w:jc w:val="center"/>
        <w:rPr>
          <w:b/>
          <w:sz w:val="24"/>
          <w:lang w:val="en-US"/>
        </w:rPr>
      </w:pPr>
      <w:r w:rsidRPr="00242490">
        <w:rPr>
          <w:b/>
          <w:sz w:val="24"/>
          <w:lang w:val="en-US"/>
        </w:rPr>
        <w:t>Questionnaire</w:t>
      </w:r>
      <w:r w:rsidR="0068607D" w:rsidRPr="00242490">
        <w:rPr>
          <w:b/>
          <w:sz w:val="24"/>
          <w:lang w:val="en-US"/>
        </w:rPr>
        <w:t xml:space="preserve"> Input on Palestine/Israel</w:t>
      </w:r>
    </w:p>
    <w:p w14:paraId="581140AA" w14:textId="77777777" w:rsidR="00226F79" w:rsidRPr="00242490" w:rsidRDefault="00226F79" w:rsidP="00226F79">
      <w:pPr>
        <w:rPr>
          <w:b/>
          <w:lang w:val="en-US"/>
        </w:rPr>
      </w:pPr>
    </w:p>
    <w:p w14:paraId="17A0E6FC" w14:textId="77777777" w:rsidR="00A92868" w:rsidRPr="00242490" w:rsidRDefault="00A92868" w:rsidP="00226F79">
      <w:pPr>
        <w:jc w:val="both"/>
        <w:rPr>
          <w:sz w:val="24"/>
          <w:szCs w:val="24"/>
          <w:lang w:val="en-US"/>
        </w:rPr>
      </w:pPr>
    </w:p>
    <w:p w14:paraId="12CA0EEB" w14:textId="4E46F958" w:rsidR="00226F79" w:rsidRPr="00226F79" w:rsidRDefault="00F332C0" w:rsidP="00F332C0">
      <w:pPr>
        <w:spacing w:after="120"/>
        <w:rPr>
          <w:b/>
          <w:sz w:val="24"/>
          <w:szCs w:val="24"/>
          <w:u w:val="single"/>
        </w:rPr>
      </w:pPr>
      <w:r w:rsidRPr="00226F79">
        <w:rPr>
          <w:b/>
          <w:sz w:val="24"/>
          <w:szCs w:val="24"/>
          <w:u w:val="single"/>
        </w:rPr>
        <w:t xml:space="preserve">Basic Information </w:t>
      </w:r>
    </w:p>
    <w:p w14:paraId="6F1A4992" w14:textId="77777777" w:rsidR="00F332C0" w:rsidRPr="00F332C0" w:rsidRDefault="00226F79" w:rsidP="00226F79">
      <w:pPr>
        <w:jc w:val="both"/>
        <w:rPr>
          <w:sz w:val="24"/>
          <w:szCs w:val="24"/>
        </w:rPr>
      </w:pPr>
      <w:r w:rsidRPr="00226F79">
        <w:rPr>
          <w:sz w:val="24"/>
          <w:szCs w:val="24"/>
        </w:rPr>
        <w:t>1</w:t>
      </w:r>
      <w:r w:rsidRPr="00F332C0">
        <w:rPr>
          <w:sz w:val="24"/>
          <w:szCs w:val="24"/>
        </w:rPr>
        <w:t xml:space="preserve">. Name of Individual, Organization, Institution, Agency or State: </w:t>
      </w:r>
    </w:p>
    <w:p w14:paraId="75F08626" w14:textId="1AB00E1E" w:rsidR="00226F79" w:rsidRPr="00F332C0" w:rsidRDefault="00226F79" w:rsidP="00F332C0">
      <w:pPr>
        <w:jc w:val="both"/>
        <w:rPr>
          <w:b/>
          <w:bCs/>
          <w:sz w:val="24"/>
          <w:szCs w:val="24"/>
        </w:rPr>
      </w:pPr>
      <w:r w:rsidRPr="00F332C0">
        <w:rPr>
          <w:sz w:val="24"/>
          <w:szCs w:val="24"/>
        </w:rPr>
        <w:t xml:space="preserve">  </w:t>
      </w:r>
      <w:sdt>
        <w:sdtPr>
          <w:rPr>
            <w:sz w:val="24"/>
            <w:szCs w:val="24"/>
          </w:rPr>
          <w:id w:val="-219832636"/>
          <w:placeholder>
            <w:docPart w:val="8C51350C3C2E40C7B851479DE8F27FC8"/>
          </w:placeholder>
        </w:sdtPr>
        <w:sdtEndPr>
          <w:rPr>
            <w:b/>
            <w:bCs/>
          </w:rPr>
        </w:sdtEndPr>
        <w:sdtContent>
          <w:r w:rsidR="00C26311" w:rsidRPr="00F332C0">
            <w:rPr>
              <w:b/>
              <w:bCs/>
              <w:sz w:val="24"/>
              <w:szCs w:val="24"/>
            </w:rPr>
            <w:t>Housing and Land Rights Network – Habitat International Coalition</w:t>
          </w:r>
        </w:sdtContent>
      </w:sdt>
    </w:p>
    <w:p w14:paraId="27575F8F" w14:textId="77777777" w:rsidR="00226F79" w:rsidRPr="00226F79" w:rsidRDefault="00226F79" w:rsidP="00226F79">
      <w:pPr>
        <w:jc w:val="both"/>
        <w:rPr>
          <w:sz w:val="24"/>
          <w:szCs w:val="24"/>
        </w:rPr>
      </w:pPr>
    </w:p>
    <w:p w14:paraId="0B5894F1" w14:textId="593AC8AE" w:rsidR="00226F79" w:rsidRPr="00F332C0" w:rsidRDefault="00226F79" w:rsidP="00F332C0">
      <w:pPr>
        <w:jc w:val="both"/>
        <w:rPr>
          <w:sz w:val="24"/>
          <w:szCs w:val="24"/>
        </w:rPr>
      </w:pPr>
      <w:r w:rsidRPr="00226F79">
        <w:rPr>
          <w:sz w:val="24"/>
          <w:szCs w:val="24"/>
        </w:rPr>
        <w:t>Type of Entity*</w:t>
      </w:r>
    </w:p>
    <w:p w14:paraId="4ED065D8" w14:textId="738E3DAC" w:rsidR="00226F79" w:rsidRPr="00F332C0" w:rsidRDefault="0050116A" w:rsidP="00F332C0">
      <w:pPr>
        <w:pStyle w:val="ListParagraph"/>
        <w:ind w:left="567"/>
        <w:jc w:val="both"/>
        <w:rPr>
          <w:rFonts w:eastAsia="MS Gothic" w:cstheme="minorHAnsi"/>
          <w:sz w:val="24"/>
          <w:szCs w:val="24"/>
        </w:rPr>
      </w:pPr>
      <w:sdt>
        <w:sdtPr>
          <w:rPr>
            <w:rFonts w:eastAsia="MS Gothic" w:cstheme="minorHAnsi"/>
            <w:sz w:val="24"/>
            <w:szCs w:val="24"/>
          </w:rPr>
          <w:id w:val="-1603638750"/>
          <w14:checkbox>
            <w14:checked w14:val="1"/>
            <w14:checkedState w14:val="2612" w14:font="MS Gothic"/>
            <w14:uncheckedState w14:val="2610" w14:font="MS Gothic"/>
          </w14:checkbox>
        </w:sdtPr>
        <w:sdtEndPr/>
        <w:sdtContent>
          <w:r w:rsidR="00C26311">
            <w:rPr>
              <w:rFonts w:ascii="MS Gothic" w:eastAsia="MS Gothic" w:hAnsi="MS Gothic" w:cstheme="minorHAnsi" w:hint="eastAsia"/>
              <w:sz w:val="24"/>
              <w:szCs w:val="24"/>
            </w:rPr>
            <w:t>☒</w:t>
          </w:r>
        </w:sdtContent>
      </w:sdt>
      <w:r w:rsidR="00226F79" w:rsidRPr="00226F79">
        <w:rPr>
          <w:rFonts w:eastAsia="MS Gothic" w:cstheme="minorHAnsi"/>
          <w:sz w:val="24"/>
          <w:szCs w:val="24"/>
        </w:rPr>
        <w:t xml:space="preserve">  NGO network, umbrella organization</w:t>
      </w:r>
    </w:p>
    <w:p w14:paraId="2BDFFCCA" w14:textId="77777777" w:rsidR="00226F79" w:rsidRPr="00226F79" w:rsidRDefault="00226F79" w:rsidP="00226F79">
      <w:pPr>
        <w:jc w:val="both"/>
        <w:rPr>
          <w:sz w:val="24"/>
          <w:szCs w:val="24"/>
        </w:rPr>
      </w:pPr>
    </w:p>
    <w:p w14:paraId="4AF1ABBF" w14:textId="77777777" w:rsidR="00226F79" w:rsidRPr="00226F79" w:rsidRDefault="00226F79" w:rsidP="00226F79">
      <w:pPr>
        <w:jc w:val="both"/>
        <w:rPr>
          <w:sz w:val="24"/>
          <w:szCs w:val="24"/>
        </w:rPr>
      </w:pPr>
      <w:r w:rsidRPr="00226F79">
        <w:rPr>
          <w:sz w:val="24"/>
          <w:szCs w:val="24"/>
        </w:rPr>
        <w:t>2. Categorization of your Work</w:t>
      </w:r>
    </w:p>
    <w:p w14:paraId="34569A7A" w14:textId="77777777" w:rsidR="00226F79" w:rsidRPr="00226F79" w:rsidRDefault="00226F79" w:rsidP="00226F79">
      <w:pPr>
        <w:jc w:val="both"/>
        <w:rPr>
          <w:sz w:val="24"/>
          <w:szCs w:val="24"/>
        </w:rPr>
      </w:pPr>
      <w:r w:rsidRPr="00226F79">
        <w:rPr>
          <w:sz w:val="24"/>
          <w:szCs w:val="24"/>
        </w:rPr>
        <w:t>Please select one or more responses, as appropriate.</w:t>
      </w:r>
    </w:p>
    <w:p w14:paraId="7DBB4D21" w14:textId="00E0CED8" w:rsidR="00226F79" w:rsidRPr="00226F79" w:rsidRDefault="0050116A" w:rsidP="00226F79">
      <w:pPr>
        <w:ind w:left="567"/>
        <w:jc w:val="both"/>
        <w:rPr>
          <w:sz w:val="24"/>
          <w:szCs w:val="24"/>
        </w:rPr>
      </w:pPr>
      <w:sdt>
        <w:sdtPr>
          <w:rPr>
            <w:sz w:val="24"/>
            <w:szCs w:val="24"/>
          </w:rPr>
          <w:id w:val="8181584"/>
          <w14:checkbox>
            <w14:checked w14:val="1"/>
            <w14:checkedState w14:val="2612" w14:font="MS Gothic"/>
            <w14:uncheckedState w14:val="2610" w14:font="MS Gothic"/>
          </w14:checkbox>
        </w:sdtPr>
        <w:sdtEndPr/>
        <w:sdtContent>
          <w:r w:rsidR="00C26311">
            <w:rPr>
              <w:rFonts w:ascii="MS Gothic" w:eastAsia="MS Gothic" w:hAnsi="MS Gothic" w:hint="eastAsia"/>
              <w:sz w:val="24"/>
              <w:szCs w:val="24"/>
            </w:rPr>
            <w:t>☒</w:t>
          </w:r>
        </w:sdtContent>
      </w:sdt>
      <w:r w:rsidR="00226F79" w:rsidRPr="00226F79">
        <w:rPr>
          <w:sz w:val="24"/>
          <w:szCs w:val="24"/>
        </w:rPr>
        <w:t>Advocacy</w:t>
      </w:r>
    </w:p>
    <w:p w14:paraId="05029BA9" w14:textId="79ACBA9F" w:rsidR="00226F79" w:rsidRPr="00226F79" w:rsidRDefault="0050116A" w:rsidP="00226F79">
      <w:pPr>
        <w:ind w:left="567"/>
        <w:jc w:val="both"/>
        <w:rPr>
          <w:sz w:val="24"/>
          <w:szCs w:val="24"/>
        </w:rPr>
      </w:pPr>
      <w:sdt>
        <w:sdtPr>
          <w:rPr>
            <w:sz w:val="24"/>
            <w:szCs w:val="24"/>
          </w:rPr>
          <w:id w:val="979044773"/>
          <w14:checkbox>
            <w14:checked w14:val="1"/>
            <w14:checkedState w14:val="2612" w14:font="MS Gothic"/>
            <w14:uncheckedState w14:val="2610" w14:font="MS Gothic"/>
          </w14:checkbox>
        </w:sdtPr>
        <w:sdtEndPr/>
        <w:sdtContent>
          <w:r w:rsidR="00F332C0">
            <w:rPr>
              <w:rFonts w:ascii="MS Gothic" w:eastAsia="MS Gothic" w:hAnsi="MS Gothic" w:hint="eastAsia"/>
              <w:sz w:val="24"/>
              <w:szCs w:val="24"/>
            </w:rPr>
            <w:t>☒</w:t>
          </w:r>
        </w:sdtContent>
      </w:sdt>
      <w:r w:rsidR="00226F79" w:rsidRPr="00226F79">
        <w:rPr>
          <w:sz w:val="24"/>
          <w:szCs w:val="24"/>
        </w:rPr>
        <w:t>Networking</w:t>
      </w:r>
    </w:p>
    <w:p w14:paraId="501A44A3" w14:textId="3659B72B" w:rsidR="00226F79" w:rsidRPr="00226F79" w:rsidRDefault="0050116A" w:rsidP="00226F79">
      <w:pPr>
        <w:ind w:left="567"/>
        <w:jc w:val="both"/>
        <w:rPr>
          <w:sz w:val="24"/>
          <w:szCs w:val="24"/>
        </w:rPr>
      </w:pPr>
      <w:sdt>
        <w:sdtPr>
          <w:rPr>
            <w:sz w:val="24"/>
            <w:szCs w:val="24"/>
          </w:rPr>
          <w:id w:val="-1895807093"/>
          <w14:checkbox>
            <w14:checked w14:val="1"/>
            <w14:checkedState w14:val="2612" w14:font="MS Gothic"/>
            <w14:uncheckedState w14:val="2610" w14:font="MS Gothic"/>
          </w14:checkbox>
        </w:sdtPr>
        <w:sdtEndPr/>
        <w:sdtContent>
          <w:r w:rsidR="00F332C0">
            <w:rPr>
              <w:rFonts w:ascii="MS Gothic" w:eastAsia="MS Gothic" w:hAnsi="MS Gothic" w:hint="eastAsia"/>
              <w:sz w:val="24"/>
              <w:szCs w:val="24"/>
            </w:rPr>
            <w:t>☒</w:t>
          </w:r>
        </w:sdtContent>
      </w:sdt>
      <w:r w:rsidR="00226F79" w:rsidRPr="00226F79">
        <w:rPr>
          <w:sz w:val="24"/>
          <w:szCs w:val="24"/>
        </w:rPr>
        <w:t>Policy</w:t>
      </w:r>
    </w:p>
    <w:p w14:paraId="1AC7FB6E" w14:textId="6EDE0888" w:rsidR="00226F79" w:rsidRPr="00226F79" w:rsidRDefault="0050116A" w:rsidP="00226F79">
      <w:pPr>
        <w:ind w:left="567"/>
        <w:jc w:val="both"/>
        <w:rPr>
          <w:sz w:val="24"/>
          <w:szCs w:val="24"/>
        </w:rPr>
      </w:pPr>
      <w:sdt>
        <w:sdtPr>
          <w:rPr>
            <w:sz w:val="24"/>
            <w:szCs w:val="24"/>
          </w:rPr>
          <w:id w:val="-1431660576"/>
          <w14:checkbox>
            <w14:checked w14:val="1"/>
            <w14:checkedState w14:val="2612" w14:font="MS Gothic"/>
            <w14:uncheckedState w14:val="2610" w14:font="MS Gothic"/>
          </w14:checkbox>
        </w:sdtPr>
        <w:sdtEndPr/>
        <w:sdtContent>
          <w:r w:rsidR="00C26311">
            <w:rPr>
              <w:rFonts w:ascii="MS Gothic" w:eastAsia="MS Gothic" w:hAnsi="MS Gothic" w:hint="eastAsia"/>
              <w:sz w:val="24"/>
              <w:szCs w:val="24"/>
            </w:rPr>
            <w:t>☒</w:t>
          </w:r>
        </w:sdtContent>
      </w:sdt>
      <w:r w:rsidR="00226F79" w:rsidRPr="00226F79">
        <w:rPr>
          <w:sz w:val="24"/>
          <w:szCs w:val="24"/>
        </w:rPr>
        <w:t>Research</w:t>
      </w:r>
    </w:p>
    <w:p w14:paraId="3E041252" w14:textId="0EF666F1" w:rsidR="00226F79" w:rsidRPr="00226F79" w:rsidRDefault="0050116A" w:rsidP="00226F79">
      <w:pPr>
        <w:ind w:left="567"/>
        <w:jc w:val="both"/>
        <w:rPr>
          <w:sz w:val="24"/>
          <w:szCs w:val="24"/>
        </w:rPr>
      </w:pPr>
      <w:sdt>
        <w:sdtPr>
          <w:rPr>
            <w:sz w:val="24"/>
            <w:szCs w:val="24"/>
          </w:rPr>
          <w:id w:val="1814833555"/>
          <w14:checkbox>
            <w14:checked w14:val="1"/>
            <w14:checkedState w14:val="2612" w14:font="MS Gothic"/>
            <w14:uncheckedState w14:val="2610" w14:font="MS Gothic"/>
          </w14:checkbox>
        </w:sdtPr>
        <w:sdtEndPr/>
        <w:sdtContent>
          <w:r w:rsidR="00C26311">
            <w:rPr>
              <w:rFonts w:ascii="MS Gothic" w:eastAsia="MS Gothic" w:hAnsi="MS Gothic" w:hint="eastAsia"/>
              <w:sz w:val="24"/>
              <w:szCs w:val="24"/>
            </w:rPr>
            <w:t>☒</w:t>
          </w:r>
        </w:sdtContent>
      </w:sdt>
      <w:r w:rsidR="00226F79" w:rsidRPr="00226F79">
        <w:rPr>
          <w:sz w:val="24"/>
          <w:szCs w:val="24"/>
        </w:rPr>
        <w:t>Training</w:t>
      </w:r>
    </w:p>
    <w:p w14:paraId="4D7F1BF9" w14:textId="7AABDE45" w:rsidR="00226F79" w:rsidRPr="00226F79" w:rsidRDefault="0050116A" w:rsidP="00F332C0">
      <w:pPr>
        <w:ind w:left="567"/>
        <w:jc w:val="both"/>
        <w:rPr>
          <w:sz w:val="24"/>
          <w:szCs w:val="24"/>
        </w:rPr>
      </w:pPr>
      <w:sdt>
        <w:sdtPr>
          <w:rPr>
            <w:sz w:val="24"/>
            <w:szCs w:val="24"/>
          </w:rPr>
          <w:id w:val="-1263906533"/>
          <w14:checkbox>
            <w14:checked w14:val="1"/>
            <w14:checkedState w14:val="2612" w14:font="MS Gothic"/>
            <w14:uncheckedState w14:val="2610" w14:font="MS Gothic"/>
          </w14:checkbox>
        </w:sdtPr>
        <w:sdtEndPr/>
        <w:sdtContent>
          <w:r w:rsidR="00F332C0">
            <w:rPr>
              <w:rFonts w:ascii="MS Gothic" w:eastAsia="MS Gothic" w:hAnsi="MS Gothic" w:hint="eastAsia"/>
              <w:sz w:val="24"/>
              <w:szCs w:val="24"/>
            </w:rPr>
            <w:t>☒</w:t>
          </w:r>
        </w:sdtContent>
      </w:sdt>
      <w:r w:rsidR="00226F79" w:rsidRPr="00226F79">
        <w:rPr>
          <w:sz w:val="24"/>
          <w:szCs w:val="24"/>
        </w:rPr>
        <w:t xml:space="preserve">Other: </w:t>
      </w:r>
      <w:r w:rsidR="0068607D">
        <w:rPr>
          <w:sz w:val="24"/>
          <w:szCs w:val="24"/>
        </w:rPr>
        <w:t>Monitoring housing and land rights violations and quantifying their impacts (habitat-, wealth- and wellbeing-related losses, costs and damages)</w:t>
      </w:r>
    </w:p>
    <w:p w14:paraId="2060F780" w14:textId="77777777" w:rsidR="00226F79" w:rsidRPr="00226F79" w:rsidRDefault="00226F79" w:rsidP="00226F79">
      <w:pPr>
        <w:jc w:val="both"/>
        <w:rPr>
          <w:sz w:val="24"/>
          <w:szCs w:val="24"/>
        </w:rPr>
      </w:pPr>
    </w:p>
    <w:p w14:paraId="4303AD63" w14:textId="11C3984B" w:rsidR="00226F79" w:rsidRPr="00226F79" w:rsidRDefault="00226F79" w:rsidP="00226F79">
      <w:pPr>
        <w:jc w:val="both"/>
        <w:rPr>
          <w:sz w:val="24"/>
          <w:szCs w:val="24"/>
        </w:rPr>
      </w:pPr>
      <w:r w:rsidRPr="00226F79">
        <w:rPr>
          <w:sz w:val="24"/>
          <w:szCs w:val="24"/>
        </w:rPr>
        <w:t xml:space="preserve">3. City/Town: </w:t>
      </w:r>
      <w:sdt>
        <w:sdtPr>
          <w:rPr>
            <w:sz w:val="24"/>
            <w:szCs w:val="24"/>
          </w:rPr>
          <w:id w:val="-2124614724"/>
          <w:placeholder>
            <w:docPart w:val="8C51350C3C2E40C7B851479DE8F27FC8"/>
          </w:placeholder>
        </w:sdtPr>
        <w:sdtEndPr/>
        <w:sdtContent>
          <w:r w:rsidR="0068607D" w:rsidRPr="0068607D">
            <w:rPr>
              <w:b/>
              <w:bCs/>
              <w:sz w:val="24"/>
              <w:szCs w:val="24"/>
            </w:rPr>
            <w:t xml:space="preserve">Geneva and </w:t>
          </w:r>
          <w:r w:rsidR="00E62D6D" w:rsidRPr="0068607D">
            <w:rPr>
              <w:b/>
              <w:bCs/>
              <w:sz w:val="24"/>
              <w:szCs w:val="24"/>
            </w:rPr>
            <w:t>Cairo</w:t>
          </w:r>
        </w:sdtContent>
      </w:sdt>
      <w:r w:rsidRPr="00226F79">
        <w:rPr>
          <w:sz w:val="24"/>
          <w:szCs w:val="24"/>
        </w:rPr>
        <w:t xml:space="preserve"> </w:t>
      </w:r>
    </w:p>
    <w:p w14:paraId="7F1F782B" w14:textId="77777777" w:rsidR="00226F79" w:rsidRPr="00226F79" w:rsidRDefault="00226F79" w:rsidP="00226F79">
      <w:pPr>
        <w:jc w:val="both"/>
        <w:rPr>
          <w:sz w:val="24"/>
          <w:szCs w:val="24"/>
        </w:rPr>
      </w:pPr>
    </w:p>
    <w:p w14:paraId="7551F537" w14:textId="5639F9D8" w:rsidR="00226F79" w:rsidRPr="00226F79" w:rsidRDefault="00226F79" w:rsidP="00226F79">
      <w:pPr>
        <w:jc w:val="both"/>
        <w:rPr>
          <w:sz w:val="24"/>
          <w:szCs w:val="24"/>
        </w:rPr>
      </w:pPr>
      <w:r w:rsidRPr="00226F79">
        <w:rPr>
          <w:sz w:val="24"/>
          <w:szCs w:val="24"/>
        </w:rPr>
        <w:t xml:space="preserve">4. State/Province: </w:t>
      </w:r>
      <w:sdt>
        <w:sdtPr>
          <w:rPr>
            <w:b/>
            <w:bCs/>
            <w:sz w:val="24"/>
            <w:szCs w:val="24"/>
          </w:rPr>
          <w:id w:val="1607307630"/>
          <w:placeholder>
            <w:docPart w:val="8C51350C3C2E40C7B851479DE8F27FC8"/>
          </w:placeholder>
        </w:sdtPr>
        <w:sdtEndPr>
          <w:rPr>
            <w:b w:val="0"/>
            <w:bCs w:val="0"/>
          </w:rPr>
        </w:sdtEndPr>
        <w:sdtContent>
          <w:r w:rsidR="0068607D" w:rsidRPr="0068607D">
            <w:rPr>
              <w:b/>
              <w:bCs/>
              <w:sz w:val="24"/>
              <w:szCs w:val="24"/>
            </w:rPr>
            <w:t xml:space="preserve">Switzerland and </w:t>
          </w:r>
          <w:r w:rsidR="00E62D6D" w:rsidRPr="0068607D">
            <w:rPr>
              <w:b/>
              <w:bCs/>
              <w:sz w:val="24"/>
              <w:szCs w:val="24"/>
            </w:rPr>
            <w:t>Egypt</w:t>
          </w:r>
        </w:sdtContent>
      </w:sdt>
    </w:p>
    <w:p w14:paraId="643938E3" w14:textId="77777777" w:rsidR="00226F79" w:rsidRPr="00226F79" w:rsidRDefault="00226F79" w:rsidP="00226F79">
      <w:pPr>
        <w:jc w:val="both"/>
        <w:rPr>
          <w:sz w:val="24"/>
          <w:szCs w:val="24"/>
        </w:rPr>
      </w:pPr>
    </w:p>
    <w:p w14:paraId="02484AB0" w14:textId="1D651107" w:rsidR="00226F79" w:rsidRPr="003E2C9F" w:rsidRDefault="00226F79" w:rsidP="00226F79">
      <w:pPr>
        <w:jc w:val="both"/>
        <w:rPr>
          <w:b/>
          <w:bCs/>
          <w:sz w:val="24"/>
          <w:szCs w:val="24"/>
        </w:rPr>
      </w:pPr>
      <w:r w:rsidRPr="00226F79">
        <w:rPr>
          <w:sz w:val="24"/>
          <w:szCs w:val="24"/>
        </w:rPr>
        <w:lastRenderedPageBreak/>
        <w:t xml:space="preserve">5. Country (please indicate your region or “international” if focus the work of your organization covers multiple countries); </w:t>
      </w:r>
      <w:sdt>
        <w:sdtPr>
          <w:rPr>
            <w:b/>
            <w:bCs/>
            <w:sz w:val="24"/>
            <w:szCs w:val="24"/>
          </w:rPr>
          <w:id w:val="97685920"/>
          <w:placeholder>
            <w:docPart w:val="8C51350C3C2E40C7B851479DE8F27FC8"/>
          </w:placeholder>
        </w:sdtPr>
        <w:sdtEndPr/>
        <w:sdtContent>
          <w:r w:rsidR="0068607D" w:rsidRPr="003E2C9F">
            <w:rPr>
              <w:b/>
              <w:bCs/>
              <w:sz w:val="24"/>
              <w:szCs w:val="24"/>
            </w:rPr>
            <w:t>Middle East, Africa and global</w:t>
          </w:r>
        </w:sdtContent>
      </w:sdt>
    </w:p>
    <w:p w14:paraId="2A65FCD5" w14:textId="77777777" w:rsidR="00226F79" w:rsidRPr="00226F79" w:rsidRDefault="00226F79" w:rsidP="00226F79">
      <w:pPr>
        <w:jc w:val="both"/>
        <w:rPr>
          <w:sz w:val="24"/>
          <w:szCs w:val="24"/>
        </w:rPr>
      </w:pPr>
    </w:p>
    <w:p w14:paraId="25A14861" w14:textId="48D55DF6" w:rsidR="00226F79" w:rsidRPr="00226F79" w:rsidRDefault="00226F79" w:rsidP="00226F79">
      <w:pPr>
        <w:jc w:val="both"/>
        <w:rPr>
          <w:sz w:val="24"/>
          <w:szCs w:val="24"/>
        </w:rPr>
      </w:pPr>
      <w:r w:rsidRPr="00226F79">
        <w:rPr>
          <w:sz w:val="24"/>
          <w:szCs w:val="24"/>
        </w:rPr>
        <w:t xml:space="preserve">6. Contact e-mail (will remain confidential) in case we have questions:  </w:t>
      </w:r>
      <w:sdt>
        <w:sdtPr>
          <w:rPr>
            <w:sz w:val="24"/>
            <w:szCs w:val="24"/>
          </w:rPr>
          <w:id w:val="736523558"/>
          <w:placeholder>
            <w:docPart w:val="8C51350C3C2E40C7B851479DE8F27FC8"/>
          </w:placeholder>
          <w:showingPlcHdr/>
        </w:sdtPr>
        <w:sdtEndPr/>
        <w:sdtContent>
          <w:r w:rsidR="0050116A" w:rsidRPr="00F50928">
            <w:rPr>
              <w:rStyle w:val="PlaceholderText"/>
            </w:rPr>
            <w:t>Click here to enter text.</w:t>
          </w:r>
        </w:sdtContent>
      </w:sdt>
    </w:p>
    <w:p w14:paraId="37628948" w14:textId="77777777" w:rsidR="00226F79" w:rsidRDefault="00226F79">
      <w:pPr>
        <w:rPr>
          <w:sz w:val="24"/>
          <w:szCs w:val="24"/>
        </w:rPr>
      </w:pPr>
      <w:r>
        <w:rPr>
          <w:sz w:val="24"/>
          <w:szCs w:val="24"/>
        </w:rPr>
        <w:br w:type="page"/>
      </w:r>
    </w:p>
    <w:p w14:paraId="5A39530A" w14:textId="4F0E13A9" w:rsidR="00226F79" w:rsidRPr="00226F79" w:rsidRDefault="00D1481C" w:rsidP="00D1481C">
      <w:pPr>
        <w:spacing w:after="120"/>
        <w:rPr>
          <w:b/>
          <w:sz w:val="24"/>
          <w:szCs w:val="24"/>
          <w:u w:val="single"/>
        </w:rPr>
      </w:pPr>
      <w:r w:rsidRPr="00226F79">
        <w:rPr>
          <w:b/>
          <w:sz w:val="24"/>
          <w:szCs w:val="24"/>
          <w:u w:val="single"/>
        </w:rPr>
        <w:lastRenderedPageBreak/>
        <w:t>Housing Discrimination</w:t>
      </w:r>
    </w:p>
    <w:p w14:paraId="2A160E20" w14:textId="77777777" w:rsidR="00226F79" w:rsidRPr="00226F79" w:rsidRDefault="00226F79" w:rsidP="00387DD2">
      <w:pPr>
        <w:spacing w:after="120"/>
        <w:jc w:val="both"/>
        <w:rPr>
          <w:sz w:val="24"/>
          <w:szCs w:val="24"/>
        </w:rPr>
      </w:pPr>
      <w:r w:rsidRPr="00226F79">
        <w:rPr>
          <w:sz w:val="24"/>
          <w:szCs w:val="24"/>
        </w:rPr>
        <w:t>7. What specific forms of de facto or legal discrimination or barriers towards equal enjoyment of the right to adequate housing do the following groups face in your country (please provide evidence with examples, studies, reports and relevant statistical information):</w:t>
      </w:r>
    </w:p>
    <w:p w14:paraId="4CE4D97E" w14:textId="77777777" w:rsidR="00226F79" w:rsidRPr="00387DD2" w:rsidRDefault="00226F79" w:rsidP="005B24CB">
      <w:pPr>
        <w:pStyle w:val="ListParagraph"/>
        <w:numPr>
          <w:ilvl w:val="0"/>
          <w:numId w:val="1"/>
        </w:numPr>
        <w:jc w:val="both"/>
        <w:rPr>
          <w:b/>
          <w:bCs/>
          <w:sz w:val="24"/>
          <w:szCs w:val="24"/>
        </w:rPr>
      </w:pPr>
      <w:r w:rsidRPr="00387DD2">
        <w:rPr>
          <w:b/>
          <w:bCs/>
          <w:sz w:val="24"/>
          <w:szCs w:val="24"/>
        </w:rPr>
        <w:t>Racial, caste, ethnic, religious groups/minorities or other groups</w:t>
      </w:r>
    </w:p>
    <w:p w14:paraId="02788BE5" w14:textId="77777777" w:rsidR="00226F79" w:rsidRPr="00387DD2" w:rsidRDefault="00226F79" w:rsidP="005B24CB">
      <w:pPr>
        <w:pStyle w:val="ListParagraph"/>
        <w:numPr>
          <w:ilvl w:val="0"/>
          <w:numId w:val="1"/>
        </w:numPr>
        <w:jc w:val="both"/>
        <w:rPr>
          <w:b/>
          <w:bCs/>
          <w:sz w:val="24"/>
          <w:szCs w:val="24"/>
        </w:rPr>
      </w:pPr>
      <w:r w:rsidRPr="00387DD2">
        <w:rPr>
          <w:b/>
          <w:bCs/>
          <w:sz w:val="24"/>
          <w:szCs w:val="24"/>
        </w:rPr>
        <w:t xml:space="preserve">Migrants, foreigners, refugees, internally displaced persons </w:t>
      </w:r>
    </w:p>
    <w:p w14:paraId="1C10F209" w14:textId="77777777" w:rsidR="00226F79" w:rsidRPr="00387DD2" w:rsidRDefault="00226F79" w:rsidP="005B24CB">
      <w:pPr>
        <w:pStyle w:val="ListParagraph"/>
        <w:numPr>
          <w:ilvl w:val="0"/>
          <w:numId w:val="1"/>
        </w:numPr>
        <w:jc w:val="both"/>
        <w:rPr>
          <w:b/>
          <w:bCs/>
          <w:sz w:val="24"/>
          <w:szCs w:val="24"/>
        </w:rPr>
      </w:pPr>
      <w:r w:rsidRPr="00387DD2">
        <w:rPr>
          <w:b/>
          <w:bCs/>
          <w:sz w:val="24"/>
          <w:szCs w:val="24"/>
        </w:rPr>
        <w:t>Indigenous peoples</w:t>
      </w:r>
    </w:p>
    <w:p w14:paraId="4629A7AE" w14:textId="1DA076BA" w:rsidR="00226F79" w:rsidRPr="00387DD2" w:rsidRDefault="00226F79" w:rsidP="005B24CB">
      <w:pPr>
        <w:pStyle w:val="ListParagraph"/>
        <w:numPr>
          <w:ilvl w:val="0"/>
          <w:numId w:val="1"/>
        </w:numPr>
        <w:jc w:val="both"/>
        <w:rPr>
          <w:b/>
          <w:bCs/>
          <w:sz w:val="24"/>
          <w:szCs w:val="24"/>
        </w:rPr>
      </w:pPr>
      <w:r w:rsidRPr="00387DD2">
        <w:rPr>
          <w:b/>
          <w:bCs/>
          <w:sz w:val="24"/>
          <w:szCs w:val="24"/>
        </w:rPr>
        <w:t>Low</w:t>
      </w:r>
      <w:r w:rsidR="002E35A9" w:rsidRPr="00387DD2">
        <w:rPr>
          <w:b/>
          <w:bCs/>
          <w:sz w:val="24"/>
          <w:szCs w:val="24"/>
        </w:rPr>
        <w:t>-</w:t>
      </w:r>
      <w:r w:rsidRPr="00387DD2">
        <w:rPr>
          <w:b/>
          <w:bCs/>
          <w:sz w:val="24"/>
          <w:szCs w:val="24"/>
        </w:rPr>
        <w:t xml:space="preserve">income persons, including people living in poverty </w:t>
      </w:r>
    </w:p>
    <w:p w14:paraId="47129C19" w14:textId="77777777" w:rsidR="00226F79" w:rsidRPr="00387DD2" w:rsidRDefault="00226F79" w:rsidP="005B24CB">
      <w:pPr>
        <w:pStyle w:val="ListParagraph"/>
        <w:numPr>
          <w:ilvl w:val="0"/>
          <w:numId w:val="1"/>
        </w:numPr>
        <w:jc w:val="both"/>
        <w:rPr>
          <w:b/>
          <w:bCs/>
          <w:sz w:val="24"/>
          <w:szCs w:val="24"/>
        </w:rPr>
      </w:pPr>
      <w:r w:rsidRPr="00387DD2">
        <w:rPr>
          <w:b/>
          <w:bCs/>
          <w:sz w:val="24"/>
          <w:szCs w:val="24"/>
        </w:rPr>
        <w:t>Residents of informal settlements; persons experiencing homelessness</w:t>
      </w:r>
    </w:p>
    <w:p w14:paraId="533CDE2D" w14:textId="77777777" w:rsidR="00226F79" w:rsidRPr="00226F79" w:rsidRDefault="00226F79" w:rsidP="00226F79">
      <w:pPr>
        <w:jc w:val="both"/>
        <w:rPr>
          <w:sz w:val="24"/>
          <w:szCs w:val="24"/>
        </w:rPr>
      </w:pPr>
    </w:p>
    <w:sdt>
      <w:sdtPr>
        <w:rPr>
          <w:sz w:val="24"/>
          <w:szCs w:val="24"/>
        </w:rPr>
        <w:id w:val="726886835"/>
        <w:placeholder>
          <w:docPart w:val="8C51350C3C2E40C7B851479DE8F27FC8"/>
        </w:placeholder>
      </w:sdtPr>
      <w:sdtEndPr>
        <w:rPr>
          <w:b/>
          <w:bCs/>
        </w:rPr>
      </w:sdtEndPr>
      <w:sdtContent>
        <w:p w14:paraId="23F1CF48" w14:textId="5EA6F9CC" w:rsidR="00EE41FB" w:rsidRPr="00EE41FB" w:rsidRDefault="00EE41FB" w:rsidP="00EE41FB">
          <w:pPr>
            <w:spacing w:after="120"/>
            <w:rPr>
              <w:b/>
              <w:bCs/>
              <w:sz w:val="24"/>
              <w:szCs w:val="24"/>
            </w:rPr>
          </w:pPr>
          <w:r w:rsidRPr="00EE41FB">
            <w:rPr>
              <w:b/>
              <w:bCs/>
              <w:sz w:val="24"/>
              <w:szCs w:val="24"/>
            </w:rPr>
            <w:t>Subjects covered:</w:t>
          </w:r>
        </w:p>
        <w:p w14:paraId="5F3C6F86" w14:textId="46DA2374" w:rsidR="00EE41FB" w:rsidRDefault="00EE41FB" w:rsidP="00EE41FB">
          <w:pPr>
            <w:jc w:val="both"/>
            <w:rPr>
              <w:b/>
              <w:bCs/>
              <w:sz w:val="24"/>
              <w:szCs w:val="24"/>
            </w:rPr>
          </w:pPr>
          <w:r w:rsidRPr="00685084">
            <w:rPr>
              <w:b/>
              <w:bCs/>
              <w:sz w:val="24"/>
              <w:szCs w:val="24"/>
            </w:rPr>
            <w:t xml:space="preserve">Demolitions, discriminatory planning and zoning, demographic manipulation, </w:t>
          </w:r>
          <w:r>
            <w:rPr>
              <w:b/>
              <w:bCs/>
              <w:sz w:val="24"/>
              <w:szCs w:val="24"/>
            </w:rPr>
            <w:t xml:space="preserve">denial of nationality, </w:t>
          </w:r>
          <w:r w:rsidRPr="00685084">
            <w:rPr>
              <w:b/>
              <w:bCs/>
              <w:sz w:val="24"/>
              <w:szCs w:val="24"/>
            </w:rPr>
            <w:t>and denial of the right of to return to their homes and property a</w:t>
          </w:r>
          <w:r>
            <w:rPr>
              <w:b/>
              <w:bCs/>
              <w:sz w:val="24"/>
              <w:szCs w:val="24"/>
            </w:rPr>
            <w:t>re</w:t>
          </w:r>
          <w:r w:rsidRPr="00685084">
            <w:rPr>
              <w:b/>
              <w:bCs/>
              <w:sz w:val="24"/>
              <w:szCs w:val="24"/>
            </w:rPr>
            <w:t xml:space="preserve"> just some of the key areas in which Palestinians face housing-related discrimination </w:t>
          </w:r>
          <w:r>
            <w:rPr>
              <w:b/>
              <w:bCs/>
              <w:sz w:val="24"/>
              <w:szCs w:val="24"/>
            </w:rPr>
            <w:t>under</w:t>
          </w:r>
          <w:r w:rsidRPr="00685084">
            <w:rPr>
              <w:b/>
              <w:bCs/>
              <w:sz w:val="24"/>
              <w:szCs w:val="24"/>
            </w:rPr>
            <w:t xml:space="preserve"> Israeli </w:t>
          </w:r>
          <w:r>
            <w:rPr>
              <w:b/>
              <w:bCs/>
              <w:sz w:val="24"/>
              <w:szCs w:val="24"/>
            </w:rPr>
            <w:t xml:space="preserve">law, </w:t>
          </w:r>
          <w:r w:rsidRPr="00685084">
            <w:rPr>
              <w:b/>
              <w:bCs/>
              <w:sz w:val="24"/>
              <w:szCs w:val="24"/>
            </w:rPr>
            <w:t>policy</w:t>
          </w:r>
          <w:r>
            <w:rPr>
              <w:b/>
              <w:bCs/>
              <w:sz w:val="24"/>
              <w:szCs w:val="24"/>
            </w:rPr>
            <w:t xml:space="preserve"> and institutions</w:t>
          </w:r>
          <w:r w:rsidRPr="00685084">
            <w:rPr>
              <w:b/>
              <w:bCs/>
              <w:sz w:val="24"/>
              <w:szCs w:val="24"/>
            </w:rPr>
            <w:t>.</w:t>
          </w:r>
        </w:p>
        <w:p w14:paraId="398EE2A5" w14:textId="77777777" w:rsidR="00EE41FB" w:rsidRDefault="00EE41FB" w:rsidP="00EE41FB">
          <w:pPr>
            <w:jc w:val="both"/>
            <w:rPr>
              <w:b/>
              <w:bCs/>
              <w:sz w:val="24"/>
              <w:szCs w:val="24"/>
            </w:rPr>
          </w:pPr>
        </w:p>
        <w:p w14:paraId="06582147" w14:textId="2C8FCE80" w:rsidR="00EE41FB" w:rsidRPr="00EE41FB" w:rsidRDefault="00EE41FB" w:rsidP="00EE41FB">
          <w:pPr>
            <w:spacing w:after="120"/>
            <w:rPr>
              <w:b/>
              <w:bCs/>
              <w:sz w:val="24"/>
              <w:szCs w:val="24"/>
            </w:rPr>
          </w:pPr>
          <w:r w:rsidRPr="00EE41FB">
            <w:rPr>
              <w:b/>
              <w:bCs/>
              <w:sz w:val="24"/>
              <w:szCs w:val="24"/>
            </w:rPr>
            <w:t>Scope:</w:t>
          </w:r>
        </w:p>
        <w:p w14:paraId="34ECAED4" w14:textId="77777777" w:rsidR="00EE41FB" w:rsidRDefault="001C301C" w:rsidP="001C301C">
          <w:pPr>
            <w:jc w:val="both"/>
            <w:rPr>
              <w:b/>
              <w:bCs/>
              <w:sz w:val="24"/>
              <w:szCs w:val="24"/>
              <w:lang w:val="en-US"/>
            </w:rPr>
          </w:pPr>
          <w:r w:rsidRPr="007530EF">
            <w:rPr>
              <w:b/>
              <w:bCs/>
              <w:sz w:val="24"/>
              <w:szCs w:val="24"/>
              <w:lang w:val="en-US"/>
            </w:rPr>
            <w:t xml:space="preserve">Law, policy and implementing institutions in Israel’s housing and land sectors exemplify the common strategies of other colonial and apartheid regimes to eliminate indigenous Palestinians physically and/or spatially from their habitats and coveted lands, backed by various types of </w:t>
          </w:r>
          <w:r w:rsidR="007530EF">
            <w:rPr>
              <w:b/>
              <w:bCs/>
              <w:sz w:val="24"/>
              <w:szCs w:val="24"/>
              <w:lang w:val="en-US"/>
            </w:rPr>
            <w:t xml:space="preserve">legal, military and other brute </w:t>
          </w:r>
          <w:r w:rsidRPr="007530EF">
            <w:rPr>
              <w:b/>
              <w:bCs/>
              <w:sz w:val="24"/>
              <w:szCs w:val="24"/>
              <w:lang w:val="en-US"/>
            </w:rPr>
            <w:t xml:space="preserve">force. </w:t>
          </w:r>
        </w:p>
        <w:p w14:paraId="3675037B" w14:textId="77777777" w:rsidR="00EE41FB" w:rsidRDefault="00EE41FB" w:rsidP="001C301C">
          <w:pPr>
            <w:jc w:val="both"/>
            <w:rPr>
              <w:b/>
              <w:bCs/>
              <w:sz w:val="24"/>
              <w:szCs w:val="24"/>
              <w:lang w:val="en-US"/>
            </w:rPr>
          </w:pPr>
        </w:p>
        <w:p w14:paraId="612446CD" w14:textId="1EAF957D" w:rsidR="00226F79" w:rsidRPr="007530EF" w:rsidRDefault="001C301C" w:rsidP="001C301C">
          <w:pPr>
            <w:jc w:val="both"/>
            <w:rPr>
              <w:rFonts w:ascii="Calibri" w:hAnsi="Calibri" w:cs="Calibri"/>
              <w:b/>
              <w:bCs/>
            </w:rPr>
          </w:pPr>
          <w:r w:rsidRPr="007530EF">
            <w:rPr>
              <w:b/>
              <w:bCs/>
              <w:sz w:val="24"/>
              <w:szCs w:val="24"/>
              <w:lang w:val="en-US"/>
            </w:rPr>
            <w:t xml:space="preserve">Supporting information can be found in the answers below, which all focus on the impacts of the Israeli apartheid </w:t>
          </w:r>
          <w:r w:rsidR="007530EF">
            <w:rPr>
              <w:b/>
              <w:bCs/>
              <w:sz w:val="24"/>
              <w:szCs w:val="24"/>
              <w:lang w:val="en-US"/>
            </w:rPr>
            <w:t xml:space="preserve">housing and land-administration </w:t>
          </w:r>
          <w:r w:rsidRPr="007530EF">
            <w:rPr>
              <w:b/>
              <w:bCs/>
              <w:sz w:val="24"/>
              <w:szCs w:val="24"/>
              <w:lang w:val="en-US"/>
            </w:rPr>
            <w:t xml:space="preserve">system </w:t>
          </w:r>
          <w:r w:rsidR="007530EF">
            <w:rPr>
              <w:b/>
              <w:bCs/>
              <w:sz w:val="24"/>
              <w:szCs w:val="24"/>
              <w:lang w:val="en-US"/>
            </w:rPr>
            <w:t xml:space="preserve">set up to dispossess and otherwise materially discriminate against the </w:t>
          </w:r>
          <w:r w:rsidR="00D65535" w:rsidRPr="007530EF">
            <w:rPr>
              <w:b/>
              <w:bCs/>
              <w:sz w:val="24"/>
              <w:szCs w:val="24"/>
              <w:lang w:val="en-US"/>
            </w:rPr>
            <w:t>Palestinian</w:t>
          </w:r>
          <w:r w:rsidR="007530EF">
            <w:rPr>
              <w:b/>
              <w:bCs/>
              <w:sz w:val="24"/>
              <w:szCs w:val="24"/>
              <w:lang w:val="en-US"/>
            </w:rPr>
            <w:t xml:space="preserve"> people a</w:t>
          </w:r>
          <w:r w:rsidR="00D65535" w:rsidRPr="007530EF">
            <w:rPr>
              <w:b/>
              <w:bCs/>
              <w:sz w:val="24"/>
              <w:szCs w:val="24"/>
              <w:lang w:val="en-US"/>
            </w:rPr>
            <w:t xml:space="preserve">s </w:t>
          </w:r>
          <w:r w:rsidR="007530EF">
            <w:rPr>
              <w:b/>
              <w:bCs/>
              <w:sz w:val="24"/>
              <w:szCs w:val="24"/>
              <w:lang w:val="en-US"/>
            </w:rPr>
            <w:t xml:space="preserve">a whole, </w:t>
          </w:r>
          <w:r w:rsidR="00D65535" w:rsidRPr="007530EF">
            <w:rPr>
              <w:b/>
              <w:bCs/>
              <w:sz w:val="24"/>
              <w:szCs w:val="24"/>
              <w:lang w:val="en-US"/>
            </w:rPr>
            <w:t>on both sides of the Green Line</w:t>
          </w:r>
          <w:r w:rsidR="007530EF">
            <w:rPr>
              <w:b/>
              <w:bCs/>
              <w:sz w:val="24"/>
              <w:szCs w:val="24"/>
              <w:lang w:val="en-US"/>
            </w:rPr>
            <w:t xml:space="preserve"> </w:t>
          </w:r>
          <w:r w:rsidR="00EE41FB">
            <w:rPr>
              <w:b/>
              <w:bCs/>
              <w:sz w:val="24"/>
              <w:szCs w:val="24"/>
              <w:lang w:val="en-US"/>
            </w:rPr>
            <w:t xml:space="preserve">(1948–49 Armistice Lines) </w:t>
          </w:r>
          <w:r w:rsidR="007530EF">
            <w:rPr>
              <w:b/>
              <w:bCs/>
              <w:sz w:val="24"/>
              <w:szCs w:val="24"/>
              <w:lang w:val="en-US"/>
            </w:rPr>
            <w:t>and in exile</w:t>
          </w:r>
          <w:r w:rsidR="00D65535" w:rsidRPr="007530EF">
            <w:rPr>
              <w:b/>
              <w:bCs/>
              <w:sz w:val="24"/>
              <w:szCs w:val="24"/>
              <w:lang w:val="en-US"/>
            </w:rPr>
            <w:t xml:space="preserve">. </w:t>
          </w:r>
          <w:r w:rsidR="00B85C6E">
            <w:rPr>
              <w:b/>
              <w:bCs/>
              <w:sz w:val="24"/>
              <w:szCs w:val="24"/>
              <w:lang w:val="en-US"/>
            </w:rPr>
            <w:t xml:space="preserve">In the interest of thorough geographical coverage, analogies are drawn with the housing </w:t>
          </w:r>
          <w:r w:rsidR="00387DD2">
            <w:rPr>
              <w:b/>
              <w:bCs/>
              <w:sz w:val="24"/>
              <w:szCs w:val="24"/>
              <w:lang w:val="en-US"/>
            </w:rPr>
            <w:t>an</w:t>
          </w:r>
          <w:r w:rsidR="00B85C6E">
            <w:rPr>
              <w:b/>
              <w:bCs/>
              <w:sz w:val="24"/>
              <w:szCs w:val="24"/>
              <w:lang w:val="en-US"/>
            </w:rPr>
            <w:t>d</w:t>
          </w:r>
          <w:r w:rsidR="00387DD2">
            <w:rPr>
              <w:b/>
              <w:bCs/>
              <w:sz w:val="24"/>
              <w:szCs w:val="24"/>
              <w:lang w:val="en-US"/>
            </w:rPr>
            <w:t xml:space="preserve"> </w:t>
          </w:r>
          <w:r w:rsidR="00B85C6E">
            <w:rPr>
              <w:b/>
              <w:bCs/>
              <w:sz w:val="24"/>
              <w:szCs w:val="24"/>
              <w:lang w:val="en-US"/>
            </w:rPr>
            <w:t xml:space="preserve">land rights conditions also in the Syrian Goal, which Israel acquired by military force and has occupied since 1967, and illegally annexed in 1981. </w:t>
          </w:r>
        </w:p>
      </w:sdtContent>
    </w:sdt>
    <w:p w14:paraId="47BD1A3D" w14:textId="77777777" w:rsidR="00226F79" w:rsidRPr="00226F79" w:rsidRDefault="00226F79" w:rsidP="00226F79">
      <w:pPr>
        <w:jc w:val="both"/>
        <w:rPr>
          <w:sz w:val="24"/>
          <w:szCs w:val="24"/>
        </w:rPr>
      </w:pPr>
    </w:p>
    <w:p w14:paraId="3CA461FD" w14:textId="77777777" w:rsidR="00226F79" w:rsidRPr="00226F79" w:rsidRDefault="00226F79" w:rsidP="00226F79">
      <w:pPr>
        <w:jc w:val="both"/>
        <w:rPr>
          <w:sz w:val="24"/>
          <w:szCs w:val="24"/>
        </w:rPr>
      </w:pPr>
      <w:r w:rsidRPr="00226F79">
        <w:rPr>
          <w:sz w:val="24"/>
          <w:szCs w:val="24"/>
        </w:rPr>
        <w:t xml:space="preserve">8. Discrimination in housing can affect various dimensions of the right to adequate housing and other human rights. Could you provide more details regarding the specific areas in which housing discrimination is experienced? Below are examples of various forms of discrimination that can be experienced in relation to different dimensions of the right to adequate housing: </w:t>
      </w:r>
    </w:p>
    <w:p w14:paraId="681A0586" w14:textId="77777777" w:rsidR="00226F79" w:rsidRPr="00226F79" w:rsidRDefault="00226F79" w:rsidP="00226F79">
      <w:pPr>
        <w:pStyle w:val="ListParagraph"/>
        <w:jc w:val="both"/>
        <w:rPr>
          <w:sz w:val="24"/>
          <w:szCs w:val="24"/>
        </w:rPr>
      </w:pPr>
    </w:p>
    <w:sdt>
      <w:sdtPr>
        <w:rPr>
          <w:sz w:val="24"/>
          <w:szCs w:val="24"/>
          <w:highlight w:val="yellow"/>
        </w:rPr>
        <w:id w:val="727583382"/>
      </w:sdtPr>
      <w:sdtEndPr>
        <w:rPr>
          <w:highlight w:val="none"/>
        </w:rPr>
      </w:sdtEndPr>
      <w:sdtContent>
        <w:p w14:paraId="31907D83" w14:textId="77777777" w:rsidR="00A31347" w:rsidRPr="00A31347" w:rsidRDefault="00A31347" w:rsidP="00A31347">
          <w:pPr>
            <w:spacing w:after="120"/>
            <w:rPr>
              <w:b/>
              <w:bCs/>
              <w:sz w:val="24"/>
              <w:szCs w:val="24"/>
            </w:rPr>
          </w:pPr>
          <w:r w:rsidRPr="00A31347">
            <w:rPr>
              <w:b/>
              <w:bCs/>
              <w:sz w:val="24"/>
              <w:szCs w:val="24"/>
            </w:rPr>
            <w:t>Institutionalized material discrimination and spatial segregation:</w:t>
          </w:r>
        </w:p>
        <w:p w14:paraId="7868B629" w14:textId="4171928E" w:rsidR="004778B8" w:rsidRPr="004778B8" w:rsidRDefault="004778B8" w:rsidP="004778B8">
          <w:pPr>
            <w:jc w:val="both"/>
            <w:rPr>
              <w:b/>
              <w:bCs/>
              <w:sz w:val="24"/>
              <w:szCs w:val="24"/>
            </w:rPr>
          </w:pPr>
          <w:r w:rsidRPr="004778B8">
            <w:rPr>
              <w:b/>
              <w:bCs/>
              <w:sz w:val="24"/>
              <w:szCs w:val="24"/>
            </w:rPr>
            <w:t xml:space="preserve">One feature of Israel’s apartheid distinct from southern Africa’s colonial regimes in housing and land policy and practice is the sheer scale of expelling the indigenous people, while implanting religiously and (supposed) racially distinct settlers in </w:t>
          </w:r>
          <w:r>
            <w:rPr>
              <w:b/>
              <w:bCs/>
              <w:sz w:val="24"/>
              <w:szCs w:val="24"/>
            </w:rPr>
            <w:t>their</w:t>
          </w:r>
          <w:r w:rsidRPr="004778B8">
            <w:rPr>
              <w:b/>
              <w:bCs/>
              <w:sz w:val="24"/>
              <w:szCs w:val="24"/>
            </w:rPr>
            <w:t xml:space="preserve"> place. While population transfer—with these push-and-pull factors—was being codified</w:t>
          </w:r>
          <w:r w:rsidRPr="004778B8">
            <w:rPr>
              <w:b/>
              <w:bCs/>
              <w:sz w:val="24"/>
              <w:szCs w:val="24"/>
              <w:vertAlign w:val="superscript"/>
            </w:rPr>
            <w:endnoteReference w:id="1"/>
          </w:r>
          <w:r w:rsidRPr="004778B8">
            <w:rPr>
              <w:b/>
              <w:bCs/>
              <w:sz w:val="24"/>
              <w:szCs w:val="24"/>
            </w:rPr>
            <w:t xml:space="preserve"> and eventually prosecuted</w:t>
          </w:r>
          <w:r w:rsidRPr="004778B8">
            <w:rPr>
              <w:b/>
              <w:bCs/>
              <w:sz w:val="24"/>
              <w:szCs w:val="24"/>
              <w:vertAlign w:val="superscript"/>
            </w:rPr>
            <w:endnoteReference w:id="2"/>
          </w:r>
          <w:r w:rsidRPr="004778B8">
            <w:rPr>
              <w:b/>
              <w:bCs/>
              <w:sz w:val="24"/>
              <w:szCs w:val="24"/>
            </w:rPr>
            <w:t xml:space="preserve"> as a war crime and crime against humanity, Israel’s civilian Zionist institutions were plotting and perpetrating the same within their growing sphere of influence in Palestine, including through government bureaus in Western capitals. And despite international humanitarian law (IHL) prohibitions, this violent form of spatial segregation and fragmentation of the indigenous Palestinian people has been carried out also as military doctrine of Israeli forces since 1948 by targeting Palestinian homes, shelters and shelter seekers.</w:t>
          </w:r>
          <w:r w:rsidRPr="004778B8">
            <w:rPr>
              <w:b/>
              <w:bCs/>
              <w:sz w:val="24"/>
              <w:szCs w:val="24"/>
              <w:vertAlign w:val="superscript"/>
            </w:rPr>
            <w:endnoteReference w:id="3"/>
          </w:r>
          <w:r w:rsidRPr="004778B8">
            <w:rPr>
              <w:b/>
              <w:bCs/>
              <w:sz w:val="24"/>
              <w:szCs w:val="24"/>
            </w:rPr>
            <w:t xml:space="preserve"> In complementary fashion, Zionist institutions and punitive/military operations have collaborated to ensure an unbroken pattern of dispossession and transfer under Jewish domination over all of historic Palestine until today.</w:t>
          </w:r>
        </w:p>
        <w:p w14:paraId="2420A4F2" w14:textId="3D1018FE" w:rsidR="00744BBE" w:rsidRDefault="00744BBE" w:rsidP="00336C73">
          <w:pPr>
            <w:jc w:val="both"/>
            <w:rPr>
              <w:b/>
              <w:bCs/>
              <w:sz w:val="24"/>
              <w:szCs w:val="24"/>
            </w:rPr>
          </w:pPr>
        </w:p>
        <w:p w14:paraId="14A6F0C7" w14:textId="42CF4142" w:rsidR="004778B8" w:rsidRPr="004778B8" w:rsidRDefault="004778B8" w:rsidP="004778B8">
          <w:pPr>
            <w:jc w:val="both"/>
            <w:rPr>
              <w:b/>
              <w:bCs/>
              <w:sz w:val="24"/>
              <w:szCs w:val="24"/>
            </w:rPr>
          </w:pPr>
          <w:r w:rsidRPr="004778B8">
            <w:rPr>
              <w:b/>
              <w:bCs/>
              <w:sz w:val="24"/>
              <w:szCs w:val="24"/>
            </w:rPr>
            <w:t>Since the beginning</w:t>
          </w:r>
          <w:r>
            <w:rPr>
              <w:b/>
              <w:bCs/>
              <w:sz w:val="24"/>
              <w:szCs w:val="24"/>
            </w:rPr>
            <w:t xml:space="preserve"> of the Zionist Movement</w:t>
          </w:r>
          <w:r w:rsidRPr="004778B8">
            <w:rPr>
              <w:b/>
              <w:bCs/>
              <w:sz w:val="24"/>
              <w:szCs w:val="24"/>
            </w:rPr>
            <w:t xml:space="preserve">, the World Zionist Organization (WZO), established 1897, and its 1929-founded sister institution, the Jewish Agency (JA), had </w:t>
          </w:r>
          <w:r w:rsidRPr="004778B8">
            <w:rPr>
              <w:b/>
              <w:bCs/>
              <w:sz w:val="24"/>
              <w:szCs w:val="24"/>
              <w:lang w:val="en-US"/>
            </w:rPr>
            <w:t>sought recognition as public bodies under international public law.</w:t>
          </w:r>
          <w:r w:rsidRPr="004778B8">
            <w:rPr>
              <w:b/>
              <w:bCs/>
              <w:sz w:val="24"/>
              <w:szCs w:val="24"/>
              <w:vertAlign w:val="superscript"/>
              <w:lang w:val="en-US"/>
            </w:rPr>
            <w:endnoteReference w:id="4"/>
          </w:r>
          <w:r w:rsidRPr="004778B8">
            <w:rPr>
              <w:b/>
              <w:bCs/>
              <w:sz w:val="24"/>
              <w:szCs w:val="24"/>
              <w:lang w:val="en-US"/>
            </w:rPr>
            <w:t xml:space="preserve"> </w:t>
          </w:r>
          <w:r w:rsidRPr="004778B8">
            <w:rPr>
              <w:b/>
              <w:bCs/>
              <w:sz w:val="24"/>
              <w:szCs w:val="24"/>
            </w:rPr>
            <w:t>They have long carried out public functions, including the direction and implementation of human-settlement policy</w:t>
          </w:r>
          <w:r w:rsidRPr="004778B8">
            <w:rPr>
              <w:b/>
              <w:bCs/>
              <w:sz w:val="24"/>
              <w:szCs w:val="24"/>
              <w:vertAlign w:val="superscript"/>
            </w:rPr>
            <w:endnoteReference w:id="5"/>
          </w:r>
          <w:r w:rsidRPr="004778B8">
            <w:rPr>
              <w:b/>
              <w:bCs/>
              <w:sz w:val="24"/>
              <w:szCs w:val="24"/>
            </w:rPr>
            <w:t xml:space="preserve"> with funding shared</w:t>
          </w:r>
          <w:r w:rsidRPr="004778B8">
            <w:rPr>
              <w:b/>
              <w:bCs/>
              <w:sz w:val="24"/>
              <w:szCs w:val="24"/>
              <w:vertAlign w:val="superscript"/>
            </w:rPr>
            <w:endnoteReference w:id="6"/>
          </w:r>
          <w:r w:rsidRPr="004778B8">
            <w:rPr>
              <w:b/>
              <w:bCs/>
              <w:sz w:val="24"/>
              <w:szCs w:val="24"/>
            </w:rPr>
            <w:t xml:space="preserve"> with the Government of Israel (GoI) since 1948.</w:t>
          </w:r>
          <w:r w:rsidRPr="004778B8">
            <w:rPr>
              <w:b/>
              <w:bCs/>
              <w:sz w:val="24"/>
              <w:szCs w:val="24"/>
              <w:vertAlign w:val="superscript"/>
            </w:rPr>
            <w:endnoteReference w:id="7"/>
          </w:r>
          <w:r w:rsidRPr="004778B8">
            <w:rPr>
              <w:b/>
              <w:bCs/>
              <w:sz w:val="24"/>
              <w:szCs w:val="24"/>
            </w:rPr>
            <w:t xml:space="preserve"> Certain WZO/JA affiliates, especially the Jewish National Fund (JNF), also carry out public functions in housing, development and land administration based on principles of “racial” discrimination and separation to favor persons of Jewish faith. </w:t>
          </w:r>
        </w:p>
        <w:p w14:paraId="636FC4AD" w14:textId="77777777" w:rsidR="004778B8" w:rsidRPr="004778B8" w:rsidRDefault="004778B8" w:rsidP="004778B8">
          <w:pPr>
            <w:jc w:val="both"/>
            <w:rPr>
              <w:b/>
              <w:bCs/>
              <w:sz w:val="24"/>
              <w:szCs w:val="24"/>
            </w:rPr>
          </w:pPr>
        </w:p>
        <w:p w14:paraId="51D91E80" w14:textId="6660BE9D" w:rsidR="004778B8" w:rsidRPr="004E5807" w:rsidRDefault="004778B8" w:rsidP="004778B8">
          <w:pPr>
            <w:jc w:val="both"/>
            <w:rPr>
              <w:b/>
              <w:bCs/>
              <w:spacing w:val="-4"/>
              <w:sz w:val="24"/>
              <w:szCs w:val="24"/>
              <w:lang w:val="en-US"/>
            </w:rPr>
          </w:pPr>
          <w:r w:rsidRPr="004E5807">
            <w:rPr>
              <w:b/>
              <w:bCs/>
              <w:spacing w:val="-4"/>
              <w:sz w:val="24"/>
              <w:szCs w:val="24"/>
            </w:rPr>
            <w:t>T</w:t>
          </w:r>
          <w:r w:rsidRPr="004E5807">
            <w:rPr>
              <w:b/>
              <w:bCs/>
              <w:spacing w:val="-4"/>
              <w:sz w:val="24"/>
              <w:szCs w:val="24"/>
              <w:lang w:val="en-US"/>
            </w:rPr>
            <w:t>he consistent WZO program and strategy have pursued “agricultural colonization [of Palestine] based on [exclusive] Jewish labour” and land acquisition, or “redeeming” land as “inalienable”; i.e., for Jewish possession “in perpetuity.” To manage the material dimensions (finance and acquisitions) of colonizing Palestine, the 5</w:t>
          </w:r>
          <w:r w:rsidRPr="004E5807">
            <w:rPr>
              <w:b/>
              <w:bCs/>
              <w:spacing w:val="-4"/>
              <w:sz w:val="24"/>
              <w:szCs w:val="24"/>
              <w:vertAlign w:val="superscript"/>
              <w:lang w:val="en-US"/>
            </w:rPr>
            <w:t>th</w:t>
          </w:r>
          <w:r w:rsidRPr="004E5807">
            <w:rPr>
              <w:b/>
              <w:bCs/>
              <w:spacing w:val="-4"/>
              <w:sz w:val="24"/>
              <w:szCs w:val="24"/>
              <w:lang w:val="en-US"/>
            </w:rPr>
            <w:t xml:space="preserve"> Zionist Congress (1901) founded the JNF as a subsidiary of the WZO and its eventual sister organization, the JA. </w:t>
          </w:r>
          <w:r w:rsidRPr="004E5807">
            <w:rPr>
              <w:b/>
              <w:bCs/>
              <w:spacing w:val="-4"/>
              <w:sz w:val="24"/>
              <w:szCs w:val="24"/>
            </w:rPr>
            <w:t>In 1905, JNF began pu</w:t>
          </w:r>
          <w:r w:rsidRPr="004E5807">
            <w:rPr>
              <w:b/>
              <w:bCs/>
              <w:spacing w:val="-4"/>
              <w:sz w:val="24"/>
              <w:szCs w:val="24"/>
              <w:lang w:val="en-US"/>
            </w:rPr>
            <w:t>r</w:t>
          </w:r>
          <w:r w:rsidRPr="004E5807">
            <w:rPr>
              <w:b/>
              <w:bCs/>
              <w:spacing w:val="-4"/>
              <w:sz w:val="24"/>
              <w:szCs w:val="24"/>
            </w:rPr>
            <w:t xml:space="preserve">chasing lands in Palestine. </w:t>
          </w:r>
        </w:p>
        <w:p w14:paraId="117405CB" w14:textId="77777777" w:rsidR="004778B8" w:rsidRPr="004778B8" w:rsidRDefault="004778B8" w:rsidP="004778B8">
          <w:pPr>
            <w:jc w:val="both"/>
            <w:rPr>
              <w:b/>
              <w:bCs/>
              <w:sz w:val="24"/>
              <w:szCs w:val="24"/>
            </w:rPr>
          </w:pPr>
        </w:p>
        <w:p w14:paraId="2B0F08CD" w14:textId="4B5344C3" w:rsidR="004778B8" w:rsidRPr="004778B8" w:rsidRDefault="004778B8" w:rsidP="004778B8">
          <w:pPr>
            <w:jc w:val="both"/>
            <w:rPr>
              <w:b/>
              <w:bCs/>
              <w:sz w:val="24"/>
              <w:szCs w:val="24"/>
            </w:rPr>
          </w:pPr>
          <w:r w:rsidRPr="004778B8">
            <w:rPr>
              <w:b/>
              <w:bCs/>
              <w:sz w:val="24"/>
              <w:szCs w:val="24"/>
            </w:rPr>
            <w:t xml:space="preserve">The JNF’s charter explicitly restricts its benefits “whether directly or indirectly, to those of Jewish </w:t>
          </w:r>
          <w:r w:rsidRPr="004778B8">
            <w:rPr>
              <w:b/>
              <w:bCs/>
              <w:i/>
              <w:iCs/>
              <w:sz w:val="24"/>
              <w:szCs w:val="24"/>
            </w:rPr>
            <w:t>race</w:t>
          </w:r>
          <w:r w:rsidRPr="004778B8">
            <w:rPr>
              <w:b/>
              <w:bCs/>
              <w:sz w:val="24"/>
              <w:szCs w:val="24"/>
            </w:rPr>
            <w:t xml:space="preserve"> or descendency”</w:t>
          </w:r>
          <w:r w:rsidRPr="004778B8">
            <w:rPr>
              <w:b/>
              <w:bCs/>
              <w:sz w:val="24"/>
              <w:szCs w:val="24"/>
              <w:vertAlign w:val="superscript"/>
            </w:rPr>
            <w:endnoteReference w:id="8"/>
          </w:r>
          <w:r w:rsidRPr="004778B8">
            <w:rPr>
              <w:b/>
              <w:bCs/>
              <w:sz w:val="24"/>
              <w:szCs w:val="24"/>
            </w:rPr>
            <w:t xml:space="preserve"> (emphasis added). It’s chartered purpose and “primary objective” were—and remain—to “acquire lands in Palestine”</w:t>
          </w:r>
          <w:r w:rsidRPr="004778B8">
            <w:rPr>
              <w:b/>
              <w:bCs/>
              <w:sz w:val="24"/>
              <w:szCs w:val="24"/>
              <w:vertAlign w:val="superscript"/>
            </w:rPr>
            <w:endnoteReference w:id="9"/>
          </w:r>
          <w:r w:rsidRPr="004778B8">
            <w:rPr>
              <w:b/>
              <w:bCs/>
              <w:sz w:val="24"/>
              <w:szCs w:val="24"/>
            </w:rPr>
            <w:t xml:space="preserve"> and to “promote the interests of Jews in the prescribed region.”</w:t>
          </w:r>
          <w:r w:rsidRPr="004778B8">
            <w:rPr>
              <w:b/>
              <w:bCs/>
              <w:sz w:val="24"/>
              <w:szCs w:val="24"/>
              <w:vertAlign w:val="superscript"/>
            </w:rPr>
            <w:endnoteReference w:id="10"/>
          </w:r>
          <w:r w:rsidR="00945F26">
            <w:rPr>
              <w:b/>
              <w:bCs/>
              <w:sz w:val="24"/>
              <w:szCs w:val="24"/>
            </w:rPr>
            <w:t xml:space="preserve"> (See JNF Memorandum of Association in Annex 1.)</w:t>
          </w:r>
        </w:p>
        <w:p w14:paraId="2D9BA616" w14:textId="23A306E2" w:rsidR="004778B8" w:rsidRDefault="004778B8" w:rsidP="00336C73">
          <w:pPr>
            <w:jc w:val="both"/>
            <w:rPr>
              <w:b/>
              <w:bCs/>
              <w:sz w:val="24"/>
              <w:szCs w:val="24"/>
            </w:rPr>
          </w:pPr>
        </w:p>
        <w:p w14:paraId="1B8E346F" w14:textId="77777777" w:rsidR="006F2347" w:rsidRPr="006F2347" w:rsidRDefault="006F2347" w:rsidP="002B623A">
          <w:pPr>
            <w:jc w:val="both"/>
            <w:rPr>
              <w:b/>
              <w:bCs/>
              <w:sz w:val="24"/>
              <w:szCs w:val="24"/>
            </w:rPr>
          </w:pPr>
          <w:r w:rsidRPr="006F2347">
            <w:rPr>
              <w:b/>
              <w:bCs/>
              <w:sz w:val="24"/>
              <w:szCs w:val="24"/>
            </w:rPr>
            <w:t>In decoding SoI’s Zionist law and policy of housing and land administration, any reference to these parastatal institutions</w:t>
          </w:r>
          <w:r w:rsidRPr="006F2347">
            <w:rPr>
              <w:b/>
              <w:bCs/>
              <w:sz w:val="24"/>
              <w:szCs w:val="24"/>
              <w:vertAlign w:val="superscript"/>
            </w:rPr>
            <w:endnoteReference w:id="11"/>
          </w:r>
          <w:r w:rsidRPr="006F2347">
            <w:rPr>
              <w:b/>
              <w:bCs/>
              <w:sz w:val="24"/>
              <w:szCs w:val="24"/>
            </w:rPr>
            <w:t xml:space="preserve"> in public functions means a statutory obligation to discriminate against all others. The JNF charter also stipulates that, “upon [its] dissolution…any properties whatsoever…shall be transferred to the Government of Israel,”</w:t>
          </w:r>
          <w:r w:rsidRPr="006F2347">
            <w:rPr>
              <w:b/>
              <w:bCs/>
              <w:sz w:val="24"/>
              <w:szCs w:val="24"/>
              <w:vertAlign w:val="superscript"/>
            </w:rPr>
            <w:endnoteReference w:id="12"/>
          </w:r>
          <w:r w:rsidRPr="006F2347">
            <w:rPr>
              <w:b/>
              <w:bCs/>
              <w:sz w:val="24"/>
              <w:szCs w:val="24"/>
            </w:rPr>
            <w:t xml:space="preserve"> further affirming its public and state functions.</w:t>
          </w:r>
        </w:p>
        <w:p w14:paraId="397E3AB3" w14:textId="77777777" w:rsidR="006F2347" w:rsidRPr="006F2347" w:rsidRDefault="006F2347" w:rsidP="002B623A">
          <w:pPr>
            <w:jc w:val="both"/>
            <w:rPr>
              <w:b/>
              <w:bCs/>
              <w:sz w:val="24"/>
              <w:szCs w:val="24"/>
            </w:rPr>
          </w:pPr>
        </w:p>
        <w:p w14:paraId="2514F98D" w14:textId="51C0E207" w:rsidR="002B623A" w:rsidRPr="002B623A" w:rsidRDefault="002B623A" w:rsidP="002B623A">
          <w:pPr>
            <w:jc w:val="both"/>
            <w:rPr>
              <w:b/>
              <w:bCs/>
              <w:sz w:val="24"/>
              <w:szCs w:val="24"/>
              <w:lang w:val="en-US"/>
            </w:rPr>
          </w:pPr>
          <w:r w:rsidRPr="002B623A">
            <w:rPr>
              <w:b/>
              <w:bCs/>
              <w:sz w:val="24"/>
              <w:szCs w:val="24"/>
              <w:lang w:val="en-US"/>
            </w:rPr>
            <w:t xml:space="preserve">The close working relationship of the WZO/JA </w:t>
          </w:r>
          <w:r w:rsidRPr="002B623A">
            <w:rPr>
              <w:b/>
              <w:bCs/>
              <w:sz w:val="24"/>
              <w:szCs w:val="24"/>
            </w:rPr>
            <w:t xml:space="preserve">and JNF </w:t>
          </w:r>
          <w:r w:rsidRPr="002B623A">
            <w:rPr>
              <w:b/>
              <w:bCs/>
              <w:sz w:val="24"/>
              <w:szCs w:val="24"/>
              <w:lang w:val="en-US"/>
            </w:rPr>
            <w:t xml:space="preserve">to the British Mandate Administration emerged as a shadow government in Palestine, leading up to the SoI’s </w:t>
          </w:r>
          <w:r w:rsidRPr="002B623A">
            <w:rPr>
              <w:b/>
              <w:bCs/>
              <w:sz w:val="24"/>
              <w:szCs w:val="24"/>
            </w:rPr>
            <w:t xml:space="preserve">1948 </w:t>
          </w:r>
          <w:r w:rsidRPr="002B623A">
            <w:rPr>
              <w:b/>
              <w:bCs/>
              <w:sz w:val="24"/>
              <w:szCs w:val="24"/>
              <w:lang w:val="en-US"/>
            </w:rPr>
            <w:t>proclamation.</w:t>
          </w:r>
          <w:r w:rsidRPr="002B623A">
            <w:rPr>
              <w:b/>
              <w:bCs/>
              <w:sz w:val="24"/>
              <w:szCs w:val="24"/>
              <w:vertAlign w:val="superscript"/>
              <w:lang w:val="en-US"/>
            </w:rPr>
            <w:endnoteReference w:id="13"/>
          </w:r>
          <w:r w:rsidRPr="002B623A">
            <w:rPr>
              <w:b/>
              <w:bCs/>
              <w:sz w:val="24"/>
              <w:szCs w:val="24"/>
              <w:lang w:val="en-US"/>
            </w:rPr>
            <w:t xml:space="preserve"> Those specialized colonial, apartheid and population-transfer institutions were soon fused to SoI by a series of legislative acts of Knesset (parliament)</w:t>
          </w:r>
          <w:r>
            <w:rPr>
              <w:b/>
              <w:bCs/>
              <w:sz w:val="24"/>
              <w:szCs w:val="24"/>
              <w:lang w:val="en-US"/>
            </w:rPr>
            <w:t>.</w:t>
          </w:r>
          <w:r>
            <w:rPr>
              <w:rStyle w:val="EndnoteReference"/>
              <w:b/>
              <w:bCs/>
              <w:sz w:val="24"/>
              <w:szCs w:val="24"/>
              <w:lang w:val="en-US"/>
            </w:rPr>
            <w:endnoteReference w:id="14"/>
          </w:r>
          <w:r>
            <w:rPr>
              <w:b/>
              <w:bCs/>
              <w:sz w:val="24"/>
              <w:szCs w:val="24"/>
              <w:lang w:val="en-US"/>
            </w:rPr>
            <w:t xml:space="preserve"> (See below.)</w:t>
          </w:r>
        </w:p>
        <w:p w14:paraId="30B66AAB" w14:textId="77777777" w:rsidR="002B623A" w:rsidRPr="002B623A" w:rsidRDefault="002B623A" w:rsidP="002B623A">
          <w:pPr>
            <w:rPr>
              <w:b/>
              <w:bCs/>
              <w:sz w:val="24"/>
              <w:szCs w:val="24"/>
            </w:rPr>
          </w:pPr>
        </w:p>
        <w:p w14:paraId="6126F0CB" w14:textId="754E1A11" w:rsidR="002B623A" w:rsidRDefault="002B623A" w:rsidP="002B623A">
          <w:pPr>
            <w:jc w:val="both"/>
            <w:rPr>
              <w:b/>
              <w:bCs/>
              <w:sz w:val="24"/>
              <w:szCs w:val="24"/>
            </w:rPr>
          </w:pPr>
          <w:r w:rsidRPr="002B623A">
            <w:rPr>
              <w:b/>
              <w:bCs/>
              <w:sz w:val="24"/>
              <w:szCs w:val="24"/>
            </w:rPr>
            <w:t xml:space="preserve">The WZO/JA and JNF remain pillars of Israel's discriminatory systems of housing, urban planning and development, and land administration. They advise, draft, promote and implement laws and policies that discriminate—not explicitly, but with deference to their apartheid charters—against the indigenous Palestinian Arab population of Israel, comprising 20% of SoI’s citizens. They likewise discriminate materially </w:t>
          </w:r>
          <w:r w:rsidRPr="002B623A">
            <w:rPr>
              <w:b/>
              <w:bCs/>
              <w:sz w:val="24"/>
              <w:szCs w:val="24"/>
            </w:rPr>
            <w:lastRenderedPageBreak/>
            <w:t>against the roughly five million Palestinians in the occupied Palestinian territory (oPt), as well as today’s seven million dispossessed and dispersed Palestinian refugees and internally displaced persons, by administering those population-transfer victims’ properties Israel confiscated during and after its largely JNF-funded war and ethnic cleansing of much of Palestine in 1947–49.</w:t>
          </w:r>
          <w:r w:rsidRPr="002B623A">
            <w:rPr>
              <w:b/>
              <w:bCs/>
              <w:sz w:val="24"/>
              <w:szCs w:val="24"/>
              <w:vertAlign w:val="superscript"/>
            </w:rPr>
            <w:endnoteReference w:id="15"/>
          </w:r>
          <w:r w:rsidRPr="002B623A">
            <w:rPr>
              <w:b/>
              <w:bCs/>
              <w:sz w:val="24"/>
              <w:szCs w:val="24"/>
            </w:rPr>
            <w:t xml:space="preserve"> </w:t>
          </w:r>
          <w:bookmarkStart w:id="0" w:name="_GoBack"/>
          <w:bookmarkEnd w:id="0"/>
        </w:p>
        <w:p w14:paraId="504AF7C9" w14:textId="77777777" w:rsidR="002B623A" w:rsidRPr="002B623A" w:rsidRDefault="002B623A" w:rsidP="002B623A">
          <w:pPr>
            <w:jc w:val="both"/>
            <w:rPr>
              <w:b/>
              <w:bCs/>
              <w:sz w:val="24"/>
              <w:szCs w:val="24"/>
            </w:rPr>
          </w:pPr>
        </w:p>
        <w:p w14:paraId="782A7562" w14:textId="6C10D641" w:rsidR="00A31347" w:rsidRDefault="001A0275" w:rsidP="00A31347">
          <w:pPr>
            <w:spacing w:after="120"/>
            <w:rPr>
              <w:b/>
              <w:bCs/>
              <w:sz w:val="24"/>
              <w:szCs w:val="24"/>
            </w:rPr>
          </w:pPr>
          <w:r>
            <w:rPr>
              <w:b/>
              <w:bCs/>
              <w:sz w:val="24"/>
              <w:szCs w:val="24"/>
            </w:rPr>
            <w:t>Forms and m</w:t>
          </w:r>
          <w:r w:rsidR="00A31347">
            <w:rPr>
              <w:b/>
              <w:bCs/>
              <w:sz w:val="24"/>
              <w:szCs w:val="24"/>
            </w:rPr>
            <w:t>anifestations:</w:t>
          </w:r>
        </w:p>
        <w:p w14:paraId="00F0D30C" w14:textId="43F3B9C4" w:rsidR="00744BBE" w:rsidRDefault="00744BBE" w:rsidP="00744BBE">
          <w:pPr>
            <w:jc w:val="both"/>
            <w:rPr>
              <w:b/>
              <w:bCs/>
              <w:sz w:val="24"/>
              <w:szCs w:val="24"/>
            </w:rPr>
          </w:pPr>
          <w:r w:rsidRPr="00685084">
            <w:rPr>
              <w:b/>
              <w:bCs/>
              <w:sz w:val="24"/>
              <w:szCs w:val="24"/>
            </w:rPr>
            <w:t>Home demolitions remain the most</w:t>
          </w:r>
          <w:r>
            <w:rPr>
              <w:b/>
              <w:bCs/>
              <w:sz w:val="24"/>
              <w:szCs w:val="24"/>
            </w:rPr>
            <w:t>-</w:t>
          </w:r>
          <w:r w:rsidRPr="00685084">
            <w:rPr>
              <w:b/>
              <w:bCs/>
              <w:sz w:val="24"/>
              <w:szCs w:val="24"/>
            </w:rPr>
            <w:t xml:space="preserve">dramatic manifestation of Palestinian housing rights denials across the country, with Israeli occupation forces razing over 55,000 Palestinian homes in the </w:t>
          </w:r>
          <w:r>
            <w:rPr>
              <w:b/>
              <w:bCs/>
              <w:sz w:val="24"/>
              <w:szCs w:val="24"/>
            </w:rPr>
            <w:t>occupied Palestinian territory (</w:t>
          </w:r>
          <w:r w:rsidRPr="00685084">
            <w:rPr>
              <w:b/>
              <w:bCs/>
              <w:sz w:val="24"/>
              <w:szCs w:val="24"/>
            </w:rPr>
            <w:t>oPt</w:t>
          </w:r>
          <w:r>
            <w:rPr>
              <w:b/>
              <w:bCs/>
              <w:sz w:val="24"/>
              <w:szCs w:val="24"/>
            </w:rPr>
            <w:t>)</w:t>
          </w:r>
          <w:r w:rsidRPr="00685084">
            <w:rPr>
              <w:b/>
              <w:bCs/>
              <w:sz w:val="24"/>
              <w:szCs w:val="24"/>
            </w:rPr>
            <w:t xml:space="preserve"> since 1967.</w:t>
          </w:r>
          <w:r w:rsidRPr="00685084">
            <w:rPr>
              <w:b/>
              <w:bCs/>
              <w:sz w:val="24"/>
              <w:szCs w:val="24"/>
              <w:vertAlign w:val="superscript"/>
            </w:rPr>
            <w:endnoteReference w:id="16"/>
          </w:r>
          <w:r w:rsidRPr="00685084">
            <w:rPr>
              <w:b/>
              <w:bCs/>
              <w:sz w:val="24"/>
              <w:szCs w:val="24"/>
            </w:rPr>
            <w:t xml:space="preserve"> </w:t>
          </w:r>
          <w:r>
            <w:rPr>
              <w:b/>
              <w:bCs/>
              <w:sz w:val="24"/>
              <w:szCs w:val="24"/>
            </w:rPr>
            <w:t>T</w:t>
          </w:r>
          <w:r w:rsidRPr="00685084">
            <w:rPr>
              <w:b/>
              <w:bCs/>
              <w:sz w:val="24"/>
              <w:szCs w:val="24"/>
            </w:rPr>
            <w:t xml:space="preserve">hese fall into roughly four categories: (1) Punitive demolitions (3%), including collective punishments against families of security-offense suspects; (2) administrative demolitions in East Jerusalem and Area C </w:t>
          </w:r>
          <w:r>
            <w:rPr>
              <w:b/>
              <w:bCs/>
              <w:sz w:val="24"/>
              <w:szCs w:val="24"/>
            </w:rPr>
            <w:t xml:space="preserve">(60% of the West Bank remaining under Israeli jurisdiction under the Oslo Accords) </w:t>
          </w:r>
          <w:r w:rsidRPr="00685084">
            <w:rPr>
              <w:b/>
              <w:bCs/>
              <w:sz w:val="24"/>
              <w:szCs w:val="24"/>
            </w:rPr>
            <w:t>for lack of a building permit, which Israeli planning authorities deny to 97% of Palestinian applicants; (3) land-clearing and military operations (about 66% of demolitions since 1967), whereby Israeli forces variously clear land, including for extrajudicial executions; and (4) undefined demolitions, mainly resulting from land-clearing operations and Palestinian depopulation.</w:t>
          </w:r>
          <w:r w:rsidRPr="00685084">
            <w:rPr>
              <w:b/>
              <w:bCs/>
              <w:sz w:val="24"/>
              <w:szCs w:val="24"/>
              <w:vertAlign w:val="superscript"/>
            </w:rPr>
            <w:endnoteReference w:id="17"/>
          </w:r>
        </w:p>
        <w:p w14:paraId="0AAFFFD9" w14:textId="1CF6EDBE" w:rsidR="00744BBE" w:rsidRDefault="00744BBE" w:rsidP="00744BBE">
          <w:pPr>
            <w:jc w:val="both"/>
            <w:rPr>
              <w:b/>
              <w:bCs/>
              <w:sz w:val="24"/>
              <w:szCs w:val="24"/>
            </w:rPr>
          </w:pPr>
        </w:p>
        <w:p w14:paraId="480B578F" w14:textId="402D9E0D" w:rsidR="00744BBE" w:rsidRPr="00685084" w:rsidRDefault="00744BBE" w:rsidP="00653BBC">
          <w:pPr>
            <w:spacing w:after="120"/>
            <w:rPr>
              <w:b/>
              <w:bCs/>
              <w:sz w:val="24"/>
              <w:szCs w:val="24"/>
            </w:rPr>
          </w:pPr>
          <w:r>
            <w:rPr>
              <w:b/>
              <w:bCs/>
              <w:sz w:val="24"/>
              <w:szCs w:val="24"/>
            </w:rPr>
            <w:t>Occupied Palestinian Territory (oPt):</w:t>
          </w:r>
        </w:p>
        <w:p w14:paraId="0A805FD8" w14:textId="77777777" w:rsidR="00653BBC" w:rsidRPr="00653BBC" w:rsidRDefault="00653BBC" w:rsidP="00653BBC">
          <w:pPr>
            <w:jc w:val="both"/>
            <w:rPr>
              <w:b/>
              <w:bCs/>
              <w:sz w:val="24"/>
              <w:szCs w:val="24"/>
            </w:rPr>
          </w:pPr>
          <w:r w:rsidRPr="00653BBC">
            <w:rPr>
              <w:b/>
              <w:bCs/>
              <w:sz w:val="24"/>
              <w:szCs w:val="24"/>
            </w:rPr>
            <w:t>Israel’s housing and land regimes contravene fundamental principles of IHL, including the prohibition against the occupier altering the legal system</w:t>
          </w:r>
          <w:r w:rsidRPr="00653BBC">
            <w:rPr>
              <w:b/>
              <w:bCs/>
              <w:sz w:val="24"/>
              <w:szCs w:val="24"/>
              <w:vertAlign w:val="superscript"/>
            </w:rPr>
            <w:endnoteReference w:id="18"/>
          </w:r>
          <w:r w:rsidRPr="00653BBC">
            <w:rPr>
              <w:b/>
              <w:bCs/>
              <w:sz w:val="24"/>
              <w:szCs w:val="24"/>
            </w:rPr>
            <w:t xml:space="preserve"> and transfer of its own population in the IHL-protected territory.</w:t>
          </w:r>
          <w:r w:rsidRPr="00653BBC">
            <w:rPr>
              <w:b/>
              <w:bCs/>
              <w:sz w:val="24"/>
              <w:szCs w:val="24"/>
              <w:vertAlign w:val="superscript"/>
            </w:rPr>
            <w:endnoteReference w:id="19"/>
          </w:r>
          <w:r w:rsidRPr="00653BBC">
            <w:rPr>
              <w:b/>
              <w:bCs/>
              <w:sz w:val="24"/>
              <w:szCs w:val="24"/>
            </w:rPr>
            <w:t xml:space="preserve"> With the 1970 Zionist Congress decision nominally to divide WZO/JA territorial roles, WZO cooperates with JNF also to ensure demographic change and illegal settler-colony construction throughout the 1967-occupied territories.</w:t>
          </w:r>
          <w:r w:rsidRPr="00653BBC">
            <w:rPr>
              <w:b/>
              <w:bCs/>
              <w:sz w:val="24"/>
              <w:szCs w:val="24"/>
              <w:vertAlign w:val="superscript"/>
            </w:rPr>
            <w:endnoteReference w:id="20"/>
          </w:r>
          <w:r w:rsidRPr="00653BBC">
            <w:rPr>
              <w:b/>
              <w:bCs/>
              <w:sz w:val="24"/>
              <w:szCs w:val="24"/>
            </w:rPr>
            <w:t xml:space="preserve"> The apartheid-chartered JNF only leases the lands it purchases and illegally acquires to Jews, with the help of the GoI, and currently controls over 2,500km</w:t>
          </w:r>
          <w:r w:rsidRPr="00653BBC">
            <w:rPr>
              <w:b/>
              <w:bCs/>
              <w:sz w:val="24"/>
              <w:szCs w:val="24"/>
              <w:vertAlign w:val="superscript"/>
            </w:rPr>
            <w:t>2</w:t>
          </w:r>
          <w:r w:rsidRPr="00653BBC">
            <w:rPr>
              <w:b/>
              <w:bCs/>
              <w:sz w:val="24"/>
              <w:szCs w:val="24"/>
            </w:rPr>
            <w:t xml:space="preserve"> of Palestinian land in Israel and over 14% of land in oPt.</w:t>
          </w:r>
        </w:p>
        <w:p w14:paraId="2194B13C" w14:textId="77777777" w:rsidR="00653BBC" w:rsidRDefault="00653BBC" w:rsidP="00226F79">
          <w:pPr>
            <w:jc w:val="both"/>
            <w:rPr>
              <w:b/>
              <w:bCs/>
              <w:sz w:val="24"/>
              <w:szCs w:val="24"/>
            </w:rPr>
          </w:pPr>
        </w:p>
        <w:p w14:paraId="747732CC" w14:textId="19682BF4" w:rsidR="00744BBE" w:rsidRPr="00685084" w:rsidRDefault="00744BBE" w:rsidP="00744BBE">
          <w:pPr>
            <w:spacing w:after="120"/>
            <w:rPr>
              <w:b/>
              <w:bCs/>
              <w:sz w:val="24"/>
              <w:szCs w:val="24"/>
            </w:rPr>
          </w:pPr>
          <w:r>
            <w:rPr>
              <w:b/>
              <w:bCs/>
              <w:sz w:val="24"/>
              <w:szCs w:val="24"/>
            </w:rPr>
            <w:t>Jerusalem:</w:t>
          </w:r>
        </w:p>
        <w:p w14:paraId="3D21EB85" w14:textId="5E057C79" w:rsidR="00BE2768" w:rsidRPr="00685084" w:rsidRDefault="00336C73" w:rsidP="007E4F93">
          <w:pPr>
            <w:jc w:val="both"/>
            <w:rPr>
              <w:b/>
              <w:bCs/>
              <w:sz w:val="24"/>
              <w:szCs w:val="24"/>
            </w:rPr>
          </w:pPr>
          <w:r w:rsidRPr="00685084">
            <w:rPr>
              <w:b/>
              <w:bCs/>
              <w:sz w:val="24"/>
              <w:szCs w:val="24"/>
            </w:rPr>
            <w:lastRenderedPageBreak/>
            <w:t xml:space="preserve">Israel has concentrated on the de-Palestinianization of occupied Jerusalem, </w:t>
          </w:r>
          <w:r w:rsidR="00F14B7F">
            <w:rPr>
              <w:b/>
              <w:bCs/>
              <w:sz w:val="24"/>
              <w:szCs w:val="24"/>
            </w:rPr>
            <w:t xml:space="preserve">the western part of which Israel illegally acquired by military force and population transfer </w:t>
          </w:r>
          <w:r w:rsidR="002C3292">
            <w:rPr>
              <w:b/>
              <w:bCs/>
              <w:sz w:val="24"/>
              <w:szCs w:val="24"/>
            </w:rPr>
            <w:t xml:space="preserve">in 1948, invading and occupying the eastern part in 1967, and </w:t>
          </w:r>
          <w:r w:rsidRPr="00685084">
            <w:rPr>
              <w:b/>
              <w:bCs/>
              <w:sz w:val="24"/>
              <w:szCs w:val="24"/>
            </w:rPr>
            <w:t>illegally annex</w:t>
          </w:r>
          <w:r w:rsidR="002C3292">
            <w:rPr>
              <w:b/>
              <w:bCs/>
              <w:sz w:val="24"/>
              <w:szCs w:val="24"/>
            </w:rPr>
            <w:t xml:space="preserve">ing the city </w:t>
          </w:r>
          <w:r w:rsidRPr="00685084">
            <w:rPr>
              <w:b/>
              <w:bCs/>
              <w:sz w:val="24"/>
              <w:szCs w:val="24"/>
            </w:rPr>
            <w:t>in 1980</w:t>
          </w:r>
          <w:r w:rsidR="002C3292">
            <w:rPr>
              <w:b/>
              <w:bCs/>
              <w:sz w:val="24"/>
              <w:szCs w:val="24"/>
            </w:rPr>
            <w:t>. T</w:t>
          </w:r>
          <w:r w:rsidRPr="00685084">
            <w:rPr>
              <w:b/>
              <w:bCs/>
              <w:sz w:val="24"/>
              <w:szCs w:val="24"/>
            </w:rPr>
            <w:t>he UN Security Council has repeatedly condemned Israel</w:t>
          </w:r>
          <w:r w:rsidR="002C3292">
            <w:rPr>
              <w:b/>
              <w:bCs/>
              <w:sz w:val="24"/>
              <w:szCs w:val="24"/>
            </w:rPr>
            <w:t xml:space="preserve"> for the annexation of occupied Jerusalem</w:t>
          </w:r>
          <w:r w:rsidRPr="00685084">
            <w:rPr>
              <w:b/>
              <w:bCs/>
              <w:sz w:val="24"/>
              <w:szCs w:val="24"/>
              <w:vertAlign w:val="superscript"/>
            </w:rPr>
            <w:endnoteReference w:id="21"/>
          </w:r>
          <w:r w:rsidRPr="00685084">
            <w:rPr>
              <w:b/>
              <w:bCs/>
              <w:sz w:val="24"/>
              <w:szCs w:val="24"/>
            </w:rPr>
            <w:t xml:space="preserve"> and determined any resulting changes to the </w:t>
          </w:r>
          <w:r w:rsidR="002C3292">
            <w:rPr>
              <w:b/>
              <w:bCs/>
              <w:sz w:val="24"/>
              <w:szCs w:val="24"/>
            </w:rPr>
            <w:t xml:space="preserve">city’s </w:t>
          </w:r>
          <w:r w:rsidRPr="00685084">
            <w:rPr>
              <w:b/>
              <w:bCs/>
              <w:sz w:val="24"/>
              <w:szCs w:val="24"/>
            </w:rPr>
            <w:t>physical character, demographic composition, institutional structure and status to be illegal, null and void.</w:t>
          </w:r>
          <w:r w:rsidRPr="00685084">
            <w:rPr>
              <w:b/>
              <w:bCs/>
              <w:sz w:val="24"/>
              <w:szCs w:val="24"/>
              <w:vertAlign w:val="superscript"/>
            </w:rPr>
            <w:endnoteReference w:id="22"/>
          </w:r>
          <w:r w:rsidRPr="00685084">
            <w:rPr>
              <w:b/>
              <w:bCs/>
              <w:sz w:val="24"/>
              <w:szCs w:val="24"/>
            </w:rPr>
            <w:t xml:space="preserve"> These crimes now particularly target Jerusalem Palestinian neighborhoods of Silwan,</w:t>
          </w:r>
          <w:r w:rsidRPr="00685084">
            <w:rPr>
              <w:b/>
              <w:bCs/>
              <w:sz w:val="24"/>
              <w:szCs w:val="24"/>
              <w:vertAlign w:val="superscript"/>
            </w:rPr>
            <w:endnoteReference w:id="23"/>
          </w:r>
          <w:r w:rsidRPr="00685084">
            <w:rPr>
              <w:b/>
              <w:bCs/>
              <w:sz w:val="24"/>
              <w:szCs w:val="24"/>
            </w:rPr>
            <w:t xml:space="preserve"> Sheikh Jarrah, the eastern periphery areas E</w:t>
          </w:r>
          <w:r w:rsidR="002C3292">
            <w:rPr>
              <w:b/>
              <w:bCs/>
              <w:sz w:val="24"/>
              <w:szCs w:val="24"/>
            </w:rPr>
            <w:t>-</w:t>
          </w:r>
          <w:r w:rsidRPr="00685084">
            <w:rPr>
              <w:b/>
              <w:bCs/>
              <w:sz w:val="24"/>
              <w:szCs w:val="24"/>
            </w:rPr>
            <w:t>1 and Khan al-Ahmar/Abu Helu villages,</w:t>
          </w:r>
          <w:r w:rsidRPr="00685084">
            <w:rPr>
              <w:b/>
              <w:bCs/>
              <w:sz w:val="24"/>
              <w:szCs w:val="24"/>
              <w:vertAlign w:val="superscript"/>
            </w:rPr>
            <w:endnoteReference w:id="24"/>
          </w:r>
          <w:r w:rsidRPr="00685084">
            <w:rPr>
              <w:b/>
              <w:bCs/>
              <w:sz w:val="24"/>
              <w:szCs w:val="24"/>
            </w:rPr>
            <w:t xml:space="preserve"> </w:t>
          </w:r>
          <w:r w:rsidR="002C3292">
            <w:rPr>
              <w:b/>
              <w:bCs/>
              <w:sz w:val="24"/>
              <w:szCs w:val="24"/>
            </w:rPr>
            <w:t xml:space="preserve">among others, </w:t>
          </w:r>
          <w:r w:rsidRPr="00685084">
            <w:rPr>
              <w:b/>
              <w:bCs/>
              <w:sz w:val="24"/>
              <w:szCs w:val="24"/>
            </w:rPr>
            <w:t xml:space="preserve">as well as </w:t>
          </w:r>
          <w:r w:rsidR="002C3292">
            <w:rPr>
              <w:b/>
              <w:bCs/>
              <w:sz w:val="24"/>
              <w:szCs w:val="24"/>
            </w:rPr>
            <w:t xml:space="preserve">Jerusalem’s </w:t>
          </w:r>
          <w:r w:rsidRPr="00685084">
            <w:rPr>
              <w:b/>
              <w:bCs/>
              <w:sz w:val="24"/>
              <w:szCs w:val="24"/>
            </w:rPr>
            <w:t>Old City. Since 2017</w:t>
          </w:r>
          <w:r w:rsidR="002C3292">
            <w:rPr>
              <w:b/>
              <w:bCs/>
              <w:sz w:val="24"/>
              <w:szCs w:val="24"/>
            </w:rPr>
            <w:t>,</w:t>
          </w:r>
          <w:r w:rsidRPr="00685084">
            <w:rPr>
              <w:b/>
              <w:bCs/>
              <w:sz w:val="24"/>
              <w:szCs w:val="24"/>
            </w:rPr>
            <w:t xml:space="preserve"> legislation has facilitated this demographic manipulation, and hampered Palestinians’ access to justice.</w:t>
          </w:r>
          <w:r w:rsidRPr="00685084">
            <w:rPr>
              <w:b/>
              <w:bCs/>
              <w:sz w:val="24"/>
              <w:szCs w:val="24"/>
              <w:vertAlign w:val="superscript"/>
            </w:rPr>
            <w:endnoteReference w:id="25"/>
          </w:r>
          <w:r w:rsidRPr="00685084">
            <w:rPr>
              <w:b/>
              <w:bCs/>
              <w:sz w:val="24"/>
              <w:szCs w:val="24"/>
            </w:rPr>
            <w:t xml:space="preserve"> These settler assaults on Palestinian tenure are facilitated by </w:t>
          </w:r>
          <w:r w:rsidR="002C3292">
            <w:rPr>
              <w:b/>
              <w:bCs/>
              <w:sz w:val="24"/>
              <w:szCs w:val="24"/>
            </w:rPr>
            <w:t>bias</w:t>
          </w:r>
          <w:r w:rsidRPr="00685084">
            <w:rPr>
              <w:b/>
              <w:bCs/>
              <w:sz w:val="24"/>
              <w:szCs w:val="24"/>
            </w:rPr>
            <w:t xml:space="preserve"> judges,</w:t>
          </w:r>
          <w:r w:rsidRPr="00685084">
            <w:rPr>
              <w:b/>
              <w:bCs/>
              <w:sz w:val="24"/>
              <w:szCs w:val="24"/>
              <w:vertAlign w:val="superscript"/>
            </w:rPr>
            <w:endnoteReference w:id="26"/>
          </w:r>
          <w:r w:rsidRPr="00685084">
            <w:rPr>
              <w:b/>
              <w:bCs/>
              <w:sz w:val="24"/>
              <w:szCs w:val="24"/>
            </w:rPr>
            <w:t xml:space="preserve"> including settler/judges, as in the case of </w:t>
          </w:r>
          <w:r w:rsidR="002C3292">
            <w:rPr>
              <w:b/>
              <w:bCs/>
              <w:sz w:val="24"/>
              <w:szCs w:val="24"/>
            </w:rPr>
            <w:t xml:space="preserve">El </w:t>
          </w:r>
          <w:r w:rsidRPr="00685084">
            <w:rPr>
              <w:b/>
              <w:bCs/>
              <w:sz w:val="24"/>
              <w:szCs w:val="24"/>
            </w:rPr>
            <w:t>Kurd family</w:t>
          </w:r>
          <w:r w:rsidR="002C3292">
            <w:rPr>
              <w:b/>
              <w:bCs/>
              <w:sz w:val="24"/>
              <w:szCs w:val="24"/>
            </w:rPr>
            <w:t>, first dispossessed and forcibly transferred from Haifa in 1948, then</w:t>
          </w:r>
          <w:r w:rsidRPr="00685084">
            <w:rPr>
              <w:b/>
              <w:bCs/>
              <w:sz w:val="24"/>
              <w:szCs w:val="24"/>
            </w:rPr>
            <w:t xml:space="preserve"> </w:t>
          </w:r>
          <w:r w:rsidR="002C3292">
            <w:rPr>
              <w:b/>
              <w:bCs/>
              <w:sz w:val="24"/>
              <w:szCs w:val="24"/>
            </w:rPr>
            <w:t xml:space="preserve">gradually dispossessed and recently expelled from </w:t>
          </w:r>
          <w:r w:rsidRPr="00685084">
            <w:rPr>
              <w:b/>
              <w:bCs/>
              <w:sz w:val="24"/>
              <w:szCs w:val="24"/>
            </w:rPr>
            <w:t>Sheikh Jarrah.</w:t>
          </w:r>
          <w:r w:rsidRPr="00685084">
            <w:rPr>
              <w:b/>
              <w:bCs/>
              <w:sz w:val="24"/>
              <w:szCs w:val="24"/>
              <w:vertAlign w:val="superscript"/>
            </w:rPr>
            <w:endnoteReference w:id="27"/>
          </w:r>
          <w:r w:rsidR="00BE2768" w:rsidRPr="00685084">
            <w:rPr>
              <w:b/>
              <w:bCs/>
              <w:sz w:val="24"/>
              <w:szCs w:val="24"/>
            </w:rPr>
            <w:t xml:space="preserve"> </w:t>
          </w:r>
        </w:p>
        <w:p w14:paraId="1A2A894A" w14:textId="6CE18970" w:rsidR="007E4F93" w:rsidRPr="00685084" w:rsidRDefault="007E4F93" w:rsidP="007E4F93">
          <w:pPr>
            <w:jc w:val="both"/>
            <w:rPr>
              <w:b/>
              <w:bCs/>
              <w:sz w:val="24"/>
              <w:szCs w:val="24"/>
            </w:rPr>
          </w:pPr>
        </w:p>
        <w:p w14:paraId="23627850" w14:textId="04951CEA" w:rsidR="007E4F93" w:rsidRPr="00685084" w:rsidRDefault="007E4F93" w:rsidP="007E4F93">
          <w:pPr>
            <w:jc w:val="both"/>
            <w:rPr>
              <w:b/>
              <w:bCs/>
              <w:sz w:val="24"/>
              <w:szCs w:val="24"/>
            </w:rPr>
          </w:pPr>
          <w:r w:rsidRPr="00685084">
            <w:rPr>
              <w:b/>
              <w:bCs/>
              <w:sz w:val="24"/>
              <w:szCs w:val="24"/>
            </w:rPr>
            <w:t xml:space="preserve">The Jerusalem District Court’s recent decision to forcibly evict six Palestinian families from Sheikh Jarrah, who have lived in the neighbourhood for generations, is at the heart of current </w:t>
          </w:r>
          <w:r w:rsidR="002C3292">
            <w:rPr>
              <w:b/>
              <w:bCs/>
              <w:sz w:val="24"/>
              <w:szCs w:val="24"/>
            </w:rPr>
            <w:t xml:space="preserve">protests and uprising </w:t>
          </w:r>
          <w:r w:rsidRPr="00685084">
            <w:rPr>
              <w:b/>
              <w:bCs/>
              <w:sz w:val="24"/>
              <w:szCs w:val="24"/>
            </w:rPr>
            <w:t>in Jerusalem</w:t>
          </w:r>
          <w:r w:rsidRPr="00685084">
            <w:rPr>
              <w:rStyle w:val="EndnoteReference"/>
              <w:b/>
              <w:bCs/>
              <w:sz w:val="24"/>
              <w:szCs w:val="24"/>
            </w:rPr>
            <w:endnoteReference w:id="28"/>
          </w:r>
          <w:r w:rsidRPr="00685084">
            <w:rPr>
              <w:b/>
              <w:bCs/>
              <w:sz w:val="24"/>
              <w:szCs w:val="24"/>
            </w:rPr>
            <w:t xml:space="preserve"> </w:t>
          </w:r>
          <w:r w:rsidR="002C3292">
            <w:rPr>
              <w:b/>
              <w:bCs/>
              <w:sz w:val="24"/>
              <w:szCs w:val="24"/>
            </w:rPr>
            <w:t xml:space="preserve">and cities inside SoI. To spite </w:t>
          </w:r>
          <w:r w:rsidR="00E26EFB" w:rsidRPr="00685084">
            <w:rPr>
              <w:b/>
              <w:bCs/>
              <w:sz w:val="24"/>
              <w:szCs w:val="24"/>
            </w:rPr>
            <w:t>international law</w:t>
          </w:r>
          <w:r w:rsidR="002C3292">
            <w:rPr>
              <w:b/>
              <w:bCs/>
              <w:sz w:val="24"/>
              <w:szCs w:val="24"/>
            </w:rPr>
            <w:t>,</w:t>
          </w:r>
          <w:r w:rsidR="00E26EFB" w:rsidRPr="00685084">
            <w:rPr>
              <w:b/>
              <w:bCs/>
              <w:sz w:val="24"/>
              <w:szCs w:val="24"/>
            </w:rPr>
            <w:t xml:space="preserve"> Israeli courts have no legitimate legal authority over East Jerusalem, which it has occupied since 1967, or the Palestinians who live there. Moreover, the transfer of Jewish-Israeli civilians into occupied East Jerusalem, contravenes Article 49(6) of the Fourth Geneva Convention; yet, Israel has already initiated land registration procedures specifically for the transfer of such colonizers into the very houses of these dispossessed Palestinian families.</w:t>
          </w:r>
          <w:r w:rsidR="00E26EFB" w:rsidRPr="00685084">
            <w:rPr>
              <w:rStyle w:val="EndnoteReference"/>
              <w:b/>
              <w:bCs/>
              <w:sz w:val="24"/>
              <w:szCs w:val="24"/>
            </w:rPr>
            <w:endnoteReference w:id="29"/>
          </w:r>
        </w:p>
        <w:p w14:paraId="084EC5A8" w14:textId="77777777" w:rsidR="00336C73" w:rsidRPr="00685084" w:rsidRDefault="00336C73" w:rsidP="00336C73">
          <w:pPr>
            <w:jc w:val="both"/>
            <w:rPr>
              <w:b/>
              <w:bCs/>
              <w:sz w:val="24"/>
              <w:szCs w:val="24"/>
            </w:rPr>
          </w:pPr>
        </w:p>
        <w:p w14:paraId="51017EB2" w14:textId="62771EDD" w:rsidR="00336C73" w:rsidRPr="00685084" w:rsidRDefault="00E83361" w:rsidP="00336C73">
          <w:pPr>
            <w:jc w:val="both"/>
            <w:rPr>
              <w:b/>
              <w:bCs/>
              <w:sz w:val="24"/>
              <w:szCs w:val="24"/>
            </w:rPr>
          </w:pPr>
          <w:r>
            <w:rPr>
              <w:b/>
              <w:bCs/>
              <w:sz w:val="24"/>
              <w:szCs w:val="24"/>
            </w:rPr>
            <w:t>This unconventional l</w:t>
          </w:r>
          <w:r w:rsidR="00336C73" w:rsidRPr="00685084">
            <w:rPr>
              <w:b/>
              <w:bCs/>
              <w:sz w:val="24"/>
              <w:szCs w:val="24"/>
            </w:rPr>
            <w:t xml:space="preserve">awfare against Palestinian Jerusalemites’ housing and land rights </w:t>
          </w:r>
          <w:r w:rsidR="00744BBE">
            <w:rPr>
              <w:b/>
              <w:bCs/>
              <w:sz w:val="24"/>
              <w:szCs w:val="24"/>
            </w:rPr>
            <w:t>integrate</w:t>
          </w:r>
          <w:r>
            <w:rPr>
              <w:b/>
              <w:bCs/>
              <w:sz w:val="24"/>
              <w:szCs w:val="24"/>
            </w:rPr>
            <w:t>s</w:t>
          </w:r>
          <w:r w:rsidR="00336C73" w:rsidRPr="00685084">
            <w:rPr>
              <w:b/>
              <w:bCs/>
              <w:sz w:val="24"/>
              <w:szCs w:val="24"/>
            </w:rPr>
            <w:t xml:space="preserve"> </w:t>
          </w:r>
          <w:r>
            <w:rPr>
              <w:b/>
              <w:bCs/>
              <w:sz w:val="24"/>
              <w:szCs w:val="24"/>
            </w:rPr>
            <w:t xml:space="preserve">with </w:t>
          </w:r>
          <w:r w:rsidR="00336C73" w:rsidRPr="00685084">
            <w:rPr>
              <w:b/>
              <w:bCs/>
              <w:sz w:val="24"/>
              <w:szCs w:val="24"/>
            </w:rPr>
            <w:t>draconian restrictions on their residency status in their own capital city.</w:t>
          </w:r>
          <w:r w:rsidR="00336C73" w:rsidRPr="00685084">
            <w:rPr>
              <w:b/>
              <w:bCs/>
              <w:sz w:val="24"/>
              <w:szCs w:val="24"/>
              <w:vertAlign w:val="superscript"/>
            </w:rPr>
            <w:endnoteReference w:id="30"/>
          </w:r>
          <w:r w:rsidR="00336C73" w:rsidRPr="00685084">
            <w:rPr>
              <w:b/>
              <w:bCs/>
              <w:sz w:val="24"/>
              <w:szCs w:val="24"/>
            </w:rPr>
            <w:t xml:space="preserve"> These old and new measures involve the separation of families,</w:t>
          </w:r>
          <w:r w:rsidR="00336C73" w:rsidRPr="00685084">
            <w:rPr>
              <w:b/>
              <w:bCs/>
              <w:sz w:val="24"/>
              <w:szCs w:val="24"/>
              <w:vertAlign w:val="superscript"/>
            </w:rPr>
            <w:endnoteReference w:id="31"/>
          </w:r>
          <w:r w:rsidR="00336C73" w:rsidRPr="00685084">
            <w:rPr>
              <w:b/>
              <w:bCs/>
              <w:sz w:val="24"/>
              <w:szCs w:val="24"/>
            </w:rPr>
            <w:t xml:space="preserve"> despite the </w:t>
          </w:r>
          <w:bookmarkStart w:id="1" w:name="_Hlk69738501"/>
          <w:r w:rsidR="00336C73" w:rsidRPr="00685084">
            <w:rPr>
              <w:b/>
              <w:bCs/>
              <w:sz w:val="24"/>
              <w:szCs w:val="24"/>
            </w:rPr>
            <w:t xml:space="preserve">International Law Commission </w:t>
          </w:r>
          <w:bookmarkEnd w:id="1"/>
          <w:r w:rsidR="00336C73" w:rsidRPr="00685084">
            <w:rPr>
              <w:b/>
              <w:bCs/>
              <w:sz w:val="24"/>
              <w:szCs w:val="24"/>
              <w:lang w:val="en-US"/>
            </w:rPr>
            <w:t xml:space="preserve">determination that </w:t>
          </w:r>
          <w:r w:rsidR="00336C73" w:rsidRPr="00685084">
            <w:rPr>
              <w:b/>
              <w:bCs/>
              <w:sz w:val="24"/>
              <w:szCs w:val="24"/>
            </w:rPr>
            <w:t>“the forcible transfer of members of a group, particularly when it involves the separation of family members, could also constitute genocide.”</w:t>
          </w:r>
          <w:r w:rsidR="00336C73" w:rsidRPr="00685084">
            <w:rPr>
              <w:b/>
              <w:bCs/>
              <w:sz w:val="24"/>
              <w:szCs w:val="24"/>
              <w:vertAlign w:val="superscript"/>
            </w:rPr>
            <w:endnoteReference w:id="32"/>
          </w:r>
          <w:r w:rsidR="00336C73" w:rsidRPr="00685084">
            <w:rPr>
              <w:b/>
              <w:bCs/>
              <w:sz w:val="24"/>
              <w:szCs w:val="24"/>
            </w:rPr>
            <w:t xml:space="preserve"> </w:t>
          </w:r>
        </w:p>
        <w:p w14:paraId="38FDD959" w14:textId="7D87F129" w:rsidR="006C096B" w:rsidRPr="00685084" w:rsidRDefault="006C096B" w:rsidP="00336C73">
          <w:pPr>
            <w:jc w:val="both"/>
            <w:rPr>
              <w:b/>
              <w:bCs/>
              <w:sz w:val="24"/>
              <w:szCs w:val="24"/>
            </w:rPr>
          </w:pPr>
        </w:p>
        <w:p w14:paraId="7BD417F8" w14:textId="77777777" w:rsidR="00744BBE" w:rsidRDefault="00D65535" w:rsidP="00D65535">
          <w:pPr>
            <w:jc w:val="both"/>
            <w:rPr>
              <w:b/>
              <w:bCs/>
              <w:sz w:val="24"/>
              <w:szCs w:val="24"/>
              <w:lang w:val="en-US"/>
            </w:rPr>
          </w:pPr>
          <w:r w:rsidRPr="00685084">
            <w:rPr>
              <w:b/>
              <w:bCs/>
              <w:sz w:val="24"/>
              <w:szCs w:val="24"/>
              <w:lang w:val="en-US"/>
            </w:rPr>
            <w:t xml:space="preserve">In addition to </w:t>
          </w:r>
          <w:r w:rsidR="00744BBE">
            <w:rPr>
              <w:b/>
              <w:bCs/>
              <w:sz w:val="24"/>
              <w:szCs w:val="24"/>
              <w:lang w:val="en-US"/>
            </w:rPr>
            <w:t xml:space="preserve">generally </w:t>
          </w:r>
          <w:r w:rsidR="001157A0">
            <w:rPr>
              <w:b/>
              <w:bCs/>
              <w:sz w:val="24"/>
              <w:szCs w:val="24"/>
              <w:lang w:val="en-US"/>
            </w:rPr>
            <w:t>den</w:t>
          </w:r>
          <w:r w:rsidR="008A1B4E">
            <w:rPr>
              <w:b/>
              <w:bCs/>
              <w:sz w:val="24"/>
              <w:szCs w:val="24"/>
              <w:lang w:val="en-US"/>
            </w:rPr>
            <w:t xml:space="preserve">ying Palestinians their rights to </w:t>
          </w:r>
          <w:r w:rsidR="001157A0">
            <w:rPr>
              <w:b/>
              <w:bCs/>
              <w:sz w:val="24"/>
              <w:szCs w:val="24"/>
              <w:lang w:val="en-US"/>
            </w:rPr>
            <w:t xml:space="preserve">nationality and self-determination, Israel’s </w:t>
          </w:r>
          <w:r w:rsidRPr="00685084">
            <w:rPr>
              <w:b/>
              <w:bCs/>
              <w:sz w:val="24"/>
              <w:szCs w:val="24"/>
              <w:lang w:val="en-US"/>
            </w:rPr>
            <w:t>revocation of permanent residency rights of Palestinians in Jerusalem</w:t>
          </w:r>
          <w:r w:rsidR="00744BBE">
            <w:rPr>
              <w:b/>
              <w:bCs/>
              <w:sz w:val="24"/>
              <w:szCs w:val="24"/>
              <w:lang w:val="en-US"/>
            </w:rPr>
            <w:t>.</w:t>
          </w:r>
          <w:r w:rsidRPr="00685084">
            <w:rPr>
              <w:b/>
              <w:bCs/>
              <w:sz w:val="24"/>
              <w:szCs w:val="24"/>
              <w:lang w:val="en-US"/>
            </w:rPr>
            <w:t xml:space="preserve"> Israel has further prevented family unification for Palestinians throughout the oPt, as previously </w:t>
          </w:r>
          <w:r w:rsidR="00744BBE">
            <w:rPr>
              <w:b/>
              <w:bCs/>
              <w:sz w:val="24"/>
              <w:szCs w:val="24"/>
              <w:lang w:val="en-US"/>
            </w:rPr>
            <w:t>noted by CERD</w:t>
          </w:r>
          <w:r w:rsidRPr="00685084">
            <w:rPr>
              <w:b/>
              <w:bCs/>
              <w:sz w:val="24"/>
              <w:szCs w:val="24"/>
              <w:lang w:val="en-US"/>
            </w:rPr>
            <w:t>.</w:t>
          </w:r>
          <w:r w:rsidRPr="00685084">
            <w:rPr>
              <w:rStyle w:val="EndnoteReference"/>
              <w:b/>
              <w:bCs/>
              <w:sz w:val="24"/>
              <w:szCs w:val="24"/>
              <w:lang w:val="en-US"/>
            </w:rPr>
            <w:endnoteReference w:id="33"/>
          </w:r>
          <w:r w:rsidRPr="00685084">
            <w:rPr>
              <w:b/>
              <w:bCs/>
              <w:sz w:val="24"/>
              <w:szCs w:val="24"/>
              <w:lang w:val="en-US"/>
            </w:rPr>
            <w:t xml:space="preserve"> Palestinians from the West Bank and Gaza Strip face significant challenges in receiving family unification permits when they marry a Palestinian resident of Jerusalem</w:t>
          </w:r>
          <w:r w:rsidR="00744BBE">
            <w:rPr>
              <w:b/>
              <w:bCs/>
              <w:sz w:val="24"/>
              <w:szCs w:val="24"/>
              <w:lang w:val="en-US"/>
            </w:rPr>
            <w:t>,</w:t>
          </w:r>
          <w:r w:rsidRPr="00685084">
            <w:rPr>
              <w:b/>
              <w:bCs/>
              <w:sz w:val="24"/>
              <w:szCs w:val="24"/>
              <w:lang w:val="en-US"/>
            </w:rPr>
            <w:t xml:space="preserve"> or a Palestinian citizen of Israel.</w:t>
          </w:r>
          <w:r w:rsidRPr="00685084">
            <w:rPr>
              <w:rStyle w:val="EndnoteReference"/>
              <w:b/>
              <w:bCs/>
              <w:sz w:val="24"/>
              <w:szCs w:val="24"/>
              <w:lang w:val="en-US"/>
            </w:rPr>
            <w:endnoteReference w:id="34"/>
          </w:r>
          <w:r w:rsidRPr="00685084">
            <w:rPr>
              <w:b/>
              <w:bCs/>
              <w:sz w:val="24"/>
              <w:szCs w:val="24"/>
              <w:lang w:val="en-US"/>
            </w:rPr>
            <w:t xml:space="preserve"> This is the result of Israel’s unlawful annexation and </w:t>
          </w:r>
          <w:r w:rsidR="00744BBE">
            <w:rPr>
              <w:b/>
              <w:bCs/>
              <w:sz w:val="24"/>
              <w:szCs w:val="24"/>
              <w:lang w:val="en-US"/>
            </w:rPr>
            <w:t xml:space="preserve">imposing </w:t>
          </w:r>
          <w:r w:rsidRPr="00685084">
            <w:rPr>
              <w:b/>
              <w:bCs/>
              <w:sz w:val="24"/>
              <w:szCs w:val="24"/>
              <w:lang w:val="en-US"/>
            </w:rPr>
            <w:t xml:space="preserve">its domestic legislation in occupied East Jerusalem, in violation of international law. </w:t>
          </w:r>
        </w:p>
        <w:p w14:paraId="63CFA038" w14:textId="77777777" w:rsidR="00744BBE" w:rsidRDefault="00744BBE" w:rsidP="00D65535">
          <w:pPr>
            <w:jc w:val="both"/>
            <w:rPr>
              <w:b/>
              <w:bCs/>
              <w:sz w:val="24"/>
              <w:szCs w:val="24"/>
              <w:lang w:val="en-US"/>
            </w:rPr>
          </w:pPr>
        </w:p>
        <w:p w14:paraId="390CF2F2" w14:textId="2F427749" w:rsidR="00D65535" w:rsidRPr="00685084" w:rsidRDefault="00D65535" w:rsidP="00D65535">
          <w:pPr>
            <w:jc w:val="both"/>
            <w:rPr>
              <w:b/>
              <w:bCs/>
              <w:sz w:val="24"/>
              <w:szCs w:val="24"/>
              <w:lang w:val="en-US"/>
            </w:rPr>
          </w:pPr>
          <w:r w:rsidRPr="00685084">
            <w:rPr>
              <w:b/>
              <w:bCs/>
              <w:sz w:val="24"/>
              <w:szCs w:val="24"/>
              <w:lang w:val="en-US"/>
            </w:rPr>
            <w:t>These measures are, in addition to the physical isolation of Jerusalem through a system of road closures, checkpoints, the Annexation Wall and its associated regime, and the imposition of a precarious ‘permanent residency’ status on Palestinians in the city, subject to revocation at any time by the Israeli occupying authorities.</w:t>
          </w:r>
          <w:r w:rsidR="00945D8A" w:rsidRPr="00685084">
            <w:rPr>
              <w:rStyle w:val="EndnoteReference"/>
              <w:b/>
              <w:bCs/>
              <w:sz w:val="24"/>
              <w:szCs w:val="24"/>
              <w:lang w:val="en-US"/>
            </w:rPr>
            <w:endnoteReference w:id="35"/>
          </w:r>
          <w:r w:rsidRPr="00685084">
            <w:rPr>
              <w:b/>
              <w:bCs/>
              <w:sz w:val="24"/>
              <w:szCs w:val="24"/>
              <w:lang w:val="en-US"/>
            </w:rPr>
            <w:t xml:space="preserve"> Over one-third of family unification applications coming from East Jerusalem residents were denied between 2000 and 2013.</w:t>
          </w:r>
          <w:r w:rsidR="00945D8A" w:rsidRPr="00685084">
            <w:rPr>
              <w:rStyle w:val="EndnoteReference"/>
              <w:b/>
              <w:bCs/>
              <w:sz w:val="24"/>
              <w:szCs w:val="24"/>
              <w:lang w:val="en-US"/>
            </w:rPr>
            <w:endnoteReference w:id="36"/>
          </w:r>
          <w:r w:rsidRPr="00685084">
            <w:rPr>
              <w:b/>
              <w:bCs/>
              <w:sz w:val="24"/>
              <w:szCs w:val="24"/>
              <w:lang w:val="en-US"/>
            </w:rPr>
            <w:t xml:space="preserve"> </w:t>
          </w:r>
        </w:p>
        <w:p w14:paraId="451D04B6" w14:textId="77777777" w:rsidR="004D2CBB" w:rsidRDefault="004D2CBB" w:rsidP="00336C73">
          <w:pPr>
            <w:jc w:val="both"/>
            <w:rPr>
              <w:sz w:val="24"/>
              <w:szCs w:val="24"/>
            </w:rPr>
          </w:pPr>
        </w:p>
        <w:p w14:paraId="1ECA86E7" w14:textId="096C1775" w:rsidR="00744BBE" w:rsidRPr="00685084" w:rsidRDefault="00744BBE" w:rsidP="00744BBE">
          <w:pPr>
            <w:spacing w:after="120"/>
            <w:rPr>
              <w:b/>
              <w:bCs/>
              <w:sz w:val="24"/>
              <w:szCs w:val="24"/>
            </w:rPr>
          </w:pPr>
          <w:r>
            <w:rPr>
              <w:b/>
              <w:bCs/>
              <w:sz w:val="24"/>
              <w:szCs w:val="24"/>
            </w:rPr>
            <w:t>Syrian Golan:</w:t>
          </w:r>
        </w:p>
        <w:p w14:paraId="07D74E52" w14:textId="5A63190E" w:rsidR="004D2CBB" w:rsidRDefault="004D2CBB" w:rsidP="004D2CBB">
          <w:pPr>
            <w:jc w:val="both"/>
            <w:rPr>
              <w:b/>
              <w:bCs/>
              <w:sz w:val="24"/>
              <w:szCs w:val="24"/>
              <w:lang w:val="en-US"/>
            </w:rPr>
          </w:pPr>
          <w:r w:rsidRPr="00685084">
            <w:rPr>
              <w:b/>
              <w:bCs/>
              <w:sz w:val="24"/>
              <w:szCs w:val="24"/>
              <w:lang w:val="en-US"/>
            </w:rPr>
            <w:t>In the Syrian Golan</w:t>
          </w:r>
          <w:r>
            <w:rPr>
              <w:b/>
              <w:bCs/>
              <w:sz w:val="24"/>
              <w:szCs w:val="24"/>
              <w:lang w:val="en-US"/>
            </w:rPr>
            <w:t xml:space="preserve"> also</w:t>
          </w:r>
          <w:r w:rsidRPr="00685084">
            <w:rPr>
              <w:b/>
              <w:bCs/>
              <w:sz w:val="24"/>
              <w:szCs w:val="24"/>
              <w:lang w:val="en-US"/>
            </w:rPr>
            <w:t>, Israel’s occupation has prevented the Syrian population from using more than 30% of the lands belonging to the six villages (about 5% of the total Golan) that remained of the two cities, 163 villages and 108 farms in 1967. Israeli forces had expelled 135–150,000 indigenous Syrians</w:t>
          </w:r>
          <w:r>
            <w:rPr>
              <w:b/>
              <w:bCs/>
              <w:sz w:val="24"/>
              <w:szCs w:val="24"/>
              <w:lang w:val="en-US"/>
            </w:rPr>
            <w:t xml:space="preserve"> then</w:t>
          </w:r>
          <w:r w:rsidRPr="00685084">
            <w:rPr>
              <w:b/>
              <w:bCs/>
              <w:sz w:val="24"/>
              <w:szCs w:val="24"/>
              <w:lang w:val="en-US"/>
            </w:rPr>
            <w:t>, preventing their return and forbidding the remaining Syrians from movement within their own country.</w:t>
          </w:r>
          <w:r w:rsidRPr="00685084">
            <w:rPr>
              <w:b/>
              <w:bCs/>
              <w:sz w:val="24"/>
              <w:szCs w:val="24"/>
              <w:vertAlign w:val="superscript"/>
              <w:lang w:val="en-US"/>
            </w:rPr>
            <w:endnoteReference w:id="37"/>
          </w:r>
          <w:r w:rsidRPr="00685084">
            <w:rPr>
              <w:b/>
              <w:bCs/>
              <w:sz w:val="24"/>
              <w:szCs w:val="24"/>
              <w:lang w:val="en-US"/>
            </w:rPr>
            <w:t xml:space="preserve"> After the 1967 War, Israel confiscated the depopulated land for exclusive Jewish use under classifications such as “state” or “absentee” lands that JNF, WZO and/or the Israeli government bodies have claimed for “Jewish nationals.”</w:t>
          </w:r>
          <w:r w:rsidR="00242490">
            <w:rPr>
              <w:rStyle w:val="EndnoteReference"/>
              <w:b/>
              <w:bCs/>
              <w:sz w:val="24"/>
              <w:szCs w:val="24"/>
              <w:lang w:val="en-US"/>
            </w:rPr>
            <w:endnoteReference w:id="38"/>
          </w:r>
          <w:r w:rsidRPr="00685084">
            <w:rPr>
              <w:b/>
              <w:bCs/>
              <w:sz w:val="24"/>
              <w:szCs w:val="24"/>
              <w:lang w:val="en-US"/>
            </w:rPr>
            <w:t xml:space="preserve"> To date, Israel has expropriated over 95% of the Golan (1,250k2),</w:t>
          </w:r>
          <w:r w:rsidRPr="00685084">
            <w:rPr>
              <w:b/>
              <w:bCs/>
              <w:sz w:val="24"/>
              <w:szCs w:val="24"/>
              <w:vertAlign w:val="superscript"/>
              <w:lang w:val="en-US"/>
            </w:rPr>
            <w:endnoteReference w:id="39"/>
          </w:r>
          <w:r w:rsidRPr="00685084">
            <w:rPr>
              <w:b/>
              <w:bCs/>
              <w:sz w:val="24"/>
              <w:szCs w:val="24"/>
              <w:vertAlign w:val="superscript"/>
              <w:lang w:val="en-US"/>
            </w:rPr>
            <w:t xml:space="preserve"> </w:t>
          </w:r>
          <w:r w:rsidRPr="00685084">
            <w:rPr>
              <w:b/>
              <w:bCs/>
              <w:sz w:val="24"/>
              <w:szCs w:val="24"/>
              <w:lang w:val="en-US"/>
            </w:rPr>
            <w:t>while refusing to acknowledge the vast majority of Syrian public or private ownership of any land.</w:t>
          </w:r>
          <w:r w:rsidRPr="00685084">
            <w:rPr>
              <w:b/>
              <w:bCs/>
              <w:sz w:val="24"/>
              <w:szCs w:val="24"/>
              <w:vertAlign w:val="superscript"/>
              <w:lang w:val="en-US"/>
            </w:rPr>
            <w:endnoteReference w:id="40"/>
          </w:r>
        </w:p>
        <w:p w14:paraId="4952DE8A" w14:textId="34785811" w:rsidR="00226F79" w:rsidRPr="00226F79" w:rsidRDefault="0050116A" w:rsidP="004D2CBB">
          <w:pPr>
            <w:jc w:val="both"/>
            <w:rPr>
              <w:sz w:val="24"/>
              <w:szCs w:val="24"/>
            </w:rPr>
          </w:pPr>
        </w:p>
      </w:sdtContent>
    </w:sdt>
    <w:p w14:paraId="524C5C09" w14:textId="1F571893" w:rsidR="00226F79" w:rsidRDefault="003A314E" w:rsidP="00226F79">
      <w:pPr>
        <w:jc w:val="both"/>
        <w:rPr>
          <w:sz w:val="24"/>
          <w:szCs w:val="24"/>
        </w:rPr>
      </w:pPr>
      <w:r>
        <w:rPr>
          <w:sz w:val="24"/>
          <w:szCs w:val="24"/>
        </w:rPr>
        <w:lastRenderedPageBreak/>
        <w:t>9</w:t>
      </w:r>
      <w:r w:rsidR="00226F79" w:rsidRPr="00226F79">
        <w:rPr>
          <w:sz w:val="24"/>
          <w:szCs w:val="24"/>
        </w:rPr>
        <w:t>.</w:t>
      </w:r>
      <w:r>
        <w:rPr>
          <w:sz w:val="24"/>
          <w:szCs w:val="24"/>
        </w:rPr>
        <w:t xml:space="preserve"> </w:t>
      </w:r>
      <w:r w:rsidR="00226F79" w:rsidRPr="00226F79">
        <w:rPr>
          <w:sz w:val="24"/>
          <w:szCs w:val="24"/>
        </w:rPr>
        <w:t xml:space="preserve">Are there any particular current laws, policies or practices in your country, region or town/community that contribute to or exacerbate discrimination in relation to the right to adequate housing? </w:t>
      </w:r>
    </w:p>
    <w:p w14:paraId="6B568875" w14:textId="77777777" w:rsidR="00336C73" w:rsidRPr="00226F79" w:rsidRDefault="00336C73" w:rsidP="00226F79">
      <w:pPr>
        <w:jc w:val="both"/>
        <w:rPr>
          <w:sz w:val="24"/>
          <w:szCs w:val="24"/>
        </w:rPr>
      </w:pPr>
    </w:p>
    <w:sdt>
      <w:sdtPr>
        <w:rPr>
          <w:sz w:val="24"/>
          <w:szCs w:val="24"/>
        </w:rPr>
        <w:id w:val="-1433501859"/>
      </w:sdtPr>
      <w:sdtEndPr/>
      <w:sdtContent>
        <w:p w14:paraId="2C548363" w14:textId="7011AC66" w:rsidR="002B623A" w:rsidRPr="002B623A" w:rsidRDefault="002B623A" w:rsidP="00CD43A6">
          <w:pPr>
            <w:spacing w:after="120"/>
            <w:jc w:val="both"/>
            <w:rPr>
              <w:b/>
              <w:bCs/>
              <w:sz w:val="24"/>
              <w:szCs w:val="24"/>
              <w:rtl/>
              <w:lang w:val="en-US"/>
            </w:rPr>
          </w:pPr>
          <w:r>
            <w:rPr>
              <w:b/>
              <w:bCs/>
              <w:sz w:val="24"/>
              <w:szCs w:val="24"/>
              <w:lang w:val="en-US"/>
            </w:rPr>
            <w:t>T</w:t>
          </w:r>
          <w:r w:rsidRPr="002B623A">
            <w:rPr>
              <w:b/>
              <w:bCs/>
              <w:sz w:val="24"/>
              <w:szCs w:val="24"/>
              <w:lang w:val="en-US"/>
            </w:rPr>
            <w:t xml:space="preserve">he specialized institutions </w:t>
          </w:r>
          <w:r>
            <w:rPr>
              <w:b/>
              <w:bCs/>
              <w:sz w:val="24"/>
              <w:szCs w:val="24"/>
              <w:lang w:val="en-US"/>
            </w:rPr>
            <w:t xml:space="preserve">that drive </w:t>
          </w:r>
          <w:r w:rsidR="00CD43A6">
            <w:rPr>
              <w:b/>
              <w:bCs/>
              <w:sz w:val="24"/>
              <w:szCs w:val="24"/>
              <w:lang w:val="en-US"/>
            </w:rPr>
            <w:t xml:space="preserve">Israel’s </w:t>
          </w:r>
          <w:r>
            <w:rPr>
              <w:b/>
              <w:bCs/>
              <w:sz w:val="24"/>
              <w:szCs w:val="24"/>
              <w:lang w:val="en-US"/>
            </w:rPr>
            <w:t xml:space="preserve">housing and land policy and </w:t>
          </w:r>
          <w:r w:rsidR="00CD43A6">
            <w:rPr>
              <w:b/>
              <w:bCs/>
              <w:sz w:val="24"/>
              <w:szCs w:val="24"/>
              <w:lang w:val="en-US"/>
            </w:rPr>
            <w:t xml:space="preserve">its discriminatory and segregationist </w:t>
          </w:r>
          <w:r>
            <w:rPr>
              <w:b/>
              <w:bCs/>
              <w:sz w:val="24"/>
              <w:szCs w:val="24"/>
              <w:lang w:val="en-US"/>
            </w:rPr>
            <w:t xml:space="preserve">ideology </w:t>
          </w:r>
          <w:r w:rsidR="00CD43A6">
            <w:rPr>
              <w:b/>
              <w:bCs/>
              <w:sz w:val="24"/>
              <w:szCs w:val="24"/>
              <w:lang w:val="en-US"/>
            </w:rPr>
            <w:t>(</w:t>
          </w:r>
          <w:r w:rsidRPr="002B623A">
            <w:rPr>
              <w:b/>
              <w:bCs/>
              <w:sz w:val="24"/>
              <w:szCs w:val="24"/>
              <w:lang w:val="en-US"/>
            </w:rPr>
            <w:t>WZO/JA and JNF</w:t>
          </w:r>
          <w:r w:rsidR="00CD43A6">
            <w:rPr>
              <w:b/>
              <w:bCs/>
              <w:sz w:val="24"/>
              <w:szCs w:val="24"/>
              <w:lang w:val="en-US"/>
            </w:rPr>
            <w:t>)</w:t>
          </w:r>
          <w:r w:rsidRPr="002B623A">
            <w:rPr>
              <w:b/>
              <w:bCs/>
              <w:sz w:val="24"/>
              <w:szCs w:val="24"/>
              <w:lang w:val="en-US"/>
            </w:rPr>
            <w:t xml:space="preserve"> were fused to </w:t>
          </w:r>
          <w:r w:rsidR="00CD43A6">
            <w:rPr>
              <w:b/>
              <w:bCs/>
              <w:sz w:val="24"/>
              <w:szCs w:val="24"/>
              <w:lang w:val="en-US"/>
            </w:rPr>
            <w:t xml:space="preserve">the </w:t>
          </w:r>
          <w:r w:rsidRPr="002B623A">
            <w:rPr>
              <w:b/>
              <w:bCs/>
              <w:sz w:val="24"/>
              <w:szCs w:val="24"/>
              <w:lang w:val="en-US"/>
            </w:rPr>
            <w:t xml:space="preserve">SoI by Knesset </w:t>
          </w:r>
          <w:r w:rsidR="00CD43A6">
            <w:rPr>
              <w:b/>
              <w:bCs/>
              <w:sz w:val="24"/>
              <w:szCs w:val="24"/>
              <w:lang w:val="en-US"/>
            </w:rPr>
            <w:t>foundational legislation, principally</w:t>
          </w:r>
          <w:r w:rsidRPr="002B623A">
            <w:rPr>
              <w:b/>
              <w:bCs/>
              <w:sz w:val="24"/>
              <w:szCs w:val="24"/>
              <w:lang w:val="en-US"/>
            </w:rPr>
            <w:t>:</w:t>
          </w:r>
        </w:p>
        <w:p w14:paraId="71D35E97" w14:textId="77777777" w:rsidR="002B623A" w:rsidRPr="002B623A" w:rsidRDefault="002B623A" w:rsidP="00CD43A6">
          <w:pPr>
            <w:numPr>
              <w:ilvl w:val="0"/>
              <w:numId w:val="3"/>
            </w:numPr>
            <w:ind w:left="284" w:hanging="284"/>
            <w:jc w:val="both"/>
            <w:rPr>
              <w:b/>
              <w:bCs/>
              <w:sz w:val="24"/>
              <w:szCs w:val="24"/>
              <w:lang w:val="en-US"/>
            </w:rPr>
          </w:pPr>
          <w:r w:rsidRPr="002B623A">
            <w:rPr>
              <w:b/>
              <w:bCs/>
              <w:sz w:val="24"/>
              <w:szCs w:val="24"/>
              <w:lang w:val="en-US"/>
            </w:rPr>
            <w:t>World Zionist Organization-Jewish Agency (Status) Law (1952);</w:t>
          </w:r>
        </w:p>
        <w:p w14:paraId="54E0B47A" w14:textId="77777777" w:rsidR="002B623A" w:rsidRPr="002B623A" w:rsidRDefault="002B623A" w:rsidP="00CD43A6">
          <w:pPr>
            <w:numPr>
              <w:ilvl w:val="0"/>
              <w:numId w:val="3"/>
            </w:numPr>
            <w:ind w:left="284" w:hanging="284"/>
            <w:jc w:val="both"/>
            <w:rPr>
              <w:b/>
              <w:bCs/>
              <w:sz w:val="24"/>
              <w:szCs w:val="24"/>
              <w:lang w:val="en-US"/>
            </w:rPr>
          </w:pPr>
          <w:r w:rsidRPr="002B623A">
            <w:rPr>
              <w:b/>
              <w:bCs/>
              <w:sz w:val="24"/>
              <w:szCs w:val="24"/>
              <w:lang w:val="en-US"/>
            </w:rPr>
            <w:t xml:space="preserve">Keren Kayemet Le-Israel [Jewish National Fund] Law (1953); </w:t>
          </w:r>
        </w:p>
        <w:p w14:paraId="4B787C45" w14:textId="77777777" w:rsidR="002B623A" w:rsidRPr="002B623A" w:rsidRDefault="002B623A" w:rsidP="00CD43A6">
          <w:pPr>
            <w:numPr>
              <w:ilvl w:val="0"/>
              <w:numId w:val="3"/>
            </w:numPr>
            <w:ind w:left="284" w:hanging="284"/>
            <w:jc w:val="both"/>
            <w:rPr>
              <w:b/>
              <w:bCs/>
              <w:sz w:val="24"/>
              <w:szCs w:val="24"/>
              <w:lang w:val="en-US"/>
            </w:rPr>
          </w:pPr>
          <w:r w:rsidRPr="002B623A">
            <w:rPr>
              <w:b/>
              <w:bCs/>
              <w:sz w:val="24"/>
              <w:szCs w:val="24"/>
              <w:lang w:val="en-US"/>
            </w:rPr>
            <w:t>Covenant with Zionist Executive (1954, amended 1971);</w:t>
          </w:r>
        </w:p>
        <w:p w14:paraId="684435A3" w14:textId="77777777" w:rsidR="002B623A" w:rsidRPr="002B623A" w:rsidRDefault="002B623A" w:rsidP="00CD43A6">
          <w:pPr>
            <w:numPr>
              <w:ilvl w:val="0"/>
              <w:numId w:val="3"/>
            </w:numPr>
            <w:ind w:left="284" w:hanging="284"/>
            <w:jc w:val="both"/>
            <w:rPr>
              <w:b/>
              <w:bCs/>
              <w:sz w:val="24"/>
              <w:szCs w:val="24"/>
              <w:lang w:val="en-US"/>
            </w:rPr>
          </w:pPr>
          <w:r w:rsidRPr="002B623A">
            <w:rPr>
              <w:b/>
              <w:bCs/>
              <w:sz w:val="24"/>
              <w:szCs w:val="24"/>
              <w:lang w:val="en-US"/>
            </w:rPr>
            <w:t>Basic Law: Israel Lands [People’s Lands] (1960);</w:t>
          </w:r>
        </w:p>
        <w:p w14:paraId="1BCA8E80" w14:textId="77777777" w:rsidR="002B623A" w:rsidRPr="002B623A" w:rsidRDefault="002B623A" w:rsidP="00CD43A6">
          <w:pPr>
            <w:numPr>
              <w:ilvl w:val="0"/>
              <w:numId w:val="3"/>
            </w:numPr>
            <w:ind w:left="284" w:hanging="284"/>
            <w:jc w:val="both"/>
            <w:rPr>
              <w:b/>
              <w:bCs/>
              <w:sz w:val="24"/>
              <w:szCs w:val="24"/>
              <w:lang w:val="en-US"/>
            </w:rPr>
          </w:pPr>
          <w:r w:rsidRPr="002B623A">
            <w:rPr>
              <w:b/>
              <w:bCs/>
              <w:sz w:val="24"/>
              <w:szCs w:val="24"/>
              <w:lang w:val="en-US"/>
            </w:rPr>
            <w:t>Agricultural Settlement Law (1967).</w:t>
          </w:r>
        </w:p>
        <w:p w14:paraId="2C4A197A" w14:textId="77777777" w:rsidR="002B623A" w:rsidRDefault="002B623A" w:rsidP="00336C73">
          <w:pPr>
            <w:jc w:val="both"/>
            <w:rPr>
              <w:b/>
              <w:bCs/>
              <w:sz w:val="24"/>
              <w:szCs w:val="24"/>
              <w:lang w:val="en-US"/>
            </w:rPr>
          </w:pPr>
        </w:p>
        <w:p w14:paraId="16EBC6AF" w14:textId="189F248E" w:rsidR="00336C73" w:rsidRPr="00CC6230" w:rsidRDefault="00336C73" w:rsidP="00336C73">
          <w:pPr>
            <w:jc w:val="both"/>
            <w:rPr>
              <w:b/>
              <w:bCs/>
              <w:sz w:val="24"/>
              <w:szCs w:val="24"/>
              <w:lang w:val="en-US"/>
            </w:rPr>
          </w:pPr>
          <w:r w:rsidRPr="00CC6230">
            <w:rPr>
              <w:b/>
              <w:bCs/>
              <w:sz w:val="24"/>
              <w:szCs w:val="24"/>
              <w:lang w:val="en-US"/>
            </w:rPr>
            <w:t>Central to housing and land apartheid in Israel is the state’s two-tiered civil status and the separate laws that apply accordingly. The denial of “nationality” status to Palestinians does not actually appear explicitly in the text of a single Israeli law before the 2018 Nation-State Law, but in the implicit subordination to the discriminatory principles of the parastatal organizations carrying out SoI’s essential housing and land administration functions.</w:t>
          </w:r>
        </w:p>
        <w:p w14:paraId="67D27275" w14:textId="7069D593" w:rsidR="00336C73" w:rsidRPr="00CC6230" w:rsidRDefault="00336C73" w:rsidP="00336C73">
          <w:pPr>
            <w:jc w:val="both"/>
            <w:rPr>
              <w:b/>
              <w:bCs/>
              <w:sz w:val="24"/>
              <w:szCs w:val="24"/>
              <w:lang w:val="en-US"/>
            </w:rPr>
          </w:pPr>
        </w:p>
        <w:p w14:paraId="2DB5A5DE" w14:textId="77777777" w:rsidR="004D2681" w:rsidRDefault="00336C73" w:rsidP="004D2681">
          <w:pPr>
            <w:spacing w:after="120"/>
            <w:jc w:val="both"/>
            <w:rPr>
              <w:b/>
              <w:bCs/>
              <w:sz w:val="24"/>
              <w:szCs w:val="24"/>
            </w:rPr>
          </w:pPr>
          <w:r w:rsidRPr="00CC6230">
            <w:rPr>
              <w:b/>
              <w:bCs/>
              <w:sz w:val="24"/>
              <w:szCs w:val="24"/>
            </w:rPr>
            <w:t>Much of Israel’s legislation and jurisprudence does not adhere to international convention for a modern state. Under Israel’s two-tiered civil status of dominant “Jewish nationals” and less-privileged holders of mere citizenship.</w:t>
          </w:r>
          <w:r w:rsidRPr="00CC6230">
            <w:rPr>
              <w:b/>
              <w:bCs/>
              <w:sz w:val="24"/>
              <w:szCs w:val="24"/>
              <w:vertAlign w:val="superscript"/>
            </w:rPr>
            <w:endnoteReference w:id="41"/>
          </w:r>
          <w:r w:rsidRPr="00CC6230">
            <w:rPr>
              <w:b/>
              <w:bCs/>
              <w:sz w:val="24"/>
              <w:szCs w:val="24"/>
            </w:rPr>
            <w:t xml:space="preserve"> The Israel Lands Law (“The People’s Land”) (1960) establishes that lands will be managed, distributed and developed in accord with the principles of the JNF and its apartheid charter. The Israel Land Administration, also established in 1960, rests on four “cornerstones”: </w:t>
          </w:r>
        </w:p>
        <w:p w14:paraId="17F2CC8C" w14:textId="77777777" w:rsidR="004D2681" w:rsidRPr="004D2681" w:rsidRDefault="00336C73" w:rsidP="004D2681">
          <w:pPr>
            <w:pStyle w:val="ListParagraph"/>
            <w:numPr>
              <w:ilvl w:val="0"/>
              <w:numId w:val="4"/>
            </w:numPr>
            <w:ind w:left="284" w:hanging="284"/>
            <w:jc w:val="both"/>
            <w:rPr>
              <w:b/>
              <w:bCs/>
              <w:sz w:val="24"/>
              <w:szCs w:val="24"/>
            </w:rPr>
          </w:pPr>
          <w:r w:rsidRPr="004D2681">
            <w:rPr>
              <w:b/>
              <w:bCs/>
              <w:sz w:val="24"/>
              <w:szCs w:val="24"/>
            </w:rPr>
            <w:t xml:space="preserve">Basic Law: Israel Lands (1960), </w:t>
          </w:r>
        </w:p>
        <w:p w14:paraId="6ABE975C" w14:textId="2CC18AB3" w:rsidR="004D2681" w:rsidRPr="004D2681" w:rsidRDefault="00336C73" w:rsidP="004D2681">
          <w:pPr>
            <w:pStyle w:val="ListParagraph"/>
            <w:numPr>
              <w:ilvl w:val="0"/>
              <w:numId w:val="4"/>
            </w:numPr>
            <w:ind w:left="284" w:hanging="284"/>
            <w:jc w:val="both"/>
            <w:rPr>
              <w:b/>
              <w:bCs/>
              <w:sz w:val="24"/>
              <w:szCs w:val="24"/>
            </w:rPr>
          </w:pPr>
          <w:r w:rsidRPr="004D2681">
            <w:rPr>
              <w:b/>
              <w:bCs/>
              <w:sz w:val="24"/>
              <w:szCs w:val="24"/>
            </w:rPr>
            <w:t xml:space="preserve">Israel Land Administration Law (1960), </w:t>
          </w:r>
        </w:p>
        <w:p w14:paraId="394E0C92" w14:textId="77777777" w:rsidR="004D2681" w:rsidRPr="004D2681" w:rsidRDefault="00336C73" w:rsidP="004D2681">
          <w:pPr>
            <w:pStyle w:val="ListParagraph"/>
            <w:numPr>
              <w:ilvl w:val="0"/>
              <w:numId w:val="4"/>
            </w:numPr>
            <w:ind w:left="284" w:hanging="284"/>
            <w:jc w:val="both"/>
            <w:rPr>
              <w:b/>
              <w:bCs/>
              <w:sz w:val="24"/>
              <w:szCs w:val="24"/>
            </w:rPr>
          </w:pPr>
          <w:r w:rsidRPr="004D2681">
            <w:rPr>
              <w:b/>
              <w:bCs/>
              <w:sz w:val="24"/>
              <w:szCs w:val="24"/>
            </w:rPr>
            <w:t xml:space="preserve">Keren Kayemet Le-Israel Law (1953) and the </w:t>
          </w:r>
        </w:p>
        <w:p w14:paraId="62305B13" w14:textId="77777777" w:rsidR="004D2681" w:rsidRPr="004D2681" w:rsidRDefault="00336C73" w:rsidP="004D2681">
          <w:pPr>
            <w:pStyle w:val="ListParagraph"/>
            <w:numPr>
              <w:ilvl w:val="0"/>
              <w:numId w:val="4"/>
            </w:numPr>
            <w:ind w:left="284" w:hanging="284"/>
            <w:jc w:val="both"/>
            <w:rPr>
              <w:b/>
              <w:bCs/>
              <w:sz w:val="24"/>
              <w:szCs w:val="24"/>
            </w:rPr>
          </w:pPr>
          <w:r w:rsidRPr="004D2681">
            <w:rPr>
              <w:b/>
              <w:bCs/>
              <w:sz w:val="24"/>
              <w:szCs w:val="24"/>
            </w:rPr>
            <w:t>Covenant between SoI and the Zionist Executive (WZO/JA and JNF)</w:t>
          </w:r>
          <w:r w:rsidR="004D2681" w:rsidRPr="004D2681">
            <w:rPr>
              <w:b/>
              <w:bCs/>
              <w:sz w:val="24"/>
              <w:szCs w:val="24"/>
            </w:rPr>
            <w:t xml:space="preserve"> (1954. </w:t>
          </w:r>
        </w:p>
        <w:p w14:paraId="7797235A" w14:textId="77777777" w:rsidR="004D2681" w:rsidRDefault="004D2681" w:rsidP="00336C73">
          <w:pPr>
            <w:jc w:val="both"/>
            <w:rPr>
              <w:b/>
              <w:bCs/>
              <w:sz w:val="24"/>
              <w:szCs w:val="24"/>
            </w:rPr>
          </w:pPr>
        </w:p>
        <w:p w14:paraId="688208B7" w14:textId="7422D6CB" w:rsidR="00336C73" w:rsidRPr="00CC6230" w:rsidRDefault="00336C73" w:rsidP="00336C73">
          <w:pPr>
            <w:jc w:val="both"/>
            <w:rPr>
              <w:b/>
              <w:bCs/>
              <w:sz w:val="24"/>
              <w:szCs w:val="24"/>
            </w:rPr>
          </w:pPr>
          <w:r w:rsidRPr="00CC6230">
            <w:rPr>
              <w:b/>
              <w:bCs/>
              <w:sz w:val="24"/>
              <w:szCs w:val="24"/>
            </w:rPr>
            <w:t>The Israel Land Council (ILC) determines land policy, with the Vice Prime Minister, Minister of Industry, Trade, Labor and Communications as its chairman, while the 22-member Council is comprised of 12 government ministry representatives and ten representing the JNF, with its mandatory conditions of Jewish-only beneficiaries.</w:t>
          </w:r>
        </w:p>
        <w:p w14:paraId="5F953224" w14:textId="77777777" w:rsidR="00336C73" w:rsidRPr="00CC6230" w:rsidRDefault="00336C73" w:rsidP="00336C73">
          <w:pPr>
            <w:jc w:val="both"/>
            <w:rPr>
              <w:b/>
              <w:bCs/>
              <w:sz w:val="24"/>
              <w:szCs w:val="24"/>
            </w:rPr>
          </w:pPr>
        </w:p>
        <w:p w14:paraId="273363E3" w14:textId="73846BC4" w:rsidR="00336C73" w:rsidRPr="00CC6230" w:rsidRDefault="00336C73" w:rsidP="00336C73">
          <w:pPr>
            <w:jc w:val="both"/>
            <w:rPr>
              <w:b/>
              <w:bCs/>
              <w:sz w:val="24"/>
              <w:szCs w:val="24"/>
            </w:rPr>
          </w:pPr>
          <w:r w:rsidRPr="00CC6230">
            <w:rPr>
              <w:b/>
              <w:bCs/>
              <w:sz w:val="24"/>
              <w:szCs w:val="24"/>
            </w:rPr>
            <w:t>The Israel Lands Authority Law, Amendment 7 (2009) and a 2010 amendment of the British Mandate-era Land Ordinance (Acquisition for Public Purposes</w:t>
          </w:r>
          <w:r w:rsidR="00CC6230">
            <w:rPr>
              <w:b/>
              <w:bCs/>
              <w:sz w:val="24"/>
              <w:szCs w:val="24"/>
            </w:rPr>
            <w:t xml:space="preserve"> of </w:t>
          </w:r>
          <w:r w:rsidRPr="00CC6230">
            <w:rPr>
              <w:b/>
              <w:bCs/>
              <w:sz w:val="24"/>
              <w:szCs w:val="24"/>
            </w:rPr>
            <w:t>1943) introduced tactical adjustments to the land tenure system. The former authorized more powers to the JNF in its special status and role in land management. It also established the Israel Lands Authority (ILA) with increased powers, provided for the granting of private ownership of lands</w:t>
          </w:r>
          <w:r w:rsidR="00CC6230">
            <w:rPr>
              <w:b/>
              <w:bCs/>
              <w:sz w:val="24"/>
              <w:szCs w:val="24"/>
            </w:rPr>
            <w:t xml:space="preserve"> (by Jewish natural and legal persons only)</w:t>
          </w:r>
          <w:r w:rsidRPr="00CC6230">
            <w:rPr>
              <w:b/>
              <w:bCs/>
              <w:sz w:val="24"/>
              <w:szCs w:val="24"/>
            </w:rPr>
            <w:t>, and set approval criteria for the transfer of state lands and Development Authority lands to the JNF. The 2010 amendment “makes sure” that lands expropriated for “public use” do not “revert” to original owners and now can be transferred to a third party (likely the JNF). Legislation in 2010 also circumvents a precedent-setting Supreme Court judgment</w:t>
          </w:r>
          <w:r w:rsidRPr="00CC6230">
            <w:rPr>
              <w:b/>
              <w:bCs/>
              <w:sz w:val="24"/>
              <w:szCs w:val="24"/>
              <w:vertAlign w:val="superscript"/>
            </w:rPr>
            <w:endnoteReference w:id="42"/>
          </w:r>
          <w:r w:rsidRPr="00CC6230">
            <w:rPr>
              <w:b/>
              <w:bCs/>
              <w:sz w:val="24"/>
              <w:szCs w:val="24"/>
              <w:vertAlign w:val="superscript"/>
            </w:rPr>
            <w:t xml:space="preserve"> </w:t>
          </w:r>
          <w:r w:rsidRPr="00CC6230">
            <w:rPr>
              <w:b/>
              <w:bCs/>
              <w:sz w:val="24"/>
              <w:szCs w:val="24"/>
            </w:rPr>
            <w:t xml:space="preserve">that obliged authorities to return confiscated land if it were not used </w:t>
          </w:r>
          <w:r w:rsidR="004D2681">
            <w:rPr>
              <w:b/>
              <w:bCs/>
              <w:sz w:val="24"/>
              <w:szCs w:val="24"/>
            </w:rPr>
            <w:t>within 25 years</w:t>
          </w:r>
          <w:r w:rsidR="004D2681" w:rsidRPr="00CC6230">
            <w:rPr>
              <w:b/>
              <w:bCs/>
              <w:sz w:val="24"/>
              <w:szCs w:val="24"/>
            </w:rPr>
            <w:t xml:space="preserve"> </w:t>
          </w:r>
          <w:r w:rsidRPr="00CC6230">
            <w:rPr>
              <w:b/>
              <w:bCs/>
              <w:sz w:val="24"/>
              <w:szCs w:val="24"/>
            </w:rPr>
            <w:t>for the purpose for which it was confiscated.</w:t>
          </w:r>
        </w:p>
        <w:p w14:paraId="4326E237" w14:textId="45C14261" w:rsidR="00336C73" w:rsidRPr="00CC6230" w:rsidRDefault="00336C73" w:rsidP="00336C73">
          <w:pPr>
            <w:jc w:val="both"/>
            <w:rPr>
              <w:b/>
              <w:bCs/>
              <w:sz w:val="24"/>
              <w:szCs w:val="24"/>
            </w:rPr>
          </w:pPr>
        </w:p>
        <w:p w14:paraId="221C5A62" w14:textId="3A27369D" w:rsidR="00336C73" w:rsidRPr="00CC6230" w:rsidRDefault="00336C73" w:rsidP="00336C73">
          <w:pPr>
            <w:jc w:val="both"/>
            <w:rPr>
              <w:b/>
              <w:bCs/>
              <w:sz w:val="24"/>
              <w:szCs w:val="24"/>
            </w:rPr>
          </w:pPr>
          <w:r w:rsidRPr="00CC6230">
            <w:rPr>
              <w:b/>
              <w:bCs/>
              <w:sz w:val="24"/>
              <w:szCs w:val="24"/>
            </w:rPr>
            <w:t>The amendments enable further circumvention of legal oversight and legislate against equality in land-use rights. As the JNF’s charter excludes non-Jews from benefiting from its land or services, any such transfer of public land to the JNF prevents citizens’ equal access to land. In other words, the state could more readily “redeem” and “judaize” land and discriminate against its non-Jewish citizens</w:t>
          </w:r>
          <w:r w:rsidR="00CC6230">
            <w:rPr>
              <w:b/>
              <w:bCs/>
              <w:sz w:val="24"/>
              <w:szCs w:val="24"/>
            </w:rPr>
            <w:t xml:space="preserve">—in favor of recognized “Jewish nationals” </w:t>
          </w:r>
          <w:r w:rsidRPr="00CC6230">
            <w:rPr>
              <w:b/>
              <w:bCs/>
              <w:sz w:val="24"/>
              <w:szCs w:val="24"/>
            </w:rPr>
            <w:t>in</w:t>
          </w:r>
          <w:r w:rsidR="00CC6230">
            <w:rPr>
              <w:b/>
              <w:bCs/>
              <w:sz w:val="24"/>
              <w:szCs w:val="24"/>
            </w:rPr>
            <w:t xml:space="preserve"> </w:t>
          </w:r>
          <w:r w:rsidRPr="00CC6230">
            <w:rPr>
              <w:b/>
              <w:bCs/>
              <w:sz w:val="24"/>
              <w:szCs w:val="24"/>
            </w:rPr>
            <w:t xml:space="preserve">the </w:t>
          </w:r>
          <w:r w:rsidR="00CC6230">
            <w:rPr>
              <w:b/>
              <w:bCs/>
              <w:sz w:val="24"/>
              <w:szCs w:val="24"/>
            </w:rPr>
            <w:t xml:space="preserve">southern </w:t>
          </w:r>
          <w:r w:rsidRPr="00CC6230">
            <w:rPr>
              <w:b/>
              <w:bCs/>
              <w:sz w:val="24"/>
              <w:szCs w:val="24"/>
            </w:rPr>
            <w:t xml:space="preserve">Naqab and </w:t>
          </w:r>
          <w:r w:rsidR="00CC6230">
            <w:rPr>
              <w:b/>
              <w:bCs/>
              <w:sz w:val="24"/>
              <w:szCs w:val="24"/>
            </w:rPr>
            <w:t xml:space="preserve">northern </w:t>
          </w:r>
          <w:r w:rsidRPr="00CC6230">
            <w:rPr>
              <w:b/>
              <w:bCs/>
              <w:sz w:val="24"/>
              <w:szCs w:val="24"/>
            </w:rPr>
            <w:t>Galilee</w:t>
          </w:r>
          <w:r w:rsidR="00CC6230">
            <w:rPr>
              <w:b/>
              <w:bCs/>
              <w:sz w:val="24"/>
              <w:szCs w:val="24"/>
            </w:rPr>
            <w:t xml:space="preserve"> (where indigenous Palestinian citizens of Israel remain concentrated) </w:t>
          </w:r>
          <w:r w:rsidRPr="00CC6230">
            <w:rPr>
              <w:b/>
              <w:bCs/>
              <w:sz w:val="24"/>
              <w:szCs w:val="24"/>
            </w:rPr>
            <w:t xml:space="preserve">and </w:t>
          </w:r>
          <w:r w:rsidR="00CC6230">
            <w:rPr>
              <w:b/>
              <w:bCs/>
              <w:sz w:val="24"/>
              <w:szCs w:val="24"/>
            </w:rPr>
            <w:t xml:space="preserve">potentially </w:t>
          </w:r>
          <w:r w:rsidRPr="00CC6230">
            <w:rPr>
              <w:b/>
              <w:bCs/>
              <w:sz w:val="24"/>
              <w:szCs w:val="24"/>
            </w:rPr>
            <w:t>elsewhere</w:t>
          </w:r>
          <w:r w:rsidR="00CC6230">
            <w:rPr>
              <w:b/>
              <w:bCs/>
              <w:sz w:val="24"/>
              <w:szCs w:val="24"/>
            </w:rPr>
            <w:t xml:space="preserve"> </w:t>
          </w:r>
          <w:r w:rsidRPr="00CC6230">
            <w:rPr>
              <w:b/>
              <w:bCs/>
              <w:sz w:val="24"/>
              <w:szCs w:val="24"/>
            </w:rPr>
            <w:t>by transferring these lands to the JNF.</w:t>
          </w:r>
        </w:p>
        <w:p w14:paraId="199AFD33" w14:textId="77777777" w:rsidR="00336C73" w:rsidRPr="00CC6230" w:rsidRDefault="00336C73" w:rsidP="00336C73">
          <w:pPr>
            <w:jc w:val="both"/>
            <w:rPr>
              <w:b/>
              <w:bCs/>
              <w:sz w:val="24"/>
              <w:szCs w:val="24"/>
            </w:rPr>
          </w:pPr>
        </w:p>
        <w:p w14:paraId="69F03C35" w14:textId="282C2407" w:rsidR="00336C73" w:rsidRPr="00CC6230" w:rsidRDefault="00336C73" w:rsidP="00336C73">
          <w:pPr>
            <w:jc w:val="both"/>
            <w:rPr>
              <w:b/>
              <w:bCs/>
              <w:sz w:val="24"/>
              <w:szCs w:val="24"/>
            </w:rPr>
          </w:pPr>
          <w:r w:rsidRPr="00CC6230">
            <w:rPr>
              <w:b/>
              <w:bCs/>
              <w:sz w:val="24"/>
              <w:szCs w:val="24"/>
            </w:rPr>
            <w:t xml:space="preserve">Israeli planning law also establishes elected Regional Planning Councils with JA—in Golan’s case, acting as WZO—as ultimate decision maker with a guaranteed majority of votes. With the WZO/JA bound by its common charter to exclude and, thereby, </w:t>
          </w:r>
          <w:r w:rsidRPr="00CC6230">
            <w:rPr>
              <w:b/>
              <w:bCs/>
              <w:sz w:val="24"/>
              <w:szCs w:val="24"/>
            </w:rPr>
            <w:lastRenderedPageBreak/>
            <w:t xml:space="preserve">materially discriminate against the indigenous population as </w:t>
          </w:r>
          <w:r w:rsidR="00CC6230">
            <w:rPr>
              <w:b/>
              <w:bCs/>
              <w:sz w:val="24"/>
              <w:szCs w:val="24"/>
            </w:rPr>
            <w:t xml:space="preserve">a </w:t>
          </w:r>
          <w:r w:rsidRPr="00CC6230">
            <w:rPr>
              <w:b/>
              <w:bCs/>
              <w:sz w:val="24"/>
              <w:szCs w:val="24"/>
            </w:rPr>
            <w:t>charter principle</w:t>
          </w:r>
          <w:r w:rsidR="00CC6230">
            <w:rPr>
              <w:b/>
              <w:bCs/>
              <w:sz w:val="24"/>
              <w:szCs w:val="24"/>
            </w:rPr>
            <w:t>.</w:t>
          </w:r>
          <w:r w:rsidRPr="00CC6230">
            <w:rPr>
              <w:b/>
              <w:bCs/>
              <w:sz w:val="24"/>
              <w:szCs w:val="24"/>
            </w:rPr>
            <w:t xml:space="preserve"> Israel’s physical-planning regime systematically denies building permits to Golan’s Arab households and continuously demolishes Syrian structures, while facilitating illegal settler-colony expansion.</w:t>
          </w:r>
          <w:r w:rsidRPr="00CC6230">
            <w:rPr>
              <w:b/>
              <w:bCs/>
              <w:sz w:val="24"/>
              <w:szCs w:val="24"/>
              <w:vertAlign w:val="superscript"/>
            </w:rPr>
            <w:endnoteReference w:id="43"/>
          </w:r>
          <w:r w:rsidRPr="00CC6230">
            <w:rPr>
              <w:b/>
              <w:bCs/>
              <w:sz w:val="24"/>
              <w:szCs w:val="24"/>
            </w:rPr>
            <w:t xml:space="preserve"> In 2016, for example, 80–90 households faced “administrative” (effectively punitive) demolition of their homes.</w:t>
          </w:r>
          <w:r w:rsidRPr="00CC6230">
            <w:rPr>
              <w:b/>
              <w:bCs/>
              <w:sz w:val="24"/>
              <w:szCs w:val="24"/>
              <w:vertAlign w:val="superscript"/>
            </w:rPr>
            <w:endnoteReference w:id="44"/>
          </w:r>
        </w:p>
        <w:p w14:paraId="56739524" w14:textId="694DC6D1" w:rsidR="006D0C62" w:rsidRDefault="0050116A" w:rsidP="00560FD9">
          <w:pPr>
            <w:jc w:val="both"/>
            <w:rPr>
              <w:sz w:val="24"/>
              <w:szCs w:val="24"/>
            </w:rPr>
          </w:pPr>
        </w:p>
      </w:sdtContent>
    </w:sdt>
    <w:p w14:paraId="2B2D780C" w14:textId="77777777" w:rsidR="006D0C62" w:rsidRPr="00226F79" w:rsidRDefault="006D0C62" w:rsidP="00226F79">
      <w:pPr>
        <w:jc w:val="both"/>
        <w:rPr>
          <w:sz w:val="24"/>
          <w:szCs w:val="24"/>
        </w:rPr>
      </w:pPr>
    </w:p>
    <w:p w14:paraId="0A632267" w14:textId="1998F810" w:rsidR="00226F79" w:rsidRDefault="003A314E" w:rsidP="00226F79">
      <w:pPr>
        <w:jc w:val="both"/>
        <w:rPr>
          <w:sz w:val="24"/>
          <w:szCs w:val="24"/>
        </w:rPr>
      </w:pPr>
      <w:r>
        <w:rPr>
          <w:sz w:val="24"/>
          <w:szCs w:val="24"/>
        </w:rPr>
        <w:t>10</w:t>
      </w:r>
      <w:r w:rsidR="00226F79" w:rsidRPr="00226F79">
        <w:rPr>
          <w:sz w:val="24"/>
          <w:szCs w:val="24"/>
        </w:rPr>
        <w:t xml:space="preserve">. Can you explain exemptions in national law that allow (certain) public, private or religious housing providers to give preferential or exclusive access to housing to members of a particular group, for example based on membership, employment contract, public service, age, disability, civil status, sex, gender, religion, income or other criteria? </w:t>
      </w:r>
    </w:p>
    <w:p w14:paraId="1C714260" w14:textId="77777777" w:rsidR="00F02460" w:rsidRPr="00FB14BD" w:rsidRDefault="00F02460" w:rsidP="00226F79">
      <w:pPr>
        <w:jc w:val="both"/>
        <w:rPr>
          <w:b/>
          <w:bCs/>
          <w:sz w:val="24"/>
          <w:szCs w:val="24"/>
        </w:rPr>
      </w:pPr>
    </w:p>
    <w:p w14:paraId="182B8C2F" w14:textId="61F98803" w:rsidR="00226F79" w:rsidRPr="00226F79" w:rsidRDefault="0050116A" w:rsidP="004E552E">
      <w:pPr>
        <w:jc w:val="both"/>
        <w:rPr>
          <w:sz w:val="24"/>
          <w:szCs w:val="24"/>
        </w:rPr>
      </w:pPr>
      <w:sdt>
        <w:sdtPr>
          <w:rPr>
            <w:sz w:val="24"/>
            <w:szCs w:val="24"/>
          </w:rPr>
          <w:id w:val="785089057"/>
        </w:sdtPr>
        <w:sdtEndPr/>
        <w:sdtContent>
          <w:sdt>
            <w:sdtPr>
              <w:rPr>
                <w:sz w:val="24"/>
                <w:szCs w:val="24"/>
              </w:rPr>
              <w:id w:val="-1791424749"/>
            </w:sdtPr>
            <w:sdtEndPr/>
            <w:sdtContent>
              <w:r w:rsidR="00F02460" w:rsidRPr="00FB14BD">
                <w:rPr>
                  <w:b/>
                  <w:bCs/>
                  <w:sz w:val="24"/>
                  <w:lang w:val="en-US"/>
                </w:rPr>
                <w:t xml:space="preserve">In addition to the racially discriminatory charters of the Zionist parastatal institutions, which dominate land use, planning and physical development, the Basic Law: Israel Lands (1960) stipulates that the ownership of “Israel lands” – namely “land, houses, buildings and anything permanently fixed to land” under the control of the </w:t>
              </w:r>
              <w:r w:rsidR="00CC6230">
                <w:rPr>
                  <w:b/>
                  <w:bCs/>
                  <w:sz w:val="24"/>
                  <w:lang w:val="en-US"/>
                </w:rPr>
                <w:t>s</w:t>
              </w:r>
              <w:r w:rsidR="00F02460" w:rsidRPr="00FB14BD">
                <w:rPr>
                  <w:b/>
                  <w:bCs/>
                  <w:sz w:val="24"/>
                  <w:lang w:val="en-US"/>
                </w:rPr>
                <w:t>tate, the JNF and the Development Authority – cannot be transferred in any manner.</w:t>
              </w:r>
              <w:r w:rsidR="00A968B3" w:rsidRPr="00FB14BD">
                <w:rPr>
                  <w:b/>
                  <w:bCs/>
                  <w:sz w:val="24"/>
                  <w:lang w:val="en-US"/>
                </w:rPr>
                <w:br/>
              </w:r>
              <w:r w:rsidR="00A968B3" w:rsidRPr="00FB14BD">
                <w:rPr>
                  <w:b/>
                  <w:bCs/>
                  <w:sz w:val="24"/>
                  <w:lang w:val="en-US"/>
                </w:rPr>
                <w:br/>
              </w:r>
              <w:r w:rsidR="0039081A" w:rsidRPr="00FB14BD">
                <w:rPr>
                  <w:rFonts w:ascii="TimesNewRomanPSMT" w:hAnsi="TimesNewRomanPSMT"/>
                  <w:b/>
                  <w:bCs/>
                  <w:sz w:val="24"/>
                  <w:lang w:val="en-US"/>
                </w:rPr>
                <w:t>W</w:t>
              </w:r>
              <w:r w:rsidR="00DB6DCC" w:rsidRPr="00FB14BD">
                <w:rPr>
                  <w:rFonts w:ascii="TimesNewRomanPSMT" w:hAnsi="TimesNewRomanPSMT"/>
                  <w:b/>
                  <w:bCs/>
                  <w:sz w:val="24"/>
                  <w:lang w:val="en-US"/>
                </w:rPr>
                <w:t xml:space="preserve">ithin the founding principles of WZO/JA and JNF the designation as </w:t>
              </w:r>
              <w:r w:rsidR="004306B9">
                <w:rPr>
                  <w:rFonts w:ascii="TimesNewRomanPSMT" w:hAnsi="TimesNewRomanPSMT"/>
                  <w:b/>
                  <w:bCs/>
                  <w:sz w:val="24"/>
                  <w:lang w:val="en-US"/>
                </w:rPr>
                <w:t>“</w:t>
              </w:r>
              <w:r w:rsidR="00DB6DCC" w:rsidRPr="00FB14BD">
                <w:rPr>
                  <w:rFonts w:ascii="TimesNewRomanPSMT" w:hAnsi="TimesNewRomanPSMT"/>
                  <w:b/>
                  <w:bCs/>
                  <w:sz w:val="24"/>
                  <w:lang w:val="en-US"/>
                </w:rPr>
                <w:t xml:space="preserve">public </w:t>
              </w:r>
              <w:r w:rsidR="004306B9">
                <w:rPr>
                  <w:rFonts w:ascii="TimesNewRomanPSMT" w:hAnsi="TimesNewRomanPSMT"/>
                  <w:b/>
                  <w:bCs/>
                  <w:sz w:val="24"/>
                  <w:lang w:val="en-US"/>
                </w:rPr>
                <w:t xml:space="preserve">land” </w:t>
              </w:r>
              <w:r w:rsidR="00DB6DCC" w:rsidRPr="00FB14BD">
                <w:rPr>
                  <w:rFonts w:ascii="TimesNewRomanPSMT" w:hAnsi="TimesNewRomanPSMT"/>
                  <w:b/>
                  <w:bCs/>
                  <w:sz w:val="24"/>
                  <w:lang w:val="en-US"/>
                </w:rPr>
                <w:t xml:space="preserve">and </w:t>
              </w:r>
              <w:r w:rsidR="004306B9">
                <w:rPr>
                  <w:rFonts w:ascii="TimesNewRomanPSMT" w:hAnsi="TimesNewRomanPSMT"/>
                  <w:b/>
                  <w:bCs/>
                  <w:sz w:val="24"/>
                  <w:lang w:val="en-US"/>
                </w:rPr>
                <w:t>“s</w:t>
              </w:r>
              <w:r w:rsidR="00DB6DCC" w:rsidRPr="00FB14BD">
                <w:rPr>
                  <w:rFonts w:ascii="TimesNewRomanPSMT" w:hAnsi="TimesNewRomanPSMT"/>
                  <w:b/>
                  <w:bCs/>
                  <w:sz w:val="24"/>
                  <w:lang w:val="en-US"/>
                </w:rPr>
                <w:t>tate land</w:t>
              </w:r>
              <w:r w:rsidR="004306B9">
                <w:rPr>
                  <w:rFonts w:ascii="TimesNewRomanPSMT" w:hAnsi="TimesNewRomanPSMT"/>
                  <w:b/>
                  <w:bCs/>
                  <w:sz w:val="24"/>
                  <w:lang w:val="en-US"/>
                </w:rPr>
                <w:t>”</w:t>
              </w:r>
              <w:r w:rsidR="00DB6DCC" w:rsidRPr="00FB14BD">
                <w:rPr>
                  <w:rFonts w:ascii="TimesNewRomanPSMT" w:hAnsi="TimesNewRomanPSMT"/>
                  <w:b/>
                  <w:bCs/>
                  <w:sz w:val="24"/>
                  <w:lang w:val="en-US"/>
                </w:rPr>
                <w:t xml:space="preserve"> renders said </w:t>
              </w:r>
              <w:r w:rsidR="004306B9">
                <w:rPr>
                  <w:rFonts w:ascii="TimesNewRomanPSMT" w:hAnsi="TimesNewRomanPSMT"/>
                  <w:b/>
                  <w:bCs/>
                  <w:sz w:val="24"/>
                  <w:lang w:val="en-US"/>
                </w:rPr>
                <w:t xml:space="preserve">real property </w:t>
              </w:r>
              <w:r w:rsidR="00DB6DCC" w:rsidRPr="00FB14BD">
                <w:rPr>
                  <w:rFonts w:ascii="TimesNewRomanPSMT" w:hAnsi="TimesNewRomanPSMT"/>
                  <w:b/>
                  <w:bCs/>
                  <w:sz w:val="24"/>
                  <w:lang w:val="en-US"/>
                </w:rPr>
                <w:t xml:space="preserve">exclusively for Jewish use. Hence, Israel’s Public Lands Law (Eviction of Squatters) of 1981 enables the </w:t>
              </w:r>
              <w:r w:rsidR="004306B9">
                <w:rPr>
                  <w:rFonts w:ascii="TimesNewRomanPSMT" w:hAnsi="TimesNewRomanPSMT"/>
                  <w:b/>
                  <w:bCs/>
                  <w:sz w:val="24"/>
                  <w:lang w:val="en-US"/>
                </w:rPr>
                <w:t>s</w:t>
              </w:r>
              <w:r w:rsidR="00DB6DCC" w:rsidRPr="00FB14BD">
                <w:rPr>
                  <w:rFonts w:ascii="TimesNewRomanPSMT" w:hAnsi="TimesNewRomanPSMT"/>
                  <w:b/>
                  <w:bCs/>
                  <w:sz w:val="24"/>
                  <w:lang w:val="en-US"/>
                </w:rPr>
                <w:t xml:space="preserve">tate to remove from public and </w:t>
              </w:r>
              <w:r w:rsidR="004306B9">
                <w:rPr>
                  <w:rFonts w:ascii="TimesNewRomanPSMT" w:hAnsi="TimesNewRomanPSMT"/>
                  <w:b/>
                  <w:bCs/>
                  <w:sz w:val="24"/>
                  <w:lang w:val="en-US"/>
                </w:rPr>
                <w:t>s</w:t>
              </w:r>
              <w:r w:rsidR="00DB6DCC" w:rsidRPr="00FB14BD">
                <w:rPr>
                  <w:rFonts w:ascii="TimesNewRomanPSMT" w:hAnsi="TimesNewRomanPSMT"/>
                  <w:b/>
                  <w:bCs/>
                  <w:sz w:val="24"/>
                  <w:lang w:val="en-US"/>
                </w:rPr>
                <w:t>tate lands persons from “land, houses, buildings and anything permanently fixed to land” who fall outside that privileged category. A 2005 amendment to this law has expanded the powers of the ILA and its agen</w:t>
              </w:r>
              <w:r w:rsidR="004306B9">
                <w:rPr>
                  <w:rFonts w:ascii="TimesNewRomanPSMT" w:hAnsi="TimesNewRomanPSMT"/>
                  <w:b/>
                  <w:bCs/>
                  <w:sz w:val="24"/>
                  <w:lang w:val="en-US"/>
                </w:rPr>
                <w:t>t</w:t>
              </w:r>
              <w:r w:rsidR="00DB6DCC" w:rsidRPr="00FB14BD">
                <w:rPr>
                  <w:rFonts w:ascii="TimesNewRomanPSMT" w:hAnsi="TimesNewRomanPSMT"/>
                  <w:b/>
                  <w:bCs/>
                  <w:sz w:val="24"/>
                  <w:lang w:val="en-US"/>
                </w:rPr>
                <w:t>s to operate through administrative orders to evict and dispossess</w:t>
              </w:r>
              <w:r w:rsidR="004306B9">
                <w:rPr>
                  <w:rFonts w:ascii="TimesNewRomanPSMT" w:hAnsi="TimesNewRomanPSMT"/>
                  <w:b/>
                  <w:bCs/>
                  <w:sz w:val="24"/>
                  <w:lang w:val="en-US"/>
                </w:rPr>
                <w:t xml:space="preserve"> Palestinians, whether Israeli citizens, or oPt residents</w:t>
              </w:r>
              <w:r w:rsidR="00DB6DCC" w:rsidRPr="00FB14BD">
                <w:rPr>
                  <w:rFonts w:ascii="TimesNewRomanPSMT" w:hAnsi="TimesNewRomanPSMT"/>
                  <w:b/>
                  <w:bCs/>
                  <w:sz w:val="24"/>
                  <w:lang w:val="en-US"/>
                </w:rPr>
                <w:t>. Although Israeli State agencies have applied it to alter the demographic composition of Jerusalem</w:t>
              </w:r>
              <w:r w:rsidR="00DB6DCC" w:rsidRPr="00FB14BD">
                <w:rPr>
                  <w:rStyle w:val="EndnoteReference"/>
                  <w:rFonts w:ascii="TimesNewRomanPSMT" w:hAnsi="TimesNewRomanPSMT"/>
                  <w:b/>
                  <w:bCs/>
                  <w:sz w:val="24"/>
                  <w:lang w:val="en-US"/>
                </w:rPr>
                <w:endnoteReference w:id="45"/>
              </w:r>
              <w:r w:rsidR="00DB6DCC" w:rsidRPr="00FB14BD">
                <w:rPr>
                  <w:rFonts w:ascii="TimesNewRomanPSMT" w:hAnsi="TimesNewRomanPSMT"/>
                  <w:b/>
                  <w:bCs/>
                  <w:position w:val="12"/>
                  <w:sz w:val="16"/>
                  <w:szCs w:val="16"/>
                  <w:lang w:val="en-US"/>
                </w:rPr>
                <w:t xml:space="preserve"> </w:t>
              </w:r>
              <w:r w:rsidR="00DB6DCC" w:rsidRPr="00FB14BD">
                <w:rPr>
                  <w:rFonts w:ascii="TimesNewRomanPSMT" w:hAnsi="TimesNewRomanPSMT"/>
                  <w:b/>
                  <w:bCs/>
                  <w:sz w:val="24"/>
                  <w:lang w:val="en-US"/>
                </w:rPr>
                <w:t xml:space="preserve">and elsewhere, the 2005 amendment was aimed primarily against the Arab Bedouin population of the southern Naqab.  </w:t>
              </w:r>
              <w:r w:rsidR="00DB6DCC" w:rsidRPr="00FB14BD">
                <w:rPr>
                  <w:b/>
                  <w:bCs/>
                  <w:sz w:val="24"/>
                  <w:lang w:val="en-US"/>
                </w:rPr>
                <w:t xml:space="preserve"> </w:t>
              </w:r>
              <w:r w:rsidR="00A968B3" w:rsidRPr="00FB14BD">
                <w:rPr>
                  <w:b/>
                  <w:bCs/>
                  <w:sz w:val="24"/>
                  <w:lang w:val="en-US"/>
                </w:rPr>
                <w:br/>
              </w:r>
              <w:r w:rsidR="00A968B3" w:rsidRPr="00FB14BD">
                <w:rPr>
                  <w:b/>
                  <w:bCs/>
                  <w:sz w:val="24"/>
                  <w:lang w:val="en-US"/>
                </w:rPr>
                <w:br/>
              </w:r>
              <w:r w:rsidR="00A968B3" w:rsidRPr="00BB3140">
                <w:rPr>
                  <w:b/>
                  <w:bCs/>
                  <w:sz w:val="24"/>
                  <w:lang w:val="en-US"/>
                </w:rPr>
                <w:t xml:space="preserve">Israel’s </w:t>
              </w:r>
              <w:r w:rsidR="00FE5483" w:rsidRPr="00BB3140">
                <w:rPr>
                  <w:b/>
                  <w:bCs/>
                  <w:sz w:val="24"/>
                  <w:lang w:val="en-US"/>
                </w:rPr>
                <w:t xml:space="preserve">most-recent periodic </w:t>
              </w:r>
              <w:r w:rsidR="00A968B3" w:rsidRPr="00BB3140">
                <w:rPr>
                  <w:b/>
                  <w:bCs/>
                  <w:sz w:val="24"/>
                  <w:lang w:val="en-US"/>
                </w:rPr>
                <w:t xml:space="preserve">report </w:t>
              </w:r>
              <w:r w:rsidR="00FE5483" w:rsidRPr="00BB3140">
                <w:rPr>
                  <w:b/>
                  <w:bCs/>
                  <w:sz w:val="24"/>
                  <w:lang w:val="en-US"/>
                </w:rPr>
                <w:t xml:space="preserve">to CERD </w:t>
              </w:r>
              <w:r w:rsidR="00A968B3" w:rsidRPr="00BB3140">
                <w:rPr>
                  <w:b/>
                  <w:bCs/>
                  <w:sz w:val="24"/>
                  <w:lang w:val="en-US"/>
                </w:rPr>
                <w:t xml:space="preserve">maintains that “[t]here exists in Israel no restrictions of any kind as to place of residence nor is there any segregation of any </w:t>
              </w:r>
              <w:r w:rsidR="00A968B3" w:rsidRPr="00BB3140">
                <w:rPr>
                  <w:b/>
                  <w:bCs/>
                  <w:sz w:val="24"/>
                  <w:lang w:val="en-US"/>
                </w:rPr>
                <w:lastRenderedPageBreak/>
                <w:t>kind</w:t>
              </w:r>
              <w:r w:rsidR="008A7E65" w:rsidRPr="00BB3140">
                <w:rPr>
                  <w:b/>
                  <w:bCs/>
                  <w:sz w:val="24"/>
                  <w:lang w:val="en-US"/>
                </w:rPr>
                <w:t>.</w:t>
              </w:r>
              <w:r w:rsidR="00A968B3" w:rsidRPr="00BB3140">
                <w:rPr>
                  <w:b/>
                  <w:bCs/>
                  <w:sz w:val="24"/>
                  <w:lang w:val="en-US"/>
                </w:rPr>
                <w:t>”</w:t>
              </w:r>
              <w:r w:rsidR="004306B9" w:rsidRPr="00BB3140">
                <w:rPr>
                  <w:rStyle w:val="EndnoteReference"/>
                  <w:b/>
                  <w:bCs/>
                  <w:sz w:val="24"/>
                  <w:lang w:val="en-US"/>
                </w:rPr>
                <w:endnoteReference w:id="46"/>
              </w:r>
              <w:r w:rsidR="00A968B3" w:rsidRPr="00FB14BD">
                <w:rPr>
                  <w:b/>
                  <w:bCs/>
                  <w:sz w:val="24"/>
                  <w:lang w:val="en-US"/>
                </w:rPr>
                <w:t xml:space="preserve"> </w:t>
              </w:r>
              <w:r w:rsidR="00BB3140" w:rsidRPr="00BB3140">
                <w:rPr>
                  <w:b/>
                  <w:bCs/>
                  <w:sz w:val="24"/>
                </w:rPr>
                <w:t xml:space="preserve">The </w:t>
              </w:r>
              <w:r w:rsidR="00BB3140">
                <w:rPr>
                  <w:b/>
                  <w:bCs/>
                  <w:sz w:val="24"/>
                </w:rPr>
                <w:t xml:space="preserve">infamous </w:t>
              </w:r>
              <w:r w:rsidR="00BB3140" w:rsidRPr="00BB3140">
                <w:rPr>
                  <w:b/>
                  <w:bCs/>
                  <w:sz w:val="24"/>
                </w:rPr>
                <w:t xml:space="preserve">Admissions Committees in Israeli Regional Planning Councils </w:t>
              </w:r>
              <w:r w:rsidR="00BB3140">
                <w:rPr>
                  <w:b/>
                  <w:bCs/>
                  <w:sz w:val="24"/>
                </w:rPr>
                <w:t xml:space="preserve">(statutory authorities in Israeli planning law) </w:t>
              </w:r>
              <w:r w:rsidR="00BB3140" w:rsidRPr="00BB3140">
                <w:rPr>
                  <w:b/>
                  <w:bCs/>
                  <w:sz w:val="24"/>
                </w:rPr>
                <w:t xml:space="preserve">have long operated to provide an additional patina of planning procedure that bans Arabs from housing and land. These bodies ensure a tie-breaking JA majority vote to discriminate against non-“Jewish nationals” in hundreds of communities in Israel to reject housing applicants for their “social unsuitability.” In 2009, this customary practice was enshrined in the Admissions Committees Law to prevent Arab citizens from living with Jews and enforce </w:t>
              </w:r>
              <w:r w:rsidR="00BB3140" w:rsidRPr="00BB3140">
                <w:rPr>
                  <w:b/>
                  <w:bCs/>
                  <w:i/>
                  <w:iCs/>
                  <w:sz w:val="24"/>
                </w:rPr>
                <w:t>de facto</w:t>
              </w:r>
              <w:r w:rsidR="00BB3140" w:rsidRPr="00BB3140">
                <w:rPr>
                  <w:b/>
                  <w:bCs/>
                  <w:sz w:val="24"/>
                </w:rPr>
                <w:t xml:space="preserve"> housing segregation between Jewish and Arab citizens. Despite 2011 amendments to the law, restricting discrimination, and a Knesset report exposing abuse,</w:t>
              </w:r>
              <w:r w:rsidR="00BB3140" w:rsidRPr="00BB3140">
                <w:rPr>
                  <w:b/>
                  <w:bCs/>
                  <w:sz w:val="24"/>
                  <w:vertAlign w:val="superscript"/>
                </w:rPr>
                <w:endnoteReference w:id="47"/>
              </w:r>
              <w:r w:rsidR="00BB3140" w:rsidRPr="00BB3140">
                <w:rPr>
                  <w:b/>
                  <w:bCs/>
                  <w:sz w:val="24"/>
                </w:rPr>
                <w:t xml:space="preserve"> the Israeli Supreme Court dismissed numerous petitions challenging the law and discriminatory practice, ruling that the discriminatory nature of the Admissions Committees did not clearly violate constitutional rights.</w:t>
              </w:r>
              <w:r w:rsidR="00BB3140" w:rsidRPr="00BB3140">
                <w:rPr>
                  <w:b/>
                  <w:bCs/>
                  <w:sz w:val="24"/>
                  <w:vertAlign w:val="superscript"/>
                </w:rPr>
                <w:endnoteReference w:id="48"/>
              </w:r>
              <w:r w:rsidR="00BB3140">
                <w:rPr>
                  <w:b/>
                  <w:bCs/>
                  <w:sz w:val="24"/>
                </w:rPr>
                <w:t xml:space="preserve">     </w:t>
              </w:r>
              <w:r w:rsidR="000D22E3">
                <w:rPr>
                  <w:b/>
                  <w:bCs/>
                  <w:sz w:val="24"/>
                </w:rPr>
                <w:t>¶</w:t>
              </w:r>
              <w:r w:rsidR="000D22E3" w:rsidRPr="000D22E3">
                <w:t xml:space="preserve"> </w:t>
              </w:r>
              <w:r w:rsidR="000D22E3" w:rsidRPr="000D22E3">
                <w:rPr>
                  <w:b/>
                  <w:bCs/>
                  <w:sz w:val="24"/>
                </w:rPr>
                <w:t xml:space="preserve">Palestinian Arab communities in Israel suffer from a housing crisis, much of which is reflected in high prices and a lack of affordable housing. Israeli government policy </w:t>
              </w:r>
              <w:r w:rsidR="000D22E3">
                <w:rPr>
                  <w:b/>
                  <w:bCs/>
                  <w:sz w:val="24"/>
                </w:rPr>
                <w:t xml:space="preserve">has </w:t>
              </w:r>
              <w:r w:rsidR="000D22E3" w:rsidRPr="000D22E3">
                <w:rPr>
                  <w:b/>
                  <w:bCs/>
                  <w:sz w:val="24"/>
                </w:rPr>
                <w:t>creat</w:t>
              </w:r>
              <w:r w:rsidR="000D22E3">
                <w:rPr>
                  <w:b/>
                  <w:bCs/>
                  <w:sz w:val="24"/>
                </w:rPr>
                <w:t>ed</w:t>
              </w:r>
              <w:r w:rsidR="000D22E3" w:rsidRPr="000D22E3">
                <w:rPr>
                  <w:b/>
                  <w:bCs/>
                  <w:sz w:val="24"/>
                </w:rPr>
                <w:t xml:space="preserve"> a situation in which weaker Arab communities do</w:t>
              </w:r>
              <w:r w:rsidR="000D22E3">
                <w:rPr>
                  <w:b/>
                  <w:bCs/>
                  <w:sz w:val="24"/>
                </w:rPr>
                <w:t xml:space="preserve"> not</w:t>
              </w:r>
              <w:r w:rsidR="000D22E3" w:rsidRPr="000D22E3">
                <w:rPr>
                  <w:b/>
                  <w:bCs/>
                  <w:sz w:val="24"/>
                </w:rPr>
                <w:t xml:space="preserve"> receive the same benefits as their neighbors in stronger Jewish communities. </w:t>
              </w:r>
              <w:r w:rsidR="000D22E3">
                <w:rPr>
                  <w:b/>
                  <w:bCs/>
                  <w:sz w:val="24"/>
                </w:rPr>
                <w:t xml:space="preserve">In a recent petition to the Israeli Supreme Court </w:t>
              </w:r>
              <w:r w:rsidR="000D22E3" w:rsidRPr="000D22E3">
                <w:rPr>
                  <w:b/>
                  <w:bCs/>
                  <w:sz w:val="24"/>
                </w:rPr>
                <w:t>signals a recognition of serious issues relating to Israeli state criteria excluding Palestinian citizens</w:t>
              </w:r>
              <w:r w:rsidR="000D22E3">
                <w:rPr>
                  <w:b/>
                  <w:bCs/>
                  <w:sz w:val="24"/>
                </w:rPr>
                <w:t xml:space="preserve">.  In August 2020, local NGOs </w:t>
              </w:r>
              <w:r w:rsidR="000D22E3" w:rsidRPr="000D22E3">
                <w:rPr>
                  <w:b/>
                  <w:bCs/>
                  <w:sz w:val="24"/>
                </w:rPr>
                <w:t xml:space="preserve">Adalah </w:t>
              </w:r>
              <w:r w:rsidR="000D22E3">
                <w:rPr>
                  <w:b/>
                  <w:bCs/>
                  <w:sz w:val="24"/>
                </w:rPr>
                <w:t xml:space="preserve">and </w:t>
              </w:r>
              <w:r w:rsidR="000D22E3" w:rsidRPr="000D22E3">
                <w:rPr>
                  <w:b/>
                  <w:bCs/>
                  <w:sz w:val="24"/>
                </w:rPr>
                <w:t>the Arab Center for Alternative Planning (ACAP)</w:t>
              </w:r>
              <w:r w:rsidR="000D22E3">
                <w:rPr>
                  <w:b/>
                  <w:bCs/>
                  <w:sz w:val="24"/>
                </w:rPr>
                <w:t xml:space="preserve"> filed a </w:t>
              </w:r>
              <w:r w:rsidR="000D22E3" w:rsidRPr="000D22E3">
                <w:rPr>
                  <w:b/>
                  <w:bCs/>
                  <w:sz w:val="24"/>
                </w:rPr>
                <w:t>petition on behalf of all Arab local authorities in Wadi Ara and 74 area residents, in cooperation with the Public Committee for the Defense of Land and Housing in Wadi Ara, the petitioners' own localities, the local councils of Umm al-Fahm, Baqa al-Gharbiya, the Ara-Ar’ara, Kfar Qara, Ma'ale ‘Iron, Basmah and Jatt, and the communities of Umm al-Qatif, Misar, and Al-‘Iryan</w:t>
              </w:r>
              <w:r w:rsidR="000D22E3">
                <w:rPr>
                  <w:b/>
                  <w:bCs/>
                  <w:sz w:val="24"/>
                </w:rPr>
                <w:t>, all of</w:t>
              </w:r>
              <w:r w:rsidR="000D22E3" w:rsidRPr="000D22E3">
                <w:rPr>
                  <w:b/>
                  <w:bCs/>
                  <w:sz w:val="24"/>
                </w:rPr>
                <w:t xml:space="preserve"> which have not received “National Priority Area” (NPA) designation that would make them eligible for development and housing benefits and land discounts from the Israel Land Authority. </w:t>
              </w:r>
              <w:r w:rsidR="000D22E3">
                <w:rPr>
                  <w:b/>
                  <w:bCs/>
                  <w:sz w:val="24"/>
                </w:rPr>
                <w:t>On 22 April 2021, t</w:t>
              </w:r>
              <w:r w:rsidR="000D22E3" w:rsidRPr="000D22E3">
                <w:rPr>
                  <w:b/>
                  <w:bCs/>
                  <w:sz w:val="24"/>
                </w:rPr>
                <w:t xml:space="preserve">he Israeli Supreme Court granted Israeli state authorities 30 days to explain why </w:t>
              </w:r>
              <w:r w:rsidR="000D22E3">
                <w:rPr>
                  <w:b/>
                  <w:bCs/>
                  <w:sz w:val="24"/>
                </w:rPr>
                <w:t xml:space="preserve">these </w:t>
              </w:r>
              <w:r w:rsidR="000D22E3" w:rsidRPr="000D22E3">
                <w:rPr>
                  <w:b/>
                  <w:bCs/>
                  <w:sz w:val="24"/>
                </w:rPr>
                <w:t xml:space="preserve">Arab localities </w:t>
              </w:r>
              <w:r w:rsidR="000D22E3">
                <w:rPr>
                  <w:b/>
                  <w:bCs/>
                  <w:sz w:val="24"/>
                </w:rPr>
                <w:t>have been</w:t>
              </w:r>
              <w:r w:rsidR="00657B34">
                <w:rPr>
                  <w:b/>
                  <w:bCs/>
                  <w:sz w:val="24"/>
                </w:rPr>
                <w:t xml:space="preserve"> </w:t>
              </w:r>
              <w:r w:rsidR="000D22E3" w:rsidRPr="000D22E3">
                <w:rPr>
                  <w:b/>
                  <w:bCs/>
                  <w:sz w:val="24"/>
                </w:rPr>
                <w:t xml:space="preserve">development </w:t>
              </w:r>
              <w:r w:rsidR="00657B34">
                <w:rPr>
                  <w:b/>
                  <w:bCs/>
                  <w:sz w:val="24"/>
                </w:rPr>
                <w:t xml:space="preserve">against in </w:t>
              </w:r>
              <w:r w:rsidR="000D22E3" w:rsidRPr="000D22E3">
                <w:rPr>
                  <w:b/>
                  <w:bCs/>
                  <w:sz w:val="24"/>
                </w:rPr>
                <w:t>benefits received by neighboring Jewish localities with higher socio-economic rankings</w:t>
              </w:r>
              <w:r w:rsidR="00657B34">
                <w:rPr>
                  <w:b/>
                  <w:bCs/>
                  <w:sz w:val="24"/>
                </w:rPr>
                <w:t>.</w:t>
              </w:r>
              <w:r w:rsidR="00657B34">
                <w:rPr>
                  <w:rStyle w:val="EndnoteReference"/>
                  <w:b/>
                  <w:bCs/>
                  <w:sz w:val="24"/>
                </w:rPr>
                <w:endnoteReference w:id="49"/>
              </w:r>
              <w:r w:rsidR="00657B34">
                <w:rPr>
                  <w:b/>
                  <w:bCs/>
                  <w:sz w:val="24"/>
                </w:rPr>
                <w:t xml:space="preserve">  </w:t>
              </w:r>
              <w:r w:rsidR="000D22E3">
                <w:rPr>
                  <w:b/>
                  <w:bCs/>
                  <w:sz w:val="24"/>
                </w:rPr>
                <w:t xml:space="preserve"> ¶</w:t>
              </w:r>
              <w:r w:rsidR="004E552E" w:rsidRPr="004E552E">
                <w:rPr>
                  <w:b/>
                  <w:bCs/>
                  <w:sz w:val="24"/>
                </w:rPr>
                <w:t>Other forms of discrimination manifest also in the treatment of Arab municipalities inside Israel.</w:t>
              </w:r>
              <w:r w:rsidR="004E552E">
                <w:rPr>
                  <w:b/>
                  <w:bCs/>
                  <w:sz w:val="24"/>
                </w:rPr>
                <w:t xml:space="preserve"> Planning and development patterns deliberately seek to encircle, divide and isolate Arab villages and neighborhoods, preventing them </w:t>
              </w:r>
              <w:r w:rsidR="004E552E">
                <w:rPr>
                  <w:b/>
                  <w:bCs/>
                  <w:sz w:val="24"/>
                </w:rPr>
                <w:lastRenderedPageBreak/>
                <w:t>from further development and accommodation for population growth.</w:t>
              </w:r>
              <w:r w:rsidR="004E552E">
                <w:rPr>
                  <w:rStyle w:val="EndnoteReference"/>
                  <w:b/>
                  <w:bCs/>
                  <w:sz w:val="24"/>
                </w:rPr>
                <w:endnoteReference w:id="50"/>
              </w:r>
              <w:r w:rsidR="004E552E" w:rsidRPr="004E552E">
                <w:t xml:space="preserve"> </w:t>
              </w:r>
              <w:r w:rsidR="004E552E">
                <w:t xml:space="preserve"> </w:t>
              </w:r>
              <w:r w:rsidR="004E552E" w:rsidRPr="004E552E">
                <w:rPr>
                  <w:b/>
                  <w:bCs/>
                  <w:sz w:val="24"/>
                  <w:szCs w:val="24"/>
                </w:rPr>
                <w:t>This pattern has been applied consistently</w:t>
              </w:r>
              <w:r w:rsidR="004E552E">
                <w:rPr>
                  <w:b/>
                  <w:bCs/>
                  <w:sz w:val="24"/>
                  <w:szCs w:val="24"/>
                </w:rPr>
                <w:t xml:space="preserve"> also</w:t>
              </w:r>
              <w:r w:rsidR="004E552E" w:rsidRPr="004E552E">
                <w:rPr>
                  <w:b/>
                  <w:bCs/>
                  <w:sz w:val="24"/>
                  <w:szCs w:val="24"/>
                </w:rPr>
                <w:t xml:space="preserve"> in the establishment of illegal settler colonies </w:t>
              </w:r>
              <w:r w:rsidR="00DE5766">
                <w:rPr>
                  <w:b/>
                  <w:bCs/>
                  <w:sz w:val="24"/>
                  <w:szCs w:val="24"/>
                </w:rPr>
                <w:t xml:space="preserve">and the Apartheid Wall </w:t>
              </w:r>
              <w:r w:rsidR="004E552E" w:rsidRPr="004E552E">
                <w:rPr>
                  <w:b/>
                  <w:bCs/>
                  <w:sz w:val="24"/>
                  <w:szCs w:val="24"/>
                </w:rPr>
                <w:t>in the occupied territory</w:t>
              </w:r>
              <w:r w:rsidR="004E552E">
                <w:rPr>
                  <w:b/>
                  <w:bCs/>
                  <w:sz w:val="24"/>
                  <w:szCs w:val="24"/>
                </w:rPr>
                <w:t xml:space="preserve"> with the effect and purpose of fragmenting, segregating and isolating Palestinian habitats from each other</w:t>
              </w:r>
              <w:r w:rsidR="004E552E" w:rsidRPr="004E552E">
                <w:rPr>
                  <w:b/>
                  <w:bCs/>
                  <w:sz w:val="24"/>
                  <w:szCs w:val="24"/>
                </w:rPr>
                <w:t>.</w:t>
              </w:r>
              <w:r w:rsidR="00DE5766">
                <w:rPr>
                  <w:rStyle w:val="EndnoteReference"/>
                  <w:b/>
                  <w:bCs/>
                  <w:sz w:val="24"/>
                  <w:szCs w:val="24"/>
                </w:rPr>
                <w:endnoteReference w:id="51"/>
              </w:r>
              <w:r w:rsidR="004E552E">
                <w:rPr>
                  <w:b/>
                  <w:bCs/>
                  <w:sz w:val="24"/>
                  <w:szCs w:val="24"/>
                </w:rPr>
                <w:t xml:space="preserve"> This pattern aligns with the ideological driver of “judaizing” historic Palestine by eliminating the Palestinian people physically and/or spatially. </w:t>
              </w:r>
              <w:r w:rsidR="004E552E">
                <w:t xml:space="preserve">  </w:t>
              </w:r>
              <w:r w:rsidR="00C5118C">
                <w:t xml:space="preserve">   </w:t>
              </w:r>
              <w:r w:rsidR="004E552E">
                <w:t xml:space="preserve"> </w:t>
              </w:r>
              <w:r w:rsidR="00AE6E5D">
                <w:rPr>
                  <w:b/>
                  <w:bCs/>
                  <w:sz w:val="24"/>
                  <w:lang w:val="en-US"/>
                </w:rPr>
                <w:t>¶</w:t>
              </w:r>
              <w:r w:rsidR="008A7E65">
                <w:rPr>
                  <w:b/>
                  <w:bCs/>
                  <w:sz w:val="24"/>
                  <w:lang w:val="en-US"/>
                </w:rPr>
                <w:t>T</w:t>
              </w:r>
              <w:r w:rsidR="00A968B3" w:rsidRPr="00FB14BD">
                <w:rPr>
                  <w:b/>
                  <w:bCs/>
                  <w:sz w:val="24"/>
                  <w:lang w:val="en-US"/>
                </w:rPr>
                <w:t xml:space="preserve">he Israeli occupying authorities have revoked some 14,500 permanent residencies of Palestinians in Jerusalem, </w:t>
              </w:r>
              <w:r w:rsidR="008A7E65">
                <w:rPr>
                  <w:b/>
                  <w:bCs/>
                  <w:sz w:val="24"/>
                  <w:lang w:val="en-US"/>
                </w:rPr>
                <w:t xml:space="preserve">forcing the </w:t>
              </w:r>
              <w:r w:rsidR="00A968B3" w:rsidRPr="00FB14BD">
                <w:rPr>
                  <w:b/>
                  <w:bCs/>
                  <w:sz w:val="24"/>
                  <w:lang w:val="en-US"/>
                </w:rPr>
                <w:t>transfer of Palestinians and their families from the city.</w:t>
              </w:r>
              <w:r w:rsidR="00A968B3" w:rsidRPr="00FB14BD">
                <w:rPr>
                  <w:rStyle w:val="EndnoteReference"/>
                  <w:b/>
                  <w:bCs/>
                  <w:sz w:val="24"/>
                  <w:lang w:val="en-US"/>
                </w:rPr>
                <w:endnoteReference w:id="52"/>
              </w:r>
              <w:r w:rsidR="00A968B3" w:rsidRPr="00FB14BD">
                <w:rPr>
                  <w:b/>
                  <w:bCs/>
                  <w:sz w:val="24"/>
                  <w:lang w:val="en-US"/>
                </w:rPr>
                <w:t xml:space="preserve"> Over time, Israel has continued to expand its onerous criteria in order to revoke the residency status of more indigenous Palestinians from Jerusalem. Between 1967 and 1995, 3,150 residencies were revoked for “settling outside Israel” for seven years or receiving the status of resident or citizen in another country.</w:t>
              </w:r>
              <w:r w:rsidR="00A968B3" w:rsidRPr="00FB14BD">
                <w:rPr>
                  <w:rStyle w:val="EndnoteReference"/>
                  <w:b/>
                  <w:bCs/>
                  <w:sz w:val="24"/>
                  <w:lang w:val="en-US"/>
                </w:rPr>
                <w:endnoteReference w:id="53"/>
              </w:r>
              <w:r w:rsidR="00A968B3" w:rsidRPr="00FB14BD">
                <w:rPr>
                  <w:b/>
                  <w:bCs/>
                  <w:sz w:val="24"/>
                  <w:lang w:val="en-US"/>
                </w:rPr>
                <w:t xml:space="preserve"> Beginning in 1995, the criteria was expanded to revoke residency of East Jerusalemite Palestinians if they are unable to prove their so-called </w:t>
              </w:r>
              <w:r w:rsidR="008A7E65">
                <w:rPr>
                  <w:b/>
                  <w:bCs/>
                  <w:sz w:val="24"/>
                  <w:lang w:val="en-US"/>
                </w:rPr>
                <w:t>“</w:t>
              </w:r>
              <w:r w:rsidR="00A968B3" w:rsidRPr="00FB14BD">
                <w:rPr>
                  <w:b/>
                  <w:bCs/>
                  <w:sz w:val="24"/>
                  <w:lang w:val="en-US"/>
                </w:rPr>
                <w:t>cent</w:t>
              </w:r>
              <w:r w:rsidR="008A7E65">
                <w:rPr>
                  <w:b/>
                  <w:bCs/>
                  <w:sz w:val="24"/>
                  <w:lang w:val="en-US"/>
                </w:rPr>
                <w:t>er</w:t>
              </w:r>
              <w:r w:rsidR="00A968B3" w:rsidRPr="00FB14BD">
                <w:rPr>
                  <w:b/>
                  <w:bCs/>
                  <w:sz w:val="24"/>
                  <w:lang w:val="en-US"/>
                </w:rPr>
                <w:t xml:space="preserve"> of life</w:t>
              </w:r>
              <w:r w:rsidR="008A7E65">
                <w:rPr>
                  <w:b/>
                  <w:bCs/>
                  <w:sz w:val="24"/>
                  <w:lang w:val="en-US"/>
                </w:rPr>
                <w:t>”</w:t>
              </w:r>
              <w:r w:rsidR="00A968B3" w:rsidRPr="00FB14BD">
                <w:rPr>
                  <w:b/>
                  <w:bCs/>
                  <w:sz w:val="24"/>
                  <w:lang w:val="en-US"/>
                </w:rPr>
                <w:t xml:space="preserve"> is in Jerusalem</w:t>
              </w:r>
              <w:r w:rsidR="008A7E65">
                <w:rPr>
                  <w:b/>
                  <w:bCs/>
                  <w:sz w:val="24"/>
                  <w:lang w:val="en-US"/>
                </w:rPr>
                <w:t>,</w:t>
              </w:r>
              <w:r w:rsidR="00A968B3" w:rsidRPr="00FB14BD">
                <w:rPr>
                  <w:b/>
                  <w:bCs/>
                  <w:sz w:val="24"/>
                  <w:lang w:val="en-US"/>
                </w:rPr>
                <w:t xml:space="preserve"> even if the duration of the stay outside the city, including in the rest of the oPt, was less than seven years </w:t>
              </w:r>
              <w:r w:rsidR="002736B6">
                <w:rPr>
                  <w:b/>
                  <w:bCs/>
                  <w:sz w:val="24"/>
                  <w:lang w:val="en-US"/>
                </w:rPr>
                <w:t>,</w:t>
              </w:r>
              <w:r w:rsidR="00A968B3" w:rsidRPr="00FB14BD">
                <w:rPr>
                  <w:b/>
                  <w:bCs/>
                  <w:sz w:val="24"/>
                  <w:lang w:val="en-US"/>
                </w:rPr>
                <w:t>or if foreign residency or citizenship was not obtained.</w:t>
              </w:r>
              <w:r w:rsidR="002736B6">
                <w:rPr>
                  <w:b/>
                  <w:bCs/>
                  <w:sz w:val="24"/>
                  <w:lang w:val="en-US"/>
                </w:rPr>
                <w:t xml:space="preserve"> </w:t>
              </w:r>
              <w:r w:rsidR="004E5807">
                <w:rPr>
                  <w:b/>
                  <w:bCs/>
                  <w:sz w:val="24"/>
                  <w:lang w:val="en-US"/>
                </w:rPr>
                <w:t xml:space="preserve">   </w:t>
              </w:r>
              <w:r w:rsidR="002736B6">
                <w:rPr>
                  <w:b/>
                  <w:bCs/>
                  <w:sz w:val="24"/>
                  <w:lang w:val="en-US"/>
                </w:rPr>
                <w:t>¶</w:t>
              </w:r>
              <w:r w:rsidR="00A968B3" w:rsidRPr="00FB14BD">
                <w:rPr>
                  <w:b/>
                  <w:bCs/>
                  <w:sz w:val="24"/>
                  <w:lang w:val="en-US"/>
                </w:rPr>
                <w:t>Under this expanded criterion, more than 11,300 residency rights of Palestinians from Jerusalem have been revoked to date.</w:t>
              </w:r>
              <w:r w:rsidR="00A968B3" w:rsidRPr="00FB14BD">
                <w:rPr>
                  <w:rStyle w:val="EndnoteReference"/>
                  <w:b/>
                  <w:bCs/>
                  <w:sz w:val="24"/>
                  <w:lang w:val="en-US"/>
                </w:rPr>
                <w:endnoteReference w:id="54"/>
              </w:r>
              <w:r w:rsidR="00A968B3" w:rsidRPr="00FB14BD">
                <w:rPr>
                  <w:b/>
                  <w:bCs/>
                  <w:sz w:val="24"/>
                  <w:lang w:val="en-US"/>
                </w:rPr>
                <w:t xml:space="preserve"> When Israel designed the precarious “permanent residency” status for Palestinians in Jerusalem in 1967, it did so with the </w:t>
              </w:r>
              <w:r w:rsidR="002736B6">
                <w:rPr>
                  <w:b/>
                  <w:bCs/>
                  <w:sz w:val="24"/>
                  <w:lang w:val="en-US"/>
                </w:rPr>
                <w:t xml:space="preserve">purpose of carrying out elements of the serious crime of </w:t>
              </w:r>
              <w:r w:rsidR="00A968B3" w:rsidRPr="00FB14BD">
                <w:rPr>
                  <w:b/>
                  <w:bCs/>
                  <w:sz w:val="24"/>
                  <w:lang w:val="en-US"/>
                </w:rPr>
                <w:t xml:space="preserve">population transfer </w:t>
              </w:r>
              <w:r w:rsidR="002736B6">
                <w:rPr>
                  <w:b/>
                  <w:bCs/>
                  <w:sz w:val="24"/>
                  <w:lang w:val="en-US"/>
                </w:rPr>
                <w:t xml:space="preserve">to achieve </w:t>
              </w:r>
              <w:r w:rsidR="00A968B3" w:rsidRPr="00FB14BD">
                <w:rPr>
                  <w:b/>
                  <w:bCs/>
                  <w:sz w:val="24"/>
                  <w:lang w:val="en-US"/>
                </w:rPr>
                <w:t xml:space="preserve">demographic manipulation of the </w:t>
              </w:r>
              <w:r w:rsidR="002736B6">
                <w:rPr>
                  <w:b/>
                  <w:bCs/>
                  <w:sz w:val="24"/>
                  <w:lang w:val="en-US"/>
                </w:rPr>
                <w:t>C</w:t>
              </w:r>
              <w:r w:rsidR="00A968B3" w:rsidRPr="00FB14BD">
                <w:rPr>
                  <w:b/>
                  <w:bCs/>
                  <w:sz w:val="24"/>
                  <w:lang w:val="en-US"/>
                </w:rPr>
                <w:t>ity of Jerusalem, in violation of its status under international law</w:t>
              </w:r>
              <w:r w:rsidR="002736B6">
                <w:rPr>
                  <w:b/>
                  <w:bCs/>
                  <w:sz w:val="24"/>
                  <w:lang w:val="en-US"/>
                </w:rPr>
                <w:t>, the Rome Statute</w:t>
              </w:r>
              <w:r w:rsidR="00A968B3" w:rsidRPr="00FB14BD">
                <w:rPr>
                  <w:b/>
                  <w:bCs/>
                  <w:sz w:val="24"/>
                  <w:lang w:val="en-US"/>
                </w:rPr>
                <w:t xml:space="preserve"> and the inalienable rights of </w:t>
              </w:r>
              <w:r w:rsidR="002736B6">
                <w:rPr>
                  <w:b/>
                  <w:bCs/>
                  <w:sz w:val="24"/>
                  <w:lang w:val="en-US"/>
                </w:rPr>
                <w:t xml:space="preserve">Jerusalem </w:t>
              </w:r>
              <w:r w:rsidR="00A968B3" w:rsidRPr="00FB14BD">
                <w:rPr>
                  <w:b/>
                  <w:bCs/>
                  <w:sz w:val="24"/>
                  <w:lang w:val="en-US"/>
                </w:rPr>
                <w:t>Palestinians.</w:t>
              </w:r>
            </w:sdtContent>
          </w:sdt>
          <w:r w:rsidR="00226F79" w:rsidRPr="00226F79" w:rsidDel="004541C6">
            <w:rPr>
              <w:sz w:val="24"/>
              <w:szCs w:val="24"/>
            </w:rPr>
            <w:t xml:space="preserve"> </w:t>
          </w:r>
        </w:sdtContent>
      </w:sdt>
    </w:p>
    <w:p w14:paraId="59AD947B" w14:textId="77777777" w:rsidR="00226F79" w:rsidRPr="00226F79" w:rsidRDefault="00226F79" w:rsidP="00A968B3">
      <w:pPr>
        <w:rPr>
          <w:sz w:val="24"/>
          <w:szCs w:val="24"/>
        </w:rPr>
      </w:pPr>
    </w:p>
    <w:p w14:paraId="73260F5E" w14:textId="4B746C20" w:rsidR="00226F79" w:rsidRDefault="003A314E" w:rsidP="00226F79">
      <w:pPr>
        <w:jc w:val="both"/>
        <w:rPr>
          <w:sz w:val="24"/>
          <w:szCs w:val="24"/>
        </w:rPr>
      </w:pPr>
      <w:r>
        <w:rPr>
          <w:sz w:val="24"/>
          <w:szCs w:val="24"/>
        </w:rPr>
        <w:t xml:space="preserve">11. </w:t>
      </w:r>
      <w:r w:rsidR="00226F79" w:rsidRPr="00226F79">
        <w:rPr>
          <w:sz w:val="24"/>
          <w:szCs w:val="24"/>
        </w:rPr>
        <w:t>In case there may be differential treatment of particular groups in relation to housing, please explain why such treatment could be justifiable according to international human rights standards - for example positive measures benefiting a particular group to overcome systematic discrimination or disadvantage-or if it would amount to discrimination?</w:t>
      </w:r>
    </w:p>
    <w:p w14:paraId="4C64D746" w14:textId="77777777" w:rsidR="007B7DCF" w:rsidRPr="00226F79" w:rsidRDefault="007B7DCF" w:rsidP="00226F79">
      <w:pPr>
        <w:jc w:val="both"/>
        <w:rPr>
          <w:sz w:val="24"/>
          <w:szCs w:val="24"/>
        </w:rPr>
      </w:pPr>
    </w:p>
    <w:sdt>
      <w:sdtPr>
        <w:rPr>
          <w:sz w:val="24"/>
          <w:szCs w:val="24"/>
        </w:rPr>
        <w:id w:val="2106150593"/>
      </w:sdtPr>
      <w:sdtEndPr>
        <w:rPr>
          <w:b/>
          <w:bCs/>
        </w:rPr>
      </w:sdtEndPr>
      <w:sdtContent>
        <w:p w14:paraId="16287D71" w14:textId="3DE67780" w:rsidR="00226F79" w:rsidRPr="00FB14BD" w:rsidRDefault="00FB14BD" w:rsidP="005F4D2B">
          <w:pPr>
            <w:jc w:val="both"/>
            <w:rPr>
              <w:b/>
              <w:bCs/>
              <w:sz w:val="24"/>
              <w:szCs w:val="24"/>
            </w:rPr>
          </w:pPr>
          <w:r w:rsidRPr="00FB14BD">
            <w:rPr>
              <w:b/>
              <w:bCs/>
              <w:sz w:val="24"/>
              <w:szCs w:val="24"/>
            </w:rPr>
            <w:t>No j</w:t>
          </w:r>
          <w:r w:rsidR="007B7DCF" w:rsidRPr="00FB14BD">
            <w:rPr>
              <w:b/>
              <w:bCs/>
              <w:sz w:val="24"/>
              <w:szCs w:val="24"/>
            </w:rPr>
            <w:t xml:space="preserve">ustification </w:t>
          </w:r>
          <w:r w:rsidRPr="00FB14BD">
            <w:rPr>
              <w:b/>
              <w:bCs/>
              <w:sz w:val="24"/>
              <w:szCs w:val="24"/>
            </w:rPr>
            <w:t xml:space="preserve">exists </w:t>
          </w:r>
          <w:r w:rsidR="007B7DCF" w:rsidRPr="00FB14BD">
            <w:rPr>
              <w:b/>
              <w:bCs/>
              <w:sz w:val="24"/>
              <w:szCs w:val="24"/>
            </w:rPr>
            <w:t xml:space="preserve">under international human rights standards for the apartheid carried out through Israeli land, housing, and other policies against the </w:t>
          </w:r>
          <w:r w:rsidR="002E35A9">
            <w:rPr>
              <w:b/>
              <w:bCs/>
              <w:sz w:val="24"/>
              <w:szCs w:val="24"/>
            </w:rPr>
            <w:t xml:space="preserve">indigenous </w:t>
          </w:r>
          <w:r w:rsidR="007B7DCF" w:rsidRPr="00FB14BD">
            <w:rPr>
              <w:b/>
              <w:bCs/>
              <w:sz w:val="24"/>
              <w:szCs w:val="24"/>
            </w:rPr>
            <w:lastRenderedPageBreak/>
            <w:t>Palestinian people</w:t>
          </w:r>
          <w:r>
            <w:rPr>
              <w:b/>
              <w:bCs/>
              <w:sz w:val="24"/>
              <w:szCs w:val="24"/>
            </w:rPr>
            <w:t xml:space="preserve"> as a whole</w:t>
          </w:r>
          <w:r w:rsidR="007B7DCF" w:rsidRPr="00FB14BD">
            <w:rPr>
              <w:b/>
              <w:bCs/>
              <w:sz w:val="24"/>
              <w:szCs w:val="24"/>
            </w:rPr>
            <w:t xml:space="preserve">. </w:t>
          </w:r>
          <w:r w:rsidR="00BB3A82">
            <w:rPr>
              <w:b/>
              <w:bCs/>
              <w:sz w:val="24"/>
              <w:szCs w:val="24"/>
            </w:rPr>
            <w:t xml:space="preserve">All </w:t>
          </w:r>
          <w:r w:rsidR="002736B6">
            <w:rPr>
              <w:b/>
              <w:bCs/>
              <w:sz w:val="24"/>
              <w:szCs w:val="24"/>
            </w:rPr>
            <w:t xml:space="preserve">applicable </w:t>
          </w:r>
          <w:r w:rsidR="00BB3A82">
            <w:rPr>
              <w:b/>
              <w:bCs/>
              <w:sz w:val="24"/>
              <w:szCs w:val="24"/>
            </w:rPr>
            <w:t>human rights, international humanitarian and criminal law prohibit all actions and practices reported here.</w:t>
          </w:r>
        </w:p>
      </w:sdtContent>
    </w:sdt>
    <w:p w14:paraId="2A6107EE" w14:textId="77777777" w:rsidR="00226F79" w:rsidRPr="00226F79" w:rsidRDefault="00226F79" w:rsidP="00226F79">
      <w:pPr>
        <w:jc w:val="both"/>
        <w:rPr>
          <w:sz w:val="24"/>
          <w:szCs w:val="24"/>
        </w:rPr>
      </w:pPr>
    </w:p>
    <w:p w14:paraId="677A11EC" w14:textId="77777777" w:rsidR="00226F79" w:rsidRPr="00226F79" w:rsidRDefault="00226F79" w:rsidP="00226F79">
      <w:pPr>
        <w:jc w:val="both"/>
        <w:rPr>
          <w:sz w:val="24"/>
          <w:szCs w:val="24"/>
        </w:rPr>
      </w:pPr>
    </w:p>
    <w:p w14:paraId="510E6A1E" w14:textId="68E69BBE" w:rsidR="00226F79" w:rsidRPr="00226F79" w:rsidRDefault="00161C27" w:rsidP="00226F79">
      <w:pPr>
        <w:jc w:val="both"/>
        <w:rPr>
          <w:b/>
          <w:sz w:val="24"/>
          <w:szCs w:val="24"/>
          <w:u w:val="single"/>
        </w:rPr>
      </w:pPr>
      <w:r w:rsidRPr="00226F79">
        <w:rPr>
          <w:b/>
          <w:sz w:val="24"/>
          <w:szCs w:val="24"/>
          <w:u w:val="single"/>
        </w:rPr>
        <w:t xml:space="preserve">Spatial and Residential Segregation </w:t>
      </w:r>
    </w:p>
    <w:p w14:paraId="3109E381" w14:textId="77777777" w:rsidR="00226F79" w:rsidRPr="00226F79" w:rsidRDefault="00226F79" w:rsidP="00226F79">
      <w:pPr>
        <w:jc w:val="both"/>
        <w:rPr>
          <w:sz w:val="24"/>
          <w:szCs w:val="24"/>
        </w:rPr>
      </w:pPr>
    </w:p>
    <w:p w14:paraId="6369A733" w14:textId="5D78AD66" w:rsidR="00226F79" w:rsidRDefault="00226F79" w:rsidP="00226F79">
      <w:pPr>
        <w:jc w:val="both"/>
        <w:rPr>
          <w:sz w:val="24"/>
          <w:szCs w:val="24"/>
        </w:rPr>
      </w:pPr>
      <w:r w:rsidRPr="00226F79">
        <w:rPr>
          <w:sz w:val="24"/>
          <w:szCs w:val="24"/>
        </w:rPr>
        <w:t xml:space="preserve">12. What forms of spatial segregation along racial, caste, ethnicity, religion, nationality, migration status, heritage, economic status/income or other social grounds can be observed in urban and urban-rural contexts in your country? </w:t>
      </w:r>
    </w:p>
    <w:p w14:paraId="79A105EE" w14:textId="77777777" w:rsidR="007B7DCF" w:rsidRPr="00226F79" w:rsidRDefault="007B7DCF" w:rsidP="00226F79">
      <w:pPr>
        <w:jc w:val="both"/>
        <w:rPr>
          <w:sz w:val="24"/>
          <w:szCs w:val="24"/>
        </w:rPr>
      </w:pPr>
    </w:p>
    <w:p w14:paraId="67403979" w14:textId="23DF51B2" w:rsidR="00226F79" w:rsidRPr="00226F79" w:rsidRDefault="0050116A" w:rsidP="00226F79">
      <w:pPr>
        <w:jc w:val="both"/>
        <w:rPr>
          <w:strike/>
          <w:sz w:val="24"/>
          <w:szCs w:val="24"/>
        </w:rPr>
      </w:pPr>
      <w:sdt>
        <w:sdtPr>
          <w:rPr>
            <w:sz w:val="24"/>
            <w:szCs w:val="24"/>
          </w:rPr>
          <w:id w:val="671691551"/>
        </w:sdtPr>
        <w:sdtEndPr/>
        <w:sdtContent>
          <w:sdt>
            <w:sdtPr>
              <w:rPr>
                <w:color w:val="FF0000"/>
                <w:sz w:val="24"/>
                <w:szCs w:val="24"/>
              </w:rPr>
              <w:id w:val="1816518302"/>
            </w:sdtPr>
            <w:sdtEndPr>
              <w:rPr>
                <w:b/>
                <w:bCs/>
                <w:color w:val="auto"/>
              </w:rPr>
            </w:sdtEndPr>
            <w:sdtContent>
              <w:r w:rsidR="00161C27" w:rsidRPr="00161C27">
                <w:rPr>
                  <w:b/>
                  <w:bCs/>
                  <w:sz w:val="24"/>
                  <w:szCs w:val="24"/>
                </w:rPr>
                <w:t>Israeli planning criteria for statutory recognition of villages are not published, but evident in practice. Many long-standing and populous Arab villages in the southern Naqab remain “unrecognized,” while Jewish settlements, notably smaller than the legal minimum population criterion, are “recognized” with all rights, privileges and public services provided. With such a double standard for official recognition of a human settlement in Israel, it is clear that the operative criterion denying those Palestinian Arab villages their formal status and corresponding rights, including public services, is the resident citizens’ lack of “Jewish nationality.”</w:t>
              </w:r>
              <w:r w:rsidR="00161C27" w:rsidRPr="00161C27">
                <w:rPr>
                  <w:b/>
                  <w:bCs/>
                  <w:sz w:val="24"/>
                  <w:szCs w:val="24"/>
                  <w:vertAlign w:val="superscript"/>
                </w:rPr>
                <w:endnoteReference w:id="55"/>
              </w:r>
              <w:r w:rsidR="00161C27" w:rsidRPr="00161C27">
                <w:rPr>
                  <w:b/>
                  <w:bCs/>
                  <w:sz w:val="24"/>
                  <w:szCs w:val="24"/>
                  <w:vertAlign w:val="superscript"/>
                </w:rPr>
                <w:t xml:space="preserve">     ¶</w:t>
              </w:r>
              <w:r w:rsidR="00161C27" w:rsidRPr="00161C27">
                <w:rPr>
                  <w:b/>
                  <w:bCs/>
                  <w:sz w:val="24"/>
                  <w:szCs w:val="24"/>
                </w:rPr>
                <w:t>The JNF’s “Blueprint Negev”</w:t>
              </w:r>
              <w:r w:rsidR="00161C27" w:rsidRPr="00161C27">
                <w:rPr>
                  <w:b/>
                  <w:bCs/>
                  <w:sz w:val="24"/>
                  <w:szCs w:val="24"/>
                  <w:vertAlign w:val="superscript"/>
                </w:rPr>
                <w:endnoteReference w:id="56"/>
              </w:r>
              <w:r w:rsidR="00161C27" w:rsidRPr="00161C27">
                <w:rPr>
                  <w:b/>
                  <w:bCs/>
                  <w:sz w:val="24"/>
                  <w:szCs w:val="24"/>
                </w:rPr>
                <w:t xml:space="preserve"> looms as an example of an Israeli parastatal program with both private and GoI financing. It favours Jewish settlers’ implantation and development in the ancestral lands and properties of the Naqab’s indigenous Palestinian population, which is still living marginally among them and holding mere citizenship in the “Jewish state.”     ¶Elsewhere inside the Green Line, the SoI and parastatal institutions devote considerable resources to establishing and expanding Jewish-only towns and neighbourhoods on “state lands” under Israeli planning law. Planning law and practice embrace the discriminatory provisions of the parastatals that determine eligibility for residence and access to housing and land. In local and municipal development, Israel’s racist criteria have weaponized the concepts of “social and cultural fabric” and “social cohesion” to exclude indigenous Palestinians from development opportunities. The Absentees Property Law (1950) and Negev Individual Settlements Law </w:t>
              </w:r>
              <w:r w:rsidR="00161C27" w:rsidRPr="00161C27">
                <w:rPr>
                  <w:b/>
                  <w:bCs/>
                  <w:sz w:val="24"/>
                  <w:szCs w:val="24"/>
                </w:rPr>
                <w:lastRenderedPageBreak/>
                <w:t xml:space="preserve">(2011) have operated to deny Palestinians housing and land, including properties which Palestinian citizens rightfully own.  </w:t>
              </w:r>
            </w:sdtContent>
          </w:sdt>
          <w:r w:rsidR="00226F79" w:rsidRPr="006C096B" w:rsidDel="004541C6">
            <w:rPr>
              <w:color w:val="FF0000"/>
              <w:sz w:val="24"/>
              <w:szCs w:val="24"/>
            </w:rPr>
            <w:t xml:space="preserve"> </w:t>
          </w:r>
        </w:sdtContent>
      </w:sdt>
    </w:p>
    <w:p w14:paraId="25E9D104" w14:textId="77777777" w:rsidR="00226F79" w:rsidRPr="00226F79" w:rsidRDefault="00226F79" w:rsidP="00226F79">
      <w:pPr>
        <w:jc w:val="both"/>
        <w:rPr>
          <w:sz w:val="24"/>
          <w:szCs w:val="24"/>
        </w:rPr>
      </w:pPr>
    </w:p>
    <w:p w14:paraId="16045C2D" w14:textId="36AC37D7" w:rsidR="00226F79" w:rsidRDefault="00226F79" w:rsidP="00226F79">
      <w:pPr>
        <w:jc w:val="both"/>
        <w:rPr>
          <w:sz w:val="24"/>
          <w:szCs w:val="24"/>
        </w:rPr>
      </w:pPr>
      <w:r w:rsidRPr="00226F79">
        <w:rPr>
          <w:sz w:val="24"/>
          <w:szCs w:val="24"/>
        </w:rPr>
        <w:t xml:space="preserve">13. What impacts do these forms of spatial and residential segregation have on affected communities? Please point to indicators such as rates of poverty, un-employment and under-employment; prevalence rates of malnutrition; disparities in access to services and facilities (such as access to schooling, health care or other public benefits); disparities in access to infrastructure (lack of and/or poor quality provision of water, sanitation, transportation, energy, waste collection and other utility services); rates of exposure to environmental health risks (poor air quality, flooding, toxic ground exposure, etc). </w:t>
      </w:r>
    </w:p>
    <w:p w14:paraId="07E7072E" w14:textId="77777777" w:rsidR="007B7DCF" w:rsidRPr="00226F79" w:rsidRDefault="007B7DCF" w:rsidP="00226F79">
      <w:pPr>
        <w:jc w:val="both"/>
        <w:rPr>
          <w:sz w:val="24"/>
          <w:szCs w:val="24"/>
        </w:rPr>
      </w:pPr>
    </w:p>
    <w:sdt>
      <w:sdtPr>
        <w:rPr>
          <w:b/>
          <w:bCs/>
          <w:sz w:val="24"/>
          <w:szCs w:val="24"/>
        </w:rPr>
        <w:id w:val="1043406738"/>
      </w:sdtPr>
      <w:sdtEndPr/>
      <w:sdtContent>
        <w:p w14:paraId="3C373811" w14:textId="07BF73D5" w:rsidR="00242490" w:rsidRPr="00F404D8" w:rsidRDefault="00242490" w:rsidP="00242490">
          <w:pPr>
            <w:jc w:val="both"/>
            <w:rPr>
              <w:b/>
              <w:bCs/>
              <w:sz w:val="24"/>
              <w:szCs w:val="24"/>
              <w:lang w:val="en-US"/>
            </w:rPr>
          </w:pPr>
          <w:r w:rsidRPr="00F404D8">
            <w:rPr>
              <w:b/>
              <w:bCs/>
              <w:sz w:val="24"/>
              <w:szCs w:val="24"/>
              <w:lang w:val="en-US"/>
            </w:rPr>
            <w:t xml:space="preserve">The Israeli system of racialized and institutionalized material discrimination (apartheid) in the water sector has operated through the 20th Century colonization of Palestine through the Mekorot organization (Hebrew: </w:t>
          </w:r>
          <w:r w:rsidRPr="00F404D8">
            <w:rPr>
              <w:b/>
              <w:bCs/>
              <w:sz w:val="24"/>
              <w:szCs w:val="24"/>
              <w:rtl/>
              <w:lang w:bidi="he-IL"/>
            </w:rPr>
            <w:t>מקורות</w:t>
          </w:r>
          <w:r w:rsidRPr="00F404D8">
            <w:rPr>
              <w:b/>
              <w:bCs/>
              <w:sz w:val="24"/>
              <w:szCs w:val="24"/>
              <w:lang w:val="en-US"/>
            </w:rPr>
            <w:t xml:space="preserve"> , lit. “Sources”), established in 1937. Three parastatal organizations chartered to serve only persons of “Jewish race or descendancy”—the JA, JNF and Histadrut—combined forces to extend corresponding Jewish-only privilege over the country’s water resources. In their continued operations today, these parastatals are what are called “national” institutions today, coordinating the tasks of controlling the resources of the country within their areas of specialization: Jewish Agency (with its sister World Zionist Organization), for development planning; Jewish National Fund, for funding and managing land acquisition; and Histadrut, organizing labor of and for the same racialized religious group.</w:t>
          </w:r>
        </w:p>
        <w:p w14:paraId="10EE0613" w14:textId="77777777" w:rsidR="00242490" w:rsidRPr="00F404D8" w:rsidRDefault="00242490" w:rsidP="00242490">
          <w:pPr>
            <w:jc w:val="both"/>
            <w:rPr>
              <w:b/>
              <w:bCs/>
              <w:sz w:val="24"/>
              <w:szCs w:val="24"/>
              <w:lang w:val="en-US"/>
            </w:rPr>
          </w:pPr>
        </w:p>
        <w:p w14:paraId="3F0D7F13" w14:textId="45474B13" w:rsidR="00242490" w:rsidRPr="00F404D8" w:rsidRDefault="00242490" w:rsidP="00242490">
          <w:pPr>
            <w:jc w:val="both"/>
            <w:rPr>
              <w:b/>
              <w:bCs/>
              <w:sz w:val="24"/>
              <w:szCs w:val="24"/>
              <w:lang w:val="en-US"/>
            </w:rPr>
          </w:pPr>
          <w:r w:rsidRPr="00F404D8">
            <w:rPr>
              <w:b/>
              <w:bCs/>
              <w:sz w:val="24"/>
              <w:szCs w:val="24"/>
              <w:lang w:val="en-US"/>
            </w:rPr>
            <w:t xml:space="preserve">After proclamation of the State of Israel, Mekorot (Israel National Water Co.) was joined in 1951 by the Tahal Group (named from the Hebrew initials for Water Planning for Israel, </w:t>
          </w:r>
          <w:r w:rsidRPr="00F404D8">
            <w:rPr>
              <w:b/>
              <w:bCs/>
              <w:i/>
              <w:iCs/>
              <w:sz w:val="24"/>
              <w:szCs w:val="24"/>
              <w:lang w:val="en-US"/>
            </w:rPr>
            <w:t>Tikhnun ha-Mayim le-Yisrael</w:t>
          </w:r>
          <w:r w:rsidRPr="00F404D8">
            <w:rPr>
              <w:b/>
              <w:bCs/>
              <w:sz w:val="24"/>
              <w:szCs w:val="24"/>
              <w:lang w:val="en-US"/>
            </w:rPr>
            <w:t>), combining the efforts of the Israel Ministry of Agriculture with Mekorot’s engineering division 1952. This implementation agency today operates with its majority shares (52 percent) held by the Government of Israel, with remainder divided equally between JA and JNF,</w:t>
          </w:r>
          <w:r w:rsidRPr="00F404D8">
            <w:rPr>
              <w:rStyle w:val="EndnoteReference"/>
              <w:b/>
              <w:bCs/>
              <w:sz w:val="24"/>
              <w:szCs w:val="24"/>
              <w:lang w:val="en-US"/>
            </w:rPr>
            <w:endnoteReference w:id="57"/>
          </w:r>
          <w:r w:rsidRPr="00F404D8">
            <w:rPr>
              <w:b/>
              <w:bCs/>
              <w:sz w:val="24"/>
              <w:szCs w:val="24"/>
              <w:lang w:val="en-US"/>
            </w:rPr>
            <w:t xml:space="preserve"> the very agencies established for the purposes of benefitting “Jewish nationals,” an Israeli-constructed </w:t>
          </w:r>
          <w:r w:rsidRPr="00F404D8">
            <w:rPr>
              <w:b/>
              <w:bCs/>
              <w:sz w:val="24"/>
              <w:szCs w:val="24"/>
              <w:lang w:val="en-US"/>
            </w:rPr>
            <w:lastRenderedPageBreak/>
            <w:t>category not limited by geographical location, but distinct from and superior to Israeli citizens in the enjoyment of economic, social and cultural rights, including the human rights to water and sanitation.</w:t>
          </w:r>
          <w:r w:rsidRPr="00F404D8">
            <w:rPr>
              <w:rStyle w:val="EndnoteReference"/>
              <w:b/>
              <w:bCs/>
              <w:sz w:val="24"/>
              <w:szCs w:val="24"/>
              <w:lang w:val="en-US"/>
            </w:rPr>
            <w:endnoteReference w:id="58"/>
          </w:r>
        </w:p>
        <w:p w14:paraId="7ABC2D30" w14:textId="77777777" w:rsidR="00242490" w:rsidRPr="00F404D8" w:rsidRDefault="00242490" w:rsidP="00242490">
          <w:pPr>
            <w:jc w:val="both"/>
            <w:rPr>
              <w:b/>
              <w:bCs/>
              <w:sz w:val="24"/>
              <w:szCs w:val="24"/>
              <w:lang w:val="en-US"/>
            </w:rPr>
          </w:pPr>
        </w:p>
        <w:p w14:paraId="0A6DDED0" w14:textId="77777777" w:rsidR="00F404D8" w:rsidRPr="00F404D8" w:rsidRDefault="00242490" w:rsidP="00F404D8">
          <w:pPr>
            <w:jc w:val="both"/>
            <w:rPr>
              <w:b/>
              <w:bCs/>
              <w:sz w:val="24"/>
              <w:szCs w:val="24"/>
              <w:lang w:val="en-US"/>
            </w:rPr>
          </w:pPr>
          <w:r w:rsidRPr="00F404D8">
            <w:rPr>
              <w:b/>
              <w:bCs/>
              <w:sz w:val="24"/>
              <w:szCs w:val="24"/>
            </w:rPr>
            <w:t xml:space="preserve">As of 1967, when the Israeli occupation began, Palestinians in the West Bank are denied access to the waters of the Jordan River, as the Israeli occupying forces destroyed at least 120 Palestinian wells along the Jordan Valley in 19678 and control both the shoreline and </w:t>
          </w:r>
          <w:r w:rsidR="00F404D8" w:rsidRPr="00F404D8">
            <w:rPr>
              <w:b/>
              <w:bCs/>
              <w:sz w:val="24"/>
              <w:szCs w:val="24"/>
              <w:lang w:val="en-US"/>
            </w:rPr>
            <w:t>the flow of the water, which is diverted, along with the Jordan headwaters in the occupied Golan, via the National Water Carrier (designed by Tahal and constructed by Mekorot) from Lake Tiberias to Jewish settlements inside the Green Line. Israeli parastatal institutions—primarily Mekorot—also retain control over the waters of the Mountain Aquifer, diverting 89 percent of this resource to Israelis, despite the fact that 80% of the water recharging the aquifer originates in the Palestinian West Bank.</w:t>
          </w:r>
          <w:r w:rsidR="00F404D8" w:rsidRPr="00F404D8">
            <w:rPr>
              <w:rStyle w:val="EndnoteReference"/>
              <w:b/>
              <w:bCs/>
              <w:sz w:val="24"/>
              <w:szCs w:val="24"/>
              <w:lang w:val="en-US"/>
            </w:rPr>
            <w:endnoteReference w:id="59"/>
          </w:r>
        </w:p>
        <w:p w14:paraId="340976A7" w14:textId="77777777" w:rsidR="00F404D8" w:rsidRPr="00F404D8" w:rsidRDefault="00F404D8" w:rsidP="00F404D8">
          <w:pPr>
            <w:jc w:val="both"/>
            <w:rPr>
              <w:b/>
              <w:bCs/>
              <w:sz w:val="24"/>
              <w:szCs w:val="24"/>
              <w:lang w:val="en-US"/>
            </w:rPr>
          </w:pPr>
        </w:p>
        <w:p w14:paraId="6A19BB22" w14:textId="77777777" w:rsidR="00F404D8" w:rsidRPr="00F404D8" w:rsidRDefault="00F404D8" w:rsidP="00F404D8">
          <w:pPr>
            <w:jc w:val="both"/>
            <w:rPr>
              <w:b/>
              <w:bCs/>
              <w:sz w:val="24"/>
              <w:szCs w:val="24"/>
              <w:lang w:val="en-US"/>
            </w:rPr>
          </w:pPr>
          <w:r w:rsidRPr="00026B3C">
            <w:rPr>
              <w:b/>
              <w:bCs/>
              <w:sz w:val="24"/>
              <w:szCs w:val="24"/>
              <w:lang w:val="en-US"/>
            </w:rPr>
            <w:t xml:space="preserve">Since its </w:t>
          </w:r>
          <w:r w:rsidRPr="00F404D8">
            <w:rPr>
              <w:b/>
              <w:bCs/>
              <w:sz w:val="24"/>
              <w:szCs w:val="24"/>
              <w:lang w:val="en-US"/>
            </w:rPr>
            <w:t xml:space="preserve">1967 </w:t>
          </w:r>
          <w:r w:rsidRPr="00026B3C">
            <w:rPr>
              <w:b/>
              <w:bCs/>
              <w:sz w:val="24"/>
              <w:szCs w:val="24"/>
              <w:lang w:val="en-US"/>
            </w:rPr>
            <w:t xml:space="preserve">invasion and </w:t>
          </w:r>
          <w:r w:rsidRPr="00F404D8">
            <w:rPr>
              <w:b/>
              <w:bCs/>
              <w:sz w:val="24"/>
              <w:szCs w:val="24"/>
              <w:lang w:val="en-US"/>
            </w:rPr>
            <w:t xml:space="preserve">ensuing </w:t>
          </w:r>
          <w:r w:rsidRPr="00026B3C">
            <w:rPr>
              <w:b/>
              <w:bCs/>
              <w:sz w:val="24"/>
              <w:szCs w:val="24"/>
              <w:lang w:val="en-US"/>
            </w:rPr>
            <w:t>occupation, Israel has prohibited Palestinians throughout the whole oPt from drawing any of its waters, by declaring its riverbanks a closed military zone and by continuing its wartime military practice of destroying Palestinian pumps and irrigation infrastructure.</w:t>
          </w:r>
          <w:r w:rsidRPr="00F404D8">
            <w:rPr>
              <w:rStyle w:val="EndnoteReference"/>
              <w:b/>
              <w:bCs/>
              <w:sz w:val="24"/>
              <w:szCs w:val="24"/>
              <w:lang w:val="en-US"/>
            </w:rPr>
            <w:endnoteReference w:id="60"/>
          </w:r>
          <w:r w:rsidRPr="00026B3C">
            <w:rPr>
              <w:b/>
              <w:bCs/>
              <w:sz w:val="24"/>
              <w:szCs w:val="24"/>
              <w:lang w:val="en-US"/>
            </w:rPr>
            <w:t xml:space="preserve"> Despite the </w:t>
          </w:r>
          <w:r w:rsidRPr="00F404D8">
            <w:rPr>
              <w:b/>
              <w:bCs/>
              <w:sz w:val="24"/>
              <w:szCs w:val="24"/>
              <w:lang w:val="en-US"/>
            </w:rPr>
            <w:t xml:space="preserve">IHL </w:t>
          </w:r>
          <w:r w:rsidRPr="00026B3C">
            <w:rPr>
              <w:b/>
              <w:bCs/>
              <w:sz w:val="24"/>
              <w:szCs w:val="24"/>
              <w:lang w:val="en-US"/>
            </w:rPr>
            <w:t>prohibition</w:t>
          </w:r>
          <w:r w:rsidRPr="00F404D8">
            <w:rPr>
              <w:b/>
              <w:bCs/>
              <w:sz w:val="24"/>
              <w:szCs w:val="24"/>
              <w:lang w:val="en-US"/>
            </w:rPr>
            <w:t>,</w:t>
          </w:r>
          <w:r w:rsidRPr="00F404D8">
            <w:rPr>
              <w:rStyle w:val="EndnoteReference"/>
              <w:b/>
              <w:bCs/>
              <w:sz w:val="24"/>
              <w:szCs w:val="24"/>
              <w:lang w:val="en-US"/>
            </w:rPr>
            <w:endnoteReference w:id="61"/>
          </w:r>
          <w:r w:rsidRPr="00F404D8">
            <w:rPr>
              <w:b/>
              <w:bCs/>
              <w:sz w:val="24"/>
              <w:szCs w:val="24"/>
              <w:lang w:val="en-US"/>
            </w:rPr>
            <w:t xml:space="preserve"> </w:t>
          </w:r>
          <w:r w:rsidRPr="00026B3C">
            <w:rPr>
              <w:b/>
              <w:bCs/>
              <w:sz w:val="24"/>
              <w:szCs w:val="24"/>
              <w:lang w:val="en-US"/>
            </w:rPr>
            <w:t>the occupation regime has deployed a series of Military Orders to ensure the water sector’s conformity with Israel’s apartheid system.</w:t>
          </w:r>
        </w:p>
        <w:p w14:paraId="782CF8B7" w14:textId="77777777" w:rsidR="00F404D8" w:rsidRPr="00026B3C" w:rsidRDefault="00F404D8" w:rsidP="00F404D8">
          <w:pPr>
            <w:jc w:val="both"/>
            <w:rPr>
              <w:b/>
              <w:bCs/>
              <w:sz w:val="24"/>
              <w:szCs w:val="24"/>
              <w:lang w:val="en-US"/>
            </w:rPr>
          </w:pPr>
        </w:p>
        <w:p w14:paraId="704E7DDD" w14:textId="77777777" w:rsidR="00F404D8" w:rsidRPr="00F404D8" w:rsidRDefault="00F404D8" w:rsidP="00F404D8">
          <w:pPr>
            <w:jc w:val="both"/>
            <w:rPr>
              <w:b/>
              <w:bCs/>
              <w:sz w:val="24"/>
              <w:szCs w:val="24"/>
              <w:lang w:val="en-US"/>
            </w:rPr>
          </w:pPr>
          <w:r w:rsidRPr="00F404D8">
            <w:rPr>
              <w:b/>
              <w:bCs/>
              <w:sz w:val="24"/>
              <w:szCs w:val="24"/>
              <w:lang w:val="en-US"/>
            </w:rPr>
            <w:t>Military Order No. 92 (August 1967) transferred to the Israeli military full authority over all water resources in the oPt, while Military Order No. 158 (November 1967) prohibited Palestinians from building any new water facilities—including water wells, water pumps, and desalinization infrastructures—without a permit granted by Israeli occupying authorities, otherwise, the infrastructure would be confiscated or demolished. It has been estimated that, between 1967 and 2000, Israel granted permits for the construction of only 23 wells.</w:t>
          </w:r>
          <w:r w:rsidRPr="00F404D8">
            <w:rPr>
              <w:rStyle w:val="EndnoteReference"/>
              <w:b/>
              <w:bCs/>
              <w:sz w:val="24"/>
              <w:szCs w:val="24"/>
              <w:lang w:val="en-US"/>
            </w:rPr>
            <w:endnoteReference w:id="62"/>
          </w:r>
        </w:p>
        <w:p w14:paraId="0E3F6B05" w14:textId="77777777" w:rsidR="00F404D8" w:rsidRPr="00F404D8" w:rsidRDefault="00F404D8" w:rsidP="00F404D8">
          <w:pPr>
            <w:jc w:val="both"/>
            <w:rPr>
              <w:b/>
              <w:bCs/>
              <w:sz w:val="24"/>
              <w:szCs w:val="24"/>
              <w:lang w:val="en-US"/>
            </w:rPr>
          </w:pPr>
        </w:p>
        <w:p w14:paraId="31F9494D" w14:textId="77777777" w:rsidR="00F404D8" w:rsidRPr="00F404D8" w:rsidRDefault="00F404D8" w:rsidP="00F404D8">
          <w:pPr>
            <w:jc w:val="both"/>
            <w:rPr>
              <w:b/>
              <w:bCs/>
              <w:sz w:val="24"/>
              <w:szCs w:val="24"/>
              <w:lang w:val="en-US"/>
            </w:rPr>
          </w:pPr>
          <w:r w:rsidRPr="00F404D8">
            <w:rPr>
              <w:b/>
              <w:bCs/>
              <w:sz w:val="24"/>
              <w:szCs w:val="24"/>
              <w:lang w:val="en-US"/>
            </w:rPr>
            <w:lastRenderedPageBreak/>
            <w:t>In the western West Bank, Israel’s Apartheid Wall has been designed and is built in such as position to prevent Palestinian villages and farmers from accessing the discharge zone of the Mountain Aquifer, enabling Palestinian agriculture and the Palestinian peoples’ means of subsistence.</w:t>
          </w:r>
          <w:r w:rsidRPr="00F404D8">
            <w:rPr>
              <w:rStyle w:val="EndnoteReference"/>
              <w:b/>
              <w:bCs/>
              <w:sz w:val="24"/>
              <w:szCs w:val="24"/>
              <w:lang w:val="en-US"/>
            </w:rPr>
            <w:endnoteReference w:id="63"/>
          </w:r>
          <w:r w:rsidRPr="00F404D8">
            <w:rPr>
              <w:b/>
              <w:bCs/>
              <w:sz w:val="24"/>
              <w:szCs w:val="24"/>
              <w:lang w:val="en-US"/>
            </w:rPr>
            <w:t xml:space="preserve"> </w:t>
          </w:r>
        </w:p>
        <w:p w14:paraId="437DE870" w14:textId="77777777" w:rsidR="00F404D8" w:rsidRPr="00F404D8" w:rsidRDefault="00F404D8" w:rsidP="00F404D8">
          <w:pPr>
            <w:jc w:val="both"/>
            <w:rPr>
              <w:b/>
              <w:bCs/>
              <w:sz w:val="24"/>
              <w:szCs w:val="24"/>
              <w:lang w:val="en-US"/>
            </w:rPr>
          </w:pPr>
        </w:p>
        <w:p w14:paraId="504AE5E1" w14:textId="4893988C" w:rsidR="00F404D8" w:rsidRPr="00F404D8" w:rsidRDefault="00F404D8" w:rsidP="00F404D8">
          <w:pPr>
            <w:jc w:val="both"/>
            <w:rPr>
              <w:b/>
              <w:bCs/>
              <w:sz w:val="24"/>
              <w:szCs w:val="24"/>
              <w:lang w:val="en-US"/>
            </w:rPr>
          </w:pPr>
          <w:r w:rsidRPr="00F404D8">
            <w:rPr>
              <w:b/>
              <w:bCs/>
              <w:sz w:val="24"/>
              <w:szCs w:val="24"/>
              <w:lang w:val="en-US"/>
            </w:rPr>
            <w:t>In the Gaza Strip, the total water supply for domestic use</w:t>
          </w:r>
          <w:r w:rsidRPr="00F404D8">
            <w:rPr>
              <w:rStyle w:val="EndnoteReference"/>
              <w:b/>
              <w:bCs/>
              <w:sz w:val="24"/>
              <w:szCs w:val="24"/>
              <w:lang w:val="en-US"/>
            </w:rPr>
            <w:endnoteReference w:id="64"/>
          </w:r>
          <w:r w:rsidRPr="00F404D8">
            <w:rPr>
              <w:b/>
              <w:bCs/>
              <w:sz w:val="24"/>
              <w:szCs w:val="24"/>
              <w:lang w:val="en-US"/>
            </w:rPr>
            <w:t xml:space="preserve"> is 99,058,677 million cubic meters, which is supplied by either municipal or UN Relief and Works Agency for Palestine Refugees in the Near East (UNRWA)’s water wells, private desalination plants or other private vendors.</w:t>
          </w:r>
          <w:r w:rsidRPr="00F404D8">
            <w:rPr>
              <w:rStyle w:val="EndnoteReference"/>
              <w:b/>
              <w:bCs/>
              <w:sz w:val="24"/>
              <w:szCs w:val="24"/>
              <w:lang w:val="en-US"/>
            </w:rPr>
            <w:endnoteReference w:id="65"/>
          </w:r>
          <w:r w:rsidRPr="00F404D8">
            <w:rPr>
              <w:b/>
              <w:bCs/>
              <w:sz w:val="24"/>
              <w:szCs w:val="24"/>
              <w:lang w:val="en-US"/>
            </w:rPr>
            <w:t xml:space="preserve"> As much as 95.4 percent of water comes from groundwater, 2.6 percent from desalinated water, and 2 percent is purchased from Mekorot.</w:t>
          </w:r>
          <w:r w:rsidRPr="00F404D8">
            <w:rPr>
              <w:rStyle w:val="EndnoteReference"/>
              <w:b/>
              <w:bCs/>
              <w:sz w:val="24"/>
              <w:szCs w:val="24"/>
              <w:lang w:val="en-US"/>
            </w:rPr>
            <w:endnoteReference w:id="66"/>
          </w:r>
          <w:r w:rsidRPr="00F404D8">
            <w:rPr>
              <w:b/>
              <w:bCs/>
              <w:sz w:val="24"/>
              <w:szCs w:val="24"/>
              <w:lang w:val="en-US"/>
            </w:rPr>
            <w:t xml:space="preserve"> The main source of groundwater is the coastal basin or aquifer, which extends across Gaza’s north-eastern border (see figure in Annex </w:t>
          </w:r>
          <w:r w:rsidR="00945F26">
            <w:rPr>
              <w:b/>
              <w:bCs/>
              <w:sz w:val="24"/>
              <w:szCs w:val="24"/>
              <w:lang w:val="en-US"/>
            </w:rPr>
            <w:t>2</w:t>
          </w:r>
          <w:r w:rsidRPr="00F404D8">
            <w:rPr>
              <w:b/>
              <w:bCs/>
              <w:sz w:val="24"/>
              <w:szCs w:val="24"/>
              <w:lang w:val="en-US"/>
            </w:rPr>
            <w:t xml:space="preserve">). </w:t>
          </w:r>
        </w:p>
        <w:p w14:paraId="6461D6BB" w14:textId="77777777" w:rsidR="00F404D8" w:rsidRPr="00F404D8" w:rsidRDefault="00F404D8" w:rsidP="00F404D8">
          <w:pPr>
            <w:jc w:val="both"/>
            <w:rPr>
              <w:b/>
              <w:bCs/>
              <w:sz w:val="24"/>
              <w:szCs w:val="24"/>
              <w:lang w:val="en-US"/>
            </w:rPr>
          </w:pPr>
        </w:p>
        <w:p w14:paraId="1877B6A7" w14:textId="77777777" w:rsidR="00F404D8" w:rsidRPr="00F404D8" w:rsidRDefault="00F404D8" w:rsidP="00F404D8">
          <w:pPr>
            <w:spacing w:after="120"/>
            <w:jc w:val="both"/>
            <w:rPr>
              <w:b/>
              <w:bCs/>
              <w:sz w:val="24"/>
              <w:szCs w:val="24"/>
            </w:rPr>
          </w:pPr>
          <w:r w:rsidRPr="00F404D8">
            <w:rPr>
              <w:b/>
              <w:bCs/>
              <w:sz w:val="24"/>
              <w:szCs w:val="24"/>
            </w:rPr>
            <w:t>The coastal aquifer is the source of about 86 percent of all water in the Strip.</w:t>
          </w:r>
          <w:r w:rsidRPr="00F404D8">
            <w:rPr>
              <w:rStyle w:val="EndnoteReference"/>
              <w:b/>
              <w:bCs/>
              <w:sz w:val="24"/>
              <w:szCs w:val="24"/>
            </w:rPr>
            <w:endnoteReference w:id="67"/>
          </w:r>
          <w:r w:rsidRPr="00F404D8">
            <w:rPr>
              <w:b/>
              <w:bCs/>
              <w:sz w:val="24"/>
              <w:szCs w:val="24"/>
            </w:rPr>
            <w:t xml:space="preserve"> Already in 2012, a UN study warned that the aquifer could become unusable by 2017, with the damage irreversible by 2020.</w:t>
          </w:r>
          <w:r w:rsidRPr="00F404D8">
            <w:rPr>
              <w:rStyle w:val="EndnoteReference"/>
              <w:b/>
              <w:bCs/>
              <w:sz w:val="24"/>
              <w:szCs w:val="24"/>
            </w:rPr>
            <w:endnoteReference w:id="68"/>
          </w:r>
          <w:r w:rsidRPr="00F404D8">
            <w:rPr>
              <w:b/>
              <w:bCs/>
              <w:sz w:val="24"/>
              <w:szCs w:val="24"/>
            </w:rPr>
            <w:t xml:space="preserve"> Indeed, in the absence of a coordination policy between Israel and the Gaza water utility, the Coastal Municipalities Water Utility (CMWU), both have extracted an excessively large amount of water from the coastal aquifer. The UN Office for the Coordination of Humanitarian Affairs (UN OCHA) estimated that in 2018 the annual sustainable recharge of the aquifer, which is fed only by rainwater, was extracted almost three times over.</w:t>
          </w:r>
          <w:r w:rsidRPr="00F404D8">
            <w:rPr>
              <w:rStyle w:val="EndnoteReference"/>
              <w:b/>
              <w:bCs/>
              <w:sz w:val="24"/>
              <w:szCs w:val="24"/>
            </w:rPr>
            <w:endnoteReference w:id="69"/>
          </w:r>
          <w:r w:rsidRPr="00F404D8">
            <w:rPr>
              <w:b/>
              <w:bCs/>
              <w:sz w:val="24"/>
              <w:szCs w:val="24"/>
            </w:rPr>
            <w:t xml:space="preserve"> Over-extraction, along with sewage infiltration and groundwater deterioration, have consistently contributed to the continued deterioration of water quality and quantity in Gaza. However, Gaza’s oft-cited “over-extraction” is a symptom of three root causes: </w:t>
          </w:r>
        </w:p>
        <w:p w14:paraId="43A6DBAA" w14:textId="293C114B" w:rsidR="00F404D8" w:rsidRPr="00A27A3E" w:rsidRDefault="00096D09" w:rsidP="00F404D8">
          <w:pPr>
            <w:jc w:val="both"/>
            <w:rPr>
              <w:b/>
              <w:bCs/>
              <w:sz w:val="24"/>
              <w:szCs w:val="24"/>
              <w:lang w:val="en-US"/>
            </w:rPr>
          </w:pPr>
          <w:r>
            <w:rPr>
              <w:b/>
              <w:bCs/>
              <w:sz w:val="24"/>
              <w:szCs w:val="24"/>
              <w:lang w:val="en-US"/>
            </w:rPr>
            <w:t xml:space="preserve">1. </w:t>
          </w:r>
          <w:r w:rsidR="00F404D8" w:rsidRPr="00A27A3E">
            <w:rPr>
              <w:b/>
              <w:bCs/>
              <w:sz w:val="24"/>
              <w:szCs w:val="24"/>
              <w:lang w:val="en-US"/>
            </w:rPr>
            <w:t>The first of these is, of course, the consequences arising from the serious crime of population transfer</w:t>
          </w:r>
          <w:r w:rsidR="00F404D8" w:rsidRPr="00F404D8">
            <w:rPr>
              <w:rStyle w:val="EndnoteReference"/>
              <w:b/>
              <w:bCs/>
              <w:sz w:val="24"/>
              <w:szCs w:val="24"/>
              <w:lang w:val="en-US"/>
            </w:rPr>
            <w:endnoteReference w:id="70"/>
          </w:r>
          <w:r w:rsidR="00F404D8" w:rsidRPr="00A27A3E">
            <w:rPr>
              <w:b/>
              <w:bCs/>
              <w:sz w:val="24"/>
              <w:szCs w:val="24"/>
              <w:lang w:val="en-US"/>
            </w:rPr>
            <w:t xml:space="preserve"> conducted by Israel during and after the first Israeli–Arab War of 1947–48. The ethnic cleansing operations of Zionist Israeli forces</w:t>
          </w:r>
          <w:r w:rsidR="00F404D8" w:rsidRPr="00F404D8">
            <w:rPr>
              <w:rStyle w:val="EndnoteReference"/>
              <w:b/>
              <w:bCs/>
              <w:sz w:val="24"/>
              <w:szCs w:val="24"/>
              <w:lang w:val="en-US"/>
            </w:rPr>
            <w:endnoteReference w:id="71"/>
          </w:r>
          <w:r w:rsidR="00F404D8" w:rsidRPr="00A27A3E">
            <w:rPr>
              <w:b/>
              <w:bCs/>
              <w:sz w:val="24"/>
              <w:szCs w:val="24"/>
              <w:lang w:val="en-US"/>
            </w:rPr>
            <w:t xml:space="preserve"> led to the expulsion of some 780,000</w:t>
          </w:r>
          <w:r w:rsidR="00F404D8" w:rsidRPr="00F404D8">
            <w:rPr>
              <w:rStyle w:val="EndnoteReference"/>
              <w:b/>
              <w:bCs/>
              <w:sz w:val="24"/>
              <w:szCs w:val="24"/>
              <w:lang w:val="en-US"/>
            </w:rPr>
            <w:endnoteReference w:id="72"/>
          </w:r>
          <w:r w:rsidR="00F404D8" w:rsidRPr="00A27A3E">
            <w:rPr>
              <w:b/>
              <w:bCs/>
              <w:sz w:val="24"/>
              <w:szCs w:val="24"/>
              <w:lang w:val="en-US"/>
            </w:rPr>
            <w:t xml:space="preserve"> Palestinians (85 percent of the total population) from 23 towns and 351 villages across Palestine, with 60–80,000 Palestine refugees fleeing into the Gaza Strip and quadrupling the population within weeks.</w:t>
          </w:r>
          <w:r w:rsidR="00F404D8" w:rsidRPr="00F404D8">
            <w:rPr>
              <w:rStyle w:val="EndnoteReference"/>
              <w:b/>
              <w:bCs/>
              <w:sz w:val="24"/>
              <w:szCs w:val="24"/>
              <w:lang w:val="en-US"/>
            </w:rPr>
            <w:endnoteReference w:id="73"/>
          </w:r>
        </w:p>
        <w:p w14:paraId="7345EF08" w14:textId="77777777" w:rsidR="00F404D8" w:rsidRPr="00F404D8" w:rsidRDefault="00F404D8" w:rsidP="00F404D8">
          <w:pPr>
            <w:jc w:val="both"/>
            <w:rPr>
              <w:b/>
              <w:bCs/>
              <w:sz w:val="24"/>
              <w:szCs w:val="24"/>
              <w:lang w:val="en-US"/>
            </w:rPr>
          </w:pPr>
        </w:p>
        <w:p w14:paraId="5CF003C9" w14:textId="0CABDD7A" w:rsidR="00F404D8" w:rsidRPr="00A27A3E" w:rsidRDefault="00F404D8" w:rsidP="00FD4BA6">
          <w:pPr>
            <w:jc w:val="both"/>
            <w:rPr>
              <w:b/>
              <w:bCs/>
              <w:sz w:val="24"/>
              <w:szCs w:val="24"/>
              <w:lang w:val="en-US"/>
            </w:rPr>
          </w:pPr>
          <w:r w:rsidRPr="00A27A3E">
            <w:rPr>
              <w:b/>
              <w:bCs/>
              <w:sz w:val="24"/>
              <w:szCs w:val="24"/>
              <w:lang w:val="en-US"/>
            </w:rPr>
            <w:lastRenderedPageBreak/>
            <w:t>The Israeli military’s further destruction of 108 villages and village points in the nearby Naqab region, to Gaza’s east, and the concentration of the remaining population in a regulated enclosure (</w:t>
          </w:r>
          <w:r w:rsidRPr="00A27A3E">
            <w:rPr>
              <w:b/>
              <w:bCs/>
              <w:i/>
              <w:iCs/>
              <w:sz w:val="24"/>
              <w:szCs w:val="24"/>
              <w:lang w:val="en-US"/>
            </w:rPr>
            <w:t>siyaj</w:t>
          </w:r>
          <w:r w:rsidRPr="00A27A3E">
            <w:rPr>
              <w:b/>
              <w:bCs/>
              <w:sz w:val="24"/>
              <w:szCs w:val="24"/>
              <w:lang w:val="en-US"/>
            </w:rPr>
            <w:t>) in 1951–53</w:t>
          </w:r>
          <w:r w:rsidRPr="00F404D8">
            <w:rPr>
              <w:rStyle w:val="EndnoteReference"/>
              <w:b/>
              <w:bCs/>
              <w:sz w:val="24"/>
              <w:szCs w:val="24"/>
              <w:lang w:val="en-US"/>
            </w:rPr>
            <w:endnoteReference w:id="74"/>
          </w:r>
          <w:r w:rsidRPr="00A27A3E">
            <w:rPr>
              <w:b/>
              <w:bCs/>
              <w:sz w:val="24"/>
              <w:szCs w:val="24"/>
              <w:lang w:val="en-US"/>
            </w:rPr>
            <w:t xml:space="preserve"> created another wave of internally displaced persons into the Gaza Strip. </w:t>
          </w:r>
          <w:r w:rsidR="00FD4BA6">
            <w:rPr>
              <w:b/>
              <w:bCs/>
              <w:sz w:val="24"/>
              <w:szCs w:val="24"/>
              <w:lang w:val="en-US"/>
            </w:rPr>
            <w:t xml:space="preserve">(See Annex 4.) </w:t>
          </w:r>
          <w:r w:rsidRPr="00A27A3E">
            <w:rPr>
              <w:b/>
              <w:bCs/>
              <w:sz w:val="24"/>
              <w:szCs w:val="24"/>
              <w:lang w:val="en-US"/>
            </w:rPr>
            <w:t>This added further pressure on the region’s water resources and sanitation infrastructure, whereas over 70</w:t>
          </w:r>
          <w:r w:rsidRPr="00F404D8">
            <w:rPr>
              <w:b/>
              <w:bCs/>
              <w:sz w:val="24"/>
              <w:szCs w:val="24"/>
              <w:lang w:val="en-US"/>
            </w:rPr>
            <w:t>%</w:t>
          </w:r>
          <w:r w:rsidRPr="00A27A3E">
            <w:rPr>
              <w:b/>
              <w:bCs/>
              <w:sz w:val="24"/>
              <w:szCs w:val="24"/>
              <w:lang w:val="en-US"/>
            </w:rPr>
            <w:t xml:space="preserve"> of the Gaza Strip’s current population is composed of those refugees and displaced persons.</w:t>
          </w:r>
        </w:p>
        <w:p w14:paraId="7ECE15D9" w14:textId="77777777" w:rsidR="00F404D8" w:rsidRPr="00F404D8" w:rsidRDefault="00F404D8" w:rsidP="00F404D8">
          <w:pPr>
            <w:jc w:val="both"/>
            <w:rPr>
              <w:b/>
              <w:bCs/>
              <w:sz w:val="24"/>
              <w:szCs w:val="24"/>
              <w:lang w:val="en-US"/>
            </w:rPr>
          </w:pPr>
        </w:p>
        <w:p w14:paraId="4329323F" w14:textId="74C90169" w:rsidR="00F404D8" w:rsidRPr="00A27A3E" w:rsidRDefault="00096D09" w:rsidP="00F404D8">
          <w:pPr>
            <w:jc w:val="both"/>
            <w:rPr>
              <w:b/>
              <w:bCs/>
              <w:sz w:val="24"/>
              <w:szCs w:val="24"/>
              <w:lang w:val="en-US"/>
            </w:rPr>
          </w:pPr>
          <w:r>
            <w:rPr>
              <w:b/>
              <w:bCs/>
              <w:sz w:val="24"/>
              <w:szCs w:val="24"/>
              <w:lang w:val="en-US"/>
            </w:rPr>
            <w:t xml:space="preserve">2. </w:t>
          </w:r>
          <w:r w:rsidR="00F404D8" w:rsidRPr="00A27A3E">
            <w:rPr>
              <w:b/>
              <w:bCs/>
              <w:sz w:val="24"/>
              <w:szCs w:val="24"/>
              <w:lang w:val="en-US"/>
            </w:rPr>
            <w:t>The second causative factor affecting Gaza’s water scarcity is Israel’s diversion of the natural aquifer flowing toward the Gaza Coast from Jabal al-Khalil in the southern West Bank. This Israel has achieved through a series of deep wells and pumps to prevent the natural replenishment of Gaza’s ground water, which is vital for the densified population.</w:t>
          </w:r>
          <w:r w:rsidR="001A148F">
            <w:rPr>
              <w:b/>
              <w:bCs/>
              <w:sz w:val="24"/>
              <w:szCs w:val="24"/>
              <w:lang w:val="en-US"/>
            </w:rPr>
            <w:t xml:space="preserve"> (See figure in Annex </w:t>
          </w:r>
          <w:r w:rsidR="00945F26">
            <w:rPr>
              <w:b/>
              <w:bCs/>
              <w:sz w:val="24"/>
              <w:szCs w:val="24"/>
              <w:lang w:val="en-US"/>
            </w:rPr>
            <w:t>2</w:t>
          </w:r>
          <w:r w:rsidR="001A148F">
            <w:rPr>
              <w:b/>
              <w:bCs/>
              <w:sz w:val="24"/>
              <w:szCs w:val="24"/>
              <w:lang w:val="en-US"/>
            </w:rPr>
            <w:t>.)</w:t>
          </w:r>
        </w:p>
        <w:p w14:paraId="1E798403" w14:textId="77777777" w:rsidR="00F404D8" w:rsidRPr="00F404D8" w:rsidRDefault="00F404D8" w:rsidP="00F404D8">
          <w:pPr>
            <w:jc w:val="both"/>
            <w:rPr>
              <w:b/>
              <w:bCs/>
              <w:sz w:val="24"/>
              <w:szCs w:val="24"/>
              <w:lang w:val="en-US"/>
            </w:rPr>
          </w:pPr>
        </w:p>
        <w:p w14:paraId="36CA3ADC" w14:textId="66F71B3F" w:rsidR="00F404D8" w:rsidRPr="00F404D8" w:rsidRDefault="00096D09" w:rsidP="00F404D8">
          <w:pPr>
            <w:jc w:val="both"/>
            <w:rPr>
              <w:b/>
              <w:bCs/>
              <w:sz w:val="24"/>
              <w:szCs w:val="24"/>
              <w:lang w:val="en-US"/>
            </w:rPr>
          </w:pPr>
          <w:r>
            <w:rPr>
              <w:b/>
              <w:bCs/>
              <w:sz w:val="24"/>
              <w:szCs w:val="24"/>
              <w:lang w:val="en-US"/>
            </w:rPr>
            <w:t xml:space="preserve">3. </w:t>
          </w:r>
          <w:r w:rsidR="00F404D8" w:rsidRPr="00F404D8">
            <w:rPr>
              <w:b/>
              <w:bCs/>
              <w:sz w:val="24"/>
              <w:szCs w:val="24"/>
              <w:lang w:val="en-US"/>
            </w:rPr>
            <w:t>The third and more-recent pressure on Gaza’s water resources arises from the methods of colonization of the Gaza Strip that took place from 1972 through 2005. The Jewish Israeli settlers who established agricultural colonies in the Gaza Strip in that period consumed 400 times the land available to the Palestinian refugees, and 20 times the volume of water they used. These highly water-intensive farming enterprises were erected atop the three main deep pockets of fresh groundwater, depleting them irrevocably.</w:t>
          </w:r>
          <w:r w:rsidR="00F404D8" w:rsidRPr="00F404D8">
            <w:rPr>
              <w:rStyle w:val="EndnoteReference"/>
              <w:b/>
              <w:bCs/>
              <w:sz w:val="24"/>
              <w:szCs w:val="24"/>
              <w:lang w:val="en-US"/>
            </w:rPr>
            <w:endnoteReference w:id="75"/>
          </w:r>
          <w:r w:rsidR="00F404D8" w:rsidRPr="00F404D8">
            <w:rPr>
              <w:b/>
              <w:bCs/>
              <w:sz w:val="24"/>
              <w:szCs w:val="24"/>
              <w:lang w:val="en-US"/>
            </w:rPr>
            <w:t xml:space="preserve"> These factors combined are directly attributable to Israel’s colonization and further occupation of historical Palestine and emphasize how the Gaza Strip’s hydrology reflects the military, demographic and resource-management forces that Israel has introduced to the region.</w:t>
          </w:r>
        </w:p>
        <w:p w14:paraId="0740E69D" w14:textId="77777777" w:rsidR="00F404D8" w:rsidRPr="00F404D8" w:rsidRDefault="00F404D8" w:rsidP="00F404D8">
          <w:pPr>
            <w:jc w:val="both"/>
            <w:rPr>
              <w:b/>
              <w:bCs/>
              <w:sz w:val="24"/>
              <w:szCs w:val="24"/>
              <w:lang w:val="en-US"/>
            </w:rPr>
          </w:pPr>
        </w:p>
        <w:p w14:paraId="07202D0B" w14:textId="19B96688" w:rsidR="00B24744" w:rsidRDefault="000A3EF0" w:rsidP="00F404D8">
          <w:pPr>
            <w:jc w:val="both"/>
            <w:rPr>
              <w:b/>
              <w:bCs/>
              <w:sz w:val="24"/>
              <w:szCs w:val="24"/>
            </w:rPr>
          </w:pPr>
          <w:r>
            <w:rPr>
              <w:b/>
              <w:bCs/>
              <w:sz w:val="24"/>
              <w:szCs w:val="24"/>
            </w:rPr>
            <w:t xml:space="preserve">The Gaza </w:t>
          </w:r>
          <w:r w:rsidR="00F404D8" w:rsidRPr="00F404D8">
            <w:rPr>
              <w:b/>
              <w:bCs/>
              <w:sz w:val="24"/>
              <w:szCs w:val="24"/>
            </w:rPr>
            <w:t xml:space="preserve">water </w:t>
          </w:r>
          <w:r>
            <w:rPr>
              <w:b/>
              <w:bCs/>
              <w:sz w:val="24"/>
              <w:szCs w:val="24"/>
            </w:rPr>
            <w:t xml:space="preserve">situation </w:t>
          </w:r>
          <w:r w:rsidR="00F404D8" w:rsidRPr="00F404D8">
            <w:rPr>
              <w:b/>
              <w:bCs/>
              <w:sz w:val="24"/>
              <w:szCs w:val="24"/>
            </w:rPr>
            <w:t xml:space="preserve">for Palestinians became more dire in 2007, when Israel imposed its land, air, and sea blockade and comprehensive closure, </w:t>
          </w:r>
          <w:r>
            <w:rPr>
              <w:b/>
              <w:bCs/>
              <w:sz w:val="24"/>
              <w:szCs w:val="24"/>
            </w:rPr>
            <w:t>as</w:t>
          </w:r>
          <w:r w:rsidR="00F404D8" w:rsidRPr="00F404D8">
            <w:rPr>
              <w:b/>
              <w:bCs/>
              <w:sz w:val="24"/>
              <w:szCs w:val="24"/>
            </w:rPr>
            <w:t xml:space="preserve"> part of </w:t>
          </w:r>
          <w:r>
            <w:rPr>
              <w:b/>
              <w:bCs/>
              <w:sz w:val="24"/>
              <w:szCs w:val="24"/>
            </w:rPr>
            <w:t>SoI</w:t>
          </w:r>
          <w:r w:rsidR="00F404D8" w:rsidRPr="00F404D8">
            <w:rPr>
              <w:b/>
              <w:bCs/>
              <w:sz w:val="24"/>
              <w:szCs w:val="24"/>
            </w:rPr>
            <w:t>’s campaign to separate and fragment Palestinian communities within the oPt, and elsewhere, and to deny the Palestinian people their inalienable right to self-determination, including permanent sovereignty over natural wealth and resources. Considered a collective punishment under international law, the blockade and closure policy continue to this day.</w:t>
          </w:r>
        </w:p>
        <w:p w14:paraId="7FED3C42" w14:textId="77777777" w:rsidR="00B24744" w:rsidRDefault="00B24744" w:rsidP="00F404D8">
          <w:pPr>
            <w:jc w:val="both"/>
            <w:rPr>
              <w:b/>
              <w:bCs/>
              <w:sz w:val="24"/>
              <w:szCs w:val="24"/>
            </w:rPr>
          </w:pPr>
        </w:p>
        <w:p w14:paraId="0A6A370B" w14:textId="3BAAEFE3" w:rsidR="00B24744" w:rsidRDefault="00B24744" w:rsidP="00B24744">
          <w:pPr>
            <w:jc w:val="both"/>
            <w:rPr>
              <w:b/>
              <w:bCs/>
              <w:sz w:val="24"/>
              <w:szCs w:val="24"/>
              <w:lang w:val="en-US"/>
            </w:rPr>
          </w:pPr>
          <w:r w:rsidRPr="00B24744">
            <w:rPr>
              <w:b/>
              <w:bCs/>
              <w:sz w:val="24"/>
              <w:szCs w:val="24"/>
              <w:lang w:val="en-US"/>
            </w:rPr>
            <w:t>At the nexus of the human right</w:t>
          </w:r>
          <w:r w:rsidR="000A3EF0">
            <w:rPr>
              <w:b/>
              <w:bCs/>
              <w:sz w:val="24"/>
              <w:szCs w:val="24"/>
              <w:lang w:val="en-US"/>
            </w:rPr>
            <w:t>s to adequate housing,</w:t>
          </w:r>
          <w:r w:rsidRPr="00B24744">
            <w:rPr>
              <w:b/>
              <w:bCs/>
              <w:sz w:val="24"/>
              <w:szCs w:val="24"/>
              <w:lang w:val="en-US"/>
            </w:rPr>
            <w:t xml:space="preserve"> water and health, the availability and likely quantity of water that will be collected at each level of service may be reduced where water supplies are intermittent and the risks of ingress of contaminated water and/or sea water, as in Gaza, into domestic water supplies increase. Where optimal access is achieved, but the supply is intermittent, a further risk to health may result from the compromised functioning of waterborne sanitation systems.</w:t>
          </w:r>
        </w:p>
        <w:p w14:paraId="0FEC9D08" w14:textId="77777777" w:rsidR="000A3EF0" w:rsidRPr="00B24744" w:rsidRDefault="000A3EF0" w:rsidP="00B24744">
          <w:pPr>
            <w:jc w:val="both"/>
            <w:rPr>
              <w:b/>
              <w:bCs/>
              <w:sz w:val="24"/>
              <w:szCs w:val="24"/>
              <w:lang w:val="en-US"/>
            </w:rPr>
          </w:pPr>
        </w:p>
        <w:p w14:paraId="27CE4A49" w14:textId="27C1A05F" w:rsidR="00B24744" w:rsidRPr="00B24744" w:rsidRDefault="00B24744" w:rsidP="00B24744">
          <w:pPr>
            <w:jc w:val="both"/>
            <w:rPr>
              <w:b/>
              <w:bCs/>
              <w:sz w:val="24"/>
              <w:szCs w:val="24"/>
              <w:lang w:val="en-US"/>
            </w:rPr>
          </w:pPr>
          <w:r w:rsidRPr="00B24744">
            <w:rPr>
              <w:b/>
              <w:bCs/>
              <w:sz w:val="24"/>
              <w:szCs w:val="24"/>
              <w:lang w:val="en-US"/>
            </w:rPr>
            <w:t>The public health gains derived from use of increased volumes of water typically occur in two major increments. The first relates to overcoming a lack of basic access, where the distances and time involved in water collection result in use of volumes inadequate to support basic personal hygiene and may be marginally adequate for human consumption.</w:t>
          </w:r>
        </w:p>
        <w:p w14:paraId="01D7DDD5" w14:textId="77777777" w:rsidR="000A3EF0" w:rsidRDefault="000A3EF0" w:rsidP="00B24744">
          <w:pPr>
            <w:jc w:val="both"/>
            <w:rPr>
              <w:b/>
              <w:bCs/>
              <w:sz w:val="24"/>
              <w:szCs w:val="24"/>
              <w:lang w:val="en-US"/>
            </w:rPr>
          </w:pPr>
        </w:p>
        <w:p w14:paraId="30048938" w14:textId="0DAC2947" w:rsidR="00B24744" w:rsidRDefault="00B24744" w:rsidP="00B24744">
          <w:pPr>
            <w:jc w:val="both"/>
            <w:rPr>
              <w:b/>
              <w:bCs/>
              <w:sz w:val="24"/>
              <w:szCs w:val="24"/>
              <w:lang w:val="en-US"/>
            </w:rPr>
          </w:pPr>
          <w:r w:rsidRPr="00B24744">
            <w:rPr>
              <w:b/>
              <w:bCs/>
              <w:sz w:val="24"/>
              <w:szCs w:val="24"/>
              <w:lang w:val="en-US"/>
            </w:rPr>
            <w:t>Where the basic access service level has not been achieved, hygiene cannot be assured, and consumption requirements may be at risk. Therefore, providing a basic level of access is the highest priority for the water and health sectors.</w:t>
          </w:r>
          <w:r w:rsidR="000A3EF0">
            <w:rPr>
              <w:rStyle w:val="EndnoteReference"/>
              <w:b/>
              <w:bCs/>
              <w:sz w:val="24"/>
              <w:szCs w:val="24"/>
              <w:lang w:val="en-US"/>
            </w:rPr>
            <w:endnoteReference w:id="76"/>
          </w:r>
          <w:r w:rsidRPr="00B24744">
            <w:rPr>
              <w:b/>
              <w:bCs/>
              <w:sz w:val="24"/>
              <w:szCs w:val="24"/>
              <w:lang w:val="en-US"/>
            </w:rPr>
            <w:t xml:space="preserve"> However, even the case of desalinated water in Gaza is a matter of institutionalized material discrimination and disparity.</w:t>
          </w:r>
        </w:p>
        <w:p w14:paraId="20B84A82" w14:textId="77777777" w:rsidR="000A3EF0" w:rsidRPr="00B24744" w:rsidRDefault="000A3EF0" w:rsidP="00B24744">
          <w:pPr>
            <w:jc w:val="both"/>
            <w:rPr>
              <w:b/>
              <w:bCs/>
              <w:sz w:val="24"/>
              <w:szCs w:val="24"/>
              <w:lang w:val="en-US"/>
            </w:rPr>
          </w:pPr>
        </w:p>
        <w:p w14:paraId="58668FCD" w14:textId="77777777" w:rsidR="000A3EF0" w:rsidRDefault="00B24744" w:rsidP="000A3EF0">
          <w:pPr>
            <w:jc w:val="both"/>
            <w:rPr>
              <w:b/>
              <w:bCs/>
              <w:sz w:val="24"/>
              <w:szCs w:val="24"/>
              <w:lang w:val="en-US"/>
            </w:rPr>
          </w:pPr>
          <w:r w:rsidRPr="00B24744">
            <w:rPr>
              <w:b/>
              <w:bCs/>
              <w:sz w:val="24"/>
              <w:szCs w:val="24"/>
              <w:lang w:val="en-US"/>
            </w:rPr>
            <w:t>While the Gaza Strip has been systematically denied its natural sources of water, combined with the consequences of past and ongoing population transfer, Israel currently desalinates so much seawater that its municipalities are unwilling to accept it. Excess desalinated water is being used to irrigate crops, and the country’s water authority has even use it to refill Lake Tiberias itself,</w:t>
          </w:r>
          <w:r w:rsidR="000A3EF0">
            <w:rPr>
              <w:rStyle w:val="EndnoteReference"/>
              <w:b/>
              <w:bCs/>
              <w:sz w:val="24"/>
              <w:szCs w:val="24"/>
              <w:lang w:val="en-US"/>
            </w:rPr>
            <w:endnoteReference w:id="77"/>
          </w:r>
          <w:r w:rsidRPr="00B24744">
            <w:rPr>
              <w:b/>
              <w:bCs/>
              <w:sz w:val="24"/>
              <w:szCs w:val="24"/>
              <w:lang w:val="en-US"/>
            </w:rPr>
            <w:t xml:space="preserve"> which is ironic considering that the lake water continues to be pumped to Israeli populations in the arid south. There is now so much treated water that some Israeli engineers assert that “today, no one in Israel experiences</w:t>
          </w:r>
          <w:r w:rsidR="000A3EF0">
            <w:rPr>
              <w:b/>
              <w:bCs/>
              <w:sz w:val="24"/>
              <w:szCs w:val="24"/>
              <w:lang w:val="en-US"/>
            </w:rPr>
            <w:t xml:space="preserve"> </w:t>
          </w:r>
          <w:r w:rsidRPr="00B24744">
            <w:rPr>
              <w:b/>
              <w:bCs/>
              <w:sz w:val="24"/>
              <w:szCs w:val="24"/>
              <w:lang w:val="en-US"/>
            </w:rPr>
            <w:t>water scarcity”</w:t>
          </w:r>
          <w:r w:rsidR="000A3EF0">
            <w:rPr>
              <w:rStyle w:val="EndnoteReference"/>
              <w:b/>
              <w:bCs/>
              <w:sz w:val="24"/>
              <w:szCs w:val="24"/>
              <w:lang w:val="en-US"/>
            </w:rPr>
            <w:endnoteReference w:id="78"/>
          </w:r>
          <w:r w:rsidRPr="00B24744">
            <w:rPr>
              <w:b/>
              <w:bCs/>
              <w:sz w:val="24"/>
              <w:szCs w:val="24"/>
              <w:lang w:val="en-US"/>
            </w:rPr>
            <w:t xml:space="preserve"> at the present time in which the damage to the coastal aquifer is projected to be irreparable.</w:t>
          </w:r>
          <w:r w:rsidR="000A3EF0">
            <w:rPr>
              <w:rStyle w:val="EndnoteReference"/>
              <w:b/>
              <w:bCs/>
              <w:sz w:val="24"/>
              <w:szCs w:val="24"/>
              <w:lang w:val="en-US"/>
            </w:rPr>
            <w:endnoteReference w:id="79"/>
          </w:r>
        </w:p>
        <w:p w14:paraId="4469EBF3" w14:textId="77777777" w:rsidR="000A3EF0" w:rsidRDefault="000A3EF0" w:rsidP="000A3EF0">
          <w:pPr>
            <w:jc w:val="both"/>
            <w:rPr>
              <w:b/>
              <w:bCs/>
              <w:sz w:val="24"/>
              <w:szCs w:val="24"/>
              <w:lang w:val="en-US"/>
            </w:rPr>
          </w:pPr>
        </w:p>
        <w:p w14:paraId="30D8B5ED" w14:textId="77777777" w:rsidR="0003661A" w:rsidRDefault="000A3EF0" w:rsidP="000A3EF0">
          <w:pPr>
            <w:jc w:val="both"/>
            <w:rPr>
              <w:b/>
              <w:bCs/>
              <w:sz w:val="24"/>
              <w:szCs w:val="24"/>
            </w:rPr>
          </w:pPr>
          <w:r>
            <w:rPr>
              <w:b/>
              <w:bCs/>
              <w:sz w:val="24"/>
              <w:szCs w:val="24"/>
              <w:lang w:val="en-US"/>
            </w:rPr>
            <w:lastRenderedPageBreak/>
            <w:t>I</w:t>
          </w:r>
          <w:r w:rsidRPr="000A3EF0">
            <w:rPr>
              <w:b/>
              <w:bCs/>
              <w:sz w:val="24"/>
              <w:szCs w:val="24"/>
              <w:lang w:val="en-US"/>
            </w:rPr>
            <w:t>n Gaza</w:t>
          </w:r>
          <w:r>
            <w:rPr>
              <w:b/>
              <w:bCs/>
              <w:sz w:val="24"/>
              <w:szCs w:val="24"/>
              <w:lang w:val="en-US"/>
            </w:rPr>
            <w:t>, p</w:t>
          </w:r>
          <w:r w:rsidRPr="000A3EF0">
            <w:rPr>
              <w:b/>
              <w:bCs/>
              <w:sz w:val="24"/>
              <w:szCs w:val="24"/>
              <w:lang w:val="en-US"/>
            </w:rPr>
            <w:t>eople there have resorted to various ingenious filters, boilers, or under-the-sink or neighborhood-level desalination units to treat their water. However, these sources are unregulated and of dubious quality, often germ laden and another reason for prescribing antibiotics to Gaza’s children, thus perpetuating a pattern of harm upon additional harm. Doctors, nurses and water maintenance crews meanwhile try to do the impossible with the minimal medical equipment at their disposal. The result is a combined water and health sector situation that, even without the global pandemic, some have called “toxic ecology” or a “biosphere of war.”</w:t>
          </w:r>
          <w:r>
            <w:rPr>
              <w:rStyle w:val="EndnoteReference"/>
              <w:b/>
              <w:bCs/>
              <w:sz w:val="24"/>
              <w:szCs w:val="24"/>
              <w:lang w:val="en-US"/>
            </w:rPr>
            <w:endnoteReference w:id="80"/>
          </w:r>
          <w:r w:rsidRPr="00F404D8">
            <w:rPr>
              <w:b/>
              <w:bCs/>
              <w:sz w:val="24"/>
              <w:szCs w:val="24"/>
            </w:rPr>
            <w:t xml:space="preserve"> </w:t>
          </w:r>
        </w:p>
        <w:p w14:paraId="0C26D110" w14:textId="77777777" w:rsidR="0003661A" w:rsidRDefault="0003661A" w:rsidP="000A3EF0">
          <w:pPr>
            <w:jc w:val="both"/>
            <w:rPr>
              <w:b/>
              <w:bCs/>
              <w:sz w:val="24"/>
              <w:szCs w:val="24"/>
            </w:rPr>
          </w:pPr>
        </w:p>
        <w:p w14:paraId="52AED32F" w14:textId="5FF66EBD" w:rsidR="0003661A" w:rsidRDefault="0003661A" w:rsidP="0003661A">
          <w:pPr>
            <w:jc w:val="both"/>
            <w:rPr>
              <w:b/>
              <w:bCs/>
              <w:sz w:val="24"/>
              <w:szCs w:val="24"/>
            </w:rPr>
          </w:pPr>
          <w:r>
            <w:rPr>
              <w:b/>
              <w:bCs/>
              <w:sz w:val="24"/>
              <w:szCs w:val="24"/>
            </w:rPr>
            <w:t>In addition to these public health issues, t</w:t>
          </w:r>
          <w:r w:rsidRPr="0003661A">
            <w:rPr>
              <w:b/>
              <w:bCs/>
              <w:sz w:val="24"/>
              <w:szCs w:val="24"/>
            </w:rPr>
            <w:t xml:space="preserve">he </w:t>
          </w:r>
          <w:r>
            <w:rPr>
              <w:b/>
              <w:bCs/>
              <w:sz w:val="24"/>
              <w:szCs w:val="24"/>
            </w:rPr>
            <w:t xml:space="preserve">oPt </w:t>
          </w:r>
          <w:r w:rsidRPr="0003661A">
            <w:rPr>
              <w:b/>
              <w:bCs/>
              <w:sz w:val="24"/>
              <w:szCs w:val="24"/>
            </w:rPr>
            <w:t xml:space="preserve">labor market </w:t>
          </w:r>
          <w:r>
            <w:rPr>
              <w:b/>
              <w:bCs/>
              <w:sz w:val="24"/>
              <w:szCs w:val="24"/>
            </w:rPr>
            <w:t xml:space="preserve">has been the </w:t>
          </w:r>
          <w:r w:rsidRPr="0003661A">
            <w:rPr>
              <w:b/>
              <w:bCs/>
              <w:sz w:val="24"/>
              <w:szCs w:val="24"/>
            </w:rPr>
            <w:t>most</w:t>
          </w:r>
          <w:r>
            <w:rPr>
              <w:b/>
              <w:bCs/>
              <w:sz w:val="24"/>
              <w:szCs w:val="24"/>
            </w:rPr>
            <w:t>-</w:t>
          </w:r>
          <w:r w:rsidRPr="0003661A">
            <w:rPr>
              <w:b/>
              <w:bCs/>
              <w:sz w:val="24"/>
              <w:szCs w:val="24"/>
            </w:rPr>
            <w:t>affected sector during the ongoing pandemic since March 2020. Thus, the most important indicators during the 4</w:t>
          </w:r>
          <w:r w:rsidRPr="0003661A">
            <w:rPr>
              <w:b/>
              <w:bCs/>
              <w:sz w:val="24"/>
              <w:szCs w:val="24"/>
              <w:vertAlign w:val="superscript"/>
            </w:rPr>
            <w:t>th</w:t>
          </w:r>
          <w:r>
            <w:rPr>
              <w:b/>
              <w:bCs/>
              <w:sz w:val="24"/>
              <w:szCs w:val="24"/>
            </w:rPr>
            <w:t xml:space="preserve"> </w:t>
          </w:r>
          <w:r w:rsidRPr="0003661A">
            <w:rPr>
              <w:b/>
              <w:bCs/>
              <w:sz w:val="24"/>
              <w:szCs w:val="24"/>
            </w:rPr>
            <w:t xml:space="preserve">quarter of 2020 </w:t>
          </w:r>
          <w:r>
            <w:rPr>
              <w:b/>
              <w:bCs/>
              <w:sz w:val="24"/>
              <w:szCs w:val="24"/>
            </w:rPr>
            <w:t>show t</w:t>
          </w:r>
          <w:r w:rsidRPr="0003661A">
            <w:rPr>
              <w:b/>
              <w:bCs/>
              <w:sz w:val="24"/>
              <w:szCs w:val="24"/>
            </w:rPr>
            <w:t>he number of unemployed persons reached 304 thousand in the 4</w:t>
          </w:r>
          <w:r w:rsidRPr="0003661A">
            <w:rPr>
              <w:b/>
              <w:bCs/>
              <w:sz w:val="24"/>
              <w:szCs w:val="24"/>
              <w:vertAlign w:val="superscript"/>
            </w:rPr>
            <w:t>th</w:t>
          </w:r>
          <w:r>
            <w:rPr>
              <w:b/>
              <w:bCs/>
              <w:sz w:val="24"/>
              <w:szCs w:val="24"/>
            </w:rPr>
            <w:t xml:space="preserve"> </w:t>
          </w:r>
          <w:r w:rsidRPr="0003661A">
            <w:rPr>
              <w:b/>
              <w:bCs/>
              <w:sz w:val="24"/>
              <w:szCs w:val="24"/>
            </w:rPr>
            <w:t xml:space="preserve">quarter of 2020; of which 168 thousand persons in Gaza Strip and 136 thousand persons in the West Bank. Hence, the disparity remains large in the unemployment rate between the West Bank and Gaza Strip, as this rate reached 43% in Gaza Strip compared to 15% in the West Bank. </w:t>
          </w:r>
        </w:p>
        <w:p w14:paraId="19253BEF" w14:textId="77777777" w:rsidR="0003661A" w:rsidRDefault="0003661A" w:rsidP="0003661A">
          <w:pPr>
            <w:jc w:val="both"/>
            <w:rPr>
              <w:b/>
              <w:bCs/>
              <w:sz w:val="24"/>
              <w:szCs w:val="24"/>
            </w:rPr>
          </w:pPr>
        </w:p>
        <w:p w14:paraId="357D66AF" w14:textId="77777777" w:rsidR="00D81083" w:rsidRDefault="0003661A" w:rsidP="0003661A">
          <w:pPr>
            <w:jc w:val="both"/>
            <w:rPr>
              <w:b/>
              <w:bCs/>
              <w:sz w:val="24"/>
              <w:szCs w:val="24"/>
            </w:rPr>
          </w:pPr>
          <w:r>
            <w:rPr>
              <w:b/>
              <w:bCs/>
              <w:sz w:val="24"/>
              <w:szCs w:val="24"/>
            </w:rPr>
            <w:t xml:space="preserve">Disaggregated by sex/gender, </w:t>
          </w:r>
          <w:r w:rsidRPr="0003661A">
            <w:rPr>
              <w:b/>
              <w:bCs/>
              <w:sz w:val="24"/>
              <w:szCs w:val="24"/>
            </w:rPr>
            <w:t>the unemployment rate for males in Palestine reached 20% compared to 37% for females. Within the same context, the total underutilisation reached 530</w:t>
          </w:r>
          <w:r>
            <w:rPr>
              <w:b/>
              <w:bCs/>
              <w:sz w:val="24"/>
              <w:szCs w:val="24"/>
            </w:rPr>
            <w:t>,000</w:t>
          </w:r>
          <w:r w:rsidRPr="0003661A">
            <w:rPr>
              <w:b/>
              <w:bCs/>
              <w:sz w:val="24"/>
              <w:szCs w:val="24"/>
            </w:rPr>
            <w:t xml:space="preserve"> persons, as this number includes 133 thousand discouraged job seekers and 17</w:t>
          </w:r>
          <w:r>
            <w:rPr>
              <w:b/>
              <w:bCs/>
              <w:sz w:val="24"/>
              <w:szCs w:val="24"/>
            </w:rPr>
            <w:t>,000</w:t>
          </w:r>
          <w:r w:rsidRPr="0003661A">
            <w:rPr>
              <w:b/>
              <w:bCs/>
              <w:sz w:val="24"/>
              <w:szCs w:val="24"/>
            </w:rPr>
            <w:t xml:space="preserve"> in time-related underemployment.</w:t>
          </w:r>
          <w:r w:rsidR="00536BA5">
            <w:rPr>
              <w:rStyle w:val="EndnoteReference"/>
              <w:b/>
              <w:bCs/>
              <w:sz w:val="24"/>
              <w:szCs w:val="24"/>
            </w:rPr>
            <w:endnoteReference w:id="81"/>
          </w:r>
        </w:p>
        <w:p w14:paraId="6EA24231" w14:textId="77777777" w:rsidR="00D81083" w:rsidRDefault="00D81083" w:rsidP="0003661A">
          <w:pPr>
            <w:jc w:val="both"/>
            <w:rPr>
              <w:b/>
              <w:bCs/>
              <w:sz w:val="24"/>
              <w:szCs w:val="24"/>
            </w:rPr>
          </w:pPr>
        </w:p>
        <w:p w14:paraId="3A7A522B" w14:textId="78FF8E28" w:rsidR="00242490" w:rsidRPr="00F404D8" w:rsidRDefault="00091A96" w:rsidP="0003661A">
          <w:pPr>
            <w:jc w:val="both"/>
            <w:rPr>
              <w:b/>
              <w:bCs/>
              <w:sz w:val="24"/>
              <w:szCs w:val="24"/>
            </w:rPr>
          </w:pPr>
          <w:r>
            <w:rPr>
              <w:b/>
              <w:bCs/>
              <w:sz w:val="24"/>
              <w:szCs w:val="24"/>
            </w:rPr>
            <w:t>Inside the Green Line, Palestinian citizens of Israel bear a consistently disproportionate burden of unemployment, which has been exacerbated during the pandemic. In July 2020, even the Israeli Supreme Court affirmed a pattern of discrimination against the Arab population of Israel, especially in relation to jobs.</w:t>
          </w:r>
          <w:r w:rsidR="00D81083">
            <w:rPr>
              <w:rStyle w:val="EndnoteReference"/>
              <w:b/>
              <w:bCs/>
              <w:sz w:val="24"/>
              <w:szCs w:val="24"/>
            </w:rPr>
            <w:endnoteReference w:id="82"/>
          </w:r>
        </w:p>
      </w:sdtContent>
    </w:sdt>
    <w:p w14:paraId="1EEA031A" w14:textId="6D29229C" w:rsidR="00F404D8" w:rsidRPr="00F404D8" w:rsidRDefault="00F404D8" w:rsidP="00A27A3E">
      <w:pPr>
        <w:jc w:val="both"/>
        <w:rPr>
          <w:b/>
          <w:bCs/>
          <w:sz w:val="24"/>
          <w:szCs w:val="24"/>
        </w:rPr>
      </w:pPr>
    </w:p>
    <w:p w14:paraId="363EDEA1" w14:textId="77777777" w:rsidR="00242490" w:rsidRDefault="00242490" w:rsidP="00226F79">
      <w:pPr>
        <w:jc w:val="both"/>
        <w:rPr>
          <w:sz w:val="24"/>
          <w:szCs w:val="24"/>
        </w:rPr>
      </w:pPr>
    </w:p>
    <w:p w14:paraId="5BE979E9" w14:textId="57BAD9B5" w:rsidR="00226F79" w:rsidRDefault="00226F79" w:rsidP="00226F79">
      <w:pPr>
        <w:jc w:val="both"/>
        <w:rPr>
          <w:sz w:val="24"/>
          <w:szCs w:val="24"/>
        </w:rPr>
      </w:pPr>
      <w:r w:rsidRPr="00226F79">
        <w:rPr>
          <w:sz w:val="24"/>
          <w:szCs w:val="24"/>
        </w:rPr>
        <w:t xml:space="preserve">Have any particular historical or current laws, policies or practices in your country, region or town/community caused or exacerbated segregation? </w:t>
      </w:r>
    </w:p>
    <w:p w14:paraId="7F49AC04" w14:textId="77777777" w:rsidR="00544539" w:rsidRPr="00226F79" w:rsidRDefault="00544539" w:rsidP="00226F79">
      <w:pPr>
        <w:jc w:val="both"/>
        <w:rPr>
          <w:sz w:val="24"/>
          <w:szCs w:val="24"/>
        </w:rPr>
      </w:pPr>
    </w:p>
    <w:p w14:paraId="26F6D3B6" w14:textId="323772DC" w:rsidR="00226F79" w:rsidRPr="00544539" w:rsidRDefault="0050116A" w:rsidP="00226F79">
      <w:pPr>
        <w:jc w:val="both"/>
        <w:rPr>
          <w:b/>
          <w:bCs/>
          <w:sz w:val="24"/>
          <w:szCs w:val="24"/>
        </w:rPr>
      </w:pPr>
      <w:sdt>
        <w:sdtPr>
          <w:rPr>
            <w:sz w:val="24"/>
            <w:szCs w:val="24"/>
          </w:rPr>
          <w:id w:val="1911802082"/>
        </w:sdtPr>
        <w:sdtEndPr>
          <w:rPr>
            <w:b/>
            <w:bCs/>
          </w:rPr>
        </w:sdtEndPr>
        <w:sdtContent>
          <w:r w:rsidR="00544539" w:rsidRPr="00544539">
            <w:rPr>
              <w:b/>
              <w:bCs/>
              <w:sz w:val="24"/>
              <w:szCs w:val="24"/>
            </w:rPr>
            <w:t xml:space="preserve">See </w:t>
          </w:r>
          <w:r w:rsidR="000B69A7">
            <w:rPr>
              <w:b/>
              <w:bCs/>
              <w:sz w:val="24"/>
              <w:szCs w:val="24"/>
            </w:rPr>
            <w:t xml:space="preserve">answers 9 and 10 </w:t>
          </w:r>
          <w:r w:rsidR="00544539" w:rsidRPr="00544539">
            <w:rPr>
              <w:b/>
              <w:bCs/>
              <w:sz w:val="24"/>
              <w:szCs w:val="24"/>
            </w:rPr>
            <w:t>above.</w:t>
          </w:r>
        </w:sdtContent>
      </w:sdt>
    </w:p>
    <w:p w14:paraId="6624AE74" w14:textId="77777777" w:rsidR="00226F79" w:rsidRPr="00226F79" w:rsidRDefault="00226F79" w:rsidP="00226F79">
      <w:pPr>
        <w:jc w:val="both"/>
        <w:rPr>
          <w:sz w:val="24"/>
          <w:szCs w:val="24"/>
        </w:rPr>
      </w:pPr>
    </w:p>
    <w:p w14:paraId="284580F8" w14:textId="324E3507" w:rsidR="00226F79" w:rsidRDefault="00226F79" w:rsidP="00226F79">
      <w:pPr>
        <w:jc w:val="both"/>
        <w:rPr>
          <w:sz w:val="24"/>
          <w:szCs w:val="24"/>
        </w:rPr>
      </w:pPr>
      <w:r w:rsidRPr="00226F79">
        <w:rPr>
          <w:sz w:val="24"/>
          <w:szCs w:val="24"/>
        </w:rPr>
        <w:t xml:space="preserve">15. In your view, what factors (current or historical) are the principal </w:t>
      </w:r>
      <w:r w:rsidRPr="00226F79">
        <w:rPr>
          <w:i/>
          <w:sz w:val="24"/>
          <w:szCs w:val="24"/>
        </w:rPr>
        <w:t>drivers</w:t>
      </w:r>
      <w:r w:rsidRPr="00226F79">
        <w:rPr>
          <w:sz w:val="24"/>
          <w:szCs w:val="24"/>
        </w:rPr>
        <w:t xml:space="preserve"> of spatial and residential segregation in urban and urban-rural contexts in your country? </w:t>
      </w:r>
    </w:p>
    <w:p w14:paraId="7D5529ED" w14:textId="77777777" w:rsidR="00722AD9" w:rsidRPr="00226F79" w:rsidRDefault="00722AD9" w:rsidP="00226F79">
      <w:pPr>
        <w:jc w:val="both"/>
        <w:rPr>
          <w:sz w:val="24"/>
          <w:szCs w:val="24"/>
        </w:rPr>
      </w:pPr>
    </w:p>
    <w:p w14:paraId="0D7161FE" w14:textId="7BA89252" w:rsidR="00226F79" w:rsidRPr="00226F79" w:rsidRDefault="0050116A" w:rsidP="00226F79">
      <w:pPr>
        <w:jc w:val="both"/>
        <w:rPr>
          <w:sz w:val="24"/>
          <w:szCs w:val="24"/>
        </w:rPr>
      </w:pPr>
      <w:sdt>
        <w:sdtPr>
          <w:rPr>
            <w:b/>
            <w:bCs/>
            <w:sz w:val="24"/>
            <w:szCs w:val="24"/>
          </w:rPr>
          <w:id w:val="-796444237"/>
        </w:sdtPr>
        <w:sdtEndPr>
          <w:rPr>
            <w:b w:val="0"/>
            <w:bCs w:val="0"/>
          </w:rPr>
        </w:sdtEndPr>
        <w:sdtContent>
          <w:sdt>
            <w:sdtPr>
              <w:rPr>
                <w:b/>
                <w:bCs/>
                <w:sz w:val="24"/>
                <w:szCs w:val="24"/>
              </w:rPr>
              <w:id w:val="-914243571"/>
            </w:sdtPr>
            <w:sdtEndPr>
              <w:rPr>
                <w:b w:val="0"/>
                <w:bCs w:val="0"/>
              </w:rPr>
            </w:sdtEndPr>
            <w:sdtContent>
              <w:r w:rsidR="00BE2768" w:rsidRPr="00722AD9">
                <w:rPr>
                  <w:b/>
                  <w:bCs/>
                  <w:sz w:val="24"/>
                  <w:szCs w:val="24"/>
                </w:rPr>
                <w:t>Zionis</w:t>
              </w:r>
              <w:r w:rsidR="00544539" w:rsidRPr="00722AD9">
                <w:rPr>
                  <w:b/>
                  <w:bCs/>
                  <w:sz w:val="24"/>
                  <w:szCs w:val="24"/>
                </w:rPr>
                <w:t>t ideology and its implementing national institutions (WZO/JA, JNF and affili</w:t>
              </w:r>
              <w:r w:rsidR="00722AD9">
                <w:rPr>
                  <w:b/>
                  <w:bCs/>
                  <w:sz w:val="24"/>
                  <w:szCs w:val="24"/>
                </w:rPr>
                <w:t>a</w:t>
              </w:r>
              <w:r w:rsidR="00544539" w:rsidRPr="00722AD9">
                <w:rPr>
                  <w:b/>
                  <w:bCs/>
                  <w:sz w:val="24"/>
                  <w:szCs w:val="24"/>
                </w:rPr>
                <w:t>tes)</w:t>
              </w:r>
              <w:r w:rsidR="00B72C55">
                <w:rPr>
                  <w:b/>
                  <w:bCs/>
                  <w:sz w:val="24"/>
                  <w:szCs w:val="24"/>
                </w:rPr>
                <w:t>, which operate also as tax-exempt “charities” in 50 other countries, including 18 state members of the UN Human Rights Council</w:t>
              </w:r>
              <w:r w:rsidR="00544539" w:rsidRPr="00722AD9">
                <w:rPr>
                  <w:b/>
                  <w:bCs/>
                  <w:sz w:val="24"/>
                  <w:szCs w:val="24"/>
                </w:rPr>
                <w:t>.</w:t>
              </w:r>
              <w:r w:rsidR="00B72C55" w:rsidRPr="00B72C55">
                <w:rPr>
                  <w:b/>
                  <w:bCs/>
                  <w:sz w:val="24"/>
                  <w:szCs w:val="24"/>
                  <w:vertAlign w:val="superscript"/>
                </w:rPr>
                <w:endnoteReference w:id="83"/>
              </w:r>
              <w:r w:rsidR="00B72C55">
                <w:rPr>
                  <w:sz w:val="24"/>
                  <w:szCs w:val="24"/>
                </w:rPr>
                <w:t xml:space="preserve">  </w:t>
              </w:r>
            </w:sdtContent>
          </w:sdt>
          <w:r w:rsidR="00226F79" w:rsidRPr="00226F79" w:rsidDel="004541C6">
            <w:rPr>
              <w:sz w:val="24"/>
              <w:szCs w:val="24"/>
            </w:rPr>
            <w:t xml:space="preserve"> </w:t>
          </w:r>
        </w:sdtContent>
      </w:sdt>
    </w:p>
    <w:p w14:paraId="51C91414" w14:textId="77777777" w:rsidR="00226F79" w:rsidRPr="00226F79" w:rsidRDefault="00226F79" w:rsidP="00226F79">
      <w:pPr>
        <w:jc w:val="both"/>
        <w:rPr>
          <w:sz w:val="24"/>
          <w:szCs w:val="24"/>
        </w:rPr>
      </w:pPr>
    </w:p>
    <w:p w14:paraId="5AAE907E" w14:textId="77777777" w:rsidR="00BB3A82" w:rsidRDefault="00226F79" w:rsidP="00226F79">
      <w:pPr>
        <w:jc w:val="both"/>
        <w:rPr>
          <w:sz w:val="24"/>
          <w:szCs w:val="24"/>
        </w:rPr>
      </w:pPr>
      <w:r w:rsidRPr="00226F79">
        <w:rPr>
          <w:sz w:val="24"/>
          <w:szCs w:val="24"/>
        </w:rPr>
        <w:t>16. Are there examples in your country of where spatial and residential clustering has been a result of voluntary choices of residence by members of particular groups?</w:t>
      </w:r>
    </w:p>
    <w:p w14:paraId="2A14360F" w14:textId="41A7BA9A" w:rsidR="00226F79" w:rsidRPr="00226F79" w:rsidRDefault="00226F79" w:rsidP="00226F79">
      <w:pPr>
        <w:jc w:val="both"/>
        <w:rPr>
          <w:sz w:val="24"/>
          <w:szCs w:val="24"/>
        </w:rPr>
      </w:pPr>
      <w:r w:rsidRPr="00226F79">
        <w:rPr>
          <w:sz w:val="24"/>
          <w:szCs w:val="24"/>
        </w:rPr>
        <w:t xml:space="preserve"> </w:t>
      </w:r>
    </w:p>
    <w:p w14:paraId="646A9B6A" w14:textId="1BA3E361" w:rsidR="00226F79" w:rsidRPr="00226F79" w:rsidRDefault="0050116A" w:rsidP="00226F79">
      <w:pPr>
        <w:jc w:val="both"/>
        <w:rPr>
          <w:sz w:val="24"/>
          <w:szCs w:val="24"/>
        </w:rPr>
      </w:pPr>
      <w:sdt>
        <w:sdtPr>
          <w:rPr>
            <w:sz w:val="24"/>
            <w:szCs w:val="24"/>
          </w:rPr>
          <w:id w:val="-155766628"/>
        </w:sdtPr>
        <w:sdtEndPr/>
        <w:sdtContent>
          <w:sdt>
            <w:sdtPr>
              <w:rPr>
                <w:sz w:val="24"/>
                <w:szCs w:val="24"/>
              </w:rPr>
              <w:id w:val="427857712"/>
            </w:sdtPr>
            <w:sdtEndPr/>
            <w:sdtContent>
              <w:r w:rsidR="00BE2768" w:rsidRPr="00CF6E58">
                <w:rPr>
                  <w:b/>
                  <w:bCs/>
                  <w:sz w:val="24"/>
                  <w:szCs w:val="24"/>
                </w:rPr>
                <w:t xml:space="preserve">Jewish settlers choose to segregate by forcibly evicting indigenous Palestinians from </w:t>
              </w:r>
              <w:r w:rsidR="00CF6E58">
                <w:rPr>
                  <w:b/>
                  <w:bCs/>
                  <w:sz w:val="24"/>
                  <w:szCs w:val="24"/>
                </w:rPr>
                <w:t xml:space="preserve">their </w:t>
              </w:r>
              <w:r w:rsidR="00BE2768" w:rsidRPr="00CF6E58">
                <w:rPr>
                  <w:b/>
                  <w:bCs/>
                  <w:sz w:val="24"/>
                  <w:szCs w:val="24"/>
                </w:rPr>
                <w:t xml:space="preserve">lands </w:t>
              </w:r>
              <w:r w:rsidR="00CF6E58">
                <w:rPr>
                  <w:b/>
                  <w:bCs/>
                  <w:sz w:val="24"/>
                  <w:szCs w:val="24"/>
                </w:rPr>
                <w:t xml:space="preserve">and homes that the settlers </w:t>
              </w:r>
              <w:r w:rsidR="00BE2768" w:rsidRPr="00CF6E58">
                <w:rPr>
                  <w:b/>
                  <w:bCs/>
                  <w:sz w:val="24"/>
                  <w:szCs w:val="24"/>
                </w:rPr>
                <w:t xml:space="preserve">want to </w:t>
              </w:r>
              <w:r w:rsidR="00CF6E58">
                <w:rPr>
                  <w:b/>
                  <w:bCs/>
                  <w:sz w:val="24"/>
                  <w:szCs w:val="24"/>
                </w:rPr>
                <w:t>“j</w:t>
              </w:r>
              <w:r w:rsidR="00BE2768" w:rsidRPr="00CF6E58">
                <w:rPr>
                  <w:b/>
                  <w:bCs/>
                  <w:sz w:val="24"/>
                  <w:szCs w:val="24"/>
                </w:rPr>
                <w:t>udaize.</w:t>
              </w:r>
              <w:r w:rsidR="00CF6E58">
                <w:rPr>
                  <w:b/>
                  <w:bCs/>
                  <w:sz w:val="24"/>
                  <w:szCs w:val="24"/>
                </w:rPr>
                <w:t>”</w:t>
              </w:r>
              <w:r w:rsidR="00BE2768">
                <w:rPr>
                  <w:sz w:val="24"/>
                  <w:szCs w:val="24"/>
                </w:rPr>
                <w:t xml:space="preserve"> </w:t>
              </w:r>
            </w:sdtContent>
          </w:sdt>
          <w:r w:rsidR="00226F79" w:rsidRPr="00226F79" w:rsidDel="004541C6">
            <w:rPr>
              <w:sz w:val="24"/>
              <w:szCs w:val="24"/>
            </w:rPr>
            <w:t xml:space="preserve"> </w:t>
          </w:r>
        </w:sdtContent>
      </w:sdt>
    </w:p>
    <w:p w14:paraId="68D913A9" w14:textId="77777777" w:rsidR="00226F79" w:rsidRPr="00226F79" w:rsidRDefault="00226F79" w:rsidP="00226F79">
      <w:pPr>
        <w:jc w:val="both"/>
        <w:rPr>
          <w:sz w:val="24"/>
          <w:szCs w:val="24"/>
        </w:rPr>
      </w:pPr>
    </w:p>
    <w:p w14:paraId="16AF791A" w14:textId="77777777" w:rsidR="00683487" w:rsidRDefault="00226F79" w:rsidP="00226F79">
      <w:pPr>
        <w:jc w:val="both"/>
        <w:rPr>
          <w:sz w:val="24"/>
          <w:szCs w:val="24"/>
        </w:rPr>
      </w:pPr>
      <w:r w:rsidRPr="00226F79">
        <w:rPr>
          <w:sz w:val="24"/>
          <w:szCs w:val="24"/>
        </w:rPr>
        <w:t xml:space="preserve">17. The preservation of cultural identity, the right to self-determination of indigenous peoples and the protection of minority rights are examples of grounds for which groups may choose to live separately. Can you comment on how these forms spatial/territorial separation are evidenced in your country, if these communities they are subject to discrimination and suffer adverse consequences from spatial segregation such as through disparities in access to services, infrastructure, living conditions, etc.? </w:t>
      </w:r>
    </w:p>
    <w:p w14:paraId="6AD438A5" w14:textId="5CCF45A3" w:rsidR="00226F79" w:rsidRPr="00226F79" w:rsidRDefault="00226F79" w:rsidP="00226F79">
      <w:pPr>
        <w:jc w:val="both"/>
        <w:rPr>
          <w:sz w:val="24"/>
          <w:szCs w:val="24"/>
        </w:rPr>
      </w:pPr>
      <w:r w:rsidRPr="00226F79">
        <w:rPr>
          <w:sz w:val="24"/>
          <w:szCs w:val="24"/>
        </w:rPr>
        <w:t xml:space="preserve">  </w:t>
      </w:r>
    </w:p>
    <w:p w14:paraId="6A8E149D" w14:textId="155C4078" w:rsidR="006D0C62" w:rsidRPr="00E00772" w:rsidRDefault="0050116A" w:rsidP="006D0C62">
      <w:pPr>
        <w:jc w:val="both"/>
        <w:rPr>
          <w:b/>
          <w:bCs/>
          <w:color w:val="FF0000"/>
          <w:sz w:val="24"/>
          <w:szCs w:val="24"/>
        </w:rPr>
      </w:pPr>
      <w:sdt>
        <w:sdtPr>
          <w:rPr>
            <w:b/>
            <w:bCs/>
            <w:sz w:val="24"/>
            <w:szCs w:val="24"/>
          </w:rPr>
          <w:id w:val="1909880691"/>
        </w:sdtPr>
        <w:sdtEndPr>
          <w:rPr>
            <w:color w:val="FF0000"/>
          </w:rPr>
        </w:sdtEndPr>
        <w:sdtContent>
          <w:r w:rsidR="00451341" w:rsidRPr="00451341">
            <w:rPr>
              <w:b/>
              <w:bCs/>
              <w:sz w:val="24"/>
              <w:szCs w:val="24"/>
            </w:rPr>
            <w:t>See input to question 13 above.</w:t>
          </w:r>
        </w:sdtContent>
      </w:sdt>
      <w:r w:rsidR="006D0C62" w:rsidRPr="00E00772" w:rsidDel="004541C6">
        <w:rPr>
          <w:b/>
          <w:bCs/>
          <w:color w:val="FF0000"/>
          <w:sz w:val="24"/>
          <w:szCs w:val="24"/>
        </w:rPr>
        <w:t xml:space="preserve"> </w:t>
      </w:r>
    </w:p>
    <w:p w14:paraId="67B9C2D8" w14:textId="77777777" w:rsidR="00226F79" w:rsidRPr="00683487" w:rsidRDefault="00226F79" w:rsidP="00226F79">
      <w:pPr>
        <w:jc w:val="both"/>
        <w:rPr>
          <w:color w:val="FF0000"/>
          <w:sz w:val="24"/>
          <w:szCs w:val="24"/>
        </w:rPr>
      </w:pPr>
    </w:p>
    <w:p w14:paraId="5C74C351" w14:textId="3394FEA5" w:rsidR="00226F79" w:rsidRDefault="003A314E" w:rsidP="00226F79">
      <w:pPr>
        <w:jc w:val="both"/>
        <w:rPr>
          <w:sz w:val="24"/>
          <w:szCs w:val="24"/>
        </w:rPr>
      </w:pPr>
      <w:r>
        <w:rPr>
          <w:sz w:val="24"/>
          <w:szCs w:val="24"/>
        </w:rPr>
        <w:t xml:space="preserve">18. </w:t>
      </w:r>
      <w:r w:rsidR="00226F79" w:rsidRPr="00226F79">
        <w:rPr>
          <w:sz w:val="24"/>
          <w:szCs w:val="24"/>
        </w:rPr>
        <w:t>In your view, are certain forms of observed residential separation/voluntary clustering compatible with human rights law and if so why? (for example</w:t>
      </w:r>
      <w:r w:rsidR="00683487">
        <w:rPr>
          <w:sz w:val="24"/>
          <w:szCs w:val="24"/>
        </w:rPr>
        <w:t>,</w:t>
      </w:r>
      <w:r w:rsidR="00226F79" w:rsidRPr="00226F79">
        <w:rPr>
          <w:sz w:val="24"/>
          <w:szCs w:val="24"/>
        </w:rPr>
        <w:t xml:space="preserve"> to protect rights of minorities or to respect the freedom of choice of individuals to decide with whom to live together). </w:t>
      </w:r>
    </w:p>
    <w:p w14:paraId="307B844F" w14:textId="77777777" w:rsidR="00BB3A82" w:rsidRPr="00226F79" w:rsidRDefault="00BB3A82" w:rsidP="00226F79">
      <w:pPr>
        <w:jc w:val="both"/>
        <w:rPr>
          <w:sz w:val="24"/>
          <w:szCs w:val="24"/>
        </w:rPr>
      </w:pPr>
    </w:p>
    <w:p w14:paraId="0675D505" w14:textId="0BD57532" w:rsidR="00226F79" w:rsidRPr="00226F79" w:rsidRDefault="0050116A" w:rsidP="00226F79">
      <w:pPr>
        <w:jc w:val="both"/>
        <w:rPr>
          <w:sz w:val="24"/>
          <w:szCs w:val="24"/>
        </w:rPr>
      </w:pPr>
      <w:sdt>
        <w:sdtPr>
          <w:rPr>
            <w:sz w:val="24"/>
            <w:szCs w:val="24"/>
          </w:rPr>
          <w:id w:val="-1361113105"/>
        </w:sdtPr>
        <w:sdtEndPr/>
        <w:sdtContent>
          <w:sdt>
            <w:sdtPr>
              <w:rPr>
                <w:sz w:val="24"/>
                <w:szCs w:val="24"/>
              </w:rPr>
              <w:id w:val="-1861265766"/>
            </w:sdtPr>
            <w:sdtEndPr/>
            <w:sdtContent>
              <w:r w:rsidR="00BE2768" w:rsidRPr="00BB3A82">
                <w:rPr>
                  <w:b/>
                  <w:bCs/>
                  <w:sz w:val="24"/>
                  <w:szCs w:val="24"/>
                </w:rPr>
                <w:t>No</w:t>
              </w:r>
            </w:sdtContent>
          </w:sdt>
          <w:r w:rsidR="00226F79" w:rsidRPr="00226F79" w:rsidDel="004541C6">
            <w:rPr>
              <w:sz w:val="24"/>
              <w:szCs w:val="24"/>
            </w:rPr>
            <w:t xml:space="preserve"> </w:t>
          </w:r>
        </w:sdtContent>
      </w:sdt>
    </w:p>
    <w:p w14:paraId="7179C514" w14:textId="77777777" w:rsidR="00226F79" w:rsidRPr="00226F79" w:rsidRDefault="00226F79" w:rsidP="00226F79">
      <w:pPr>
        <w:jc w:val="both"/>
        <w:rPr>
          <w:sz w:val="24"/>
          <w:szCs w:val="24"/>
        </w:rPr>
      </w:pPr>
    </w:p>
    <w:p w14:paraId="678A8D2B" w14:textId="340E25C1" w:rsidR="00226F79" w:rsidRDefault="00226F79" w:rsidP="00226F79">
      <w:pPr>
        <w:jc w:val="both"/>
        <w:rPr>
          <w:sz w:val="24"/>
          <w:szCs w:val="24"/>
        </w:rPr>
      </w:pPr>
      <w:r w:rsidRPr="00226F79">
        <w:rPr>
          <w:sz w:val="24"/>
          <w:szCs w:val="24"/>
        </w:rPr>
        <w:lastRenderedPageBreak/>
        <w:t>1</w:t>
      </w:r>
      <w:r w:rsidR="003A314E">
        <w:rPr>
          <w:sz w:val="24"/>
          <w:szCs w:val="24"/>
        </w:rPr>
        <w:t>9</w:t>
      </w:r>
      <w:r w:rsidRPr="00226F79">
        <w:rPr>
          <w:sz w:val="24"/>
          <w:szCs w:val="24"/>
        </w:rPr>
        <w:t>. Are there any laws or policies requiring certain individuals (and their families) to live in particular housing provided to them or in a particular geographical area (e.g.</w:t>
      </w:r>
      <w:r w:rsidR="00816411">
        <w:rPr>
          <w:sz w:val="24"/>
          <w:szCs w:val="24"/>
        </w:rPr>
        <w:t>,</w:t>
      </w:r>
      <w:r w:rsidRPr="00226F79">
        <w:rPr>
          <w:sz w:val="24"/>
          <w:szCs w:val="24"/>
        </w:rPr>
        <w:t xml:space="preserve"> asylum seekers, migrants, IDPs, refugees, ethnic, religious, linguistic or other minorities, indigenous peoples, persons with disabilities, public service and military personnel)?</w:t>
      </w:r>
    </w:p>
    <w:p w14:paraId="7409C525" w14:textId="77777777" w:rsidR="00BB3A82" w:rsidRPr="00226F79" w:rsidRDefault="00BB3A82" w:rsidP="00226F79">
      <w:pPr>
        <w:jc w:val="both"/>
        <w:rPr>
          <w:sz w:val="24"/>
          <w:szCs w:val="24"/>
        </w:rPr>
      </w:pPr>
    </w:p>
    <w:p w14:paraId="4956A308" w14:textId="547F9F99" w:rsidR="00226F79" w:rsidRPr="00226F79" w:rsidRDefault="0050116A" w:rsidP="00226F79">
      <w:pPr>
        <w:jc w:val="both"/>
        <w:rPr>
          <w:sz w:val="24"/>
          <w:szCs w:val="24"/>
        </w:rPr>
      </w:pPr>
      <w:sdt>
        <w:sdtPr>
          <w:rPr>
            <w:sz w:val="24"/>
            <w:szCs w:val="24"/>
          </w:rPr>
          <w:id w:val="-1059548944"/>
        </w:sdtPr>
        <w:sdtEndPr/>
        <w:sdtContent>
          <w:sdt>
            <w:sdtPr>
              <w:rPr>
                <w:b/>
                <w:bCs/>
                <w:color w:val="FF0000"/>
                <w:sz w:val="24"/>
                <w:szCs w:val="24"/>
              </w:rPr>
              <w:id w:val="-1398123362"/>
            </w:sdtPr>
            <w:sdtEndPr/>
            <w:sdtContent>
              <w:r w:rsidR="00C262E6" w:rsidRPr="00967850">
                <w:rPr>
                  <w:b/>
                  <w:bCs/>
                  <w:sz w:val="24"/>
                  <w:szCs w:val="24"/>
                </w:rPr>
                <w:t xml:space="preserve">As a result of Israel’s serial ethnic cleansing and population transfer operations of 1947–48 (from inside the Green Line), 1967 (from oPt) and Naqab (1951–53), the depopulation of villages and towns have led to fragmentation, segregation and concentration of Palestinian refugees and displaced persons in refugee camps in four states and elsewhere, as well as the </w:t>
              </w:r>
              <w:r w:rsidR="00C262E6" w:rsidRPr="00967850">
                <w:rPr>
                  <w:b/>
                  <w:bCs/>
                  <w:i/>
                  <w:iCs/>
                  <w:sz w:val="24"/>
                  <w:szCs w:val="24"/>
                </w:rPr>
                <w:t xml:space="preserve">siyaj </w:t>
              </w:r>
              <w:r w:rsidR="00C262E6" w:rsidRPr="00967850">
                <w:rPr>
                  <w:b/>
                  <w:bCs/>
                  <w:sz w:val="24"/>
                  <w:szCs w:val="24"/>
                </w:rPr>
                <w:t xml:space="preserve">inside Naqab. See Annexes 3 and 4. </w:t>
              </w:r>
              <w:r w:rsidR="00F2419A" w:rsidRPr="00967850">
                <w:rPr>
                  <w:b/>
                  <w:bCs/>
                  <w:sz w:val="24"/>
                  <w:szCs w:val="24"/>
                </w:rPr>
                <w:t xml:space="preserve"> </w:t>
              </w:r>
            </w:sdtContent>
          </w:sdt>
          <w:r w:rsidR="00226F79" w:rsidRPr="000675AF" w:rsidDel="004541C6">
            <w:rPr>
              <w:color w:val="FF0000"/>
              <w:sz w:val="24"/>
              <w:szCs w:val="24"/>
            </w:rPr>
            <w:t xml:space="preserve"> </w:t>
          </w:r>
        </w:sdtContent>
      </w:sdt>
    </w:p>
    <w:p w14:paraId="1BB93FC7" w14:textId="77777777" w:rsidR="00226F79" w:rsidRPr="00226F79" w:rsidRDefault="00226F79" w:rsidP="00226F79">
      <w:pPr>
        <w:jc w:val="both"/>
        <w:rPr>
          <w:sz w:val="24"/>
          <w:szCs w:val="24"/>
        </w:rPr>
      </w:pPr>
    </w:p>
    <w:p w14:paraId="2CD06EEA" w14:textId="392DC708" w:rsidR="00226F79" w:rsidRDefault="003A314E" w:rsidP="00226F79">
      <w:pPr>
        <w:jc w:val="both"/>
        <w:rPr>
          <w:sz w:val="24"/>
          <w:szCs w:val="24"/>
        </w:rPr>
      </w:pPr>
      <w:r>
        <w:rPr>
          <w:sz w:val="24"/>
          <w:szCs w:val="24"/>
        </w:rPr>
        <w:t>20</w:t>
      </w:r>
      <w:r w:rsidR="00226F79" w:rsidRPr="00226F79">
        <w:rPr>
          <w:sz w:val="24"/>
          <w:szCs w:val="24"/>
        </w:rPr>
        <w:t xml:space="preserve">. In your view, what are the principal </w:t>
      </w:r>
      <w:r w:rsidR="00226F79" w:rsidRPr="00226F79">
        <w:rPr>
          <w:i/>
          <w:sz w:val="24"/>
          <w:szCs w:val="24"/>
        </w:rPr>
        <w:t>barriers</w:t>
      </w:r>
      <w:r w:rsidR="00226F79" w:rsidRPr="00226F79">
        <w:rPr>
          <w:sz w:val="24"/>
          <w:szCs w:val="24"/>
        </w:rPr>
        <w:t xml:space="preserve"> to diminishing spatial, including residential segregation?  </w:t>
      </w:r>
    </w:p>
    <w:p w14:paraId="2C393F05" w14:textId="77777777" w:rsidR="001E4780" w:rsidRPr="00226F79" w:rsidRDefault="001E4780" w:rsidP="00226F79">
      <w:pPr>
        <w:jc w:val="both"/>
        <w:rPr>
          <w:sz w:val="24"/>
          <w:szCs w:val="24"/>
        </w:rPr>
      </w:pPr>
    </w:p>
    <w:sdt>
      <w:sdtPr>
        <w:rPr>
          <w:b/>
          <w:bCs/>
          <w:sz w:val="24"/>
          <w:szCs w:val="24"/>
        </w:rPr>
        <w:id w:val="-1084141250"/>
      </w:sdtPr>
      <w:sdtEndPr>
        <w:rPr>
          <w:b w:val="0"/>
          <w:bCs w:val="0"/>
          <w:color w:val="FF0000"/>
        </w:rPr>
      </w:sdtEndPr>
      <w:sdtContent>
        <w:p w14:paraId="06C1234E" w14:textId="77777777" w:rsidR="00912E68" w:rsidRDefault="0050116A" w:rsidP="00912E68">
          <w:pPr>
            <w:spacing w:after="120"/>
            <w:rPr>
              <w:b/>
              <w:bCs/>
              <w:sz w:val="24"/>
              <w:szCs w:val="24"/>
            </w:rPr>
          </w:pPr>
          <w:sdt>
            <w:sdtPr>
              <w:rPr>
                <w:b/>
                <w:bCs/>
                <w:sz w:val="24"/>
                <w:szCs w:val="24"/>
              </w:rPr>
              <w:id w:val="148176631"/>
            </w:sdtPr>
            <w:sdtEndPr/>
            <w:sdtContent>
              <w:r w:rsidR="002736B6" w:rsidRPr="00912E68">
                <w:rPr>
                  <w:b/>
                  <w:bCs/>
                  <w:sz w:val="24"/>
                  <w:szCs w:val="24"/>
                </w:rPr>
                <w:t xml:space="preserve">The state ideology of </w:t>
              </w:r>
              <w:r w:rsidR="001E4780" w:rsidRPr="00912E68">
                <w:rPr>
                  <w:b/>
                  <w:bCs/>
                  <w:sz w:val="24"/>
                  <w:szCs w:val="24"/>
                </w:rPr>
                <w:t>Zionism.</w:t>
              </w:r>
            </w:sdtContent>
          </w:sdt>
          <w:r w:rsidR="00226F79" w:rsidRPr="00912E68" w:rsidDel="004541C6">
            <w:rPr>
              <w:b/>
              <w:bCs/>
              <w:sz w:val="24"/>
              <w:szCs w:val="24"/>
            </w:rPr>
            <w:t xml:space="preserve"> </w:t>
          </w:r>
          <w:r w:rsidR="002736B6" w:rsidRPr="00912E68">
            <w:rPr>
              <w:b/>
              <w:bCs/>
              <w:sz w:val="24"/>
              <w:szCs w:val="24"/>
            </w:rPr>
            <w:t>This case invokes the Vancouver Action Plan of the First UN Conference on Housing and Human Settlements, which enjoined:</w:t>
          </w:r>
        </w:p>
        <w:p w14:paraId="4F498BD8" w14:textId="3A741D0F" w:rsidR="002736B6" w:rsidRPr="002736B6" w:rsidRDefault="002736B6" w:rsidP="00912E68">
          <w:pPr>
            <w:jc w:val="both"/>
            <w:rPr>
              <w:color w:val="FF0000"/>
              <w:sz w:val="22"/>
              <w:szCs w:val="22"/>
            </w:rPr>
          </w:pPr>
          <w:r w:rsidRPr="00912E68">
            <w:rPr>
              <w:b/>
              <w:bCs/>
              <w:sz w:val="22"/>
              <w:szCs w:val="22"/>
            </w:rPr>
            <w:t>“The ideologies of States are reflected in their human settlement policies. These being powerful instruments for change, they must not be used to dispossess people from their land or entrench privilege and exploitation.”</w:t>
          </w:r>
          <w:r w:rsidRPr="002736B6">
            <w:rPr>
              <w:sz w:val="22"/>
              <w:szCs w:val="22"/>
              <w:vertAlign w:val="superscript"/>
            </w:rPr>
            <w:endnoteReference w:id="84"/>
          </w:r>
        </w:p>
        <w:p w14:paraId="285D277D" w14:textId="5386C1F2" w:rsidR="002736B6" w:rsidRDefault="002736B6" w:rsidP="00226F79">
          <w:pPr>
            <w:jc w:val="both"/>
            <w:rPr>
              <w:color w:val="FF0000"/>
              <w:sz w:val="24"/>
              <w:szCs w:val="24"/>
            </w:rPr>
          </w:pPr>
        </w:p>
        <w:p w14:paraId="533BD4A2" w14:textId="128235F8" w:rsidR="00226F79" w:rsidRPr="00BE2768" w:rsidRDefault="0050116A" w:rsidP="00226F79">
          <w:pPr>
            <w:jc w:val="both"/>
            <w:rPr>
              <w:color w:val="FF0000"/>
              <w:sz w:val="24"/>
              <w:szCs w:val="24"/>
            </w:rPr>
          </w:pPr>
        </w:p>
      </w:sdtContent>
    </w:sdt>
    <w:p w14:paraId="39592B96" w14:textId="77777777" w:rsidR="00226F79" w:rsidRPr="00226F79" w:rsidRDefault="00226F79" w:rsidP="00226F79">
      <w:pPr>
        <w:jc w:val="both"/>
        <w:rPr>
          <w:sz w:val="24"/>
          <w:szCs w:val="24"/>
        </w:rPr>
      </w:pPr>
    </w:p>
    <w:p w14:paraId="2CE9E013" w14:textId="77777777" w:rsidR="00226F79" w:rsidRPr="00226F79" w:rsidRDefault="00226F79" w:rsidP="00226F79">
      <w:pPr>
        <w:jc w:val="both"/>
        <w:rPr>
          <w:sz w:val="24"/>
          <w:szCs w:val="24"/>
        </w:rPr>
      </w:pPr>
    </w:p>
    <w:p w14:paraId="234616CA" w14:textId="7FEB5225" w:rsidR="00226F79" w:rsidRPr="00226F79" w:rsidRDefault="000675AF" w:rsidP="00C1310B">
      <w:pPr>
        <w:spacing w:after="120"/>
        <w:rPr>
          <w:b/>
          <w:sz w:val="24"/>
          <w:szCs w:val="24"/>
          <w:u w:val="single"/>
        </w:rPr>
      </w:pPr>
      <w:r w:rsidRPr="00226F79">
        <w:rPr>
          <w:b/>
          <w:sz w:val="24"/>
          <w:szCs w:val="24"/>
          <w:u w:val="single"/>
        </w:rPr>
        <w:t xml:space="preserve">Measures </w:t>
      </w:r>
      <w:r>
        <w:rPr>
          <w:b/>
          <w:sz w:val="24"/>
          <w:szCs w:val="24"/>
          <w:u w:val="single"/>
        </w:rPr>
        <w:t>a</w:t>
      </w:r>
      <w:r w:rsidRPr="00226F79">
        <w:rPr>
          <w:b/>
          <w:sz w:val="24"/>
          <w:szCs w:val="24"/>
          <w:u w:val="single"/>
        </w:rPr>
        <w:t xml:space="preserve">nd Good Practices </w:t>
      </w:r>
      <w:r>
        <w:rPr>
          <w:b/>
          <w:sz w:val="24"/>
          <w:szCs w:val="24"/>
          <w:u w:val="single"/>
        </w:rPr>
        <w:t>t</w:t>
      </w:r>
      <w:r w:rsidRPr="00226F79">
        <w:rPr>
          <w:b/>
          <w:sz w:val="24"/>
          <w:szCs w:val="24"/>
          <w:u w:val="single"/>
        </w:rPr>
        <w:t xml:space="preserve">o Curb Discrimination </w:t>
      </w:r>
      <w:r>
        <w:rPr>
          <w:b/>
          <w:sz w:val="24"/>
          <w:szCs w:val="24"/>
          <w:u w:val="single"/>
        </w:rPr>
        <w:t>a</w:t>
      </w:r>
      <w:r w:rsidRPr="00226F79">
        <w:rPr>
          <w:b/>
          <w:sz w:val="24"/>
          <w:szCs w:val="24"/>
          <w:u w:val="single"/>
        </w:rPr>
        <w:t>nd Reduce Segregation</w:t>
      </w:r>
    </w:p>
    <w:p w14:paraId="384BE026" w14:textId="66C84922" w:rsidR="00226F79" w:rsidRDefault="00226F79" w:rsidP="00226F79">
      <w:pPr>
        <w:jc w:val="both"/>
        <w:rPr>
          <w:sz w:val="24"/>
          <w:szCs w:val="24"/>
        </w:rPr>
      </w:pPr>
      <w:r w:rsidRPr="00226F79">
        <w:rPr>
          <w:sz w:val="24"/>
          <w:szCs w:val="24"/>
        </w:rPr>
        <w:t>2</w:t>
      </w:r>
      <w:r w:rsidR="003A314E">
        <w:rPr>
          <w:sz w:val="24"/>
          <w:szCs w:val="24"/>
        </w:rPr>
        <w:t>1</w:t>
      </w:r>
      <w:r w:rsidRPr="00226F79">
        <w:rPr>
          <w:sz w:val="24"/>
          <w:szCs w:val="24"/>
        </w:rPr>
        <w:t xml:space="preserve">. What laws, policies or measures exist at national or local level to prevent or prohibit discrimination in relation to the right to adequate housing? </w:t>
      </w:r>
    </w:p>
    <w:p w14:paraId="2CAA7D09" w14:textId="77777777" w:rsidR="001E4780" w:rsidRDefault="001E4780" w:rsidP="00226F79">
      <w:pPr>
        <w:jc w:val="both"/>
        <w:rPr>
          <w:sz w:val="24"/>
          <w:szCs w:val="24"/>
        </w:rPr>
      </w:pPr>
    </w:p>
    <w:p w14:paraId="51E2F442" w14:textId="39E6E190" w:rsidR="00226F79" w:rsidRDefault="0050116A" w:rsidP="002E35A9">
      <w:pPr>
        <w:jc w:val="both"/>
        <w:rPr>
          <w:sz w:val="24"/>
          <w:szCs w:val="24"/>
        </w:rPr>
      </w:pPr>
      <w:sdt>
        <w:sdtPr>
          <w:rPr>
            <w:b/>
            <w:bCs/>
            <w:sz w:val="24"/>
            <w:szCs w:val="24"/>
          </w:rPr>
          <w:id w:val="1273279467"/>
        </w:sdtPr>
        <w:sdtEndPr>
          <w:rPr>
            <w:b w:val="0"/>
            <w:bCs w:val="0"/>
          </w:rPr>
        </w:sdtEndPr>
        <w:sdtContent>
          <w:r w:rsidR="001E4780" w:rsidRPr="00BB3A82">
            <w:rPr>
              <w:b/>
              <w:bCs/>
              <w:sz w:val="24"/>
              <w:szCs w:val="24"/>
            </w:rPr>
            <w:t xml:space="preserve">The underlying ideology of </w:t>
          </w:r>
          <w:r w:rsidR="0036028C">
            <w:rPr>
              <w:b/>
              <w:bCs/>
              <w:sz w:val="24"/>
              <w:szCs w:val="24"/>
            </w:rPr>
            <w:t>SoI</w:t>
          </w:r>
          <w:r w:rsidR="001E4780" w:rsidRPr="00BB3A82">
            <w:rPr>
              <w:b/>
              <w:bCs/>
              <w:sz w:val="24"/>
              <w:szCs w:val="24"/>
            </w:rPr>
            <w:t xml:space="preserve">, Zionism, ensures that the Jewish population takes precedence </w:t>
          </w:r>
          <w:r w:rsidR="0036028C" w:rsidRPr="00BB3A82">
            <w:rPr>
              <w:b/>
              <w:bCs/>
              <w:sz w:val="24"/>
              <w:szCs w:val="24"/>
            </w:rPr>
            <w:t xml:space="preserve">in relation to housing </w:t>
          </w:r>
          <w:r w:rsidR="001E4780" w:rsidRPr="00BB3A82">
            <w:rPr>
              <w:b/>
              <w:bCs/>
              <w:sz w:val="24"/>
              <w:szCs w:val="24"/>
            </w:rPr>
            <w:t xml:space="preserve">over the </w:t>
          </w:r>
          <w:r w:rsidR="002E35A9">
            <w:rPr>
              <w:b/>
              <w:bCs/>
              <w:sz w:val="24"/>
              <w:szCs w:val="24"/>
            </w:rPr>
            <w:t xml:space="preserve">indigenous </w:t>
          </w:r>
          <w:r w:rsidR="001E4780" w:rsidRPr="00BB3A82">
            <w:rPr>
              <w:b/>
              <w:bCs/>
              <w:sz w:val="24"/>
              <w:szCs w:val="24"/>
            </w:rPr>
            <w:t>Palestinian</w:t>
          </w:r>
          <w:r w:rsidR="002E35A9">
            <w:rPr>
              <w:b/>
              <w:bCs/>
              <w:sz w:val="24"/>
              <w:szCs w:val="24"/>
            </w:rPr>
            <w:t>s as individual</w:t>
          </w:r>
          <w:r w:rsidR="0036028C">
            <w:rPr>
              <w:b/>
              <w:bCs/>
              <w:sz w:val="24"/>
              <w:szCs w:val="24"/>
            </w:rPr>
            <w:t>ly</w:t>
          </w:r>
          <w:r w:rsidR="002E35A9">
            <w:rPr>
              <w:b/>
              <w:bCs/>
              <w:sz w:val="24"/>
              <w:szCs w:val="24"/>
            </w:rPr>
            <w:t>, collective</w:t>
          </w:r>
          <w:r w:rsidR="0036028C">
            <w:rPr>
              <w:b/>
              <w:bCs/>
              <w:sz w:val="24"/>
              <w:szCs w:val="24"/>
            </w:rPr>
            <w:t>ly</w:t>
          </w:r>
          <w:r w:rsidR="002E35A9">
            <w:rPr>
              <w:b/>
              <w:bCs/>
              <w:sz w:val="24"/>
              <w:szCs w:val="24"/>
            </w:rPr>
            <w:t>, or as a whole people</w:t>
          </w:r>
          <w:r w:rsidR="001E4780" w:rsidRPr="00BB3A82">
            <w:rPr>
              <w:b/>
              <w:bCs/>
              <w:sz w:val="24"/>
              <w:szCs w:val="24"/>
            </w:rPr>
            <w:t xml:space="preserve">, particularly in certain locations that the state wishes </w:t>
          </w:r>
          <w:r w:rsidR="0036028C">
            <w:rPr>
              <w:b/>
              <w:bCs/>
              <w:sz w:val="24"/>
              <w:szCs w:val="24"/>
            </w:rPr>
            <w:lastRenderedPageBreak/>
            <w:t xml:space="preserve">incrementally </w:t>
          </w:r>
          <w:r w:rsidR="001E4780" w:rsidRPr="00BB3A82">
            <w:rPr>
              <w:b/>
              <w:bCs/>
              <w:sz w:val="24"/>
              <w:szCs w:val="24"/>
            </w:rPr>
            <w:t xml:space="preserve">to Judaize. Laws, policies and measures, including the policies and actions of parastatal institutions, </w:t>
          </w:r>
          <w:r w:rsidR="002E35A9">
            <w:rPr>
              <w:b/>
              <w:bCs/>
              <w:sz w:val="24"/>
              <w:szCs w:val="24"/>
            </w:rPr>
            <w:t xml:space="preserve">are chartered or formulated to </w:t>
          </w:r>
          <w:r w:rsidR="001E4780" w:rsidRPr="00BB3A82">
            <w:rPr>
              <w:b/>
              <w:bCs/>
              <w:sz w:val="24"/>
              <w:szCs w:val="24"/>
            </w:rPr>
            <w:t>adhere to this underlying ideology</w:t>
          </w:r>
          <w:r w:rsidR="002E35A9">
            <w:rPr>
              <w:b/>
              <w:bCs/>
              <w:sz w:val="24"/>
              <w:szCs w:val="24"/>
            </w:rPr>
            <w:t xml:space="preserve"> as a statutory requirement</w:t>
          </w:r>
          <w:r w:rsidR="001E4780" w:rsidRPr="00BB3A82">
            <w:rPr>
              <w:b/>
              <w:bCs/>
              <w:sz w:val="24"/>
              <w:szCs w:val="24"/>
            </w:rPr>
            <w:t xml:space="preserve">. None prevent or prohibit </w:t>
          </w:r>
          <w:r w:rsidR="00BB3A82">
            <w:rPr>
              <w:b/>
              <w:bCs/>
              <w:sz w:val="24"/>
              <w:szCs w:val="24"/>
            </w:rPr>
            <w:t xml:space="preserve">material or procedural </w:t>
          </w:r>
          <w:r w:rsidR="001E4780" w:rsidRPr="00BB3A82">
            <w:rPr>
              <w:b/>
              <w:bCs/>
              <w:sz w:val="24"/>
              <w:szCs w:val="24"/>
            </w:rPr>
            <w:t xml:space="preserve">discrimination in </w:t>
          </w:r>
          <w:r w:rsidR="0036028C">
            <w:rPr>
              <w:b/>
              <w:bCs/>
              <w:sz w:val="24"/>
              <w:szCs w:val="24"/>
            </w:rPr>
            <w:t>the respect, protection or fulfilment of</w:t>
          </w:r>
          <w:r w:rsidR="001E4780" w:rsidRPr="00BB3A82">
            <w:rPr>
              <w:b/>
              <w:bCs/>
              <w:sz w:val="24"/>
              <w:szCs w:val="24"/>
            </w:rPr>
            <w:t xml:space="preserve"> the </w:t>
          </w:r>
          <w:r w:rsidR="0036028C">
            <w:rPr>
              <w:b/>
              <w:bCs/>
              <w:sz w:val="24"/>
              <w:szCs w:val="24"/>
            </w:rPr>
            <w:t xml:space="preserve">human </w:t>
          </w:r>
          <w:r w:rsidR="001E4780" w:rsidRPr="00BB3A82">
            <w:rPr>
              <w:b/>
              <w:bCs/>
              <w:sz w:val="24"/>
              <w:szCs w:val="24"/>
            </w:rPr>
            <w:t>right to adequate housing</w:t>
          </w:r>
          <w:r w:rsidR="00BB3A82">
            <w:rPr>
              <w:b/>
              <w:bCs/>
              <w:sz w:val="24"/>
              <w:szCs w:val="24"/>
            </w:rPr>
            <w:t xml:space="preserve">, but render discrimination </w:t>
          </w:r>
          <w:r w:rsidR="0036028C">
            <w:rPr>
              <w:b/>
              <w:bCs/>
              <w:sz w:val="24"/>
              <w:szCs w:val="24"/>
            </w:rPr>
            <w:t xml:space="preserve">against Palestinians </w:t>
          </w:r>
          <w:r w:rsidR="00BB3A82">
            <w:rPr>
              <w:b/>
              <w:bCs/>
              <w:sz w:val="24"/>
              <w:szCs w:val="24"/>
            </w:rPr>
            <w:t>mandatory</w:t>
          </w:r>
          <w:r w:rsidR="001E4780" w:rsidRPr="00BB3A82">
            <w:rPr>
              <w:b/>
              <w:bCs/>
              <w:sz w:val="24"/>
              <w:szCs w:val="24"/>
            </w:rPr>
            <w:t xml:space="preserve">. </w:t>
          </w:r>
          <w:r w:rsidR="001E4780">
            <w:rPr>
              <w:sz w:val="24"/>
              <w:szCs w:val="24"/>
            </w:rPr>
            <w:t xml:space="preserve"> </w:t>
          </w:r>
        </w:sdtContent>
      </w:sdt>
    </w:p>
    <w:p w14:paraId="0AC17BBF" w14:textId="77777777" w:rsidR="00226F79" w:rsidRPr="00226F79" w:rsidRDefault="00226F79" w:rsidP="00226F79">
      <w:pPr>
        <w:jc w:val="both"/>
        <w:rPr>
          <w:sz w:val="24"/>
          <w:szCs w:val="24"/>
        </w:rPr>
      </w:pPr>
    </w:p>
    <w:p w14:paraId="3BB4F3DA" w14:textId="005FBD1A" w:rsidR="00226F79" w:rsidRDefault="003A314E" w:rsidP="00226F79">
      <w:pPr>
        <w:jc w:val="both"/>
        <w:rPr>
          <w:sz w:val="24"/>
          <w:szCs w:val="24"/>
        </w:rPr>
      </w:pPr>
      <w:r>
        <w:rPr>
          <w:sz w:val="24"/>
          <w:szCs w:val="24"/>
        </w:rPr>
        <w:t>22</w:t>
      </w:r>
      <w:r w:rsidR="006D0C62">
        <w:rPr>
          <w:sz w:val="24"/>
          <w:szCs w:val="24"/>
        </w:rPr>
        <w:t>. Have</w:t>
      </w:r>
      <w:r w:rsidR="00226F79" w:rsidRPr="00226F79">
        <w:rPr>
          <w:sz w:val="24"/>
          <w:szCs w:val="24"/>
        </w:rPr>
        <w:t xml:space="preserve"> your State, regional or local Government adopted any positive measures, such as measures of affirmative action, to reduce discrimination, segregation or structural inequality in relation to housing?  To what extent have such initiatives been successful to address housing discrimination and segregation? </w:t>
      </w:r>
    </w:p>
    <w:p w14:paraId="73E64F8E" w14:textId="77777777" w:rsidR="001E4780" w:rsidRPr="00226F79" w:rsidRDefault="001E4780" w:rsidP="00226F79">
      <w:pPr>
        <w:jc w:val="both"/>
        <w:rPr>
          <w:sz w:val="24"/>
          <w:szCs w:val="24"/>
        </w:rPr>
      </w:pPr>
    </w:p>
    <w:p w14:paraId="27FBC525" w14:textId="2FF7ED9D" w:rsidR="00226F79" w:rsidRPr="00BB3A82" w:rsidRDefault="0050116A" w:rsidP="00226F79">
      <w:pPr>
        <w:jc w:val="both"/>
        <w:rPr>
          <w:b/>
          <w:bCs/>
          <w:sz w:val="24"/>
          <w:szCs w:val="24"/>
        </w:rPr>
      </w:pPr>
      <w:sdt>
        <w:sdtPr>
          <w:rPr>
            <w:sz w:val="24"/>
            <w:szCs w:val="24"/>
          </w:rPr>
          <w:id w:val="1503775671"/>
        </w:sdtPr>
        <w:sdtEndPr>
          <w:rPr>
            <w:b/>
            <w:bCs/>
          </w:rPr>
        </w:sdtEndPr>
        <w:sdtContent>
          <w:r w:rsidR="001E4780" w:rsidRPr="00BB3A82">
            <w:rPr>
              <w:b/>
              <w:bCs/>
              <w:sz w:val="24"/>
              <w:szCs w:val="24"/>
            </w:rPr>
            <w:t xml:space="preserve">No sphere of Israeli government </w:t>
          </w:r>
          <w:r w:rsidR="006D16EE">
            <w:rPr>
              <w:b/>
              <w:bCs/>
              <w:sz w:val="24"/>
              <w:szCs w:val="24"/>
            </w:rPr>
            <w:t xml:space="preserve">nor, more importantly, any parastatal institution </w:t>
          </w:r>
          <w:r w:rsidR="001E4780" w:rsidRPr="00BB3A82">
            <w:rPr>
              <w:b/>
              <w:bCs/>
              <w:sz w:val="24"/>
              <w:szCs w:val="24"/>
            </w:rPr>
            <w:t xml:space="preserve">has adopted positive measures to reduce discrimination against Palestinians in relation to housing. </w:t>
          </w:r>
        </w:sdtContent>
      </w:sdt>
    </w:p>
    <w:p w14:paraId="00C6D2D8" w14:textId="77777777" w:rsidR="00226F79" w:rsidRPr="00226F79" w:rsidRDefault="00226F79" w:rsidP="00226F79">
      <w:pPr>
        <w:jc w:val="both"/>
        <w:rPr>
          <w:sz w:val="24"/>
          <w:szCs w:val="24"/>
        </w:rPr>
      </w:pPr>
    </w:p>
    <w:p w14:paraId="669356FF" w14:textId="427B5E2C" w:rsidR="00226F79" w:rsidRDefault="00226F79" w:rsidP="00226F79">
      <w:pPr>
        <w:jc w:val="both"/>
        <w:rPr>
          <w:sz w:val="24"/>
          <w:szCs w:val="24"/>
        </w:rPr>
      </w:pPr>
      <w:r w:rsidRPr="00226F79">
        <w:rPr>
          <w:sz w:val="24"/>
          <w:szCs w:val="24"/>
        </w:rPr>
        <w:t>2</w:t>
      </w:r>
      <w:r w:rsidR="003A314E">
        <w:rPr>
          <w:sz w:val="24"/>
          <w:szCs w:val="24"/>
        </w:rPr>
        <w:t>3</w:t>
      </w:r>
      <w:r w:rsidRPr="00226F79">
        <w:rPr>
          <w:sz w:val="24"/>
          <w:szCs w:val="24"/>
        </w:rPr>
        <w:t xml:space="preserve">. Have any particular </w:t>
      </w:r>
      <w:bookmarkStart w:id="2" w:name="_Hlk71839444"/>
      <w:r w:rsidRPr="00226F79">
        <w:rPr>
          <w:sz w:val="24"/>
          <w:szCs w:val="24"/>
        </w:rPr>
        <w:t>laws, policies or measures been implemented to limit or reduce residential segregation</w:t>
      </w:r>
      <w:bookmarkEnd w:id="2"/>
      <w:r w:rsidRPr="00226F79">
        <w:rPr>
          <w:sz w:val="24"/>
          <w:szCs w:val="24"/>
        </w:rPr>
        <w:t>?  To what extent have such policies raised human rights concerns?</w:t>
      </w:r>
    </w:p>
    <w:p w14:paraId="11D899A0" w14:textId="77777777" w:rsidR="001E4780" w:rsidRPr="00226F79" w:rsidRDefault="001E4780" w:rsidP="00226F79">
      <w:pPr>
        <w:jc w:val="both"/>
        <w:rPr>
          <w:sz w:val="24"/>
          <w:szCs w:val="24"/>
        </w:rPr>
      </w:pPr>
    </w:p>
    <w:p w14:paraId="3D7D6D20" w14:textId="29100C72" w:rsidR="00226F79" w:rsidRPr="00226F79" w:rsidRDefault="0050116A" w:rsidP="00226F79">
      <w:pPr>
        <w:jc w:val="both"/>
        <w:rPr>
          <w:sz w:val="24"/>
          <w:szCs w:val="24"/>
        </w:rPr>
      </w:pPr>
      <w:sdt>
        <w:sdtPr>
          <w:rPr>
            <w:sz w:val="24"/>
            <w:szCs w:val="24"/>
          </w:rPr>
          <w:id w:val="-1718507619"/>
        </w:sdtPr>
        <w:sdtEndPr/>
        <w:sdtContent>
          <w:sdt>
            <w:sdtPr>
              <w:rPr>
                <w:b/>
                <w:bCs/>
                <w:sz w:val="24"/>
                <w:szCs w:val="24"/>
              </w:rPr>
              <w:id w:val="-2110036250"/>
            </w:sdtPr>
            <w:sdtEndPr>
              <w:rPr>
                <w:b w:val="0"/>
                <w:bCs w:val="0"/>
              </w:rPr>
            </w:sdtEndPr>
            <w:sdtContent>
              <w:r w:rsidR="00315F25" w:rsidRPr="006D16EE">
                <w:rPr>
                  <w:b/>
                  <w:bCs/>
                  <w:sz w:val="24"/>
                  <w:szCs w:val="24"/>
                </w:rPr>
                <w:t>No</w:t>
              </w:r>
              <w:r w:rsidR="002E35A9" w:rsidRPr="006D16EE">
                <w:rPr>
                  <w:b/>
                  <w:bCs/>
                </w:rPr>
                <w:t xml:space="preserve"> </w:t>
              </w:r>
              <w:r w:rsidR="002E35A9" w:rsidRPr="006D16EE">
                <w:rPr>
                  <w:b/>
                  <w:bCs/>
                  <w:sz w:val="24"/>
                  <w:szCs w:val="24"/>
                </w:rPr>
                <w:t>laws, policies or measures exist</w:t>
              </w:r>
              <w:r w:rsidR="006D16EE">
                <w:rPr>
                  <w:b/>
                  <w:bCs/>
                  <w:sz w:val="24"/>
                  <w:szCs w:val="24"/>
                </w:rPr>
                <w:t>—nor are they permitted to exist, even by legislation—</w:t>
              </w:r>
              <w:r w:rsidR="002E35A9" w:rsidRPr="006D16EE">
                <w:rPr>
                  <w:b/>
                  <w:bCs/>
                  <w:sz w:val="24"/>
                  <w:szCs w:val="24"/>
                </w:rPr>
                <w:t>to limit or reduce residential segregation affecting indigenous Palestinians</w:t>
              </w:r>
              <w:r w:rsidR="00315F25" w:rsidRPr="006D16EE">
                <w:rPr>
                  <w:b/>
                  <w:bCs/>
                  <w:sz w:val="24"/>
                  <w:szCs w:val="24"/>
                </w:rPr>
                <w:t xml:space="preserve">. </w:t>
              </w:r>
              <w:r w:rsidR="006D16EE">
                <w:rPr>
                  <w:b/>
                  <w:bCs/>
                  <w:sz w:val="24"/>
                  <w:szCs w:val="24"/>
                </w:rPr>
                <w:t xml:space="preserve">The basis for mandatory, institutionalized and material  discrimination are enshrined in the charters of the “national” institutions (WZO/JA, JNF and affiliates) that carry out the public functions of housing and land policies and their implementation. </w:t>
              </w:r>
              <w:r w:rsidR="00315F25" w:rsidRPr="006D16EE">
                <w:rPr>
                  <w:b/>
                  <w:bCs/>
                  <w:sz w:val="24"/>
                  <w:szCs w:val="24"/>
                </w:rPr>
                <w:t xml:space="preserve">Recent Israeli laws, policies and measures continue to promote and exacerbate residential segregation including dispossession of Palestinians on both sides of the Green Line. Palestinian and Human Rights NGOs have been very vocal in flagging the systemic </w:t>
              </w:r>
              <w:r w:rsidR="00560FD9" w:rsidRPr="006D16EE">
                <w:rPr>
                  <w:b/>
                  <w:bCs/>
                  <w:sz w:val="24"/>
                  <w:szCs w:val="24"/>
                </w:rPr>
                <w:t xml:space="preserve">apartheid, including housing apartheid, implemented through Israeli policy and law. However, Palestinians have little recourse </w:t>
              </w:r>
              <w:r w:rsidR="006D16EE" w:rsidRPr="006D16EE">
                <w:rPr>
                  <w:b/>
                  <w:bCs/>
                  <w:sz w:val="24"/>
                  <w:szCs w:val="24"/>
                </w:rPr>
                <w:t xml:space="preserve">in Israeli courts </w:t>
              </w:r>
              <w:r w:rsidR="006D16EE">
                <w:rPr>
                  <w:b/>
                  <w:bCs/>
                  <w:sz w:val="24"/>
                  <w:szCs w:val="24"/>
                </w:rPr>
                <w:t xml:space="preserve">to seek justice </w:t>
              </w:r>
              <w:r w:rsidR="00560FD9" w:rsidRPr="006D16EE">
                <w:rPr>
                  <w:b/>
                  <w:bCs/>
                  <w:sz w:val="24"/>
                  <w:szCs w:val="24"/>
                </w:rPr>
                <w:t>for violations committed against them.</w:t>
              </w:r>
              <w:r w:rsidR="00315F25">
                <w:rPr>
                  <w:sz w:val="24"/>
                  <w:szCs w:val="24"/>
                </w:rPr>
                <w:t xml:space="preserve">  </w:t>
              </w:r>
            </w:sdtContent>
          </w:sdt>
        </w:sdtContent>
      </w:sdt>
    </w:p>
    <w:p w14:paraId="0FD02691" w14:textId="77777777" w:rsidR="00226F79" w:rsidRPr="00226F79" w:rsidRDefault="00226F79" w:rsidP="00226F79">
      <w:pPr>
        <w:jc w:val="both"/>
        <w:rPr>
          <w:sz w:val="24"/>
          <w:szCs w:val="24"/>
        </w:rPr>
      </w:pPr>
    </w:p>
    <w:p w14:paraId="3F643628" w14:textId="429A6BE2" w:rsidR="00226F79" w:rsidRDefault="00226F79" w:rsidP="00226F79">
      <w:pPr>
        <w:jc w:val="both"/>
        <w:rPr>
          <w:sz w:val="24"/>
          <w:szCs w:val="24"/>
        </w:rPr>
      </w:pPr>
      <w:r w:rsidRPr="00226F79">
        <w:rPr>
          <w:sz w:val="24"/>
          <w:szCs w:val="24"/>
        </w:rPr>
        <w:lastRenderedPageBreak/>
        <w:t>2</w:t>
      </w:r>
      <w:r w:rsidR="00487B1A">
        <w:rPr>
          <w:sz w:val="24"/>
          <w:szCs w:val="24"/>
        </w:rPr>
        <w:t>4</w:t>
      </w:r>
      <w:r w:rsidRPr="00226F79">
        <w:rPr>
          <w:sz w:val="24"/>
          <w:szCs w:val="24"/>
        </w:rPr>
        <w:t>. What is the role of the media, as well as other non-governmental organizations, of religious and governmental institutions, in fostering a climate that reduces or exacerbates discrimination in relation to housing and segregation?</w:t>
      </w:r>
    </w:p>
    <w:p w14:paraId="39298CE7" w14:textId="77777777" w:rsidR="00BF3038" w:rsidRPr="00226F79" w:rsidRDefault="00BF3038" w:rsidP="00226F79">
      <w:pPr>
        <w:jc w:val="both"/>
        <w:rPr>
          <w:sz w:val="24"/>
          <w:szCs w:val="24"/>
        </w:rPr>
      </w:pPr>
    </w:p>
    <w:p w14:paraId="027E8031" w14:textId="36E6F062" w:rsidR="00226F79" w:rsidRPr="00BF3038" w:rsidRDefault="0050116A" w:rsidP="00226F79">
      <w:pPr>
        <w:jc w:val="both"/>
        <w:rPr>
          <w:b/>
          <w:bCs/>
          <w:sz w:val="24"/>
          <w:szCs w:val="24"/>
        </w:rPr>
      </w:pPr>
      <w:sdt>
        <w:sdtPr>
          <w:rPr>
            <w:b/>
            <w:bCs/>
            <w:sz w:val="24"/>
            <w:szCs w:val="24"/>
          </w:rPr>
          <w:id w:val="-1062947959"/>
        </w:sdtPr>
        <w:sdtEndPr/>
        <w:sdtContent>
          <w:r w:rsidR="00451341" w:rsidRPr="00BF3038">
            <w:rPr>
              <w:b/>
              <w:bCs/>
              <w:sz w:val="24"/>
              <w:szCs w:val="24"/>
            </w:rPr>
            <w:t>The new</w:t>
          </w:r>
          <w:r w:rsidR="005A62CD">
            <w:rPr>
              <w:b/>
              <w:bCs/>
              <w:sz w:val="24"/>
              <w:szCs w:val="24"/>
            </w:rPr>
            <w:t>s and entertainment</w:t>
          </w:r>
          <w:r w:rsidR="00451341" w:rsidRPr="00BF3038">
            <w:rPr>
              <w:b/>
              <w:bCs/>
              <w:sz w:val="24"/>
              <w:szCs w:val="24"/>
            </w:rPr>
            <w:t xml:space="preserve"> media, academia</w:t>
          </w:r>
          <w:r w:rsidR="00BF3038" w:rsidRPr="00BF3038">
            <w:rPr>
              <w:b/>
              <w:bCs/>
              <w:sz w:val="24"/>
              <w:szCs w:val="24"/>
            </w:rPr>
            <w:t>, faith-based institutions</w:t>
          </w:r>
          <w:r w:rsidR="00451341" w:rsidRPr="00BF3038">
            <w:rPr>
              <w:b/>
              <w:bCs/>
              <w:sz w:val="24"/>
              <w:szCs w:val="24"/>
            </w:rPr>
            <w:t xml:space="preserve"> and NGOs </w:t>
          </w:r>
          <w:r w:rsidR="005A62CD">
            <w:rPr>
              <w:b/>
              <w:bCs/>
              <w:sz w:val="24"/>
              <w:szCs w:val="24"/>
            </w:rPr>
            <w:t xml:space="preserve">are </w:t>
          </w:r>
          <w:r w:rsidR="00451341" w:rsidRPr="00BF3038">
            <w:rPr>
              <w:b/>
              <w:bCs/>
              <w:sz w:val="24"/>
              <w:szCs w:val="24"/>
            </w:rPr>
            <w:t xml:space="preserve">the principal actors with the potential </w:t>
          </w:r>
          <w:r w:rsidR="005A62CD">
            <w:rPr>
              <w:b/>
              <w:bCs/>
              <w:sz w:val="24"/>
              <w:szCs w:val="24"/>
            </w:rPr>
            <w:t xml:space="preserve">and actual roles in </w:t>
          </w:r>
          <w:r w:rsidR="00451341" w:rsidRPr="00BF3038">
            <w:rPr>
              <w:b/>
              <w:bCs/>
              <w:sz w:val="24"/>
              <w:szCs w:val="24"/>
            </w:rPr>
            <w:t>foster</w:t>
          </w:r>
          <w:r w:rsidR="005A62CD">
            <w:rPr>
              <w:b/>
              <w:bCs/>
              <w:sz w:val="24"/>
              <w:szCs w:val="24"/>
            </w:rPr>
            <w:t>ing</w:t>
          </w:r>
          <w:r w:rsidR="00451341" w:rsidRPr="00BF3038">
            <w:rPr>
              <w:b/>
              <w:bCs/>
              <w:sz w:val="24"/>
              <w:szCs w:val="24"/>
            </w:rPr>
            <w:t xml:space="preserve"> a climate </w:t>
          </w:r>
          <w:r w:rsidR="00BF3038" w:rsidRPr="00BF3038">
            <w:rPr>
              <w:b/>
              <w:bCs/>
              <w:sz w:val="24"/>
              <w:szCs w:val="24"/>
            </w:rPr>
            <w:t xml:space="preserve">that reduces discrimination. Conversely, however, these categories of agents </w:t>
          </w:r>
          <w:r w:rsidR="005A62CD">
            <w:rPr>
              <w:b/>
              <w:bCs/>
              <w:sz w:val="24"/>
              <w:szCs w:val="24"/>
            </w:rPr>
            <w:t xml:space="preserve">play both </w:t>
          </w:r>
          <w:r w:rsidR="00BF3038" w:rsidRPr="00BF3038">
            <w:rPr>
              <w:b/>
              <w:bCs/>
              <w:sz w:val="24"/>
              <w:szCs w:val="24"/>
            </w:rPr>
            <w:t xml:space="preserve">potential </w:t>
          </w:r>
          <w:r w:rsidR="005A62CD">
            <w:rPr>
              <w:b/>
              <w:bCs/>
              <w:sz w:val="24"/>
              <w:szCs w:val="24"/>
            </w:rPr>
            <w:t xml:space="preserve">and actual roles in </w:t>
          </w:r>
          <w:r w:rsidR="00BF3038" w:rsidRPr="00BF3038">
            <w:rPr>
              <w:b/>
              <w:bCs/>
              <w:sz w:val="24"/>
              <w:szCs w:val="24"/>
            </w:rPr>
            <w:t>exacerbating discrimination in alignment with the Israeli government, Zionist “national” institutions and their governmental and non</w:t>
          </w:r>
          <w:r w:rsidR="005A62CD">
            <w:rPr>
              <w:b/>
              <w:bCs/>
              <w:sz w:val="24"/>
              <w:szCs w:val="24"/>
            </w:rPr>
            <w:t>-</w:t>
          </w:r>
          <w:r w:rsidR="00BF3038" w:rsidRPr="00BF3038">
            <w:rPr>
              <w:b/>
              <w:bCs/>
              <w:sz w:val="24"/>
              <w:szCs w:val="24"/>
            </w:rPr>
            <w:t>governmental supporters located mostly in the Western states.</w:t>
          </w:r>
          <w:r w:rsidR="005A62CD">
            <w:rPr>
              <w:b/>
              <w:bCs/>
              <w:sz w:val="24"/>
              <w:szCs w:val="24"/>
            </w:rPr>
            <w:t xml:space="preserve"> The principal distinction lies in their respective ideologies: critical or alternative to Zionism, in the case of the former, or proponents of Zionism, in the latter case.</w:t>
          </w:r>
        </w:sdtContent>
      </w:sdt>
    </w:p>
    <w:p w14:paraId="4A087B3E" w14:textId="77777777" w:rsidR="00226F79" w:rsidRPr="00226F79" w:rsidRDefault="00226F79" w:rsidP="00226F79">
      <w:pPr>
        <w:ind w:left="360"/>
        <w:jc w:val="both"/>
        <w:rPr>
          <w:sz w:val="24"/>
          <w:szCs w:val="24"/>
        </w:rPr>
      </w:pPr>
    </w:p>
    <w:p w14:paraId="426CD025" w14:textId="775CD4D9" w:rsidR="00226F79" w:rsidRDefault="00226F79" w:rsidP="00226F79">
      <w:pPr>
        <w:jc w:val="both"/>
        <w:rPr>
          <w:sz w:val="24"/>
          <w:szCs w:val="24"/>
        </w:rPr>
      </w:pPr>
      <w:r w:rsidRPr="00226F79">
        <w:rPr>
          <w:sz w:val="24"/>
          <w:szCs w:val="24"/>
        </w:rPr>
        <w:t>2</w:t>
      </w:r>
      <w:r w:rsidR="00487B1A">
        <w:rPr>
          <w:sz w:val="24"/>
          <w:szCs w:val="24"/>
        </w:rPr>
        <w:t>5</w:t>
      </w:r>
      <w:r w:rsidRPr="00226F79">
        <w:rPr>
          <w:sz w:val="24"/>
          <w:szCs w:val="24"/>
        </w:rPr>
        <w:t xml:space="preserve">. Which institutional mechanisms exist to report, redress and monitor cases of discrimination or segregation in relation to the right to adequate housing and how effective have they been to address discrimination? </w:t>
      </w:r>
    </w:p>
    <w:p w14:paraId="3F5E775A" w14:textId="77777777" w:rsidR="000B69A7" w:rsidRPr="00226F79" w:rsidRDefault="000B69A7" w:rsidP="00226F79">
      <w:pPr>
        <w:jc w:val="both"/>
        <w:rPr>
          <w:sz w:val="24"/>
          <w:szCs w:val="24"/>
        </w:rPr>
      </w:pPr>
    </w:p>
    <w:p w14:paraId="6379E505" w14:textId="771C8871" w:rsidR="00226F79" w:rsidRPr="006C096B" w:rsidRDefault="0050116A" w:rsidP="00226F79">
      <w:pPr>
        <w:jc w:val="both"/>
        <w:rPr>
          <w:color w:val="FF0000"/>
          <w:sz w:val="24"/>
          <w:szCs w:val="24"/>
        </w:rPr>
      </w:pPr>
      <w:sdt>
        <w:sdtPr>
          <w:rPr>
            <w:color w:val="FF0000"/>
            <w:sz w:val="24"/>
            <w:szCs w:val="24"/>
          </w:rPr>
          <w:id w:val="-1413463060"/>
        </w:sdtPr>
        <w:sdtEndPr/>
        <w:sdtContent>
          <w:sdt>
            <w:sdtPr>
              <w:rPr>
                <w:color w:val="FF0000"/>
                <w:sz w:val="24"/>
                <w:szCs w:val="24"/>
              </w:rPr>
              <w:id w:val="996921466"/>
            </w:sdtPr>
            <w:sdtEndPr/>
            <w:sdtContent>
              <w:r w:rsidR="004F0836" w:rsidRPr="004F0836">
                <w:rPr>
                  <w:b/>
                  <w:bCs/>
                  <w:sz w:val="24"/>
                  <w:szCs w:val="24"/>
                </w:rPr>
                <w:t>S</w:t>
              </w:r>
              <w:r w:rsidR="006C096B" w:rsidRPr="004F0836">
                <w:rPr>
                  <w:b/>
                  <w:bCs/>
                  <w:sz w:val="24"/>
                  <w:szCs w:val="24"/>
                </w:rPr>
                <w:t>ee answer to question 21</w:t>
              </w:r>
              <w:r w:rsidR="000B69A7">
                <w:rPr>
                  <w:b/>
                  <w:bCs/>
                  <w:sz w:val="24"/>
                  <w:szCs w:val="24"/>
                </w:rPr>
                <w:t xml:space="preserve"> above.</w:t>
              </w:r>
            </w:sdtContent>
          </w:sdt>
        </w:sdtContent>
      </w:sdt>
    </w:p>
    <w:p w14:paraId="5653D8E4" w14:textId="77777777" w:rsidR="00226F79" w:rsidRPr="00226F79" w:rsidRDefault="00226F79" w:rsidP="00226F79">
      <w:pPr>
        <w:jc w:val="both"/>
        <w:rPr>
          <w:sz w:val="24"/>
          <w:szCs w:val="24"/>
        </w:rPr>
      </w:pPr>
    </w:p>
    <w:p w14:paraId="69B48821" w14:textId="77777777" w:rsidR="00226F79" w:rsidRPr="00226F79" w:rsidRDefault="00226F79" w:rsidP="00226F79">
      <w:pPr>
        <w:jc w:val="both"/>
        <w:rPr>
          <w:sz w:val="24"/>
          <w:szCs w:val="24"/>
        </w:rPr>
      </w:pPr>
      <w:r w:rsidRPr="00226F79">
        <w:rPr>
          <w:sz w:val="24"/>
          <w:szCs w:val="24"/>
        </w:rPr>
        <w:t>2</w:t>
      </w:r>
      <w:r w:rsidR="00487B1A">
        <w:rPr>
          <w:sz w:val="24"/>
          <w:szCs w:val="24"/>
        </w:rPr>
        <w:t>6</w:t>
      </w:r>
      <w:r w:rsidRPr="00226F79">
        <w:rPr>
          <w:sz w:val="24"/>
          <w:szCs w:val="24"/>
        </w:rPr>
        <w:t xml:space="preserve">. In your view, what are the principal barriers to seek justice for discrimination/segregation in relation to the right to adequate housing? </w:t>
      </w:r>
    </w:p>
    <w:p w14:paraId="4DD74A01" w14:textId="77777777" w:rsidR="00487B1A" w:rsidRPr="00226F79" w:rsidRDefault="0050116A" w:rsidP="00487B1A">
      <w:pPr>
        <w:jc w:val="both"/>
        <w:rPr>
          <w:sz w:val="24"/>
          <w:szCs w:val="24"/>
        </w:rPr>
      </w:pPr>
      <w:sdt>
        <w:sdtPr>
          <w:rPr>
            <w:sz w:val="24"/>
            <w:szCs w:val="24"/>
          </w:rPr>
          <w:id w:val="-587085050"/>
        </w:sdtPr>
        <w:sdtEndPr/>
        <w:sdtContent>
          <w:sdt>
            <w:sdtPr>
              <w:rPr>
                <w:sz w:val="24"/>
                <w:szCs w:val="24"/>
              </w:rPr>
              <w:id w:val="460544402"/>
              <w:showingPlcHdr/>
            </w:sdtPr>
            <w:sdtEndPr/>
            <w:sdtContent>
              <w:r w:rsidR="00487B1A" w:rsidRPr="00226F79">
                <w:rPr>
                  <w:rStyle w:val="PlaceholderText"/>
                  <w:sz w:val="24"/>
                  <w:szCs w:val="24"/>
                </w:rPr>
                <w:t>Click here to enter text.</w:t>
              </w:r>
            </w:sdtContent>
          </w:sdt>
        </w:sdtContent>
      </w:sdt>
    </w:p>
    <w:p w14:paraId="573EF768" w14:textId="77777777" w:rsidR="00226F79" w:rsidRPr="00226F79" w:rsidRDefault="00226F79" w:rsidP="00226F79">
      <w:pPr>
        <w:jc w:val="both"/>
        <w:rPr>
          <w:sz w:val="24"/>
          <w:szCs w:val="24"/>
        </w:rPr>
      </w:pPr>
    </w:p>
    <w:p w14:paraId="25A631F7" w14:textId="77777777" w:rsidR="00226F79" w:rsidRPr="00226F79" w:rsidRDefault="00226F79" w:rsidP="00226F79">
      <w:pPr>
        <w:jc w:val="both"/>
        <w:rPr>
          <w:sz w:val="24"/>
          <w:szCs w:val="24"/>
        </w:rPr>
      </w:pPr>
      <w:r w:rsidRPr="00226F79">
        <w:rPr>
          <w:sz w:val="24"/>
          <w:szCs w:val="24"/>
        </w:rPr>
        <w:t>2</w:t>
      </w:r>
      <w:r w:rsidR="00487B1A">
        <w:rPr>
          <w:sz w:val="24"/>
          <w:szCs w:val="24"/>
        </w:rPr>
        <w:t>7</w:t>
      </w:r>
      <w:r w:rsidRPr="00226F79">
        <w:rPr>
          <w:sz w:val="24"/>
          <w:szCs w:val="24"/>
        </w:rPr>
        <w:t>. Can you specify how individuals and groups subject to structural discrimination or experiencing segregation can submit complaints to administrative, non-judicial or judicial bodies to seek relief? Please share any leading cases that have been decided by your courts or other agencies in this respect.</w:t>
      </w:r>
    </w:p>
    <w:p w14:paraId="73D79AC2" w14:textId="77777777" w:rsidR="00487B1A" w:rsidRPr="00226F79" w:rsidRDefault="0050116A" w:rsidP="00487B1A">
      <w:pPr>
        <w:jc w:val="both"/>
        <w:rPr>
          <w:sz w:val="24"/>
          <w:szCs w:val="24"/>
        </w:rPr>
      </w:pPr>
      <w:sdt>
        <w:sdtPr>
          <w:rPr>
            <w:sz w:val="24"/>
            <w:szCs w:val="24"/>
          </w:rPr>
          <w:id w:val="-1715032840"/>
        </w:sdtPr>
        <w:sdtEndPr/>
        <w:sdtContent>
          <w:sdt>
            <w:sdtPr>
              <w:rPr>
                <w:sz w:val="24"/>
                <w:szCs w:val="24"/>
              </w:rPr>
              <w:id w:val="185565434"/>
              <w:showingPlcHdr/>
            </w:sdtPr>
            <w:sdtEndPr/>
            <w:sdtContent>
              <w:r w:rsidR="00487B1A" w:rsidRPr="00226F79">
                <w:rPr>
                  <w:rStyle w:val="PlaceholderText"/>
                  <w:sz w:val="24"/>
                  <w:szCs w:val="24"/>
                </w:rPr>
                <w:t>Click here to enter text.</w:t>
              </w:r>
            </w:sdtContent>
          </w:sdt>
        </w:sdtContent>
      </w:sdt>
    </w:p>
    <w:p w14:paraId="3158F000" w14:textId="77777777" w:rsidR="003A314E" w:rsidRDefault="00487B1A" w:rsidP="00487B1A">
      <w:pPr>
        <w:rPr>
          <w:b/>
          <w:sz w:val="24"/>
          <w:szCs w:val="24"/>
          <w:u w:val="single"/>
        </w:rPr>
      </w:pPr>
      <w:r>
        <w:rPr>
          <w:b/>
          <w:sz w:val="24"/>
          <w:szCs w:val="24"/>
          <w:u w:val="single"/>
        </w:rPr>
        <w:t xml:space="preserve"> </w:t>
      </w:r>
      <w:r w:rsidR="003A314E">
        <w:rPr>
          <w:b/>
          <w:sz w:val="24"/>
          <w:szCs w:val="24"/>
          <w:u w:val="single"/>
        </w:rPr>
        <w:br w:type="page"/>
      </w:r>
    </w:p>
    <w:p w14:paraId="3BFBFCA7" w14:textId="6CEC8A12" w:rsidR="00226F79" w:rsidRPr="00226F79" w:rsidRDefault="000B69A7" w:rsidP="000B69A7">
      <w:pPr>
        <w:spacing w:after="120"/>
        <w:rPr>
          <w:b/>
          <w:sz w:val="24"/>
          <w:szCs w:val="24"/>
          <w:u w:val="single"/>
        </w:rPr>
      </w:pPr>
      <w:r w:rsidRPr="00226F79">
        <w:rPr>
          <w:b/>
          <w:sz w:val="24"/>
          <w:szCs w:val="24"/>
          <w:u w:val="single"/>
        </w:rPr>
        <w:lastRenderedPageBreak/>
        <w:t xml:space="preserve">Data on Discrimination in Housing and Spatial/Residential Segregation </w:t>
      </w:r>
    </w:p>
    <w:p w14:paraId="3BFC34ED" w14:textId="77777777" w:rsidR="00226F79" w:rsidRPr="00226F79" w:rsidRDefault="00226F79" w:rsidP="00226F79">
      <w:pPr>
        <w:jc w:val="both"/>
        <w:rPr>
          <w:sz w:val="24"/>
          <w:szCs w:val="24"/>
        </w:rPr>
      </w:pPr>
      <w:r w:rsidRPr="00226F79">
        <w:rPr>
          <w:sz w:val="24"/>
          <w:szCs w:val="24"/>
        </w:rPr>
        <w:t>2</w:t>
      </w:r>
      <w:r w:rsidR="00487B1A">
        <w:rPr>
          <w:sz w:val="24"/>
          <w:szCs w:val="24"/>
        </w:rPr>
        <w:t>8</w:t>
      </w:r>
      <w:r w:rsidRPr="00226F79">
        <w:rPr>
          <w:sz w:val="24"/>
          <w:szCs w:val="24"/>
        </w:rPr>
        <w:t>. Is any data on housing disparities, housing discrimination and spatial segregation collected and publicly available? If so where can it be accessed? Are there any practical or legal barriers to collect and share such information in your country?</w:t>
      </w:r>
    </w:p>
    <w:p w14:paraId="5587411D" w14:textId="77777777" w:rsidR="006D0C62" w:rsidRPr="00226F79" w:rsidRDefault="0050116A" w:rsidP="006D0C62">
      <w:pPr>
        <w:jc w:val="both"/>
        <w:rPr>
          <w:sz w:val="24"/>
          <w:szCs w:val="24"/>
        </w:rPr>
      </w:pPr>
      <w:sdt>
        <w:sdtPr>
          <w:rPr>
            <w:sz w:val="24"/>
            <w:szCs w:val="24"/>
          </w:rPr>
          <w:id w:val="517506414"/>
        </w:sdtPr>
        <w:sdtEndPr/>
        <w:sdtContent>
          <w:sdt>
            <w:sdtPr>
              <w:rPr>
                <w:sz w:val="24"/>
                <w:szCs w:val="24"/>
              </w:rPr>
              <w:id w:val="696820229"/>
              <w:showingPlcHdr/>
            </w:sdtPr>
            <w:sdtEndPr/>
            <w:sdtContent>
              <w:r w:rsidR="006D0C62" w:rsidRPr="00226F79">
                <w:rPr>
                  <w:rStyle w:val="PlaceholderText"/>
                  <w:sz w:val="24"/>
                  <w:szCs w:val="24"/>
                </w:rPr>
                <w:t>Click here to enter text.</w:t>
              </w:r>
            </w:sdtContent>
          </w:sdt>
        </w:sdtContent>
      </w:sdt>
    </w:p>
    <w:p w14:paraId="40D9C748" w14:textId="77777777" w:rsidR="00226F79" w:rsidRPr="00226F79" w:rsidRDefault="00226F79" w:rsidP="00226F79">
      <w:pPr>
        <w:jc w:val="both"/>
        <w:rPr>
          <w:sz w:val="24"/>
          <w:szCs w:val="24"/>
        </w:rPr>
      </w:pPr>
    </w:p>
    <w:p w14:paraId="7DBEF583" w14:textId="77777777" w:rsidR="00226F79" w:rsidRPr="00226F79" w:rsidRDefault="00226F79" w:rsidP="00226F79">
      <w:pPr>
        <w:jc w:val="both"/>
        <w:rPr>
          <w:sz w:val="24"/>
          <w:szCs w:val="24"/>
        </w:rPr>
      </w:pPr>
      <w:r w:rsidRPr="00226F79">
        <w:rPr>
          <w:sz w:val="24"/>
          <w:szCs w:val="24"/>
        </w:rPr>
        <w:t>2</w:t>
      </w:r>
      <w:r w:rsidR="00487B1A">
        <w:rPr>
          <w:sz w:val="24"/>
          <w:szCs w:val="24"/>
        </w:rPr>
        <w:t>9</w:t>
      </w:r>
      <w:r w:rsidRPr="00226F79">
        <w:rPr>
          <w:sz w:val="24"/>
          <w:szCs w:val="24"/>
        </w:rPr>
        <w:t xml:space="preserve">. Can you kindly share any studies or surveys by local, regional or national Governments or by other institutions to understand better housing disparities, housing discrimination and spatial segregation and how it can be addressed (e.g. title and link, or kindly submit document). </w:t>
      </w:r>
    </w:p>
    <w:p w14:paraId="21DD930F" w14:textId="77777777" w:rsidR="00226F79" w:rsidRDefault="0050116A" w:rsidP="00226F79">
      <w:pPr>
        <w:jc w:val="both"/>
        <w:rPr>
          <w:sz w:val="24"/>
          <w:szCs w:val="24"/>
        </w:rPr>
      </w:pPr>
      <w:sdt>
        <w:sdtPr>
          <w:rPr>
            <w:sz w:val="24"/>
            <w:szCs w:val="24"/>
          </w:rPr>
          <w:id w:val="1191101676"/>
          <w:showingPlcHdr/>
        </w:sdtPr>
        <w:sdtEndPr/>
        <w:sdtContent>
          <w:r w:rsidR="006D0C62" w:rsidRPr="00226F79">
            <w:rPr>
              <w:rStyle w:val="PlaceholderText"/>
              <w:sz w:val="24"/>
              <w:szCs w:val="24"/>
            </w:rPr>
            <w:t>Click here to enter text.</w:t>
          </w:r>
        </w:sdtContent>
      </w:sdt>
    </w:p>
    <w:p w14:paraId="4C5F72A7" w14:textId="77777777" w:rsidR="006D0C62" w:rsidRPr="00226F79" w:rsidRDefault="006D0C62" w:rsidP="00226F79">
      <w:pPr>
        <w:jc w:val="both"/>
        <w:rPr>
          <w:sz w:val="24"/>
          <w:szCs w:val="24"/>
        </w:rPr>
      </w:pPr>
    </w:p>
    <w:p w14:paraId="04BE4019" w14:textId="77777777" w:rsidR="00226F79" w:rsidRPr="00226F79" w:rsidRDefault="00487B1A" w:rsidP="00226F79">
      <w:pPr>
        <w:jc w:val="both"/>
        <w:rPr>
          <w:sz w:val="24"/>
          <w:szCs w:val="24"/>
        </w:rPr>
      </w:pPr>
      <w:r>
        <w:rPr>
          <w:sz w:val="24"/>
          <w:szCs w:val="24"/>
        </w:rPr>
        <w:t>30</w:t>
      </w:r>
      <w:r w:rsidR="00226F79" w:rsidRPr="00226F79">
        <w:rPr>
          <w:sz w:val="24"/>
          <w:szCs w:val="24"/>
        </w:rPr>
        <w:t>. Can you provide information and statistics related to complaints related to housing discrimination, how they have been investigated and settled, and information on cases in which private or public actors have been compelled successfully to end such discrimination or b</w:t>
      </w:r>
      <w:r w:rsidR="006D0C62">
        <w:rPr>
          <w:sz w:val="24"/>
          <w:szCs w:val="24"/>
        </w:rPr>
        <w:t>een fined or sanctioned for non-c</w:t>
      </w:r>
      <w:r w:rsidR="00226F79" w:rsidRPr="00226F79">
        <w:rPr>
          <w:sz w:val="24"/>
          <w:szCs w:val="24"/>
        </w:rPr>
        <w:t xml:space="preserve">ompliance? </w:t>
      </w:r>
    </w:p>
    <w:p w14:paraId="11ADA0E1" w14:textId="77777777" w:rsidR="00471E39" w:rsidRDefault="0050116A" w:rsidP="003A314E">
      <w:pPr>
        <w:jc w:val="both"/>
        <w:rPr>
          <w:sz w:val="24"/>
          <w:szCs w:val="24"/>
        </w:rPr>
      </w:pPr>
      <w:sdt>
        <w:sdtPr>
          <w:rPr>
            <w:sz w:val="24"/>
            <w:szCs w:val="24"/>
          </w:rPr>
          <w:id w:val="1312760308"/>
        </w:sdtPr>
        <w:sdtEndPr/>
        <w:sdtContent>
          <w:sdt>
            <w:sdtPr>
              <w:rPr>
                <w:sz w:val="24"/>
                <w:szCs w:val="24"/>
              </w:rPr>
              <w:id w:val="-177115800"/>
              <w:showingPlcHdr/>
            </w:sdtPr>
            <w:sdtEndPr/>
            <w:sdtContent>
              <w:r w:rsidR="006D0C62" w:rsidRPr="00226F79">
                <w:rPr>
                  <w:rStyle w:val="PlaceholderText"/>
                  <w:sz w:val="24"/>
                  <w:szCs w:val="24"/>
                </w:rPr>
                <w:t>Click here to enter text.</w:t>
              </w:r>
            </w:sdtContent>
          </w:sdt>
        </w:sdtContent>
      </w:sdt>
    </w:p>
    <w:p w14:paraId="4D018824" w14:textId="365F99B3" w:rsidR="003A314E" w:rsidRDefault="003A314E" w:rsidP="003A314E">
      <w:pPr>
        <w:jc w:val="both"/>
        <w:rPr>
          <w:sz w:val="24"/>
          <w:szCs w:val="24"/>
        </w:rPr>
      </w:pPr>
    </w:p>
    <w:p w14:paraId="0C982D31" w14:textId="450A5704" w:rsidR="00026B3C" w:rsidRDefault="00026B3C" w:rsidP="003A314E">
      <w:pPr>
        <w:jc w:val="both"/>
        <w:rPr>
          <w:sz w:val="24"/>
          <w:szCs w:val="24"/>
        </w:rPr>
      </w:pPr>
    </w:p>
    <w:p w14:paraId="6A6C5FF9" w14:textId="77777777" w:rsidR="00945F26" w:rsidRDefault="00945F26">
      <w:pPr>
        <w:rPr>
          <w:b/>
          <w:bCs/>
          <w:sz w:val="24"/>
          <w:szCs w:val="24"/>
        </w:rPr>
      </w:pPr>
      <w:r>
        <w:rPr>
          <w:b/>
          <w:bCs/>
          <w:sz w:val="24"/>
          <w:szCs w:val="24"/>
        </w:rPr>
        <w:br w:type="page"/>
      </w:r>
    </w:p>
    <w:p w14:paraId="2C6F4D8A" w14:textId="16B054B1" w:rsidR="00945F26" w:rsidRPr="00945F26" w:rsidRDefault="00D8423F" w:rsidP="00945F26">
      <w:pPr>
        <w:spacing w:after="120"/>
        <w:jc w:val="center"/>
        <w:rPr>
          <w:sz w:val="24"/>
          <w:szCs w:val="24"/>
        </w:rPr>
      </w:pPr>
      <w:r w:rsidRPr="009429DF">
        <w:rPr>
          <w:b/>
          <w:bCs/>
          <w:sz w:val="24"/>
          <w:szCs w:val="24"/>
        </w:rPr>
        <w:lastRenderedPageBreak/>
        <w:t xml:space="preserve">Annex </w:t>
      </w:r>
      <w:r w:rsidR="00945F26">
        <w:rPr>
          <w:b/>
          <w:bCs/>
          <w:sz w:val="24"/>
          <w:szCs w:val="24"/>
        </w:rPr>
        <w:t>1</w:t>
      </w:r>
      <w:r w:rsidRPr="009429DF">
        <w:rPr>
          <w:b/>
          <w:bCs/>
          <w:sz w:val="24"/>
          <w:szCs w:val="24"/>
        </w:rPr>
        <w:t xml:space="preserve">: </w:t>
      </w:r>
      <w:r>
        <w:rPr>
          <w:b/>
          <w:bCs/>
          <w:sz w:val="24"/>
          <w:szCs w:val="24"/>
        </w:rPr>
        <w:t>Jewish National Fund</w:t>
      </w:r>
      <w:r w:rsidR="00945F26">
        <w:rPr>
          <w:b/>
          <w:bCs/>
          <w:sz w:val="24"/>
          <w:szCs w:val="24"/>
        </w:rPr>
        <w:t xml:space="preserve"> </w:t>
      </w:r>
      <w:r>
        <w:rPr>
          <w:b/>
          <w:bCs/>
          <w:sz w:val="24"/>
          <w:szCs w:val="24"/>
        </w:rPr>
        <w:t>Memorandum of Understanding</w:t>
      </w:r>
      <w:r w:rsidR="00945F26" w:rsidRPr="00945F26">
        <w:rPr>
          <w:noProof/>
          <w:sz w:val="24"/>
          <w:szCs w:val="24"/>
          <w:lang w:eastAsia="en-GB"/>
        </w:rPr>
        <w:lastRenderedPageBreak/>
        <w:drawing>
          <wp:inline distT="0" distB="0" distL="0" distR="0" wp14:anchorId="15230DB3" wp14:editId="0A512F89">
            <wp:extent cx="5082906" cy="7891534"/>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86105" cy="7896501"/>
                    </a:xfrm>
                    <a:prstGeom prst="rect">
                      <a:avLst/>
                    </a:prstGeom>
                    <a:noFill/>
                    <a:ln>
                      <a:noFill/>
                    </a:ln>
                  </pic:spPr>
                </pic:pic>
              </a:graphicData>
            </a:graphic>
          </wp:inline>
        </w:drawing>
      </w:r>
      <w:r w:rsidR="00945F26" w:rsidRPr="00945F26">
        <w:rPr>
          <w:sz w:val="24"/>
          <w:szCs w:val="24"/>
        </w:rPr>
        <w:t xml:space="preserve"> </w:t>
      </w:r>
      <w:r w:rsidR="00945F26" w:rsidRPr="00945F26">
        <w:rPr>
          <w:noProof/>
          <w:sz w:val="24"/>
          <w:szCs w:val="24"/>
          <w:lang w:eastAsia="en-GB"/>
        </w:rPr>
        <w:lastRenderedPageBreak/>
        <w:drawing>
          <wp:inline distT="0" distB="0" distL="0" distR="0" wp14:anchorId="73B436C1" wp14:editId="5AC74990">
            <wp:extent cx="5400040" cy="8696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8696325"/>
                    </a:xfrm>
                    <a:prstGeom prst="rect">
                      <a:avLst/>
                    </a:prstGeom>
                    <a:noFill/>
                    <a:ln>
                      <a:noFill/>
                    </a:ln>
                  </pic:spPr>
                </pic:pic>
              </a:graphicData>
            </a:graphic>
          </wp:inline>
        </w:drawing>
      </w:r>
      <w:r w:rsidR="00945F26" w:rsidRPr="00945F26">
        <w:rPr>
          <w:sz w:val="24"/>
          <w:szCs w:val="24"/>
        </w:rPr>
        <w:t xml:space="preserve"> </w:t>
      </w:r>
      <w:r w:rsidR="00945F26" w:rsidRPr="00945F26">
        <w:rPr>
          <w:noProof/>
          <w:sz w:val="24"/>
          <w:szCs w:val="24"/>
          <w:lang w:eastAsia="en-GB"/>
        </w:rPr>
        <w:lastRenderedPageBreak/>
        <w:drawing>
          <wp:inline distT="0" distB="0" distL="0" distR="0" wp14:anchorId="28808FF5" wp14:editId="0B57D437">
            <wp:extent cx="5400040" cy="82003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8200390"/>
                    </a:xfrm>
                    <a:prstGeom prst="rect">
                      <a:avLst/>
                    </a:prstGeom>
                    <a:noFill/>
                    <a:ln>
                      <a:noFill/>
                    </a:ln>
                  </pic:spPr>
                </pic:pic>
              </a:graphicData>
            </a:graphic>
          </wp:inline>
        </w:drawing>
      </w:r>
      <w:r w:rsidR="00945F26" w:rsidRPr="00945F26">
        <w:rPr>
          <w:sz w:val="24"/>
          <w:szCs w:val="24"/>
        </w:rPr>
        <w:t xml:space="preserve"> </w:t>
      </w:r>
      <w:r w:rsidR="00945F26" w:rsidRPr="00945F26">
        <w:rPr>
          <w:noProof/>
          <w:sz w:val="24"/>
          <w:szCs w:val="24"/>
          <w:lang w:eastAsia="en-GB"/>
        </w:rPr>
        <w:lastRenderedPageBreak/>
        <w:drawing>
          <wp:inline distT="0" distB="0" distL="0" distR="0" wp14:anchorId="3041A474" wp14:editId="520E229F">
            <wp:extent cx="5400040" cy="83140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8314055"/>
                    </a:xfrm>
                    <a:prstGeom prst="rect">
                      <a:avLst/>
                    </a:prstGeom>
                    <a:noFill/>
                    <a:ln>
                      <a:noFill/>
                    </a:ln>
                  </pic:spPr>
                </pic:pic>
              </a:graphicData>
            </a:graphic>
          </wp:inline>
        </w:drawing>
      </w:r>
      <w:r w:rsidR="00945F26" w:rsidRPr="00945F26">
        <w:rPr>
          <w:sz w:val="24"/>
          <w:szCs w:val="24"/>
        </w:rPr>
        <w:t xml:space="preserve"> </w:t>
      </w:r>
      <w:r w:rsidR="00945F26" w:rsidRPr="00945F26">
        <w:rPr>
          <w:noProof/>
          <w:sz w:val="24"/>
          <w:szCs w:val="24"/>
          <w:lang w:eastAsia="en-GB"/>
        </w:rPr>
        <w:lastRenderedPageBreak/>
        <w:drawing>
          <wp:inline distT="0" distB="0" distL="0" distR="0" wp14:anchorId="617AB1F9" wp14:editId="1853DB6D">
            <wp:extent cx="4971415" cy="9251950"/>
            <wp:effectExtent l="0" t="0" r="63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1415" cy="9251950"/>
                    </a:xfrm>
                    <a:prstGeom prst="rect">
                      <a:avLst/>
                    </a:prstGeom>
                    <a:noFill/>
                    <a:ln>
                      <a:noFill/>
                    </a:ln>
                  </pic:spPr>
                </pic:pic>
              </a:graphicData>
            </a:graphic>
          </wp:inline>
        </w:drawing>
      </w:r>
      <w:r w:rsidR="00945F26" w:rsidRPr="00945F26">
        <w:rPr>
          <w:sz w:val="24"/>
          <w:szCs w:val="24"/>
        </w:rPr>
        <w:t xml:space="preserve"> </w:t>
      </w:r>
      <w:r w:rsidR="00945F26" w:rsidRPr="00945F26">
        <w:rPr>
          <w:noProof/>
          <w:sz w:val="24"/>
          <w:szCs w:val="24"/>
          <w:lang w:eastAsia="en-GB"/>
        </w:rPr>
        <w:lastRenderedPageBreak/>
        <w:drawing>
          <wp:inline distT="0" distB="0" distL="0" distR="0" wp14:anchorId="4DB7B3DD" wp14:editId="09328415">
            <wp:extent cx="5400040" cy="7531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7531100"/>
                    </a:xfrm>
                    <a:prstGeom prst="rect">
                      <a:avLst/>
                    </a:prstGeom>
                    <a:noFill/>
                    <a:ln>
                      <a:noFill/>
                    </a:ln>
                  </pic:spPr>
                </pic:pic>
              </a:graphicData>
            </a:graphic>
          </wp:inline>
        </w:drawing>
      </w:r>
      <w:r w:rsidR="00945F26" w:rsidRPr="00945F26">
        <w:rPr>
          <w:sz w:val="24"/>
          <w:szCs w:val="24"/>
        </w:rPr>
        <w:t xml:space="preserve"> </w:t>
      </w:r>
      <w:r w:rsidR="00945F26" w:rsidRPr="00945F26">
        <w:rPr>
          <w:noProof/>
          <w:sz w:val="24"/>
          <w:szCs w:val="24"/>
          <w:lang w:eastAsia="en-GB"/>
        </w:rPr>
        <w:lastRenderedPageBreak/>
        <w:drawing>
          <wp:inline distT="0" distB="0" distL="0" distR="0" wp14:anchorId="023AA7D3" wp14:editId="22F2C7DB">
            <wp:extent cx="5400040" cy="81019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8101965"/>
                    </a:xfrm>
                    <a:prstGeom prst="rect">
                      <a:avLst/>
                    </a:prstGeom>
                    <a:noFill/>
                    <a:ln>
                      <a:noFill/>
                    </a:ln>
                  </pic:spPr>
                </pic:pic>
              </a:graphicData>
            </a:graphic>
          </wp:inline>
        </w:drawing>
      </w:r>
      <w:r w:rsidR="00945F26" w:rsidRPr="00945F26">
        <w:rPr>
          <w:sz w:val="24"/>
          <w:szCs w:val="24"/>
        </w:rPr>
        <w:t xml:space="preserve"> </w:t>
      </w:r>
      <w:r w:rsidR="00945F26" w:rsidRPr="00945F26">
        <w:rPr>
          <w:noProof/>
          <w:sz w:val="24"/>
          <w:szCs w:val="24"/>
          <w:lang w:eastAsia="en-GB"/>
        </w:rPr>
        <w:lastRenderedPageBreak/>
        <w:drawing>
          <wp:inline distT="0" distB="0" distL="0" distR="0" wp14:anchorId="678D47B3" wp14:editId="31222964">
            <wp:extent cx="5400040" cy="832231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8322310"/>
                    </a:xfrm>
                    <a:prstGeom prst="rect">
                      <a:avLst/>
                    </a:prstGeom>
                    <a:noFill/>
                    <a:ln>
                      <a:noFill/>
                    </a:ln>
                  </pic:spPr>
                </pic:pic>
              </a:graphicData>
            </a:graphic>
          </wp:inline>
        </w:drawing>
      </w:r>
    </w:p>
    <w:p w14:paraId="7BC22DCF" w14:textId="77777777" w:rsidR="00D8423F" w:rsidRDefault="00D8423F" w:rsidP="003A314E">
      <w:pPr>
        <w:jc w:val="both"/>
        <w:rPr>
          <w:sz w:val="24"/>
          <w:szCs w:val="24"/>
        </w:rPr>
      </w:pPr>
    </w:p>
    <w:p w14:paraId="04BB61B8" w14:textId="34DFE052" w:rsidR="009429DF" w:rsidRDefault="00026B3C" w:rsidP="009429DF">
      <w:pPr>
        <w:spacing w:after="120"/>
        <w:jc w:val="center"/>
        <w:rPr>
          <w:sz w:val="24"/>
          <w:szCs w:val="24"/>
        </w:rPr>
      </w:pPr>
      <w:r>
        <w:rPr>
          <w:sz w:val="24"/>
          <w:szCs w:val="24"/>
        </w:rPr>
        <w:br w:type="page"/>
      </w:r>
      <w:r w:rsidRPr="009429DF">
        <w:rPr>
          <w:b/>
          <w:bCs/>
          <w:sz w:val="24"/>
          <w:szCs w:val="24"/>
        </w:rPr>
        <w:lastRenderedPageBreak/>
        <w:t xml:space="preserve">Annex </w:t>
      </w:r>
      <w:r w:rsidR="00D8423F">
        <w:rPr>
          <w:b/>
          <w:bCs/>
          <w:sz w:val="24"/>
          <w:szCs w:val="24"/>
        </w:rPr>
        <w:t>2</w:t>
      </w:r>
      <w:r w:rsidR="009429DF" w:rsidRPr="009429DF">
        <w:rPr>
          <w:b/>
          <w:bCs/>
          <w:sz w:val="24"/>
          <w:szCs w:val="24"/>
        </w:rPr>
        <w:t>: Water rights in the Occupied Palestinian Territories</w:t>
      </w:r>
      <w:r w:rsidR="009429DF">
        <w:rPr>
          <w:rStyle w:val="EndnoteReference"/>
          <w:sz w:val="24"/>
          <w:szCs w:val="24"/>
        </w:rPr>
        <w:endnoteReference w:id="85"/>
      </w:r>
    </w:p>
    <w:p w14:paraId="6529CB95" w14:textId="572776A2" w:rsidR="00026B3C" w:rsidRDefault="009429DF">
      <w:pPr>
        <w:rPr>
          <w:sz w:val="24"/>
          <w:szCs w:val="24"/>
        </w:rPr>
      </w:pPr>
      <w:r>
        <w:rPr>
          <w:noProof/>
          <w:sz w:val="24"/>
          <w:szCs w:val="24"/>
          <w:lang w:eastAsia="en-GB"/>
        </w:rPr>
        <w:lastRenderedPageBreak/>
        <w:drawing>
          <wp:inline distT="0" distB="0" distL="0" distR="0" wp14:anchorId="1FFF15D9" wp14:editId="60224BB6">
            <wp:extent cx="5121084" cy="6332769"/>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
                    <a:stretch>
                      <a:fillRect/>
                    </a:stretch>
                  </pic:blipFill>
                  <pic:spPr>
                    <a:xfrm>
                      <a:off x="0" y="0"/>
                      <a:ext cx="5121084" cy="6332769"/>
                    </a:xfrm>
                    <a:prstGeom prst="rect">
                      <a:avLst/>
                    </a:prstGeom>
                  </pic:spPr>
                </pic:pic>
              </a:graphicData>
            </a:graphic>
          </wp:inline>
        </w:drawing>
      </w:r>
      <w:r>
        <w:rPr>
          <w:sz w:val="24"/>
          <w:szCs w:val="24"/>
        </w:rPr>
        <w:t xml:space="preserve"> </w:t>
      </w:r>
    </w:p>
    <w:p w14:paraId="70985242" w14:textId="77777777" w:rsidR="00026B3C" w:rsidRDefault="00026B3C" w:rsidP="003A314E">
      <w:pPr>
        <w:jc w:val="both"/>
        <w:rPr>
          <w:sz w:val="24"/>
          <w:szCs w:val="24"/>
        </w:rPr>
      </w:pPr>
    </w:p>
    <w:p w14:paraId="76925DB5" w14:textId="68F43D59" w:rsidR="00FA52EA" w:rsidRDefault="00FA52EA">
      <w:pPr>
        <w:rPr>
          <w:b/>
          <w:bCs/>
          <w:sz w:val="24"/>
          <w:szCs w:val="24"/>
        </w:rPr>
      </w:pPr>
      <w:r>
        <w:rPr>
          <w:b/>
          <w:bCs/>
          <w:sz w:val="24"/>
          <w:szCs w:val="24"/>
        </w:rPr>
        <w:br w:type="page"/>
      </w:r>
    </w:p>
    <w:p w14:paraId="3EEAFB8E" w14:textId="4ADF03D3" w:rsidR="004E7417" w:rsidRDefault="00FA52EA" w:rsidP="00A25DA7">
      <w:pPr>
        <w:jc w:val="center"/>
        <w:rPr>
          <w:b/>
          <w:bCs/>
          <w:sz w:val="24"/>
          <w:szCs w:val="24"/>
        </w:rPr>
      </w:pPr>
      <w:r>
        <w:rPr>
          <w:b/>
          <w:bCs/>
          <w:sz w:val="24"/>
          <w:szCs w:val="24"/>
        </w:rPr>
        <w:lastRenderedPageBreak/>
        <w:t xml:space="preserve">Annex 3: </w:t>
      </w:r>
      <w:r w:rsidR="00A25DA7">
        <w:rPr>
          <w:b/>
          <w:bCs/>
          <w:sz w:val="24"/>
          <w:szCs w:val="24"/>
        </w:rPr>
        <w:t>Locations and Concentrations of Palestinian UNRWA Refugee Camps</w:t>
      </w:r>
      <w:r w:rsidR="00A25DA7">
        <w:rPr>
          <w:rStyle w:val="EndnoteReference"/>
          <w:b/>
          <w:bCs/>
          <w:sz w:val="24"/>
          <w:szCs w:val="24"/>
        </w:rPr>
        <w:endnoteReference w:id="86"/>
      </w:r>
    </w:p>
    <w:p w14:paraId="70213DB0" w14:textId="7BAADCCD" w:rsidR="00A25DA7" w:rsidRDefault="00A25DA7" w:rsidP="00551BC1">
      <w:pPr>
        <w:jc w:val="center"/>
        <w:rPr>
          <w:b/>
          <w:bCs/>
          <w:sz w:val="24"/>
          <w:szCs w:val="24"/>
        </w:rPr>
      </w:pPr>
      <w:r w:rsidRPr="00A25DA7">
        <w:rPr>
          <w:b/>
          <w:bCs/>
          <w:noProof/>
          <w:sz w:val="24"/>
          <w:szCs w:val="24"/>
          <w:lang w:eastAsia="en-GB"/>
        </w:rPr>
        <w:lastRenderedPageBreak/>
        <w:drawing>
          <wp:inline distT="0" distB="0" distL="0" distR="0" wp14:anchorId="2FF83CE5" wp14:editId="061050D6">
            <wp:extent cx="4439728" cy="6240027"/>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a:extLst>
                        <a:ext uri="{28A0092B-C50C-407E-A947-70E740481C1C}">
                          <a14:useLocalDpi xmlns:a14="http://schemas.microsoft.com/office/drawing/2010/main" val="0"/>
                        </a:ext>
                      </a:extLst>
                    </a:blip>
                    <a:srcRect r="1316" b="280"/>
                    <a:stretch/>
                  </pic:blipFill>
                  <pic:spPr bwMode="auto">
                    <a:xfrm>
                      <a:off x="0" y="0"/>
                      <a:ext cx="4448598" cy="6252494"/>
                    </a:xfrm>
                    <a:prstGeom prst="rect">
                      <a:avLst/>
                    </a:prstGeom>
                    <a:noFill/>
                    <a:ln>
                      <a:noFill/>
                    </a:ln>
                    <a:extLst>
                      <a:ext uri="{53640926-AAD7-44D8-BBD7-CCE9431645EC}">
                        <a14:shadowObscured xmlns:a14="http://schemas.microsoft.com/office/drawing/2010/main"/>
                      </a:ext>
                    </a:extLst>
                  </pic:spPr>
                </pic:pic>
              </a:graphicData>
            </a:graphic>
          </wp:inline>
        </w:drawing>
      </w:r>
    </w:p>
    <w:p w14:paraId="7746626B" w14:textId="77777777" w:rsidR="00FA52EA" w:rsidRDefault="00FA52EA">
      <w:pPr>
        <w:rPr>
          <w:b/>
          <w:bCs/>
          <w:sz w:val="24"/>
          <w:szCs w:val="24"/>
        </w:rPr>
      </w:pPr>
    </w:p>
    <w:p w14:paraId="38FC5E5D" w14:textId="77777777" w:rsidR="00551BC1" w:rsidRDefault="00551BC1" w:rsidP="00551BC1">
      <w:pPr>
        <w:spacing w:after="120"/>
        <w:rPr>
          <w:rFonts w:asciiTheme="minorHAnsi" w:hAnsiTheme="minorHAnsi" w:cstheme="minorHAnsi"/>
          <w:b/>
          <w:bCs/>
          <w:sz w:val="18"/>
          <w:szCs w:val="18"/>
          <w:lang w:val="fr-FR"/>
        </w:rPr>
        <w:sectPr w:rsidR="00551BC1" w:rsidSect="00895233">
          <w:footerReference w:type="first" r:id="rId22"/>
          <w:endnotePr>
            <w:numFmt w:val="decimal"/>
          </w:endnotePr>
          <w:pgSz w:w="11906" w:h="16838" w:code="9"/>
          <w:pgMar w:top="1134" w:right="1701" w:bottom="1134" w:left="1701" w:header="284" w:footer="567" w:gutter="0"/>
          <w:cols w:space="720"/>
          <w:formProt w:val="0"/>
          <w:titlePg/>
          <w:docGrid w:linePitch="272"/>
        </w:sectPr>
      </w:pPr>
    </w:p>
    <w:p w14:paraId="688B43BB" w14:textId="3B048F5B" w:rsidR="00551BC1" w:rsidRPr="00551BC1" w:rsidRDefault="00551BC1" w:rsidP="00551BC1">
      <w:pPr>
        <w:spacing w:after="120"/>
        <w:rPr>
          <w:rFonts w:asciiTheme="minorHAnsi" w:hAnsiTheme="minorHAnsi" w:cstheme="minorHAnsi"/>
          <w:b/>
          <w:bCs/>
          <w:sz w:val="16"/>
          <w:szCs w:val="16"/>
          <w:lang w:val="fr-FR"/>
        </w:rPr>
      </w:pPr>
      <w:r w:rsidRPr="00551BC1">
        <w:rPr>
          <w:rFonts w:asciiTheme="minorHAnsi" w:hAnsiTheme="minorHAnsi" w:cstheme="minorHAnsi"/>
          <w:b/>
          <w:bCs/>
          <w:sz w:val="16"/>
          <w:szCs w:val="16"/>
          <w:lang w:val="fr-FR"/>
        </w:rPr>
        <w:t>In oPt :</w:t>
      </w:r>
    </w:p>
    <w:p w14:paraId="45379E40" w14:textId="5AAE3745" w:rsidR="00551BC1" w:rsidRPr="00551BC1" w:rsidRDefault="00551BC1" w:rsidP="00551BC1">
      <w:pPr>
        <w:rPr>
          <w:rFonts w:asciiTheme="minorHAnsi" w:hAnsiTheme="minorHAnsi" w:cstheme="minorHAnsi"/>
          <w:sz w:val="16"/>
          <w:szCs w:val="16"/>
          <w:lang w:val="fr-FR"/>
        </w:rPr>
      </w:pPr>
      <w:r w:rsidRPr="00551BC1">
        <w:rPr>
          <w:rFonts w:asciiTheme="minorHAnsi" w:hAnsiTheme="minorHAnsi" w:cstheme="minorHAnsi"/>
          <w:sz w:val="16"/>
          <w:szCs w:val="16"/>
          <w:lang w:val="fr-FR"/>
        </w:rPr>
        <w:t>Aida Camp</w:t>
      </w:r>
    </w:p>
    <w:p w14:paraId="01BEDE49" w14:textId="77777777" w:rsidR="00551BC1" w:rsidRPr="00551BC1" w:rsidRDefault="00551BC1" w:rsidP="00551BC1">
      <w:pPr>
        <w:rPr>
          <w:rFonts w:asciiTheme="minorHAnsi" w:hAnsiTheme="minorHAnsi" w:cstheme="minorHAnsi"/>
          <w:sz w:val="16"/>
          <w:szCs w:val="16"/>
          <w:lang w:val="fr-FR"/>
        </w:rPr>
      </w:pPr>
      <w:r w:rsidRPr="00551BC1">
        <w:rPr>
          <w:rFonts w:asciiTheme="minorHAnsi" w:hAnsiTheme="minorHAnsi" w:cstheme="minorHAnsi"/>
          <w:sz w:val="16"/>
          <w:szCs w:val="16"/>
          <w:lang w:val="fr-FR"/>
        </w:rPr>
        <w:t>Am'ari camp</w:t>
      </w:r>
    </w:p>
    <w:p w14:paraId="1262529D" w14:textId="77777777" w:rsidR="00551BC1" w:rsidRPr="00551BC1" w:rsidRDefault="00551BC1" w:rsidP="00551BC1">
      <w:pPr>
        <w:rPr>
          <w:rFonts w:asciiTheme="minorHAnsi" w:hAnsiTheme="minorHAnsi" w:cstheme="minorHAnsi"/>
          <w:sz w:val="16"/>
          <w:szCs w:val="16"/>
          <w:lang w:val="fr-FR"/>
        </w:rPr>
      </w:pPr>
      <w:r w:rsidRPr="00551BC1">
        <w:rPr>
          <w:rFonts w:asciiTheme="minorHAnsi" w:hAnsiTheme="minorHAnsi" w:cstheme="minorHAnsi"/>
          <w:sz w:val="16"/>
          <w:szCs w:val="16"/>
          <w:lang w:val="fr-FR"/>
        </w:rPr>
        <w:t>Aqbat Jabr Camp</w:t>
      </w:r>
    </w:p>
    <w:p w14:paraId="61081E70"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Arroub Camp</w:t>
      </w:r>
    </w:p>
    <w:p w14:paraId="0F849185"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Askar Camp</w:t>
      </w:r>
    </w:p>
    <w:p w14:paraId="6BCF6531"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Balata Camp</w:t>
      </w:r>
    </w:p>
    <w:p w14:paraId="0E6A0CC1"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Beit Jibrin Camp</w:t>
      </w:r>
    </w:p>
    <w:p w14:paraId="1577F6A6"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Camp No. 1 Camp</w:t>
      </w:r>
    </w:p>
    <w:p w14:paraId="363DEA10"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Deir 'Ammar Camp</w:t>
      </w:r>
    </w:p>
    <w:p w14:paraId="004944A7"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Dheisheh Camp</w:t>
      </w:r>
    </w:p>
    <w:p w14:paraId="15DB702B"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Ein el-Sultan Camp</w:t>
      </w:r>
    </w:p>
    <w:p w14:paraId="1E6AEFA0"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Far'a Camp</w:t>
      </w:r>
    </w:p>
    <w:p w14:paraId="07779258"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Fawwar Camp</w:t>
      </w:r>
    </w:p>
    <w:p w14:paraId="1135EF05"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Jalazone Camp</w:t>
      </w:r>
    </w:p>
    <w:p w14:paraId="5D1F5D5E"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Jenin Camp</w:t>
      </w:r>
    </w:p>
    <w:p w14:paraId="174DD517"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Kalandia Camp</w:t>
      </w:r>
    </w:p>
    <w:p w14:paraId="1FF48316"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Nur Shams Camp</w:t>
      </w:r>
    </w:p>
    <w:p w14:paraId="0255B185"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Shu'fat Camp</w:t>
      </w:r>
    </w:p>
    <w:p w14:paraId="3D5FABCD"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Tulkarm Camp</w:t>
      </w:r>
    </w:p>
    <w:p w14:paraId="10B76B09" w14:textId="77777777" w:rsidR="00551BC1" w:rsidRPr="00551BC1" w:rsidRDefault="00551BC1" w:rsidP="00551BC1">
      <w:pPr>
        <w:spacing w:after="120"/>
        <w:rPr>
          <w:rFonts w:asciiTheme="minorHAnsi" w:hAnsiTheme="minorHAnsi" w:cstheme="minorHAnsi"/>
          <w:b/>
          <w:bCs/>
          <w:sz w:val="16"/>
          <w:szCs w:val="16"/>
        </w:rPr>
      </w:pPr>
      <w:r w:rsidRPr="00551BC1">
        <w:rPr>
          <w:rFonts w:asciiTheme="minorHAnsi" w:hAnsiTheme="minorHAnsi" w:cstheme="minorHAnsi"/>
          <w:b/>
          <w:bCs/>
          <w:sz w:val="16"/>
          <w:szCs w:val="16"/>
        </w:rPr>
        <w:t>In Syria:</w:t>
      </w:r>
    </w:p>
    <w:p w14:paraId="6B601E74"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Dera'a Camp</w:t>
      </w:r>
    </w:p>
    <w:p w14:paraId="617D2C8B"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Ein el Tal (unofficial camp*)</w:t>
      </w:r>
    </w:p>
    <w:p w14:paraId="1A22B9A0"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Hama Camp</w:t>
      </w:r>
    </w:p>
    <w:p w14:paraId="4137DC88"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Homs Camp</w:t>
      </w:r>
    </w:p>
    <w:p w14:paraId="17142A18"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Jaramana Camp</w:t>
      </w:r>
    </w:p>
    <w:p w14:paraId="7B9FA8A4"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Khan Dunoun Camp</w:t>
      </w:r>
    </w:p>
    <w:p w14:paraId="3715982F"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Khan Eshieh Camp</w:t>
      </w:r>
    </w:p>
    <w:p w14:paraId="527C1F9C"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Latakia (unofficial camp*)</w:t>
      </w:r>
    </w:p>
    <w:p w14:paraId="7ED58A05"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Neirab Camp</w:t>
      </w:r>
    </w:p>
    <w:p w14:paraId="611CE6AA"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Qabr Essit Camp</w:t>
      </w:r>
    </w:p>
    <w:p w14:paraId="2CC9E38C"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Sbeineh Camp</w:t>
      </w:r>
    </w:p>
    <w:p w14:paraId="75579093" w14:textId="66B1958E" w:rsidR="00A25DA7" w:rsidRPr="00551BC1" w:rsidRDefault="00551BC1" w:rsidP="00551BC1">
      <w:pPr>
        <w:rPr>
          <w:rFonts w:asciiTheme="minorHAnsi" w:hAnsiTheme="minorHAnsi" w:cstheme="minorHAnsi"/>
          <w:b/>
          <w:bCs/>
          <w:sz w:val="16"/>
          <w:szCs w:val="16"/>
        </w:rPr>
      </w:pPr>
      <w:r w:rsidRPr="00551BC1">
        <w:rPr>
          <w:rFonts w:asciiTheme="minorHAnsi" w:hAnsiTheme="minorHAnsi" w:cstheme="minorHAnsi"/>
          <w:sz w:val="16"/>
          <w:szCs w:val="16"/>
        </w:rPr>
        <w:t>Yarmouk (unofficial camp*)</w:t>
      </w:r>
      <w:r w:rsidR="00FA52EA" w:rsidRPr="00551BC1">
        <w:rPr>
          <w:rFonts w:asciiTheme="minorHAnsi" w:hAnsiTheme="minorHAnsi" w:cstheme="minorHAnsi"/>
          <w:b/>
          <w:bCs/>
          <w:sz w:val="16"/>
          <w:szCs w:val="16"/>
        </w:rPr>
        <w:br/>
      </w:r>
    </w:p>
    <w:p w14:paraId="726F62FC" w14:textId="0A3C9249" w:rsidR="00551BC1" w:rsidRPr="00551BC1" w:rsidRDefault="00551BC1" w:rsidP="00551BC1">
      <w:pPr>
        <w:spacing w:after="120"/>
        <w:rPr>
          <w:rFonts w:asciiTheme="minorHAnsi" w:hAnsiTheme="minorHAnsi" w:cstheme="minorHAnsi"/>
          <w:b/>
          <w:bCs/>
          <w:sz w:val="16"/>
          <w:szCs w:val="16"/>
        </w:rPr>
      </w:pPr>
      <w:r w:rsidRPr="00551BC1">
        <w:rPr>
          <w:rFonts w:asciiTheme="minorHAnsi" w:hAnsiTheme="minorHAnsi" w:cstheme="minorHAnsi"/>
          <w:b/>
          <w:bCs/>
          <w:sz w:val="16"/>
          <w:szCs w:val="16"/>
        </w:rPr>
        <w:t xml:space="preserve">In Lebanon: </w:t>
      </w:r>
    </w:p>
    <w:p w14:paraId="10C4AD28" w14:textId="0E190F5F"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Beddawi Camp</w:t>
      </w:r>
    </w:p>
    <w:p w14:paraId="643391C0"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Burj Barajneh Camp</w:t>
      </w:r>
    </w:p>
    <w:p w14:paraId="296B51C3"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Burj Shemali Camp</w:t>
      </w:r>
    </w:p>
    <w:p w14:paraId="152C659B"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Dbayeh Camp</w:t>
      </w:r>
    </w:p>
    <w:p w14:paraId="6342B4E3"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Ein El Hilweh Camp</w:t>
      </w:r>
    </w:p>
    <w:p w14:paraId="1122508B"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El Buss Camp</w:t>
      </w:r>
    </w:p>
    <w:p w14:paraId="6C78A36F"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Mar Elias Camp</w:t>
      </w:r>
    </w:p>
    <w:p w14:paraId="6B22C957"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lastRenderedPageBreak/>
        <w:t>Mieh Mieh Camp</w:t>
      </w:r>
    </w:p>
    <w:p w14:paraId="3092FDBA"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Nahr el-Bared Camp</w:t>
      </w:r>
    </w:p>
    <w:p w14:paraId="121C8A6F"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Rashidieh Camp</w:t>
      </w:r>
    </w:p>
    <w:p w14:paraId="6BF79133"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Shatila Camp</w:t>
      </w:r>
    </w:p>
    <w:p w14:paraId="45C349EB" w14:textId="138A394E"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Wavel Camp</w:t>
      </w:r>
    </w:p>
    <w:p w14:paraId="26BB05A2" w14:textId="77777777" w:rsidR="00551BC1" w:rsidRPr="00551BC1" w:rsidRDefault="00551BC1">
      <w:pPr>
        <w:rPr>
          <w:rFonts w:asciiTheme="minorHAnsi" w:hAnsiTheme="minorHAnsi" w:cstheme="minorHAnsi"/>
          <w:sz w:val="16"/>
          <w:szCs w:val="16"/>
        </w:rPr>
      </w:pPr>
    </w:p>
    <w:p w14:paraId="0654254C" w14:textId="77777777" w:rsidR="00551BC1" w:rsidRPr="00551BC1" w:rsidRDefault="00551BC1" w:rsidP="00551BC1">
      <w:pPr>
        <w:spacing w:after="120"/>
        <w:rPr>
          <w:rFonts w:asciiTheme="minorHAnsi" w:hAnsiTheme="minorHAnsi" w:cstheme="minorHAnsi"/>
          <w:b/>
          <w:bCs/>
          <w:sz w:val="16"/>
          <w:szCs w:val="16"/>
        </w:rPr>
      </w:pPr>
      <w:r w:rsidRPr="00551BC1">
        <w:rPr>
          <w:rFonts w:asciiTheme="minorHAnsi" w:hAnsiTheme="minorHAnsi" w:cstheme="minorHAnsi"/>
          <w:b/>
          <w:bCs/>
          <w:sz w:val="16"/>
          <w:szCs w:val="16"/>
        </w:rPr>
        <w:t>In Jordan:</w:t>
      </w:r>
    </w:p>
    <w:p w14:paraId="57794DAA"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Amman New Camp</w:t>
      </w:r>
    </w:p>
    <w:p w14:paraId="63A551D7"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Baqa'a Camp</w:t>
      </w:r>
    </w:p>
    <w:p w14:paraId="58419233"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Husn Camp</w:t>
      </w:r>
    </w:p>
    <w:p w14:paraId="66929A59"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Irbid Camp</w:t>
      </w:r>
    </w:p>
    <w:p w14:paraId="213830C9"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Jabal el-Hussein Camp</w:t>
      </w:r>
    </w:p>
    <w:p w14:paraId="03B44A71"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Jerash Camp</w:t>
      </w:r>
    </w:p>
    <w:p w14:paraId="3698861A"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Marka Camp</w:t>
      </w:r>
    </w:p>
    <w:p w14:paraId="145D5E01"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Souf Camp</w:t>
      </w:r>
    </w:p>
    <w:p w14:paraId="5CEBF593" w14:textId="77777777" w:rsidR="00551BC1" w:rsidRPr="00551BC1" w:rsidRDefault="00551BC1" w:rsidP="00551BC1">
      <w:pPr>
        <w:rPr>
          <w:rFonts w:asciiTheme="minorHAnsi" w:hAnsiTheme="minorHAnsi" w:cstheme="minorHAnsi"/>
          <w:sz w:val="16"/>
          <w:szCs w:val="16"/>
        </w:rPr>
      </w:pPr>
      <w:r w:rsidRPr="00551BC1">
        <w:rPr>
          <w:rFonts w:asciiTheme="minorHAnsi" w:hAnsiTheme="minorHAnsi" w:cstheme="minorHAnsi"/>
          <w:sz w:val="16"/>
          <w:szCs w:val="16"/>
        </w:rPr>
        <w:t>Talbieh Camp</w:t>
      </w:r>
    </w:p>
    <w:p w14:paraId="58E37B3C" w14:textId="77777777" w:rsidR="00551BC1" w:rsidRDefault="00551BC1" w:rsidP="00551BC1">
      <w:pPr>
        <w:rPr>
          <w:rFonts w:asciiTheme="minorHAnsi" w:hAnsiTheme="minorHAnsi" w:cstheme="minorHAnsi"/>
          <w:sz w:val="18"/>
          <w:szCs w:val="18"/>
        </w:rPr>
      </w:pPr>
      <w:r w:rsidRPr="00551BC1">
        <w:rPr>
          <w:rFonts w:asciiTheme="minorHAnsi" w:hAnsiTheme="minorHAnsi" w:cstheme="minorHAnsi"/>
          <w:sz w:val="16"/>
          <w:szCs w:val="16"/>
        </w:rPr>
        <w:t>Zarqa Camp</w:t>
      </w:r>
      <w:r w:rsidRPr="00551BC1">
        <w:rPr>
          <w:rFonts w:asciiTheme="minorHAnsi" w:hAnsiTheme="minorHAnsi" w:cstheme="minorHAnsi"/>
          <w:sz w:val="18"/>
          <w:szCs w:val="18"/>
        </w:rPr>
        <w:t xml:space="preserve"> </w:t>
      </w:r>
    </w:p>
    <w:p w14:paraId="1B74503D" w14:textId="77777777" w:rsidR="00431137" w:rsidRDefault="00431137" w:rsidP="00551BC1">
      <w:pPr>
        <w:rPr>
          <w:rFonts w:asciiTheme="minorHAnsi" w:hAnsiTheme="minorHAnsi" w:cstheme="minorHAnsi"/>
          <w:sz w:val="18"/>
          <w:szCs w:val="18"/>
        </w:rPr>
        <w:sectPr w:rsidR="00431137" w:rsidSect="00551BC1">
          <w:endnotePr>
            <w:numFmt w:val="decimal"/>
          </w:endnotePr>
          <w:type w:val="continuous"/>
          <w:pgSz w:w="11906" w:h="16838" w:code="9"/>
          <w:pgMar w:top="1134" w:right="1701" w:bottom="1134" w:left="1701" w:header="284" w:footer="567" w:gutter="0"/>
          <w:cols w:num="3" w:space="720"/>
          <w:formProt w:val="0"/>
          <w:titlePg/>
          <w:docGrid w:linePitch="272"/>
        </w:sectPr>
      </w:pPr>
    </w:p>
    <w:p w14:paraId="0D91AD9D" w14:textId="562685D2" w:rsidR="00431137" w:rsidRDefault="00431137" w:rsidP="00551BC1">
      <w:pPr>
        <w:rPr>
          <w:rFonts w:asciiTheme="minorHAnsi" w:hAnsiTheme="minorHAnsi" w:cstheme="minorHAnsi"/>
          <w:sz w:val="18"/>
          <w:szCs w:val="18"/>
        </w:rPr>
      </w:pPr>
    </w:p>
    <w:p w14:paraId="1EC8BCB9" w14:textId="0AD9C0EB" w:rsidR="00431137" w:rsidRDefault="00431137" w:rsidP="00551BC1">
      <w:pPr>
        <w:rPr>
          <w:rFonts w:asciiTheme="minorHAnsi" w:hAnsiTheme="minorHAnsi" w:cstheme="minorHAnsi"/>
          <w:sz w:val="18"/>
          <w:szCs w:val="18"/>
        </w:rPr>
      </w:pPr>
    </w:p>
    <w:p w14:paraId="20E26C0C" w14:textId="28BE1217" w:rsidR="00431137" w:rsidRDefault="00431137" w:rsidP="00551BC1">
      <w:pPr>
        <w:rPr>
          <w:rFonts w:asciiTheme="minorHAnsi" w:hAnsiTheme="minorHAnsi" w:cstheme="minorHAnsi"/>
          <w:sz w:val="18"/>
          <w:szCs w:val="18"/>
        </w:rPr>
        <w:sectPr w:rsidR="00431137" w:rsidSect="00431137">
          <w:endnotePr>
            <w:numFmt w:val="decimal"/>
          </w:endnotePr>
          <w:pgSz w:w="11906" w:h="16838" w:code="9"/>
          <w:pgMar w:top="1134" w:right="1701" w:bottom="1134" w:left="1701" w:header="284" w:footer="567" w:gutter="0"/>
          <w:cols w:num="3" w:space="720"/>
          <w:formProt w:val="0"/>
          <w:titlePg/>
          <w:docGrid w:linePitch="272"/>
        </w:sectPr>
      </w:pPr>
    </w:p>
    <w:p w14:paraId="7A9FEA0F" w14:textId="7BAB0971" w:rsidR="00431137" w:rsidRDefault="00431137" w:rsidP="003A314E">
      <w:pPr>
        <w:jc w:val="both"/>
        <w:rPr>
          <w:b/>
          <w:bCs/>
          <w:sz w:val="24"/>
          <w:szCs w:val="24"/>
        </w:rPr>
      </w:pPr>
    </w:p>
    <w:p w14:paraId="6885F1A0" w14:textId="6F959AF1" w:rsidR="00431137" w:rsidRDefault="00431137" w:rsidP="00431137">
      <w:pPr>
        <w:jc w:val="center"/>
        <w:rPr>
          <w:b/>
          <w:bCs/>
          <w:sz w:val="24"/>
          <w:szCs w:val="24"/>
        </w:rPr>
      </w:pPr>
      <w:r>
        <w:rPr>
          <w:noProof/>
          <w:lang w:eastAsia="en-GB"/>
        </w:rPr>
        <w:drawing>
          <wp:anchor distT="0" distB="0" distL="114300" distR="114300" simplePos="0" relativeHeight="251657216" behindDoc="1" locked="0" layoutInCell="1" allowOverlap="1" wp14:anchorId="43C8AD8B" wp14:editId="44DD36AB">
            <wp:simplePos x="0" y="0"/>
            <wp:positionH relativeFrom="margin">
              <wp:align>center</wp:align>
            </wp:positionH>
            <wp:positionV relativeFrom="page">
              <wp:posOffset>1326515</wp:posOffset>
            </wp:positionV>
            <wp:extent cx="6724800" cy="7066800"/>
            <wp:effectExtent l="0" t="0" r="0" b="127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24800" cy="7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4"/>
          <w:szCs w:val="24"/>
        </w:rPr>
        <w:t>Annex 4: Locations and Concentrations of Palestinians in the Naqab</w:t>
      </w:r>
      <w:r w:rsidR="00FC440E">
        <w:rPr>
          <w:rStyle w:val="EndnoteReference"/>
          <w:b/>
          <w:bCs/>
          <w:sz w:val="24"/>
          <w:szCs w:val="24"/>
        </w:rPr>
        <w:endnoteReference w:id="87"/>
      </w:r>
    </w:p>
    <w:p w14:paraId="356B4DD4" w14:textId="253AEB00" w:rsidR="00431137" w:rsidRDefault="00431137">
      <w:pPr>
        <w:rPr>
          <w:b/>
          <w:bCs/>
          <w:sz w:val="24"/>
          <w:szCs w:val="24"/>
        </w:rPr>
      </w:pPr>
    </w:p>
    <w:p w14:paraId="369BF679" w14:textId="7C97E895" w:rsidR="00431137" w:rsidRDefault="00431137">
      <w:pPr>
        <w:rPr>
          <w:b/>
          <w:bCs/>
          <w:sz w:val="24"/>
          <w:szCs w:val="24"/>
        </w:rPr>
      </w:pPr>
    </w:p>
    <w:p w14:paraId="1CB71F52" w14:textId="3EF93E84" w:rsidR="00431137" w:rsidRDefault="00431137">
      <w:pPr>
        <w:rPr>
          <w:b/>
          <w:bCs/>
          <w:sz w:val="24"/>
          <w:szCs w:val="24"/>
        </w:rPr>
      </w:pPr>
      <w:r>
        <w:rPr>
          <w:b/>
          <w:bCs/>
          <w:sz w:val="24"/>
          <w:szCs w:val="24"/>
        </w:rPr>
        <w:t xml:space="preserve"> </w:t>
      </w:r>
      <w:r>
        <w:rPr>
          <w:b/>
          <w:bCs/>
          <w:sz w:val="24"/>
          <w:szCs w:val="24"/>
        </w:rPr>
        <w:br w:type="page"/>
      </w:r>
    </w:p>
    <w:p w14:paraId="3CA72F96" w14:textId="63E3295F" w:rsidR="00685084" w:rsidRPr="00685084" w:rsidRDefault="00685084" w:rsidP="003A314E">
      <w:pPr>
        <w:jc w:val="both"/>
        <w:rPr>
          <w:b/>
          <w:bCs/>
          <w:sz w:val="24"/>
          <w:szCs w:val="24"/>
        </w:rPr>
      </w:pPr>
      <w:r>
        <w:rPr>
          <w:b/>
          <w:bCs/>
          <w:sz w:val="24"/>
          <w:szCs w:val="24"/>
        </w:rPr>
        <w:lastRenderedPageBreak/>
        <w:t>Endnotes:</w:t>
      </w:r>
    </w:p>
    <w:sectPr w:rsidR="00685084" w:rsidRPr="00685084" w:rsidSect="00551BC1">
      <w:endnotePr>
        <w:numFmt w:val="decimal"/>
      </w:endnotePr>
      <w:type w:val="continuous"/>
      <w:pgSz w:w="11906" w:h="16838" w:code="9"/>
      <w:pgMar w:top="1134" w:right="1701" w:bottom="1134" w:left="1701" w:header="284" w:footer="567" w:gutter="0"/>
      <w:cols w:space="720"/>
      <w:formProt w:val="0"/>
      <w:titlePg/>
      <w:docGrid w:linePitch="27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DF0914F" w16cid:durableId="244850D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FFB3B7" w14:textId="77777777" w:rsidR="005E53DF" w:rsidRDefault="005E53DF">
      <w:r>
        <w:separator/>
      </w:r>
    </w:p>
  </w:endnote>
  <w:endnote w:type="continuationSeparator" w:id="0">
    <w:p w14:paraId="06E7F219" w14:textId="77777777" w:rsidR="005E53DF" w:rsidRDefault="005E53DF">
      <w:r>
        <w:continuationSeparator/>
      </w:r>
    </w:p>
  </w:endnote>
  <w:endnote w:id="1">
    <w:p w14:paraId="64213469" w14:textId="3871E517" w:rsidR="004778B8" w:rsidRPr="00C32BB1" w:rsidRDefault="004778B8" w:rsidP="00C32BB1">
      <w:pPr>
        <w:pStyle w:val="EndnoteText"/>
        <w:ind w:left="170" w:hanging="170"/>
        <w:jc w:val="lowKashida"/>
        <w:rPr>
          <w:rFonts w:asciiTheme="minorHAnsi" w:hAnsiTheme="minorHAnsi" w:cstheme="minorHAnsi"/>
          <w:sz w:val="18"/>
          <w:szCs w:val="18"/>
          <w:lang w:val="fr-FR"/>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rPr>
        <w:tab/>
      </w:r>
      <w:r w:rsidRPr="004E7417">
        <w:rPr>
          <w:rFonts w:asciiTheme="minorHAnsi" w:hAnsiTheme="minorHAnsi" w:cstheme="minorHAnsi"/>
          <w:spacing w:val="-8"/>
          <w:sz w:val="18"/>
          <w:szCs w:val="18"/>
        </w:rPr>
        <w:t xml:space="preserve">Resolution on German War Crimes (London Charter) (12 January 1942), </w:t>
      </w:r>
      <w:r w:rsidRPr="004E7417">
        <w:rPr>
          <w:rFonts w:asciiTheme="minorHAnsi" w:hAnsiTheme="minorHAnsi" w:cstheme="minorHAnsi"/>
          <w:i/>
          <w:iCs/>
          <w:spacing w:val="-8"/>
          <w:sz w:val="18"/>
          <w:szCs w:val="18"/>
        </w:rPr>
        <w:t>Inter-Allied Review</w:t>
      </w:r>
      <w:r w:rsidRPr="004E7417">
        <w:rPr>
          <w:rFonts w:asciiTheme="minorHAnsi" w:hAnsiTheme="minorHAnsi" w:cstheme="minorHAnsi"/>
          <w:spacing w:val="-8"/>
          <w:sz w:val="18"/>
          <w:szCs w:val="18"/>
        </w:rPr>
        <w:t xml:space="preserve"> (15 February 1942), </w:t>
      </w:r>
      <w:hyperlink r:id="rId1" w:history="1">
        <w:r w:rsidRPr="004E7417">
          <w:rPr>
            <w:rStyle w:val="Hyperlink"/>
            <w:rFonts w:asciiTheme="minorHAnsi" w:hAnsiTheme="minorHAnsi" w:cstheme="minorHAnsi"/>
            <w:spacing w:val="-8"/>
            <w:sz w:val="18"/>
            <w:szCs w:val="18"/>
          </w:rPr>
          <w:t>https://www.legal-tools.org/doc/bb0570/pdf/</w:t>
        </w:r>
      </w:hyperlink>
      <w:r w:rsidRPr="004E7417">
        <w:rPr>
          <w:rFonts w:asciiTheme="minorHAnsi" w:hAnsiTheme="minorHAnsi" w:cstheme="minorHAnsi"/>
          <w:spacing w:val="-8"/>
          <w:sz w:val="18"/>
          <w:szCs w:val="18"/>
        </w:rPr>
        <w:t xml:space="preserve">; Polish Cabinet in Exile (17 October 1942), in Louise W. Holborn, ed., </w:t>
      </w:r>
      <w:r w:rsidRPr="004E7417">
        <w:rPr>
          <w:rFonts w:asciiTheme="minorHAnsi" w:hAnsiTheme="minorHAnsi" w:cstheme="minorHAnsi"/>
          <w:i/>
          <w:iCs/>
          <w:spacing w:val="-8"/>
          <w:sz w:val="18"/>
          <w:szCs w:val="18"/>
        </w:rPr>
        <w:t>War and Peace Aims of the United Nations: 1 September 1939 – 31 December 1942</w:t>
      </w:r>
      <w:r w:rsidRPr="004E7417">
        <w:rPr>
          <w:rFonts w:asciiTheme="minorHAnsi" w:hAnsiTheme="minorHAnsi" w:cstheme="minorHAnsi"/>
          <w:spacing w:val="-8"/>
          <w:sz w:val="18"/>
          <w:szCs w:val="18"/>
        </w:rPr>
        <w:t xml:space="preserve"> (Boston, World Peace Foundation, 1943), p. 462; Statue of the International Military Tribunal, Nuremberg, </w:t>
      </w:r>
      <w:hyperlink r:id="rId2" w:history="1">
        <w:r w:rsidRPr="004E7417">
          <w:rPr>
            <w:rStyle w:val="Hyperlink"/>
            <w:rFonts w:asciiTheme="minorHAnsi" w:hAnsiTheme="minorHAnsi" w:cstheme="minorHAnsi"/>
            <w:spacing w:val="-8"/>
            <w:sz w:val="18"/>
            <w:szCs w:val="18"/>
          </w:rPr>
          <w:t>https://www.un.org/en/genocideprevention/documents/atrocity-crimes/Doc.2_Charter%20of%20IMT%201945.pdf</w:t>
        </w:r>
      </w:hyperlink>
      <w:r w:rsidRPr="004E7417">
        <w:rPr>
          <w:rFonts w:asciiTheme="minorHAnsi" w:hAnsiTheme="minorHAnsi" w:cstheme="minorHAnsi"/>
          <w:spacing w:val="-8"/>
          <w:sz w:val="18"/>
          <w:szCs w:val="18"/>
        </w:rPr>
        <w:t xml:space="preserve">; Agreement for the prosecution and punishment of the major war criminals of the European Axis, signed at London 8 August 1945, </w:t>
      </w:r>
      <w:hyperlink r:id="rId3" w:history="1">
        <w:r w:rsidRPr="004E7417">
          <w:rPr>
            <w:rStyle w:val="Hyperlink"/>
            <w:rFonts w:asciiTheme="minorHAnsi" w:hAnsiTheme="minorHAnsi" w:cstheme="minorHAnsi"/>
            <w:spacing w:val="-8"/>
            <w:sz w:val="18"/>
            <w:szCs w:val="18"/>
          </w:rPr>
          <w:t>https://www.un.org/en/genocideprevention/documents/atrocity-crimes/Doc.2_Charter%20of%20IMT%201945.pdf</w:t>
        </w:r>
      </w:hyperlink>
      <w:r w:rsidRPr="004E7417">
        <w:rPr>
          <w:rFonts w:asciiTheme="minorHAnsi" w:hAnsiTheme="minorHAnsi" w:cstheme="minorHAnsi"/>
          <w:spacing w:val="-8"/>
          <w:sz w:val="18"/>
          <w:szCs w:val="18"/>
        </w:rPr>
        <w:t xml:space="preserve">; </w:t>
      </w:r>
      <w:r w:rsidR="004E7417" w:rsidRPr="004E7417">
        <w:rPr>
          <w:rFonts w:asciiTheme="minorHAnsi" w:hAnsiTheme="minorHAnsi" w:cstheme="minorHAnsi"/>
          <w:spacing w:val="-8"/>
          <w:sz w:val="18"/>
          <w:szCs w:val="18"/>
        </w:rPr>
        <w:t>S</w:t>
      </w:r>
      <w:r w:rsidRPr="004E7417">
        <w:rPr>
          <w:rFonts w:asciiTheme="minorHAnsi" w:hAnsiTheme="minorHAnsi" w:cstheme="minorHAnsi"/>
          <w:spacing w:val="-8"/>
          <w:sz w:val="18"/>
          <w:szCs w:val="18"/>
        </w:rPr>
        <w:t xml:space="preserve">tatue of the International Military Tribunal of the Far East (19 January 1946), </w:t>
      </w:r>
      <w:hyperlink r:id="rId4" w:history="1">
        <w:r w:rsidRPr="004E7417">
          <w:rPr>
            <w:rStyle w:val="Hyperlink"/>
            <w:rFonts w:asciiTheme="minorHAnsi" w:hAnsiTheme="minorHAnsi" w:cstheme="minorHAnsi"/>
            <w:spacing w:val="-8"/>
            <w:sz w:val="18"/>
            <w:szCs w:val="18"/>
          </w:rPr>
          <w:t>https://www.un.org/en/genocideprevention/documents/atrocity-crimes/Doc.3_1946%20Tokyo%20Charter.pdf</w:t>
        </w:r>
      </w:hyperlink>
      <w:r w:rsidRPr="004E7417">
        <w:rPr>
          <w:rFonts w:asciiTheme="minorHAnsi" w:hAnsiTheme="minorHAnsi" w:cstheme="minorHAnsi"/>
          <w:spacing w:val="-8"/>
          <w:sz w:val="18"/>
          <w:szCs w:val="18"/>
        </w:rPr>
        <w:t xml:space="preserve">; draft Code of Crime against the Peace and Security of Mankind (1991), </w:t>
      </w:r>
      <w:hyperlink r:id="rId5" w:history="1">
        <w:r w:rsidRPr="004E7417">
          <w:rPr>
            <w:rStyle w:val="Hyperlink"/>
            <w:rFonts w:asciiTheme="minorHAnsi" w:hAnsiTheme="minorHAnsi" w:cstheme="minorHAnsi"/>
            <w:spacing w:val="-8"/>
            <w:sz w:val="18"/>
            <w:szCs w:val="18"/>
          </w:rPr>
          <w:t>https://legal.un.org/ilc/guide/7_4.shtml</w:t>
        </w:r>
      </w:hyperlink>
      <w:r w:rsidRPr="004E7417">
        <w:rPr>
          <w:rFonts w:asciiTheme="minorHAnsi" w:hAnsiTheme="minorHAnsi" w:cstheme="minorHAnsi"/>
          <w:spacing w:val="-8"/>
          <w:sz w:val="18"/>
          <w:szCs w:val="18"/>
        </w:rPr>
        <w:t xml:space="preserve">; see also Aun S. Khasawneh and Ribot Hatano, The human rights dimension s of population transfer, including the implantation of settlements, A/CN.4/2/1993/17 (6 July 1993),  </w:t>
      </w:r>
      <w:hyperlink r:id="rId6" w:history="1">
        <w:r w:rsidRPr="004E7417">
          <w:rPr>
            <w:rStyle w:val="Hyperlink"/>
            <w:rFonts w:asciiTheme="minorHAnsi" w:hAnsiTheme="minorHAnsi" w:cstheme="minorHAnsi"/>
            <w:spacing w:val="-8"/>
            <w:sz w:val="18"/>
            <w:szCs w:val="18"/>
          </w:rPr>
          <w:t>https://undocs.org/pdf?symbol=en/E/CN.4/Sub.2/1993/17</w:t>
        </w:r>
      </w:hyperlink>
      <w:r w:rsidRPr="004E7417">
        <w:rPr>
          <w:rFonts w:asciiTheme="minorHAnsi" w:hAnsiTheme="minorHAnsi" w:cstheme="minorHAnsi"/>
          <w:spacing w:val="-8"/>
          <w:sz w:val="18"/>
          <w:szCs w:val="18"/>
        </w:rPr>
        <w:t xml:space="preserve">; Ghislain Poissonnier and Eric David, “Israeli Settlements in the West Bank, a War Crime ?” </w:t>
      </w:r>
      <w:r w:rsidRPr="004E7417">
        <w:rPr>
          <w:rFonts w:asciiTheme="minorHAnsi" w:hAnsiTheme="minorHAnsi" w:cstheme="minorHAnsi"/>
          <w:i/>
          <w:iCs/>
          <w:spacing w:val="-8"/>
          <w:sz w:val="18"/>
          <w:szCs w:val="18"/>
          <w:lang w:val="fr-FR"/>
        </w:rPr>
        <w:t>Revue des droits de l'homme</w:t>
      </w:r>
      <w:r w:rsidRPr="004E7417">
        <w:rPr>
          <w:rFonts w:asciiTheme="minorHAnsi" w:hAnsiTheme="minorHAnsi" w:cstheme="minorHAnsi"/>
          <w:spacing w:val="-8"/>
          <w:sz w:val="18"/>
          <w:szCs w:val="18"/>
          <w:lang w:val="fr-FR"/>
        </w:rPr>
        <w:t xml:space="preserve">, N° 17 (2020), </w:t>
      </w:r>
      <w:hyperlink r:id="rId7" w:history="1">
        <w:r w:rsidRPr="004E7417">
          <w:rPr>
            <w:rStyle w:val="Hyperlink"/>
            <w:rFonts w:asciiTheme="minorHAnsi" w:hAnsiTheme="minorHAnsi" w:cstheme="minorHAnsi"/>
            <w:spacing w:val="-8"/>
            <w:sz w:val="18"/>
            <w:szCs w:val="18"/>
            <w:lang w:val="fr-FR"/>
          </w:rPr>
          <w:t>https://journals.openedition.org/revdh/7613</w:t>
        </w:r>
      </w:hyperlink>
      <w:r w:rsidRPr="004E7417">
        <w:rPr>
          <w:rFonts w:asciiTheme="minorHAnsi" w:hAnsiTheme="minorHAnsi" w:cstheme="minorHAnsi"/>
          <w:spacing w:val="-8"/>
          <w:sz w:val="18"/>
          <w:szCs w:val="18"/>
          <w:lang w:val="fr-FR"/>
        </w:rPr>
        <w:t>.</w:t>
      </w:r>
      <w:r w:rsidRPr="00C32BB1">
        <w:rPr>
          <w:rFonts w:asciiTheme="minorHAnsi" w:hAnsiTheme="minorHAnsi" w:cstheme="minorHAnsi"/>
          <w:sz w:val="18"/>
          <w:szCs w:val="18"/>
          <w:lang w:val="fr-FR"/>
        </w:rPr>
        <w:t xml:space="preserve"> </w:t>
      </w:r>
    </w:p>
  </w:endnote>
  <w:endnote w:id="2">
    <w:p w14:paraId="68E4812D" w14:textId="7FF26D1A" w:rsidR="004778B8" w:rsidRPr="00C32BB1" w:rsidRDefault="004778B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tl/>
        </w:rPr>
        <w:t xml:space="preserve"> </w:t>
      </w:r>
      <w:r w:rsidRPr="00C32BB1">
        <w:rPr>
          <w:rFonts w:asciiTheme="minorHAnsi" w:hAnsiTheme="minorHAnsi" w:cstheme="minorHAnsi"/>
          <w:sz w:val="18"/>
          <w:szCs w:val="18"/>
        </w:rPr>
        <w:tab/>
      </w:r>
      <w:r w:rsidRPr="004E7417">
        <w:rPr>
          <w:rFonts w:asciiTheme="minorHAnsi" w:hAnsiTheme="minorHAnsi" w:cstheme="minorHAnsi"/>
          <w:i/>
          <w:iCs/>
          <w:spacing w:val="-6"/>
          <w:sz w:val="18"/>
          <w:szCs w:val="18"/>
        </w:rPr>
        <w:t>See</w:t>
      </w:r>
      <w:r w:rsidRPr="004E7417">
        <w:rPr>
          <w:rFonts w:asciiTheme="minorHAnsi" w:hAnsiTheme="minorHAnsi" w:cstheme="minorHAnsi"/>
          <w:spacing w:val="-6"/>
          <w:sz w:val="18"/>
          <w:szCs w:val="18"/>
        </w:rPr>
        <w:t xml:space="preserve"> the infamous cases of Nuremberg Tribunal defendants Alfred Rosenberg and Alfred Jodl. </w:t>
      </w:r>
      <w:r w:rsidRPr="004E7417">
        <w:rPr>
          <w:rFonts w:asciiTheme="minorHAnsi" w:hAnsiTheme="minorHAnsi" w:cstheme="minorHAnsi"/>
          <w:spacing w:val="-6"/>
          <w:sz w:val="18"/>
          <w:szCs w:val="18"/>
          <w:lang w:val="en-GB"/>
        </w:rPr>
        <w:t xml:space="preserve">Avalon Project, </w:t>
      </w:r>
      <w:r w:rsidRPr="004E7417">
        <w:rPr>
          <w:rFonts w:asciiTheme="minorHAnsi" w:hAnsiTheme="minorHAnsi" w:cstheme="minorHAnsi"/>
          <w:i/>
          <w:spacing w:val="-6"/>
          <w:sz w:val="18"/>
          <w:szCs w:val="18"/>
          <w:lang w:val="en-GB"/>
        </w:rPr>
        <w:t>Nazi Conspiracy and Aggression, Volume 2, Chapter XVI, Part 7, Alfred Jodl</w:t>
      </w:r>
      <w:r w:rsidR="004E7417">
        <w:rPr>
          <w:rFonts w:asciiTheme="minorHAnsi" w:hAnsiTheme="minorHAnsi" w:cstheme="minorHAnsi"/>
          <w:iCs/>
          <w:spacing w:val="-6"/>
          <w:sz w:val="18"/>
          <w:szCs w:val="18"/>
          <w:lang w:val="en-GB"/>
        </w:rPr>
        <w:t xml:space="preserve">, </w:t>
      </w:r>
      <w:hyperlink r:id="rId8" w:history="1">
        <w:r w:rsidRPr="004E7417">
          <w:rPr>
            <w:rStyle w:val="Hyperlink"/>
            <w:rFonts w:asciiTheme="minorHAnsi" w:hAnsiTheme="minorHAnsi" w:cstheme="minorHAnsi"/>
            <w:spacing w:val="-6"/>
            <w:sz w:val="18"/>
            <w:szCs w:val="18"/>
            <w:lang w:val="en-GB"/>
          </w:rPr>
          <w:t>http://avalon.law.yale.edu/imt/chap16_part07.asp</w:t>
        </w:r>
      </w:hyperlink>
      <w:r w:rsidRPr="004E7417">
        <w:rPr>
          <w:rFonts w:asciiTheme="minorHAnsi" w:hAnsiTheme="minorHAnsi" w:cstheme="minorHAnsi"/>
          <w:spacing w:val="-6"/>
          <w:sz w:val="18"/>
          <w:szCs w:val="18"/>
          <w:lang w:val="en-GB"/>
        </w:rPr>
        <w:t xml:space="preserve"> and </w:t>
      </w:r>
      <w:r w:rsidRPr="004E7417">
        <w:rPr>
          <w:rFonts w:asciiTheme="minorHAnsi" w:hAnsiTheme="minorHAnsi" w:cstheme="minorHAnsi"/>
          <w:i/>
          <w:spacing w:val="-6"/>
          <w:sz w:val="18"/>
          <w:szCs w:val="18"/>
          <w:lang w:val="en-GB"/>
        </w:rPr>
        <w:t>Judgement: Sentences</w:t>
      </w:r>
      <w:r w:rsidRPr="004E7417">
        <w:rPr>
          <w:rFonts w:asciiTheme="minorHAnsi" w:hAnsiTheme="minorHAnsi" w:cstheme="minorHAnsi"/>
          <w:spacing w:val="-6"/>
          <w:sz w:val="18"/>
          <w:szCs w:val="18"/>
          <w:lang w:val="en-GB"/>
        </w:rPr>
        <w:t xml:space="preserve">, </w:t>
      </w:r>
      <w:hyperlink r:id="rId9" w:history="1">
        <w:r w:rsidRPr="004E7417">
          <w:rPr>
            <w:rStyle w:val="Hyperlink"/>
            <w:rFonts w:asciiTheme="minorHAnsi" w:hAnsiTheme="minorHAnsi" w:cstheme="minorHAnsi"/>
            <w:spacing w:val="-6"/>
            <w:sz w:val="18"/>
            <w:szCs w:val="18"/>
            <w:lang w:val="en-GB"/>
          </w:rPr>
          <w:t>http://avalon.law.yale.edu/imt/judsent.asp</w:t>
        </w:r>
      </w:hyperlink>
      <w:r w:rsidRPr="004E7417">
        <w:rPr>
          <w:rFonts w:asciiTheme="minorHAnsi" w:hAnsiTheme="minorHAnsi" w:cstheme="minorHAnsi"/>
          <w:spacing w:val="-6"/>
          <w:sz w:val="18"/>
          <w:szCs w:val="18"/>
        </w:rPr>
        <w:t xml:space="preserve">; </w:t>
      </w:r>
      <w:r w:rsidRPr="004E7417">
        <w:rPr>
          <w:rFonts w:asciiTheme="minorHAnsi" w:hAnsiTheme="minorHAnsi" w:cstheme="minorHAnsi"/>
          <w:spacing w:val="-6"/>
          <w:sz w:val="18"/>
          <w:szCs w:val="18"/>
          <w:lang w:val="en-GB"/>
        </w:rPr>
        <w:t xml:space="preserve">Avalon Project, </w:t>
      </w:r>
      <w:r w:rsidRPr="004E7417">
        <w:rPr>
          <w:rFonts w:asciiTheme="minorHAnsi" w:hAnsiTheme="minorHAnsi" w:cstheme="minorHAnsi"/>
          <w:i/>
          <w:spacing w:val="-6"/>
          <w:sz w:val="18"/>
          <w:szCs w:val="18"/>
          <w:lang w:val="en-GB"/>
        </w:rPr>
        <w:t xml:space="preserve">Trials of the War Criminals before the Nuerenberg Military Tribunals Under Control Council Law No. 10. </w:t>
      </w:r>
      <w:hyperlink r:id="rId10" w:history="1">
        <w:r w:rsidRPr="004E7417">
          <w:rPr>
            <w:rStyle w:val="Hyperlink"/>
            <w:rFonts w:asciiTheme="minorHAnsi" w:hAnsiTheme="minorHAnsi" w:cstheme="minorHAnsi"/>
            <w:spacing w:val="-6"/>
            <w:sz w:val="18"/>
            <w:szCs w:val="18"/>
            <w:lang w:val="en-GB"/>
          </w:rPr>
          <w:t>http://avalon.law.yale.edu/imt/indict4.asp</w:t>
        </w:r>
      </w:hyperlink>
      <w:r w:rsidRPr="004E7417">
        <w:rPr>
          <w:rFonts w:asciiTheme="minorHAnsi" w:hAnsiTheme="minorHAnsi" w:cstheme="minorHAnsi"/>
          <w:spacing w:val="-6"/>
          <w:sz w:val="18"/>
          <w:szCs w:val="18"/>
        </w:rPr>
        <w:t>.</w:t>
      </w:r>
    </w:p>
  </w:endnote>
  <w:endnote w:id="3">
    <w:p w14:paraId="213C7DCE" w14:textId="77777777" w:rsidR="004778B8" w:rsidRPr="00C32BB1" w:rsidRDefault="004778B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rPr>
        <w:tab/>
        <w:t xml:space="preserve">“Targeting Homes, Shelters and Shelter Seekers during Operation Cast Lead in the Context of Israeli Military Practice” submission of the Housing and Land Rights Network – Habitat International Coalition to the UN Fact-finding Mission on the Gaza Conflict, 29 July 2009, </w:t>
      </w:r>
      <w:hyperlink r:id="rId11" w:history="1">
        <w:r w:rsidRPr="00C32BB1">
          <w:rPr>
            <w:rStyle w:val="Hyperlink"/>
            <w:rFonts w:asciiTheme="minorHAnsi" w:hAnsiTheme="minorHAnsi" w:cstheme="minorHAnsi"/>
            <w:sz w:val="18"/>
            <w:szCs w:val="18"/>
          </w:rPr>
          <w:t>http://www.hic-mena.org/documents/Submission.pdf</w:t>
        </w:r>
      </w:hyperlink>
      <w:r w:rsidRPr="00C32BB1">
        <w:rPr>
          <w:rFonts w:asciiTheme="minorHAnsi" w:hAnsiTheme="minorHAnsi" w:cstheme="minorHAnsi"/>
          <w:sz w:val="18"/>
          <w:szCs w:val="18"/>
        </w:rPr>
        <w:t xml:space="preserve">. </w:t>
      </w:r>
    </w:p>
  </w:endnote>
  <w:endnote w:id="4">
    <w:p w14:paraId="7AD161F5" w14:textId="1274572E" w:rsidR="004778B8" w:rsidRPr="00C32BB1" w:rsidRDefault="004778B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tl/>
        </w:rPr>
        <w:t xml:space="preserve"> </w:t>
      </w:r>
      <w:r w:rsidR="00C32BB1" w:rsidRPr="00C32BB1">
        <w:rPr>
          <w:rFonts w:asciiTheme="minorHAnsi" w:hAnsiTheme="minorHAnsi" w:cstheme="minorHAnsi"/>
          <w:sz w:val="18"/>
          <w:szCs w:val="18"/>
        </w:rPr>
        <w:tab/>
      </w:r>
      <w:r w:rsidRPr="004E7417">
        <w:rPr>
          <w:rFonts w:asciiTheme="minorHAnsi" w:hAnsiTheme="minorHAnsi" w:cstheme="minorHAnsi"/>
          <w:spacing w:val="-2"/>
          <w:sz w:val="18"/>
          <w:szCs w:val="18"/>
        </w:rPr>
        <w:t xml:space="preserve">The First Zionist Congress of 1897 at Basle explicitly set out to achieve that public status for the Zionist Organization and its constituents. See W. Thomas Mallison Jr., “The Legal Problems Concerning the Juridical Status and Political Activities of the Zionist Organization/Jewish Agency: A Study in International and United States Law,” </w:t>
      </w:r>
      <w:r w:rsidRPr="004E7417">
        <w:rPr>
          <w:rFonts w:asciiTheme="minorHAnsi" w:hAnsiTheme="minorHAnsi" w:cstheme="minorHAnsi"/>
          <w:i/>
          <w:iCs/>
          <w:spacing w:val="-2"/>
          <w:sz w:val="18"/>
          <w:szCs w:val="18"/>
        </w:rPr>
        <w:t>William and Mary Law Review</w:t>
      </w:r>
      <w:r w:rsidRPr="004E7417">
        <w:rPr>
          <w:rFonts w:asciiTheme="minorHAnsi" w:hAnsiTheme="minorHAnsi" w:cstheme="minorHAnsi"/>
          <w:spacing w:val="-2"/>
          <w:sz w:val="18"/>
          <w:szCs w:val="18"/>
        </w:rPr>
        <w:t xml:space="preserve">, Vol. 9, Issue 3 (1968), pp. 558–629, esp. 566–608, </w:t>
      </w:r>
      <w:hyperlink r:id="rId12" w:history="1">
        <w:r w:rsidRPr="004E7417">
          <w:rPr>
            <w:rStyle w:val="Hyperlink"/>
            <w:rFonts w:asciiTheme="minorHAnsi" w:hAnsiTheme="minorHAnsi" w:cstheme="minorHAnsi"/>
            <w:spacing w:val="-2"/>
            <w:sz w:val="18"/>
            <w:szCs w:val="18"/>
          </w:rPr>
          <w:t>http://scholarship.law.wm.edu/wmlr/vol9/iss3/3</w:t>
        </w:r>
      </w:hyperlink>
      <w:r w:rsidRPr="004E7417">
        <w:rPr>
          <w:rFonts w:asciiTheme="minorHAnsi" w:hAnsiTheme="minorHAnsi" w:cstheme="minorHAnsi"/>
          <w:spacing w:val="-2"/>
          <w:sz w:val="18"/>
          <w:szCs w:val="18"/>
        </w:rPr>
        <w:t>.</w:t>
      </w:r>
      <w:r w:rsidRPr="00C32BB1">
        <w:rPr>
          <w:rFonts w:asciiTheme="minorHAnsi" w:hAnsiTheme="minorHAnsi" w:cstheme="minorHAnsi"/>
          <w:sz w:val="18"/>
          <w:szCs w:val="18"/>
        </w:rPr>
        <w:t xml:space="preserve"> </w:t>
      </w:r>
    </w:p>
  </w:endnote>
  <w:endnote w:id="5">
    <w:p w14:paraId="4DA7EAC4" w14:textId="3F2580FA" w:rsidR="004778B8" w:rsidRPr="00C32BB1" w:rsidRDefault="004778B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tl/>
        </w:rPr>
        <w:t xml:space="preserve"> </w:t>
      </w:r>
      <w:r w:rsidR="00C32BB1" w:rsidRPr="00C32BB1">
        <w:rPr>
          <w:rFonts w:asciiTheme="minorHAnsi" w:hAnsiTheme="minorHAnsi" w:cstheme="minorHAnsi"/>
          <w:sz w:val="18"/>
          <w:szCs w:val="18"/>
        </w:rPr>
        <w:tab/>
      </w:r>
      <w:r w:rsidRPr="00805C8C">
        <w:rPr>
          <w:rFonts w:asciiTheme="minorHAnsi" w:hAnsiTheme="minorHAnsi" w:cstheme="minorHAnsi"/>
          <w:spacing w:val="-6"/>
          <w:sz w:val="18"/>
          <w:szCs w:val="18"/>
        </w:rPr>
        <w:t xml:space="preserve">The Basle Program of the First Zionist Congress affirmed that the Zionist Organization, like Zionism, in general, “aims at establishing for the Jewish people a legally assured home in Palestine. For the attainment of this purpose, the Congress considers the following means serviceable: 1. The promotion of the settlement of Jewish agriculturists [farmers], artisans, and tradesmen in the Land of Israel; 2. The federation [unified organisation] of all Jews into local or general groups, according to the laws of the various countries; and 3. The strengthening of the Jewish feeling and consciousness [national sentiment and national consciousness]. Preparatory steps for the attainment of those governmental grants which are necessary to the achievement of the Zionist purpose." "ZIONISM – Timeline of Events" Mfa.gov.il, reprinted in “World Zionist Organization” Wikipedia, </w:t>
      </w:r>
      <w:hyperlink r:id="rId13" w:anchor="cite_ref-7" w:history="1">
        <w:r w:rsidRPr="00805C8C">
          <w:rPr>
            <w:rStyle w:val="Hyperlink"/>
            <w:rFonts w:asciiTheme="minorHAnsi" w:hAnsiTheme="minorHAnsi" w:cstheme="minorHAnsi"/>
            <w:spacing w:val="-6"/>
            <w:sz w:val="18"/>
            <w:szCs w:val="18"/>
          </w:rPr>
          <w:t>https://en.wikipedia.org/wiki/World_Zionist_Organization#cite_ref-7</w:t>
        </w:r>
      </w:hyperlink>
      <w:r w:rsidRPr="00805C8C">
        <w:rPr>
          <w:rFonts w:asciiTheme="minorHAnsi" w:hAnsiTheme="minorHAnsi" w:cstheme="minorHAnsi"/>
          <w:spacing w:val="-6"/>
          <w:sz w:val="18"/>
          <w:szCs w:val="18"/>
        </w:rPr>
        <w:t xml:space="preserve">; First Zionist Congress, </w:t>
      </w:r>
      <w:hyperlink r:id="rId14" w:history="1">
        <w:r w:rsidRPr="00805C8C">
          <w:rPr>
            <w:rStyle w:val="Hyperlink"/>
            <w:rFonts w:asciiTheme="minorHAnsi" w:hAnsiTheme="minorHAnsi" w:cstheme="minorHAnsi"/>
            <w:spacing w:val="-6"/>
            <w:sz w:val="18"/>
            <w:szCs w:val="18"/>
          </w:rPr>
          <w:t>http://www.wzo.org.il/home/movement/first.htm</w:t>
        </w:r>
      </w:hyperlink>
      <w:r w:rsidRPr="00805C8C">
        <w:rPr>
          <w:rFonts w:asciiTheme="minorHAnsi" w:hAnsiTheme="minorHAnsi" w:cstheme="minorHAnsi"/>
          <w:spacing w:val="-6"/>
          <w:sz w:val="18"/>
          <w:szCs w:val="18"/>
        </w:rPr>
        <w:t xml:space="preserve">; Basle Program, </w:t>
      </w:r>
      <w:hyperlink r:id="rId15" w:history="1">
        <w:r w:rsidR="00805C8C" w:rsidRPr="00805C8C">
          <w:rPr>
            <w:rStyle w:val="Hyperlink"/>
            <w:rFonts w:asciiTheme="minorHAnsi" w:hAnsiTheme="minorHAnsi" w:cstheme="minorHAnsi"/>
            <w:spacing w:val="-6"/>
            <w:sz w:val="18"/>
            <w:szCs w:val="18"/>
          </w:rPr>
          <w:t>http://www.wzo.org.il/home/movement/first.htm</w:t>
        </w:r>
      </w:hyperlink>
      <w:r w:rsidRPr="00805C8C">
        <w:rPr>
          <w:rFonts w:asciiTheme="minorHAnsi" w:hAnsiTheme="minorHAnsi" w:cstheme="minorHAnsi"/>
          <w:spacing w:val="-6"/>
          <w:sz w:val="18"/>
          <w:szCs w:val="18"/>
        </w:rPr>
        <w:t>.</w:t>
      </w:r>
      <w:r w:rsidRPr="00C32BB1">
        <w:rPr>
          <w:rFonts w:asciiTheme="minorHAnsi" w:hAnsiTheme="minorHAnsi" w:cstheme="minorHAnsi"/>
          <w:sz w:val="18"/>
          <w:szCs w:val="18"/>
        </w:rPr>
        <w:t xml:space="preserve"> </w:t>
      </w:r>
    </w:p>
  </w:endnote>
  <w:endnote w:id="6">
    <w:p w14:paraId="3DE6374C" w14:textId="7F71ED8E" w:rsidR="004778B8" w:rsidRPr="00C32BB1" w:rsidRDefault="004778B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ab/>
      </w:r>
      <w:r w:rsidRPr="00C32BB1">
        <w:rPr>
          <w:rFonts w:asciiTheme="minorHAnsi" w:hAnsiTheme="minorHAnsi" w:cstheme="minorHAnsi"/>
          <w:sz w:val="18"/>
          <w:szCs w:val="18"/>
        </w:rPr>
        <w:t xml:space="preserve">Amy Teibel, “Lawsuit brings murky West Bank land deals to light,” </w:t>
      </w:r>
      <w:r w:rsidRPr="00C32BB1">
        <w:rPr>
          <w:rFonts w:asciiTheme="minorHAnsi" w:hAnsiTheme="minorHAnsi" w:cstheme="minorHAnsi"/>
          <w:i/>
          <w:iCs/>
          <w:sz w:val="18"/>
          <w:szCs w:val="18"/>
        </w:rPr>
        <w:t>Associated Press</w:t>
      </w:r>
      <w:r w:rsidRPr="00C32BB1">
        <w:rPr>
          <w:rFonts w:asciiTheme="minorHAnsi" w:hAnsiTheme="minorHAnsi" w:cstheme="minorHAnsi"/>
          <w:sz w:val="18"/>
          <w:szCs w:val="18"/>
        </w:rPr>
        <w:t xml:space="preserve"> (20 June 2009), </w:t>
      </w:r>
      <w:hyperlink r:id="rId16" w:history="1">
        <w:r w:rsidRPr="00C32BB1">
          <w:rPr>
            <w:rStyle w:val="Hyperlink"/>
            <w:rFonts w:asciiTheme="minorHAnsi" w:hAnsiTheme="minorHAnsi" w:cstheme="minorHAnsi"/>
            <w:sz w:val="18"/>
            <w:szCs w:val="18"/>
          </w:rPr>
          <w:t>https://www.sandiegouniontribune.com/sdut-ml-israel-disputed-deal-062009-2009jun20-story.html</w:t>
        </w:r>
      </w:hyperlink>
      <w:r w:rsidRPr="00C32BB1">
        <w:rPr>
          <w:rFonts w:asciiTheme="minorHAnsi" w:hAnsiTheme="minorHAnsi" w:cstheme="minorHAnsi"/>
          <w:sz w:val="18"/>
          <w:szCs w:val="18"/>
        </w:rPr>
        <w:t xml:space="preserve">. In 2014, the Settlement Division received NIS130m (US$34.7m) from Israel, see Nimrod Bousso, “Israel to Allocate $35m to World Zionist Organization’s Settlement Division,” </w:t>
      </w:r>
      <w:r w:rsidRPr="00C32BB1">
        <w:rPr>
          <w:rFonts w:asciiTheme="minorHAnsi" w:hAnsiTheme="minorHAnsi" w:cstheme="minorHAnsi"/>
          <w:i/>
          <w:iCs/>
          <w:sz w:val="18"/>
          <w:szCs w:val="18"/>
        </w:rPr>
        <w:t>Haaretz</w:t>
      </w:r>
      <w:r w:rsidRPr="00C32BB1">
        <w:rPr>
          <w:rFonts w:asciiTheme="minorHAnsi" w:hAnsiTheme="minorHAnsi" w:cstheme="minorHAnsi"/>
          <w:sz w:val="18"/>
          <w:szCs w:val="18"/>
        </w:rPr>
        <w:t xml:space="preserve"> (23 October 2014), Israel to Allocate $35m to World Zionist Organization’s Settlement Division.</w:t>
      </w:r>
    </w:p>
  </w:endnote>
  <w:endnote w:id="7">
    <w:p w14:paraId="43E42D22" w14:textId="658F8245" w:rsidR="004778B8" w:rsidRPr="00C32BB1" w:rsidRDefault="004778B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C32BB1" w:rsidRPr="00C32BB1">
        <w:rPr>
          <w:rFonts w:asciiTheme="minorHAnsi" w:hAnsiTheme="minorHAnsi" w:cstheme="minorHAnsi"/>
          <w:sz w:val="18"/>
          <w:szCs w:val="18"/>
        </w:rPr>
        <w:tab/>
      </w:r>
      <w:r w:rsidRPr="00C32BB1">
        <w:rPr>
          <w:rFonts w:asciiTheme="minorHAnsi" w:hAnsiTheme="minorHAnsi" w:cstheme="minorHAnsi"/>
          <w:sz w:val="18"/>
          <w:szCs w:val="18"/>
        </w:rPr>
        <w:t xml:space="preserve">Since June 1967, over 60,000 Israeli citizens have settled in some 100 locations, including East Jerusalem in clear violation of article 49(6) of the Fourth Geneva Convention. These settlements continue. The World Zionist Organization, in 1980, offered a plan calling for expenditure of $187 million to expand existing settlements and create new ones. It suggests the creation of 70 new settlements that would increase the Jewish population to 100,000. David K. Shipler, </w:t>
      </w:r>
      <w:r w:rsidRPr="00C32BB1">
        <w:rPr>
          <w:rFonts w:asciiTheme="minorHAnsi" w:hAnsiTheme="minorHAnsi" w:cstheme="minorHAnsi"/>
          <w:i/>
          <w:iCs/>
          <w:sz w:val="18"/>
          <w:szCs w:val="18"/>
        </w:rPr>
        <w:t>The New York Times Magazine</w:t>
      </w:r>
      <w:r w:rsidRPr="00C32BB1">
        <w:rPr>
          <w:rFonts w:asciiTheme="minorHAnsi" w:hAnsiTheme="minorHAnsi" w:cstheme="minorHAnsi"/>
          <w:sz w:val="18"/>
          <w:szCs w:val="18"/>
        </w:rPr>
        <w:t xml:space="preserve">, 6 April 1980; Nimrod Bossou, “Israel to Allocate $35m to World Zionist Organization’s Settlement Division,” </w:t>
      </w:r>
      <w:r w:rsidRPr="00C32BB1">
        <w:rPr>
          <w:rFonts w:asciiTheme="minorHAnsi" w:hAnsiTheme="minorHAnsi" w:cstheme="minorHAnsi"/>
          <w:i/>
          <w:iCs/>
          <w:sz w:val="18"/>
          <w:szCs w:val="18"/>
        </w:rPr>
        <w:t>Haaretz</w:t>
      </w:r>
      <w:r w:rsidRPr="00C32BB1">
        <w:rPr>
          <w:rFonts w:asciiTheme="minorHAnsi" w:hAnsiTheme="minorHAnsi" w:cstheme="minorHAnsi"/>
          <w:sz w:val="18"/>
          <w:szCs w:val="18"/>
        </w:rPr>
        <w:t xml:space="preserve"> (23 October 2014), </w:t>
      </w:r>
      <w:hyperlink r:id="rId17" w:history="1">
        <w:r w:rsidRPr="00C32BB1">
          <w:rPr>
            <w:rStyle w:val="Hyperlink"/>
            <w:rFonts w:asciiTheme="minorHAnsi" w:hAnsiTheme="minorHAnsi" w:cstheme="minorHAnsi"/>
            <w:sz w:val="18"/>
            <w:szCs w:val="18"/>
          </w:rPr>
          <w:t>https://www.haaretz.com/.premium-what-will-wzo-do-with-nis-130m-1.5318862</w:t>
        </w:r>
      </w:hyperlink>
      <w:r w:rsidRPr="00C32BB1">
        <w:rPr>
          <w:rFonts w:asciiTheme="minorHAnsi" w:hAnsiTheme="minorHAnsi" w:cstheme="minorHAnsi"/>
          <w:sz w:val="18"/>
          <w:szCs w:val="18"/>
        </w:rPr>
        <w:t xml:space="preserve">; Peace Now, “Involvement of KKL-JNF and the Settlement Division in the Settlements,” 10 February 2020, </w:t>
      </w:r>
      <w:hyperlink r:id="rId18" w:history="1">
        <w:r w:rsidRPr="00C32BB1">
          <w:rPr>
            <w:rStyle w:val="Hyperlink"/>
            <w:rFonts w:asciiTheme="minorHAnsi" w:hAnsiTheme="minorHAnsi" w:cstheme="minorHAnsi"/>
            <w:sz w:val="18"/>
            <w:szCs w:val="18"/>
          </w:rPr>
          <w:t>https://peacenow.org.il/en/involvement-of-kkl-jnf-and-the-settlement-division-in-the-settlements</w:t>
        </w:r>
      </w:hyperlink>
      <w:r w:rsidRPr="00C32BB1">
        <w:rPr>
          <w:rFonts w:asciiTheme="minorHAnsi" w:hAnsiTheme="minorHAnsi" w:cstheme="minorHAnsi"/>
          <w:sz w:val="18"/>
          <w:szCs w:val="18"/>
        </w:rPr>
        <w:t>.</w:t>
      </w:r>
    </w:p>
  </w:endnote>
  <w:endnote w:id="8">
    <w:p w14:paraId="23A458FB" w14:textId="7C31BE38" w:rsidR="004778B8" w:rsidRPr="00C32BB1" w:rsidRDefault="004778B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tl/>
        </w:rPr>
        <w:t xml:space="preserve"> </w:t>
      </w:r>
      <w:r w:rsidR="00C32BB1" w:rsidRPr="00C32BB1">
        <w:rPr>
          <w:rFonts w:asciiTheme="minorHAnsi" w:hAnsiTheme="minorHAnsi" w:cstheme="minorHAnsi"/>
          <w:sz w:val="18"/>
          <w:szCs w:val="18"/>
        </w:rPr>
        <w:tab/>
      </w:r>
      <w:r w:rsidRPr="00C32BB1">
        <w:rPr>
          <w:rFonts w:asciiTheme="minorHAnsi" w:hAnsiTheme="minorHAnsi" w:cstheme="minorHAnsi"/>
          <w:sz w:val="18"/>
          <w:szCs w:val="18"/>
        </w:rPr>
        <w:t>That is “to purchase, acquire on lease, or in exchange, or receive on lease or otherwise, lands, forests, rights of possession, easements and any similar rights, as well as immovable properties of any class…for the purpose of settling Jews on such lands and properties.” Keren Kayemet l’Yisrael (“Permanent Fund for Israel,” a.k.a. Jewish National Fund) Memorandum of Association, Appendix “B” (published in y.p. 1952 no. 354), Article 3(iii).</w:t>
      </w:r>
      <w:r w:rsidR="00945F26" w:rsidRPr="00C32BB1">
        <w:rPr>
          <w:rFonts w:asciiTheme="minorHAnsi" w:hAnsiTheme="minorHAnsi" w:cstheme="minorHAnsi"/>
          <w:sz w:val="18"/>
          <w:szCs w:val="18"/>
        </w:rPr>
        <w:t xml:space="preserve"> The literal Hebrew refers to “descendency,” but is sometimes translated less precisely as “origin,” which should not to be confused with </w:t>
      </w:r>
      <w:r w:rsidR="00C32BB1" w:rsidRPr="00C32BB1">
        <w:rPr>
          <w:rFonts w:asciiTheme="minorHAnsi" w:hAnsiTheme="minorHAnsi" w:cstheme="minorHAnsi"/>
          <w:sz w:val="18"/>
          <w:szCs w:val="18"/>
        </w:rPr>
        <w:t>the common understanding of “national origin” (i.e., citizenship of the state of origin).</w:t>
      </w:r>
    </w:p>
  </w:endnote>
  <w:endnote w:id="9">
    <w:p w14:paraId="72F650AD" w14:textId="1B5B720B" w:rsidR="004778B8" w:rsidRPr="00C32BB1" w:rsidRDefault="004778B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tl/>
        </w:rPr>
        <w:t xml:space="preserve"> </w:t>
      </w:r>
      <w:r w:rsidR="00C32BB1" w:rsidRPr="00C32BB1">
        <w:rPr>
          <w:rFonts w:asciiTheme="minorHAnsi" w:hAnsiTheme="minorHAnsi" w:cstheme="minorHAnsi"/>
          <w:sz w:val="18"/>
          <w:szCs w:val="18"/>
        </w:rPr>
        <w:tab/>
      </w:r>
      <w:r w:rsidRPr="00C32BB1">
        <w:rPr>
          <w:rFonts w:asciiTheme="minorHAnsi" w:hAnsiTheme="minorHAnsi" w:cstheme="minorHAnsi"/>
          <w:sz w:val="18"/>
          <w:szCs w:val="18"/>
        </w:rPr>
        <w:t>Emphasis added. JNF Memorandum of Association, dated 1901, Article 3(a), and dated 1952, Article 3(i).</w:t>
      </w:r>
    </w:p>
  </w:endnote>
  <w:endnote w:id="10">
    <w:p w14:paraId="6E81DF3A" w14:textId="5D6D5E62" w:rsidR="004778B8" w:rsidRPr="00C32BB1" w:rsidRDefault="004778B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tl/>
        </w:rPr>
        <w:t xml:space="preserve"> </w:t>
      </w:r>
      <w:r w:rsidR="00805C8C">
        <w:rPr>
          <w:rFonts w:asciiTheme="minorHAnsi" w:hAnsiTheme="minorHAnsi" w:cstheme="minorHAnsi"/>
          <w:sz w:val="18"/>
          <w:szCs w:val="18"/>
        </w:rPr>
        <w:tab/>
      </w:r>
      <w:r w:rsidRPr="00C32BB1">
        <w:rPr>
          <w:rFonts w:asciiTheme="minorHAnsi" w:hAnsiTheme="minorHAnsi" w:cstheme="minorHAnsi"/>
          <w:i/>
          <w:iCs/>
          <w:sz w:val="18"/>
          <w:szCs w:val="18"/>
        </w:rPr>
        <w:t>Ibid</w:t>
      </w:r>
      <w:r w:rsidRPr="00C32BB1">
        <w:rPr>
          <w:rFonts w:asciiTheme="minorHAnsi" w:hAnsiTheme="minorHAnsi" w:cstheme="minorHAnsi"/>
          <w:sz w:val="18"/>
          <w:szCs w:val="18"/>
        </w:rPr>
        <w:t>., Article 3(g) and Article 3(vii), respectively.</w:t>
      </w:r>
    </w:p>
  </w:endnote>
  <w:endnote w:id="11">
    <w:p w14:paraId="3A9EBD98" w14:textId="2E325ED8" w:rsidR="006F2347" w:rsidRPr="00C32BB1" w:rsidRDefault="006F2347"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05C8C">
        <w:rPr>
          <w:rFonts w:asciiTheme="minorHAnsi" w:hAnsiTheme="minorHAnsi" w:cstheme="minorHAnsi"/>
          <w:sz w:val="18"/>
          <w:szCs w:val="18"/>
        </w:rPr>
        <w:tab/>
      </w:r>
      <w:r w:rsidRPr="00C32BB1">
        <w:rPr>
          <w:rFonts w:asciiTheme="minorHAnsi" w:hAnsiTheme="minorHAnsi" w:cstheme="minorHAnsi"/>
          <w:spacing w:val="-2"/>
          <w:sz w:val="18"/>
          <w:szCs w:val="18"/>
        </w:rPr>
        <w:t>For example, “applying the principles of the Jewish Agency,” or “consistent with the principles of the JNF in regards to its lands,” etc.</w:t>
      </w:r>
    </w:p>
  </w:endnote>
  <w:endnote w:id="12">
    <w:p w14:paraId="76DC3E84" w14:textId="77777777" w:rsidR="006F2347" w:rsidRPr="00C32BB1" w:rsidRDefault="006F2347"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tl/>
        </w:rPr>
        <w:t xml:space="preserve"> </w:t>
      </w:r>
      <w:r w:rsidRPr="00C32BB1">
        <w:rPr>
          <w:rFonts w:asciiTheme="minorHAnsi" w:hAnsiTheme="minorHAnsi" w:cstheme="minorHAnsi"/>
          <w:i/>
          <w:iCs/>
          <w:sz w:val="18"/>
          <w:szCs w:val="18"/>
        </w:rPr>
        <w:t>Ibid</w:t>
      </w:r>
      <w:r w:rsidRPr="00C32BB1">
        <w:rPr>
          <w:rFonts w:asciiTheme="minorHAnsi" w:hAnsiTheme="minorHAnsi" w:cstheme="minorHAnsi"/>
          <w:sz w:val="18"/>
          <w:szCs w:val="18"/>
        </w:rPr>
        <w:t>., Article 6.</w:t>
      </w:r>
    </w:p>
  </w:endnote>
  <w:endnote w:id="13">
    <w:p w14:paraId="01035D51" w14:textId="77777777" w:rsidR="002B623A" w:rsidRPr="00C32BB1" w:rsidRDefault="002B623A"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tl/>
        </w:rPr>
        <w:t xml:space="preserve"> </w:t>
      </w:r>
      <w:r w:rsidRPr="00C32BB1">
        <w:rPr>
          <w:rFonts w:asciiTheme="minorHAnsi" w:hAnsiTheme="minorHAnsi" w:cstheme="minorHAnsi"/>
          <w:sz w:val="18"/>
          <w:szCs w:val="18"/>
        </w:rPr>
        <w:tab/>
        <w:t xml:space="preserve">Report of the Anglo-American Committee of Inquiry, in Sally V. Mallison and W. Thomas Mallison, </w:t>
      </w:r>
      <w:r w:rsidRPr="00C32BB1">
        <w:rPr>
          <w:rFonts w:asciiTheme="minorHAnsi" w:hAnsiTheme="minorHAnsi" w:cstheme="minorHAnsi"/>
          <w:i/>
          <w:iCs/>
          <w:sz w:val="18"/>
          <w:szCs w:val="18"/>
        </w:rPr>
        <w:t>The Palestine Question in International Law and World Order</w:t>
      </w:r>
      <w:r w:rsidRPr="00C32BB1">
        <w:rPr>
          <w:rFonts w:asciiTheme="minorHAnsi" w:hAnsiTheme="minorHAnsi" w:cstheme="minorHAnsi"/>
          <w:sz w:val="18"/>
          <w:szCs w:val="18"/>
        </w:rPr>
        <w:t xml:space="preserve"> (London: Longman, 1986), p. 100.</w:t>
      </w:r>
    </w:p>
  </w:endnote>
  <w:endnote w:id="14">
    <w:p w14:paraId="788D72CE" w14:textId="1E32C1AD" w:rsidR="002B623A" w:rsidRPr="00C32BB1" w:rsidRDefault="002B623A"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C32BB1" w:rsidRPr="00C32BB1">
        <w:rPr>
          <w:rFonts w:asciiTheme="minorHAnsi" w:hAnsiTheme="minorHAnsi" w:cstheme="minorHAnsi"/>
          <w:sz w:val="18"/>
          <w:szCs w:val="18"/>
        </w:rPr>
        <w:tab/>
      </w:r>
      <w:r w:rsidRPr="00C32BB1">
        <w:rPr>
          <w:rFonts w:asciiTheme="minorHAnsi" w:hAnsiTheme="minorHAnsi" w:cstheme="minorHAnsi"/>
          <w:sz w:val="18"/>
          <w:szCs w:val="18"/>
        </w:rPr>
        <w:t>The principal laws among them are: World Zionist Organization-Jewish Agency (Status) Law (1952); Keren Kayemet Le-Israel [Jewish National Fund] Law (1953); Covenant with Zionist Executive (1954, amended 1971); Basic Law: Israel Lands [People’s Lands] (1960); Agricultural Settlement Law (1967).</w:t>
      </w:r>
    </w:p>
  </w:endnote>
  <w:endnote w:id="15">
    <w:p w14:paraId="791FA931" w14:textId="1C3CCDBC" w:rsidR="002B623A" w:rsidRPr="00C32BB1" w:rsidRDefault="002B623A"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C32BB1" w:rsidRPr="00C32BB1">
        <w:rPr>
          <w:rFonts w:asciiTheme="minorHAnsi" w:hAnsiTheme="minorHAnsi" w:cstheme="minorHAnsi"/>
          <w:sz w:val="18"/>
          <w:szCs w:val="18"/>
        </w:rPr>
        <w:tab/>
      </w:r>
      <w:r w:rsidRPr="00C32BB1">
        <w:rPr>
          <w:rFonts w:asciiTheme="minorHAnsi" w:hAnsiTheme="minorHAnsi" w:cstheme="minorHAnsi"/>
          <w:sz w:val="18"/>
          <w:szCs w:val="18"/>
        </w:rPr>
        <w:t xml:space="preserve">Ilan Pappé, </w:t>
      </w:r>
      <w:r w:rsidRPr="00C32BB1">
        <w:rPr>
          <w:rFonts w:asciiTheme="minorHAnsi" w:hAnsiTheme="minorHAnsi" w:cstheme="minorHAnsi"/>
          <w:i/>
          <w:iCs/>
          <w:sz w:val="18"/>
          <w:szCs w:val="18"/>
        </w:rPr>
        <w:t xml:space="preserve">The Ethnic Cleansing of Palestine </w:t>
      </w:r>
      <w:r w:rsidRPr="00C32BB1">
        <w:rPr>
          <w:rFonts w:asciiTheme="minorHAnsi" w:hAnsiTheme="minorHAnsi" w:cstheme="minorHAnsi"/>
          <w:sz w:val="18"/>
          <w:szCs w:val="18"/>
        </w:rPr>
        <w:t>(Oxford: One World, 2007).</w:t>
      </w:r>
    </w:p>
  </w:endnote>
  <w:endnote w:id="16">
    <w:p w14:paraId="31DD34D9" w14:textId="63AD6E80" w:rsidR="00744BBE" w:rsidRPr="00C32BB1" w:rsidRDefault="00744BBE"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C32BB1" w:rsidRPr="00C32BB1">
        <w:rPr>
          <w:rFonts w:asciiTheme="minorHAnsi" w:hAnsiTheme="minorHAnsi" w:cstheme="minorHAnsi"/>
          <w:sz w:val="18"/>
          <w:szCs w:val="18"/>
        </w:rPr>
        <w:tab/>
      </w:r>
      <w:r w:rsidRPr="00C32BB1">
        <w:rPr>
          <w:rFonts w:asciiTheme="minorHAnsi" w:hAnsiTheme="minorHAnsi" w:cstheme="minorHAnsi"/>
          <w:sz w:val="18"/>
          <w:szCs w:val="18"/>
        </w:rPr>
        <w:t xml:space="preserve">Based on information from the Israeli Ministry of Interior, Jerusalem Municipality, Civil Administration, UN OCHA and other UN sources, Palestinian and Israeli human rights organizations, Amnesty International, Human Rights Watch, Israeli Committee against House Demolitions (ICAHD) field work and other sources (updated as of February 2019.) ICAHD, “Categories of Home Demolitions,” 14 March 2020, </w:t>
      </w:r>
      <w:hyperlink r:id="rId19" w:history="1">
        <w:r w:rsidRPr="00C32BB1">
          <w:rPr>
            <w:rStyle w:val="Hyperlink"/>
            <w:rFonts w:asciiTheme="minorHAnsi" w:hAnsiTheme="minorHAnsi" w:cstheme="minorHAnsi"/>
            <w:sz w:val="18"/>
            <w:szCs w:val="18"/>
          </w:rPr>
          <w:t>https://icahd.org/2020/03/14/categories-of-home-demolitions/</w:t>
        </w:r>
      </w:hyperlink>
      <w:r w:rsidRPr="00C32BB1">
        <w:rPr>
          <w:rFonts w:asciiTheme="minorHAnsi" w:hAnsiTheme="minorHAnsi" w:cstheme="minorHAnsi"/>
          <w:sz w:val="18"/>
          <w:szCs w:val="18"/>
        </w:rPr>
        <w:t xml:space="preserve">. </w:t>
      </w:r>
    </w:p>
  </w:endnote>
  <w:endnote w:id="17">
    <w:p w14:paraId="0E41393C" w14:textId="18F762A1" w:rsidR="00744BBE" w:rsidRPr="00C32BB1" w:rsidRDefault="00744BBE" w:rsidP="00C32BB1">
      <w:pPr>
        <w:pStyle w:val="EndnoteText"/>
        <w:ind w:left="170" w:hanging="170"/>
        <w:jc w:val="lowKashida"/>
        <w:rPr>
          <w:rFonts w:asciiTheme="minorHAnsi" w:hAnsiTheme="minorHAnsi" w:cstheme="minorHAnsi"/>
          <w:i/>
          <w:iCs/>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C32BB1" w:rsidRPr="00C32BB1">
        <w:rPr>
          <w:rFonts w:asciiTheme="minorHAnsi" w:hAnsiTheme="minorHAnsi" w:cstheme="minorHAnsi"/>
          <w:sz w:val="18"/>
          <w:szCs w:val="18"/>
        </w:rPr>
        <w:tab/>
      </w:r>
      <w:r w:rsidRPr="00C32BB1">
        <w:rPr>
          <w:rFonts w:asciiTheme="minorHAnsi" w:hAnsiTheme="minorHAnsi" w:cstheme="minorHAnsi"/>
          <w:i/>
          <w:iCs/>
          <w:sz w:val="18"/>
          <w:szCs w:val="18"/>
        </w:rPr>
        <w:t>Ibid.</w:t>
      </w:r>
    </w:p>
  </w:endnote>
  <w:endnote w:id="18">
    <w:p w14:paraId="79E99AA3" w14:textId="0F75101A" w:rsidR="00653BBC" w:rsidRPr="00C32BB1" w:rsidRDefault="00653BBC"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C32BB1" w:rsidRPr="00C32BB1">
        <w:rPr>
          <w:rFonts w:asciiTheme="minorHAnsi" w:hAnsiTheme="minorHAnsi" w:cstheme="minorHAnsi"/>
          <w:sz w:val="18"/>
          <w:szCs w:val="18"/>
        </w:rPr>
        <w:tab/>
      </w:r>
      <w:r w:rsidRPr="00C32BB1">
        <w:rPr>
          <w:rFonts w:asciiTheme="minorHAnsi" w:hAnsiTheme="minorHAnsi" w:cstheme="minorHAnsi"/>
          <w:spacing w:val="-2"/>
          <w:sz w:val="18"/>
          <w:szCs w:val="18"/>
        </w:rPr>
        <w:t xml:space="preserve">Article 43: The authority of the legitimate power having in fact passed into the hands of the occupant, the latter shall take all the measures in his power to restore, and ensure, as far as possible, public order and safety, while respecting, unless absolutely prevented, the laws in force in the country. Laws and Customs of War on Land (Hague, IV), Convention signed at The Hague, 18 October 1907, with annex of Regulations,  </w:t>
      </w:r>
      <w:hyperlink r:id="rId20" w:history="1">
        <w:r w:rsidRPr="00C32BB1">
          <w:rPr>
            <w:rStyle w:val="Hyperlink"/>
            <w:rFonts w:asciiTheme="minorHAnsi" w:hAnsiTheme="minorHAnsi" w:cstheme="minorHAnsi"/>
            <w:spacing w:val="-2"/>
            <w:sz w:val="18"/>
            <w:szCs w:val="18"/>
          </w:rPr>
          <w:t>https://www.loc.gov/law/help/us-treaties/bevans/m-ust000001-0631.pdf</w:t>
        </w:r>
      </w:hyperlink>
      <w:r w:rsidRPr="00C32BB1">
        <w:rPr>
          <w:rFonts w:asciiTheme="minorHAnsi" w:hAnsiTheme="minorHAnsi" w:cstheme="minorHAnsi"/>
          <w:spacing w:val="-2"/>
          <w:sz w:val="18"/>
          <w:szCs w:val="18"/>
        </w:rPr>
        <w:t xml:space="preserve">. Since the Beit El case (HCJ 606, 610/78, </w:t>
      </w:r>
      <w:r w:rsidRPr="00C32BB1">
        <w:rPr>
          <w:rFonts w:asciiTheme="minorHAnsi" w:hAnsiTheme="minorHAnsi" w:cstheme="minorHAnsi"/>
          <w:i/>
          <w:iCs/>
          <w:spacing w:val="-2"/>
          <w:sz w:val="18"/>
          <w:szCs w:val="18"/>
        </w:rPr>
        <w:t>Suleiman Tawfiq Ayyub et al. v. Minister of Defence</w:t>
      </w:r>
      <w:r w:rsidRPr="00C32BB1">
        <w:rPr>
          <w:rFonts w:asciiTheme="minorHAnsi" w:hAnsiTheme="minorHAnsi" w:cstheme="minorHAnsi"/>
          <w:spacing w:val="-2"/>
          <w:sz w:val="18"/>
          <w:szCs w:val="18"/>
        </w:rPr>
        <w:t xml:space="preserve"> et al, </w:t>
      </w:r>
      <w:r w:rsidRPr="00C32BB1">
        <w:rPr>
          <w:rFonts w:asciiTheme="minorHAnsi" w:hAnsiTheme="minorHAnsi" w:cstheme="minorHAnsi"/>
          <w:i/>
          <w:iCs/>
          <w:spacing w:val="-2"/>
          <w:sz w:val="18"/>
          <w:szCs w:val="18"/>
        </w:rPr>
        <w:t>Piskei Din</w:t>
      </w:r>
      <w:r w:rsidRPr="00C32BB1">
        <w:rPr>
          <w:rFonts w:asciiTheme="minorHAnsi" w:hAnsiTheme="minorHAnsi" w:cstheme="minorHAnsi"/>
          <w:spacing w:val="-2"/>
          <w:sz w:val="18"/>
          <w:szCs w:val="18"/>
        </w:rPr>
        <w:t xml:space="preserve"> 33(2)), the High Court of Justice has ruled that The Hague Regulations (1907) are customary law, therefore, automatically part of municipal law and judiciable in Israel.</w:t>
      </w:r>
    </w:p>
  </w:endnote>
  <w:endnote w:id="19">
    <w:p w14:paraId="11DE4FC3" w14:textId="6BC2E787" w:rsidR="00653BBC" w:rsidRPr="00C32BB1" w:rsidRDefault="00653BBC"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05C8C">
        <w:rPr>
          <w:rFonts w:asciiTheme="minorHAnsi" w:hAnsiTheme="minorHAnsi" w:cstheme="minorHAnsi"/>
          <w:sz w:val="18"/>
          <w:szCs w:val="18"/>
        </w:rPr>
        <w:tab/>
      </w:r>
      <w:r w:rsidRPr="00C32BB1">
        <w:rPr>
          <w:rFonts w:asciiTheme="minorHAnsi" w:hAnsiTheme="minorHAnsi" w:cstheme="minorHAnsi"/>
          <w:spacing w:val="-4"/>
          <w:sz w:val="18"/>
          <w:szCs w:val="18"/>
        </w:rPr>
        <w:t xml:space="preserve">Article 49: Individual or mass forcible transfers, as well as deportations of protected persons from occupied territory to the territory of the Occupying Power or to that of any other country, occupied or not, are prohibited, regardless of their motive. Geneva IV, </w:t>
      </w:r>
      <w:r w:rsidRPr="00C32BB1">
        <w:rPr>
          <w:rFonts w:asciiTheme="minorHAnsi" w:hAnsiTheme="minorHAnsi" w:cstheme="minorHAnsi"/>
          <w:i/>
          <w:iCs/>
          <w:spacing w:val="-4"/>
          <w:sz w:val="18"/>
          <w:szCs w:val="18"/>
        </w:rPr>
        <w:t>op. cit</w:t>
      </w:r>
      <w:r w:rsidRPr="00C32BB1">
        <w:rPr>
          <w:rFonts w:asciiTheme="minorHAnsi" w:hAnsiTheme="minorHAnsi" w:cstheme="minorHAnsi"/>
          <w:spacing w:val="-4"/>
          <w:sz w:val="18"/>
          <w:szCs w:val="18"/>
        </w:rPr>
        <w:t>. Israel ratified Geneva IV on 6 July 1949, but has since officially reneged on its application in the territories has occupied since 1967.</w:t>
      </w:r>
    </w:p>
  </w:endnote>
  <w:endnote w:id="20">
    <w:p w14:paraId="18A698BA" w14:textId="2F3909EC" w:rsidR="00653BBC" w:rsidRPr="00C32BB1" w:rsidRDefault="00653BBC"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05C8C">
        <w:rPr>
          <w:rFonts w:asciiTheme="minorHAnsi" w:hAnsiTheme="minorHAnsi" w:cstheme="minorHAnsi"/>
          <w:sz w:val="18"/>
          <w:szCs w:val="18"/>
        </w:rPr>
        <w:tab/>
      </w:r>
      <w:r w:rsidRPr="00C32BB1">
        <w:rPr>
          <w:rFonts w:asciiTheme="minorHAnsi" w:hAnsiTheme="minorHAnsi" w:cstheme="minorHAnsi"/>
          <w:sz w:val="18"/>
          <w:szCs w:val="18"/>
        </w:rPr>
        <w:t>Jerusalem, West Bank, Gaza Strip and the Syrian Golan.</w:t>
      </w:r>
    </w:p>
  </w:endnote>
  <w:endnote w:id="21">
    <w:p w14:paraId="070158C7" w14:textId="2E2A0941"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685084" w:rsidRPr="00C32BB1">
        <w:rPr>
          <w:rFonts w:asciiTheme="minorHAnsi" w:hAnsiTheme="minorHAnsi" w:cstheme="minorHAnsi"/>
          <w:sz w:val="18"/>
          <w:szCs w:val="18"/>
        </w:rPr>
        <w:tab/>
      </w:r>
      <w:r w:rsidRPr="00C32BB1">
        <w:rPr>
          <w:rFonts w:asciiTheme="minorHAnsi" w:hAnsiTheme="minorHAnsi" w:cstheme="minorHAnsi"/>
          <w:sz w:val="18"/>
          <w:szCs w:val="18"/>
        </w:rPr>
        <w:t xml:space="preserve">UN Security Council (SC) resolution 476, 30 June 1980, UN SC resolution 478, </w:t>
      </w:r>
      <w:hyperlink r:id="rId21" w:history="1">
        <w:r w:rsidRPr="00C32BB1">
          <w:rPr>
            <w:rStyle w:val="Hyperlink"/>
            <w:rFonts w:asciiTheme="minorHAnsi" w:hAnsiTheme="minorHAnsi" w:cstheme="minorHAnsi"/>
            <w:sz w:val="18"/>
            <w:szCs w:val="18"/>
          </w:rPr>
          <w:t>https://unispal.un.org/UNISPAL.NSF/0/6DE6DA8A650B4C3B852560DF00663826</w:t>
        </w:r>
      </w:hyperlink>
      <w:r w:rsidRPr="00C32BB1">
        <w:rPr>
          <w:rFonts w:asciiTheme="minorHAnsi" w:hAnsiTheme="minorHAnsi" w:cstheme="minorHAnsi"/>
          <w:sz w:val="18"/>
          <w:szCs w:val="18"/>
        </w:rPr>
        <w:t xml:space="preserve">; 20 August 1980, </w:t>
      </w:r>
      <w:hyperlink r:id="rId22" w:history="1">
        <w:r w:rsidRPr="00C32BB1">
          <w:rPr>
            <w:rStyle w:val="Hyperlink"/>
            <w:rFonts w:asciiTheme="minorHAnsi" w:hAnsiTheme="minorHAnsi" w:cstheme="minorHAnsi"/>
            <w:sz w:val="18"/>
            <w:szCs w:val="18"/>
          </w:rPr>
          <w:t>https://undocs.org/S/RES/478(1980)</w:t>
        </w:r>
      </w:hyperlink>
      <w:r w:rsidRPr="00C32BB1">
        <w:rPr>
          <w:rFonts w:asciiTheme="minorHAnsi" w:hAnsiTheme="minorHAnsi" w:cstheme="minorHAnsi"/>
          <w:sz w:val="18"/>
          <w:szCs w:val="18"/>
        </w:rPr>
        <w:t xml:space="preserve">; S/RES/2334, 23 December 2016, </w:t>
      </w:r>
      <w:hyperlink r:id="rId23" w:history="1">
        <w:r w:rsidRPr="00C32BB1">
          <w:rPr>
            <w:rStyle w:val="Hyperlink"/>
            <w:rFonts w:asciiTheme="minorHAnsi" w:hAnsiTheme="minorHAnsi" w:cstheme="minorHAnsi"/>
            <w:sz w:val="18"/>
            <w:szCs w:val="18"/>
          </w:rPr>
          <w:t>https://undocs.org/S/RES/2334(2016)</w:t>
        </w:r>
      </w:hyperlink>
      <w:r w:rsidRPr="00C32BB1">
        <w:rPr>
          <w:rFonts w:asciiTheme="minorHAnsi" w:hAnsiTheme="minorHAnsi" w:cstheme="minorHAnsi"/>
          <w:sz w:val="18"/>
          <w:szCs w:val="18"/>
        </w:rPr>
        <w:t xml:space="preserve">. </w:t>
      </w:r>
    </w:p>
  </w:endnote>
  <w:endnote w:id="22">
    <w:p w14:paraId="59B781F7" w14:textId="03416F4B"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685084" w:rsidRPr="00C32BB1">
        <w:rPr>
          <w:rFonts w:asciiTheme="minorHAnsi" w:hAnsiTheme="minorHAnsi" w:cstheme="minorHAnsi"/>
          <w:sz w:val="18"/>
          <w:szCs w:val="18"/>
        </w:rPr>
        <w:tab/>
      </w:r>
      <w:r w:rsidRPr="00C32BB1">
        <w:rPr>
          <w:rFonts w:asciiTheme="minorHAnsi" w:hAnsiTheme="minorHAnsi" w:cstheme="minorHAnsi"/>
          <w:sz w:val="18"/>
          <w:szCs w:val="18"/>
        </w:rPr>
        <w:t xml:space="preserve">SC has determined that “all measures taken by Israel to change the physical character, demographic composition. institutional structure or status of the Palestinian and other Arab territories occupied since 1967, including Jerusalem, or any part thereof have no legal validity,” UN SC resolution 465, 1 March 1980, para. 5, </w:t>
      </w:r>
      <w:hyperlink r:id="rId24" w:history="1">
        <w:r w:rsidRPr="00C32BB1">
          <w:rPr>
            <w:rStyle w:val="Hyperlink"/>
            <w:rFonts w:asciiTheme="minorHAnsi" w:hAnsiTheme="minorHAnsi" w:cstheme="minorHAnsi"/>
            <w:sz w:val="18"/>
            <w:szCs w:val="18"/>
          </w:rPr>
          <w:t>https://undocs.org/S/RES/465(1980)</w:t>
        </w:r>
      </w:hyperlink>
      <w:r w:rsidRPr="00C32BB1">
        <w:rPr>
          <w:rFonts w:asciiTheme="minorHAnsi" w:hAnsiTheme="minorHAnsi" w:cstheme="minorHAnsi"/>
          <w:sz w:val="18"/>
          <w:szCs w:val="18"/>
        </w:rPr>
        <w:t xml:space="preserve">. </w:t>
      </w:r>
    </w:p>
  </w:endnote>
  <w:endnote w:id="23">
    <w:p w14:paraId="7001B8FE" w14:textId="62DE3FC6"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685084" w:rsidRPr="00C32BB1">
        <w:rPr>
          <w:rFonts w:asciiTheme="minorHAnsi" w:hAnsiTheme="minorHAnsi" w:cstheme="minorHAnsi"/>
          <w:sz w:val="18"/>
          <w:szCs w:val="18"/>
        </w:rPr>
        <w:tab/>
      </w:r>
      <w:r w:rsidRPr="00C32BB1">
        <w:rPr>
          <w:rFonts w:asciiTheme="minorHAnsi" w:hAnsiTheme="minorHAnsi" w:cstheme="minorHAnsi"/>
          <w:sz w:val="18"/>
          <w:szCs w:val="18"/>
        </w:rPr>
        <w:t xml:space="preserve">UN Office for the Coordination of Humanitarian Affairs (OCHA), “Palestinian Family Evicted from its Home in East Jerusalem,” 10 December 2020, </w:t>
      </w:r>
      <w:hyperlink r:id="rId25" w:history="1">
        <w:r w:rsidRPr="00C32BB1">
          <w:rPr>
            <w:rStyle w:val="Hyperlink"/>
            <w:rFonts w:asciiTheme="minorHAnsi" w:hAnsiTheme="minorHAnsi" w:cstheme="minorHAnsi"/>
            <w:sz w:val="18"/>
            <w:szCs w:val="18"/>
          </w:rPr>
          <w:t>https://www.un.org/unispal/document/palestinian-family-evicted-from-its-home-in-east-jerusalem-ocha-article/</w:t>
        </w:r>
      </w:hyperlink>
      <w:r w:rsidRPr="00C32BB1">
        <w:rPr>
          <w:rFonts w:asciiTheme="minorHAnsi" w:hAnsiTheme="minorHAnsi" w:cstheme="minorHAnsi"/>
          <w:sz w:val="18"/>
          <w:szCs w:val="18"/>
        </w:rPr>
        <w:t xml:space="preserve">. </w:t>
      </w:r>
    </w:p>
  </w:endnote>
  <w:endnote w:id="24">
    <w:p w14:paraId="0D22E76E" w14:textId="77777777"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rPr>
        <w:tab/>
      </w:r>
      <w:r w:rsidRPr="00C32BB1">
        <w:rPr>
          <w:rFonts w:asciiTheme="minorHAnsi" w:hAnsiTheme="minorHAnsi" w:cstheme="minorHAnsi"/>
          <w:spacing w:val="-4"/>
          <w:sz w:val="18"/>
          <w:szCs w:val="18"/>
        </w:rPr>
        <w:t xml:space="preserve">Israeli court approves razing West Bank Bedouin village,” </w:t>
      </w:r>
      <w:r w:rsidRPr="00C32BB1">
        <w:rPr>
          <w:rFonts w:asciiTheme="minorHAnsi" w:hAnsiTheme="minorHAnsi" w:cstheme="minorHAnsi"/>
          <w:i/>
          <w:iCs/>
          <w:spacing w:val="-4"/>
          <w:sz w:val="18"/>
          <w:szCs w:val="18"/>
        </w:rPr>
        <w:t xml:space="preserve">The Guardian </w:t>
      </w:r>
      <w:r w:rsidRPr="00C32BB1">
        <w:rPr>
          <w:rFonts w:asciiTheme="minorHAnsi" w:hAnsiTheme="minorHAnsi" w:cstheme="minorHAnsi"/>
          <w:spacing w:val="-4"/>
          <w:sz w:val="18"/>
          <w:szCs w:val="18"/>
        </w:rPr>
        <w:t xml:space="preserve">(18 May 2018), </w:t>
      </w:r>
      <w:hyperlink r:id="rId26" w:history="1">
        <w:r w:rsidRPr="00C32BB1">
          <w:rPr>
            <w:rStyle w:val="Hyperlink"/>
            <w:rFonts w:asciiTheme="minorHAnsi" w:hAnsiTheme="minorHAnsi" w:cstheme="minorHAnsi"/>
            <w:spacing w:val="-4"/>
            <w:sz w:val="18"/>
            <w:szCs w:val="18"/>
          </w:rPr>
          <w:t>https://www.theguardian.com/world/2018/may/25/israel-court-approves-razing-khan-al-ahmar-bedouin-village?CMP=Share_iOSApp_Other</w:t>
        </w:r>
      </w:hyperlink>
      <w:r w:rsidRPr="00C32BB1">
        <w:rPr>
          <w:rFonts w:asciiTheme="minorHAnsi" w:hAnsiTheme="minorHAnsi" w:cstheme="minorHAnsi"/>
          <w:spacing w:val="-4"/>
          <w:sz w:val="18"/>
          <w:szCs w:val="18"/>
        </w:rPr>
        <w:t xml:space="preserve">; “Israeli Court OKs Razing Palestinian Village,” </w:t>
      </w:r>
      <w:r w:rsidRPr="00C32BB1">
        <w:rPr>
          <w:rFonts w:asciiTheme="minorHAnsi" w:hAnsiTheme="minorHAnsi" w:cstheme="minorHAnsi"/>
          <w:i/>
          <w:iCs/>
          <w:spacing w:val="-4"/>
          <w:sz w:val="18"/>
          <w:szCs w:val="18"/>
        </w:rPr>
        <w:t>Middle East Eye</w:t>
      </w:r>
      <w:r w:rsidRPr="00C32BB1">
        <w:rPr>
          <w:rFonts w:asciiTheme="minorHAnsi" w:hAnsiTheme="minorHAnsi" w:cstheme="minorHAnsi"/>
          <w:spacing w:val="-4"/>
          <w:sz w:val="18"/>
          <w:szCs w:val="18"/>
        </w:rPr>
        <w:t xml:space="preserve"> and agencies (24 May 2018), </w:t>
      </w:r>
      <w:hyperlink r:id="rId27" w:history="1">
        <w:r w:rsidRPr="00C32BB1">
          <w:rPr>
            <w:rStyle w:val="Hyperlink"/>
            <w:rFonts w:asciiTheme="minorHAnsi" w:hAnsiTheme="minorHAnsi" w:cstheme="minorHAnsi"/>
            <w:spacing w:val="-4"/>
            <w:sz w:val="18"/>
            <w:szCs w:val="18"/>
          </w:rPr>
          <w:t>http://www.middleeasteye.net/news/israels-top-court-okays-demolition-palestinian-village-1074858494</w:t>
        </w:r>
      </w:hyperlink>
      <w:r w:rsidRPr="00C32BB1">
        <w:rPr>
          <w:rFonts w:asciiTheme="minorHAnsi" w:hAnsiTheme="minorHAnsi" w:cstheme="minorHAnsi"/>
          <w:spacing w:val="-4"/>
          <w:sz w:val="18"/>
          <w:szCs w:val="18"/>
        </w:rPr>
        <w:t>.</w:t>
      </w:r>
      <w:r w:rsidRPr="00C32BB1">
        <w:rPr>
          <w:rFonts w:asciiTheme="minorHAnsi" w:hAnsiTheme="minorHAnsi" w:cstheme="minorHAnsi"/>
          <w:sz w:val="18"/>
          <w:szCs w:val="18"/>
        </w:rPr>
        <w:t xml:space="preserve"> </w:t>
      </w:r>
    </w:p>
  </w:endnote>
  <w:endnote w:id="25">
    <w:p w14:paraId="0F1523E2" w14:textId="14414061"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685084" w:rsidRPr="00C32BB1">
        <w:rPr>
          <w:rFonts w:asciiTheme="minorHAnsi" w:hAnsiTheme="minorHAnsi" w:cstheme="minorHAnsi"/>
          <w:sz w:val="18"/>
          <w:szCs w:val="18"/>
        </w:rPr>
        <w:tab/>
      </w:r>
      <w:r w:rsidRPr="00C32BB1">
        <w:rPr>
          <w:rFonts w:asciiTheme="minorHAnsi" w:hAnsiTheme="minorHAnsi" w:cstheme="minorHAnsi"/>
          <w:sz w:val="18"/>
          <w:szCs w:val="18"/>
        </w:rPr>
        <w:t xml:space="preserve">The Land Regulation Law, adopted 6 February 2017, allowing SoI s to confiscate private Palestinian lands in the West Bank for settler-colony construction and grants CAP discretion to reclassify land, including all “state land” (42%) in oPt; a bill introduced by Israeli Justice Minister Ayelet Shaked, strips High Court’s jurisdiction over West Bank land disputes, blocking Palestinians’ access to the High Court for claiming land ownership of land on which Israeli settlers have built, requiring claimants to petition the Jerusalem District Court first, 18 July 2018, Jacob Magid, “Bill stripping High Court’s power to adjudicate West Bank land disputes advances,” </w:t>
      </w:r>
      <w:r w:rsidRPr="00C32BB1">
        <w:rPr>
          <w:rFonts w:asciiTheme="minorHAnsi" w:hAnsiTheme="minorHAnsi" w:cstheme="minorHAnsi"/>
          <w:i/>
          <w:iCs/>
          <w:sz w:val="18"/>
          <w:szCs w:val="18"/>
        </w:rPr>
        <w:t>Times of Israel</w:t>
      </w:r>
      <w:r w:rsidRPr="00C32BB1">
        <w:rPr>
          <w:rFonts w:asciiTheme="minorHAnsi" w:hAnsiTheme="minorHAnsi" w:cstheme="minorHAnsi"/>
          <w:sz w:val="18"/>
          <w:szCs w:val="18"/>
        </w:rPr>
        <w:t xml:space="preserve"> (25 February 2018), </w:t>
      </w:r>
      <w:hyperlink r:id="rId28" w:history="1">
        <w:r w:rsidRPr="00C32BB1">
          <w:rPr>
            <w:rStyle w:val="Hyperlink"/>
            <w:rFonts w:asciiTheme="minorHAnsi" w:hAnsiTheme="minorHAnsi" w:cstheme="minorHAnsi"/>
            <w:sz w:val="18"/>
            <w:szCs w:val="18"/>
          </w:rPr>
          <w:t>https://www.timesofisrael.com/bill-seizing-high-courts-power-to-adjudicate-west-bank-land-disputes-advances/</w:t>
        </w:r>
      </w:hyperlink>
      <w:r w:rsidRPr="00C32BB1">
        <w:rPr>
          <w:rFonts w:asciiTheme="minorHAnsi" w:hAnsiTheme="minorHAnsi" w:cstheme="minorHAnsi"/>
          <w:sz w:val="18"/>
          <w:szCs w:val="18"/>
        </w:rPr>
        <w:t xml:space="preserve">; the “United Jerusalem Bill,” 18 July 2018, retroactively regularizing “outposts” built on private Palestinian land, “Blocking the division of Jerusalem, </w:t>
      </w:r>
      <w:r w:rsidRPr="00C32BB1">
        <w:rPr>
          <w:rFonts w:asciiTheme="minorHAnsi" w:hAnsiTheme="minorHAnsi" w:cstheme="minorHAnsi"/>
          <w:i/>
          <w:iCs/>
          <w:sz w:val="18"/>
          <w:szCs w:val="18"/>
        </w:rPr>
        <w:t xml:space="preserve">Aruts Sheva </w:t>
      </w:r>
      <w:r w:rsidRPr="00C32BB1">
        <w:rPr>
          <w:rFonts w:asciiTheme="minorHAnsi" w:hAnsiTheme="minorHAnsi" w:cstheme="minorHAnsi"/>
          <w:sz w:val="18"/>
          <w:szCs w:val="18"/>
        </w:rPr>
        <w:t xml:space="preserve">(16 January 2017), </w:t>
      </w:r>
      <w:hyperlink r:id="rId29" w:history="1">
        <w:r w:rsidRPr="00C32BB1">
          <w:rPr>
            <w:rStyle w:val="Hyperlink"/>
            <w:rFonts w:asciiTheme="minorHAnsi" w:hAnsiTheme="minorHAnsi" w:cstheme="minorHAnsi"/>
            <w:sz w:val="18"/>
            <w:szCs w:val="18"/>
          </w:rPr>
          <w:t>http://www.israelnationalnews.com/News/News.aspx/231125</w:t>
        </w:r>
      </w:hyperlink>
      <w:r w:rsidRPr="00C32BB1">
        <w:rPr>
          <w:rFonts w:asciiTheme="minorHAnsi" w:hAnsiTheme="minorHAnsi" w:cstheme="minorHAnsi"/>
          <w:sz w:val="18"/>
          <w:szCs w:val="18"/>
        </w:rPr>
        <w:t>.</w:t>
      </w:r>
    </w:p>
  </w:endnote>
  <w:endnote w:id="26">
    <w:p w14:paraId="390E3C11" w14:textId="68640644"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685084" w:rsidRPr="00C32BB1">
        <w:rPr>
          <w:rFonts w:asciiTheme="minorHAnsi" w:hAnsiTheme="minorHAnsi" w:cstheme="minorHAnsi"/>
          <w:sz w:val="18"/>
          <w:szCs w:val="18"/>
        </w:rPr>
        <w:tab/>
      </w:r>
      <w:r w:rsidRPr="00F152C5">
        <w:rPr>
          <w:rFonts w:asciiTheme="minorHAnsi" w:hAnsiTheme="minorHAnsi" w:cstheme="minorHAnsi"/>
          <w:spacing w:val="-2"/>
          <w:sz w:val="18"/>
          <w:szCs w:val="18"/>
        </w:rPr>
        <w:t xml:space="preserve">Enabled by Civil Service Law (Appointments) (Amendment No. 20) (Appointment of Legal Counsel to Government Ministries), 5727–2017. </w:t>
      </w:r>
      <w:r w:rsidRPr="00F152C5">
        <w:rPr>
          <w:rFonts w:asciiTheme="minorHAnsi" w:hAnsiTheme="minorHAnsi" w:cstheme="minorHAnsi"/>
          <w:i/>
          <w:iCs/>
          <w:spacing w:val="-2"/>
          <w:sz w:val="18"/>
          <w:szCs w:val="18"/>
        </w:rPr>
        <w:t>See</w:t>
      </w:r>
      <w:r w:rsidRPr="00F152C5">
        <w:rPr>
          <w:rFonts w:asciiTheme="minorHAnsi" w:hAnsiTheme="minorHAnsi" w:cstheme="minorHAnsi"/>
          <w:spacing w:val="-2"/>
          <w:sz w:val="18"/>
          <w:szCs w:val="18"/>
        </w:rPr>
        <w:t xml:space="preserve"> </w:t>
      </w:r>
      <w:r w:rsidR="00805C8C" w:rsidRPr="00F152C5">
        <w:rPr>
          <w:rFonts w:asciiTheme="minorHAnsi" w:hAnsiTheme="minorHAnsi" w:cstheme="minorHAnsi"/>
          <w:spacing w:val="-2"/>
          <w:sz w:val="18"/>
          <w:szCs w:val="18"/>
        </w:rPr>
        <w:t xml:space="preserve">Association for Civil Rights in Israel </w:t>
      </w:r>
      <w:r w:rsidR="00F152C5" w:rsidRPr="00F152C5">
        <w:rPr>
          <w:rFonts w:asciiTheme="minorHAnsi" w:hAnsiTheme="minorHAnsi" w:cstheme="minorHAnsi"/>
          <w:spacing w:val="-2"/>
          <w:sz w:val="18"/>
          <w:szCs w:val="18"/>
        </w:rPr>
        <w:t>(</w:t>
      </w:r>
      <w:r w:rsidRPr="00F152C5">
        <w:rPr>
          <w:rFonts w:asciiTheme="minorHAnsi" w:hAnsiTheme="minorHAnsi" w:cstheme="minorHAnsi"/>
          <w:spacing w:val="-2"/>
          <w:sz w:val="18"/>
          <w:szCs w:val="18"/>
        </w:rPr>
        <w:t>ACRI</w:t>
      </w:r>
      <w:r w:rsidR="00F152C5" w:rsidRPr="00F152C5">
        <w:rPr>
          <w:rFonts w:asciiTheme="minorHAnsi" w:hAnsiTheme="minorHAnsi" w:cstheme="minorHAnsi"/>
          <w:spacing w:val="-2"/>
          <w:sz w:val="18"/>
          <w:szCs w:val="18"/>
        </w:rPr>
        <w:t>)</w:t>
      </w:r>
      <w:r w:rsidRPr="00F152C5">
        <w:rPr>
          <w:rFonts w:asciiTheme="minorHAnsi" w:hAnsiTheme="minorHAnsi" w:cstheme="minorHAnsi"/>
          <w:spacing w:val="-2"/>
          <w:sz w:val="18"/>
          <w:szCs w:val="18"/>
        </w:rPr>
        <w:t xml:space="preserve">, “Changing the Method for Appointing Legal Advisers,” 27 June 2018, </w:t>
      </w:r>
      <w:hyperlink r:id="rId30" w:history="1">
        <w:r w:rsidRPr="00F152C5">
          <w:rPr>
            <w:rStyle w:val="Hyperlink"/>
            <w:rFonts w:asciiTheme="minorHAnsi" w:hAnsiTheme="minorHAnsi" w:cstheme="minorHAnsi"/>
            <w:spacing w:val="-2"/>
            <w:sz w:val="18"/>
            <w:szCs w:val="18"/>
          </w:rPr>
          <w:t>https://law.acri.org.il/en/2018/06/27/changing-the-method-for-appointing-legal-advisers/</w:t>
        </w:r>
      </w:hyperlink>
      <w:r w:rsidR="00F152C5" w:rsidRPr="00F152C5">
        <w:rPr>
          <w:rFonts w:asciiTheme="minorHAnsi" w:hAnsiTheme="minorHAnsi" w:cstheme="minorHAnsi"/>
          <w:spacing w:val="-2"/>
          <w:sz w:val="18"/>
          <w:szCs w:val="18"/>
        </w:rPr>
        <w:t>.</w:t>
      </w:r>
    </w:p>
  </w:endnote>
  <w:endnote w:id="27">
    <w:p w14:paraId="72231D08" w14:textId="3E87CCFA"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685084" w:rsidRPr="00C32BB1">
        <w:rPr>
          <w:rFonts w:asciiTheme="minorHAnsi" w:hAnsiTheme="minorHAnsi" w:cstheme="minorHAnsi"/>
          <w:sz w:val="18"/>
          <w:szCs w:val="18"/>
        </w:rPr>
        <w:tab/>
      </w:r>
      <w:r w:rsidRPr="00C32BB1">
        <w:rPr>
          <w:rFonts w:asciiTheme="minorHAnsi" w:hAnsiTheme="minorHAnsi" w:cstheme="minorHAnsi"/>
          <w:sz w:val="18"/>
          <w:szCs w:val="18"/>
        </w:rPr>
        <w:t xml:space="preserve">Rory McCarthy, “Palestinian couple evicted from home of 50 years as Jerusalem settlers move in,” </w:t>
      </w:r>
      <w:r w:rsidRPr="00C32BB1">
        <w:rPr>
          <w:rFonts w:asciiTheme="minorHAnsi" w:hAnsiTheme="minorHAnsi" w:cstheme="minorHAnsi"/>
          <w:i/>
          <w:iCs/>
          <w:sz w:val="18"/>
          <w:szCs w:val="18"/>
        </w:rPr>
        <w:t xml:space="preserve">The Guardian </w:t>
      </w:r>
      <w:r w:rsidRPr="00C32BB1">
        <w:rPr>
          <w:rFonts w:asciiTheme="minorHAnsi" w:hAnsiTheme="minorHAnsi" w:cstheme="minorHAnsi"/>
          <w:sz w:val="18"/>
          <w:szCs w:val="18"/>
        </w:rPr>
        <w:t xml:space="preserve">(10 November 2008), </w:t>
      </w:r>
      <w:hyperlink r:id="rId31" w:history="1">
        <w:r w:rsidRPr="00C32BB1">
          <w:rPr>
            <w:rStyle w:val="Hyperlink"/>
            <w:rFonts w:asciiTheme="minorHAnsi" w:hAnsiTheme="minorHAnsi" w:cstheme="minorHAnsi"/>
            <w:sz w:val="18"/>
            <w:szCs w:val="18"/>
          </w:rPr>
          <w:t>https://www.theguardian.com/world/2008/nov/10/israelandthepalestinians</w:t>
        </w:r>
      </w:hyperlink>
      <w:r w:rsidRPr="00C32BB1">
        <w:rPr>
          <w:rFonts w:asciiTheme="minorHAnsi" w:hAnsiTheme="minorHAnsi" w:cstheme="minorHAnsi"/>
          <w:sz w:val="18"/>
          <w:szCs w:val="18"/>
        </w:rPr>
        <w:t xml:space="preserve">; Nir Hasson, “Court Orders Dozens of Palestinians Out of Jerusalem Homes to Make Way for Settlers,” </w:t>
      </w:r>
      <w:r w:rsidRPr="00C32BB1">
        <w:rPr>
          <w:rFonts w:asciiTheme="minorHAnsi" w:hAnsiTheme="minorHAnsi" w:cstheme="minorHAnsi"/>
          <w:i/>
          <w:iCs/>
          <w:sz w:val="18"/>
          <w:szCs w:val="18"/>
        </w:rPr>
        <w:t xml:space="preserve">Haaretz </w:t>
      </w:r>
      <w:r w:rsidRPr="00C32BB1">
        <w:rPr>
          <w:rFonts w:asciiTheme="minorHAnsi" w:hAnsiTheme="minorHAnsi" w:cstheme="minorHAnsi"/>
          <w:sz w:val="18"/>
          <w:szCs w:val="18"/>
        </w:rPr>
        <w:t xml:space="preserve">(15 September 2020), </w:t>
      </w:r>
      <w:hyperlink r:id="rId32" w:history="1">
        <w:r w:rsidRPr="00C32BB1">
          <w:rPr>
            <w:rStyle w:val="Hyperlink"/>
            <w:rFonts w:asciiTheme="minorHAnsi" w:hAnsiTheme="minorHAnsi" w:cstheme="minorHAnsi"/>
            <w:sz w:val="18"/>
            <w:szCs w:val="18"/>
          </w:rPr>
          <w:t>https://www.haaretz.com/israel-news/.premium-court-orders-dozens-of-palestinians-out-of-jerusalem-homes-to-make-way-for-settlers-1.9157320?fbclid=IwAR0mYKz5G6geY-1D4hLoy2GYnavPak8Uixe2cPp4HNMgpuw0v7UCgBnAy7I</w:t>
        </w:r>
      </w:hyperlink>
      <w:r w:rsidRPr="00C32BB1">
        <w:rPr>
          <w:rFonts w:asciiTheme="minorHAnsi" w:hAnsiTheme="minorHAnsi" w:cstheme="minorHAnsi"/>
          <w:sz w:val="18"/>
          <w:szCs w:val="18"/>
        </w:rPr>
        <w:t>.</w:t>
      </w:r>
    </w:p>
  </w:endnote>
  <w:endnote w:id="28">
    <w:p w14:paraId="400E05CC" w14:textId="6A1BFC2C" w:rsidR="007E4F93" w:rsidRPr="00C32BB1" w:rsidRDefault="007E4F93" w:rsidP="00C32BB1">
      <w:pPr>
        <w:pStyle w:val="EndnoteText"/>
        <w:ind w:left="170" w:hanging="170"/>
        <w:jc w:val="lowKashida"/>
        <w:rPr>
          <w:rFonts w:asciiTheme="minorHAnsi" w:hAnsiTheme="minorHAnsi" w:cstheme="minorHAnsi"/>
          <w:sz w:val="18"/>
          <w:szCs w:val="18"/>
          <w:lang w:val="en-CA"/>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685084" w:rsidRPr="00C32BB1">
        <w:rPr>
          <w:rFonts w:asciiTheme="minorHAnsi" w:hAnsiTheme="minorHAnsi" w:cstheme="minorHAnsi"/>
          <w:sz w:val="18"/>
          <w:szCs w:val="18"/>
        </w:rPr>
        <w:tab/>
      </w:r>
      <w:r w:rsidRPr="00C32BB1">
        <w:rPr>
          <w:rFonts w:asciiTheme="minorHAnsi" w:hAnsiTheme="minorHAnsi" w:cstheme="minorHAnsi"/>
          <w:spacing w:val="-2"/>
          <w:sz w:val="18"/>
          <w:szCs w:val="18"/>
          <w:lang w:val="en-CA"/>
        </w:rPr>
        <w:t>Linah Alsaafin, “</w:t>
      </w:r>
      <w:r w:rsidRPr="00C32BB1">
        <w:rPr>
          <w:rFonts w:asciiTheme="minorHAnsi" w:hAnsiTheme="minorHAnsi" w:cstheme="minorHAnsi"/>
          <w:spacing w:val="-2"/>
          <w:sz w:val="18"/>
          <w:szCs w:val="18"/>
        </w:rPr>
        <w:t xml:space="preserve">What is happening in occupied East Jerusalem’s Sheikh Jarrah? Israel ordered six Palestinian families to leave their homes in Sheikh Jarrah on May 2 to make way for Jewish settlers.” Al Jazeera, 1 May 2021, available at </w:t>
      </w:r>
      <w:hyperlink r:id="rId33" w:history="1">
        <w:r w:rsidRPr="00C32BB1">
          <w:rPr>
            <w:rStyle w:val="Hyperlink"/>
            <w:rFonts w:asciiTheme="minorHAnsi" w:hAnsiTheme="minorHAnsi" w:cstheme="minorHAnsi"/>
            <w:spacing w:val="-2"/>
            <w:sz w:val="18"/>
            <w:szCs w:val="18"/>
          </w:rPr>
          <w:t>https://www.aljazeera.com/news/2021/5/1/what-is-happening-in-occupied-east-jerusalems-sheikh-jarrah</w:t>
        </w:r>
      </w:hyperlink>
      <w:r w:rsidR="00685084" w:rsidRPr="00C32BB1">
        <w:rPr>
          <w:rStyle w:val="Hyperlink"/>
          <w:rFonts w:asciiTheme="minorHAnsi" w:hAnsiTheme="minorHAnsi" w:cstheme="minorHAnsi"/>
          <w:spacing w:val="-2"/>
          <w:sz w:val="18"/>
          <w:szCs w:val="18"/>
        </w:rPr>
        <w:t>.</w:t>
      </w:r>
    </w:p>
  </w:endnote>
  <w:endnote w:id="29">
    <w:p w14:paraId="7AF475FC" w14:textId="4F96DFFE" w:rsidR="00E26EFB" w:rsidRPr="00C32BB1" w:rsidRDefault="00E26EFB" w:rsidP="00C32BB1">
      <w:pPr>
        <w:pStyle w:val="EndnoteText"/>
        <w:ind w:left="170" w:hanging="170"/>
        <w:jc w:val="lowKashida"/>
        <w:rPr>
          <w:rFonts w:asciiTheme="minorHAnsi" w:hAnsiTheme="minorHAnsi" w:cstheme="minorHAnsi"/>
          <w:b/>
          <w:bCs/>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685084" w:rsidRPr="00C32BB1">
        <w:rPr>
          <w:rFonts w:asciiTheme="minorHAnsi" w:hAnsiTheme="minorHAnsi" w:cstheme="minorHAnsi"/>
          <w:sz w:val="18"/>
          <w:szCs w:val="18"/>
        </w:rPr>
        <w:tab/>
      </w:r>
      <w:r w:rsidRPr="00C32BB1">
        <w:rPr>
          <w:rFonts w:asciiTheme="minorHAnsi" w:hAnsiTheme="minorHAnsi" w:cstheme="minorHAnsi"/>
          <w:sz w:val="18"/>
          <w:szCs w:val="18"/>
          <w:lang w:val="en-CA"/>
        </w:rPr>
        <w:t xml:space="preserve">Ir Amim and Bimkom, </w:t>
      </w:r>
      <w:r w:rsidR="00E6322D" w:rsidRPr="00C32BB1">
        <w:rPr>
          <w:rFonts w:asciiTheme="minorHAnsi" w:hAnsiTheme="minorHAnsi" w:cstheme="minorHAnsi"/>
          <w:sz w:val="18"/>
          <w:szCs w:val="18"/>
          <w:lang w:val="en-CA"/>
        </w:rPr>
        <w:t>“</w:t>
      </w:r>
      <w:r w:rsidR="00E6322D" w:rsidRPr="00C32BB1">
        <w:rPr>
          <w:rFonts w:asciiTheme="minorHAnsi" w:hAnsiTheme="minorHAnsi" w:cstheme="minorHAnsi"/>
          <w:sz w:val="18"/>
          <w:szCs w:val="18"/>
        </w:rPr>
        <w:t xml:space="preserve">Israel Initiates Land Registration Procedures In Sheikh Jarrah To Advance Jewish Settlement”, 4 May 2021, available at </w:t>
      </w:r>
      <w:hyperlink r:id="rId34" w:history="1">
        <w:r w:rsidR="00E6322D" w:rsidRPr="00C32BB1">
          <w:rPr>
            <w:rStyle w:val="Hyperlink"/>
            <w:rFonts w:asciiTheme="minorHAnsi" w:hAnsiTheme="minorHAnsi" w:cstheme="minorHAnsi"/>
            <w:sz w:val="18"/>
            <w:szCs w:val="18"/>
          </w:rPr>
          <w:t>https://www.ir-amim.org.il/en/node/2639</w:t>
        </w:r>
      </w:hyperlink>
      <w:r w:rsidR="00E6322D" w:rsidRPr="00C32BB1">
        <w:rPr>
          <w:rFonts w:asciiTheme="minorHAnsi" w:hAnsiTheme="minorHAnsi" w:cstheme="minorHAnsi"/>
          <w:sz w:val="18"/>
          <w:szCs w:val="18"/>
        </w:rPr>
        <w:t xml:space="preserve"> </w:t>
      </w:r>
    </w:p>
  </w:endnote>
  <w:endnote w:id="30">
    <w:p w14:paraId="481DB956" w14:textId="5DF00561"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05C8C">
        <w:rPr>
          <w:rFonts w:asciiTheme="minorHAnsi" w:hAnsiTheme="minorHAnsi" w:cstheme="minorHAnsi"/>
          <w:sz w:val="18"/>
          <w:szCs w:val="18"/>
        </w:rPr>
        <w:tab/>
      </w:r>
      <w:r w:rsidRPr="00C32BB1">
        <w:rPr>
          <w:rFonts w:asciiTheme="minorHAnsi" w:hAnsiTheme="minorHAnsi" w:cstheme="minorHAnsi"/>
          <w:sz w:val="18"/>
          <w:szCs w:val="18"/>
        </w:rPr>
        <w:t>Amendment 30 to the Entry into Israel Law, or “breach of loyalty” legislation, 7 March 2018, allows interior minister to revoke permanent residency status of Palestinians in East Jerusalem who engage in so-called “terror,” or other “anti-Israel activities” and any permanent residents involved in such acts, and allows SoI to deport anyone whose Jerusalem residency status is revoked.</w:t>
      </w:r>
    </w:p>
  </w:endnote>
  <w:endnote w:id="31">
    <w:p w14:paraId="375BF4C8" w14:textId="203D20DE"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05C8C">
        <w:rPr>
          <w:rFonts w:asciiTheme="minorHAnsi" w:hAnsiTheme="minorHAnsi" w:cstheme="minorHAnsi"/>
          <w:sz w:val="18"/>
          <w:szCs w:val="18"/>
        </w:rPr>
        <w:tab/>
      </w:r>
      <w:r w:rsidRPr="00C32BB1">
        <w:rPr>
          <w:rFonts w:asciiTheme="minorHAnsi" w:hAnsiTheme="minorHAnsi" w:cstheme="minorHAnsi"/>
          <w:sz w:val="18"/>
          <w:szCs w:val="18"/>
          <w:lang w:eastAsia="en-GB"/>
        </w:rPr>
        <w:t xml:space="preserve">ILC, Draft Code of Crimes against the Peace and Security of Mankind with commentaries. 1996, </w:t>
      </w:r>
      <w:r w:rsidRPr="00C32BB1">
        <w:rPr>
          <w:rFonts w:asciiTheme="minorHAnsi" w:hAnsiTheme="minorHAnsi" w:cstheme="minorHAnsi"/>
          <w:i/>
          <w:iCs/>
          <w:sz w:val="18"/>
          <w:szCs w:val="18"/>
          <w:lang w:eastAsia="en-GB"/>
        </w:rPr>
        <w:t>Yearbook of the International Law Commission</w:t>
      </w:r>
      <w:r w:rsidRPr="00C32BB1">
        <w:rPr>
          <w:rFonts w:asciiTheme="minorHAnsi" w:hAnsiTheme="minorHAnsi" w:cstheme="minorHAnsi"/>
          <w:sz w:val="18"/>
          <w:szCs w:val="18"/>
          <w:lang w:eastAsia="en-GB"/>
        </w:rPr>
        <w:t xml:space="preserve">, vol. II, Part Two (1996), under Article 17(c), Commentary on Article 17: Genocide, para. 7, p. 46, </w:t>
      </w:r>
      <w:hyperlink r:id="rId35" w:history="1">
        <w:r w:rsidRPr="00C32BB1">
          <w:rPr>
            <w:rStyle w:val="Hyperlink"/>
            <w:rFonts w:asciiTheme="minorHAnsi" w:hAnsiTheme="minorHAnsi" w:cstheme="minorHAnsi"/>
            <w:sz w:val="18"/>
            <w:szCs w:val="18"/>
            <w:lang w:eastAsia="en-GB"/>
          </w:rPr>
          <w:t>https://legal.un.org/ilc/texts/instruments/english/commentaries/7_4_1996.pdf</w:t>
        </w:r>
      </w:hyperlink>
      <w:r w:rsidRPr="00C32BB1">
        <w:rPr>
          <w:rFonts w:asciiTheme="minorHAnsi" w:hAnsiTheme="minorHAnsi" w:cstheme="minorHAnsi"/>
          <w:sz w:val="18"/>
          <w:szCs w:val="18"/>
          <w:lang w:eastAsia="en-GB"/>
        </w:rPr>
        <w:t>.</w:t>
      </w:r>
    </w:p>
  </w:endnote>
  <w:endnote w:id="32">
    <w:p w14:paraId="5DCA5CA5" w14:textId="00FA5FE2" w:rsidR="00336C73" w:rsidRPr="00C32BB1" w:rsidRDefault="00336C73" w:rsidP="00C32BB1">
      <w:pPr>
        <w:pStyle w:val="Plain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05C8C">
        <w:rPr>
          <w:rFonts w:asciiTheme="minorHAnsi" w:hAnsiTheme="minorHAnsi" w:cstheme="minorHAnsi"/>
          <w:sz w:val="18"/>
          <w:szCs w:val="18"/>
        </w:rPr>
        <w:tab/>
      </w:r>
      <w:r w:rsidRPr="00C32BB1">
        <w:rPr>
          <w:rFonts w:asciiTheme="minorHAnsi" w:hAnsiTheme="minorHAnsi" w:cstheme="minorHAnsi"/>
          <w:spacing w:val="-2"/>
          <w:sz w:val="18"/>
          <w:szCs w:val="18"/>
          <w:lang w:val="en-US" w:eastAsia="en-GB"/>
        </w:rPr>
        <w:t xml:space="preserve">International Law Commission, Draft Code of Crimes against the Peace and Security of Mankind with commentaries. 1996, </w:t>
      </w:r>
      <w:r w:rsidRPr="00C32BB1">
        <w:rPr>
          <w:rFonts w:asciiTheme="minorHAnsi" w:hAnsiTheme="minorHAnsi" w:cstheme="minorHAnsi"/>
          <w:i/>
          <w:iCs/>
          <w:spacing w:val="-2"/>
          <w:sz w:val="18"/>
          <w:szCs w:val="18"/>
          <w:lang w:val="en-US" w:eastAsia="en-GB"/>
        </w:rPr>
        <w:t>Yearbook of the International Law Commission</w:t>
      </w:r>
      <w:r w:rsidRPr="00C32BB1">
        <w:rPr>
          <w:rFonts w:asciiTheme="minorHAnsi" w:hAnsiTheme="minorHAnsi" w:cstheme="minorHAnsi"/>
          <w:spacing w:val="-2"/>
          <w:sz w:val="18"/>
          <w:szCs w:val="18"/>
          <w:lang w:val="en-US" w:eastAsia="en-GB"/>
        </w:rPr>
        <w:t xml:space="preserve">, vol. II, Part Two (1996), under Article 17(c), Commentary on Article 17: Genocide, para. 7, p. 46, </w:t>
      </w:r>
      <w:hyperlink r:id="rId36" w:history="1">
        <w:r w:rsidRPr="00C32BB1">
          <w:rPr>
            <w:rStyle w:val="Hyperlink"/>
            <w:rFonts w:asciiTheme="minorHAnsi" w:hAnsiTheme="minorHAnsi" w:cstheme="minorHAnsi"/>
            <w:spacing w:val="-2"/>
            <w:sz w:val="18"/>
            <w:szCs w:val="18"/>
            <w:lang w:val="en-US" w:eastAsia="en-GB"/>
          </w:rPr>
          <w:t>https://legal.un.org/ilc/texts/instruments/english/commentaries/7_4_1996.pdf</w:t>
        </w:r>
      </w:hyperlink>
      <w:r w:rsidRPr="00C32BB1">
        <w:rPr>
          <w:rFonts w:asciiTheme="minorHAnsi" w:hAnsiTheme="minorHAnsi" w:cstheme="minorHAnsi"/>
          <w:spacing w:val="-2"/>
          <w:sz w:val="18"/>
          <w:szCs w:val="18"/>
          <w:lang w:val="en-US" w:eastAsia="en-GB"/>
        </w:rPr>
        <w:t>.</w:t>
      </w:r>
    </w:p>
  </w:endnote>
  <w:endnote w:id="33">
    <w:p w14:paraId="2081AE7C" w14:textId="258BD86C" w:rsidR="00D65535" w:rsidRPr="00C32BB1" w:rsidRDefault="00D65535"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05C8C">
        <w:rPr>
          <w:rFonts w:asciiTheme="minorHAnsi" w:hAnsiTheme="minorHAnsi" w:cstheme="minorHAnsi"/>
          <w:sz w:val="18"/>
          <w:szCs w:val="18"/>
        </w:rPr>
        <w:tab/>
      </w:r>
      <w:r w:rsidRPr="00C32BB1">
        <w:rPr>
          <w:rFonts w:asciiTheme="minorHAnsi" w:hAnsiTheme="minorHAnsi" w:cstheme="minorHAnsi"/>
          <w:sz w:val="18"/>
          <w:szCs w:val="18"/>
        </w:rPr>
        <w:t xml:space="preserve">CERD, Concluding observations of the Committee on the Elimination of Racial Discrimination on the fourteenth to sixteenth periodic reports of Israel, 3 April 2012, UN Doc. CERD/C/ISR/CO/14-16, para. 18. </w:t>
      </w:r>
    </w:p>
  </w:endnote>
  <w:endnote w:id="34">
    <w:p w14:paraId="6F98C285" w14:textId="2182DAA6" w:rsidR="00D65535" w:rsidRPr="00C32BB1" w:rsidRDefault="00D65535"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05C8C">
        <w:rPr>
          <w:rFonts w:asciiTheme="minorHAnsi" w:hAnsiTheme="minorHAnsi" w:cstheme="minorHAnsi"/>
          <w:sz w:val="18"/>
          <w:szCs w:val="18"/>
        </w:rPr>
        <w:tab/>
      </w:r>
      <w:r w:rsidR="00945D8A" w:rsidRPr="00C32BB1">
        <w:rPr>
          <w:rFonts w:asciiTheme="minorHAnsi" w:hAnsiTheme="minorHAnsi" w:cstheme="minorHAnsi"/>
          <w:sz w:val="18"/>
          <w:szCs w:val="18"/>
        </w:rPr>
        <w:t xml:space="preserve">Al-Haq, “Engineering Community: Family Unification, Entry Restrictions and other Israeli Policies of Fragmenting Palestinians,” 13 February 2019, p. 6-7, available </w:t>
      </w:r>
      <w:hyperlink r:id="rId37" w:history="1">
        <w:r w:rsidR="00945D8A" w:rsidRPr="00C32BB1">
          <w:rPr>
            <w:rStyle w:val="Hyperlink"/>
            <w:rFonts w:asciiTheme="minorHAnsi" w:hAnsiTheme="minorHAnsi" w:cstheme="minorHAnsi"/>
            <w:sz w:val="18"/>
            <w:szCs w:val="18"/>
          </w:rPr>
          <w:t>https://www.alhaq.org/advocacy/6106.html</w:t>
        </w:r>
      </w:hyperlink>
      <w:r w:rsidR="00945D8A" w:rsidRPr="00C32BB1">
        <w:rPr>
          <w:rFonts w:asciiTheme="minorHAnsi" w:hAnsiTheme="minorHAnsi" w:cstheme="minorHAnsi"/>
          <w:sz w:val="18"/>
          <w:szCs w:val="18"/>
        </w:rPr>
        <w:t xml:space="preserve">. </w:t>
      </w:r>
    </w:p>
  </w:endnote>
  <w:endnote w:id="35">
    <w:p w14:paraId="6CE78C3A" w14:textId="6422AE3A" w:rsidR="00945D8A" w:rsidRPr="00C32BB1" w:rsidRDefault="00945D8A"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05C8C">
        <w:rPr>
          <w:rFonts w:asciiTheme="minorHAnsi" w:hAnsiTheme="minorHAnsi" w:cstheme="minorHAnsi"/>
          <w:sz w:val="18"/>
          <w:szCs w:val="18"/>
        </w:rPr>
        <w:tab/>
      </w:r>
      <w:r w:rsidRPr="00C32BB1">
        <w:rPr>
          <w:rFonts w:asciiTheme="minorHAnsi" w:hAnsiTheme="minorHAnsi" w:cstheme="minorHAnsi"/>
          <w:i/>
          <w:iCs/>
          <w:sz w:val="18"/>
          <w:szCs w:val="18"/>
        </w:rPr>
        <w:t xml:space="preserve">Ibid. </w:t>
      </w:r>
      <w:r w:rsidRPr="00C32BB1">
        <w:rPr>
          <w:rFonts w:asciiTheme="minorHAnsi" w:hAnsiTheme="minorHAnsi" w:cstheme="minorHAnsi"/>
          <w:sz w:val="18"/>
          <w:szCs w:val="18"/>
        </w:rPr>
        <w:t>p. 8.</w:t>
      </w:r>
    </w:p>
  </w:endnote>
  <w:endnote w:id="36">
    <w:p w14:paraId="7EAC7A23" w14:textId="0FF47817" w:rsidR="00945D8A" w:rsidRPr="00C32BB1" w:rsidRDefault="00945D8A"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685084" w:rsidRPr="00C32BB1">
        <w:rPr>
          <w:rFonts w:asciiTheme="minorHAnsi" w:hAnsiTheme="minorHAnsi" w:cstheme="minorHAnsi"/>
          <w:sz w:val="18"/>
          <w:szCs w:val="18"/>
        </w:rPr>
        <w:tab/>
      </w:r>
      <w:r w:rsidRPr="00C32BB1">
        <w:rPr>
          <w:rFonts w:asciiTheme="minorHAnsi" w:hAnsiTheme="minorHAnsi" w:cstheme="minorHAnsi"/>
          <w:sz w:val="18"/>
          <w:szCs w:val="18"/>
        </w:rPr>
        <w:t xml:space="preserve">Al-Haq, “Living Under Israeli Policies of Colonization in Jerusalem,” 4 February 2017, </w:t>
      </w:r>
      <w:hyperlink r:id="rId38" w:history="1">
        <w:r w:rsidR="00685084" w:rsidRPr="00C32BB1">
          <w:rPr>
            <w:rStyle w:val="Hyperlink"/>
            <w:rFonts w:asciiTheme="minorHAnsi" w:hAnsiTheme="minorHAnsi" w:cstheme="minorHAnsi"/>
            <w:sz w:val="18"/>
            <w:szCs w:val="18"/>
          </w:rPr>
          <w:t>https://www.alhaq.org/advocacy/6359.html</w:t>
        </w:r>
      </w:hyperlink>
      <w:r w:rsidRPr="00C32BB1">
        <w:rPr>
          <w:rFonts w:asciiTheme="minorHAnsi" w:hAnsiTheme="minorHAnsi" w:cstheme="minorHAnsi"/>
          <w:sz w:val="18"/>
          <w:szCs w:val="18"/>
        </w:rPr>
        <w:t>; Official Israeli papers specifically relate to the “demographic balance” in Jerusalem (</w:t>
      </w:r>
      <w:r w:rsidRPr="00C32BB1">
        <w:rPr>
          <w:rFonts w:asciiTheme="minorHAnsi" w:hAnsiTheme="minorHAnsi" w:cstheme="minorHAnsi"/>
          <w:i/>
          <w:iCs/>
          <w:sz w:val="18"/>
          <w:szCs w:val="18"/>
        </w:rPr>
        <w:t xml:space="preserve">see </w:t>
      </w:r>
      <w:r w:rsidRPr="00C32BB1">
        <w:rPr>
          <w:rFonts w:asciiTheme="minorHAnsi" w:hAnsiTheme="minorHAnsi" w:cstheme="minorHAnsi"/>
          <w:sz w:val="18"/>
          <w:szCs w:val="18"/>
        </w:rPr>
        <w:t xml:space="preserve">for instance: Jerusalem Local Outline Plan 2000, Report No. 4 – The Suggested Plan and the Planning Policy, August 2004, p. 202). </w:t>
      </w:r>
    </w:p>
  </w:endnote>
  <w:endnote w:id="37">
    <w:p w14:paraId="174664C2" w14:textId="77777777" w:rsidR="004D2CBB" w:rsidRPr="00C32BB1" w:rsidRDefault="004D2CBB"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Uri Davis, </w:t>
      </w:r>
      <w:r w:rsidRPr="00C32BB1">
        <w:rPr>
          <w:rFonts w:asciiTheme="minorHAnsi" w:hAnsiTheme="minorHAnsi" w:cstheme="minorHAnsi"/>
          <w:i/>
          <w:iCs/>
          <w:sz w:val="18"/>
          <w:szCs w:val="18"/>
        </w:rPr>
        <w:t>Golan under Israeli Occupation 1967–1981</w:t>
      </w:r>
      <w:r w:rsidRPr="00C32BB1">
        <w:rPr>
          <w:rFonts w:asciiTheme="minorHAnsi" w:hAnsiTheme="minorHAnsi" w:cstheme="minorHAnsi"/>
          <w:sz w:val="18"/>
          <w:szCs w:val="18"/>
        </w:rPr>
        <w:t xml:space="preserve">, Working Paper (Durham: Durham University, Center for Middle Eastern and Islamic Studies, 1983), pp. 3–10, </w:t>
      </w:r>
      <w:hyperlink r:id="rId39" w:history="1">
        <w:r w:rsidRPr="00C32BB1">
          <w:rPr>
            <w:rStyle w:val="Hyperlink"/>
            <w:rFonts w:asciiTheme="minorHAnsi" w:hAnsiTheme="minorHAnsi" w:cstheme="minorHAnsi"/>
            <w:sz w:val="18"/>
            <w:szCs w:val="18"/>
          </w:rPr>
          <w:t>http://dro.dur.ac.uk/138/1/18CMEIS.pdf</w:t>
        </w:r>
      </w:hyperlink>
      <w:r w:rsidRPr="00C32BB1">
        <w:rPr>
          <w:rFonts w:asciiTheme="minorHAnsi" w:hAnsiTheme="minorHAnsi" w:cstheme="minorHAnsi"/>
          <w:sz w:val="18"/>
          <w:szCs w:val="18"/>
        </w:rPr>
        <w:t xml:space="preserve">. </w:t>
      </w:r>
    </w:p>
  </w:endnote>
  <w:endnote w:id="38">
    <w:p w14:paraId="26C51CFB" w14:textId="40D47222" w:rsidR="00242490" w:rsidRPr="00C32BB1" w:rsidRDefault="0024249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Roselle Tekiner, “On the Inequality of Israeli Citizens,” Without Prejudice, Vol. I, No. 1 (1987), pp. 48–57, </w:t>
      </w:r>
      <w:hyperlink r:id="rId40" w:history="1">
        <w:r w:rsidR="008E3762" w:rsidRPr="009625EF">
          <w:rPr>
            <w:rStyle w:val="Hyperlink"/>
            <w:rFonts w:asciiTheme="minorHAnsi" w:hAnsiTheme="minorHAnsi" w:cstheme="minorHAnsi"/>
            <w:sz w:val="18"/>
            <w:szCs w:val="18"/>
          </w:rPr>
          <w:t>https://www.eaford.org/site/assets/files/1023/without_prejudice_vol_i_no1.pdf</w:t>
        </w:r>
      </w:hyperlink>
      <w:r w:rsidRPr="00C32BB1">
        <w:rPr>
          <w:rFonts w:asciiTheme="minorHAnsi" w:hAnsiTheme="minorHAnsi" w:cstheme="minorHAnsi"/>
          <w:sz w:val="18"/>
          <w:szCs w:val="18"/>
        </w:rPr>
        <w:t>;</w:t>
      </w:r>
      <w:r w:rsidR="008E3762">
        <w:rPr>
          <w:rFonts w:asciiTheme="minorHAnsi" w:hAnsiTheme="minorHAnsi" w:cstheme="minorHAnsi"/>
          <w:sz w:val="18"/>
          <w:szCs w:val="18"/>
        </w:rPr>
        <w:t xml:space="preserve"> </w:t>
      </w:r>
      <w:r w:rsidRPr="00C32BB1">
        <w:rPr>
          <w:rFonts w:asciiTheme="minorHAnsi" w:hAnsiTheme="minorHAnsi" w:cstheme="minorHAnsi"/>
          <w:sz w:val="18"/>
          <w:szCs w:val="18"/>
        </w:rPr>
        <w:t xml:space="preserve">and “Race and the Issue of National Identity in Israel,” </w:t>
      </w:r>
      <w:r w:rsidRPr="008E3762">
        <w:rPr>
          <w:rFonts w:asciiTheme="minorHAnsi" w:hAnsiTheme="minorHAnsi" w:cstheme="minorHAnsi"/>
          <w:i/>
          <w:iCs/>
          <w:sz w:val="18"/>
          <w:szCs w:val="18"/>
        </w:rPr>
        <w:t>International Journal of Middle Eastern Studies</w:t>
      </w:r>
      <w:r w:rsidRPr="00C32BB1">
        <w:rPr>
          <w:rFonts w:asciiTheme="minorHAnsi" w:hAnsiTheme="minorHAnsi" w:cstheme="minorHAnsi"/>
          <w:sz w:val="18"/>
          <w:szCs w:val="18"/>
        </w:rPr>
        <w:t xml:space="preserve">, Vol. 23, Issue 1 (February 1991), pp. 39–55, </w:t>
      </w:r>
      <w:hyperlink r:id="rId41" w:history="1">
        <w:r w:rsidRPr="00C32BB1">
          <w:rPr>
            <w:rStyle w:val="Hyperlink"/>
            <w:rFonts w:asciiTheme="minorHAnsi" w:hAnsiTheme="minorHAnsi" w:cstheme="minorHAnsi"/>
            <w:sz w:val="18"/>
            <w:szCs w:val="18"/>
          </w:rPr>
          <w:t>https://www.jstor.org/stable/163931?seq=1</w:t>
        </w:r>
      </w:hyperlink>
      <w:r w:rsidRPr="00C32BB1">
        <w:rPr>
          <w:rFonts w:asciiTheme="minorHAnsi" w:hAnsiTheme="minorHAnsi" w:cstheme="minorHAnsi"/>
          <w:sz w:val="18"/>
          <w:szCs w:val="18"/>
        </w:rPr>
        <w:t xml:space="preserve">. </w:t>
      </w:r>
    </w:p>
  </w:endnote>
  <w:endnote w:id="39">
    <w:p w14:paraId="02942D10" w14:textId="4B179FBE" w:rsidR="004D2CBB" w:rsidRPr="00C32BB1" w:rsidRDefault="004D2CBB"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UN Economic and Social Council (ECOSOC), “Economic and Social Repercussions of the Israeli Occupation on the Living Conditions of the Palestinian People in the Occupied Palestinian Territory, including East Jerusalem, and of the Arab population in the Occupied Syrian Golan,” A/73/87–E/2018/69, 25 May 2018, para. 115, </w:t>
      </w:r>
      <w:hyperlink r:id="rId42" w:history="1">
        <w:r w:rsidRPr="00C32BB1">
          <w:rPr>
            <w:rStyle w:val="Hyperlink"/>
            <w:rFonts w:asciiTheme="minorHAnsi" w:hAnsiTheme="minorHAnsi" w:cstheme="minorHAnsi"/>
            <w:sz w:val="18"/>
            <w:szCs w:val="18"/>
          </w:rPr>
          <w:t>https://undocs.org/A/73/87-E/2018/69</w:t>
        </w:r>
      </w:hyperlink>
      <w:r w:rsidRPr="00C32BB1">
        <w:rPr>
          <w:rFonts w:asciiTheme="minorHAnsi" w:hAnsiTheme="minorHAnsi" w:cstheme="minorHAnsi"/>
          <w:sz w:val="18"/>
          <w:szCs w:val="18"/>
        </w:rPr>
        <w:t xml:space="preserve">. </w:t>
      </w:r>
    </w:p>
  </w:endnote>
  <w:endnote w:id="40">
    <w:p w14:paraId="09917657" w14:textId="1225B183" w:rsidR="004D2CBB" w:rsidRPr="00C32BB1" w:rsidRDefault="004D2CBB"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International Labour Organisation (ILO), </w:t>
      </w:r>
      <w:r w:rsidRPr="00C32BB1">
        <w:rPr>
          <w:rFonts w:asciiTheme="minorHAnsi" w:hAnsiTheme="minorHAnsi" w:cstheme="minorHAnsi"/>
          <w:i/>
          <w:iCs/>
          <w:sz w:val="18"/>
          <w:szCs w:val="18"/>
        </w:rPr>
        <w:t>The Situation of Workers of the Occupied Arab Territories</w:t>
      </w:r>
      <w:r w:rsidRPr="00C32BB1">
        <w:rPr>
          <w:rFonts w:asciiTheme="minorHAnsi" w:hAnsiTheme="minorHAnsi" w:cstheme="minorHAnsi"/>
          <w:sz w:val="18"/>
          <w:szCs w:val="18"/>
        </w:rPr>
        <w:t xml:space="preserve">, ILC.108/DG/APP, June 2019, para. 146, </w:t>
      </w:r>
      <w:hyperlink r:id="rId43" w:history="1">
        <w:r w:rsidRPr="00C32BB1">
          <w:rPr>
            <w:rStyle w:val="Hyperlink"/>
            <w:rFonts w:asciiTheme="minorHAnsi" w:hAnsiTheme="minorHAnsi" w:cstheme="minorHAnsi"/>
            <w:sz w:val="18"/>
            <w:szCs w:val="18"/>
          </w:rPr>
          <w:t>https://www.un.org/unispal/wp-content/uploads/2019/06/ILORPT2019_240519.pdf</w:t>
        </w:r>
      </w:hyperlink>
      <w:r w:rsidRPr="00C32BB1">
        <w:rPr>
          <w:rFonts w:asciiTheme="minorHAnsi" w:hAnsiTheme="minorHAnsi" w:cstheme="minorHAnsi"/>
          <w:sz w:val="18"/>
          <w:szCs w:val="18"/>
        </w:rPr>
        <w:t xml:space="preserve">; ECOSOC,  </w:t>
      </w:r>
    </w:p>
  </w:endnote>
  <w:endnote w:id="41">
    <w:p w14:paraId="265D8DAF" w14:textId="702D8305" w:rsidR="00336C73" w:rsidRPr="00C32BB1" w:rsidRDefault="00336C73" w:rsidP="008E3762">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Tekiner</w:t>
      </w:r>
      <w:r w:rsidR="008E3762">
        <w:rPr>
          <w:rFonts w:asciiTheme="minorHAnsi" w:hAnsiTheme="minorHAnsi" w:cstheme="minorHAnsi"/>
          <w:sz w:val="18"/>
          <w:szCs w:val="18"/>
        </w:rPr>
        <w:t xml:space="preserve"> </w:t>
      </w:r>
      <w:r w:rsidRPr="00C32BB1">
        <w:rPr>
          <w:rFonts w:asciiTheme="minorHAnsi" w:hAnsiTheme="minorHAnsi" w:cstheme="minorHAnsi"/>
          <w:sz w:val="18"/>
          <w:szCs w:val="18"/>
        </w:rPr>
        <w:t xml:space="preserve">(1991), </w:t>
      </w:r>
      <w:r w:rsidR="008E3762">
        <w:rPr>
          <w:rFonts w:asciiTheme="minorHAnsi" w:hAnsiTheme="minorHAnsi" w:cstheme="minorHAnsi"/>
          <w:i/>
          <w:iCs/>
          <w:sz w:val="18"/>
          <w:szCs w:val="18"/>
        </w:rPr>
        <w:t>op. cit</w:t>
      </w:r>
      <w:r w:rsidRPr="00C32BB1">
        <w:rPr>
          <w:rFonts w:asciiTheme="minorHAnsi" w:hAnsiTheme="minorHAnsi" w:cstheme="minorHAnsi"/>
          <w:sz w:val="18"/>
          <w:szCs w:val="18"/>
        </w:rPr>
        <w:t xml:space="preserve">. </w:t>
      </w:r>
    </w:p>
  </w:endnote>
  <w:endnote w:id="42">
    <w:p w14:paraId="6E112D8A" w14:textId="46CC2DD7"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H.C. 2390/96 </w:t>
      </w:r>
      <w:r w:rsidRPr="00C32BB1">
        <w:rPr>
          <w:rFonts w:asciiTheme="minorHAnsi" w:hAnsiTheme="minorHAnsi" w:cstheme="minorHAnsi"/>
          <w:i/>
          <w:iCs/>
          <w:sz w:val="18"/>
          <w:szCs w:val="18"/>
        </w:rPr>
        <w:t>Karsik v. State of Israel</w:t>
      </w:r>
      <w:r w:rsidRPr="00C32BB1">
        <w:rPr>
          <w:rFonts w:asciiTheme="minorHAnsi" w:hAnsiTheme="minorHAnsi" w:cstheme="minorHAnsi"/>
          <w:sz w:val="18"/>
          <w:szCs w:val="18"/>
        </w:rPr>
        <w:t xml:space="preserve"> 55(2), P.D. 625.</w:t>
      </w:r>
    </w:p>
  </w:endnote>
  <w:endnote w:id="43">
    <w:p w14:paraId="40429D50" w14:textId="4B2E35A1"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Who Profits, “House Demolition in the Syrian Golan Hyundai Heavy Industries,” November 2016, </w:t>
      </w:r>
      <w:hyperlink r:id="rId44" w:history="1">
        <w:r w:rsidRPr="00C32BB1">
          <w:rPr>
            <w:rStyle w:val="Hyperlink"/>
            <w:rFonts w:asciiTheme="minorHAnsi" w:hAnsiTheme="minorHAnsi" w:cstheme="minorHAnsi"/>
            <w:sz w:val="18"/>
            <w:szCs w:val="18"/>
          </w:rPr>
          <w:t>https://whoprofits.org/updates/house-demolition-in-the-syrian-golan-hyundai-heavy-industries/</w:t>
        </w:r>
      </w:hyperlink>
      <w:r w:rsidRPr="00C32BB1">
        <w:rPr>
          <w:rFonts w:asciiTheme="minorHAnsi" w:hAnsiTheme="minorHAnsi" w:cstheme="minorHAnsi"/>
          <w:sz w:val="18"/>
          <w:szCs w:val="18"/>
        </w:rPr>
        <w:t xml:space="preserve">.  </w:t>
      </w:r>
    </w:p>
  </w:endnote>
  <w:endnote w:id="44">
    <w:p w14:paraId="5699DAA8" w14:textId="7FBE862C" w:rsidR="00336C73" w:rsidRPr="00C32BB1" w:rsidRDefault="00336C7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European Parliament, Parliamentary questions: Question for written answer E-003899-17 to the Commission (Vice-President/High Representative) under Rule 130, Hilde Vautmans (ALDE), 12 June 2017, </w:t>
      </w:r>
      <w:hyperlink r:id="rId45" w:history="1">
        <w:r w:rsidRPr="00C32BB1">
          <w:rPr>
            <w:rStyle w:val="Hyperlink"/>
            <w:rFonts w:asciiTheme="minorHAnsi" w:hAnsiTheme="minorHAnsi" w:cstheme="minorHAnsi"/>
            <w:sz w:val="18"/>
            <w:szCs w:val="18"/>
          </w:rPr>
          <w:t>https://www.europarl.europa.eu/doceo/document/E-8-2017-003899_EN.html</w:t>
        </w:r>
      </w:hyperlink>
      <w:r w:rsidRPr="00C32BB1">
        <w:rPr>
          <w:rFonts w:asciiTheme="minorHAnsi" w:hAnsiTheme="minorHAnsi" w:cstheme="minorHAnsi"/>
          <w:sz w:val="18"/>
          <w:szCs w:val="18"/>
        </w:rPr>
        <w:t xml:space="preserve">. </w:t>
      </w:r>
    </w:p>
  </w:endnote>
  <w:endnote w:id="45">
    <w:p w14:paraId="49FC5C01" w14:textId="01DDB9EA" w:rsidR="00DB6DCC" w:rsidRPr="00C32BB1" w:rsidRDefault="00DB6DCC"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Gil Stern Stern Zohar, “ Private landowners, urban planners and political activists grapple with territorial disputes in east Jerusalem,” </w:t>
      </w:r>
      <w:r w:rsidRPr="00C32BB1">
        <w:rPr>
          <w:rFonts w:asciiTheme="minorHAnsi" w:hAnsiTheme="minorHAnsi" w:cstheme="minorHAnsi"/>
          <w:i/>
          <w:iCs/>
          <w:sz w:val="18"/>
          <w:szCs w:val="18"/>
        </w:rPr>
        <w:t xml:space="preserve">The Jerusalem Post </w:t>
      </w:r>
      <w:r w:rsidRPr="00C32BB1">
        <w:rPr>
          <w:rFonts w:asciiTheme="minorHAnsi" w:hAnsiTheme="minorHAnsi" w:cstheme="minorHAnsi"/>
          <w:sz w:val="18"/>
          <w:szCs w:val="18"/>
        </w:rPr>
        <w:t xml:space="preserve">(26 July 2007), </w:t>
      </w:r>
      <w:hyperlink r:id="rId46" w:history="1">
        <w:r w:rsidRPr="00C32BB1">
          <w:rPr>
            <w:rStyle w:val="Hyperlink"/>
            <w:rFonts w:asciiTheme="minorHAnsi" w:hAnsiTheme="minorHAnsi" w:cstheme="minorHAnsi"/>
            <w:sz w:val="18"/>
            <w:szCs w:val="18"/>
          </w:rPr>
          <w:t>https://www.jpost.com/Local-Israel/In-Jerusalem/The-land-is-whose-land</w:t>
        </w:r>
      </w:hyperlink>
      <w:r w:rsidRPr="00C32BB1">
        <w:rPr>
          <w:rFonts w:asciiTheme="minorHAnsi" w:hAnsiTheme="minorHAnsi" w:cstheme="minorHAnsi"/>
          <w:sz w:val="18"/>
          <w:szCs w:val="18"/>
        </w:rPr>
        <w:t xml:space="preserve">; Adam Eliyahu Berkowitz, “Arab Squatters Evicted From Jerusalem House Owned by Jews for 140 Years,” </w:t>
      </w:r>
      <w:r w:rsidRPr="00C32BB1">
        <w:rPr>
          <w:rFonts w:asciiTheme="minorHAnsi" w:hAnsiTheme="minorHAnsi" w:cstheme="minorHAnsi"/>
          <w:i/>
          <w:iCs/>
          <w:sz w:val="18"/>
          <w:szCs w:val="18"/>
        </w:rPr>
        <w:t xml:space="preserve">Breaking Israel News </w:t>
      </w:r>
      <w:r w:rsidRPr="00C32BB1">
        <w:rPr>
          <w:rFonts w:asciiTheme="minorHAnsi" w:hAnsiTheme="minorHAnsi" w:cstheme="minorHAnsi"/>
          <w:sz w:val="18"/>
          <w:szCs w:val="18"/>
        </w:rPr>
        <w:t xml:space="preserve">(5 September 2017), </w:t>
      </w:r>
      <w:hyperlink r:id="rId47" w:history="1">
        <w:r w:rsidRPr="00C32BB1">
          <w:rPr>
            <w:rStyle w:val="Hyperlink"/>
            <w:rFonts w:asciiTheme="minorHAnsi" w:hAnsiTheme="minorHAnsi" w:cstheme="minorHAnsi"/>
            <w:sz w:val="18"/>
            <w:szCs w:val="18"/>
          </w:rPr>
          <w:t>https://www.breakingisraelnews.com/94394/arab-squatters-evicted-jerusalem-house-owned- jews-140-years/</w:t>
        </w:r>
      </w:hyperlink>
      <w:r w:rsidRPr="00C32BB1">
        <w:rPr>
          <w:rFonts w:asciiTheme="minorHAnsi" w:hAnsiTheme="minorHAnsi" w:cstheme="minorHAnsi"/>
          <w:sz w:val="18"/>
          <w:szCs w:val="18"/>
        </w:rPr>
        <w:t xml:space="preserve">. </w:t>
      </w:r>
    </w:p>
  </w:endnote>
  <w:endnote w:id="46">
    <w:p w14:paraId="1A3F78D0" w14:textId="3335F84C" w:rsidR="004306B9" w:rsidRPr="00C32BB1" w:rsidRDefault="004306B9"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Seventeenth to nineteenth periodic reports of States parties due in 2016: Israel, CERD/C/ISR/17–19, 14 March 2017, para. 54 (with reference to ICERD Article 3), </w:t>
      </w:r>
      <w:hyperlink r:id="rId48" w:history="1">
        <w:r w:rsidRPr="00C32BB1">
          <w:rPr>
            <w:rStyle w:val="Hyperlink"/>
            <w:rFonts w:asciiTheme="minorHAnsi" w:hAnsiTheme="minorHAnsi" w:cstheme="minorHAnsi"/>
            <w:sz w:val="18"/>
            <w:szCs w:val="18"/>
          </w:rPr>
          <w:t>https://undocs.org/CERD/C/ISR/CO/17-19</w:t>
        </w:r>
      </w:hyperlink>
      <w:r w:rsidRPr="00C32BB1">
        <w:rPr>
          <w:rFonts w:asciiTheme="minorHAnsi" w:hAnsiTheme="minorHAnsi" w:cstheme="minorHAnsi"/>
          <w:sz w:val="18"/>
          <w:szCs w:val="18"/>
        </w:rPr>
        <w:t xml:space="preserve">. </w:t>
      </w:r>
    </w:p>
  </w:endnote>
  <w:endnote w:id="47">
    <w:p w14:paraId="0D9763A3" w14:textId="77777777" w:rsidR="00BB3140" w:rsidRPr="00C32BB1" w:rsidRDefault="00BB314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rPr>
        <w:tab/>
        <w:t>“</w:t>
      </w:r>
      <w:r w:rsidRPr="00C32BB1">
        <w:rPr>
          <w:rFonts w:asciiTheme="minorHAnsi" w:hAnsiTheme="minorHAnsi" w:cstheme="minorHAnsi"/>
          <w:sz w:val="18"/>
          <w:szCs w:val="18"/>
          <w:rtl/>
          <w:lang w:bidi="he-IL"/>
        </w:rPr>
        <w:t>ועדות קבלה ביישובים קהילתיים</w:t>
      </w:r>
      <w:r w:rsidRPr="00C32BB1">
        <w:rPr>
          <w:rFonts w:asciiTheme="minorHAnsi" w:hAnsiTheme="minorHAnsi" w:cstheme="minorHAnsi"/>
          <w:sz w:val="18"/>
          <w:szCs w:val="18"/>
          <w:rtl/>
        </w:rPr>
        <w:t xml:space="preserve"> </w:t>
      </w:r>
      <w:r w:rsidRPr="00C32BB1">
        <w:rPr>
          <w:rFonts w:asciiTheme="minorHAnsi" w:hAnsiTheme="minorHAnsi" w:cstheme="minorHAnsi"/>
          <w:sz w:val="18"/>
          <w:szCs w:val="18"/>
          <w:rtl/>
          <w:lang w:bidi="he-IL"/>
        </w:rPr>
        <w:t>בנגב ובגליל</w:t>
      </w:r>
      <w:r w:rsidRPr="00C32BB1">
        <w:rPr>
          <w:rFonts w:asciiTheme="minorHAnsi" w:hAnsiTheme="minorHAnsi" w:cstheme="minorHAnsi"/>
          <w:sz w:val="18"/>
          <w:szCs w:val="18"/>
        </w:rPr>
        <w:t xml:space="preserve">,” Knesset Research and Information Center report, 2 May 2019, </w:t>
      </w:r>
      <w:hyperlink r:id="rId49" w:history="1">
        <w:r w:rsidRPr="00C32BB1">
          <w:rPr>
            <w:rStyle w:val="Hyperlink"/>
            <w:rFonts w:asciiTheme="minorHAnsi" w:hAnsiTheme="minorHAnsi" w:cstheme="minorHAnsi"/>
            <w:sz w:val="18"/>
            <w:szCs w:val="18"/>
          </w:rPr>
          <w:t>https://www.adalah.org/uploads/uploads/Knesset_research_020519.pdf</w:t>
        </w:r>
      </w:hyperlink>
      <w:r w:rsidRPr="00C32BB1">
        <w:rPr>
          <w:rFonts w:asciiTheme="minorHAnsi" w:hAnsiTheme="minorHAnsi" w:cstheme="minorHAnsi"/>
          <w:sz w:val="18"/>
          <w:szCs w:val="18"/>
        </w:rPr>
        <w:t xml:space="preserve">. </w:t>
      </w:r>
    </w:p>
  </w:endnote>
  <w:endnote w:id="48">
    <w:p w14:paraId="03D6251B" w14:textId="77777777" w:rsidR="00BB3140" w:rsidRPr="00C32BB1" w:rsidRDefault="00BB314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rPr>
        <w:tab/>
        <w:t xml:space="preserve">Adalah: The Legal Center for Arab Minority Rights in Israel, “Adalah demands Israel cancel illegal 'admissions committees' enforcing segregation in dozens of communities across the country,” 25 June 2019, </w:t>
      </w:r>
      <w:hyperlink r:id="rId50" w:history="1">
        <w:r w:rsidRPr="00C32BB1">
          <w:rPr>
            <w:rStyle w:val="Hyperlink"/>
            <w:rFonts w:asciiTheme="minorHAnsi" w:hAnsiTheme="minorHAnsi" w:cstheme="minorHAnsi"/>
            <w:sz w:val="18"/>
            <w:szCs w:val="18"/>
          </w:rPr>
          <w:t>https://www.adalah.org/en/content/view/9751</w:t>
        </w:r>
      </w:hyperlink>
      <w:r w:rsidRPr="00C32BB1">
        <w:rPr>
          <w:rFonts w:asciiTheme="minorHAnsi" w:hAnsiTheme="minorHAnsi" w:cstheme="minorHAnsi"/>
          <w:sz w:val="18"/>
          <w:szCs w:val="18"/>
        </w:rPr>
        <w:t xml:space="preserve">. </w:t>
      </w:r>
    </w:p>
  </w:endnote>
  <w:endnote w:id="49">
    <w:p w14:paraId="249261B8" w14:textId="6A1D9015" w:rsidR="00657B34" w:rsidRPr="00657B34" w:rsidRDefault="00657B34" w:rsidP="00657B34">
      <w:pPr>
        <w:pStyle w:val="EndnoteText"/>
        <w:ind w:left="170" w:hanging="170"/>
        <w:jc w:val="lowKashida"/>
        <w:rPr>
          <w:rFonts w:asciiTheme="minorHAnsi" w:hAnsiTheme="minorHAnsi" w:cstheme="minorHAnsi"/>
          <w:sz w:val="18"/>
          <w:szCs w:val="18"/>
        </w:rPr>
      </w:pPr>
      <w:r w:rsidRPr="00657B34">
        <w:rPr>
          <w:rStyle w:val="EndnoteReference"/>
          <w:rFonts w:asciiTheme="minorHAnsi" w:hAnsiTheme="minorHAnsi" w:cstheme="minorHAnsi"/>
          <w:sz w:val="18"/>
          <w:szCs w:val="18"/>
        </w:rPr>
        <w:endnoteRef/>
      </w:r>
      <w:r w:rsidRPr="00657B34">
        <w:rPr>
          <w:rFonts w:asciiTheme="minorHAnsi" w:hAnsiTheme="minorHAnsi" w:cstheme="minorHAnsi"/>
          <w:sz w:val="18"/>
          <w:szCs w:val="18"/>
        </w:rPr>
        <w:t xml:space="preserve"> “Israeli Supreme Court: Israel has 30 days to explain why Arab communities don't receive development benefits enjoyed by neighboring Jewish towns,” </w:t>
      </w:r>
      <w:r w:rsidRPr="00657B34">
        <w:rPr>
          <w:rFonts w:asciiTheme="minorHAnsi" w:hAnsiTheme="minorHAnsi" w:cstheme="minorHAnsi"/>
          <w:i/>
          <w:iCs/>
          <w:sz w:val="18"/>
          <w:szCs w:val="18"/>
        </w:rPr>
        <w:t xml:space="preserve">Adalah </w:t>
      </w:r>
      <w:r w:rsidRPr="00657B34">
        <w:rPr>
          <w:rFonts w:asciiTheme="minorHAnsi" w:hAnsiTheme="minorHAnsi" w:cstheme="minorHAnsi"/>
          <w:sz w:val="18"/>
          <w:szCs w:val="18"/>
        </w:rPr>
        <w:t xml:space="preserve">(22 April 2021), </w:t>
      </w:r>
      <w:hyperlink r:id="rId51" w:history="1">
        <w:r w:rsidRPr="00657B34">
          <w:rPr>
            <w:rStyle w:val="Hyperlink"/>
            <w:rFonts w:asciiTheme="minorHAnsi" w:hAnsiTheme="minorHAnsi" w:cstheme="minorHAnsi"/>
            <w:sz w:val="18"/>
            <w:szCs w:val="18"/>
          </w:rPr>
          <w:t>https://www.adalah.org/en/content/view/10299</w:t>
        </w:r>
      </w:hyperlink>
      <w:r w:rsidRPr="00657B34">
        <w:rPr>
          <w:rFonts w:asciiTheme="minorHAnsi" w:hAnsiTheme="minorHAnsi" w:cstheme="minorHAnsi"/>
          <w:sz w:val="18"/>
          <w:szCs w:val="18"/>
        </w:rPr>
        <w:t xml:space="preserve">. </w:t>
      </w:r>
    </w:p>
  </w:endnote>
  <w:endnote w:id="50">
    <w:p w14:paraId="72F3DD34" w14:textId="6E6CE9DA" w:rsidR="004E552E" w:rsidRPr="004E552E" w:rsidRDefault="004E552E" w:rsidP="004E552E">
      <w:pPr>
        <w:pStyle w:val="EndnoteText"/>
        <w:ind w:left="170" w:hanging="170"/>
        <w:jc w:val="lowKashida"/>
        <w:rPr>
          <w:rFonts w:asciiTheme="minorHAnsi" w:hAnsiTheme="minorHAnsi" w:cstheme="minorHAnsi"/>
          <w:sz w:val="18"/>
          <w:szCs w:val="18"/>
        </w:rPr>
      </w:pPr>
      <w:r w:rsidRPr="004E552E">
        <w:rPr>
          <w:rStyle w:val="EndnoteReference"/>
          <w:rFonts w:asciiTheme="minorHAnsi" w:hAnsiTheme="minorHAnsi" w:cstheme="minorHAnsi"/>
          <w:sz w:val="18"/>
          <w:szCs w:val="18"/>
        </w:rPr>
        <w:endnoteRef/>
      </w:r>
      <w:r w:rsidRPr="004E552E">
        <w:rPr>
          <w:rFonts w:asciiTheme="minorHAnsi" w:hAnsiTheme="minorHAnsi" w:cstheme="minorHAnsi"/>
          <w:sz w:val="18"/>
          <w:szCs w:val="18"/>
        </w:rPr>
        <w:t xml:space="preserve"> </w:t>
      </w:r>
      <w:r>
        <w:rPr>
          <w:rFonts w:asciiTheme="minorHAnsi" w:hAnsiTheme="minorHAnsi" w:cstheme="minorHAnsi"/>
          <w:sz w:val="18"/>
          <w:szCs w:val="18"/>
        </w:rPr>
        <w:tab/>
      </w:r>
      <w:r w:rsidRPr="004E552E">
        <w:rPr>
          <w:rFonts w:asciiTheme="minorHAnsi" w:hAnsiTheme="minorHAnsi" w:cstheme="minorHAnsi"/>
          <w:sz w:val="18"/>
          <w:szCs w:val="18"/>
        </w:rPr>
        <w:t xml:space="preserve">“Discriminatory Land Policies Hem in Palestinians,” </w:t>
      </w:r>
      <w:r w:rsidRPr="004E552E">
        <w:rPr>
          <w:rFonts w:asciiTheme="minorHAnsi" w:hAnsiTheme="minorHAnsi" w:cstheme="minorHAnsi"/>
          <w:i/>
          <w:iCs/>
          <w:sz w:val="18"/>
          <w:szCs w:val="18"/>
        </w:rPr>
        <w:t xml:space="preserve">Human Rights Watch </w:t>
      </w:r>
      <w:r w:rsidRPr="004E552E">
        <w:rPr>
          <w:rFonts w:asciiTheme="minorHAnsi" w:hAnsiTheme="minorHAnsi" w:cstheme="minorHAnsi"/>
          <w:sz w:val="18"/>
          <w:szCs w:val="18"/>
        </w:rPr>
        <w:t xml:space="preserve">(12 May 2020), </w:t>
      </w:r>
      <w:hyperlink r:id="rId52" w:history="1">
        <w:r w:rsidRPr="004E552E">
          <w:rPr>
            <w:rStyle w:val="Hyperlink"/>
            <w:rFonts w:asciiTheme="minorHAnsi" w:hAnsiTheme="minorHAnsi" w:cstheme="minorHAnsi"/>
            <w:sz w:val="18"/>
            <w:szCs w:val="18"/>
          </w:rPr>
          <w:t>https://www.hrw.org/news/2020/05/12/israel-discriminatory-land-policies-hem-palestinians</w:t>
        </w:r>
      </w:hyperlink>
      <w:r w:rsidRPr="004E552E">
        <w:rPr>
          <w:rFonts w:asciiTheme="minorHAnsi" w:hAnsiTheme="minorHAnsi" w:cstheme="minorHAnsi"/>
          <w:sz w:val="18"/>
          <w:szCs w:val="18"/>
        </w:rPr>
        <w:t xml:space="preserve">. </w:t>
      </w:r>
    </w:p>
  </w:endnote>
  <w:endnote w:id="51">
    <w:p w14:paraId="25EDFB06" w14:textId="213305C2" w:rsidR="00DE5766" w:rsidRPr="003629E0" w:rsidRDefault="00DE5766" w:rsidP="003629E0">
      <w:pPr>
        <w:pStyle w:val="EndnoteText"/>
        <w:ind w:left="170" w:hanging="170"/>
        <w:jc w:val="lowKashida"/>
        <w:rPr>
          <w:rFonts w:asciiTheme="minorHAnsi" w:hAnsiTheme="minorHAnsi" w:cstheme="minorHAnsi"/>
          <w:sz w:val="18"/>
          <w:szCs w:val="18"/>
        </w:rPr>
      </w:pPr>
      <w:r w:rsidRPr="003629E0">
        <w:rPr>
          <w:rStyle w:val="EndnoteReference"/>
          <w:rFonts w:asciiTheme="minorHAnsi" w:hAnsiTheme="minorHAnsi" w:cstheme="minorHAnsi"/>
          <w:sz w:val="18"/>
          <w:szCs w:val="18"/>
        </w:rPr>
        <w:endnoteRef/>
      </w:r>
      <w:r w:rsidRPr="003629E0">
        <w:rPr>
          <w:rFonts w:asciiTheme="minorHAnsi" w:hAnsiTheme="minorHAnsi" w:cstheme="minorHAnsi"/>
          <w:sz w:val="18"/>
          <w:szCs w:val="18"/>
        </w:rPr>
        <w:t xml:space="preserve"> </w:t>
      </w:r>
      <w:r w:rsidR="003629E0">
        <w:rPr>
          <w:rFonts w:asciiTheme="minorHAnsi" w:hAnsiTheme="minorHAnsi" w:cstheme="minorHAnsi"/>
          <w:sz w:val="18"/>
          <w:szCs w:val="18"/>
        </w:rPr>
        <w:tab/>
      </w:r>
      <w:r w:rsidR="003629E0" w:rsidRPr="003629E0">
        <w:rPr>
          <w:rFonts w:asciiTheme="minorHAnsi" w:hAnsiTheme="minorHAnsi" w:cstheme="minorHAnsi"/>
          <w:sz w:val="18"/>
          <w:szCs w:val="18"/>
        </w:rPr>
        <w:t>“</w:t>
      </w:r>
      <w:r w:rsidR="003629E0" w:rsidRPr="00DE5766">
        <w:rPr>
          <w:rFonts w:asciiTheme="minorHAnsi" w:hAnsiTheme="minorHAnsi" w:cstheme="minorHAnsi"/>
          <w:sz w:val="18"/>
          <w:szCs w:val="18"/>
        </w:rPr>
        <w:t>Palestinian village becomes prison for residents</w:t>
      </w:r>
      <w:r w:rsidR="003629E0" w:rsidRPr="003629E0">
        <w:rPr>
          <w:rFonts w:asciiTheme="minorHAnsi" w:hAnsiTheme="minorHAnsi" w:cstheme="minorHAnsi"/>
          <w:sz w:val="18"/>
          <w:szCs w:val="18"/>
        </w:rPr>
        <w:t xml:space="preserve">,” </w:t>
      </w:r>
      <w:r w:rsidR="003629E0" w:rsidRPr="00DE5766">
        <w:rPr>
          <w:rFonts w:asciiTheme="minorHAnsi" w:hAnsiTheme="minorHAnsi" w:cstheme="minorHAnsi"/>
          <w:sz w:val="18"/>
          <w:szCs w:val="18"/>
        </w:rPr>
        <w:t xml:space="preserve">Al-Monitor </w:t>
      </w:r>
      <w:r w:rsidR="003629E0" w:rsidRPr="003629E0">
        <w:rPr>
          <w:rFonts w:asciiTheme="minorHAnsi" w:hAnsiTheme="minorHAnsi" w:cstheme="minorHAnsi"/>
          <w:sz w:val="18"/>
          <w:szCs w:val="18"/>
        </w:rPr>
        <w:t>(</w:t>
      </w:r>
      <w:r w:rsidRPr="00DE5766">
        <w:rPr>
          <w:rFonts w:asciiTheme="minorHAnsi" w:hAnsiTheme="minorHAnsi" w:cstheme="minorHAnsi"/>
          <w:sz w:val="18"/>
          <w:szCs w:val="18"/>
        </w:rPr>
        <w:t>7</w:t>
      </w:r>
      <w:r w:rsidRPr="003629E0">
        <w:rPr>
          <w:rFonts w:asciiTheme="minorHAnsi" w:hAnsiTheme="minorHAnsi" w:cstheme="minorHAnsi"/>
          <w:sz w:val="18"/>
          <w:szCs w:val="18"/>
        </w:rPr>
        <w:t xml:space="preserve"> April</w:t>
      </w:r>
      <w:r w:rsidRPr="00DE5766">
        <w:rPr>
          <w:rFonts w:asciiTheme="minorHAnsi" w:hAnsiTheme="minorHAnsi" w:cstheme="minorHAnsi"/>
          <w:sz w:val="18"/>
          <w:szCs w:val="18"/>
        </w:rPr>
        <w:t xml:space="preserve"> 2021</w:t>
      </w:r>
      <w:r w:rsidR="003629E0" w:rsidRPr="003629E0">
        <w:rPr>
          <w:rFonts w:asciiTheme="minorHAnsi" w:hAnsiTheme="minorHAnsi" w:cstheme="minorHAnsi"/>
          <w:sz w:val="18"/>
          <w:szCs w:val="18"/>
        </w:rPr>
        <w:t>)</w:t>
      </w:r>
      <w:r w:rsidRPr="003629E0">
        <w:rPr>
          <w:rFonts w:asciiTheme="minorHAnsi" w:hAnsiTheme="minorHAnsi" w:cstheme="minorHAnsi"/>
          <w:sz w:val="18"/>
          <w:szCs w:val="18"/>
        </w:rPr>
        <w:t xml:space="preserve">, </w:t>
      </w:r>
      <w:hyperlink r:id="rId53" w:history="1">
        <w:r w:rsidR="003629E0" w:rsidRPr="003629E0">
          <w:rPr>
            <w:rStyle w:val="Hyperlink"/>
            <w:rFonts w:asciiTheme="minorHAnsi" w:hAnsiTheme="minorHAnsi" w:cstheme="minorHAnsi"/>
            <w:sz w:val="18"/>
            <w:szCs w:val="18"/>
          </w:rPr>
          <w:t>https://www.al-monitor.com/originals/2021/04/palestinian-village-becomes-prison-residents</w:t>
        </w:r>
      </w:hyperlink>
      <w:r w:rsidR="003629E0" w:rsidRPr="003629E0">
        <w:rPr>
          <w:rFonts w:asciiTheme="minorHAnsi" w:hAnsiTheme="minorHAnsi" w:cstheme="minorHAnsi"/>
          <w:sz w:val="18"/>
          <w:szCs w:val="18"/>
        </w:rPr>
        <w:t xml:space="preserve">. </w:t>
      </w:r>
    </w:p>
  </w:endnote>
  <w:endnote w:id="52">
    <w:p w14:paraId="1056EE6B" w14:textId="37F6E964" w:rsidR="00A968B3" w:rsidRPr="00C32BB1" w:rsidRDefault="00A968B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Al-Haq, “Punitive Residency Revocation: The Most Recent Tool of Forcible Transfer,” 17 March 2018, available </w:t>
      </w:r>
      <w:hyperlink r:id="rId54" w:history="1">
        <w:r w:rsidRPr="00C32BB1">
          <w:rPr>
            <w:rStyle w:val="Hyperlink"/>
            <w:rFonts w:asciiTheme="minorHAnsi" w:hAnsiTheme="minorHAnsi" w:cstheme="minorHAnsi"/>
            <w:sz w:val="18"/>
            <w:szCs w:val="18"/>
          </w:rPr>
          <w:t>https://www.alhaq.org/advocacy/6257.html</w:t>
        </w:r>
      </w:hyperlink>
      <w:r w:rsidRPr="00C32BB1">
        <w:rPr>
          <w:rFonts w:asciiTheme="minorHAnsi" w:hAnsiTheme="minorHAnsi" w:cstheme="minorHAnsi"/>
          <w:sz w:val="18"/>
          <w:szCs w:val="18"/>
        </w:rPr>
        <w:t xml:space="preserve">. </w:t>
      </w:r>
    </w:p>
  </w:endnote>
  <w:endnote w:id="53">
    <w:p w14:paraId="4740D7A7" w14:textId="464DF683" w:rsidR="00A968B3" w:rsidRPr="00C32BB1" w:rsidRDefault="00A968B3"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i/>
          <w:iCs/>
          <w:sz w:val="18"/>
          <w:szCs w:val="18"/>
        </w:rPr>
        <w:t>Ibid</w:t>
      </w:r>
      <w:r w:rsidRPr="00C32BB1">
        <w:rPr>
          <w:rFonts w:asciiTheme="minorHAnsi" w:hAnsiTheme="minorHAnsi" w:cstheme="minorHAnsi"/>
          <w:sz w:val="18"/>
          <w:szCs w:val="18"/>
        </w:rPr>
        <w:t xml:space="preserve">. </w:t>
      </w:r>
    </w:p>
  </w:endnote>
  <w:endnote w:id="54">
    <w:p w14:paraId="0807E1D3" w14:textId="4CFDF933" w:rsidR="00A968B3" w:rsidRPr="00C32BB1" w:rsidRDefault="00A968B3" w:rsidP="00C32BB1">
      <w:pPr>
        <w:pStyle w:val="EndnoteText"/>
        <w:ind w:left="170" w:hanging="170"/>
        <w:jc w:val="lowKashida"/>
        <w:rPr>
          <w:rFonts w:asciiTheme="minorHAnsi" w:hAnsiTheme="minorHAnsi" w:cstheme="minorHAnsi"/>
          <w:sz w:val="18"/>
          <w:szCs w:val="18"/>
          <w:lang w:val="en-CA"/>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i/>
          <w:iCs/>
          <w:sz w:val="18"/>
          <w:szCs w:val="18"/>
        </w:rPr>
        <w:t>Ibid</w:t>
      </w:r>
      <w:r w:rsidRPr="00C32BB1">
        <w:rPr>
          <w:rFonts w:asciiTheme="minorHAnsi" w:hAnsiTheme="minorHAnsi" w:cstheme="minorHAnsi"/>
          <w:sz w:val="18"/>
          <w:szCs w:val="18"/>
        </w:rPr>
        <w:t>.</w:t>
      </w:r>
    </w:p>
  </w:endnote>
  <w:endnote w:id="55">
    <w:p w14:paraId="1B821E0C" w14:textId="156E8C03" w:rsidR="00161C27" w:rsidRPr="00C32BB1" w:rsidRDefault="00161C27"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Joseph Schechla, "The Invisible People Come to Light: Israel's 'Internally Displaced' and the 'Unrecognized Villages'," </w:t>
      </w:r>
      <w:r w:rsidRPr="00C32BB1">
        <w:rPr>
          <w:rFonts w:asciiTheme="minorHAnsi" w:hAnsiTheme="minorHAnsi" w:cstheme="minorHAnsi"/>
          <w:i/>
          <w:iCs/>
          <w:sz w:val="18"/>
          <w:szCs w:val="18"/>
        </w:rPr>
        <w:t>Journal of Palestine Studies</w:t>
      </w:r>
      <w:r w:rsidRPr="00C32BB1">
        <w:rPr>
          <w:rFonts w:asciiTheme="minorHAnsi" w:hAnsiTheme="minorHAnsi" w:cstheme="minorHAnsi"/>
          <w:sz w:val="18"/>
          <w:szCs w:val="18"/>
        </w:rPr>
        <w:t xml:space="preserve"> (autumn 2001), pp. 20–31.</w:t>
      </w:r>
    </w:p>
  </w:endnote>
  <w:endnote w:id="56">
    <w:p w14:paraId="69C78381" w14:textId="68155519" w:rsidR="00161C27" w:rsidRPr="00C32BB1" w:rsidRDefault="00161C27"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“Blueprint Negev,” described on the Jewish National Fund website, </w:t>
      </w:r>
      <w:hyperlink r:id="rId55" w:history="1">
        <w:r w:rsidRPr="00C32BB1">
          <w:rPr>
            <w:rStyle w:val="Hyperlink"/>
            <w:rFonts w:asciiTheme="minorHAnsi" w:hAnsiTheme="minorHAnsi" w:cstheme="minorHAnsi"/>
            <w:sz w:val="18"/>
            <w:szCs w:val="18"/>
          </w:rPr>
          <w:t>http://www.jnf.org/work-we-do/blueprint-negev/</w:t>
        </w:r>
      </w:hyperlink>
      <w:r w:rsidRPr="00C32BB1">
        <w:rPr>
          <w:rFonts w:asciiTheme="minorHAnsi" w:hAnsiTheme="minorHAnsi" w:cstheme="minorHAnsi"/>
          <w:sz w:val="18"/>
          <w:szCs w:val="18"/>
        </w:rPr>
        <w:t xml:space="preserve">. </w:t>
      </w:r>
    </w:p>
  </w:endnote>
  <w:endnote w:id="57">
    <w:p w14:paraId="39D9E629" w14:textId="070F113F" w:rsidR="00242490" w:rsidRPr="00C32BB1" w:rsidRDefault="0024249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“Tahal” Jewish Virtual Library (2019), </w:t>
      </w:r>
      <w:hyperlink r:id="rId56" w:history="1">
        <w:r w:rsidRPr="00C32BB1">
          <w:rPr>
            <w:rStyle w:val="Hyperlink"/>
            <w:rFonts w:asciiTheme="minorHAnsi" w:hAnsiTheme="minorHAnsi" w:cstheme="minorHAnsi"/>
            <w:sz w:val="18"/>
            <w:szCs w:val="18"/>
          </w:rPr>
          <w:t>https://www.jewishvirtuallibrary.org/tahal</w:t>
        </w:r>
      </w:hyperlink>
      <w:r w:rsidRPr="00C32BB1">
        <w:rPr>
          <w:rFonts w:asciiTheme="minorHAnsi" w:hAnsiTheme="minorHAnsi" w:cstheme="minorHAnsi"/>
          <w:sz w:val="18"/>
          <w:szCs w:val="18"/>
        </w:rPr>
        <w:t xml:space="preserve">. </w:t>
      </w:r>
    </w:p>
  </w:endnote>
  <w:endnote w:id="58">
    <w:p w14:paraId="5B17F6C3" w14:textId="0A3AA66B" w:rsidR="00242490" w:rsidRPr="00C32BB1" w:rsidRDefault="0024249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Tekiner, </w:t>
      </w:r>
      <w:r w:rsidRPr="00C32BB1">
        <w:rPr>
          <w:rFonts w:asciiTheme="minorHAnsi" w:hAnsiTheme="minorHAnsi" w:cstheme="minorHAnsi"/>
          <w:i/>
          <w:iCs/>
          <w:sz w:val="18"/>
          <w:szCs w:val="18"/>
        </w:rPr>
        <w:t>op. cit.</w:t>
      </w:r>
      <w:r w:rsidRPr="00C32BB1">
        <w:rPr>
          <w:rFonts w:asciiTheme="minorHAnsi" w:hAnsiTheme="minorHAnsi" w:cstheme="minorHAnsi"/>
          <w:sz w:val="18"/>
          <w:szCs w:val="18"/>
        </w:rPr>
        <w:t xml:space="preserve"> </w:t>
      </w:r>
      <w:r w:rsidRPr="00C32BB1">
        <w:rPr>
          <w:rFonts w:asciiTheme="minorHAnsi" w:hAnsiTheme="minorHAnsi" w:cstheme="minorHAnsi"/>
          <w:i/>
          <w:iCs/>
          <w:sz w:val="18"/>
          <w:szCs w:val="18"/>
        </w:rPr>
        <w:t xml:space="preserve">Ibid. </w:t>
      </w:r>
      <w:r w:rsidRPr="00C32BB1">
        <w:rPr>
          <w:rFonts w:asciiTheme="minorHAnsi" w:hAnsiTheme="minorHAnsi" w:cstheme="minorHAnsi"/>
          <w:sz w:val="18"/>
          <w:szCs w:val="18"/>
        </w:rPr>
        <w:t xml:space="preserve">This distinction has been twice adjudicated at the Israeli High Court in the cases of </w:t>
      </w:r>
      <w:r w:rsidRPr="00C32BB1">
        <w:rPr>
          <w:rFonts w:asciiTheme="minorHAnsi" w:hAnsiTheme="minorHAnsi" w:cstheme="minorHAnsi"/>
          <w:i/>
          <w:iCs/>
          <w:sz w:val="18"/>
          <w:szCs w:val="18"/>
        </w:rPr>
        <w:t xml:space="preserve">Tamarin v. Ministry of Interior </w:t>
      </w:r>
      <w:r w:rsidRPr="00C32BB1">
        <w:rPr>
          <w:rFonts w:asciiTheme="minorHAnsi" w:hAnsiTheme="minorHAnsi" w:cstheme="minorHAnsi"/>
          <w:sz w:val="18"/>
          <w:szCs w:val="18"/>
        </w:rPr>
        <w:t xml:space="preserve">CA630/70 (1970) and </w:t>
      </w:r>
      <w:r w:rsidRPr="00C32BB1">
        <w:rPr>
          <w:rFonts w:asciiTheme="minorHAnsi" w:hAnsiTheme="minorHAnsi" w:cstheme="minorHAnsi"/>
          <w:i/>
          <w:iCs/>
          <w:sz w:val="18"/>
          <w:szCs w:val="18"/>
        </w:rPr>
        <w:t>Ornan v. Ministry of Interior</w:t>
      </w:r>
      <w:r w:rsidR="00026B3C" w:rsidRPr="00C32BB1">
        <w:rPr>
          <w:rFonts w:asciiTheme="minorHAnsi" w:hAnsiTheme="minorHAnsi" w:cstheme="minorHAnsi"/>
          <w:i/>
          <w:iCs/>
          <w:sz w:val="18"/>
          <w:szCs w:val="18"/>
        </w:rPr>
        <w:t xml:space="preserve"> </w:t>
      </w:r>
      <w:r w:rsidRPr="00C32BB1">
        <w:rPr>
          <w:rFonts w:asciiTheme="minorHAnsi" w:hAnsiTheme="minorHAnsi" w:cstheme="minorHAnsi"/>
          <w:sz w:val="18"/>
          <w:szCs w:val="18"/>
        </w:rPr>
        <w:t xml:space="preserve">CA 8573/08 (2013). </w:t>
      </w:r>
      <w:r w:rsidRPr="00C32BB1">
        <w:rPr>
          <w:rFonts w:asciiTheme="minorHAnsi" w:hAnsiTheme="minorHAnsi" w:cstheme="minorHAnsi"/>
          <w:i/>
          <w:iCs/>
          <w:sz w:val="18"/>
          <w:szCs w:val="18"/>
        </w:rPr>
        <w:t>See</w:t>
      </w:r>
      <w:r w:rsidRPr="00C32BB1">
        <w:rPr>
          <w:rFonts w:asciiTheme="minorHAnsi" w:hAnsiTheme="minorHAnsi" w:cstheme="minorHAnsi"/>
          <w:sz w:val="18"/>
          <w:szCs w:val="18"/>
        </w:rPr>
        <w:t xml:space="preserve"> </w:t>
      </w:r>
      <w:r w:rsidRPr="00C32BB1">
        <w:rPr>
          <w:rFonts w:asciiTheme="minorHAnsi" w:hAnsiTheme="minorHAnsi" w:cstheme="minorHAnsi"/>
          <w:i/>
          <w:iCs/>
          <w:sz w:val="18"/>
          <w:szCs w:val="18"/>
        </w:rPr>
        <w:t>The Nakba Files</w:t>
      </w:r>
      <w:r w:rsidRPr="00C32BB1">
        <w:rPr>
          <w:rFonts w:asciiTheme="minorHAnsi" w:hAnsiTheme="minorHAnsi" w:cstheme="minorHAnsi"/>
          <w:sz w:val="18"/>
          <w:szCs w:val="18"/>
        </w:rPr>
        <w:t xml:space="preserve">, </w:t>
      </w:r>
      <w:hyperlink r:id="rId57" w:history="1">
        <w:r w:rsidR="00026B3C" w:rsidRPr="00C32BB1">
          <w:rPr>
            <w:rStyle w:val="Hyperlink"/>
            <w:rFonts w:asciiTheme="minorHAnsi" w:hAnsiTheme="minorHAnsi" w:cstheme="minorHAnsi"/>
            <w:sz w:val="18"/>
            <w:szCs w:val="18"/>
          </w:rPr>
          <w:t>https://nakbafiles.org/nakba-casebook/tamarin-v-state-of-israel-ca-63070/</w:t>
        </w:r>
      </w:hyperlink>
      <w:r w:rsidRPr="00C32BB1">
        <w:rPr>
          <w:rFonts w:asciiTheme="minorHAnsi" w:hAnsiTheme="minorHAnsi" w:cstheme="minorHAnsi"/>
          <w:sz w:val="18"/>
          <w:szCs w:val="18"/>
        </w:rPr>
        <w:t>;</w:t>
      </w:r>
      <w:r w:rsidR="00026B3C" w:rsidRPr="00C32BB1">
        <w:rPr>
          <w:rFonts w:asciiTheme="minorHAnsi" w:hAnsiTheme="minorHAnsi" w:cstheme="minorHAnsi"/>
          <w:sz w:val="18"/>
          <w:szCs w:val="18"/>
        </w:rPr>
        <w:t xml:space="preserve"> </w:t>
      </w:r>
      <w:r w:rsidRPr="00C32BB1">
        <w:rPr>
          <w:rFonts w:asciiTheme="minorHAnsi" w:hAnsiTheme="minorHAnsi" w:cstheme="minorHAnsi"/>
          <w:sz w:val="18"/>
          <w:szCs w:val="18"/>
        </w:rPr>
        <w:t xml:space="preserve">Oscar Kraines, </w:t>
      </w:r>
      <w:r w:rsidRPr="00C32BB1">
        <w:rPr>
          <w:rFonts w:asciiTheme="minorHAnsi" w:hAnsiTheme="minorHAnsi" w:cstheme="minorHAnsi"/>
          <w:i/>
          <w:iCs/>
          <w:sz w:val="18"/>
          <w:szCs w:val="18"/>
        </w:rPr>
        <w:t xml:space="preserve">The Impossible Dilemma: Who Is a Jew in the State of Israel </w:t>
      </w:r>
      <w:r w:rsidRPr="00C32BB1">
        <w:rPr>
          <w:rFonts w:asciiTheme="minorHAnsi" w:hAnsiTheme="minorHAnsi" w:cstheme="minorHAnsi"/>
          <w:sz w:val="18"/>
          <w:szCs w:val="18"/>
        </w:rPr>
        <w:t xml:space="preserve">(New York: Bloch Publishing Co., 1976) and </w:t>
      </w:r>
      <w:r w:rsidRPr="00C32BB1">
        <w:rPr>
          <w:rFonts w:asciiTheme="minorHAnsi" w:hAnsiTheme="minorHAnsi" w:cstheme="minorHAnsi"/>
          <w:i/>
          <w:iCs/>
          <w:sz w:val="18"/>
          <w:szCs w:val="18"/>
        </w:rPr>
        <w:t>Versa: Opinions of the Supreme Court of Israel</w:t>
      </w:r>
      <w:r w:rsidRPr="00C32BB1">
        <w:rPr>
          <w:rFonts w:asciiTheme="minorHAnsi" w:hAnsiTheme="minorHAnsi" w:cstheme="minorHAnsi"/>
          <w:sz w:val="18"/>
          <w:szCs w:val="18"/>
        </w:rPr>
        <w:t xml:space="preserve">, </w:t>
      </w:r>
      <w:hyperlink r:id="rId58" w:history="1">
        <w:r w:rsidRPr="00C32BB1">
          <w:rPr>
            <w:rStyle w:val="Hyperlink"/>
            <w:rFonts w:asciiTheme="minorHAnsi" w:hAnsiTheme="minorHAnsi" w:cstheme="minorHAnsi"/>
            <w:sz w:val="18"/>
            <w:szCs w:val="18"/>
          </w:rPr>
          <w:t>https://versa.cardozo.yu.edu/opinions/ornan-v-ministry-interior</w:t>
        </w:r>
      </w:hyperlink>
      <w:r w:rsidRPr="00C32BB1">
        <w:rPr>
          <w:rFonts w:asciiTheme="minorHAnsi" w:hAnsiTheme="minorHAnsi" w:cstheme="minorHAnsi"/>
          <w:sz w:val="18"/>
          <w:szCs w:val="18"/>
        </w:rPr>
        <w:t xml:space="preserve">. The category of “Jewish National” was also incorporated into the 2018 Basic Law —known also as the Nation-State Bill— and encompasses Jewish people residing inside and outside Israel’s territorial state. For concrete examples of preferences given to “Jewish nationals” over non-Jewish Israeli citizens, see Columbia Law School, </w:t>
      </w:r>
      <w:r w:rsidR="00026B3C" w:rsidRPr="00C32BB1">
        <w:rPr>
          <w:rFonts w:asciiTheme="minorHAnsi" w:hAnsiTheme="minorHAnsi" w:cstheme="minorHAnsi"/>
          <w:sz w:val="18"/>
          <w:szCs w:val="18"/>
        </w:rPr>
        <w:t>”</w:t>
      </w:r>
      <w:r w:rsidRPr="00C32BB1">
        <w:rPr>
          <w:rFonts w:asciiTheme="minorHAnsi" w:hAnsiTheme="minorHAnsi" w:cstheme="minorHAnsi"/>
          <w:sz w:val="18"/>
          <w:szCs w:val="18"/>
        </w:rPr>
        <w:t>Citizenship and Nationality in Israel/Palestine</w:t>
      </w:r>
      <w:r w:rsidR="00026B3C" w:rsidRPr="00C32BB1">
        <w:rPr>
          <w:rFonts w:asciiTheme="minorHAnsi" w:hAnsiTheme="minorHAnsi" w:cstheme="minorHAnsi"/>
          <w:sz w:val="18"/>
          <w:szCs w:val="18"/>
        </w:rPr>
        <w:t xml:space="preserve">,” </w:t>
      </w:r>
      <w:hyperlink r:id="rId59" w:history="1">
        <w:r w:rsidRPr="00C32BB1">
          <w:rPr>
            <w:rStyle w:val="Hyperlink"/>
            <w:rFonts w:asciiTheme="minorHAnsi" w:hAnsiTheme="minorHAnsi" w:cstheme="minorHAnsi"/>
            <w:sz w:val="18"/>
            <w:szCs w:val="18"/>
            <w:lang w:val="en-GB"/>
          </w:rPr>
          <w:t>https://web.law.columbia.edu/open-university-project/curricula/citizenshipnationalityisrael-palestine</w:t>
        </w:r>
      </w:hyperlink>
      <w:r w:rsidRPr="00C32BB1">
        <w:rPr>
          <w:rFonts w:asciiTheme="minorHAnsi" w:hAnsiTheme="minorHAnsi" w:cstheme="minorHAnsi"/>
          <w:sz w:val="18"/>
          <w:szCs w:val="18"/>
          <w:lang w:val="en-GB"/>
        </w:rPr>
        <w:t xml:space="preserve">. </w:t>
      </w:r>
    </w:p>
  </w:endnote>
  <w:endnote w:id="59">
    <w:p w14:paraId="0BDF0FD4" w14:textId="1D3B742E"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rPr>
        <w:t xml:space="preserve">Al-Haq, “Geography and Hydrology of Water Resources in the OPT,” 22 March 2013, </w:t>
      </w:r>
      <w:hyperlink r:id="rId60" w:history="1">
        <w:r w:rsidRPr="00C32BB1">
          <w:rPr>
            <w:rStyle w:val="Hyperlink"/>
            <w:rFonts w:asciiTheme="minorHAnsi" w:hAnsiTheme="minorHAnsi" w:cstheme="minorHAnsi"/>
            <w:sz w:val="18"/>
            <w:szCs w:val="18"/>
          </w:rPr>
          <w:t>http://www.alhaq.org/cached_uploads/download/alhaq_files/images/stories/PDF/2012/Al%20Haq%20-factsheet%20_no_1_Geography%20and%20Hydrology_66.2013.pdf</w:t>
        </w:r>
      </w:hyperlink>
      <w:r w:rsidRPr="00C32BB1">
        <w:rPr>
          <w:rFonts w:asciiTheme="minorHAnsi" w:hAnsiTheme="minorHAnsi" w:cstheme="minorHAnsi"/>
          <w:sz w:val="18"/>
          <w:szCs w:val="18"/>
        </w:rPr>
        <w:t xml:space="preserve">. </w:t>
      </w:r>
    </w:p>
  </w:endnote>
  <w:endnote w:id="60">
    <w:p w14:paraId="076EEE1E"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Report of the UN Special Rapporteur on the situation of human rights in the Palestinian Territory occupied since 1967, 15 March 2019, A/HRC/40/73, para. 44.</w:t>
      </w:r>
    </w:p>
  </w:endnote>
  <w:endnote w:id="61">
    <w:p w14:paraId="45B1ADEB"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i/>
          <w:iCs/>
          <w:sz w:val="18"/>
          <w:szCs w:val="18"/>
        </w:rPr>
        <w:t xml:space="preserve">Supra </w:t>
      </w:r>
      <w:r w:rsidRPr="00C32BB1">
        <w:rPr>
          <w:rFonts w:asciiTheme="minorHAnsi" w:hAnsiTheme="minorHAnsi" w:cstheme="minorHAnsi"/>
          <w:sz w:val="18"/>
          <w:szCs w:val="18"/>
        </w:rPr>
        <w:t>note 18.</w:t>
      </w:r>
    </w:p>
  </w:endnote>
  <w:endnote w:id="62">
    <w:p w14:paraId="4C69F2FA" w14:textId="07B3F144"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008E3762">
        <w:rPr>
          <w:rFonts w:asciiTheme="minorHAnsi" w:hAnsiTheme="minorHAnsi" w:cstheme="minorHAnsi"/>
          <w:sz w:val="18"/>
          <w:szCs w:val="18"/>
        </w:rPr>
        <w:tab/>
      </w:r>
      <w:r w:rsidRPr="00C32BB1">
        <w:rPr>
          <w:rFonts w:asciiTheme="minorHAnsi" w:hAnsiTheme="minorHAnsi" w:cstheme="minorHAnsi"/>
          <w:sz w:val="18"/>
          <w:szCs w:val="18"/>
          <w:lang w:val="en-GB"/>
        </w:rPr>
        <w:t xml:space="preserve">Center for Economic and Social Rights, “The right to water in Palestine: a background,” </w:t>
      </w:r>
      <w:hyperlink r:id="rId61" w:history="1">
        <w:r w:rsidRPr="00C32BB1">
          <w:rPr>
            <w:rStyle w:val="Hyperlink"/>
            <w:rFonts w:asciiTheme="minorHAnsi" w:hAnsiTheme="minorHAnsi" w:cstheme="minorHAnsi"/>
            <w:sz w:val="18"/>
            <w:szCs w:val="18"/>
            <w:lang w:val="en-GB"/>
          </w:rPr>
          <w:t>https://www.cesr.org/sites/default/files/Palestine.RighttoWater.Factsheet.pdf</w:t>
        </w:r>
      </w:hyperlink>
      <w:r w:rsidRPr="00C32BB1">
        <w:rPr>
          <w:rFonts w:asciiTheme="minorHAnsi" w:hAnsiTheme="minorHAnsi" w:cstheme="minorHAnsi"/>
          <w:sz w:val="18"/>
          <w:szCs w:val="18"/>
          <w:lang w:val="en-GB"/>
        </w:rPr>
        <w:t xml:space="preserve">. </w:t>
      </w:r>
    </w:p>
  </w:endnote>
  <w:endnote w:id="63">
    <w:p w14:paraId="179B3C29"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Kholoud Al Ajarma, Ghadeer Arafeh, Faisal Aziz and Lamiss Qdemat,  The Impact of the Wall on Water Access and Human Migration in Palestine (Centre for Mediterranean Integration and MedYWat), </w:t>
      </w:r>
      <w:hyperlink r:id="rId62" w:history="1">
        <w:r w:rsidRPr="00C32BB1">
          <w:rPr>
            <w:rStyle w:val="Hyperlink"/>
            <w:rFonts w:asciiTheme="minorHAnsi" w:hAnsiTheme="minorHAnsi" w:cstheme="minorHAnsi"/>
            <w:sz w:val="18"/>
            <w:szCs w:val="18"/>
          </w:rPr>
          <w:t>https://www.cmimarseille.org/sites/default/files/newsite/the_impact_of_the_wall_on_water_access_and_human_migration_in_palestine2_0.pdf</w:t>
        </w:r>
      </w:hyperlink>
      <w:r w:rsidRPr="00C32BB1">
        <w:rPr>
          <w:rFonts w:asciiTheme="minorHAnsi" w:hAnsiTheme="minorHAnsi" w:cstheme="minorHAnsi"/>
          <w:sz w:val="18"/>
          <w:szCs w:val="18"/>
        </w:rPr>
        <w:t xml:space="preserve">; Julie Trottier, “A Wall, Water and Power: The Israeli 'Separation Fence',” </w:t>
      </w:r>
      <w:r w:rsidRPr="00C32BB1">
        <w:rPr>
          <w:rFonts w:asciiTheme="minorHAnsi" w:hAnsiTheme="minorHAnsi" w:cstheme="minorHAnsi"/>
          <w:i/>
          <w:iCs/>
          <w:sz w:val="18"/>
          <w:szCs w:val="18"/>
        </w:rPr>
        <w:t>Review of International Studies</w:t>
      </w:r>
      <w:r w:rsidRPr="00C32BB1">
        <w:rPr>
          <w:rFonts w:asciiTheme="minorHAnsi" w:hAnsiTheme="minorHAnsi" w:cstheme="minorHAnsi"/>
          <w:sz w:val="18"/>
          <w:szCs w:val="18"/>
        </w:rPr>
        <w:t xml:space="preserve">, Vol. 33, No. 1 (January 2007), pp. 105–27, </w:t>
      </w:r>
      <w:hyperlink r:id="rId63" w:history="1">
        <w:r w:rsidRPr="00C32BB1">
          <w:rPr>
            <w:rStyle w:val="Hyperlink"/>
            <w:rFonts w:asciiTheme="minorHAnsi" w:hAnsiTheme="minorHAnsi" w:cstheme="minorHAnsi"/>
            <w:sz w:val="18"/>
            <w:szCs w:val="18"/>
          </w:rPr>
          <w:t>https://www.jstor.org/stable/20097953?seq=1</w:t>
        </w:r>
      </w:hyperlink>
      <w:r w:rsidRPr="00C32BB1">
        <w:rPr>
          <w:rFonts w:asciiTheme="minorHAnsi" w:hAnsiTheme="minorHAnsi" w:cstheme="minorHAnsi"/>
          <w:sz w:val="18"/>
          <w:szCs w:val="18"/>
        </w:rPr>
        <w:t xml:space="preserve">.  </w:t>
      </w:r>
    </w:p>
  </w:endnote>
  <w:endnote w:id="64">
    <w:p w14:paraId="395FB47B"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According to the UNEP, domestic water use includes bathing, cooking, drinking, washing clothes and other household functions. See UNEP, “State of Environment and Outlook Report for the occupied Palestinian territory 2020,” p. 68.</w:t>
      </w:r>
    </w:p>
  </w:endnote>
  <w:endnote w:id="65">
    <w:p w14:paraId="279BA661"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 xml:space="preserve">Palestinian Water Authority, </w:t>
      </w:r>
      <w:r w:rsidRPr="00C32BB1">
        <w:rPr>
          <w:rFonts w:asciiTheme="minorHAnsi" w:hAnsiTheme="minorHAnsi" w:cstheme="minorHAnsi"/>
          <w:i/>
          <w:iCs/>
          <w:sz w:val="18"/>
          <w:szCs w:val="18"/>
          <w:lang w:val="en-GB"/>
        </w:rPr>
        <w:t>Water Status Report June 2019</w:t>
      </w:r>
      <w:r w:rsidRPr="00C32BB1">
        <w:rPr>
          <w:rFonts w:asciiTheme="minorHAnsi" w:hAnsiTheme="minorHAnsi" w:cstheme="minorHAnsi"/>
          <w:sz w:val="18"/>
          <w:szCs w:val="18"/>
          <w:lang w:val="en-GB"/>
        </w:rPr>
        <w:t>.</w:t>
      </w:r>
    </w:p>
  </w:endnote>
  <w:endnote w:id="66">
    <w:p w14:paraId="194AACF5"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United Nations Environmental Program (UNEP), “State of Environment and Outlook Report for the occupied Palestinian territory 2020”, p. 66.</w:t>
      </w:r>
    </w:p>
  </w:endnote>
  <w:endnote w:id="67">
    <w:p w14:paraId="60DA050C" w14:textId="3EEF0D9C"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Report of the Special Rapporteur on the situation of human rights in the Palestinian territories occupied since 1967, A/HRC/40/73,15 March 2019, para. 53.</w:t>
      </w:r>
    </w:p>
  </w:endnote>
  <w:endnote w:id="68">
    <w:p w14:paraId="27009998" w14:textId="51D6F7D8"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UNICEF, “UNICEF seawater desalination plant helps head off Gaza water crisis,” 6 April 2017, </w:t>
      </w:r>
      <w:hyperlink r:id="rId64" w:history="1">
        <w:r w:rsidRPr="00C32BB1">
          <w:rPr>
            <w:rStyle w:val="Hyperlink"/>
            <w:rFonts w:asciiTheme="minorHAnsi" w:hAnsiTheme="minorHAnsi" w:cstheme="minorHAnsi"/>
            <w:sz w:val="18"/>
            <w:szCs w:val="18"/>
          </w:rPr>
          <w:t>https://www.unicef.org/stories/unicef-seawater-desalination-plant-helps-head-gaza-water-crisis</w:t>
        </w:r>
      </w:hyperlink>
      <w:r w:rsidRPr="00C32BB1">
        <w:rPr>
          <w:rFonts w:asciiTheme="minorHAnsi" w:hAnsiTheme="minorHAnsi" w:cstheme="minorHAnsi"/>
          <w:sz w:val="18"/>
          <w:szCs w:val="18"/>
        </w:rPr>
        <w:t xml:space="preserve">. </w:t>
      </w:r>
    </w:p>
  </w:endnote>
  <w:endnote w:id="69">
    <w:p w14:paraId="15FA51E8" w14:textId="77777777" w:rsidR="008E3762"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UN OCHA, “Humanitarian Needs Overview,” 2018, </w:t>
      </w:r>
    </w:p>
    <w:p w14:paraId="5D1115D6" w14:textId="4B08D0A3" w:rsidR="00F404D8" w:rsidRPr="00C32BB1" w:rsidRDefault="008E3762" w:rsidP="00C32BB1">
      <w:pPr>
        <w:pStyle w:val="EndnoteText"/>
        <w:ind w:left="170" w:hanging="170"/>
        <w:jc w:val="lowKashida"/>
        <w:rPr>
          <w:rFonts w:asciiTheme="minorHAnsi" w:hAnsiTheme="minorHAnsi" w:cstheme="minorHAnsi"/>
          <w:sz w:val="18"/>
          <w:szCs w:val="18"/>
        </w:rPr>
      </w:pPr>
      <w:r>
        <w:rPr>
          <w:rFonts w:asciiTheme="minorHAnsi" w:hAnsiTheme="minorHAnsi" w:cstheme="minorHAnsi"/>
          <w:sz w:val="18"/>
          <w:szCs w:val="18"/>
        </w:rPr>
        <w:tab/>
      </w:r>
      <w:hyperlink r:id="rId65" w:history="1">
        <w:r w:rsidRPr="009625EF">
          <w:rPr>
            <w:rStyle w:val="Hyperlink"/>
            <w:rFonts w:asciiTheme="minorHAnsi" w:hAnsiTheme="minorHAnsi" w:cstheme="minorHAnsi"/>
            <w:sz w:val="18"/>
            <w:szCs w:val="18"/>
          </w:rPr>
          <w:t>https://www.humanitarianresponse.info/sites/www.humanitarianresponse.info/files/documents/files/hno_20_12_2017_final.pdf</w:t>
        </w:r>
      </w:hyperlink>
      <w:r w:rsidR="00F404D8" w:rsidRPr="00C32BB1">
        <w:rPr>
          <w:rFonts w:asciiTheme="minorHAnsi" w:hAnsiTheme="minorHAnsi" w:cstheme="minorHAnsi"/>
          <w:sz w:val="18"/>
          <w:szCs w:val="18"/>
        </w:rPr>
        <w:t xml:space="preserve">. </w:t>
      </w:r>
    </w:p>
  </w:endnote>
  <w:endnote w:id="70">
    <w:p w14:paraId="737FA6BA" w14:textId="31B6CAEC"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i/>
          <w:iCs/>
          <w:sz w:val="18"/>
          <w:szCs w:val="18"/>
        </w:rPr>
        <w:t>See</w:t>
      </w:r>
      <w:r w:rsidRPr="00C32BB1">
        <w:rPr>
          <w:rFonts w:asciiTheme="minorHAnsi" w:hAnsiTheme="minorHAnsi" w:cstheme="minorHAnsi"/>
          <w:sz w:val="18"/>
          <w:szCs w:val="18"/>
        </w:rPr>
        <w:t xml:space="preserve"> “The human rights dimensions of population transfer, including the implantation of settlers,” E/CN.4/Sub.2/1993/17, 6 July 1993,</w:t>
      </w:r>
      <w:r w:rsidR="00FA70C9">
        <w:rPr>
          <w:rFonts w:asciiTheme="minorHAnsi" w:hAnsiTheme="minorHAnsi" w:cstheme="minorHAnsi"/>
          <w:sz w:val="18"/>
          <w:szCs w:val="18"/>
        </w:rPr>
        <w:t xml:space="preserve"> </w:t>
      </w:r>
      <w:hyperlink r:id="rId66" w:history="1">
        <w:r w:rsidRPr="00C32BB1">
          <w:rPr>
            <w:rStyle w:val="Hyperlink"/>
            <w:rFonts w:asciiTheme="minorHAnsi" w:hAnsiTheme="minorHAnsi" w:cstheme="minorHAnsi"/>
            <w:sz w:val="18"/>
            <w:szCs w:val="18"/>
          </w:rPr>
          <w:t>https://documents-dds-ny.un.org/doc/UNDOC/GEN/G93/142/08/PDF/G9314208.pdf?OpenElement</w:t>
        </w:r>
      </w:hyperlink>
      <w:r w:rsidRPr="00C32BB1">
        <w:rPr>
          <w:rFonts w:asciiTheme="minorHAnsi" w:hAnsiTheme="minorHAnsi" w:cstheme="minorHAnsi"/>
          <w:sz w:val="18"/>
          <w:szCs w:val="18"/>
        </w:rPr>
        <w:t xml:space="preserve">. </w:t>
      </w:r>
    </w:p>
  </w:endnote>
  <w:endnote w:id="71">
    <w:p w14:paraId="032C34AC"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 xml:space="preserve">Ilan Pappé, </w:t>
      </w:r>
      <w:r w:rsidRPr="00C32BB1">
        <w:rPr>
          <w:rFonts w:asciiTheme="minorHAnsi" w:hAnsiTheme="minorHAnsi" w:cstheme="minorHAnsi"/>
          <w:i/>
          <w:iCs/>
          <w:sz w:val="18"/>
          <w:szCs w:val="18"/>
          <w:lang w:val="en-GB"/>
        </w:rPr>
        <w:t xml:space="preserve">The Ethnic Cleansing of Palestine </w:t>
      </w:r>
      <w:r w:rsidRPr="00C32BB1">
        <w:rPr>
          <w:rFonts w:asciiTheme="minorHAnsi" w:hAnsiTheme="minorHAnsi" w:cstheme="minorHAnsi"/>
          <w:sz w:val="18"/>
          <w:szCs w:val="18"/>
          <w:lang w:val="en-GB"/>
        </w:rPr>
        <w:t>(Oxford: One World, 2006).</w:t>
      </w:r>
    </w:p>
  </w:endnote>
  <w:endnote w:id="72">
    <w:p w14:paraId="51ED4AC7"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 xml:space="preserve">Janet L. Abu Lughod, “The Demographic Transformation of Palestine,” in Ibrahiom Abu Lughod, ed., </w:t>
      </w:r>
      <w:r w:rsidRPr="00C32BB1">
        <w:rPr>
          <w:rFonts w:asciiTheme="minorHAnsi" w:hAnsiTheme="minorHAnsi" w:cstheme="minorHAnsi"/>
          <w:i/>
          <w:iCs/>
          <w:sz w:val="18"/>
          <w:szCs w:val="18"/>
          <w:lang w:val="en-GB"/>
        </w:rPr>
        <w:t xml:space="preserve">The Transformation of Palestine </w:t>
      </w:r>
      <w:r w:rsidRPr="00C32BB1">
        <w:rPr>
          <w:rFonts w:asciiTheme="minorHAnsi" w:hAnsiTheme="minorHAnsi" w:cstheme="minorHAnsi"/>
          <w:sz w:val="18"/>
          <w:szCs w:val="18"/>
          <w:lang w:val="en-GB"/>
        </w:rPr>
        <w:t>(Evanston: Northwestern University Press, 2971).</w:t>
      </w:r>
    </w:p>
  </w:endnote>
  <w:endnote w:id="73">
    <w:p w14:paraId="175A9927"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 xml:space="preserve">Beryl Cheal, “Refugees in the Gaza Strip, December 1948–May 1950,” </w:t>
      </w:r>
      <w:r w:rsidRPr="00C32BB1">
        <w:rPr>
          <w:rFonts w:asciiTheme="minorHAnsi" w:hAnsiTheme="minorHAnsi" w:cstheme="minorHAnsi"/>
          <w:i/>
          <w:iCs/>
          <w:sz w:val="18"/>
          <w:szCs w:val="18"/>
          <w:lang w:val="en-GB"/>
        </w:rPr>
        <w:t>Journal of Palestine Studies</w:t>
      </w:r>
      <w:r w:rsidRPr="00C32BB1">
        <w:rPr>
          <w:rFonts w:asciiTheme="minorHAnsi" w:hAnsiTheme="minorHAnsi" w:cstheme="minorHAnsi"/>
          <w:sz w:val="18"/>
          <w:szCs w:val="18"/>
          <w:lang w:val="en-GB"/>
        </w:rPr>
        <w:t xml:space="preserve">, Vol. 18, No. 1, Special Issue: Palestine 1948 (autumn, 1988), pp. 138–57, </w:t>
      </w:r>
      <w:hyperlink r:id="rId67" w:history="1">
        <w:r w:rsidRPr="00C32BB1">
          <w:rPr>
            <w:rStyle w:val="Hyperlink"/>
            <w:rFonts w:asciiTheme="minorHAnsi" w:hAnsiTheme="minorHAnsi" w:cstheme="minorHAnsi"/>
            <w:sz w:val="18"/>
            <w:szCs w:val="18"/>
            <w:lang w:val="en-GB"/>
          </w:rPr>
          <w:t>https://www.jstor.org/stable/2537600?seq=1</w:t>
        </w:r>
      </w:hyperlink>
      <w:r w:rsidRPr="00C32BB1">
        <w:rPr>
          <w:rFonts w:asciiTheme="minorHAnsi" w:hAnsiTheme="minorHAnsi" w:cstheme="minorHAnsi"/>
          <w:sz w:val="18"/>
          <w:szCs w:val="18"/>
          <w:lang w:val="en-GB"/>
        </w:rPr>
        <w:t xml:space="preserve">. </w:t>
      </w:r>
    </w:p>
  </w:endnote>
  <w:endnote w:id="74">
    <w:p w14:paraId="09B22405"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 xml:space="preserve">Anthony Coon </w:t>
      </w:r>
      <w:r w:rsidRPr="00C32BB1">
        <w:rPr>
          <w:rFonts w:asciiTheme="minorHAnsi" w:hAnsiTheme="minorHAnsi" w:cstheme="minorHAnsi"/>
          <w:i/>
          <w:iCs/>
          <w:sz w:val="18"/>
          <w:szCs w:val="18"/>
          <w:lang w:val="en-GB"/>
        </w:rPr>
        <w:t>et al.</w:t>
      </w:r>
      <w:r w:rsidRPr="00C32BB1">
        <w:rPr>
          <w:rFonts w:asciiTheme="minorHAnsi" w:hAnsiTheme="minorHAnsi" w:cstheme="minorHAnsi"/>
          <w:sz w:val="18"/>
          <w:szCs w:val="18"/>
          <w:lang w:val="en-GB"/>
        </w:rPr>
        <w:t xml:space="preserve">, </w:t>
      </w:r>
      <w:r w:rsidRPr="00C32BB1">
        <w:rPr>
          <w:rFonts w:asciiTheme="minorHAnsi" w:hAnsiTheme="minorHAnsi" w:cstheme="minorHAnsi"/>
          <w:i/>
          <w:iCs/>
          <w:sz w:val="18"/>
          <w:szCs w:val="18"/>
          <w:lang w:val="en-GB"/>
        </w:rPr>
        <w:t xml:space="preserve">The Goldberg Opportunity: A Chance for Human Rights-based Statecraft in Israel </w:t>
      </w:r>
      <w:r w:rsidRPr="00C32BB1">
        <w:rPr>
          <w:rFonts w:asciiTheme="minorHAnsi" w:hAnsiTheme="minorHAnsi" w:cstheme="minorHAnsi"/>
          <w:sz w:val="18"/>
          <w:szCs w:val="18"/>
          <w:lang w:val="en-GB"/>
        </w:rPr>
        <w:t xml:space="preserve">(Cairo: HIC-HLRN, 2010), </w:t>
      </w:r>
      <w:hyperlink r:id="rId68" w:history="1">
        <w:r w:rsidRPr="00C32BB1">
          <w:rPr>
            <w:rStyle w:val="Hyperlink"/>
            <w:rFonts w:asciiTheme="minorHAnsi" w:hAnsiTheme="minorHAnsi" w:cstheme="minorHAnsi"/>
            <w:sz w:val="18"/>
            <w:szCs w:val="18"/>
            <w:lang w:val="en-GB"/>
          </w:rPr>
          <w:t>http://www.hlrn.org/img/publications/Naqab FFM report 2010.zip</w:t>
        </w:r>
      </w:hyperlink>
      <w:r w:rsidRPr="00C32BB1">
        <w:rPr>
          <w:rFonts w:asciiTheme="minorHAnsi" w:hAnsiTheme="minorHAnsi" w:cstheme="minorHAnsi"/>
          <w:sz w:val="18"/>
          <w:szCs w:val="18"/>
          <w:lang w:val="en-GB"/>
        </w:rPr>
        <w:t xml:space="preserve">.   </w:t>
      </w:r>
    </w:p>
  </w:endnote>
  <w:endnote w:id="75">
    <w:p w14:paraId="121C85CC" w14:textId="77777777" w:rsidR="00F404D8" w:rsidRPr="00C32BB1" w:rsidRDefault="00F404D8"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 xml:space="preserve">Anders Jägerskog and David Phillips, “Managing trans-boundary waters for human development” (Washington: World Bank, January 2006), </w:t>
      </w:r>
      <w:hyperlink r:id="rId69" w:history="1">
        <w:r w:rsidRPr="00C32BB1">
          <w:rPr>
            <w:rStyle w:val="Hyperlink"/>
            <w:rFonts w:asciiTheme="minorHAnsi" w:hAnsiTheme="minorHAnsi" w:cstheme="minorHAnsi"/>
            <w:sz w:val="18"/>
            <w:szCs w:val="18"/>
            <w:lang w:val="en-GB"/>
          </w:rPr>
          <w:t>https://www.researchgate.net/publication/43244516_Managing_trans_-_boundary_waters_for_human_development</w:t>
        </w:r>
      </w:hyperlink>
      <w:r w:rsidRPr="00C32BB1">
        <w:rPr>
          <w:rFonts w:asciiTheme="minorHAnsi" w:hAnsiTheme="minorHAnsi" w:cstheme="minorHAnsi"/>
          <w:sz w:val="18"/>
          <w:szCs w:val="18"/>
          <w:lang w:val="en-GB"/>
        </w:rPr>
        <w:t xml:space="preserve">. </w:t>
      </w:r>
    </w:p>
  </w:endnote>
  <w:endnote w:id="76">
    <w:p w14:paraId="3F59765B" w14:textId="766B4E6A" w:rsidR="000A3EF0" w:rsidRPr="00C32BB1" w:rsidRDefault="000A3EF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Guy Howard and Jamie Bartram, “Domestic Water Quantity, Service Level and Health,” WHO/SDE/WSH/03.02 (Geneva: WHO, 2003), Table S1, </w:t>
      </w:r>
      <w:hyperlink r:id="rId70" w:history="1">
        <w:r w:rsidRPr="00C32BB1">
          <w:rPr>
            <w:rStyle w:val="Hyperlink"/>
            <w:rFonts w:asciiTheme="minorHAnsi" w:hAnsiTheme="minorHAnsi" w:cstheme="minorHAnsi"/>
            <w:sz w:val="18"/>
            <w:szCs w:val="18"/>
          </w:rPr>
          <w:t>https://www.who.int/water_sanitation_health/diseases/WSH03.02.pdf?ua=1</w:t>
        </w:r>
      </w:hyperlink>
      <w:r w:rsidRPr="00C32BB1">
        <w:rPr>
          <w:rFonts w:asciiTheme="minorHAnsi" w:hAnsiTheme="minorHAnsi" w:cstheme="minorHAnsi"/>
          <w:sz w:val="18"/>
          <w:szCs w:val="18"/>
        </w:rPr>
        <w:t xml:space="preserve">. </w:t>
      </w:r>
    </w:p>
  </w:endnote>
  <w:endnote w:id="77">
    <w:p w14:paraId="34089855" w14:textId="157030C1" w:rsidR="000A3EF0" w:rsidRPr="00C32BB1" w:rsidRDefault="000A3EF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Jewish Telegraph Agency, “Sinking Kinneret to get infusion of desalinated water,” The Jerusalem Post (19 December 2017), </w:t>
      </w:r>
      <w:hyperlink r:id="rId71" w:history="1">
        <w:r w:rsidRPr="00C32BB1">
          <w:rPr>
            <w:rStyle w:val="Hyperlink"/>
            <w:rFonts w:asciiTheme="minorHAnsi" w:hAnsiTheme="minorHAnsi" w:cstheme="minorHAnsi"/>
            <w:sz w:val="18"/>
            <w:szCs w:val="18"/>
          </w:rPr>
          <w:t>http://www.jpost.com/Israel-News/Sinking-Kinneret-to-get-infusion-of-desalinated-water-518501. 2018http://mideastenvironment.apps01.yorku.ca/2018/01/sinking-kinneret-to-get-infusion-of-desalinated-water-jerusalem-post/</w:t>
        </w:r>
      </w:hyperlink>
      <w:r w:rsidRPr="00C32BB1">
        <w:rPr>
          <w:rFonts w:asciiTheme="minorHAnsi" w:hAnsiTheme="minorHAnsi" w:cstheme="minorHAnsi"/>
          <w:sz w:val="18"/>
          <w:szCs w:val="18"/>
        </w:rPr>
        <w:t xml:space="preserve">.  </w:t>
      </w:r>
    </w:p>
  </w:endnote>
  <w:endnote w:id="78">
    <w:p w14:paraId="32760582" w14:textId="0C0B1390" w:rsidR="000A3EF0" w:rsidRPr="00C32BB1" w:rsidRDefault="000A3EF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Kirk D'Souza, “How Israel’s desalination technology is helping the world fight water shortage,” The Next Web 2020 (5 July 2017), </w:t>
      </w:r>
      <w:hyperlink r:id="rId72" w:history="1">
        <w:r w:rsidRPr="00C32BB1">
          <w:rPr>
            <w:rStyle w:val="Hyperlink"/>
            <w:rFonts w:asciiTheme="minorHAnsi" w:hAnsiTheme="minorHAnsi" w:cstheme="minorHAnsi"/>
            <w:sz w:val="18"/>
            <w:szCs w:val="18"/>
          </w:rPr>
          <w:t>https://thenextweb.com/syndication/2017/07/05/desalination-nation-israel-helping-world-fight-water-shortage/</w:t>
        </w:r>
      </w:hyperlink>
      <w:r w:rsidRPr="00C32BB1">
        <w:rPr>
          <w:rFonts w:asciiTheme="minorHAnsi" w:hAnsiTheme="minorHAnsi" w:cstheme="minorHAnsi"/>
          <w:sz w:val="18"/>
          <w:szCs w:val="18"/>
        </w:rPr>
        <w:t xml:space="preserve">. </w:t>
      </w:r>
    </w:p>
  </w:endnote>
  <w:endnote w:id="79">
    <w:p w14:paraId="70BA2187" w14:textId="4FD87551" w:rsidR="000A3EF0" w:rsidRPr="00C32BB1" w:rsidRDefault="000A3EF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“Gaza: Ten Years Later,” United Nations Country Team in the occupied Palestinian Territory, July 2017, </w:t>
      </w:r>
      <w:hyperlink r:id="rId73" w:history="1">
        <w:r w:rsidRPr="00C32BB1">
          <w:rPr>
            <w:rStyle w:val="Hyperlink"/>
            <w:rFonts w:asciiTheme="minorHAnsi" w:hAnsiTheme="minorHAnsi" w:cstheme="minorHAnsi"/>
            <w:sz w:val="18"/>
            <w:szCs w:val="18"/>
          </w:rPr>
          <w:t>https://unsco.unmissions.org/sites/default/files/gaza_10_years_later_-_11_july_2017.pdf</w:t>
        </w:r>
      </w:hyperlink>
      <w:r w:rsidRPr="00C32BB1">
        <w:rPr>
          <w:rFonts w:asciiTheme="minorHAnsi" w:hAnsiTheme="minorHAnsi" w:cstheme="minorHAnsi"/>
          <w:sz w:val="18"/>
          <w:szCs w:val="18"/>
        </w:rPr>
        <w:t xml:space="preserve">. </w:t>
      </w:r>
    </w:p>
  </w:endnote>
  <w:endnote w:id="80">
    <w:p w14:paraId="73A8211D" w14:textId="3E197C78" w:rsidR="000A3EF0" w:rsidRPr="00C32BB1" w:rsidRDefault="000A3EF0"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lang w:val="en-GB"/>
        </w:rPr>
        <w:t xml:space="preserve">Ghassan Abu-Sitta, in Andre Vltchek, “Middle Eastern Surgeon Speaks About ‘Ecology of War’,” </w:t>
      </w:r>
      <w:r w:rsidRPr="00C32BB1">
        <w:rPr>
          <w:rFonts w:asciiTheme="minorHAnsi" w:hAnsiTheme="minorHAnsi" w:cstheme="minorHAnsi"/>
          <w:i/>
          <w:iCs/>
          <w:sz w:val="18"/>
          <w:szCs w:val="18"/>
          <w:lang w:val="en-GB"/>
        </w:rPr>
        <w:t xml:space="preserve">Counterpunch </w:t>
      </w:r>
      <w:r w:rsidRPr="00C32BB1">
        <w:rPr>
          <w:rFonts w:asciiTheme="minorHAnsi" w:hAnsiTheme="minorHAnsi" w:cstheme="minorHAnsi"/>
          <w:sz w:val="18"/>
          <w:szCs w:val="18"/>
          <w:lang w:val="en-GB"/>
        </w:rPr>
        <w:t xml:space="preserve">(28 April 2017), </w:t>
      </w:r>
      <w:hyperlink r:id="rId74" w:history="1">
        <w:r w:rsidR="00451341" w:rsidRPr="00C32BB1">
          <w:rPr>
            <w:rStyle w:val="Hyperlink"/>
            <w:rFonts w:asciiTheme="minorHAnsi" w:hAnsiTheme="minorHAnsi" w:cstheme="minorHAnsi"/>
            <w:sz w:val="18"/>
            <w:szCs w:val="18"/>
            <w:lang w:val="en-GB"/>
          </w:rPr>
          <w:t>https://www.counterpunch.org/2017/04/28/middle-eastern-surgeon-speaks-about-ecology-of-war/</w:t>
        </w:r>
      </w:hyperlink>
      <w:r w:rsidRPr="00C32BB1">
        <w:rPr>
          <w:rFonts w:asciiTheme="minorHAnsi" w:hAnsiTheme="minorHAnsi" w:cstheme="minorHAnsi"/>
          <w:sz w:val="18"/>
          <w:szCs w:val="18"/>
          <w:lang w:val="en-GB"/>
        </w:rPr>
        <w:t>.</w:t>
      </w:r>
      <w:r w:rsidR="00451341" w:rsidRPr="00C32BB1">
        <w:rPr>
          <w:rFonts w:asciiTheme="minorHAnsi" w:hAnsiTheme="minorHAnsi" w:cstheme="minorHAnsi"/>
          <w:sz w:val="18"/>
          <w:szCs w:val="18"/>
          <w:lang w:val="en-GB"/>
        </w:rPr>
        <w:t xml:space="preserve"> </w:t>
      </w:r>
    </w:p>
  </w:endnote>
  <w:endnote w:id="81">
    <w:p w14:paraId="42FDF5E0" w14:textId="2CBAFFD7" w:rsidR="00536BA5" w:rsidRPr="00536BA5" w:rsidRDefault="00536BA5" w:rsidP="00536BA5">
      <w:pPr>
        <w:pStyle w:val="EndnoteText"/>
        <w:ind w:left="170" w:hanging="170"/>
        <w:jc w:val="lowKashida"/>
        <w:rPr>
          <w:rFonts w:asciiTheme="minorHAnsi" w:hAnsiTheme="minorHAnsi" w:cstheme="minorHAnsi"/>
          <w:sz w:val="18"/>
          <w:szCs w:val="18"/>
        </w:rPr>
      </w:pPr>
      <w:r w:rsidRPr="00536BA5">
        <w:rPr>
          <w:rStyle w:val="EndnoteReference"/>
          <w:rFonts w:asciiTheme="minorHAnsi" w:hAnsiTheme="minorHAnsi" w:cstheme="minorHAnsi"/>
          <w:sz w:val="18"/>
          <w:szCs w:val="18"/>
        </w:rPr>
        <w:endnoteRef/>
      </w:r>
      <w:r w:rsidRPr="00536BA5">
        <w:rPr>
          <w:rFonts w:asciiTheme="minorHAnsi" w:hAnsiTheme="minorHAnsi" w:cstheme="minorHAnsi"/>
          <w:sz w:val="18"/>
          <w:szCs w:val="18"/>
        </w:rPr>
        <w:t xml:space="preserve"> </w:t>
      </w:r>
      <w:r>
        <w:rPr>
          <w:rFonts w:asciiTheme="minorHAnsi" w:hAnsiTheme="minorHAnsi" w:cstheme="minorHAnsi"/>
          <w:sz w:val="18"/>
          <w:szCs w:val="18"/>
        </w:rPr>
        <w:tab/>
      </w:r>
      <w:r w:rsidRPr="00536BA5">
        <w:rPr>
          <w:rFonts w:asciiTheme="minorHAnsi" w:hAnsiTheme="minorHAnsi" w:cstheme="minorHAnsi"/>
          <w:sz w:val="18"/>
          <w:szCs w:val="18"/>
        </w:rPr>
        <w:t xml:space="preserve">State of Palestine, Palestinian Central Bureau of Statistics. “Labour Force Survey (October–December 2020) Round (Q4/2020), Press Report, 15 February 2021, </w:t>
      </w:r>
      <w:hyperlink r:id="rId75" w:history="1">
        <w:r w:rsidRPr="00536BA5">
          <w:rPr>
            <w:rStyle w:val="Hyperlink"/>
            <w:rFonts w:asciiTheme="minorHAnsi" w:hAnsiTheme="minorHAnsi" w:cstheme="minorHAnsi"/>
            <w:sz w:val="18"/>
            <w:szCs w:val="18"/>
          </w:rPr>
          <w:t>http://www.pcbs.gov.ps/portals/_pcbs/PressRelease/Press_En_15-2-2021-LF-en.pdf</w:t>
        </w:r>
      </w:hyperlink>
      <w:r w:rsidRPr="00536BA5">
        <w:rPr>
          <w:rFonts w:asciiTheme="minorHAnsi" w:hAnsiTheme="minorHAnsi" w:cstheme="minorHAnsi"/>
          <w:sz w:val="18"/>
          <w:szCs w:val="18"/>
        </w:rPr>
        <w:t xml:space="preserve">. </w:t>
      </w:r>
    </w:p>
  </w:endnote>
  <w:endnote w:id="82">
    <w:p w14:paraId="5AE8F5F8" w14:textId="045F8749" w:rsidR="00D81083" w:rsidRPr="00D81083" w:rsidRDefault="00D81083" w:rsidP="00091A96">
      <w:pPr>
        <w:pStyle w:val="EndnoteText"/>
        <w:ind w:left="170" w:hanging="170"/>
        <w:rPr>
          <w:rFonts w:asciiTheme="minorHAnsi" w:hAnsiTheme="minorHAnsi" w:cstheme="minorHAnsi"/>
          <w:sz w:val="18"/>
          <w:szCs w:val="18"/>
        </w:rPr>
      </w:pPr>
      <w:r w:rsidRPr="00D81083">
        <w:rPr>
          <w:rStyle w:val="EndnoteReference"/>
          <w:rFonts w:asciiTheme="minorHAnsi" w:hAnsiTheme="minorHAnsi" w:cstheme="minorHAnsi"/>
          <w:sz w:val="18"/>
          <w:szCs w:val="18"/>
        </w:rPr>
        <w:endnoteRef/>
      </w:r>
      <w:r w:rsidRPr="00D81083">
        <w:rPr>
          <w:rFonts w:asciiTheme="minorHAnsi" w:hAnsiTheme="minorHAnsi" w:cstheme="minorHAnsi"/>
          <w:sz w:val="18"/>
          <w:szCs w:val="18"/>
        </w:rPr>
        <w:t xml:space="preserve"> </w:t>
      </w:r>
      <w:r>
        <w:rPr>
          <w:rFonts w:asciiTheme="minorHAnsi" w:hAnsiTheme="minorHAnsi" w:cstheme="minorHAnsi"/>
          <w:sz w:val="18"/>
          <w:szCs w:val="18"/>
        </w:rPr>
        <w:tab/>
      </w:r>
      <w:r w:rsidR="00091A96" w:rsidRPr="00091A96">
        <w:rPr>
          <w:rFonts w:asciiTheme="minorHAnsi" w:hAnsiTheme="minorHAnsi" w:cstheme="minorHAnsi"/>
          <w:sz w:val="18"/>
          <w:szCs w:val="18"/>
        </w:rPr>
        <w:t>Eytan Halon</w:t>
      </w:r>
      <w:r w:rsidR="00091A96">
        <w:rPr>
          <w:rFonts w:asciiTheme="minorHAnsi" w:hAnsiTheme="minorHAnsi" w:cstheme="minorHAnsi"/>
          <w:sz w:val="18"/>
          <w:szCs w:val="18"/>
        </w:rPr>
        <w:t>, “</w:t>
      </w:r>
      <w:r w:rsidR="00091A96" w:rsidRPr="00091A96">
        <w:rPr>
          <w:rFonts w:asciiTheme="minorHAnsi" w:hAnsiTheme="minorHAnsi" w:cstheme="minorHAnsi"/>
          <w:sz w:val="18"/>
          <w:szCs w:val="18"/>
        </w:rPr>
        <w:t>Coronavirus unemployment crisis deepening for Arab-Israelis</w:t>
      </w:r>
      <w:r w:rsidR="00091A96">
        <w:rPr>
          <w:rFonts w:asciiTheme="minorHAnsi" w:hAnsiTheme="minorHAnsi" w:cstheme="minorHAnsi"/>
          <w:sz w:val="18"/>
          <w:szCs w:val="18"/>
        </w:rPr>
        <w:t xml:space="preserve">,” </w:t>
      </w:r>
      <w:r w:rsidR="00091A96">
        <w:rPr>
          <w:rFonts w:asciiTheme="minorHAnsi" w:hAnsiTheme="minorHAnsi" w:cstheme="minorHAnsi"/>
          <w:i/>
          <w:iCs/>
          <w:sz w:val="18"/>
          <w:szCs w:val="18"/>
        </w:rPr>
        <w:t xml:space="preserve">The Jerusalem Post </w:t>
      </w:r>
      <w:r w:rsidR="00091A96">
        <w:rPr>
          <w:rFonts w:asciiTheme="minorHAnsi" w:hAnsiTheme="minorHAnsi" w:cstheme="minorHAnsi"/>
          <w:sz w:val="18"/>
          <w:szCs w:val="18"/>
        </w:rPr>
        <w:t xml:space="preserve">(24 </w:t>
      </w:r>
      <w:r w:rsidR="00091A96" w:rsidRPr="00091A96">
        <w:rPr>
          <w:rFonts w:asciiTheme="minorHAnsi" w:hAnsiTheme="minorHAnsi" w:cstheme="minorHAnsi"/>
          <w:sz w:val="18"/>
          <w:szCs w:val="18"/>
        </w:rPr>
        <w:t>May 2020</w:t>
      </w:r>
      <w:r w:rsidR="00091A96">
        <w:rPr>
          <w:rFonts w:asciiTheme="minorHAnsi" w:hAnsiTheme="minorHAnsi" w:cstheme="minorHAnsi"/>
          <w:sz w:val="18"/>
          <w:szCs w:val="18"/>
        </w:rPr>
        <w:t xml:space="preserve">), </w:t>
      </w:r>
      <w:hyperlink r:id="rId76" w:history="1">
        <w:r w:rsidR="00091A96" w:rsidRPr="009625EF">
          <w:rPr>
            <w:rStyle w:val="Hyperlink"/>
            <w:rFonts w:asciiTheme="minorHAnsi" w:hAnsiTheme="minorHAnsi" w:cstheme="minorHAnsi"/>
            <w:sz w:val="18"/>
            <w:szCs w:val="18"/>
          </w:rPr>
          <w:t>https://www.jpost.com/israel-news/coronavirus-unemployment-crisis-deepening-for-arab-israelis-629133</w:t>
        </w:r>
      </w:hyperlink>
      <w:r w:rsidR="00091A96">
        <w:rPr>
          <w:rFonts w:asciiTheme="minorHAnsi" w:hAnsiTheme="minorHAnsi" w:cstheme="minorHAnsi"/>
          <w:sz w:val="18"/>
          <w:szCs w:val="18"/>
        </w:rPr>
        <w:t xml:space="preserve">; </w:t>
      </w:r>
      <w:r w:rsidRPr="00D81083">
        <w:rPr>
          <w:rFonts w:asciiTheme="minorHAnsi" w:hAnsiTheme="minorHAnsi" w:cstheme="minorHAnsi"/>
          <w:sz w:val="18"/>
          <w:szCs w:val="18"/>
        </w:rPr>
        <w:t xml:space="preserve">“Arabs of Israel, minority with deep-seated grievances,” </w:t>
      </w:r>
      <w:r w:rsidRPr="00D81083">
        <w:rPr>
          <w:rFonts w:asciiTheme="minorHAnsi" w:hAnsiTheme="minorHAnsi" w:cstheme="minorHAnsi"/>
          <w:i/>
          <w:iCs/>
          <w:sz w:val="18"/>
          <w:szCs w:val="18"/>
        </w:rPr>
        <w:t xml:space="preserve">Agences France Presse </w:t>
      </w:r>
      <w:r w:rsidRPr="00D81083">
        <w:rPr>
          <w:rFonts w:asciiTheme="minorHAnsi" w:hAnsiTheme="minorHAnsi" w:cstheme="minorHAnsi"/>
          <w:sz w:val="18"/>
          <w:szCs w:val="18"/>
        </w:rPr>
        <w:t xml:space="preserve">(13 May 2021), </w:t>
      </w:r>
      <w:hyperlink r:id="rId77" w:history="1">
        <w:r w:rsidRPr="00D81083">
          <w:rPr>
            <w:rStyle w:val="Hyperlink"/>
            <w:rFonts w:asciiTheme="minorHAnsi" w:hAnsiTheme="minorHAnsi" w:cstheme="minorHAnsi"/>
            <w:sz w:val="18"/>
            <w:szCs w:val="18"/>
          </w:rPr>
          <w:t>https://www.france24.com/en/live-news/20210513-arabs-of-israel-minority-with-deep-seated-grievances</w:t>
        </w:r>
      </w:hyperlink>
      <w:r w:rsidRPr="00D81083">
        <w:rPr>
          <w:rFonts w:asciiTheme="minorHAnsi" w:hAnsiTheme="minorHAnsi" w:cstheme="minorHAnsi"/>
          <w:sz w:val="18"/>
          <w:szCs w:val="18"/>
        </w:rPr>
        <w:t xml:space="preserve">. </w:t>
      </w:r>
    </w:p>
  </w:endnote>
  <w:endnote w:id="83">
    <w:p w14:paraId="45300BA6" w14:textId="6A2CD04A" w:rsidR="00B72C55" w:rsidRPr="00C32BB1" w:rsidRDefault="00B72C55"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rPr>
        <w:tab/>
        <w:t xml:space="preserve">Argentina, Australia, Austria, Belgium, Belarus, Bolivia, Brazil, Bulgaria, Canada, Chile, Colombia, Costa Rica, Curacao, Czech Republic, Denmark, Ecuador, El Salvador, Finland, France, Germany, Greece, Honduras, Hong Kong, Hungary, Ireland, Israel, Italy, Latvia, Luxembourg, Mexico, Moldova, Netherlands, New Zealand, Norway, Panama, Paraguay, Peru, Poland, Russian Federation, South Africa, Spain, Sweden, Switzerland, Turkey, Ukraine, United Kingdom, United States of America, Uruguay, Uzbekistan and Venezuela. See </w:t>
      </w:r>
      <w:r w:rsidRPr="00C32BB1">
        <w:rPr>
          <w:rFonts w:asciiTheme="minorHAnsi" w:hAnsiTheme="minorHAnsi" w:cstheme="minorHAnsi"/>
          <w:i/>
          <w:iCs/>
          <w:sz w:val="18"/>
          <w:szCs w:val="18"/>
        </w:rPr>
        <w:t>Jewish Agency for Israel Yellow Pages</w:t>
      </w:r>
      <w:r w:rsidRPr="00C32BB1">
        <w:rPr>
          <w:rFonts w:asciiTheme="minorHAnsi" w:hAnsiTheme="minorHAnsi" w:cstheme="minorHAnsi"/>
          <w:sz w:val="18"/>
          <w:szCs w:val="18"/>
        </w:rPr>
        <w:t xml:space="preserve">, </w:t>
      </w:r>
      <w:hyperlink r:id="rId78" w:history="1">
        <w:r w:rsidRPr="00C32BB1">
          <w:rPr>
            <w:rStyle w:val="Hyperlink"/>
            <w:rFonts w:asciiTheme="minorHAnsi" w:hAnsiTheme="minorHAnsi" w:cstheme="minorHAnsi"/>
            <w:sz w:val="18"/>
            <w:szCs w:val="18"/>
          </w:rPr>
          <w:t>http://www.jafi.org.il/about/abroad.htm</w:t>
        </w:r>
      </w:hyperlink>
      <w:r w:rsidRPr="00C32BB1">
        <w:rPr>
          <w:rFonts w:asciiTheme="minorHAnsi" w:hAnsiTheme="minorHAnsi" w:cstheme="minorHAnsi"/>
          <w:sz w:val="18"/>
          <w:szCs w:val="18"/>
        </w:rPr>
        <w:t xml:space="preserve">. </w:t>
      </w:r>
    </w:p>
  </w:endnote>
  <w:endnote w:id="84">
    <w:p w14:paraId="73CB5101" w14:textId="1F0F993B" w:rsidR="002736B6" w:rsidRPr="00C32BB1" w:rsidRDefault="002736B6"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w:t>
      </w:r>
      <w:r w:rsidRPr="00C32BB1">
        <w:rPr>
          <w:rFonts w:asciiTheme="minorHAnsi" w:hAnsiTheme="minorHAnsi" w:cstheme="minorHAnsi"/>
          <w:sz w:val="18"/>
          <w:szCs w:val="18"/>
        </w:rPr>
        <w:tab/>
      </w:r>
      <w:r w:rsidR="00912E68" w:rsidRPr="00C32BB1">
        <w:rPr>
          <w:rFonts w:asciiTheme="minorHAnsi" w:hAnsiTheme="minorHAnsi" w:cstheme="minorHAnsi"/>
          <w:sz w:val="18"/>
          <w:szCs w:val="18"/>
        </w:rPr>
        <w:t xml:space="preserve">First UN Conference on Housing and Human Settlements (1976), </w:t>
      </w:r>
      <w:r w:rsidRPr="00C32BB1">
        <w:rPr>
          <w:rFonts w:asciiTheme="minorHAnsi" w:hAnsiTheme="minorHAnsi" w:cstheme="minorHAnsi"/>
          <w:sz w:val="18"/>
          <w:szCs w:val="18"/>
        </w:rPr>
        <w:t xml:space="preserve">The Vancouver Action Plan, Preamble, para. 3, </w:t>
      </w:r>
      <w:hyperlink r:id="rId79" w:history="1">
        <w:r w:rsidRPr="00C32BB1">
          <w:rPr>
            <w:rStyle w:val="Hyperlink"/>
            <w:rFonts w:asciiTheme="minorHAnsi" w:hAnsiTheme="minorHAnsi" w:cstheme="minorHAnsi"/>
            <w:sz w:val="18"/>
            <w:szCs w:val="18"/>
          </w:rPr>
          <w:t>http://www.hlrn.org/img/documents/The_Vancouver_Declaration_19761.pdf</w:t>
        </w:r>
      </w:hyperlink>
      <w:r w:rsidRPr="00C32BB1">
        <w:rPr>
          <w:rFonts w:asciiTheme="minorHAnsi" w:hAnsiTheme="minorHAnsi" w:cstheme="minorHAnsi"/>
          <w:sz w:val="18"/>
          <w:szCs w:val="18"/>
        </w:rPr>
        <w:t>.</w:t>
      </w:r>
    </w:p>
  </w:endnote>
  <w:endnote w:id="85">
    <w:p w14:paraId="68AAA741" w14:textId="41402D5F" w:rsidR="009429DF" w:rsidRPr="00C32BB1" w:rsidRDefault="009429DF" w:rsidP="00C32BB1">
      <w:pPr>
        <w:pStyle w:val="EndnoteText"/>
        <w:ind w:left="170" w:hanging="170"/>
        <w:jc w:val="lowKashida"/>
        <w:rPr>
          <w:rFonts w:asciiTheme="minorHAnsi" w:hAnsiTheme="minorHAnsi" w:cstheme="minorHAnsi"/>
          <w:sz w:val="18"/>
          <w:szCs w:val="18"/>
        </w:rPr>
      </w:pPr>
      <w:r w:rsidRPr="00C32BB1">
        <w:rPr>
          <w:rStyle w:val="EndnoteReference"/>
          <w:rFonts w:asciiTheme="minorHAnsi" w:hAnsiTheme="minorHAnsi" w:cstheme="minorHAnsi"/>
          <w:sz w:val="18"/>
          <w:szCs w:val="18"/>
        </w:rPr>
        <w:endnoteRef/>
      </w:r>
      <w:r w:rsidRPr="00C32BB1">
        <w:rPr>
          <w:rFonts w:asciiTheme="minorHAnsi" w:hAnsiTheme="minorHAnsi" w:cstheme="minorHAnsi"/>
          <w:sz w:val="18"/>
          <w:szCs w:val="18"/>
        </w:rPr>
        <w:t xml:space="preserve"> Human Development Report 2006: Published for the United Nations Development Programme (UNDP). </w:t>
      </w:r>
      <w:r w:rsidRPr="00C32BB1">
        <w:rPr>
          <w:rFonts w:asciiTheme="minorHAnsi" w:hAnsiTheme="minorHAnsi" w:cstheme="minorHAnsi"/>
          <w:i/>
          <w:iCs/>
          <w:sz w:val="18"/>
          <w:szCs w:val="18"/>
        </w:rPr>
        <w:t>Beyond scarcity: Power, poverty and the global water crisis</w:t>
      </w:r>
      <w:r w:rsidRPr="00C32BB1">
        <w:rPr>
          <w:rFonts w:asciiTheme="minorHAnsi" w:hAnsiTheme="minorHAnsi" w:cstheme="minorHAnsi"/>
          <w:sz w:val="18"/>
          <w:szCs w:val="18"/>
        </w:rPr>
        <w:t xml:space="preserve"> (New York: UNDP, 2006), Box 6.2 Water rights in the Occupied Palestinian Territories, p. 217, </w:t>
      </w:r>
      <w:hyperlink r:id="rId80" w:history="1">
        <w:r w:rsidRPr="00C32BB1">
          <w:rPr>
            <w:rStyle w:val="Hyperlink"/>
            <w:rFonts w:asciiTheme="minorHAnsi" w:hAnsiTheme="minorHAnsi" w:cstheme="minorHAnsi"/>
            <w:sz w:val="18"/>
            <w:szCs w:val="18"/>
          </w:rPr>
          <w:t>http://hdr.undp.org/sites/default/files/reports/267/hdr06-complete.pdf</w:t>
        </w:r>
      </w:hyperlink>
      <w:r w:rsidRPr="00C32BB1">
        <w:rPr>
          <w:rFonts w:asciiTheme="minorHAnsi" w:hAnsiTheme="minorHAnsi" w:cstheme="minorHAnsi"/>
          <w:sz w:val="18"/>
          <w:szCs w:val="18"/>
        </w:rPr>
        <w:t xml:space="preserve">. </w:t>
      </w:r>
    </w:p>
  </w:endnote>
  <w:endnote w:id="86">
    <w:p w14:paraId="68A294E2" w14:textId="5E190FDE" w:rsidR="00A25DA7" w:rsidRPr="00551BC1" w:rsidRDefault="00A25DA7" w:rsidP="00551BC1">
      <w:pPr>
        <w:pStyle w:val="EndnoteText"/>
        <w:ind w:left="170" w:hanging="170"/>
        <w:jc w:val="lowKashida"/>
        <w:rPr>
          <w:rFonts w:asciiTheme="minorHAnsi" w:hAnsiTheme="minorHAnsi" w:cstheme="minorHAnsi"/>
          <w:sz w:val="18"/>
          <w:szCs w:val="18"/>
        </w:rPr>
      </w:pPr>
      <w:r w:rsidRPr="00551BC1">
        <w:rPr>
          <w:rStyle w:val="EndnoteReference"/>
          <w:rFonts w:asciiTheme="minorHAnsi" w:hAnsiTheme="minorHAnsi" w:cstheme="minorHAnsi"/>
          <w:sz w:val="18"/>
          <w:szCs w:val="18"/>
        </w:rPr>
        <w:endnoteRef/>
      </w:r>
      <w:r w:rsidRPr="00551BC1">
        <w:rPr>
          <w:rFonts w:asciiTheme="minorHAnsi" w:hAnsiTheme="minorHAnsi" w:cstheme="minorHAnsi"/>
          <w:sz w:val="18"/>
          <w:szCs w:val="18"/>
        </w:rPr>
        <w:t xml:space="preserve"> </w:t>
      </w:r>
      <w:r w:rsidR="00551BC1">
        <w:rPr>
          <w:rFonts w:asciiTheme="minorHAnsi" w:hAnsiTheme="minorHAnsi" w:cstheme="minorHAnsi"/>
          <w:sz w:val="18"/>
          <w:szCs w:val="18"/>
        </w:rPr>
        <w:tab/>
      </w:r>
      <w:r w:rsidRPr="00551BC1">
        <w:rPr>
          <w:rFonts w:asciiTheme="minorHAnsi" w:hAnsiTheme="minorHAnsi" w:cstheme="minorHAnsi"/>
          <w:sz w:val="18"/>
          <w:szCs w:val="18"/>
        </w:rPr>
        <w:t>UNRWA Fields of Operation</w:t>
      </w:r>
      <w:r w:rsidR="00551BC1" w:rsidRPr="00551BC1">
        <w:rPr>
          <w:rFonts w:asciiTheme="minorHAnsi" w:hAnsiTheme="minorHAnsi" w:cstheme="minorHAnsi"/>
          <w:sz w:val="18"/>
          <w:szCs w:val="18"/>
        </w:rPr>
        <w:t xml:space="preserve">, </w:t>
      </w:r>
      <w:hyperlink r:id="rId81" w:history="1">
        <w:r w:rsidR="00551BC1" w:rsidRPr="00551BC1">
          <w:rPr>
            <w:rStyle w:val="Hyperlink"/>
            <w:rFonts w:asciiTheme="minorHAnsi" w:hAnsiTheme="minorHAnsi" w:cstheme="minorHAnsi"/>
            <w:sz w:val="18"/>
            <w:szCs w:val="18"/>
          </w:rPr>
          <w:t>https://www.unrwa.org/resources/about-unrwa/unrwa-fields-operations-map-2020</w:t>
        </w:r>
      </w:hyperlink>
      <w:r w:rsidR="00551BC1" w:rsidRPr="00551BC1">
        <w:rPr>
          <w:rFonts w:asciiTheme="minorHAnsi" w:hAnsiTheme="minorHAnsi" w:cstheme="minorHAnsi"/>
          <w:sz w:val="18"/>
          <w:szCs w:val="18"/>
        </w:rPr>
        <w:t xml:space="preserve">. </w:t>
      </w:r>
    </w:p>
  </w:endnote>
  <w:endnote w:id="87">
    <w:p w14:paraId="59660051" w14:textId="400443D2" w:rsidR="00FC440E" w:rsidRPr="00FC440E" w:rsidRDefault="00FC440E" w:rsidP="00FC440E">
      <w:pPr>
        <w:pStyle w:val="EndnoteText"/>
        <w:ind w:left="170" w:hanging="170"/>
        <w:jc w:val="lowKashida"/>
        <w:rPr>
          <w:rFonts w:asciiTheme="minorHAnsi" w:hAnsiTheme="minorHAnsi" w:cstheme="minorHAnsi"/>
          <w:i/>
          <w:iCs/>
          <w:sz w:val="18"/>
          <w:szCs w:val="18"/>
        </w:rPr>
      </w:pPr>
      <w:r w:rsidRPr="00FC440E">
        <w:rPr>
          <w:rStyle w:val="EndnoteReference"/>
          <w:rFonts w:asciiTheme="minorHAnsi" w:hAnsiTheme="minorHAnsi" w:cstheme="minorHAnsi"/>
          <w:sz w:val="18"/>
          <w:szCs w:val="18"/>
        </w:rPr>
        <w:endnoteRef/>
      </w:r>
      <w:r w:rsidRPr="00FC440E">
        <w:rPr>
          <w:rFonts w:asciiTheme="minorHAnsi" w:hAnsiTheme="minorHAnsi" w:cstheme="minorHAnsi"/>
          <w:sz w:val="18"/>
          <w:szCs w:val="18"/>
        </w:rPr>
        <w:t xml:space="preserve"> Publish</w:t>
      </w:r>
      <w:r>
        <w:rPr>
          <w:rFonts w:asciiTheme="minorHAnsi" w:hAnsiTheme="minorHAnsi" w:cstheme="minorHAnsi"/>
          <w:sz w:val="18"/>
          <w:szCs w:val="18"/>
        </w:rPr>
        <w:t>ed</w:t>
      </w:r>
      <w:r w:rsidRPr="00FC440E">
        <w:rPr>
          <w:rFonts w:asciiTheme="minorHAnsi" w:hAnsiTheme="minorHAnsi" w:cstheme="minorHAnsi"/>
          <w:sz w:val="18"/>
          <w:szCs w:val="18"/>
        </w:rPr>
        <w:t xml:space="preserve"> as Annex to Coon, </w:t>
      </w:r>
      <w:r w:rsidRPr="00FC440E">
        <w:rPr>
          <w:rFonts w:asciiTheme="minorHAnsi" w:hAnsiTheme="minorHAnsi" w:cstheme="minorHAnsi"/>
          <w:i/>
          <w:iCs/>
          <w:sz w:val="18"/>
          <w:szCs w:val="18"/>
        </w:rPr>
        <w:t>op. cit.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Helvetica Neue">
    <w:charset w:val="00"/>
    <w:family w:val="auto"/>
    <w:pitch w:val="variable"/>
    <w:sig w:usb0="00000003" w:usb1="500079DB" w:usb2="00000010" w:usb3="00000000" w:csb0="00000001" w:csb1="00000000"/>
  </w:font>
  <w:font w:name="Consolas">
    <w:panose1 w:val="020B0609020204030204"/>
    <w:charset w:val="00"/>
    <w:family w:val="modern"/>
    <w:pitch w:val="fixed"/>
    <w:sig w:usb0="E00006FF" w:usb1="0000FCFF" w:usb2="00000001" w:usb3="00000000" w:csb0="0000019F" w:csb1="00000000"/>
  </w:font>
  <w:font w:name="Lucida Sans">
    <w:panose1 w:val="020B0602030504020204"/>
    <w:charset w:val="00"/>
    <w:family w:val="swiss"/>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2DED4E" w14:textId="77777777" w:rsidR="00226F79" w:rsidRDefault="00226F79">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E2D85D" w14:textId="77777777" w:rsidR="005E53DF" w:rsidRDefault="005E53DF">
      <w:r>
        <w:separator/>
      </w:r>
    </w:p>
  </w:footnote>
  <w:footnote w:type="continuationSeparator" w:id="0">
    <w:p w14:paraId="7D0CB47D" w14:textId="77777777" w:rsidR="005E53DF" w:rsidRDefault="005E53D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C4B6805"/>
    <w:multiLevelType w:val="hybridMultilevel"/>
    <w:tmpl w:val="9DC40E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EA8315E"/>
    <w:multiLevelType w:val="hybridMultilevel"/>
    <w:tmpl w:val="61B01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21D3426"/>
    <w:multiLevelType w:val="multilevel"/>
    <w:tmpl w:val="A022C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794477D"/>
    <w:multiLevelType w:val="hybridMultilevel"/>
    <w:tmpl w:val="78A86972"/>
    <w:lvl w:ilvl="0" w:tplc="B2865A5A">
      <w:start w:val="1"/>
      <w:numFmt w:val="bullet"/>
      <w:lvlText w:val=""/>
      <w:lvlJc w:val="left"/>
      <w:pPr>
        <w:tabs>
          <w:tab w:val="num" w:pos="720"/>
        </w:tabs>
        <w:ind w:left="720" w:hanging="360"/>
      </w:pPr>
      <w:rPr>
        <w:rFonts w:ascii="Wingdings" w:hAnsi="Wingdings" w:hint="default"/>
      </w:rPr>
    </w:lvl>
    <w:lvl w:ilvl="1" w:tplc="C61A9078">
      <w:start w:val="1"/>
      <w:numFmt w:val="bullet"/>
      <w:lvlText w:val=""/>
      <w:lvlJc w:val="left"/>
      <w:pPr>
        <w:tabs>
          <w:tab w:val="num" w:pos="1440"/>
        </w:tabs>
        <w:ind w:left="1440" w:hanging="360"/>
      </w:pPr>
      <w:rPr>
        <w:rFonts w:ascii="Wingdings" w:hAnsi="Wingdings" w:hint="default"/>
      </w:rPr>
    </w:lvl>
    <w:lvl w:ilvl="2" w:tplc="C91EF8AC">
      <w:start w:val="1"/>
      <w:numFmt w:val="bullet"/>
      <w:lvlText w:val=""/>
      <w:lvlJc w:val="left"/>
      <w:pPr>
        <w:tabs>
          <w:tab w:val="num" w:pos="2160"/>
        </w:tabs>
        <w:ind w:left="2160" w:hanging="360"/>
      </w:pPr>
      <w:rPr>
        <w:rFonts w:ascii="Wingdings" w:hAnsi="Wingdings" w:hint="default"/>
      </w:rPr>
    </w:lvl>
    <w:lvl w:ilvl="3" w:tplc="89DE692E">
      <w:start w:val="1"/>
      <w:numFmt w:val="bullet"/>
      <w:lvlText w:val=""/>
      <w:lvlJc w:val="left"/>
      <w:pPr>
        <w:tabs>
          <w:tab w:val="num" w:pos="2880"/>
        </w:tabs>
        <w:ind w:left="2880" w:hanging="360"/>
      </w:pPr>
      <w:rPr>
        <w:rFonts w:ascii="Wingdings" w:hAnsi="Wingdings" w:hint="default"/>
      </w:rPr>
    </w:lvl>
    <w:lvl w:ilvl="4" w:tplc="992A4832">
      <w:start w:val="1"/>
      <w:numFmt w:val="bullet"/>
      <w:lvlText w:val=""/>
      <w:lvlJc w:val="left"/>
      <w:pPr>
        <w:tabs>
          <w:tab w:val="num" w:pos="3600"/>
        </w:tabs>
        <w:ind w:left="3600" w:hanging="360"/>
      </w:pPr>
      <w:rPr>
        <w:rFonts w:ascii="Wingdings" w:hAnsi="Wingdings" w:hint="default"/>
      </w:rPr>
    </w:lvl>
    <w:lvl w:ilvl="5" w:tplc="21F2AA82">
      <w:start w:val="1"/>
      <w:numFmt w:val="bullet"/>
      <w:lvlText w:val=""/>
      <w:lvlJc w:val="left"/>
      <w:pPr>
        <w:tabs>
          <w:tab w:val="num" w:pos="4320"/>
        </w:tabs>
        <w:ind w:left="4320" w:hanging="360"/>
      </w:pPr>
      <w:rPr>
        <w:rFonts w:ascii="Wingdings" w:hAnsi="Wingdings" w:hint="default"/>
      </w:rPr>
    </w:lvl>
    <w:lvl w:ilvl="6" w:tplc="A748F0FC">
      <w:start w:val="1"/>
      <w:numFmt w:val="bullet"/>
      <w:lvlText w:val=""/>
      <w:lvlJc w:val="left"/>
      <w:pPr>
        <w:tabs>
          <w:tab w:val="num" w:pos="5040"/>
        </w:tabs>
        <w:ind w:left="5040" w:hanging="360"/>
      </w:pPr>
      <w:rPr>
        <w:rFonts w:ascii="Wingdings" w:hAnsi="Wingdings" w:hint="default"/>
      </w:rPr>
    </w:lvl>
    <w:lvl w:ilvl="7" w:tplc="8D685A12">
      <w:start w:val="1"/>
      <w:numFmt w:val="bullet"/>
      <w:lvlText w:val=""/>
      <w:lvlJc w:val="left"/>
      <w:pPr>
        <w:tabs>
          <w:tab w:val="num" w:pos="5760"/>
        </w:tabs>
        <w:ind w:left="5760" w:hanging="360"/>
      </w:pPr>
      <w:rPr>
        <w:rFonts w:ascii="Wingdings" w:hAnsi="Wingdings" w:hint="default"/>
      </w:rPr>
    </w:lvl>
    <w:lvl w:ilvl="8" w:tplc="013C94E2">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9112136"/>
    <w:multiLevelType w:val="hybridMultilevel"/>
    <w:tmpl w:val="B8E6DBE8"/>
    <w:name w:val="TOC3"/>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15:restartNumberingAfterBreak="0">
    <w:nsid w:val="76031393"/>
    <w:multiLevelType w:val="hybridMultilevel"/>
    <w:tmpl w:val="C8F05094"/>
    <w:lvl w:ilvl="0" w:tplc="E44E2210">
      <w:start w:val="1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3"/>
  </w:num>
  <w:num w:numId="4">
    <w:abstractNumId w:val="0"/>
  </w:num>
  <w:num w:numId="5">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11C6"/>
    <w:rsid w:val="0000105C"/>
    <w:rsid w:val="00004B10"/>
    <w:rsid w:val="00005064"/>
    <w:rsid w:val="000138F6"/>
    <w:rsid w:val="00026B3C"/>
    <w:rsid w:val="00026D1F"/>
    <w:rsid w:val="00026D52"/>
    <w:rsid w:val="00031377"/>
    <w:rsid w:val="00032D0E"/>
    <w:rsid w:val="0003661A"/>
    <w:rsid w:val="0003674D"/>
    <w:rsid w:val="000410AB"/>
    <w:rsid w:val="0005390B"/>
    <w:rsid w:val="00063BFD"/>
    <w:rsid w:val="000675AF"/>
    <w:rsid w:val="00072E19"/>
    <w:rsid w:val="00077294"/>
    <w:rsid w:val="00077AE5"/>
    <w:rsid w:val="000875C6"/>
    <w:rsid w:val="00091A96"/>
    <w:rsid w:val="00091BF0"/>
    <w:rsid w:val="00096D09"/>
    <w:rsid w:val="00097430"/>
    <w:rsid w:val="000A2B89"/>
    <w:rsid w:val="000A3EF0"/>
    <w:rsid w:val="000A6F03"/>
    <w:rsid w:val="000B38AF"/>
    <w:rsid w:val="000B69A7"/>
    <w:rsid w:val="000C7384"/>
    <w:rsid w:val="000D210E"/>
    <w:rsid w:val="000D2183"/>
    <w:rsid w:val="000D22E3"/>
    <w:rsid w:val="000D34F2"/>
    <w:rsid w:val="000D634A"/>
    <w:rsid w:val="000E1E28"/>
    <w:rsid w:val="000E42EE"/>
    <w:rsid w:val="000F0425"/>
    <w:rsid w:val="000F183C"/>
    <w:rsid w:val="00100FCF"/>
    <w:rsid w:val="00106F64"/>
    <w:rsid w:val="001146DA"/>
    <w:rsid w:val="00115798"/>
    <w:rsid w:val="001157A0"/>
    <w:rsid w:val="001205D6"/>
    <w:rsid w:val="00124668"/>
    <w:rsid w:val="00131DFA"/>
    <w:rsid w:val="001456CB"/>
    <w:rsid w:val="00145CB3"/>
    <w:rsid w:val="001537CC"/>
    <w:rsid w:val="0015615C"/>
    <w:rsid w:val="00161C27"/>
    <w:rsid w:val="00166A78"/>
    <w:rsid w:val="001676BA"/>
    <w:rsid w:val="00171DC8"/>
    <w:rsid w:val="00194332"/>
    <w:rsid w:val="00197CE5"/>
    <w:rsid w:val="001A0275"/>
    <w:rsid w:val="001A148F"/>
    <w:rsid w:val="001B0DD5"/>
    <w:rsid w:val="001B7B09"/>
    <w:rsid w:val="001C067B"/>
    <w:rsid w:val="001C301C"/>
    <w:rsid w:val="001C4360"/>
    <w:rsid w:val="001C52A3"/>
    <w:rsid w:val="001D08C8"/>
    <w:rsid w:val="001D3313"/>
    <w:rsid w:val="001E3384"/>
    <w:rsid w:val="001E4780"/>
    <w:rsid w:val="001E5478"/>
    <w:rsid w:val="001E7515"/>
    <w:rsid w:val="001F00CA"/>
    <w:rsid w:val="002028A9"/>
    <w:rsid w:val="00204C31"/>
    <w:rsid w:val="00210ED3"/>
    <w:rsid w:val="0021296A"/>
    <w:rsid w:val="002129D5"/>
    <w:rsid w:val="00212DC2"/>
    <w:rsid w:val="00221893"/>
    <w:rsid w:val="00224386"/>
    <w:rsid w:val="00226F79"/>
    <w:rsid w:val="00227E2F"/>
    <w:rsid w:val="00230775"/>
    <w:rsid w:val="00235A1A"/>
    <w:rsid w:val="00242490"/>
    <w:rsid w:val="002431DB"/>
    <w:rsid w:val="00244860"/>
    <w:rsid w:val="0024583B"/>
    <w:rsid w:val="0025174E"/>
    <w:rsid w:val="002571C7"/>
    <w:rsid w:val="002659B2"/>
    <w:rsid w:val="00266D70"/>
    <w:rsid w:val="002675EB"/>
    <w:rsid w:val="00273554"/>
    <w:rsid w:val="002736B6"/>
    <w:rsid w:val="00282E14"/>
    <w:rsid w:val="0028624E"/>
    <w:rsid w:val="002863A2"/>
    <w:rsid w:val="002906B5"/>
    <w:rsid w:val="00293243"/>
    <w:rsid w:val="002966DB"/>
    <w:rsid w:val="002969BF"/>
    <w:rsid w:val="002B2448"/>
    <w:rsid w:val="002B623A"/>
    <w:rsid w:val="002C2C0E"/>
    <w:rsid w:val="002C3292"/>
    <w:rsid w:val="002D4E0C"/>
    <w:rsid w:val="002D7106"/>
    <w:rsid w:val="002E0EEC"/>
    <w:rsid w:val="002E35A9"/>
    <w:rsid w:val="002E456F"/>
    <w:rsid w:val="002E65F4"/>
    <w:rsid w:val="00305B08"/>
    <w:rsid w:val="00315F25"/>
    <w:rsid w:val="003207A5"/>
    <w:rsid w:val="00321706"/>
    <w:rsid w:val="00323DEC"/>
    <w:rsid w:val="00324F8F"/>
    <w:rsid w:val="0033375D"/>
    <w:rsid w:val="00335FB9"/>
    <w:rsid w:val="00336C3F"/>
    <w:rsid w:val="00336C73"/>
    <w:rsid w:val="00350908"/>
    <w:rsid w:val="00353D51"/>
    <w:rsid w:val="00356299"/>
    <w:rsid w:val="003577DB"/>
    <w:rsid w:val="0036028C"/>
    <w:rsid w:val="0036094F"/>
    <w:rsid w:val="003629E0"/>
    <w:rsid w:val="003658E5"/>
    <w:rsid w:val="00376857"/>
    <w:rsid w:val="00380489"/>
    <w:rsid w:val="00382BF5"/>
    <w:rsid w:val="00387DD2"/>
    <w:rsid w:val="0039081A"/>
    <w:rsid w:val="00393C91"/>
    <w:rsid w:val="00396E4C"/>
    <w:rsid w:val="003A314E"/>
    <w:rsid w:val="003A3957"/>
    <w:rsid w:val="003B0526"/>
    <w:rsid w:val="003B4835"/>
    <w:rsid w:val="003C37C3"/>
    <w:rsid w:val="003C4D32"/>
    <w:rsid w:val="003D0C10"/>
    <w:rsid w:val="003D3D66"/>
    <w:rsid w:val="003D6889"/>
    <w:rsid w:val="003E0166"/>
    <w:rsid w:val="003E2C9F"/>
    <w:rsid w:val="003E552B"/>
    <w:rsid w:val="00401FD2"/>
    <w:rsid w:val="004045F8"/>
    <w:rsid w:val="00410560"/>
    <w:rsid w:val="00413481"/>
    <w:rsid w:val="00413A21"/>
    <w:rsid w:val="004153DE"/>
    <w:rsid w:val="00415EFC"/>
    <w:rsid w:val="004249D7"/>
    <w:rsid w:val="00427CEF"/>
    <w:rsid w:val="004306B9"/>
    <w:rsid w:val="00431137"/>
    <w:rsid w:val="00433548"/>
    <w:rsid w:val="00440385"/>
    <w:rsid w:val="00440E30"/>
    <w:rsid w:val="00440ED0"/>
    <w:rsid w:val="00443DF5"/>
    <w:rsid w:val="00447412"/>
    <w:rsid w:val="00451341"/>
    <w:rsid w:val="00451444"/>
    <w:rsid w:val="004556DC"/>
    <w:rsid w:val="00455C6D"/>
    <w:rsid w:val="00456419"/>
    <w:rsid w:val="00460258"/>
    <w:rsid w:val="004715DD"/>
    <w:rsid w:val="00471E39"/>
    <w:rsid w:val="0047346F"/>
    <w:rsid w:val="00473543"/>
    <w:rsid w:val="004778B8"/>
    <w:rsid w:val="004837A9"/>
    <w:rsid w:val="00487B1A"/>
    <w:rsid w:val="00491BE6"/>
    <w:rsid w:val="004948BD"/>
    <w:rsid w:val="004B4CAC"/>
    <w:rsid w:val="004C044F"/>
    <w:rsid w:val="004D21C9"/>
    <w:rsid w:val="004D2681"/>
    <w:rsid w:val="004D2CBB"/>
    <w:rsid w:val="004D48CA"/>
    <w:rsid w:val="004D5D19"/>
    <w:rsid w:val="004D6479"/>
    <w:rsid w:val="004E0AB6"/>
    <w:rsid w:val="004E109C"/>
    <w:rsid w:val="004E49EC"/>
    <w:rsid w:val="004E4D86"/>
    <w:rsid w:val="004E552E"/>
    <w:rsid w:val="004E5807"/>
    <w:rsid w:val="004E7417"/>
    <w:rsid w:val="004F0836"/>
    <w:rsid w:val="004F4DB0"/>
    <w:rsid w:val="004F54F5"/>
    <w:rsid w:val="0050116A"/>
    <w:rsid w:val="00513F83"/>
    <w:rsid w:val="00520DCB"/>
    <w:rsid w:val="00530EF5"/>
    <w:rsid w:val="00536BA5"/>
    <w:rsid w:val="005417E4"/>
    <w:rsid w:val="00544539"/>
    <w:rsid w:val="005455F8"/>
    <w:rsid w:val="00551BC1"/>
    <w:rsid w:val="005528A3"/>
    <w:rsid w:val="0055573E"/>
    <w:rsid w:val="00560FD9"/>
    <w:rsid w:val="00562D63"/>
    <w:rsid w:val="00570A1B"/>
    <w:rsid w:val="00570E41"/>
    <w:rsid w:val="005720FF"/>
    <w:rsid w:val="00576638"/>
    <w:rsid w:val="005849E6"/>
    <w:rsid w:val="00585F8E"/>
    <w:rsid w:val="005871D9"/>
    <w:rsid w:val="00591F62"/>
    <w:rsid w:val="005957ED"/>
    <w:rsid w:val="005A0F25"/>
    <w:rsid w:val="005A62CD"/>
    <w:rsid w:val="005B24CB"/>
    <w:rsid w:val="005C17A6"/>
    <w:rsid w:val="005C233E"/>
    <w:rsid w:val="005D4F9E"/>
    <w:rsid w:val="005E2983"/>
    <w:rsid w:val="005E53DF"/>
    <w:rsid w:val="005E59C1"/>
    <w:rsid w:val="005E7C37"/>
    <w:rsid w:val="005F0A9F"/>
    <w:rsid w:val="005F283E"/>
    <w:rsid w:val="005F4D2B"/>
    <w:rsid w:val="0060068B"/>
    <w:rsid w:val="0060630F"/>
    <w:rsid w:val="0060785C"/>
    <w:rsid w:val="00611E96"/>
    <w:rsid w:val="00614FFD"/>
    <w:rsid w:val="00627A52"/>
    <w:rsid w:val="006304C5"/>
    <w:rsid w:val="0063240F"/>
    <w:rsid w:val="006347BB"/>
    <w:rsid w:val="00635102"/>
    <w:rsid w:val="00636BD7"/>
    <w:rsid w:val="00637067"/>
    <w:rsid w:val="006375A5"/>
    <w:rsid w:val="006412EA"/>
    <w:rsid w:val="00645695"/>
    <w:rsid w:val="00647CE9"/>
    <w:rsid w:val="00650CD4"/>
    <w:rsid w:val="00650D4D"/>
    <w:rsid w:val="00653BBC"/>
    <w:rsid w:val="00657B34"/>
    <w:rsid w:val="006605E5"/>
    <w:rsid w:val="00660EDA"/>
    <w:rsid w:val="006617A4"/>
    <w:rsid w:val="00667227"/>
    <w:rsid w:val="00671485"/>
    <w:rsid w:val="006749F6"/>
    <w:rsid w:val="00674B51"/>
    <w:rsid w:val="00682D26"/>
    <w:rsid w:val="00682DDB"/>
    <w:rsid w:val="00683487"/>
    <w:rsid w:val="006834E4"/>
    <w:rsid w:val="00685084"/>
    <w:rsid w:val="0068607D"/>
    <w:rsid w:val="00687E4F"/>
    <w:rsid w:val="00695D3E"/>
    <w:rsid w:val="006A7352"/>
    <w:rsid w:val="006B5A71"/>
    <w:rsid w:val="006C096B"/>
    <w:rsid w:val="006C7917"/>
    <w:rsid w:val="006D0C62"/>
    <w:rsid w:val="006D16EE"/>
    <w:rsid w:val="006E6CC3"/>
    <w:rsid w:val="006F0D4E"/>
    <w:rsid w:val="006F2347"/>
    <w:rsid w:val="006F4FFB"/>
    <w:rsid w:val="006F790C"/>
    <w:rsid w:val="00710A78"/>
    <w:rsid w:val="00712363"/>
    <w:rsid w:val="00712EFD"/>
    <w:rsid w:val="00716D30"/>
    <w:rsid w:val="007200E4"/>
    <w:rsid w:val="007210F6"/>
    <w:rsid w:val="00722AD9"/>
    <w:rsid w:val="00723438"/>
    <w:rsid w:val="00726ED1"/>
    <w:rsid w:val="007274F1"/>
    <w:rsid w:val="00733660"/>
    <w:rsid w:val="00736AB0"/>
    <w:rsid w:val="00740B2E"/>
    <w:rsid w:val="00741EBC"/>
    <w:rsid w:val="007432E5"/>
    <w:rsid w:val="00744BBE"/>
    <w:rsid w:val="007450E8"/>
    <w:rsid w:val="007530EF"/>
    <w:rsid w:val="00754462"/>
    <w:rsid w:val="00755F62"/>
    <w:rsid w:val="007560FD"/>
    <w:rsid w:val="007610CD"/>
    <w:rsid w:val="007625BA"/>
    <w:rsid w:val="00776BDB"/>
    <w:rsid w:val="00790C76"/>
    <w:rsid w:val="00790CBE"/>
    <w:rsid w:val="00792410"/>
    <w:rsid w:val="0079503A"/>
    <w:rsid w:val="00795469"/>
    <w:rsid w:val="00796729"/>
    <w:rsid w:val="0079720D"/>
    <w:rsid w:val="00797214"/>
    <w:rsid w:val="007A375D"/>
    <w:rsid w:val="007B01A6"/>
    <w:rsid w:val="007B5929"/>
    <w:rsid w:val="007B60AC"/>
    <w:rsid w:val="007B7DCF"/>
    <w:rsid w:val="007C4483"/>
    <w:rsid w:val="007C4A8E"/>
    <w:rsid w:val="007C4C77"/>
    <w:rsid w:val="007C5369"/>
    <w:rsid w:val="007D1657"/>
    <w:rsid w:val="007D47FE"/>
    <w:rsid w:val="007E1460"/>
    <w:rsid w:val="007E39E1"/>
    <w:rsid w:val="007E4F93"/>
    <w:rsid w:val="007F4648"/>
    <w:rsid w:val="007F7DA3"/>
    <w:rsid w:val="00805C8C"/>
    <w:rsid w:val="00816411"/>
    <w:rsid w:val="0081788D"/>
    <w:rsid w:val="008226B4"/>
    <w:rsid w:val="00827A9A"/>
    <w:rsid w:val="00832165"/>
    <w:rsid w:val="00833FF3"/>
    <w:rsid w:val="00842120"/>
    <w:rsid w:val="00842220"/>
    <w:rsid w:val="008427AA"/>
    <w:rsid w:val="00846B4A"/>
    <w:rsid w:val="00850B3F"/>
    <w:rsid w:val="00851702"/>
    <w:rsid w:val="008543FC"/>
    <w:rsid w:val="00854A55"/>
    <w:rsid w:val="008553DE"/>
    <w:rsid w:val="008568EA"/>
    <w:rsid w:val="008656FA"/>
    <w:rsid w:val="00874280"/>
    <w:rsid w:val="008774E3"/>
    <w:rsid w:val="008858C5"/>
    <w:rsid w:val="00893220"/>
    <w:rsid w:val="00894E27"/>
    <w:rsid w:val="00895233"/>
    <w:rsid w:val="008A1B4E"/>
    <w:rsid w:val="008A2957"/>
    <w:rsid w:val="008A3B7D"/>
    <w:rsid w:val="008A5301"/>
    <w:rsid w:val="008A7E65"/>
    <w:rsid w:val="008B12FD"/>
    <w:rsid w:val="008B33E8"/>
    <w:rsid w:val="008B4DD7"/>
    <w:rsid w:val="008B4F3E"/>
    <w:rsid w:val="008C2924"/>
    <w:rsid w:val="008C3A0E"/>
    <w:rsid w:val="008C60C0"/>
    <w:rsid w:val="008D1A3C"/>
    <w:rsid w:val="008D3B8A"/>
    <w:rsid w:val="008E161D"/>
    <w:rsid w:val="008E21A2"/>
    <w:rsid w:val="008E3762"/>
    <w:rsid w:val="008E4052"/>
    <w:rsid w:val="008E46C1"/>
    <w:rsid w:val="008E7F1E"/>
    <w:rsid w:val="00904A71"/>
    <w:rsid w:val="00912E68"/>
    <w:rsid w:val="009240B2"/>
    <w:rsid w:val="009242AE"/>
    <w:rsid w:val="00925A9D"/>
    <w:rsid w:val="009337F5"/>
    <w:rsid w:val="009358CD"/>
    <w:rsid w:val="00935A07"/>
    <w:rsid w:val="009429DF"/>
    <w:rsid w:val="00944000"/>
    <w:rsid w:val="00944040"/>
    <w:rsid w:val="00944E25"/>
    <w:rsid w:val="00945265"/>
    <w:rsid w:val="00945D8A"/>
    <w:rsid w:val="00945F26"/>
    <w:rsid w:val="0094635D"/>
    <w:rsid w:val="009469B5"/>
    <w:rsid w:val="00951601"/>
    <w:rsid w:val="00964D74"/>
    <w:rsid w:val="00967850"/>
    <w:rsid w:val="00977C96"/>
    <w:rsid w:val="009818C9"/>
    <w:rsid w:val="00982FCF"/>
    <w:rsid w:val="0098565E"/>
    <w:rsid w:val="00986237"/>
    <w:rsid w:val="00986A34"/>
    <w:rsid w:val="00993C39"/>
    <w:rsid w:val="00997618"/>
    <w:rsid w:val="009A2849"/>
    <w:rsid w:val="009A2BBD"/>
    <w:rsid w:val="009A4B5F"/>
    <w:rsid w:val="009B459A"/>
    <w:rsid w:val="009B5D3A"/>
    <w:rsid w:val="009D4AAC"/>
    <w:rsid w:val="009D76A9"/>
    <w:rsid w:val="009E0073"/>
    <w:rsid w:val="009E2351"/>
    <w:rsid w:val="009F18EC"/>
    <w:rsid w:val="009F2043"/>
    <w:rsid w:val="009F37AC"/>
    <w:rsid w:val="009F5421"/>
    <w:rsid w:val="00A01741"/>
    <w:rsid w:val="00A153DB"/>
    <w:rsid w:val="00A21EF1"/>
    <w:rsid w:val="00A22B1B"/>
    <w:rsid w:val="00A23512"/>
    <w:rsid w:val="00A25DA7"/>
    <w:rsid w:val="00A27A3E"/>
    <w:rsid w:val="00A31347"/>
    <w:rsid w:val="00A34DA7"/>
    <w:rsid w:val="00A364CF"/>
    <w:rsid w:val="00A3761B"/>
    <w:rsid w:val="00A40490"/>
    <w:rsid w:val="00A41D57"/>
    <w:rsid w:val="00A439B9"/>
    <w:rsid w:val="00A54482"/>
    <w:rsid w:val="00A564C7"/>
    <w:rsid w:val="00A619C0"/>
    <w:rsid w:val="00A61E26"/>
    <w:rsid w:val="00A63977"/>
    <w:rsid w:val="00A72E0A"/>
    <w:rsid w:val="00A84B3F"/>
    <w:rsid w:val="00A86B19"/>
    <w:rsid w:val="00A86E08"/>
    <w:rsid w:val="00A9048E"/>
    <w:rsid w:val="00A92868"/>
    <w:rsid w:val="00A94BB4"/>
    <w:rsid w:val="00A95237"/>
    <w:rsid w:val="00A968B3"/>
    <w:rsid w:val="00AA3895"/>
    <w:rsid w:val="00AA6359"/>
    <w:rsid w:val="00AA75B3"/>
    <w:rsid w:val="00AC4BC6"/>
    <w:rsid w:val="00AC50E4"/>
    <w:rsid w:val="00AD1796"/>
    <w:rsid w:val="00AD4CA9"/>
    <w:rsid w:val="00AD7262"/>
    <w:rsid w:val="00AE2231"/>
    <w:rsid w:val="00AE569D"/>
    <w:rsid w:val="00AE69A2"/>
    <w:rsid w:val="00AE6E5D"/>
    <w:rsid w:val="00AE796C"/>
    <w:rsid w:val="00AF291B"/>
    <w:rsid w:val="00B04529"/>
    <w:rsid w:val="00B13589"/>
    <w:rsid w:val="00B14752"/>
    <w:rsid w:val="00B23887"/>
    <w:rsid w:val="00B246B4"/>
    <w:rsid w:val="00B24744"/>
    <w:rsid w:val="00B259BD"/>
    <w:rsid w:val="00B30F74"/>
    <w:rsid w:val="00B31236"/>
    <w:rsid w:val="00B313AC"/>
    <w:rsid w:val="00B42B30"/>
    <w:rsid w:val="00B43D96"/>
    <w:rsid w:val="00B4462A"/>
    <w:rsid w:val="00B458F6"/>
    <w:rsid w:val="00B54DD5"/>
    <w:rsid w:val="00B61545"/>
    <w:rsid w:val="00B72C55"/>
    <w:rsid w:val="00B7425B"/>
    <w:rsid w:val="00B84F46"/>
    <w:rsid w:val="00B85C6E"/>
    <w:rsid w:val="00BB3140"/>
    <w:rsid w:val="00BB3A82"/>
    <w:rsid w:val="00BC486C"/>
    <w:rsid w:val="00BC7506"/>
    <w:rsid w:val="00BD2C78"/>
    <w:rsid w:val="00BD6119"/>
    <w:rsid w:val="00BD6AAC"/>
    <w:rsid w:val="00BE21B8"/>
    <w:rsid w:val="00BE2768"/>
    <w:rsid w:val="00BE7A33"/>
    <w:rsid w:val="00BF3038"/>
    <w:rsid w:val="00BF69D2"/>
    <w:rsid w:val="00C0101A"/>
    <w:rsid w:val="00C07B5F"/>
    <w:rsid w:val="00C12BED"/>
    <w:rsid w:val="00C1310B"/>
    <w:rsid w:val="00C1564B"/>
    <w:rsid w:val="00C234D8"/>
    <w:rsid w:val="00C23DDD"/>
    <w:rsid w:val="00C262E6"/>
    <w:rsid w:val="00C26311"/>
    <w:rsid w:val="00C32BB1"/>
    <w:rsid w:val="00C35851"/>
    <w:rsid w:val="00C46E49"/>
    <w:rsid w:val="00C478D4"/>
    <w:rsid w:val="00C50A62"/>
    <w:rsid w:val="00C5118C"/>
    <w:rsid w:val="00C54F1C"/>
    <w:rsid w:val="00C559A6"/>
    <w:rsid w:val="00C5603A"/>
    <w:rsid w:val="00C6141D"/>
    <w:rsid w:val="00C63A46"/>
    <w:rsid w:val="00C64254"/>
    <w:rsid w:val="00C7031A"/>
    <w:rsid w:val="00C73CD7"/>
    <w:rsid w:val="00C74811"/>
    <w:rsid w:val="00C754C3"/>
    <w:rsid w:val="00C75A4D"/>
    <w:rsid w:val="00C76256"/>
    <w:rsid w:val="00C772EF"/>
    <w:rsid w:val="00C82039"/>
    <w:rsid w:val="00C82CCE"/>
    <w:rsid w:val="00C840A9"/>
    <w:rsid w:val="00C968E1"/>
    <w:rsid w:val="00CA3F5D"/>
    <w:rsid w:val="00CA65D2"/>
    <w:rsid w:val="00CB0A2B"/>
    <w:rsid w:val="00CB0B76"/>
    <w:rsid w:val="00CB1C6E"/>
    <w:rsid w:val="00CB32C4"/>
    <w:rsid w:val="00CC5BEF"/>
    <w:rsid w:val="00CC6230"/>
    <w:rsid w:val="00CC779C"/>
    <w:rsid w:val="00CD43A6"/>
    <w:rsid w:val="00CD4806"/>
    <w:rsid w:val="00CE6A0E"/>
    <w:rsid w:val="00CF6E58"/>
    <w:rsid w:val="00D00DDC"/>
    <w:rsid w:val="00D02F61"/>
    <w:rsid w:val="00D1125E"/>
    <w:rsid w:val="00D115F7"/>
    <w:rsid w:val="00D1481C"/>
    <w:rsid w:val="00D226E4"/>
    <w:rsid w:val="00D230B7"/>
    <w:rsid w:val="00D27563"/>
    <w:rsid w:val="00D32E5B"/>
    <w:rsid w:val="00D35B0E"/>
    <w:rsid w:val="00D3608E"/>
    <w:rsid w:val="00D36435"/>
    <w:rsid w:val="00D36635"/>
    <w:rsid w:val="00D3698C"/>
    <w:rsid w:val="00D43E54"/>
    <w:rsid w:val="00D5082F"/>
    <w:rsid w:val="00D50EB9"/>
    <w:rsid w:val="00D548D5"/>
    <w:rsid w:val="00D641EF"/>
    <w:rsid w:val="00D65535"/>
    <w:rsid w:val="00D6600A"/>
    <w:rsid w:val="00D67524"/>
    <w:rsid w:val="00D70178"/>
    <w:rsid w:val="00D75431"/>
    <w:rsid w:val="00D759B6"/>
    <w:rsid w:val="00D81083"/>
    <w:rsid w:val="00D8423F"/>
    <w:rsid w:val="00D84C7E"/>
    <w:rsid w:val="00D852F5"/>
    <w:rsid w:val="00D869AE"/>
    <w:rsid w:val="00D91F54"/>
    <w:rsid w:val="00D94E49"/>
    <w:rsid w:val="00D968C8"/>
    <w:rsid w:val="00DA38D4"/>
    <w:rsid w:val="00DA5A2A"/>
    <w:rsid w:val="00DA5FC2"/>
    <w:rsid w:val="00DB5055"/>
    <w:rsid w:val="00DB5616"/>
    <w:rsid w:val="00DB6DCC"/>
    <w:rsid w:val="00DC0CA6"/>
    <w:rsid w:val="00DC6253"/>
    <w:rsid w:val="00DC7FFC"/>
    <w:rsid w:val="00DD0358"/>
    <w:rsid w:val="00DD4909"/>
    <w:rsid w:val="00DE022C"/>
    <w:rsid w:val="00DE3FD8"/>
    <w:rsid w:val="00DE5766"/>
    <w:rsid w:val="00DE67AF"/>
    <w:rsid w:val="00DE7E3D"/>
    <w:rsid w:val="00DF0FB6"/>
    <w:rsid w:val="00DF1809"/>
    <w:rsid w:val="00DF208E"/>
    <w:rsid w:val="00DF558E"/>
    <w:rsid w:val="00DF6C40"/>
    <w:rsid w:val="00E00772"/>
    <w:rsid w:val="00E15347"/>
    <w:rsid w:val="00E22392"/>
    <w:rsid w:val="00E262FF"/>
    <w:rsid w:val="00E26787"/>
    <w:rsid w:val="00E26EFB"/>
    <w:rsid w:val="00E30296"/>
    <w:rsid w:val="00E31842"/>
    <w:rsid w:val="00E4367D"/>
    <w:rsid w:val="00E46487"/>
    <w:rsid w:val="00E56BA2"/>
    <w:rsid w:val="00E60057"/>
    <w:rsid w:val="00E62D6D"/>
    <w:rsid w:val="00E6322D"/>
    <w:rsid w:val="00E65B25"/>
    <w:rsid w:val="00E679E8"/>
    <w:rsid w:val="00E80226"/>
    <w:rsid w:val="00E83361"/>
    <w:rsid w:val="00E84288"/>
    <w:rsid w:val="00E84769"/>
    <w:rsid w:val="00E92BA7"/>
    <w:rsid w:val="00EA6B3E"/>
    <w:rsid w:val="00EA6C21"/>
    <w:rsid w:val="00EA7F03"/>
    <w:rsid w:val="00EC123F"/>
    <w:rsid w:val="00EC3079"/>
    <w:rsid w:val="00EC3E83"/>
    <w:rsid w:val="00EE0A7C"/>
    <w:rsid w:val="00EE156C"/>
    <w:rsid w:val="00EE41FB"/>
    <w:rsid w:val="00EE5BA8"/>
    <w:rsid w:val="00EE5FB1"/>
    <w:rsid w:val="00EE6765"/>
    <w:rsid w:val="00EF0B0D"/>
    <w:rsid w:val="00F006B5"/>
    <w:rsid w:val="00F02460"/>
    <w:rsid w:val="00F046B0"/>
    <w:rsid w:val="00F14B7F"/>
    <w:rsid w:val="00F152C5"/>
    <w:rsid w:val="00F2419A"/>
    <w:rsid w:val="00F268C0"/>
    <w:rsid w:val="00F332C0"/>
    <w:rsid w:val="00F404D8"/>
    <w:rsid w:val="00F47087"/>
    <w:rsid w:val="00F47B64"/>
    <w:rsid w:val="00F611C6"/>
    <w:rsid w:val="00F62027"/>
    <w:rsid w:val="00F655AE"/>
    <w:rsid w:val="00F7101E"/>
    <w:rsid w:val="00F80A14"/>
    <w:rsid w:val="00F80D28"/>
    <w:rsid w:val="00F85DCD"/>
    <w:rsid w:val="00F97221"/>
    <w:rsid w:val="00FA3EB0"/>
    <w:rsid w:val="00FA52EA"/>
    <w:rsid w:val="00FA61F7"/>
    <w:rsid w:val="00FA70C9"/>
    <w:rsid w:val="00FB14BD"/>
    <w:rsid w:val="00FB1650"/>
    <w:rsid w:val="00FB365F"/>
    <w:rsid w:val="00FB410E"/>
    <w:rsid w:val="00FB41B6"/>
    <w:rsid w:val="00FB60F8"/>
    <w:rsid w:val="00FC0B84"/>
    <w:rsid w:val="00FC1DDB"/>
    <w:rsid w:val="00FC440E"/>
    <w:rsid w:val="00FD41D3"/>
    <w:rsid w:val="00FD4BA6"/>
    <w:rsid w:val="00FD659F"/>
    <w:rsid w:val="00FE5483"/>
    <w:rsid w:val="00FE6E4C"/>
    <w:rsid w:val="00FF3CE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E3FE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eastAsia="en-US"/>
    </w:rPr>
  </w:style>
  <w:style w:type="paragraph" w:styleId="Heading1">
    <w:name w:val="heading 1"/>
    <w:basedOn w:val="Normal"/>
    <w:next w:val="Normal"/>
    <w:qFormat/>
    <w:pPr>
      <w:keepNext/>
      <w:ind w:left="-563"/>
      <w:jc w:val="center"/>
      <w:outlineLvl w:val="0"/>
    </w:pPr>
    <w:rPr>
      <w:b/>
      <w:sz w:val="18"/>
    </w:rPr>
  </w:style>
  <w:style w:type="paragraph" w:styleId="Heading2">
    <w:name w:val="heading 2"/>
    <w:basedOn w:val="Normal"/>
    <w:next w:val="Normal"/>
    <w:qFormat/>
    <w:pPr>
      <w:keepNext/>
      <w:ind w:left="-293"/>
      <w:jc w:val="center"/>
      <w:outlineLvl w:val="1"/>
    </w:pPr>
    <w:rPr>
      <w:b/>
      <w:sz w:val="24"/>
    </w:rPr>
  </w:style>
  <w:style w:type="paragraph" w:styleId="Heading3">
    <w:name w:val="heading 3"/>
    <w:basedOn w:val="Normal"/>
    <w:next w:val="Normal"/>
    <w:qFormat/>
    <w:pPr>
      <w:keepNext/>
      <w:jc w:val="center"/>
      <w:outlineLvl w:val="2"/>
    </w:pPr>
    <w:rPr>
      <w:b/>
      <w:sz w:val="24"/>
    </w:rPr>
  </w:style>
  <w:style w:type="paragraph" w:styleId="Heading4">
    <w:name w:val="heading 4"/>
    <w:basedOn w:val="Normal"/>
    <w:next w:val="Normal"/>
    <w:qFormat/>
    <w:pPr>
      <w:keepNext/>
      <w:outlineLvl w:val="3"/>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153"/>
        <w:tab w:val="right" w:pos="8306"/>
      </w:tabs>
    </w:pPr>
    <w:rPr>
      <w:snapToGrid w:val="0"/>
      <w:lang w:val="en-AU"/>
    </w:rPr>
  </w:style>
  <w:style w:type="character" w:styleId="PageNumber">
    <w:name w:val="page number"/>
    <w:basedOn w:val="DefaultParagraphFont"/>
  </w:style>
  <w:style w:type="paragraph" w:styleId="Footer">
    <w:name w:val="footer"/>
    <w:basedOn w:val="Normal"/>
    <w:link w:val="FooterChar"/>
    <w:uiPriority w:val="99"/>
    <w:pPr>
      <w:tabs>
        <w:tab w:val="center" w:pos="4153"/>
        <w:tab w:val="right" w:pos="8306"/>
      </w:tabs>
    </w:pPr>
  </w:style>
  <w:style w:type="paragraph" w:styleId="BodyTextIndent">
    <w:name w:val="Body Text Indent"/>
    <w:basedOn w:val="Normal"/>
    <w:pPr>
      <w:tabs>
        <w:tab w:val="left" w:pos="-90"/>
        <w:tab w:val="left" w:pos="7470"/>
        <w:tab w:val="left" w:pos="8395"/>
      </w:tabs>
      <w:ind w:left="-1080"/>
    </w:pPr>
    <w:rPr>
      <w:sz w:val="14"/>
    </w:rPr>
  </w:style>
  <w:style w:type="paragraph" w:styleId="BlockText">
    <w:name w:val="Block Text"/>
    <w:basedOn w:val="Normal"/>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 w:right="-57"/>
      <w:jc w:val="both"/>
    </w:pPr>
    <w:rPr>
      <w:sz w:val="24"/>
      <w:lang w:val="en-US"/>
    </w:rPr>
  </w:style>
  <w:style w:type="paragraph" w:styleId="BalloonText">
    <w:name w:val="Balloon Text"/>
    <w:basedOn w:val="Normal"/>
    <w:semiHidden/>
    <w:rPr>
      <w:rFonts w:ascii="Tahoma" w:hAnsi="Tahoma" w:cs="Tahoma"/>
      <w:sz w:val="16"/>
      <w:szCs w:val="16"/>
    </w:rPr>
  </w:style>
  <w:style w:type="paragraph" w:styleId="BodyText">
    <w:name w:val="Body Text"/>
    <w:basedOn w:val="Normal"/>
    <w:pPr>
      <w:jc w:val="center"/>
    </w:pPr>
    <w:rPr>
      <w:rFonts w:eastAsia="Batang"/>
      <w:b/>
      <w:sz w:val="24"/>
      <w:szCs w:val="24"/>
      <w:lang w:val="en-US"/>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Ch">
    <w:name w:val="_ H _Ch"/>
    <w:basedOn w:val="Normal"/>
    <w:next w:val="Normal"/>
    <w:pPr>
      <w:keepNext/>
      <w:keepLines/>
      <w:suppressAutoHyphens/>
      <w:spacing w:line="300" w:lineRule="exact"/>
      <w:outlineLvl w:val="0"/>
    </w:pPr>
    <w:rPr>
      <w:rFonts w:eastAsia="MS Mincho"/>
      <w:b/>
      <w:spacing w:val="-2"/>
      <w:w w:val="103"/>
      <w:kern w:val="14"/>
      <w:sz w:val="28"/>
    </w:rPr>
  </w:style>
  <w:style w:type="character" w:styleId="FootnoteReference">
    <w:name w:val="footnote reference"/>
    <w:aliases w:val="4_G,Footnotes refss,Footnote Ref,16 Point,Superscript 6 Point,callout,Ref,de nota al pie,Appel note de bas de p.,Appel note de bas de page,FZ,Footnote Refernece,Footnote number,Footnote text,a Footnote Reference,ftref,Style 10,BVI fnr"/>
    <w:link w:val="BVIfnr"/>
    <w:uiPriority w:val="99"/>
    <w:qFormat/>
    <w:rsid w:val="00460258"/>
    <w:rPr>
      <w:rFonts w:cs="Times New Roman"/>
      <w:vertAlign w:val="superscript"/>
    </w:rPr>
  </w:style>
  <w:style w:type="character" w:customStyle="1" w:styleId="HeaderChar">
    <w:name w:val="Header Char"/>
    <w:link w:val="Header"/>
    <w:uiPriority w:val="99"/>
    <w:rsid w:val="00A01741"/>
    <w:rPr>
      <w:snapToGrid w:val="0"/>
      <w:lang w:val="en-AU" w:eastAsia="en-US"/>
    </w:rPr>
  </w:style>
  <w:style w:type="character" w:styleId="Hyperlink">
    <w:name w:val="Hyperlink"/>
    <w:uiPriority w:val="99"/>
    <w:rsid w:val="0021296A"/>
    <w:rPr>
      <w:color w:val="0000FF"/>
      <w:u w:val="single"/>
    </w:rPr>
  </w:style>
  <w:style w:type="paragraph" w:styleId="Revision">
    <w:name w:val="Revision"/>
    <w:hidden/>
    <w:uiPriority w:val="99"/>
    <w:semiHidden/>
    <w:rsid w:val="006412EA"/>
    <w:rPr>
      <w:lang w:eastAsia="en-US"/>
    </w:rPr>
  </w:style>
  <w:style w:type="character" w:styleId="CommentReference">
    <w:name w:val="annotation reference"/>
    <w:rsid w:val="008A2957"/>
    <w:rPr>
      <w:sz w:val="16"/>
      <w:szCs w:val="16"/>
    </w:rPr>
  </w:style>
  <w:style w:type="paragraph" w:styleId="CommentText">
    <w:name w:val="annotation text"/>
    <w:basedOn w:val="Normal"/>
    <w:link w:val="CommentTextChar"/>
    <w:uiPriority w:val="99"/>
    <w:rsid w:val="008A2957"/>
  </w:style>
  <w:style w:type="character" w:customStyle="1" w:styleId="CommentTextChar">
    <w:name w:val="Comment Text Char"/>
    <w:link w:val="CommentText"/>
    <w:uiPriority w:val="99"/>
    <w:rsid w:val="008A2957"/>
    <w:rPr>
      <w:lang w:eastAsia="en-US"/>
    </w:rPr>
  </w:style>
  <w:style w:type="paragraph" w:styleId="CommentSubject">
    <w:name w:val="annotation subject"/>
    <w:basedOn w:val="CommentText"/>
    <w:next w:val="CommentText"/>
    <w:link w:val="CommentSubjectChar"/>
    <w:rsid w:val="008A2957"/>
    <w:rPr>
      <w:b/>
      <w:bCs/>
    </w:rPr>
  </w:style>
  <w:style w:type="character" w:customStyle="1" w:styleId="CommentSubjectChar">
    <w:name w:val="Comment Subject Char"/>
    <w:link w:val="CommentSubject"/>
    <w:rsid w:val="008A2957"/>
    <w:rPr>
      <w:b/>
      <w:bCs/>
      <w:lang w:eastAsia="en-US"/>
    </w:rPr>
  </w:style>
  <w:style w:type="paragraph" w:styleId="ListParagraph">
    <w:name w:val="List Paragraph"/>
    <w:aliases w:val="Evidence on Demand bullet points,CEIL PEAKS bullet points,Scriptoria bullet points,Dot pt,F5 List Paragraph,List Paragraph1,No Spacing1,List Paragraph Char Char Char,Indicator Text,Numbered Para 1,MAIN CONTENT,Bullets,Lapis Bulleted List"/>
    <w:basedOn w:val="Normal"/>
    <w:link w:val="ListParagraphChar"/>
    <w:uiPriority w:val="34"/>
    <w:qFormat/>
    <w:rsid w:val="00982FCF"/>
    <w:pPr>
      <w:ind w:left="720"/>
      <w:contextualSpacing/>
    </w:pPr>
  </w:style>
  <w:style w:type="character" w:customStyle="1" w:styleId="FooterChar">
    <w:name w:val="Footer Char"/>
    <w:link w:val="Footer"/>
    <w:uiPriority w:val="99"/>
    <w:rsid w:val="0003674D"/>
    <w:rPr>
      <w:lang w:eastAsia="en-US"/>
    </w:rPr>
  </w:style>
  <w:style w:type="paragraph" w:styleId="FootnoteText">
    <w:name w:val="footnote text"/>
    <w:aliases w:val="Footnote Text Char Char Char Char Char,Footnote Text Char Char Char Char,Footnote reference,FA Fu,Footnote Text Char Char Char,Footnote Text Cha,FA Fußnotentext,FA Fuﬂnotentext,Texto nota pie Car,Footnote Text Char Char,footnote text,5_G"/>
    <w:basedOn w:val="Normal"/>
    <w:link w:val="FootnoteTextChar"/>
    <w:uiPriority w:val="99"/>
    <w:unhideWhenUsed/>
    <w:qFormat/>
    <w:rsid w:val="00F47087"/>
    <w:rPr>
      <w:rFonts w:eastAsiaTheme="minorHAnsi" w:cstheme="minorBidi"/>
      <w:sz w:val="24"/>
      <w:szCs w:val="24"/>
      <w:lang w:val="en-US"/>
    </w:rPr>
  </w:style>
  <w:style w:type="character" w:customStyle="1" w:styleId="FootnoteTextChar">
    <w:name w:val="Footnote Text Char"/>
    <w:aliases w:val="Footnote Text Char Char Char Char Char Char,Footnote Text Char Char Char Char Char1,Footnote reference Char,FA Fu Char,Footnote Text Char Char Char Char1,Footnote Text Cha Char,FA Fußnotentext Char,FA Fuﬂnotentext Char,5_G Char"/>
    <w:basedOn w:val="DefaultParagraphFont"/>
    <w:link w:val="FootnoteText"/>
    <w:uiPriority w:val="99"/>
    <w:qFormat/>
    <w:rsid w:val="00F47087"/>
    <w:rPr>
      <w:rFonts w:eastAsiaTheme="minorHAnsi" w:cstheme="minorBidi"/>
      <w:sz w:val="24"/>
      <w:szCs w:val="24"/>
      <w:lang w:val="en-US" w:eastAsia="en-US"/>
    </w:rPr>
  </w:style>
  <w:style w:type="paragraph" w:customStyle="1" w:styleId="LightGrid-Accent31">
    <w:name w:val="Light Grid - Accent 31"/>
    <w:basedOn w:val="Normal"/>
    <w:uiPriority w:val="34"/>
    <w:qFormat/>
    <w:rsid w:val="00131DFA"/>
    <w:pPr>
      <w:spacing w:after="160" w:line="256" w:lineRule="auto"/>
      <w:ind w:left="720"/>
      <w:contextualSpacing/>
    </w:pPr>
    <w:rPr>
      <w:rFonts w:ascii="Cambria" w:eastAsia="Cambria" w:hAnsi="Cambria"/>
      <w:sz w:val="22"/>
      <w:szCs w:val="22"/>
    </w:rPr>
  </w:style>
  <w:style w:type="paragraph" w:customStyle="1" w:styleId="Style1">
    <w:name w:val="Style1"/>
    <w:basedOn w:val="Heading1"/>
    <w:qFormat/>
    <w:rsid w:val="001F00CA"/>
    <w:pPr>
      <w:keepLines/>
      <w:spacing w:before="240"/>
      <w:ind w:left="0"/>
      <w:jc w:val="left"/>
    </w:pPr>
    <w:rPr>
      <w:rFonts w:eastAsiaTheme="majorEastAsia" w:cstheme="majorBidi"/>
      <w:color w:val="000000" w:themeColor="text1"/>
      <w:sz w:val="20"/>
      <w:szCs w:val="32"/>
      <w:lang w:eastAsia="ja-JP"/>
    </w:rPr>
  </w:style>
  <w:style w:type="paragraph" w:customStyle="1" w:styleId="BVIfnr">
    <w:name w:val="BVI fnr Знак"/>
    <w:aliases w:val="BVI fnr Car Car Знак,BVI fnr Car Знак,BVI fnr Car Car Car Car Знак,BVI fnr Car Car Car Car Char Знак,BVI fnr Char Знак,BVI fnr Car Car Char Знак,BVI fnr Car Char Знак"/>
    <w:basedOn w:val="Normal"/>
    <w:link w:val="FootnoteReference"/>
    <w:uiPriority w:val="99"/>
    <w:rsid w:val="001F00CA"/>
    <w:pPr>
      <w:spacing w:after="160" w:line="240" w:lineRule="exact"/>
      <w:jc w:val="both"/>
    </w:pPr>
    <w:rPr>
      <w:vertAlign w:val="superscript"/>
      <w:lang w:eastAsia="en-GB"/>
    </w:rPr>
  </w:style>
  <w:style w:type="paragraph" w:styleId="NoSpacing">
    <w:name w:val="No Spacing"/>
    <w:uiPriority w:val="1"/>
    <w:qFormat/>
    <w:rsid w:val="00D6600A"/>
    <w:rPr>
      <w:rFonts w:asciiTheme="minorHAnsi" w:eastAsiaTheme="minorEastAsia" w:hAnsiTheme="minorHAnsi" w:cstheme="minorBidi"/>
      <w:sz w:val="22"/>
      <w:szCs w:val="22"/>
      <w:lang w:eastAsia="ja-JP"/>
    </w:rPr>
  </w:style>
  <w:style w:type="character" w:customStyle="1" w:styleId="ListParagraphChar">
    <w:name w:val="List Paragraph Char"/>
    <w:aliases w:val="Evidence on Demand bullet points Char,CEIL PEAKS bullet points Char,Scriptoria bullet points Char,Dot pt Char,F5 List Paragraph Char,List Paragraph1 Char,No Spacing1 Char,List Paragraph Char Char Char Char,Indicator Text Char"/>
    <w:link w:val="ListParagraph"/>
    <w:uiPriority w:val="34"/>
    <w:qFormat/>
    <w:locked/>
    <w:rsid w:val="00D6600A"/>
    <w:rPr>
      <w:lang w:eastAsia="en-US"/>
    </w:rPr>
  </w:style>
  <w:style w:type="paragraph" w:styleId="NormalWeb">
    <w:name w:val="Normal (Web)"/>
    <w:basedOn w:val="Normal"/>
    <w:uiPriority w:val="99"/>
    <w:unhideWhenUsed/>
    <w:rsid w:val="00BC486C"/>
    <w:pPr>
      <w:spacing w:before="120"/>
    </w:pPr>
    <w:rPr>
      <w:rFonts w:ascii="Verdana" w:eastAsia="Helvetica Neue" w:hAnsi="Verdana"/>
      <w:szCs w:val="24"/>
      <w:lang w:val="en"/>
    </w:rPr>
  </w:style>
  <w:style w:type="character" w:styleId="PlaceholderText">
    <w:name w:val="Placeholder Text"/>
    <w:basedOn w:val="DefaultParagraphFont"/>
    <w:uiPriority w:val="99"/>
    <w:semiHidden/>
    <w:rsid w:val="00226F79"/>
    <w:rPr>
      <w:color w:val="808080"/>
    </w:rPr>
  </w:style>
  <w:style w:type="paragraph" w:styleId="EndnoteText">
    <w:name w:val="endnote text"/>
    <w:basedOn w:val="Normal"/>
    <w:link w:val="EndnoteTextChar"/>
    <w:uiPriority w:val="99"/>
    <w:rsid w:val="00315F25"/>
    <w:rPr>
      <w:lang w:val="en-US"/>
    </w:rPr>
  </w:style>
  <w:style w:type="character" w:customStyle="1" w:styleId="EndnoteTextChar">
    <w:name w:val="Endnote Text Char"/>
    <w:basedOn w:val="DefaultParagraphFont"/>
    <w:link w:val="EndnoteText"/>
    <w:uiPriority w:val="99"/>
    <w:rsid w:val="00315F25"/>
    <w:rPr>
      <w:lang w:val="en-US" w:eastAsia="en-US"/>
    </w:rPr>
  </w:style>
  <w:style w:type="character" w:styleId="EndnoteReference">
    <w:name w:val="endnote reference"/>
    <w:uiPriority w:val="99"/>
    <w:rsid w:val="00315F25"/>
    <w:rPr>
      <w:vertAlign w:val="superscript"/>
    </w:rPr>
  </w:style>
  <w:style w:type="paragraph" w:styleId="PlainText">
    <w:name w:val="Plain Text"/>
    <w:basedOn w:val="Normal"/>
    <w:link w:val="PlainTextChar"/>
    <w:semiHidden/>
    <w:unhideWhenUsed/>
    <w:rsid w:val="00336C73"/>
    <w:rPr>
      <w:rFonts w:ascii="Consolas" w:hAnsi="Consolas" w:cs="Consolas"/>
      <w:sz w:val="21"/>
      <w:szCs w:val="21"/>
    </w:rPr>
  </w:style>
  <w:style w:type="character" w:customStyle="1" w:styleId="PlainTextChar">
    <w:name w:val="Plain Text Char"/>
    <w:basedOn w:val="DefaultParagraphFont"/>
    <w:link w:val="PlainText"/>
    <w:semiHidden/>
    <w:rsid w:val="00336C73"/>
    <w:rPr>
      <w:rFonts w:ascii="Consolas" w:hAnsi="Consolas" w:cs="Consolas"/>
      <w:sz w:val="21"/>
      <w:szCs w:val="21"/>
      <w:lang w:eastAsia="en-US"/>
    </w:rPr>
  </w:style>
  <w:style w:type="character" w:customStyle="1" w:styleId="UnresolvedMention">
    <w:name w:val="Unresolved Mention"/>
    <w:basedOn w:val="DefaultParagraphFont"/>
    <w:uiPriority w:val="99"/>
    <w:semiHidden/>
    <w:unhideWhenUsed/>
    <w:rsid w:val="00DB6DCC"/>
    <w:rPr>
      <w:color w:val="605E5C"/>
      <w:shd w:val="clear" w:color="auto" w:fill="E1DFDD"/>
    </w:rPr>
  </w:style>
  <w:style w:type="character" w:styleId="FollowedHyperlink">
    <w:name w:val="FollowedHyperlink"/>
    <w:basedOn w:val="DefaultParagraphFont"/>
    <w:semiHidden/>
    <w:unhideWhenUsed/>
    <w:rsid w:val="009429D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311663">
      <w:bodyDiv w:val="1"/>
      <w:marLeft w:val="0"/>
      <w:marRight w:val="0"/>
      <w:marTop w:val="0"/>
      <w:marBottom w:val="0"/>
      <w:divBdr>
        <w:top w:val="none" w:sz="0" w:space="0" w:color="auto"/>
        <w:left w:val="none" w:sz="0" w:space="0" w:color="auto"/>
        <w:bottom w:val="none" w:sz="0" w:space="0" w:color="auto"/>
        <w:right w:val="none" w:sz="0" w:space="0" w:color="auto"/>
      </w:divBdr>
    </w:div>
    <w:div w:id="69550206">
      <w:bodyDiv w:val="1"/>
      <w:marLeft w:val="0"/>
      <w:marRight w:val="0"/>
      <w:marTop w:val="0"/>
      <w:marBottom w:val="0"/>
      <w:divBdr>
        <w:top w:val="none" w:sz="0" w:space="0" w:color="auto"/>
        <w:left w:val="none" w:sz="0" w:space="0" w:color="auto"/>
        <w:bottom w:val="none" w:sz="0" w:space="0" w:color="auto"/>
        <w:right w:val="none" w:sz="0" w:space="0" w:color="auto"/>
      </w:divBdr>
    </w:div>
    <w:div w:id="89745612">
      <w:bodyDiv w:val="1"/>
      <w:marLeft w:val="0"/>
      <w:marRight w:val="0"/>
      <w:marTop w:val="0"/>
      <w:marBottom w:val="0"/>
      <w:divBdr>
        <w:top w:val="none" w:sz="0" w:space="0" w:color="auto"/>
        <w:left w:val="none" w:sz="0" w:space="0" w:color="auto"/>
        <w:bottom w:val="none" w:sz="0" w:space="0" w:color="auto"/>
        <w:right w:val="none" w:sz="0" w:space="0" w:color="auto"/>
      </w:divBdr>
      <w:divsChild>
        <w:div w:id="1123842383">
          <w:marLeft w:val="0"/>
          <w:marRight w:val="0"/>
          <w:marTop w:val="0"/>
          <w:marBottom w:val="0"/>
          <w:divBdr>
            <w:top w:val="none" w:sz="0" w:space="0" w:color="auto"/>
            <w:left w:val="none" w:sz="0" w:space="0" w:color="auto"/>
            <w:bottom w:val="none" w:sz="0" w:space="0" w:color="auto"/>
            <w:right w:val="none" w:sz="0" w:space="0" w:color="auto"/>
          </w:divBdr>
          <w:divsChild>
            <w:div w:id="1175995545">
              <w:marLeft w:val="0"/>
              <w:marRight w:val="0"/>
              <w:marTop w:val="0"/>
              <w:marBottom w:val="0"/>
              <w:divBdr>
                <w:top w:val="none" w:sz="0" w:space="0" w:color="auto"/>
                <w:left w:val="none" w:sz="0" w:space="0" w:color="auto"/>
                <w:bottom w:val="none" w:sz="0" w:space="0" w:color="auto"/>
                <w:right w:val="none" w:sz="0" w:space="0" w:color="auto"/>
              </w:divBdr>
              <w:divsChild>
                <w:div w:id="135117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87472">
      <w:bodyDiv w:val="1"/>
      <w:marLeft w:val="0"/>
      <w:marRight w:val="0"/>
      <w:marTop w:val="0"/>
      <w:marBottom w:val="0"/>
      <w:divBdr>
        <w:top w:val="none" w:sz="0" w:space="0" w:color="auto"/>
        <w:left w:val="none" w:sz="0" w:space="0" w:color="auto"/>
        <w:bottom w:val="none" w:sz="0" w:space="0" w:color="auto"/>
        <w:right w:val="none" w:sz="0" w:space="0" w:color="auto"/>
      </w:divBdr>
      <w:divsChild>
        <w:div w:id="1480684362">
          <w:marLeft w:val="0"/>
          <w:marRight w:val="0"/>
          <w:marTop w:val="0"/>
          <w:marBottom w:val="0"/>
          <w:divBdr>
            <w:top w:val="none" w:sz="0" w:space="0" w:color="auto"/>
            <w:left w:val="none" w:sz="0" w:space="0" w:color="auto"/>
            <w:bottom w:val="none" w:sz="0" w:space="0" w:color="auto"/>
            <w:right w:val="none" w:sz="0" w:space="0" w:color="auto"/>
          </w:divBdr>
          <w:divsChild>
            <w:div w:id="834607201">
              <w:marLeft w:val="0"/>
              <w:marRight w:val="0"/>
              <w:marTop w:val="0"/>
              <w:marBottom w:val="0"/>
              <w:divBdr>
                <w:top w:val="none" w:sz="0" w:space="0" w:color="auto"/>
                <w:left w:val="none" w:sz="0" w:space="0" w:color="auto"/>
                <w:bottom w:val="none" w:sz="0" w:space="0" w:color="auto"/>
                <w:right w:val="none" w:sz="0" w:space="0" w:color="auto"/>
              </w:divBdr>
              <w:divsChild>
                <w:div w:id="1018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53436">
      <w:bodyDiv w:val="1"/>
      <w:marLeft w:val="0"/>
      <w:marRight w:val="0"/>
      <w:marTop w:val="0"/>
      <w:marBottom w:val="0"/>
      <w:divBdr>
        <w:top w:val="none" w:sz="0" w:space="0" w:color="auto"/>
        <w:left w:val="none" w:sz="0" w:space="0" w:color="auto"/>
        <w:bottom w:val="none" w:sz="0" w:space="0" w:color="auto"/>
        <w:right w:val="none" w:sz="0" w:space="0" w:color="auto"/>
      </w:divBdr>
      <w:divsChild>
        <w:div w:id="1587806955">
          <w:marLeft w:val="0"/>
          <w:marRight w:val="0"/>
          <w:marTop w:val="0"/>
          <w:marBottom w:val="0"/>
          <w:divBdr>
            <w:top w:val="none" w:sz="0" w:space="0" w:color="auto"/>
            <w:left w:val="none" w:sz="0" w:space="0" w:color="auto"/>
            <w:bottom w:val="none" w:sz="0" w:space="0" w:color="auto"/>
            <w:right w:val="none" w:sz="0" w:space="0" w:color="auto"/>
          </w:divBdr>
          <w:divsChild>
            <w:div w:id="267002978">
              <w:marLeft w:val="0"/>
              <w:marRight w:val="0"/>
              <w:marTop w:val="0"/>
              <w:marBottom w:val="0"/>
              <w:divBdr>
                <w:top w:val="none" w:sz="0" w:space="0" w:color="auto"/>
                <w:left w:val="none" w:sz="0" w:space="0" w:color="auto"/>
                <w:bottom w:val="none" w:sz="0" w:space="0" w:color="auto"/>
                <w:right w:val="none" w:sz="0" w:space="0" w:color="auto"/>
              </w:divBdr>
              <w:divsChild>
                <w:div w:id="193921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452348">
      <w:bodyDiv w:val="1"/>
      <w:marLeft w:val="0"/>
      <w:marRight w:val="0"/>
      <w:marTop w:val="0"/>
      <w:marBottom w:val="0"/>
      <w:divBdr>
        <w:top w:val="none" w:sz="0" w:space="0" w:color="auto"/>
        <w:left w:val="none" w:sz="0" w:space="0" w:color="auto"/>
        <w:bottom w:val="none" w:sz="0" w:space="0" w:color="auto"/>
        <w:right w:val="none" w:sz="0" w:space="0" w:color="auto"/>
      </w:divBdr>
      <w:divsChild>
        <w:div w:id="331488221">
          <w:marLeft w:val="0"/>
          <w:marRight w:val="0"/>
          <w:marTop w:val="0"/>
          <w:marBottom w:val="0"/>
          <w:divBdr>
            <w:top w:val="none" w:sz="0" w:space="0" w:color="auto"/>
            <w:left w:val="none" w:sz="0" w:space="0" w:color="auto"/>
            <w:bottom w:val="none" w:sz="0" w:space="0" w:color="auto"/>
            <w:right w:val="none" w:sz="0" w:space="0" w:color="auto"/>
          </w:divBdr>
          <w:divsChild>
            <w:div w:id="1834953898">
              <w:marLeft w:val="0"/>
              <w:marRight w:val="0"/>
              <w:marTop w:val="0"/>
              <w:marBottom w:val="0"/>
              <w:divBdr>
                <w:top w:val="none" w:sz="0" w:space="0" w:color="auto"/>
                <w:left w:val="none" w:sz="0" w:space="0" w:color="auto"/>
                <w:bottom w:val="none" w:sz="0" w:space="0" w:color="auto"/>
                <w:right w:val="none" w:sz="0" w:space="0" w:color="auto"/>
              </w:divBdr>
              <w:divsChild>
                <w:div w:id="148970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40246">
      <w:bodyDiv w:val="1"/>
      <w:marLeft w:val="0"/>
      <w:marRight w:val="0"/>
      <w:marTop w:val="0"/>
      <w:marBottom w:val="0"/>
      <w:divBdr>
        <w:top w:val="none" w:sz="0" w:space="0" w:color="auto"/>
        <w:left w:val="none" w:sz="0" w:space="0" w:color="auto"/>
        <w:bottom w:val="none" w:sz="0" w:space="0" w:color="auto"/>
        <w:right w:val="none" w:sz="0" w:space="0" w:color="auto"/>
      </w:divBdr>
      <w:divsChild>
        <w:div w:id="216086526">
          <w:marLeft w:val="0"/>
          <w:marRight w:val="0"/>
          <w:marTop w:val="0"/>
          <w:marBottom w:val="0"/>
          <w:divBdr>
            <w:top w:val="none" w:sz="0" w:space="0" w:color="auto"/>
            <w:left w:val="none" w:sz="0" w:space="0" w:color="auto"/>
            <w:bottom w:val="none" w:sz="0" w:space="0" w:color="auto"/>
            <w:right w:val="none" w:sz="0" w:space="0" w:color="auto"/>
          </w:divBdr>
          <w:divsChild>
            <w:div w:id="440730207">
              <w:marLeft w:val="0"/>
              <w:marRight w:val="0"/>
              <w:marTop w:val="0"/>
              <w:marBottom w:val="0"/>
              <w:divBdr>
                <w:top w:val="none" w:sz="0" w:space="0" w:color="auto"/>
                <w:left w:val="none" w:sz="0" w:space="0" w:color="auto"/>
                <w:bottom w:val="none" w:sz="0" w:space="0" w:color="auto"/>
                <w:right w:val="none" w:sz="0" w:space="0" w:color="auto"/>
              </w:divBdr>
              <w:divsChild>
                <w:div w:id="127710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088348">
      <w:bodyDiv w:val="1"/>
      <w:marLeft w:val="0"/>
      <w:marRight w:val="0"/>
      <w:marTop w:val="0"/>
      <w:marBottom w:val="0"/>
      <w:divBdr>
        <w:top w:val="none" w:sz="0" w:space="0" w:color="auto"/>
        <w:left w:val="none" w:sz="0" w:space="0" w:color="auto"/>
        <w:bottom w:val="none" w:sz="0" w:space="0" w:color="auto"/>
        <w:right w:val="none" w:sz="0" w:space="0" w:color="auto"/>
      </w:divBdr>
    </w:div>
    <w:div w:id="421881043">
      <w:bodyDiv w:val="1"/>
      <w:marLeft w:val="0"/>
      <w:marRight w:val="0"/>
      <w:marTop w:val="0"/>
      <w:marBottom w:val="0"/>
      <w:divBdr>
        <w:top w:val="none" w:sz="0" w:space="0" w:color="auto"/>
        <w:left w:val="none" w:sz="0" w:space="0" w:color="auto"/>
        <w:bottom w:val="none" w:sz="0" w:space="0" w:color="auto"/>
        <w:right w:val="none" w:sz="0" w:space="0" w:color="auto"/>
      </w:divBdr>
    </w:div>
    <w:div w:id="539827524">
      <w:bodyDiv w:val="1"/>
      <w:marLeft w:val="0"/>
      <w:marRight w:val="0"/>
      <w:marTop w:val="0"/>
      <w:marBottom w:val="0"/>
      <w:divBdr>
        <w:top w:val="none" w:sz="0" w:space="0" w:color="auto"/>
        <w:left w:val="none" w:sz="0" w:space="0" w:color="auto"/>
        <w:bottom w:val="none" w:sz="0" w:space="0" w:color="auto"/>
        <w:right w:val="none" w:sz="0" w:space="0" w:color="auto"/>
      </w:divBdr>
      <w:divsChild>
        <w:div w:id="2022775364">
          <w:marLeft w:val="0"/>
          <w:marRight w:val="0"/>
          <w:marTop w:val="0"/>
          <w:marBottom w:val="0"/>
          <w:divBdr>
            <w:top w:val="none" w:sz="0" w:space="0" w:color="auto"/>
            <w:left w:val="none" w:sz="0" w:space="0" w:color="auto"/>
            <w:bottom w:val="none" w:sz="0" w:space="0" w:color="auto"/>
            <w:right w:val="none" w:sz="0" w:space="0" w:color="auto"/>
          </w:divBdr>
        </w:div>
        <w:div w:id="2027902125">
          <w:marLeft w:val="0"/>
          <w:marRight w:val="0"/>
          <w:marTop w:val="0"/>
          <w:marBottom w:val="0"/>
          <w:divBdr>
            <w:top w:val="none" w:sz="0" w:space="0" w:color="auto"/>
            <w:left w:val="none" w:sz="0" w:space="0" w:color="auto"/>
            <w:bottom w:val="none" w:sz="0" w:space="0" w:color="auto"/>
            <w:right w:val="none" w:sz="0" w:space="0" w:color="auto"/>
          </w:divBdr>
          <w:divsChild>
            <w:div w:id="264197499">
              <w:marLeft w:val="0"/>
              <w:marRight w:val="0"/>
              <w:marTop w:val="0"/>
              <w:marBottom w:val="0"/>
              <w:divBdr>
                <w:top w:val="none" w:sz="0" w:space="0" w:color="auto"/>
                <w:left w:val="none" w:sz="0" w:space="0" w:color="auto"/>
                <w:bottom w:val="none" w:sz="0" w:space="0" w:color="auto"/>
                <w:right w:val="none" w:sz="0" w:space="0" w:color="auto"/>
              </w:divBdr>
              <w:divsChild>
                <w:div w:id="776146128">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566959725">
      <w:bodyDiv w:val="1"/>
      <w:marLeft w:val="0"/>
      <w:marRight w:val="0"/>
      <w:marTop w:val="0"/>
      <w:marBottom w:val="0"/>
      <w:divBdr>
        <w:top w:val="none" w:sz="0" w:space="0" w:color="auto"/>
        <w:left w:val="none" w:sz="0" w:space="0" w:color="auto"/>
        <w:bottom w:val="none" w:sz="0" w:space="0" w:color="auto"/>
        <w:right w:val="none" w:sz="0" w:space="0" w:color="auto"/>
      </w:divBdr>
    </w:div>
    <w:div w:id="636885213">
      <w:bodyDiv w:val="1"/>
      <w:marLeft w:val="0"/>
      <w:marRight w:val="0"/>
      <w:marTop w:val="0"/>
      <w:marBottom w:val="0"/>
      <w:divBdr>
        <w:top w:val="none" w:sz="0" w:space="0" w:color="auto"/>
        <w:left w:val="none" w:sz="0" w:space="0" w:color="auto"/>
        <w:bottom w:val="none" w:sz="0" w:space="0" w:color="auto"/>
        <w:right w:val="none" w:sz="0" w:space="0" w:color="auto"/>
      </w:divBdr>
      <w:divsChild>
        <w:div w:id="1705597993">
          <w:marLeft w:val="0"/>
          <w:marRight w:val="0"/>
          <w:marTop w:val="0"/>
          <w:marBottom w:val="0"/>
          <w:divBdr>
            <w:top w:val="none" w:sz="0" w:space="0" w:color="auto"/>
            <w:left w:val="none" w:sz="0" w:space="0" w:color="auto"/>
            <w:bottom w:val="none" w:sz="0" w:space="0" w:color="auto"/>
            <w:right w:val="none" w:sz="0" w:space="0" w:color="auto"/>
          </w:divBdr>
          <w:divsChild>
            <w:div w:id="314143991">
              <w:marLeft w:val="0"/>
              <w:marRight w:val="0"/>
              <w:marTop w:val="0"/>
              <w:marBottom w:val="0"/>
              <w:divBdr>
                <w:top w:val="none" w:sz="0" w:space="0" w:color="auto"/>
                <w:left w:val="none" w:sz="0" w:space="0" w:color="auto"/>
                <w:bottom w:val="none" w:sz="0" w:space="0" w:color="auto"/>
                <w:right w:val="none" w:sz="0" w:space="0" w:color="auto"/>
              </w:divBdr>
              <w:divsChild>
                <w:div w:id="3383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297912">
      <w:bodyDiv w:val="1"/>
      <w:marLeft w:val="0"/>
      <w:marRight w:val="0"/>
      <w:marTop w:val="0"/>
      <w:marBottom w:val="0"/>
      <w:divBdr>
        <w:top w:val="none" w:sz="0" w:space="0" w:color="auto"/>
        <w:left w:val="none" w:sz="0" w:space="0" w:color="auto"/>
        <w:bottom w:val="none" w:sz="0" w:space="0" w:color="auto"/>
        <w:right w:val="none" w:sz="0" w:space="0" w:color="auto"/>
      </w:divBdr>
    </w:div>
    <w:div w:id="774638727">
      <w:bodyDiv w:val="1"/>
      <w:marLeft w:val="0"/>
      <w:marRight w:val="0"/>
      <w:marTop w:val="0"/>
      <w:marBottom w:val="0"/>
      <w:divBdr>
        <w:top w:val="none" w:sz="0" w:space="0" w:color="auto"/>
        <w:left w:val="none" w:sz="0" w:space="0" w:color="auto"/>
        <w:bottom w:val="none" w:sz="0" w:space="0" w:color="auto"/>
        <w:right w:val="none" w:sz="0" w:space="0" w:color="auto"/>
      </w:divBdr>
      <w:divsChild>
        <w:div w:id="513691354">
          <w:marLeft w:val="0"/>
          <w:marRight w:val="0"/>
          <w:marTop w:val="0"/>
          <w:marBottom w:val="0"/>
          <w:divBdr>
            <w:top w:val="none" w:sz="0" w:space="0" w:color="auto"/>
            <w:left w:val="none" w:sz="0" w:space="0" w:color="auto"/>
            <w:bottom w:val="none" w:sz="0" w:space="0" w:color="auto"/>
            <w:right w:val="none" w:sz="0" w:space="0" w:color="auto"/>
          </w:divBdr>
          <w:divsChild>
            <w:div w:id="878517107">
              <w:marLeft w:val="0"/>
              <w:marRight w:val="0"/>
              <w:marTop w:val="0"/>
              <w:marBottom w:val="0"/>
              <w:divBdr>
                <w:top w:val="none" w:sz="0" w:space="0" w:color="auto"/>
                <w:left w:val="none" w:sz="0" w:space="0" w:color="auto"/>
                <w:bottom w:val="none" w:sz="0" w:space="0" w:color="auto"/>
                <w:right w:val="none" w:sz="0" w:space="0" w:color="auto"/>
              </w:divBdr>
              <w:divsChild>
                <w:div w:id="60916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751229">
      <w:bodyDiv w:val="1"/>
      <w:marLeft w:val="0"/>
      <w:marRight w:val="0"/>
      <w:marTop w:val="0"/>
      <w:marBottom w:val="0"/>
      <w:divBdr>
        <w:top w:val="none" w:sz="0" w:space="0" w:color="auto"/>
        <w:left w:val="none" w:sz="0" w:space="0" w:color="auto"/>
        <w:bottom w:val="none" w:sz="0" w:space="0" w:color="auto"/>
        <w:right w:val="none" w:sz="0" w:space="0" w:color="auto"/>
      </w:divBdr>
    </w:div>
    <w:div w:id="868881366">
      <w:bodyDiv w:val="1"/>
      <w:marLeft w:val="0"/>
      <w:marRight w:val="0"/>
      <w:marTop w:val="0"/>
      <w:marBottom w:val="0"/>
      <w:divBdr>
        <w:top w:val="none" w:sz="0" w:space="0" w:color="auto"/>
        <w:left w:val="none" w:sz="0" w:space="0" w:color="auto"/>
        <w:bottom w:val="none" w:sz="0" w:space="0" w:color="auto"/>
        <w:right w:val="none" w:sz="0" w:space="0" w:color="auto"/>
      </w:divBdr>
      <w:divsChild>
        <w:div w:id="1000425258">
          <w:marLeft w:val="0"/>
          <w:marRight w:val="0"/>
          <w:marTop w:val="0"/>
          <w:marBottom w:val="0"/>
          <w:divBdr>
            <w:top w:val="none" w:sz="0" w:space="0" w:color="auto"/>
            <w:left w:val="none" w:sz="0" w:space="0" w:color="auto"/>
            <w:bottom w:val="none" w:sz="0" w:space="0" w:color="auto"/>
            <w:right w:val="none" w:sz="0" w:space="0" w:color="auto"/>
          </w:divBdr>
          <w:divsChild>
            <w:div w:id="1051660854">
              <w:marLeft w:val="0"/>
              <w:marRight w:val="0"/>
              <w:marTop w:val="0"/>
              <w:marBottom w:val="0"/>
              <w:divBdr>
                <w:top w:val="none" w:sz="0" w:space="0" w:color="auto"/>
                <w:left w:val="none" w:sz="0" w:space="0" w:color="auto"/>
                <w:bottom w:val="none" w:sz="0" w:space="0" w:color="auto"/>
                <w:right w:val="none" w:sz="0" w:space="0" w:color="auto"/>
              </w:divBdr>
              <w:divsChild>
                <w:div w:id="6226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219166">
      <w:bodyDiv w:val="1"/>
      <w:marLeft w:val="0"/>
      <w:marRight w:val="0"/>
      <w:marTop w:val="0"/>
      <w:marBottom w:val="0"/>
      <w:divBdr>
        <w:top w:val="none" w:sz="0" w:space="0" w:color="auto"/>
        <w:left w:val="none" w:sz="0" w:space="0" w:color="auto"/>
        <w:bottom w:val="none" w:sz="0" w:space="0" w:color="auto"/>
        <w:right w:val="none" w:sz="0" w:space="0" w:color="auto"/>
      </w:divBdr>
    </w:div>
    <w:div w:id="934903790">
      <w:bodyDiv w:val="1"/>
      <w:marLeft w:val="0"/>
      <w:marRight w:val="0"/>
      <w:marTop w:val="0"/>
      <w:marBottom w:val="0"/>
      <w:divBdr>
        <w:top w:val="none" w:sz="0" w:space="0" w:color="auto"/>
        <w:left w:val="none" w:sz="0" w:space="0" w:color="auto"/>
        <w:bottom w:val="none" w:sz="0" w:space="0" w:color="auto"/>
        <w:right w:val="none" w:sz="0" w:space="0" w:color="auto"/>
      </w:divBdr>
      <w:divsChild>
        <w:div w:id="647901742">
          <w:marLeft w:val="0"/>
          <w:marRight w:val="0"/>
          <w:marTop w:val="0"/>
          <w:marBottom w:val="0"/>
          <w:divBdr>
            <w:top w:val="none" w:sz="0" w:space="0" w:color="auto"/>
            <w:left w:val="none" w:sz="0" w:space="0" w:color="auto"/>
            <w:bottom w:val="none" w:sz="0" w:space="0" w:color="auto"/>
            <w:right w:val="none" w:sz="0" w:space="0" w:color="auto"/>
          </w:divBdr>
          <w:divsChild>
            <w:div w:id="1337534204">
              <w:marLeft w:val="0"/>
              <w:marRight w:val="0"/>
              <w:marTop w:val="0"/>
              <w:marBottom w:val="0"/>
              <w:divBdr>
                <w:top w:val="none" w:sz="0" w:space="0" w:color="auto"/>
                <w:left w:val="none" w:sz="0" w:space="0" w:color="auto"/>
                <w:bottom w:val="none" w:sz="0" w:space="0" w:color="auto"/>
                <w:right w:val="none" w:sz="0" w:space="0" w:color="auto"/>
              </w:divBdr>
              <w:divsChild>
                <w:div w:id="2022773920">
                  <w:marLeft w:val="0"/>
                  <w:marRight w:val="0"/>
                  <w:marTop w:val="0"/>
                  <w:marBottom w:val="0"/>
                  <w:divBdr>
                    <w:top w:val="none" w:sz="0" w:space="0" w:color="auto"/>
                    <w:left w:val="none" w:sz="0" w:space="0" w:color="auto"/>
                    <w:bottom w:val="none" w:sz="0" w:space="0" w:color="auto"/>
                    <w:right w:val="none" w:sz="0" w:space="0" w:color="auto"/>
                  </w:divBdr>
                  <w:divsChild>
                    <w:div w:id="1030762919">
                      <w:marLeft w:val="0"/>
                      <w:marRight w:val="0"/>
                      <w:marTop w:val="0"/>
                      <w:marBottom w:val="0"/>
                      <w:divBdr>
                        <w:top w:val="none" w:sz="0" w:space="0" w:color="auto"/>
                        <w:left w:val="none" w:sz="0" w:space="0" w:color="auto"/>
                        <w:bottom w:val="none" w:sz="0" w:space="0" w:color="auto"/>
                        <w:right w:val="none" w:sz="0" w:space="0" w:color="auto"/>
                      </w:divBdr>
                      <w:divsChild>
                        <w:div w:id="11864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3642777">
      <w:bodyDiv w:val="1"/>
      <w:marLeft w:val="0"/>
      <w:marRight w:val="0"/>
      <w:marTop w:val="0"/>
      <w:marBottom w:val="0"/>
      <w:divBdr>
        <w:top w:val="none" w:sz="0" w:space="0" w:color="auto"/>
        <w:left w:val="none" w:sz="0" w:space="0" w:color="auto"/>
        <w:bottom w:val="none" w:sz="0" w:space="0" w:color="auto"/>
        <w:right w:val="none" w:sz="0" w:space="0" w:color="auto"/>
      </w:divBdr>
      <w:divsChild>
        <w:div w:id="634526600">
          <w:marLeft w:val="0"/>
          <w:marRight w:val="0"/>
          <w:marTop w:val="0"/>
          <w:marBottom w:val="0"/>
          <w:divBdr>
            <w:top w:val="none" w:sz="0" w:space="0" w:color="auto"/>
            <w:left w:val="none" w:sz="0" w:space="0" w:color="auto"/>
            <w:bottom w:val="none" w:sz="0" w:space="0" w:color="auto"/>
            <w:right w:val="none" w:sz="0" w:space="0" w:color="auto"/>
          </w:divBdr>
          <w:divsChild>
            <w:div w:id="95098966">
              <w:marLeft w:val="0"/>
              <w:marRight w:val="0"/>
              <w:marTop w:val="0"/>
              <w:marBottom w:val="0"/>
              <w:divBdr>
                <w:top w:val="none" w:sz="0" w:space="0" w:color="auto"/>
                <w:left w:val="none" w:sz="0" w:space="0" w:color="auto"/>
                <w:bottom w:val="none" w:sz="0" w:space="0" w:color="auto"/>
                <w:right w:val="none" w:sz="0" w:space="0" w:color="auto"/>
              </w:divBdr>
              <w:divsChild>
                <w:div w:id="195516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918376">
      <w:bodyDiv w:val="1"/>
      <w:marLeft w:val="0"/>
      <w:marRight w:val="0"/>
      <w:marTop w:val="0"/>
      <w:marBottom w:val="0"/>
      <w:divBdr>
        <w:top w:val="none" w:sz="0" w:space="0" w:color="auto"/>
        <w:left w:val="none" w:sz="0" w:space="0" w:color="auto"/>
        <w:bottom w:val="none" w:sz="0" w:space="0" w:color="auto"/>
        <w:right w:val="none" w:sz="0" w:space="0" w:color="auto"/>
      </w:divBdr>
      <w:divsChild>
        <w:div w:id="1482192189">
          <w:marLeft w:val="0"/>
          <w:marRight w:val="0"/>
          <w:marTop w:val="0"/>
          <w:marBottom w:val="0"/>
          <w:divBdr>
            <w:top w:val="none" w:sz="0" w:space="0" w:color="auto"/>
            <w:left w:val="none" w:sz="0" w:space="0" w:color="auto"/>
            <w:bottom w:val="none" w:sz="0" w:space="0" w:color="auto"/>
            <w:right w:val="none" w:sz="0" w:space="0" w:color="auto"/>
          </w:divBdr>
          <w:divsChild>
            <w:div w:id="1996496347">
              <w:marLeft w:val="0"/>
              <w:marRight w:val="0"/>
              <w:marTop w:val="0"/>
              <w:marBottom w:val="0"/>
              <w:divBdr>
                <w:top w:val="none" w:sz="0" w:space="0" w:color="auto"/>
                <w:left w:val="none" w:sz="0" w:space="0" w:color="auto"/>
                <w:bottom w:val="none" w:sz="0" w:space="0" w:color="auto"/>
                <w:right w:val="none" w:sz="0" w:space="0" w:color="auto"/>
              </w:divBdr>
              <w:divsChild>
                <w:div w:id="15872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189858">
      <w:bodyDiv w:val="1"/>
      <w:marLeft w:val="0"/>
      <w:marRight w:val="0"/>
      <w:marTop w:val="0"/>
      <w:marBottom w:val="0"/>
      <w:divBdr>
        <w:top w:val="none" w:sz="0" w:space="0" w:color="auto"/>
        <w:left w:val="none" w:sz="0" w:space="0" w:color="auto"/>
        <w:bottom w:val="none" w:sz="0" w:space="0" w:color="auto"/>
        <w:right w:val="none" w:sz="0" w:space="0" w:color="auto"/>
      </w:divBdr>
    </w:div>
    <w:div w:id="1334719340">
      <w:bodyDiv w:val="1"/>
      <w:marLeft w:val="0"/>
      <w:marRight w:val="0"/>
      <w:marTop w:val="0"/>
      <w:marBottom w:val="0"/>
      <w:divBdr>
        <w:top w:val="none" w:sz="0" w:space="0" w:color="auto"/>
        <w:left w:val="none" w:sz="0" w:space="0" w:color="auto"/>
        <w:bottom w:val="none" w:sz="0" w:space="0" w:color="auto"/>
        <w:right w:val="none" w:sz="0" w:space="0" w:color="auto"/>
      </w:divBdr>
    </w:div>
    <w:div w:id="1359967789">
      <w:bodyDiv w:val="1"/>
      <w:marLeft w:val="0"/>
      <w:marRight w:val="0"/>
      <w:marTop w:val="0"/>
      <w:marBottom w:val="0"/>
      <w:divBdr>
        <w:top w:val="none" w:sz="0" w:space="0" w:color="auto"/>
        <w:left w:val="none" w:sz="0" w:space="0" w:color="auto"/>
        <w:bottom w:val="none" w:sz="0" w:space="0" w:color="auto"/>
        <w:right w:val="none" w:sz="0" w:space="0" w:color="auto"/>
      </w:divBdr>
    </w:div>
    <w:div w:id="1360855612">
      <w:bodyDiv w:val="1"/>
      <w:marLeft w:val="0"/>
      <w:marRight w:val="0"/>
      <w:marTop w:val="0"/>
      <w:marBottom w:val="0"/>
      <w:divBdr>
        <w:top w:val="none" w:sz="0" w:space="0" w:color="auto"/>
        <w:left w:val="none" w:sz="0" w:space="0" w:color="auto"/>
        <w:bottom w:val="none" w:sz="0" w:space="0" w:color="auto"/>
        <w:right w:val="none" w:sz="0" w:space="0" w:color="auto"/>
      </w:divBdr>
    </w:div>
    <w:div w:id="1403869333">
      <w:bodyDiv w:val="1"/>
      <w:marLeft w:val="0"/>
      <w:marRight w:val="0"/>
      <w:marTop w:val="0"/>
      <w:marBottom w:val="0"/>
      <w:divBdr>
        <w:top w:val="none" w:sz="0" w:space="0" w:color="auto"/>
        <w:left w:val="none" w:sz="0" w:space="0" w:color="auto"/>
        <w:bottom w:val="none" w:sz="0" w:space="0" w:color="auto"/>
        <w:right w:val="none" w:sz="0" w:space="0" w:color="auto"/>
      </w:divBdr>
      <w:divsChild>
        <w:div w:id="1426732618">
          <w:marLeft w:val="0"/>
          <w:marRight w:val="0"/>
          <w:marTop w:val="0"/>
          <w:marBottom w:val="0"/>
          <w:divBdr>
            <w:top w:val="none" w:sz="0" w:space="0" w:color="auto"/>
            <w:left w:val="none" w:sz="0" w:space="0" w:color="auto"/>
            <w:bottom w:val="none" w:sz="0" w:space="0" w:color="auto"/>
            <w:right w:val="none" w:sz="0" w:space="0" w:color="auto"/>
          </w:divBdr>
          <w:divsChild>
            <w:div w:id="733894764">
              <w:marLeft w:val="0"/>
              <w:marRight w:val="0"/>
              <w:marTop w:val="0"/>
              <w:marBottom w:val="0"/>
              <w:divBdr>
                <w:top w:val="none" w:sz="0" w:space="0" w:color="auto"/>
                <w:left w:val="none" w:sz="0" w:space="0" w:color="auto"/>
                <w:bottom w:val="none" w:sz="0" w:space="0" w:color="auto"/>
                <w:right w:val="none" w:sz="0" w:space="0" w:color="auto"/>
              </w:divBdr>
              <w:divsChild>
                <w:div w:id="102852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049350">
      <w:bodyDiv w:val="1"/>
      <w:marLeft w:val="0"/>
      <w:marRight w:val="0"/>
      <w:marTop w:val="0"/>
      <w:marBottom w:val="0"/>
      <w:divBdr>
        <w:top w:val="none" w:sz="0" w:space="0" w:color="auto"/>
        <w:left w:val="none" w:sz="0" w:space="0" w:color="auto"/>
        <w:bottom w:val="none" w:sz="0" w:space="0" w:color="auto"/>
        <w:right w:val="none" w:sz="0" w:space="0" w:color="auto"/>
      </w:divBdr>
    </w:div>
    <w:div w:id="1558474392">
      <w:bodyDiv w:val="1"/>
      <w:marLeft w:val="0"/>
      <w:marRight w:val="0"/>
      <w:marTop w:val="0"/>
      <w:marBottom w:val="0"/>
      <w:divBdr>
        <w:top w:val="none" w:sz="0" w:space="0" w:color="auto"/>
        <w:left w:val="none" w:sz="0" w:space="0" w:color="auto"/>
        <w:bottom w:val="none" w:sz="0" w:space="0" w:color="auto"/>
        <w:right w:val="none" w:sz="0" w:space="0" w:color="auto"/>
      </w:divBdr>
    </w:div>
    <w:div w:id="1638684906">
      <w:bodyDiv w:val="1"/>
      <w:marLeft w:val="0"/>
      <w:marRight w:val="0"/>
      <w:marTop w:val="0"/>
      <w:marBottom w:val="0"/>
      <w:divBdr>
        <w:top w:val="none" w:sz="0" w:space="0" w:color="auto"/>
        <w:left w:val="none" w:sz="0" w:space="0" w:color="auto"/>
        <w:bottom w:val="none" w:sz="0" w:space="0" w:color="auto"/>
        <w:right w:val="none" w:sz="0" w:space="0" w:color="auto"/>
      </w:divBdr>
    </w:div>
    <w:div w:id="1659572493">
      <w:bodyDiv w:val="1"/>
      <w:marLeft w:val="0"/>
      <w:marRight w:val="0"/>
      <w:marTop w:val="0"/>
      <w:marBottom w:val="0"/>
      <w:divBdr>
        <w:top w:val="none" w:sz="0" w:space="0" w:color="auto"/>
        <w:left w:val="none" w:sz="0" w:space="0" w:color="auto"/>
        <w:bottom w:val="none" w:sz="0" w:space="0" w:color="auto"/>
        <w:right w:val="none" w:sz="0" w:space="0" w:color="auto"/>
      </w:divBdr>
      <w:divsChild>
        <w:div w:id="59600372">
          <w:marLeft w:val="0"/>
          <w:marRight w:val="0"/>
          <w:marTop w:val="0"/>
          <w:marBottom w:val="0"/>
          <w:divBdr>
            <w:top w:val="none" w:sz="0" w:space="0" w:color="auto"/>
            <w:left w:val="none" w:sz="0" w:space="0" w:color="auto"/>
            <w:bottom w:val="none" w:sz="0" w:space="0" w:color="auto"/>
            <w:right w:val="none" w:sz="0" w:space="0" w:color="auto"/>
          </w:divBdr>
          <w:divsChild>
            <w:div w:id="273102882">
              <w:marLeft w:val="0"/>
              <w:marRight w:val="0"/>
              <w:marTop w:val="0"/>
              <w:marBottom w:val="0"/>
              <w:divBdr>
                <w:top w:val="none" w:sz="0" w:space="0" w:color="auto"/>
                <w:left w:val="none" w:sz="0" w:space="0" w:color="auto"/>
                <w:bottom w:val="none" w:sz="0" w:space="0" w:color="auto"/>
                <w:right w:val="none" w:sz="0" w:space="0" w:color="auto"/>
              </w:divBdr>
              <w:divsChild>
                <w:div w:id="14320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869923">
      <w:bodyDiv w:val="1"/>
      <w:marLeft w:val="0"/>
      <w:marRight w:val="0"/>
      <w:marTop w:val="0"/>
      <w:marBottom w:val="0"/>
      <w:divBdr>
        <w:top w:val="none" w:sz="0" w:space="0" w:color="auto"/>
        <w:left w:val="none" w:sz="0" w:space="0" w:color="auto"/>
        <w:bottom w:val="none" w:sz="0" w:space="0" w:color="auto"/>
        <w:right w:val="none" w:sz="0" w:space="0" w:color="auto"/>
      </w:divBdr>
      <w:divsChild>
        <w:div w:id="1907765267">
          <w:marLeft w:val="0"/>
          <w:marRight w:val="0"/>
          <w:marTop w:val="0"/>
          <w:marBottom w:val="0"/>
          <w:divBdr>
            <w:top w:val="none" w:sz="0" w:space="0" w:color="auto"/>
            <w:left w:val="none" w:sz="0" w:space="0" w:color="auto"/>
            <w:bottom w:val="none" w:sz="0" w:space="0" w:color="auto"/>
            <w:right w:val="none" w:sz="0" w:space="0" w:color="auto"/>
          </w:divBdr>
          <w:divsChild>
            <w:div w:id="1366559090">
              <w:marLeft w:val="0"/>
              <w:marRight w:val="0"/>
              <w:marTop w:val="0"/>
              <w:marBottom w:val="0"/>
              <w:divBdr>
                <w:top w:val="none" w:sz="0" w:space="0" w:color="auto"/>
                <w:left w:val="none" w:sz="0" w:space="0" w:color="auto"/>
                <w:bottom w:val="none" w:sz="0" w:space="0" w:color="auto"/>
                <w:right w:val="none" w:sz="0" w:space="0" w:color="auto"/>
              </w:divBdr>
              <w:divsChild>
                <w:div w:id="82432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537590">
      <w:bodyDiv w:val="1"/>
      <w:marLeft w:val="0"/>
      <w:marRight w:val="0"/>
      <w:marTop w:val="0"/>
      <w:marBottom w:val="0"/>
      <w:divBdr>
        <w:top w:val="none" w:sz="0" w:space="0" w:color="auto"/>
        <w:left w:val="none" w:sz="0" w:space="0" w:color="auto"/>
        <w:bottom w:val="none" w:sz="0" w:space="0" w:color="auto"/>
        <w:right w:val="none" w:sz="0" w:space="0" w:color="auto"/>
      </w:divBdr>
      <w:divsChild>
        <w:div w:id="1391879865">
          <w:marLeft w:val="0"/>
          <w:marRight w:val="0"/>
          <w:marTop w:val="0"/>
          <w:marBottom w:val="0"/>
          <w:divBdr>
            <w:top w:val="none" w:sz="0" w:space="0" w:color="auto"/>
            <w:left w:val="none" w:sz="0" w:space="0" w:color="auto"/>
            <w:bottom w:val="none" w:sz="0" w:space="0" w:color="auto"/>
            <w:right w:val="none" w:sz="0" w:space="0" w:color="auto"/>
          </w:divBdr>
          <w:divsChild>
            <w:div w:id="1567447205">
              <w:marLeft w:val="0"/>
              <w:marRight w:val="0"/>
              <w:marTop w:val="0"/>
              <w:marBottom w:val="0"/>
              <w:divBdr>
                <w:top w:val="none" w:sz="0" w:space="0" w:color="auto"/>
                <w:left w:val="none" w:sz="0" w:space="0" w:color="auto"/>
                <w:bottom w:val="none" w:sz="0" w:space="0" w:color="auto"/>
                <w:right w:val="none" w:sz="0" w:space="0" w:color="auto"/>
              </w:divBdr>
              <w:divsChild>
                <w:div w:id="47514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230896">
      <w:bodyDiv w:val="1"/>
      <w:marLeft w:val="0"/>
      <w:marRight w:val="0"/>
      <w:marTop w:val="0"/>
      <w:marBottom w:val="0"/>
      <w:divBdr>
        <w:top w:val="none" w:sz="0" w:space="0" w:color="auto"/>
        <w:left w:val="none" w:sz="0" w:space="0" w:color="auto"/>
        <w:bottom w:val="none" w:sz="0" w:space="0" w:color="auto"/>
        <w:right w:val="none" w:sz="0" w:space="0" w:color="auto"/>
      </w:divBdr>
      <w:divsChild>
        <w:div w:id="1355882765">
          <w:marLeft w:val="0"/>
          <w:marRight w:val="0"/>
          <w:marTop w:val="0"/>
          <w:marBottom w:val="0"/>
          <w:divBdr>
            <w:top w:val="none" w:sz="0" w:space="0" w:color="auto"/>
            <w:left w:val="none" w:sz="0" w:space="0" w:color="auto"/>
            <w:bottom w:val="none" w:sz="0" w:space="0" w:color="auto"/>
            <w:right w:val="none" w:sz="0" w:space="0" w:color="auto"/>
          </w:divBdr>
          <w:divsChild>
            <w:div w:id="728502135">
              <w:marLeft w:val="0"/>
              <w:marRight w:val="0"/>
              <w:marTop w:val="0"/>
              <w:marBottom w:val="0"/>
              <w:divBdr>
                <w:top w:val="none" w:sz="0" w:space="0" w:color="auto"/>
                <w:left w:val="none" w:sz="0" w:space="0" w:color="auto"/>
                <w:bottom w:val="none" w:sz="0" w:space="0" w:color="auto"/>
                <w:right w:val="none" w:sz="0" w:space="0" w:color="auto"/>
              </w:divBdr>
              <w:divsChild>
                <w:div w:id="170151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427911">
      <w:bodyDiv w:val="1"/>
      <w:marLeft w:val="0"/>
      <w:marRight w:val="0"/>
      <w:marTop w:val="0"/>
      <w:marBottom w:val="0"/>
      <w:divBdr>
        <w:top w:val="none" w:sz="0" w:space="0" w:color="auto"/>
        <w:left w:val="none" w:sz="0" w:space="0" w:color="auto"/>
        <w:bottom w:val="none" w:sz="0" w:space="0" w:color="auto"/>
        <w:right w:val="none" w:sz="0" w:space="0" w:color="auto"/>
      </w:divBdr>
    </w:div>
    <w:div w:id="1896695460">
      <w:bodyDiv w:val="1"/>
      <w:marLeft w:val="0"/>
      <w:marRight w:val="0"/>
      <w:marTop w:val="0"/>
      <w:marBottom w:val="0"/>
      <w:divBdr>
        <w:top w:val="none" w:sz="0" w:space="0" w:color="auto"/>
        <w:left w:val="none" w:sz="0" w:space="0" w:color="auto"/>
        <w:bottom w:val="none" w:sz="0" w:space="0" w:color="auto"/>
        <w:right w:val="none" w:sz="0" w:space="0" w:color="auto"/>
      </w:divBdr>
      <w:divsChild>
        <w:div w:id="915168045">
          <w:marLeft w:val="0"/>
          <w:marRight w:val="0"/>
          <w:marTop w:val="0"/>
          <w:marBottom w:val="0"/>
          <w:divBdr>
            <w:top w:val="none" w:sz="0" w:space="0" w:color="auto"/>
            <w:left w:val="none" w:sz="0" w:space="0" w:color="auto"/>
            <w:bottom w:val="none" w:sz="0" w:space="0" w:color="auto"/>
            <w:right w:val="none" w:sz="0" w:space="0" w:color="auto"/>
          </w:divBdr>
          <w:divsChild>
            <w:div w:id="875192732">
              <w:marLeft w:val="0"/>
              <w:marRight w:val="0"/>
              <w:marTop w:val="0"/>
              <w:marBottom w:val="0"/>
              <w:divBdr>
                <w:top w:val="none" w:sz="0" w:space="0" w:color="auto"/>
                <w:left w:val="none" w:sz="0" w:space="0" w:color="auto"/>
                <w:bottom w:val="none" w:sz="0" w:space="0" w:color="auto"/>
                <w:right w:val="none" w:sz="0" w:space="0" w:color="auto"/>
              </w:divBdr>
              <w:divsChild>
                <w:div w:id="33882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667781">
      <w:bodyDiv w:val="1"/>
      <w:marLeft w:val="0"/>
      <w:marRight w:val="0"/>
      <w:marTop w:val="0"/>
      <w:marBottom w:val="0"/>
      <w:divBdr>
        <w:top w:val="none" w:sz="0" w:space="0" w:color="auto"/>
        <w:left w:val="none" w:sz="0" w:space="0" w:color="auto"/>
        <w:bottom w:val="none" w:sz="0" w:space="0" w:color="auto"/>
        <w:right w:val="none" w:sz="0" w:space="0" w:color="auto"/>
      </w:divBdr>
      <w:divsChild>
        <w:div w:id="1754010762">
          <w:marLeft w:val="0"/>
          <w:marRight w:val="0"/>
          <w:marTop w:val="0"/>
          <w:marBottom w:val="0"/>
          <w:divBdr>
            <w:top w:val="none" w:sz="0" w:space="0" w:color="auto"/>
            <w:left w:val="none" w:sz="0" w:space="0" w:color="auto"/>
            <w:bottom w:val="none" w:sz="0" w:space="0" w:color="auto"/>
            <w:right w:val="none" w:sz="0" w:space="0" w:color="auto"/>
          </w:divBdr>
          <w:divsChild>
            <w:div w:id="1899435893">
              <w:marLeft w:val="0"/>
              <w:marRight w:val="0"/>
              <w:marTop w:val="0"/>
              <w:marBottom w:val="0"/>
              <w:divBdr>
                <w:top w:val="none" w:sz="0" w:space="0" w:color="auto"/>
                <w:left w:val="none" w:sz="0" w:space="0" w:color="auto"/>
                <w:bottom w:val="none" w:sz="0" w:space="0" w:color="auto"/>
                <w:right w:val="none" w:sz="0" w:space="0" w:color="auto"/>
              </w:divBdr>
              <w:divsChild>
                <w:div w:id="109563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684983">
      <w:bodyDiv w:val="1"/>
      <w:marLeft w:val="0"/>
      <w:marRight w:val="0"/>
      <w:marTop w:val="0"/>
      <w:marBottom w:val="0"/>
      <w:divBdr>
        <w:top w:val="none" w:sz="0" w:space="0" w:color="auto"/>
        <w:left w:val="none" w:sz="0" w:space="0" w:color="auto"/>
        <w:bottom w:val="none" w:sz="0" w:space="0" w:color="auto"/>
        <w:right w:val="none" w:sz="0" w:space="0" w:color="auto"/>
      </w:divBdr>
      <w:divsChild>
        <w:div w:id="1890916914">
          <w:marLeft w:val="0"/>
          <w:marRight w:val="0"/>
          <w:marTop w:val="0"/>
          <w:marBottom w:val="0"/>
          <w:divBdr>
            <w:top w:val="none" w:sz="0" w:space="0" w:color="auto"/>
            <w:left w:val="none" w:sz="0" w:space="0" w:color="auto"/>
            <w:bottom w:val="none" w:sz="0" w:space="0" w:color="auto"/>
            <w:right w:val="none" w:sz="0" w:space="0" w:color="auto"/>
          </w:divBdr>
          <w:divsChild>
            <w:div w:id="1447653884">
              <w:marLeft w:val="0"/>
              <w:marRight w:val="0"/>
              <w:marTop w:val="0"/>
              <w:marBottom w:val="0"/>
              <w:divBdr>
                <w:top w:val="none" w:sz="0" w:space="0" w:color="auto"/>
                <w:left w:val="none" w:sz="0" w:space="0" w:color="auto"/>
                <w:bottom w:val="none" w:sz="0" w:space="0" w:color="auto"/>
                <w:right w:val="none" w:sz="0" w:space="0" w:color="auto"/>
              </w:divBdr>
              <w:divsChild>
                <w:div w:id="123235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239840">
      <w:bodyDiv w:val="1"/>
      <w:marLeft w:val="0"/>
      <w:marRight w:val="0"/>
      <w:marTop w:val="0"/>
      <w:marBottom w:val="0"/>
      <w:divBdr>
        <w:top w:val="none" w:sz="0" w:space="0" w:color="auto"/>
        <w:left w:val="none" w:sz="0" w:space="0" w:color="auto"/>
        <w:bottom w:val="none" w:sz="0" w:space="0" w:color="auto"/>
        <w:right w:val="none" w:sz="0" w:space="0" w:color="auto"/>
      </w:divBdr>
      <w:divsChild>
        <w:div w:id="536045685">
          <w:marLeft w:val="0"/>
          <w:marRight w:val="0"/>
          <w:marTop w:val="0"/>
          <w:marBottom w:val="0"/>
          <w:divBdr>
            <w:top w:val="none" w:sz="0" w:space="0" w:color="auto"/>
            <w:left w:val="none" w:sz="0" w:space="0" w:color="auto"/>
            <w:bottom w:val="none" w:sz="0" w:space="0" w:color="auto"/>
            <w:right w:val="none" w:sz="0" w:space="0" w:color="auto"/>
          </w:divBdr>
          <w:divsChild>
            <w:div w:id="482620140">
              <w:marLeft w:val="0"/>
              <w:marRight w:val="0"/>
              <w:marTop w:val="0"/>
              <w:marBottom w:val="0"/>
              <w:divBdr>
                <w:top w:val="none" w:sz="0" w:space="0" w:color="auto"/>
                <w:left w:val="none" w:sz="0" w:space="0" w:color="auto"/>
                <w:bottom w:val="none" w:sz="0" w:space="0" w:color="auto"/>
                <w:right w:val="none" w:sz="0" w:space="0" w:color="auto"/>
              </w:divBdr>
              <w:divsChild>
                <w:div w:id="7925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187546">
      <w:bodyDiv w:val="1"/>
      <w:marLeft w:val="0"/>
      <w:marRight w:val="0"/>
      <w:marTop w:val="0"/>
      <w:marBottom w:val="0"/>
      <w:divBdr>
        <w:top w:val="none" w:sz="0" w:space="0" w:color="auto"/>
        <w:left w:val="none" w:sz="0" w:space="0" w:color="auto"/>
        <w:bottom w:val="none" w:sz="0" w:space="0" w:color="auto"/>
        <w:right w:val="none" w:sz="0" w:space="0" w:color="auto"/>
      </w:divBdr>
      <w:divsChild>
        <w:div w:id="1926649115">
          <w:marLeft w:val="0"/>
          <w:marRight w:val="0"/>
          <w:marTop w:val="0"/>
          <w:marBottom w:val="0"/>
          <w:divBdr>
            <w:top w:val="none" w:sz="0" w:space="0" w:color="auto"/>
            <w:left w:val="none" w:sz="0" w:space="0" w:color="auto"/>
            <w:bottom w:val="none" w:sz="0" w:space="0" w:color="auto"/>
            <w:right w:val="none" w:sz="0" w:space="0" w:color="auto"/>
          </w:divBdr>
          <w:divsChild>
            <w:div w:id="1135373312">
              <w:marLeft w:val="0"/>
              <w:marRight w:val="0"/>
              <w:marTop w:val="0"/>
              <w:marBottom w:val="0"/>
              <w:divBdr>
                <w:top w:val="none" w:sz="0" w:space="0" w:color="auto"/>
                <w:left w:val="none" w:sz="0" w:space="0" w:color="auto"/>
                <w:bottom w:val="none" w:sz="0" w:space="0" w:color="auto"/>
                <w:right w:val="none" w:sz="0" w:space="0" w:color="auto"/>
              </w:divBdr>
              <w:divsChild>
                <w:div w:id="13287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567505">
      <w:bodyDiv w:val="1"/>
      <w:marLeft w:val="0"/>
      <w:marRight w:val="0"/>
      <w:marTop w:val="0"/>
      <w:marBottom w:val="0"/>
      <w:divBdr>
        <w:top w:val="none" w:sz="0" w:space="0" w:color="auto"/>
        <w:left w:val="none" w:sz="0" w:space="0" w:color="auto"/>
        <w:bottom w:val="none" w:sz="0" w:space="0" w:color="auto"/>
        <w:right w:val="none" w:sz="0" w:space="0" w:color="auto"/>
      </w:divBdr>
      <w:divsChild>
        <w:div w:id="1422291292">
          <w:marLeft w:val="0"/>
          <w:marRight w:val="0"/>
          <w:marTop w:val="0"/>
          <w:marBottom w:val="0"/>
          <w:divBdr>
            <w:top w:val="none" w:sz="0" w:space="0" w:color="auto"/>
            <w:left w:val="none" w:sz="0" w:space="0" w:color="auto"/>
            <w:bottom w:val="none" w:sz="0" w:space="0" w:color="auto"/>
            <w:right w:val="none" w:sz="0" w:space="0" w:color="auto"/>
          </w:divBdr>
          <w:divsChild>
            <w:div w:id="668560280">
              <w:marLeft w:val="0"/>
              <w:marRight w:val="0"/>
              <w:marTop w:val="0"/>
              <w:marBottom w:val="0"/>
              <w:divBdr>
                <w:top w:val="none" w:sz="0" w:space="0" w:color="auto"/>
                <w:left w:val="none" w:sz="0" w:space="0" w:color="auto"/>
                <w:bottom w:val="none" w:sz="0" w:space="0" w:color="auto"/>
                <w:right w:val="none" w:sz="0" w:space="0" w:color="auto"/>
              </w:divBdr>
              <w:divsChild>
                <w:div w:id="24060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emf"/><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2.tiff"/><Relationship Id="rId10" Type="http://schemas.openxmlformats.org/officeDocument/2006/relationships/endnotes" Target="endnotes.xml"/><Relationship Id="rId19"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footer" Target="footer1.xml"/><Relationship Id="rId27" Type="http://schemas.microsoft.com/office/2016/09/relationships/commentsIds" Target="commentsIds.xml"/></Relationships>
</file>

<file path=word/_rels/endnotes.xml.rels><?xml version="1.0" encoding="UTF-8" standalone="yes"?>
<Relationships xmlns="http://schemas.openxmlformats.org/package/2006/relationships"><Relationship Id="rId13" Type="http://schemas.openxmlformats.org/officeDocument/2006/relationships/hyperlink" Target="https://en.wikipedia.org/wiki/World_Zionist_Organization" TargetMode="External"/><Relationship Id="rId18" Type="http://schemas.openxmlformats.org/officeDocument/2006/relationships/hyperlink" Target="https://peacenow.org.il/en/involvement-of-kkl-jnf-and-the-settlement-division-in-the-settlements" TargetMode="External"/><Relationship Id="rId26" Type="http://schemas.openxmlformats.org/officeDocument/2006/relationships/hyperlink" Target="https://www.theguardian.com/world/2018/may/25/israel-court-approves-razing-khan-al-ahmar-bedouin-village?CMP=Share_iOSApp_Other" TargetMode="External"/><Relationship Id="rId39" Type="http://schemas.openxmlformats.org/officeDocument/2006/relationships/hyperlink" Target="about:blank" TargetMode="External"/><Relationship Id="rId21" Type="http://schemas.openxmlformats.org/officeDocument/2006/relationships/hyperlink" Target="https://unispal.un.org/UNISPAL.NSF/0/6DE6DA8A650B4C3B852560DF00663826" TargetMode="External"/><Relationship Id="rId34" Type="http://schemas.openxmlformats.org/officeDocument/2006/relationships/hyperlink" Target="https://www.ir-amim.org.il/en/node/2639" TargetMode="External"/><Relationship Id="rId42" Type="http://schemas.openxmlformats.org/officeDocument/2006/relationships/hyperlink" Target="about:blank" TargetMode="External"/><Relationship Id="rId47" Type="http://schemas.openxmlformats.org/officeDocument/2006/relationships/hyperlink" Target="https://www.breakingisraelnews.com/94394/arab-squatters-evicted-jerusalem-house-owned-%20jews-140-years/" TargetMode="External"/><Relationship Id="rId50" Type="http://schemas.openxmlformats.org/officeDocument/2006/relationships/hyperlink" Target="https://www.adalah.org/en/content/view/9751" TargetMode="External"/><Relationship Id="rId55" Type="http://schemas.openxmlformats.org/officeDocument/2006/relationships/hyperlink" Target="http://www.jnf.org/work-we-do/blueprint-negev/" TargetMode="External"/><Relationship Id="rId63" Type="http://schemas.openxmlformats.org/officeDocument/2006/relationships/hyperlink" Target="https://www.jstor.org/stable/20097953?seq=1" TargetMode="External"/><Relationship Id="rId68" Type="http://schemas.openxmlformats.org/officeDocument/2006/relationships/hyperlink" Target="http://www.hlrn.org/img/publications/Naqab%20FFM%20report%202010.zip" TargetMode="External"/><Relationship Id="rId76" Type="http://schemas.openxmlformats.org/officeDocument/2006/relationships/hyperlink" Target="https://www.jpost.com/israel-news/coronavirus-unemployment-crisis-deepening-for-arab-israelis-629133" TargetMode="External"/><Relationship Id="rId7" Type="http://schemas.openxmlformats.org/officeDocument/2006/relationships/hyperlink" Target="https://journals.openedition.org/revdh/7613" TargetMode="External"/><Relationship Id="rId71" Type="http://schemas.openxmlformats.org/officeDocument/2006/relationships/hyperlink" Target="http://www.jpost.com/Israel-News/Sinking-Kinneret-to-get-infusion-of-desalinated-water-518501.%202018http:/mideastenvironment.apps01.yorku.ca/2018/01/sinking-kinneret-to-get-infusion-of-desalinated-water-jerusalem-post/" TargetMode="External"/><Relationship Id="rId2" Type="http://schemas.openxmlformats.org/officeDocument/2006/relationships/hyperlink" Target="https://www.un.org/en/genocideprevention/documents/atrocity-crimes/Doc.2_Charter%20of%20IMT%201945.pdf" TargetMode="External"/><Relationship Id="rId16" Type="http://schemas.openxmlformats.org/officeDocument/2006/relationships/hyperlink" Target="https://www.sandiegouniontribune.com/sdut-ml-israel-disputed-deal-062009-2009jun20-story.html" TargetMode="External"/><Relationship Id="rId29" Type="http://schemas.openxmlformats.org/officeDocument/2006/relationships/hyperlink" Target="http://www.israelnationalnews.com/News/News.aspx/231125" TargetMode="External"/><Relationship Id="rId11" Type="http://schemas.openxmlformats.org/officeDocument/2006/relationships/hyperlink" Target="http://www.hic-mena.org/documents/Submission.pdf" TargetMode="External"/><Relationship Id="rId24" Type="http://schemas.openxmlformats.org/officeDocument/2006/relationships/hyperlink" Target="https://undocs.org/S/RES/465(1980)" TargetMode="External"/><Relationship Id="rId32" Type="http://schemas.openxmlformats.org/officeDocument/2006/relationships/hyperlink" Target="https://www.haaretz.com/israel-news/.premium-court-orders-dozens-of-palestinians-out-of-jerusalem-homes-to-make-way-for-settlers-1.9157320?fbclid=IwAR0mYKz5G6geY-1D4hLoy2GYnavPak8Uixe2cPp4HNMgpuw0v7UCgBnAy7I" TargetMode="External"/><Relationship Id="rId37" Type="http://schemas.openxmlformats.org/officeDocument/2006/relationships/hyperlink" Target="https://www.alhaq.org/advocacy/6106.html" TargetMode="External"/><Relationship Id="rId40" Type="http://schemas.openxmlformats.org/officeDocument/2006/relationships/hyperlink" Target="https://www.eaford.org/site/assets/files/1023/without_prejudice_vol_i_no1.pdf" TargetMode="External"/><Relationship Id="rId45" Type="http://schemas.openxmlformats.org/officeDocument/2006/relationships/hyperlink" Target="about:blank" TargetMode="External"/><Relationship Id="rId53" Type="http://schemas.openxmlformats.org/officeDocument/2006/relationships/hyperlink" Target="https://www.al-monitor.com/originals/2021/04/palestinian-village-becomes-prison-residents" TargetMode="External"/><Relationship Id="rId58" Type="http://schemas.openxmlformats.org/officeDocument/2006/relationships/hyperlink" Target="https://versa.cardozo.yu.edu/opinions/ornan-v-ministry-interior" TargetMode="External"/><Relationship Id="rId66" Type="http://schemas.openxmlformats.org/officeDocument/2006/relationships/hyperlink" Target="https://documents-dds-ny.un.org/doc/UNDOC/GEN/G93/142/08/PDF/G9314208.pdf?OpenElement" TargetMode="External"/><Relationship Id="rId74" Type="http://schemas.openxmlformats.org/officeDocument/2006/relationships/hyperlink" Target="https://www.counterpunch.org/2017/04/28/middle-eastern-surgeon-speaks-about-ecology-of-war/" TargetMode="External"/><Relationship Id="rId79" Type="http://schemas.openxmlformats.org/officeDocument/2006/relationships/hyperlink" Target="http://www.hlrn.org/img/documents/The_Vancouver_Declaration_19761.pdf" TargetMode="External"/><Relationship Id="rId5" Type="http://schemas.openxmlformats.org/officeDocument/2006/relationships/hyperlink" Target="https://legal.un.org/ilc/guide/7_4.shtml" TargetMode="External"/><Relationship Id="rId61" Type="http://schemas.openxmlformats.org/officeDocument/2006/relationships/hyperlink" Target="https://www.cesr.org/sites/default/files/Palestine.RighttoWater.Factsheet.pdf" TargetMode="External"/><Relationship Id="rId10" Type="http://schemas.openxmlformats.org/officeDocument/2006/relationships/hyperlink" Target="http://avalon.law.yale.edu/imt/indict4.asp" TargetMode="External"/><Relationship Id="rId19" Type="http://schemas.openxmlformats.org/officeDocument/2006/relationships/hyperlink" Target="https://icahd.org/2020/03/14/categories-of-home-demolitions/" TargetMode="External"/><Relationship Id="rId31" Type="http://schemas.openxmlformats.org/officeDocument/2006/relationships/hyperlink" Target="https://www.theguardian.com/world/2008/nov/10/israelandthepalestinians" TargetMode="External"/><Relationship Id="rId44" Type="http://schemas.openxmlformats.org/officeDocument/2006/relationships/hyperlink" Target="about:blank" TargetMode="External"/><Relationship Id="rId52" Type="http://schemas.openxmlformats.org/officeDocument/2006/relationships/hyperlink" Target="https://www.hrw.org/news/2020/05/12/israel-discriminatory-land-policies-hem-palestinians" TargetMode="External"/><Relationship Id="rId60" Type="http://schemas.openxmlformats.org/officeDocument/2006/relationships/hyperlink" Target="http://www.alhaq.org/cached_uploads/download/alhaq_files/images/stories/PDF/2012/Al%20Haq%20-factsheet%20_no_1_Geography%20and%20Hydrology_66.2013.pdf" TargetMode="External"/><Relationship Id="rId65" Type="http://schemas.openxmlformats.org/officeDocument/2006/relationships/hyperlink" Target="https://www.humanitarianresponse.info/sites/www.humanitarianresponse.info/files/documents/files/hno_20_12_2017_final.pdf" TargetMode="External"/><Relationship Id="rId73" Type="http://schemas.openxmlformats.org/officeDocument/2006/relationships/hyperlink" Target="https://unsco.unmissions.org/sites/default/files/gaza_10_years_later_-_11_july_2017.pdf" TargetMode="External"/><Relationship Id="rId78" Type="http://schemas.openxmlformats.org/officeDocument/2006/relationships/hyperlink" Target="http://www.jafi.org.il/about/abroad.htm" TargetMode="External"/><Relationship Id="rId81" Type="http://schemas.openxmlformats.org/officeDocument/2006/relationships/hyperlink" Target="https://www.unrwa.org/resources/about-unrwa/unrwa-fields-operations-map-2020" TargetMode="External"/><Relationship Id="rId4" Type="http://schemas.openxmlformats.org/officeDocument/2006/relationships/hyperlink" Target="https://www.un.org/en/genocideprevention/documents/atrocity-crimes/Doc.3_1946%20Tokyo%20Charter.pdf" TargetMode="External"/><Relationship Id="rId9" Type="http://schemas.openxmlformats.org/officeDocument/2006/relationships/hyperlink" Target="http://avalon.law.yale.edu/imt/judsent.asp" TargetMode="External"/><Relationship Id="rId14" Type="http://schemas.openxmlformats.org/officeDocument/2006/relationships/hyperlink" Target="http://www.wzo.org.il/home/movement/first.htm" TargetMode="External"/><Relationship Id="rId22" Type="http://schemas.openxmlformats.org/officeDocument/2006/relationships/hyperlink" Target="https://undocs.org/S/RES/478(1980)" TargetMode="External"/><Relationship Id="rId27" Type="http://schemas.openxmlformats.org/officeDocument/2006/relationships/hyperlink" Target="http://www.middleeasteye.net/news/israels-top-court-okays-demolition-palestinian-village-1074858494" TargetMode="External"/><Relationship Id="rId30" Type="http://schemas.openxmlformats.org/officeDocument/2006/relationships/hyperlink" Target="https://law.acri.org.il/en/2018/06/27/changing-the-method-for-appointing-legal-advisers/" TargetMode="External"/><Relationship Id="rId35" Type="http://schemas.openxmlformats.org/officeDocument/2006/relationships/hyperlink" Target="https://legal.un.org/ilc/texts/instruments/english/commentaries/7_4_1996.pdf" TargetMode="External"/><Relationship Id="rId43" Type="http://schemas.openxmlformats.org/officeDocument/2006/relationships/hyperlink" Target="about:blank" TargetMode="External"/><Relationship Id="rId48" Type="http://schemas.openxmlformats.org/officeDocument/2006/relationships/hyperlink" Target="https://undocs.org/CERD/C/ISR/CO/17-19" TargetMode="External"/><Relationship Id="rId56" Type="http://schemas.openxmlformats.org/officeDocument/2006/relationships/hyperlink" Target="https://www.jewishvirtuallibrary.org/tahal" TargetMode="External"/><Relationship Id="rId64" Type="http://schemas.openxmlformats.org/officeDocument/2006/relationships/hyperlink" Target="https://www.unicef.org/stories/unicef-seawater-desalination-plant-helps-head-gaza-water-crisis" TargetMode="External"/><Relationship Id="rId69" Type="http://schemas.openxmlformats.org/officeDocument/2006/relationships/hyperlink" Target="https://www.researchgate.net/publication/43244516_Managing_trans_-_boundary_waters_for_human_development" TargetMode="External"/><Relationship Id="rId77" Type="http://schemas.openxmlformats.org/officeDocument/2006/relationships/hyperlink" Target="https://www.france24.com/en/live-news/20210513-arabs-of-israel-minority-with-deep-seated-grievances" TargetMode="External"/><Relationship Id="rId8" Type="http://schemas.openxmlformats.org/officeDocument/2006/relationships/hyperlink" Target="http://avalon.law.yale.edu/imt/chap16_part07.asp" TargetMode="External"/><Relationship Id="rId51" Type="http://schemas.openxmlformats.org/officeDocument/2006/relationships/hyperlink" Target="https://www.adalah.org/en/content/view/10299" TargetMode="External"/><Relationship Id="rId72" Type="http://schemas.openxmlformats.org/officeDocument/2006/relationships/hyperlink" Target="https://thenextweb.com/syndication/2017/07/05/desalination-nation-israel-helping-world-fight-water-shortage/" TargetMode="External"/><Relationship Id="rId80" Type="http://schemas.openxmlformats.org/officeDocument/2006/relationships/hyperlink" Target="http://hdr.undp.org/sites/default/files/reports/267/hdr06-complete.pdf" TargetMode="External"/><Relationship Id="rId3" Type="http://schemas.openxmlformats.org/officeDocument/2006/relationships/hyperlink" Target="https://www.un.org/en/genocideprevention/documents/atrocity-crimes/Doc.2_Charter%20of%20IMT%201945.pdf" TargetMode="External"/><Relationship Id="rId12" Type="http://schemas.openxmlformats.org/officeDocument/2006/relationships/hyperlink" Target="http://scholarship.law.wm.edu/wmlr/vol9/iss3/3" TargetMode="External"/><Relationship Id="rId17" Type="http://schemas.openxmlformats.org/officeDocument/2006/relationships/hyperlink" Target="https://www.haaretz.com/.premium-what-will-wzo-do-with-nis-130m-1.5318862" TargetMode="External"/><Relationship Id="rId25" Type="http://schemas.openxmlformats.org/officeDocument/2006/relationships/hyperlink" Target="https://www.un.org/unispal/document/palestinian-family-evicted-from-its-home-in-east-jerusalem-ocha-article/" TargetMode="External"/><Relationship Id="rId33" Type="http://schemas.openxmlformats.org/officeDocument/2006/relationships/hyperlink" Target="https://www.aljazeera.com/news/2021/5/1/what-is-happening-in-occupied-east-jerusalems-sheikh-jarrah" TargetMode="External"/><Relationship Id="rId38" Type="http://schemas.openxmlformats.org/officeDocument/2006/relationships/hyperlink" Target="https://www.alhaq.org/advocacy/6359.html" TargetMode="External"/><Relationship Id="rId46" Type="http://schemas.openxmlformats.org/officeDocument/2006/relationships/hyperlink" Target="https://www.jpost.com/Local-Israel/In-Jerusalem/The-land-is-whose-land" TargetMode="External"/><Relationship Id="rId59" Type="http://schemas.openxmlformats.org/officeDocument/2006/relationships/hyperlink" Target="https://web.law.columbia.edu/open-university-project/curricula/citizenshipnationalityisrael-palestine" TargetMode="External"/><Relationship Id="rId67" Type="http://schemas.openxmlformats.org/officeDocument/2006/relationships/hyperlink" Target="https://www.jstor.org/stable/2537600?seq=1" TargetMode="External"/><Relationship Id="rId20" Type="http://schemas.openxmlformats.org/officeDocument/2006/relationships/hyperlink" Target="https://www.loc.gov/law/help/us-treaties/bevans/m-ust000001-0631.pdf" TargetMode="External"/><Relationship Id="rId41" Type="http://schemas.openxmlformats.org/officeDocument/2006/relationships/hyperlink" Target="https://www.jstor.org/stable/163931?seq=1" TargetMode="External"/><Relationship Id="rId54" Type="http://schemas.openxmlformats.org/officeDocument/2006/relationships/hyperlink" Target="https://www.alhaq.org/advocacy/6257.html" TargetMode="External"/><Relationship Id="rId62" Type="http://schemas.openxmlformats.org/officeDocument/2006/relationships/hyperlink" Target="https://www.cmimarseille.org/sites/default/files/newsite/the_impact_of_the_wall_on_water_access_and_human_migration_in_palestine2_0.pdf" TargetMode="External"/><Relationship Id="rId70" Type="http://schemas.openxmlformats.org/officeDocument/2006/relationships/hyperlink" Target="https://www.who.int/water_sanitation_health/diseases/WSH03.02.pdf?ua=1" TargetMode="External"/><Relationship Id="rId75" Type="http://schemas.openxmlformats.org/officeDocument/2006/relationships/hyperlink" Target="http://www.pcbs.gov.ps/portals/_pcbs/PressRelease/Press_En_15-2-2021-LF-en.pdf" TargetMode="External"/><Relationship Id="rId1" Type="http://schemas.openxmlformats.org/officeDocument/2006/relationships/hyperlink" Target="https://www.legal-tools.org/doc/bb0570/pdf/" TargetMode="External"/><Relationship Id="rId6" Type="http://schemas.openxmlformats.org/officeDocument/2006/relationships/hyperlink" Target="https://undocs.org/pdf?symbol=en/E/CN.4/Sub.2/1993/17" TargetMode="External"/><Relationship Id="rId15" Type="http://schemas.openxmlformats.org/officeDocument/2006/relationships/hyperlink" Target="http://www.wzo.org.il/home/movement/first.htm" TargetMode="External"/><Relationship Id="rId23" Type="http://schemas.openxmlformats.org/officeDocument/2006/relationships/hyperlink" Target="https://undocs.org/S/RES/2334(2016)" TargetMode="External"/><Relationship Id="rId28" Type="http://schemas.openxmlformats.org/officeDocument/2006/relationships/hyperlink" Target="https://www.timesofisrael.com/bill-seizing-high-courts-power-to-adjudicate-west-bank-land-disputes-advances/" TargetMode="External"/><Relationship Id="rId36" Type="http://schemas.openxmlformats.org/officeDocument/2006/relationships/hyperlink" Target="https://legal.un.org/ilc/texts/instruments/english/commentaries/7_4_1996.pdf" TargetMode="External"/><Relationship Id="rId49" Type="http://schemas.openxmlformats.org/officeDocument/2006/relationships/hyperlink" Target="https://www.adalah.org/uploads/uploads/Knesset_research_020519.pdf" TargetMode="External"/><Relationship Id="rId57" Type="http://schemas.openxmlformats.org/officeDocument/2006/relationships/hyperlink" Target="https://nakbafiles.org/nakba-casebook/tamarin-v-state-of-israel-ca-63070/"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C51350C3C2E40C7B851479DE8F27FC8"/>
        <w:category>
          <w:name w:val="General"/>
          <w:gallery w:val="placeholder"/>
        </w:category>
        <w:types>
          <w:type w:val="bbPlcHdr"/>
        </w:types>
        <w:behaviors>
          <w:behavior w:val="content"/>
        </w:behaviors>
        <w:guid w:val="{DBCDC149-DD32-48DD-855F-0ACAEA138FCD}"/>
      </w:docPartPr>
      <w:docPartBody>
        <w:p w:rsidR="00F52EA2" w:rsidRDefault="00690D74" w:rsidP="00690D74">
          <w:pPr>
            <w:pStyle w:val="8C51350C3C2E40C7B851479DE8F27FC8"/>
          </w:pPr>
          <w:r w:rsidRPr="00F50928">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Helvetica Neue">
    <w:charset w:val="00"/>
    <w:family w:val="auto"/>
    <w:pitch w:val="variable"/>
    <w:sig w:usb0="00000003" w:usb1="500079DB" w:usb2="00000010" w:usb3="00000000" w:csb0="00000001" w:csb1="00000000"/>
  </w:font>
  <w:font w:name="Consolas">
    <w:panose1 w:val="020B0609020204030204"/>
    <w:charset w:val="00"/>
    <w:family w:val="modern"/>
    <w:pitch w:val="fixed"/>
    <w:sig w:usb0="E00006FF" w:usb1="0000FCFF" w:usb2="00000001" w:usb3="00000000" w:csb0="0000019F" w:csb1="00000000"/>
  </w:font>
  <w:font w:name="Lucida Sans">
    <w:panose1 w:val="020B0602030504020204"/>
    <w:charset w:val="00"/>
    <w:family w:val="swiss"/>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0D74"/>
    <w:rsid w:val="002E5476"/>
    <w:rsid w:val="00344485"/>
    <w:rsid w:val="005156CC"/>
    <w:rsid w:val="00620D50"/>
    <w:rsid w:val="00690D74"/>
    <w:rsid w:val="009800D1"/>
    <w:rsid w:val="00D343D3"/>
    <w:rsid w:val="00D35EA7"/>
    <w:rsid w:val="00F52EA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90D74"/>
    <w:rPr>
      <w:color w:val="808080"/>
    </w:rPr>
  </w:style>
  <w:style w:type="paragraph" w:customStyle="1" w:styleId="8C51350C3C2E40C7B851479DE8F27FC8">
    <w:name w:val="8C51350C3C2E40C7B851479DE8F27FC8"/>
    <w:rsid w:val="00690D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3A0DB-1156-4F57-B5F7-BCB4ABCF9626}"/>
</file>

<file path=customXml/itemProps2.xml><?xml version="1.0" encoding="utf-8"?>
<ds:datastoreItem xmlns:ds="http://schemas.openxmlformats.org/officeDocument/2006/customXml" ds:itemID="{94E14274-DBAF-4E06-AA78-EE1FC78961D2}">
  <ds:schemaRefs>
    <ds:schemaRef ds:uri="http://schemas.microsoft.com/sharepoint/v3"/>
    <ds:schemaRef ds:uri="http://schemas.openxmlformats.org/package/2006/metadata/core-properties"/>
    <ds:schemaRef ds:uri="http://schemas.microsoft.com/office/2006/documentManagement/types"/>
    <ds:schemaRef ds:uri="http://schemas.microsoft.com/office/infopath/2007/PartnerControls"/>
    <ds:schemaRef ds:uri="http://purl.org/dc/terms/"/>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69986E48-00B5-487F-8AAE-0A07A0465838}">
  <ds:schemaRefs>
    <ds:schemaRef ds:uri="http://schemas.microsoft.com/sharepoint/v3/contenttype/forms"/>
  </ds:schemaRefs>
</ds:datastoreItem>
</file>

<file path=customXml/itemProps4.xml><?xml version="1.0" encoding="utf-8"?>
<ds:datastoreItem xmlns:ds="http://schemas.openxmlformats.org/officeDocument/2006/customXml" ds:itemID="{ADBEEB1B-46A5-4E7B-ACDB-FC04608C1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7035</Words>
  <Characters>41351</Characters>
  <Application>Microsoft Office Word</Application>
  <DocSecurity>0</DocSecurity>
  <Lines>344</Lines>
  <Paragraphs>96</Paragraphs>
  <ScaleCrop>false</ScaleCrop>
  <HeadingPairs>
    <vt:vector size="4" baseType="variant">
      <vt:variant>
        <vt:lpstr>Title</vt:lpstr>
      </vt:variant>
      <vt:variant>
        <vt:i4>1</vt:i4>
      </vt:variant>
      <vt:variant>
        <vt:lpstr/>
      </vt:variant>
      <vt:variant>
        <vt:i4>1</vt:i4>
      </vt:variant>
    </vt:vector>
  </HeadingPairs>
  <TitlesOfParts>
    <vt:vector size="2" baseType="lpstr">
      <vt:lpstr/>
      <vt:lpstr/>
    </vt:vector>
  </TitlesOfParts>
  <LinksUpToDate>false</LinksUpToDate>
  <CharactersWithSpaces>48290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2021-05-19T10:53:00Z</dcterms:created>
  <dcterms:modified xsi:type="dcterms:W3CDTF">2021-05-19T10:55:00Z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