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77" w:rsidRDefault="000F4777">
      <w:pPr>
        <w:pStyle w:val="Body"/>
        <w:tabs>
          <w:tab w:val="left" w:pos="720"/>
        </w:tabs>
        <w:jc w:val="both"/>
        <w:rPr>
          <w:rFonts w:ascii="Verdana"/>
          <w:i/>
          <w:iCs/>
          <w:sz w:val="20"/>
          <w:szCs w:val="20"/>
          <w:u w:color="000000"/>
          <w:lang w:val="en-US"/>
        </w:rPr>
      </w:pPr>
      <w:bookmarkStart w:id="0" w:name="_GoBack"/>
      <w:bookmarkEnd w:id="0"/>
    </w:p>
    <w:p w:rsidR="000F4777" w:rsidRDefault="000F4777">
      <w:pPr>
        <w:pStyle w:val="Body"/>
        <w:tabs>
          <w:tab w:val="left" w:pos="720"/>
        </w:tabs>
        <w:jc w:val="both"/>
        <w:rPr>
          <w:rFonts w:ascii="Verdana"/>
          <w:sz w:val="20"/>
          <w:szCs w:val="20"/>
          <w:u w:color="000000"/>
          <w:lang w:val="en-US"/>
        </w:rPr>
      </w:pPr>
    </w:p>
    <w:p w:rsidR="000F4777" w:rsidRDefault="00D72E8C">
      <w:pPr>
        <w:pStyle w:val="Heading"/>
      </w:pPr>
      <w:r>
        <w:t>Introduction</w:t>
      </w:r>
    </w:p>
    <w:p w:rsidR="000F4777" w:rsidRDefault="000F4777">
      <w:pPr>
        <w:pStyle w:val="Body"/>
      </w:pPr>
    </w:p>
    <w:p w:rsidR="000F4777" w:rsidRDefault="00D72E8C">
      <w:pPr>
        <w:pStyle w:val="NormalWeb"/>
        <w:spacing w:after="200"/>
        <w:rPr>
          <w:rFonts w:ascii="Verdana" w:eastAsia="Verdana" w:hAnsi="Verdana" w:cs="Verdana"/>
          <w:sz w:val="22"/>
          <w:szCs w:val="22"/>
        </w:rPr>
      </w:pPr>
      <w:r>
        <w:rPr>
          <w:rFonts w:ascii="Verdana"/>
          <w:sz w:val="22"/>
          <w:szCs w:val="22"/>
        </w:rPr>
        <w:t xml:space="preserve">National Shelter is the peak non-government </w:t>
      </w:r>
      <w:proofErr w:type="spellStart"/>
      <w:r>
        <w:rPr>
          <w:rFonts w:ascii="Verdana"/>
          <w:sz w:val="22"/>
          <w:szCs w:val="22"/>
        </w:rPr>
        <w:t>organisation</w:t>
      </w:r>
      <w:proofErr w:type="spellEnd"/>
      <w:r>
        <w:rPr>
          <w:rFonts w:ascii="Verdana"/>
          <w:sz w:val="22"/>
          <w:szCs w:val="22"/>
        </w:rPr>
        <w:t xml:space="preserve"> representing the interests of low-income housing consumers, and has been in operation since 1976. It comprises representatives of Shelter bodies in all states and territories, and also includes natio</w:t>
      </w:r>
      <w:r>
        <w:rPr>
          <w:rFonts w:ascii="Verdana"/>
          <w:sz w:val="22"/>
          <w:szCs w:val="22"/>
        </w:rPr>
        <w:t xml:space="preserve">nal bodies Homelessness Australia, the Community Housing Federation of Australia and the National Association of Tenant </w:t>
      </w:r>
      <w:proofErr w:type="spellStart"/>
      <w:r>
        <w:rPr>
          <w:rFonts w:ascii="Verdana"/>
          <w:sz w:val="22"/>
          <w:szCs w:val="22"/>
        </w:rPr>
        <w:t>Organisations</w:t>
      </w:r>
      <w:proofErr w:type="spellEnd"/>
      <w:r>
        <w:rPr>
          <w:rFonts w:ascii="Verdana"/>
          <w:sz w:val="22"/>
          <w:szCs w:val="22"/>
        </w:rPr>
        <w:t xml:space="preserve">. National Shelter cooperates closely with other national </w:t>
      </w:r>
      <w:proofErr w:type="spellStart"/>
      <w:r>
        <w:rPr>
          <w:rFonts w:ascii="Verdana"/>
          <w:sz w:val="22"/>
          <w:szCs w:val="22"/>
        </w:rPr>
        <w:t>organisations</w:t>
      </w:r>
      <w:proofErr w:type="spellEnd"/>
      <w:r>
        <w:rPr>
          <w:rFonts w:ascii="Verdana"/>
          <w:sz w:val="22"/>
          <w:szCs w:val="22"/>
        </w:rPr>
        <w:t xml:space="preserve"> such as the Australian Council of Social Service, a</w:t>
      </w:r>
      <w:r>
        <w:rPr>
          <w:rFonts w:ascii="Verdana"/>
          <w:sz w:val="22"/>
          <w:szCs w:val="22"/>
        </w:rPr>
        <w:t xml:space="preserve">nd is a member of the National Affordable Housing Summit Group, the Community </w:t>
      </w:r>
      <w:proofErr w:type="spellStart"/>
      <w:r>
        <w:rPr>
          <w:rFonts w:ascii="Verdana"/>
          <w:sz w:val="22"/>
          <w:szCs w:val="22"/>
        </w:rPr>
        <w:t>Organisations</w:t>
      </w:r>
      <w:proofErr w:type="spellEnd"/>
      <w:r>
        <w:rPr>
          <w:rFonts w:ascii="Verdana"/>
          <w:sz w:val="22"/>
          <w:szCs w:val="22"/>
        </w:rPr>
        <w:t xml:space="preserve"> Housing Alliance and the campaign group Australians for Affordable Housing. </w:t>
      </w:r>
    </w:p>
    <w:p w:rsidR="000F4777" w:rsidRDefault="00D72E8C">
      <w:pPr>
        <w:pStyle w:val="NormalWeb"/>
        <w:spacing w:after="200"/>
        <w:rPr>
          <w:rFonts w:ascii="Verdana" w:eastAsia="Verdana" w:hAnsi="Verdana" w:cs="Verdana"/>
          <w:sz w:val="22"/>
          <w:szCs w:val="22"/>
        </w:rPr>
      </w:pPr>
      <w:r>
        <w:rPr>
          <w:rFonts w:ascii="Verdana"/>
          <w:sz w:val="22"/>
          <w:szCs w:val="22"/>
        </w:rPr>
        <w:t xml:space="preserve">National Shelter advocates the development of a national housing policy based around </w:t>
      </w:r>
      <w:proofErr w:type="gramStart"/>
      <w:r>
        <w:rPr>
          <w:rFonts w:ascii="Verdana"/>
          <w:sz w:val="22"/>
          <w:szCs w:val="22"/>
        </w:rPr>
        <w:t>th</w:t>
      </w:r>
      <w:r>
        <w:rPr>
          <w:rFonts w:ascii="Verdana"/>
          <w:sz w:val="22"/>
          <w:szCs w:val="22"/>
        </w:rPr>
        <w:t>e</w:t>
      </w:r>
      <w:proofErr w:type="gramEnd"/>
      <w:r>
        <w:rPr>
          <w:rFonts w:ascii="Verdana"/>
          <w:sz w:val="22"/>
          <w:szCs w:val="22"/>
        </w:rPr>
        <w:t xml:space="preserve"> following principles:</w:t>
      </w:r>
    </w:p>
    <w:p w:rsidR="000F4777" w:rsidRDefault="00D72E8C">
      <w:pPr>
        <w:pStyle w:val="BodyAA"/>
        <w:numPr>
          <w:ilvl w:val="0"/>
          <w:numId w:val="3"/>
        </w:numPr>
        <w:tabs>
          <w:tab w:val="num" w:pos="709"/>
          <w:tab w:val="left" w:pos="737"/>
        </w:tabs>
        <w:spacing w:line="240" w:lineRule="auto"/>
        <w:ind w:left="709" w:hanging="312"/>
        <w:rPr>
          <w:rFonts w:ascii="Verdana" w:eastAsia="Verdana" w:hAnsi="Verdana" w:cs="Verdana"/>
        </w:rPr>
      </w:pPr>
      <w:r>
        <w:rPr>
          <w:rFonts w:ascii="Verdana"/>
        </w:rPr>
        <w:t xml:space="preserve">Housing is affordable. People on low and moderate incomes should not have to pay more than 30% of their income on housing costs. </w:t>
      </w:r>
    </w:p>
    <w:p w:rsidR="000F4777" w:rsidRDefault="00D72E8C">
      <w:pPr>
        <w:pStyle w:val="BodyAA"/>
        <w:numPr>
          <w:ilvl w:val="0"/>
          <w:numId w:val="4"/>
        </w:numPr>
        <w:tabs>
          <w:tab w:val="num" w:pos="709"/>
          <w:tab w:val="left" w:pos="737"/>
        </w:tabs>
        <w:spacing w:line="240" w:lineRule="auto"/>
        <w:ind w:left="709" w:hanging="312"/>
        <w:rPr>
          <w:rFonts w:ascii="Verdana" w:eastAsia="Verdana" w:hAnsi="Verdana" w:cs="Verdana"/>
        </w:rPr>
      </w:pPr>
      <w:r>
        <w:rPr>
          <w:rFonts w:ascii="Verdana"/>
        </w:rPr>
        <w:t>Housing is adequate. Everybody is entitled to housing that meets acceptable community standards of dec</w:t>
      </w:r>
      <w:r>
        <w:rPr>
          <w:rFonts w:ascii="Verdana"/>
        </w:rPr>
        <w:t xml:space="preserve">ency and their own needs. </w:t>
      </w:r>
    </w:p>
    <w:p w:rsidR="000F4777" w:rsidRDefault="00D72E8C">
      <w:pPr>
        <w:pStyle w:val="BodyAA"/>
        <w:numPr>
          <w:ilvl w:val="0"/>
          <w:numId w:val="5"/>
        </w:numPr>
        <w:tabs>
          <w:tab w:val="num" w:pos="709"/>
          <w:tab w:val="left" w:pos="737"/>
        </w:tabs>
        <w:spacing w:line="240" w:lineRule="auto"/>
        <w:ind w:left="709" w:hanging="312"/>
        <w:rPr>
          <w:rFonts w:ascii="Verdana" w:eastAsia="Verdana" w:hAnsi="Verdana" w:cs="Verdana"/>
        </w:rPr>
      </w:pPr>
      <w:r>
        <w:rPr>
          <w:rFonts w:ascii="Verdana"/>
        </w:rPr>
        <w:t xml:space="preserve">Housing is secure. People should not live under threat of loss of home and shelter. A secure base enables people to form constructive relationships, grow families and seek employment and community engagement. </w:t>
      </w:r>
    </w:p>
    <w:p w:rsidR="000F4777" w:rsidRDefault="00D72E8C">
      <w:pPr>
        <w:pStyle w:val="BodyAA"/>
        <w:numPr>
          <w:ilvl w:val="0"/>
          <w:numId w:val="6"/>
        </w:numPr>
        <w:tabs>
          <w:tab w:val="num" w:pos="709"/>
          <w:tab w:val="left" w:pos="737"/>
        </w:tabs>
        <w:spacing w:line="240" w:lineRule="auto"/>
        <w:ind w:left="709" w:hanging="312"/>
        <w:rPr>
          <w:rFonts w:ascii="Verdana" w:eastAsia="Verdana" w:hAnsi="Verdana" w:cs="Verdana"/>
        </w:rPr>
      </w:pPr>
      <w:r>
        <w:rPr>
          <w:rFonts w:ascii="Verdana"/>
        </w:rPr>
        <w:t>Housing is accessib</w:t>
      </w:r>
      <w:r>
        <w:rPr>
          <w:rFonts w:ascii="Verdana"/>
        </w:rPr>
        <w:t>le. People should be informed about available housing options and access to these should be free from discrimination. Most housing should be built to Universal Design principles.</w:t>
      </w:r>
    </w:p>
    <w:p w:rsidR="000F4777" w:rsidRDefault="00D72E8C">
      <w:pPr>
        <w:pStyle w:val="BodyAA"/>
        <w:numPr>
          <w:ilvl w:val="0"/>
          <w:numId w:val="7"/>
        </w:numPr>
        <w:tabs>
          <w:tab w:val="num" w:pos="709"/>
          <w:tab w:val="left" w:pos="737"/>
        </w:tabs>
        <w:spacing w:line="240" w:lineRule="auto"/>
        <w:ind w:left="709" w:hanging="312"/>
        <w:rPr>
          <w:rFonts w:ascii="Verdana" w:eastAsia="Verdana" w:hAnsi="Verdana" w:cs="Verdana"/>
        </w:rPr>
      </w:pPr>
      <w:r>
        <w:rPr>
          <w:rFonts w:ascii="Verdana"/>
        </w:rPr>
        <w:t>Housing is in the right place. It should be located close to services and sup</w:t>
      </w:r>
      <w:r>
        <w:rPr>
          <w:rFonts w:ascii="Verdana"/>
        </w:rPr>
        <w:t xml:space="preserve">port networks, to job opportunities, to transport networks and to social and leisure activities. </w:t>
      </w:r>
    </w:p>
    <w:p w:rsidR="000F4777" w:rsidRDefault="00D72E8C">
      <w:pPr>
        <w:pStyle w:val="BodyAA"/>
        <w:numPr>
          <w:ilvl w:val="0"/>
          <w:numId w:val="8"/>
        </w:numPr>
        <w:tabs>
          <w:tab w:val="num" w:pos="709"/>
          <w:tab w:val="left" w:pos="737"/>
        </w:tabs>
        <w:spacing w:line="240" w:lineRule="auto"/>
        <w:ind w:left="709" w:hanging="312"/>
        <w:rPr>
          <w:rFonts w:ascii="Verdana" w:eastAsia="Verdana" w:hAnsi="Verdana" w:cs="Verdana"/>
        </w:rPr>
      </w:pPr>
      <w:r>
        <w:rPr>
          <w:rFonts w:ascii="Verdana"/>
        </w:rPr>
        <w:t>Housing meets people's life-cycle needs. People have different housing needs at different stages of their lives, and housing should be available to match thes</w:t>
      </w:r>
      <w:r>
        <w:rPr>
          <w:rFonts w:ascii="Verdana"/>
        </w:rPr>
        <w:t>e changing needs.</w:t>
      </w:r>
    </w:p>
    <w:p w:rsidR="000F4777" w:rsidRDefault="00D72E8C">
      <w:pPr>
        <w:pStyle w:val="Heading"/>
        <w:keepLines/>
        <w:spacing w:before="480" w:line="276" w:lineRule="auto"/>
        <w:rPr>
          <w:rFonts w:ascii="Cambria" w:eastAsia="Cambria" w:hAnsi="Cambria" w:cs="Cambria"/>
          <w:color w:val="365F91"/>
          <w:sz w:val="28"/>
          <w:szCs w:val="28"/>
          <w:u w:color="365F91"/>
        </w:rPr>
      </w:pPr>
      <w:r>
        <w:rPr>
          <w:rFonts w:ascii="Cambria" w:eastAsia="Cambria" w:hAnsi="Cambria" w:cs="Cambria"/>
          <w:color w:val="365F91"/>
          <w:sz w:val="28"/>
          <w:szCs w:val="28"/>
          <w:u w:color="365F91"/>
        </w:rPr>
        <w:t>Australia’s Housing Challenges</w:t>
      </w:r>
    </w:p>
    <w:p w:rsidR="000F4777" w:rsidRDefault="00D72E8C">
      <w:pPr>
        <w:pStyle w:val="BodyAA"/>
        <w:shd w:val="clear" w:color="auto" w:fill="FFFFFF"/>
        <w:spacing w:line="240" w:lineRule="auto"/>
        <w:rPr>
          <w:rFonts w:ascii="Verdana" w:eastAsia="Verdana" w:hAnsi="Verdana" w:cs="Verdana"/>
        </w:rPr>
      </w:pPr>
      <w:r>
        <w:rPr>
          <w:rFonts w:ascii="Verdana"/>
        </w:rPr>
        <w:t xml:space="preserve">Australia faces a number of housing challenges, which could be </w:t>
      </w:r>
      <w:proofErr w:type="spellStart"/>
      <w:r>
        <w:rPr>
          <w:rFonts w:ascii="Verdana"/>
        </w:rPr>
        <w:t>summarised</w:t>
      </w:r>
      <w:proofErr w:type="spellEnd"/>
      <w:r>
        <w:rPr>
          <w:rFonts w:ascii="Verdana"/>
        </w:rPr>
        <w:t xml:space="preserve"> as follows.</w:t>
      </w:r>
    </w:p>
    <w:p w:rsidR="000F4777" w:rsidRDefault="00D72E8C">
      <w:pPr>
        <w:pStyle w:val="Heading6"/>
        <w:rPr>
          <w:b/>
          <w:bCs/>
        </w:rPr>
      </w:pPr>
      <w:r>
        <w:t>Housing is unaffordable for ordinary Australians</w:t>
      </w:r>
    </w:p>
    <w:p w:rsidR="000F4777" w:rsidRDefault="00D72E8C">
      <w:pPr>
        <w:pStyle w:val="BodyAA"/>
        <w:shd w:val="clear" w:color="auto" w:fill="FFFFFF"/>
        <w:spacing w:line="240" w:lineRule="auto"/>
        <w:rPr>
          <w:rFonts w:ascii="Verdana" w:eastAsia="Verdana" w:hAnsi="Verdana" w:cs="Verdana"/>
        </w:rPr>
      </w:pPr>
      <w:r>
        <w:rPr>
          <w:rFonts w:ascii="Verdana"/>
        </w:rPr>
        <w:t xml:space="preserve">The long-term trend is for housing prices to rise faster than incomes.  </w:t>
      </w:r>
      <w:r>
        <w:rPr>
          <w:rFonts w:ascii="Verdana"/>
        </w:rPr>
        <w:t>This has led to housing becoming increasingly unaffordable for Australian households, particularly younger people who are trying to enter the housing market.</w:t>
      </w:r>
    </w:p>
    <w:p w:rsidR="000F4777" w:rsidRDefault="00D72E8C">
      <w:pPr>
        <w:pStyle w:val="BodyAA"/>
        <w:spacing w:line="240" w:lineRule="auto"/>
        <w:rPr>
          <w:rFonts w:ascii="Verdana" w:eastAsia="Verdana" w:hAnsi="Verdana" w:cs="Verdana"/>
          <w:i/>
          <w:iCs/>
        </w:rPr>
      </w:pPr>
      <w:r>
        <w:rPr>
          <w:rFonts w:ascii="Verdana"/>
          <w:i/>
          <w:iCs/>
        </w:rPr>
        <w:t>Figure 1: House Prices and Incomes, 1960-2010</w:t>
      </w:r>
      <w:r>
        <w:rPr>
          <w:rFonts w:ascii="Verdana" w:eastAsia="Verdana" w:hAnsi="Verdana" w:cs="Verdana"/>
          <w:i/>
          <w:iCs/>
          <w:vertAlign w:val="superscript"/>
        </w:rPr>
        <w:footnoteReference w:id="2"/>
      </w:r>
    </w:p>
    <w:p w:rsidR="000F4777" w:rsidRDefault="00D72E8C">
      <w:pPr>
        <w:pStyle w:val="BodyAA"/>
        <w:spacing w:line="240" w:lineRule="auto"/>
        <w:rPr>
          <w:rFonts w:ascii="Verdana" w:eastAsia="Verdana" w:hAnsi="Verdana" w:cs="Verdana"/>
        </w:rPr>
      </w:pPr>
      <w:r>
        <w:rPr>
          <w:rFonts w:ascii="Verdana" w:eastAsia="Verdana" w:hAnsi="Verdana" w:cs="Verdana"/>
          <w:noProof/>
          <w:lang w:val="en-GB"/>
        </w:rPr>
        <w:lastRenderedPageBreak/>
        <w:drawing>
          <wp:inline distT="0" distB="0" distL="0" distR="0">
            <wp:extent cx="5257800" cy="31369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8">
                      <a:extLst/>
                    </a:blip>
                    <a:stretch>
                      <a:fillRect/>
                    </a:stretch>
                  </pic:blipFill>
                  <pic:spPr>
                    <a:xfrm>
                      <a:off x="0" y="0"/>
                      <a:ext cx="5257800" cy="3136900"/>
                    </a:xfrm>
                    <a:prstGeom prst="rect">
                      <a:avLst/>
                    </a:prstGeom>
                    <a:ln w="12700" cap="flat">
                      <a:noFill/>
                      <a:miter lim="400000"/>
                    </a:ln>
                    <a:effectLst/>
                  </pic:spPr>
                </pic:pic>
              </a:graphicData>
            </a:graphic>
          </wp:inline>
        </w:drawing>
      </w:r>
      <w:r>
        <w:rPr>
          <w:rFonts w:ascii="Verdana" w:eastAsia="Verdana" w:hAnsi="Verdana" w:cs="Verdana"/>
        </w:rPr>
        <w:br/>
      </w:r>
    </w:p>
    <w:p w:rsidR="000F4777" w:rsidRDefault="00D72E8C">
      <w:pPr>
        <w:pStyle w:val="BodyAA"/>
        <w:spacing w:line="240" w:lineRule="auto"/>
        <w:rPr>
          <w:rFonts w:ascii="Verdana" w:eastAsia="Verdana" w:hAnsi="Verdana" w:cs="Verdana"/>
        </w:rPr>
      </w:pPr>
      <w:r>
        <w:rPr>
          <w:rFonts w:ascii="Verdana"/>
        </w:rPr>
        <w:t xml:space="preserve">This long-term affordability problem goes hand </w:t>
      </w:r>
      <w:r>
        <w:rPr>
          <w:rFonts w:ascii="Verdana"/>
        </w:rPr>
        <w:t>in hand with a problem of supply, as documented by the National Housing Supply Council.  In 2012 the Council estimated a shortfall of approximately 228,000 dwellings, with this shortfall projected to increase to 369,000 in 2016-17 if nothing changes in our</w:t>
      </w:r>
      <w:r>
        <w:rPr>
          <w:rFonts w:ascii="Verdana"/>
        </w:rPr>
        <w:t xml:space="preserve"> housing market.</w:t>
      </w:r>
      <w:r>
        <w:rPr>
          <w:rFonts w:ascii="Verdana" w:eastAsia="Verdana" w:hAnsi="Verdana" w:cs="Verdana"/>
          <w:vertAlign w:val="superscript"/>
        </w:rPr>
        <w:footnoteReference w:id="3"/>
      </w:r>
      <w:r>
        <w:rPr>
          <w:rFonts w:ascii="Verdana"/>
        </w:rPr>
        <w:t xml:space="preserve">  However for low income renters the situation is worse, with a shortfall of 539,000 rental properties affordable </w:t>
      </w:r>
      <w:r>
        <w:rPr>
          <w:rFonts w:ascii="Verdana"/>
          <w:u w:val="single"/>
        </w:rPr>
        <w:t>and available</w:t>
      </w:r>
      <w:r>
        <w:rPr>
          <w:rFonts w:ascii="Verdana"/>
        </w:rPr>
        <w:t xml:space="preserve"> to low income renters.</w:t>
      </w:r>
      <w:r>
        <w:rPr>
          <w:rFonts w:ascii="Verdana" w:eastAsia="Verdana" w:hAnsi="Verdana" w:cs="Verdana"/>
          <w:vertAlign w:val="superscript"/>
        </w:rPr>
        <w:footnoteReference w:id="4"/>
      </w:r>
    </w:p>
    <w:p w:rsidR="000F4777" w:rsidRDefault="00D72E8C">
      <w:pPr>
        <w:pStyle w:val="Heading6"/>
        <w:rPr>
          <w:b/>
          <w:bCs/>
        </w:rPr>
      </w:pPr>
      <w:r>
        <w:br/>
      </w:r>
      <w:r>
        <w:t>Australia</w:t>
      </w:r>
      <w:r>
        <w:t>’</w:t>
      </w:r>
      <w:r>
        <w:t>s private rental market does not meet the needs of a large proportion of its</w:t>
      </w:r>
      <w:r>
        <w:t xml:space="preserve"> tenants</w:t>
      </w:r>
    </w:p>
    <w:p w:rsidR="000F4777" w:rsidRDefault="00D72E8C">
      <w:pPr>
        <w:pStyle w:val="BodyAA"/>
        <w:spacing w:line="240" w:lineRule="auto"/>
        <w:rPr>
          <w:rFonts w:ascii="Verdana" w:eastAsia="Verdana" w:hAnsi="Verdana" w:cs="Verdana"/>
        </w:rPr>
      </w:pPr>
      <w:r>
        <w:rPr>
          <w:rFonts w:ascii="Verdana"/>
        </w:rPr>
        <w:t>With the price of home ownership so high, many Australians will spend long periods, even their whole lives, as tenants in the private rental market.  However, the rental market is not currently set up to meet the needs of long term tenants.  Its i</w:t>
      </w:r>
      <w:r>
        <w:rPr>
          <w:rFonts w:ascii="Verdana"/>
        </w:rPr>
        <w:t>nvestors are mainly small household investors, and their attachment to the rental market is marginal.  This means they are unable to provide any level of security to their tenants, and the regulation of the industry is based around short-term tenancies and</w:t>
      </w:r>
      <w:r>
        <w:rPr>
          <w:rFonts w:ascii="Verdana"/>
        </w:rPr>
        <w:t xml:space="preserve"> short notice periods for eviction, even where there is no breach of tenancy conditions.</w:t>
      </w:r>
    </w:p>
    <w:p w:rsidR="000F4777" w:rsidRDefault="00D72E8C">
      <w:pPr>
        <w:pStyle w:val="BodyAA"/>
        <w:spacing w:line="240" w:lineRule="auto"/>
        <w:rPr>
          <w:rFonts w:ascii="Verdana" w:eastAsia="Verdana" w:hAnsi="Verdana" w:cs="Verdana"/>
        </w:rPr>
      </w:pPr>
      <w:r>
        <w:rPr>
          <w:rFonts w:ascii="Verdana"/>
        </w:rPr>
        <w:t xml:space="preserve">In addition, the private rental market is not affordable for many households.  In 2009-10, approximately 513,000 lower income renters (in the lowest 40% of the income </w:t>
      </w:r>
      <w:r>
        <w:rPr>
          <w:rFonts w:ascii="Verdana"/>
        </w:rPr>
        <w:t xml:space="preserve">scale) were paying over 30% of their income in rent </w:t>
      </w:r>
      <w:r>
        <w:rPr>
          <w:rFonts w:hAnsi="Trebuchet MS"/>
        </w:rPr>
        <w:t xml:space="preserve">– </w:t>
      </w:r>
      <w:r>
        <w:rPr>
          <w:rFonts w:ascii="Verdana"/>
        </w:rPr>
        <w:t>this represents almost half of all lower income renters. 211,000 of these households were paying over 50% of their income in rent.</w:t>
      </w:r>
      <w:r>
        <w:rPr>
          <w:rFonts w:ascii="Verdana" w:eastAsia="Verdana" w:hAnsi="Verdana" w:cs="Verdana"/>
          <w:vertAlign w:val="superscript"/>
        </w:rPr>
        <w:footnoteReference w:id="5"/>
      </w:r>
    </w:p>
    <w:p w:rsidR="000F4777" w:rsidRDefault="00D72E8C">
      <w:pPr>
        <w:pStyle w:val="Heading6"/>
        <w:rPr>
          <w:b/>
          <w:bCs/>
        </w:rPr>
      </w:pPr>
      <w:r>
        <w:t>Australia</w:t>
      </w:r>
      <w:r w:rsidRPr="00D72E8C">
        <w:rPr>
          <w:lang w:val="en-GB"/>
        </w:rPr>
        <w:t>’</w:t>
      </w:r>
      <w:r>
        <w:t>s social housing system is overburdened</w:t>
      </w:r>
    </w:p>
    <w:p w:rsidR="000F4777" w:rsidRDefault="00D72E8C">
      <w:pPr>
        <w:pStyle w:val="BodyAA"/>
        <w:spacing w:line="240" w:lineRule="auto"/>
        <w:rPr>
          <w:rFonts w:ascii="Verdana" w:eastAsia="Verdana" w:hAnsi="Verdana" w:cs="Verdana"/>
        </w:rPr>
      </w:pPr>
      <w:r>
        <w:rPr>
          <w:rFonts w:ascii="Verdana"/>
        </w:rPr>
        <w:t>Despite population g</w:t>
      </w:r>
      <w:r>
        <w:rPr>
          <w:rFonts w:ascii="Verdana"/>
        </w:rPr>
        <w:t>rowth and decreasing housing affordability, Australia</w:t>
      </w:r>
      <w:r w:rsidRPr="00D72E8C">
        <w:rPr>
          <w:rFonts w:hAnsi="Trebuchet MS"/>
          <w:lang w:val="en-GB"/>
        </w:rPr>
        <w:t>’</w:t>
      </w:r>
      <w:r>
        <w:rPr>
          <w:rFonts w:ascii="Verdana"/>
        </w:rPr>
        <w:t xml:space="preserve">s supply of social housing (housing owned by governments or not-for-profit </w:t>
      </w:r>
      <w:proofErr w:type="spellStart"/>
      <w:r>
        <w:rPr>
          <w:rFonts w:ascii="Verdana"/>
        </w:rPr>
        <w:t>organisations</w:t>
      </w:r>
      <w:proofErr w:type="spellEnd"/>
      <w:r>
        <w:rPr>
          <w:rFonts w:ascii="Verdana"/>
        </w:rPr>
        <w:t xml:space="preserve"> and rented at affordable rents to low income households) remained static in the decade to 2010, with funding for </w:t>
      </w:r>
      <w:r>
        <w:rPr>
          <w:rFonts w:ascii="Verdana"/>
        </w:rPr>
        <w:t>new housing struggling to keep pace with the disposal of stock that reached the end of its useful life.</w:t>
      </w:r>
    </w:p>
    <w:p w:rsidR="000F4777" w:rsidRDefault="00D72E8C">
      <w:pPr>
        <w:pStyle w:val="BodyAA"/>
        <w:spacing w:line="240" w:lineRule="auto"/>
        <w:rPr>
          <w:rFonts w:ascii="Verdana" w:eastAsia="Verdana" w:hAnsi="Verdana" w:cs="Verdana"/>
        </w:rPr>
      </w:pPr>
      <w:r>
        <w:rPr>
          <w:rFonts w:ascii="Verdana"/>
        </w:rPr>
        <w:t>In the face of strong demand for public housing, most housing authorities have tightened eligibility criteria and culled their waiting lists, as well as</w:t>
      </w:r>
      <w:r>
        <w:rPr>
          <w:rFonts w:ascii="Verdana"/>
        </w:rPr>
        <w:t xml:space="preserve"> changing allocation processes so that only the most disadvantaged get housed.  Nonetheless, waiting lists for social housing remain long.</w:t>
      </w:r>
    </w:p>
    <w:p w:rsidR="000F4777" w:rsidRDefault="00D72E8C">
      <w:pPr>
        <w:pStyle w:val="BodyAA"/>
        <w:spacing w:line="240" w:lineRule="auto"/>
        <w:rPr>
          <w:rFonts w:ascii="Verdana" w:eastAsia="Verdana" w:hAnsi="Verdana" w:cs="Verdana"/>
        </w:rPr>
      </w:pPr>
      <w:r>
        <w:rPr>
          <w:rFonts w:ascii="Verdana"/>
        </w:rPr>
        <w:t>The Social Housing Initiative from 2009-12 provided a much-needed boost to the supply of social housing.  However, th</w:t>
      </w:r>
      <w:r>
        <w:rPr>
          <w:rFonts w:ascii="Verdana"/>
        </w:rPr>
        <w:t xml:space="preserve">ere is no long-term funding strategy for social housing in Australia and </w:t>
      </w:r>
      <w:r>
        <w:rPr>
          <w:rFonts w:hAnsi="Trebuchet MS"/>
        </w:rPr>
        <w:t>“</w:t>
      </w:r>
      <w:r>
        <w:rPr>
          <w:rFonts w:ascii="Verdana"/>
        </w:rPr>
        <w:t>business as usual</w:t>
      </w:r>
      <w:r>
        <w:rPr>
          <w:rFonts w:hAnsi="Trebuchet MS"/>
        </w:rPr>
        <w:t xml:space="preserve">” </w:t>
      </w:r>
      <w:r>
        <w:rPr>
          <w:rFonts w:ascii="Verdana"/>
        </w:rPr>
        <w:t>will see a steady, ongoing decline in the stock of social housing as State and Territory Housing Departments are forced to sell housing to meet operational and mai</w:t>
      </w:r>
      <w:r>
        <w:rPr>
          <w:rFonts w:ascii="Verdana"/>
        </w:rPr>
        <w:t xml:space="preserve">ntenance costs.  </w:t>
      </w:r>
    </w:p>
    <w:p w:rsidR="000F4777" w:rsidRDefault="00D72E8C">
      <w:pPr>
        <w:pStyle w:val="BodyAA"/>
        <w:spacing w:line="240" w:lineRule="auto"/>
        <w:rPr>
          <w:rFonts w:ascii="Verdana" w:eastAsia="Verdana" w:hAnsi="Verdana" w:cs="Verdana"/>
        </w:rPr>
      </w:pPr>
      <w:r>
        <w:rPr>
          <w:rFonts w:ascii="Verdana"/>
        </w:rPr>
        <w:t>For example, in June 2012 the Queensland Department of Housing and Public Works estimated it had an underlying deficit of $54m in 2011-12, projected to increase to $140m by 2015-16.  This underlying deficit is largely the result of the ne</w:t>
      </w:r>
      <w:r>
        <w:rPr>
          <w:rFonts w:ascii="Verdana"/>
        </w:rPr>
        <w:t xml:space="preserve">ed to </w:t>
      </w:r>
      <w:proofErr w:type="spellStart"/>
      <w:r>
        <w:rPr>
          <w:rFonts w:ascii="Verdana"/>
        </w:rPr>
        <w:t>subsidise</w:t>
      </w:r>
      <w:proofErr w:type="spellEnd"/>
      <w:r>
        <w:rPr>
          <w:rFonts w:ascii="Verdana"/>
        </w:rPr>
        <w:t xml:space="preserve"> the rents of the low income tenants who make up the vast majority of social housing tenants </w:t>
      </w:r>
      <w:r>
        <w:rPr>
          <w:rFonts w:hAnsi="Trebuchet MS"/>
        </w:rPr>
        <w:t xml:space="preserve">– </w:t>
      </w:r>
      <w:r>
        <w:rPr>
          <w:rFonts w:ascii="Verdana"/>
        </w:rPr>
        <w:t>in Queensland the average rental subsidy per tenant was over $7,000 in 2009-10.</w:t>
      </w:r>
      <w:r>
        <w:rPr>
          <w:rFonts w:ascii="Verdana" w:eastAsia="Verdana" w:hAnsi="Verdana" w:cs="Verdana"/>
          <w:vertAlign w:val="superscript"/>
        </w:rPr>
        <w:footnoteReference w:id="6"/>
      </w:r>
      <w:r>
        <w:rPr>
          <w:rFonts w:ascii="Verdana"/>
        </w:rPr>
        <w:t xml:space="preserve"> In 2013 the NSW Auditor-General found an even more difficult situation for the NSW public housing system, with an expected operating deficit of $490m in 2012-13 and an extra $100m needing to spent on top of this to maintain housing at an appropriate stand</w:t>
      </w:r>
      <w:r>
        <w:rPr>
          <w:rFonts w:ascii="Verdana"/>
        </w:rPr>
        <w:t>ard.   The extremely low incomes of the majority of NSW public housing tenants meant that the expected rental income for the NSW public housing portfolio was on 42% of its market rental value.</w:t>
      </w:r>
      <w:r>
        <w:rPr>
          <w:rFonts w:ascii="Verdana" w:eastAsia="Verdana" w:hAnsi="Verdana" w:cs="Verdana"/>
          <w:vertAlign w:val="superscript"/>
        </w:rPr>
        <w:footnoteReference w:id="7"/>
      </w:r>
      <w:r>
        <w:rPr>
          <w:rFonts w:ascii="Verdana"/>
        </w:rPr>
        <w:t xml:space="preserve"> </w:t>
      </w:r>
    </w:p>
    <w:p w:rsidR="000F4777" w:rsidRDefault="00D72E8C">
      <w:pPr>
        <w:pStyle w:val="BodyAA"/>
        <w:spacing w:line="240" w:lineRule="auto"/>
        <w:rPr>
          <w:rFonts w:ascii="Verdana" w:eastAsia="Verdana" w:hAnsi="Verdana" w:cs="Verdana"/>
        </w:rPr>
      </w:pPr>
      <w:r>
        <w:rPr>
          <w:rFonts w:ascii="Verdana"/>
        </w:rPr>
        <w:t>This data points to a social housing system that is not susta</w:t>
      </w:r>
      <w:r>
        <w:rPr>
          <w:rFonts w:ascii="Verdana"/>
        </w:rPr>
        <w:t>inable in its current form, and urgent reform is needed to put this system back on a sustainable footing.</w:t>
      </w:r>
    </w:p>
    <w:p w:rsidR="000F4777" w:rsidRDefault="00D72E8C">
      <w:pPr>
        <w:pStyle w:val="Heading6"/>
        <w:rPr>
          <w:b/>
          <w:bCs/>
        </w:rPr>
      </w:pPr>
      <w:r>
        <w:t>Too many Australians are homeless or in inadequate housing</w:t>
      </w:r>
    </w:p>
    <w:p w:rsidR="000F4777" w:rsidRDefault="00D72E8C">
      <w:pPr>
        <w:pStyle w:val="BodyAA"/>
        <w:spacing w:line="240" w:lineRule="auto"/>
        <w:rPr>
          <w:rFonts w:ascii="Verdana" w:eastAsia="Verdana" w:hAnsi="Verdana" w:cs="Verdana"/>
        </w:rPr>
      </w:pPr>
      <w:r>
        <w:rPr>
          <w:rFonts w:ascii="Verdana"/>
        </w:rPr>
        <w:t>One result of these pressures is that many Australians continue to be homeless.  Over 105,0</w:t>
      </w:r>
      <w:r>
        <w:rPr>
          <w:rFonts w:ascii="Verdana"/>
        </w:rPr>
        <w:t>00 were counted as homeless on census night in 2011, up from just over 89,000 in 2006.</w:t>
      </w:r>
      <w:r>
        <w:rPr>
          <w:rFonts w:ascii="Verdana" w:eastAsia="Verdana" w:hAnsi="Verdana" w:cs="Verdana"/>
          <w:vertAlign w:val="superscript"/>
        </w:rPr>
        <w:footnoteReference w:id="8"/>
      </w:r>
      <w:r>
        <w:rPr>
          <w:rFonts w:ascii="Verdana"/>
        </w:rPr>
        <w:t xml:space="preserve">  This figure probably underestimates the number of people affected by homelessness by a large margin </w:t>
      </w:r>
      <w:r>
        <w:rPr>
          <w:rFonts w:hAnsi="Trebuchet MS"/>
        </w:rPr>
        <w:t xml:space="preserve">– </w:t>
      </w:r>
      <w:r>
        <w:rPr>
          <w:rFonts w:ascii="Verdana"/>
        </w:rPr>
        <w:t>the Australian Institute of Health and Welfare reports that 244,0</w:t>
      </w:r>
      <w:r>
        <w:rPr>
          <w:rFonts w:ascii="Verdana"/>
        </w:rPr>
        <w:t>00 people sought help from specialist homelessness services in 2012-13.</w:t>
      </w:r>
      <w:r>
        <w:rPr>
          <w:rFonts w:ascii="Verdana" w:eastAsia="Verdana" w:hAnsi="Verdana" w:cs="Verdana"/>
          <w:vertAlign w:val="superscript"/>
        </w:rPr>
        <w:footnoteReference w:id="9"/>
      </w:r>
    </w:p>
    <w:p w:rsidR="000F4777" w:rsidRDefault="00D72E8C">
      <w:pPr>
        <w:pStyle w:val="BodyAA"/>
        <w:spacing w:line="240" w:lineRule="auto"/>
        <w:rPr>
          <w:rFonts w:ascii="Verdana" w:eastAsia="Verdana" w:hAnsi="Verdana" w:cs="Verdana"/>
        </w:rPr>
      </w:pPr>
      <w:r>
        <w:rPr>
          <w:rFonts w:ascii="Verdana"/>
        </w:rPr>
        <w:t>Despite recent injections of funds to improve homelessness services, these services are still struggling to meet the needs.  On an average day in 2009-10, over half the people who ask</w:t>
      </w:r>
      <w:r>
        <w:rPr>
          <w:rFonts w:ascii="Verdana"/>
        </w:rPr>
        <w:t>ed for crisis accommodation were not able to be accommodated, with an average of over 350 people per day turned away.</w:t>
      </w:r>
    </w:p>
    <w:p w:rsidR="000F4777" w:rsidRDefault="000F4777">
      <w:pPr>
        <w:pStyle w:val="Heading6"/>
        <w:rPr>
          <w:rFonts w:ascii="Verdana" w:eastAsia="Verdana" w:hAnsi="Verdana" w:cs="Verdana"/>
        </w:rPr>
      </w:pPr>
    </w:p>
    <w:p w:rsidR="000F4777" w:rsidRDefault="00D72E8C">
      <w:pPr>
        <w:pStyle w:val="Heading6"/>
      </w:pPr>
      <w:r>
        <w:t>Meeting the Challenges</w:t>
      </w:r>
    </w:p>
    <w:p w:rsidR="000F4777" w:rsidRDefault="00D72E8C">
      <w:pPr>
        <w:pStyle w:val="BodyAA"/>
        <w:spacing w:line="240" w:lineRule="auto"/>
        <w:rPr>
          <w:rFonts w:ascii="Verdana" w:eastAsia="Verdana" w:hAnsi="Verdana" w:cs="Verdana"/>
        </w:rPr>
      </w:pPr>
      <w:r>
        <w:rPr>
          <w:rFonts w:ascii="Verdana"/>
        </w:rPr>
        <w:t>Australians face a wide variety of individual housing circumstances and each of these requires a different kind of</w:t>
      </w:r>
      <w:r>
        <w:rPr>
          <w:rFonts w:ascii="Verdana"/>
        </w:rPr>
        <w:t xml:space="preserve"> response.  For most Australians, the current market provides a reasonable quality of housing at a price they can afford.  However, the substantial minority in housing stress need some form of support.  The type of support will vary according to their part</w:t>
      </w:r>
      <w:r>
        <w:rPr>
          <w:rFonts w:ascii="Verdana"/>
        </w:rPr>
        <w:t>icular circumstances.  This is illustrated in Figure 2 below.</w:t>
      </w:r>
    </w:p>
    <w:p w:rsidR="000F4777" w:rsidRDefault="00D72E8C">
      <w:pPr>
        <w:pStyle w:val="BodyAA"/>
        <w:spacing w:line="240" w:lineRule="auto"/>
        <w:rPr>
          <w:rFonts w:ascii="Verdana" w:eastAsia="Verdana" w:hAnsi="Verdana" w:cs="Verdana"/>
          <w:i/>
          <w:iCs/>
        </w:rPr>
      </w:pPr>
      <w:r>
        <w:rPr>
          <w:rFonts w:ascii="Verdana"/>
          <w:i/>
          <w:iCs/>
        </w:rPr>
        <w:t xml:space="preserve">Figure 2 </w:t>
      </w:r>
      <w:r>
        <w:rPr>
          <w:rFonts w:hAnsi="Trebuchet MS"/>
          <w:i/>
          <w:iCs/>
        </w:rPr>
        <w:t xml:space="preserve">– </w:t>
      </w:r>
      <w:r>
        <w:rPr>
          <w:rFonts w:ascii="Verdana"/>
          <w:i/>
          <w:iCs/>
        </w:rPr>
        <w:t>Matching Assistance to Need</w:t>
      </w:r>
      <w:r>
        <w:rPr>
          <w:rFonts w:ascii="Verdana" w:eastAsia="Verdana" w:hAnsi="Verdana" w:cs="Verdana"/>
          <w:i/>
          <w:iCs/>
          <w:vertAlign w:val="superscript"/>
        </w:rPr>
        <w:footnoteReference w:id="10"/>
      </w:r>
    </w:p>
    <w:p w:rsidR="000F4777" w:rsidRDefault="00D72E8C">
      <w:pPr>
        <w:pStyle w:val="BodyAA"/>
        <w:spacing w:line="240" w:lineRule="auto"/>
        <w:rPr>
          <w:rFonts w:ascii="Verdana" w:eastAsia="Verdana" w:hAnsi="Verdana" w:cs="Verdana"/>
        </w:rPr>
      </w:pPr>
      <w:r>
        <w:rPr>
          <w:rFonts w:ascii="Verdana" w:eastAsia="Verdana" w:hAnsi="Verdana" w:cs="Verdana"/>
          <w:noProof/>
          <w:lang w:val="en-GB"/>
        </w:rPr>
        <w:drawing>
          <wp:inline distT="0" distB="0" distL="0" distR="0">
            <wp:extent cx="5600700" cy="35718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jpeg"/>
                    <pic:cNvPicPr/>
                  </pic:nvPicPr>
                  <pic:blipFill>
                    <a:blip r:embed="rId9">
                      <a:extLst/>
                    </a:blip>
                    <a:stretch>
                      <a:fillRect/>
                    </a:stretch>
                  </pic:blipFill>
                  <pic:spPr>
                    <a:xfrm>
                      <a:off x="0" y="0"/>
                      <a:ext cx="5600700" cy="3571875"/>
                    </a:xfrm>
                    <a:prstGeom prst="rect">
                      <a:avLst/>
                    </a:prstGeom>
                    <a:ln w="12700" cap="flat">
                      <a:noFill/>
                      <a:miter lim="400000"/>
                    </a:ln>
                    <a:effectLst/>
                  </pic:spPr>
                </pic:pic>
              </a:graphicData>
            </a:graphic>
          </wp:inline>
        </w:drawing>
      </w:r>
    </w:p>
    <w:p w:rsidR="000F4777" w:rsidRDefault="00D72E8C">
      <w:pPr>
        <w:pStyle w:val="BodyAA"/>
        <w:spacing w:line="240" w:lineRule="auto"/>
        <w:rPr>
          <w:rFonts w:ascii="Verdana" w:eastAsia="Verdana" w:hAnsi="Verdana" w:cs="Verdana"/>
        </w:rPr>
      </w:pPr>
      <w:r>
        <w:rPr>
          <w:rFonts w:ascii="Verdana"/>
        </w:rPr>
        <w:t>Meeting Australia</w:t>
      </w:r>
      <w:r w:rsidRPr="00D72E8C">
        <w:rPr>
          <w:rFonts w:hAnsi="Trebuchet MS"/>
          <w:lang w:val="en-GB"/>
        </w:rPr>
        <w:t>’</w:t>
      </w:r>
      <w:r>
        <w:rPr>
          <w:rFonts w:ascii="Verdana"/>
        </w:rPr>
        <w:t>s housing challenges requires a concerted effort on a number of fronts, including taxation, social security, housing assistance, homel</w:t>
      </w:r>
      <w:r>
        <w:rPr>
          <w:rFonts w:ascii="Verdana"/>
        </w:rPr>
        <w:t>essness and urban planning.  This complex set of policies is represented in Figure 3.</w:t>
      </w:r>
    </w:p>
    <w:p w:rsidR="000F4777" w:rsidRDefault="00D72E8C">
      <w:pPr>
        <w:pStyle w:val="BodyB"/>
      </w:pPr>
      <w:r>
        <w:rPr>
          <w:rFonts w:ascii="Verdana" w:eastAsia="Verdana" w:hAnsi="Verdana" w:cs="Verdana"/>
          <w:i/>
          <w:iCs/>
        </w:rPr>
        <w:br w:type="page"/>
      </w:r>
    </w:p>
    <w:p w:rsidR="000F4777" w:rsidRDefault="000F4777">
      <w:pPr>
        <w:pStyle w:val="BodyB"/>
        <w:rPr>
          <w:rFonts w:ascii="Verdana" w:eastAsia="Verdana" w:hAnsi="Verdana" w:cs="Verdana"/>
          <w:i/>
          <w:iCs/>
        </w:rPr>
      </w:pPr>
    </w:p>
    <w:p w:rsidR="000F4777" w:rsidRDefault="000F4777">
      <w:pPr>
        <w:pStyle w:val="BodyB"/>
        <w:rPr>
          <w:rFonts w:ascii="Verdana" w:eastAsia="Verdana" w:hAnsi="Verdana" w:cs="Verdana"/>
          <w:i/>
          <w:iCs/>
        </w:rPr>
      </w:pPr>
    </w:p>
    <w:p w:rsidR="000F4777" w:rsidRDefault="00D72E8C">
      <w:pPr>
        <w:pStyle w:val="BodyAA"/>
        <w:spacing w:line="240" w:lineRule="auto"/>
        <w:rPr>
          <w:rFonts w:ascii="Verdana" w:eastAsia="Verdana" w:hAnsi="Verdana" w:cs="Verdana"/>
          <w:i/>
          <w:iCs/>
        </w:rPr>
      </w:pPr>
      <w:r>
        <w:rPr>
          <w:rFonts w:ascii="Verdana"/>
          <w:i/>
          <w:iCs/>
        </w:rPr>
        <w:t xml:space="preserve">Figure 3 </w:t>
      </w:r>
      <w:r>
        <w:rPr>
          <w:rFonts w:hAnsi="Trebuchet MS"/>
          <w:i/>
          <w:iCs/>
        </w:rPr>
        <w:t xml:space="preserve">– </w:t>
      </w:r>
      <w:r>
        <w:rPr>
          <w:rFonts w:ascii="Verdana"/>
          <w:i/>
          <w:iCs/>
        </w:rPr>
        <w:t>Meeting the Challenges</w:t>
      </w:r>
    </w:p>
    <w:p w:rsidR="000F4777" w:rsidRDefault="00D72E8C">
      <w:pPr>
        <w:pStyle w:val="BodyAA"/>
        <w:spacing w:line="240" w:lineRule="auto"/>
        <w:rPr>
          <w:rFonts w:ascii="Verdana" w:eastAsia="Verdana" w:hAnsi="Verdana" w:cs="Verdana"/>
          <w:i/>
          <w:iCs/>
        </w:rPr>
      </w:pPr>
      <w:r>
        <w:rPr>
          <w:rFonts w:ascii="Verdana" w:eastAsia="Verdana" w:hAnsi="Verdana" w:cs="Verdana"/>
          <w:noProof/>
          <w:lang w:val="en-GB"/>
        </w:rPr>
        <mc:AlternateContent>
          <mc:Choice Requires="wpg">
            <w:drawing>
              <wp:inline distT="0" distB="0" distL="0" distR="0">
                <wp:extent cx="5238756" cy="3095619"/>
                <wp:effectExtent l="0" t="0" r="0" b="0"/>
                <wp:docPr id="1073741843" name="officeArt object"/>
                <wp:cNvGraphicFramePr/>
                <a:graphic xmlns:a="http://schemas.openxmlformats.org/drawingml/2006/main">
                  <a:graphicData uri="http://schemas.microsoft.com/office/word/2010/wordprocessingGroup">
                    <wpg:wgp>
                      <wpg:cNvGrpSpPr/>
                      <wpg:grpSpPr>
                        <a:xfrm>
                          <a:off x="0" y="0"/>
                          <a:ext cx="5238756" cy="3095619"/>
                          <a:chOff x="-1" y="0"/>
                          <a:chExt cx="5238755" cy="3095618"/>
                        </a:xfrm>
                      </wpg:grpSpPr>
                      <wpg:grpSp>
                        <wpg:cNvPr id="1073741829" name="Group 1073741829"/>
                        <wpg:cNvGrpSpPr/>
                        <wpg:grpSpPr>
                          <a:xfrm>
                            <a:off x="-2" y="0"/>
                            <a:ext cx="5238756" cy="665082"/>
                            <a:chOff x="-1" y="0"/>
                            <a:chExt cx="5238755" cy="665081"/>
                          </a:xfrm>
                        </wpg:grpSpPr>
                        <wps:wsp>
                          <wps:cNvPr id="1073741827" name="Shape 1073741827"/>
                          <wps:cNvSpPr/>
                          <wps:spPr>
                            <a:xfrm>
                              <a:off x="0" y="0"/>
                              <a:ext cx="5238270" cy="665082"/>
                            </a:xfrm>
                            <a:prstGeom prst="rect">
                              <a:avLst/>
                            </a:prstGeom>
                            <a:solidFill>
                              <a:srgbClr val="E8CFCF"/>
                            </a:solidFill>
                            <a:ln w="25400" cap="flat">
                              <a:solidFill>
                                <a:srgbClr val="FFFFFF"/>
                              </a:solidFill>
                              <a:prstDash val="solid"/>
                              <a:bevel/>
                            </a:ln>
                            <a:effectLst/>
                          </wps:spPr>
                          <wps:bodyPr/>
                        </wps:wsp>
                        <wps:wsp>
                          <wps:cNvPr id="1073741828" name="Shape 1073741828"/>
                          <wps:cNvSpPr/>
                          <wps:spPr>
                            <a:xfrm>
                              <a:off x="-2" y="67719"/>
                              <a:ext cx="5238756" cy="597363"/>
                            </a:xfrm>
                            <a:prstGeom prst="rect">
                              <a:avLst/>
                            </a:prstGeom>
                            <a:noFill/>
                            <a:ln w="12700" cap="flat">
                              <a:noFill/>
                              <a:miter lim="400000"/>
                            </a:ln>
                            <a:effectLst/>
                          </wps:spPr>
                          <wps:txbx>
                            <w:txbxContent>
                              <w:p w:rsidR="000F4777" w:rsidRDefault="00D72E8C">
                                <w:pPr>
                                  <w:pStyle w:val="BodyAA"/>
                                  <w:tabs>
                                    <w:tab w:val="left" w:pos="1440"/>
                                    <w:tab w:val="left" w:pos="2880"/>
                                    <w:tab w:val="left" w:pos="4320"/>
                                    <w:tab w:val="left" w:pos="5760"/>
                                    <w:tab w:val="left" w:pos="7200"/>
                                  </w:tabs>
                                  <w:suppressAutoHyphens/>
                                  <w:spacing w:after="0" w:line="240" w:lineRule="auto"/>
                                  <w:outlineLvl w:val="0"/>
                                </w:pPr>
                                <w:r>
                                  <w:rPr>
                                    <w:b/>
                                    <w:bCs/>
                                    <w:sz w:val="33"/>
                                    <w:szCs w:val="33"/>
                                  </w:rPr>
                                  <w:t>Meeting the challenges</w:t>
                                </w:r>
                              </w:p>
                            </w:txbxContent>
                          </wps:txbx>
                          <wps:bodyPr wrap="square" lIns="45718" tIns="45718" rIns="45718" bIns="45718" numCol="1" anchor="t">
                            <a:noAutofit/>
                          </wps:bodyPr>
                        </wps:wsp>
                      </wpg:grpSp>
                      <wpg:grpSp>
                        <wpg:cNvPr id="1073741832" name="Group 1073741832"/>
                        <wpg:cNvGrpSpPr/>
                        <wpg:grpSpPr>
                          <a:xfrm>
                            <a:off x="-2" y="681034"/>
                            <a:ext cx="1297906" cy="2249172"/>
                            <a:chOff x="-1" y="-1"/>
                            <a:chExt cx="1297904" cy="2249171"/>
                          </a:xfrm>
                        </wpg:grpSpPr>
                        <wps:wsp>
                          <wps:cNvPr id="1073741830" name="Shape 1073741830"/>
                          <wps:cNvSpPr/>
                          <wps:spPr>
                            <a:xfrm>
                              <a:off x="-1" y="-2"/>
                              <a:ext cx="1297848" cy="2249070"/>
                            </a:xfrm>
                            <a:prstGeom prst="rect">
                              <a:avLst/>
                            </a:prstGeom>
                            <a:solidFill>
                              <a:srgbClr val="C0504D"/>
                            </a:solidFill>
                            <a:ln w="25400" cap="flat">
                              <a:solidFill>
                                <a:srgbClr val="FFFFFF"/>
                              </a:solidFill>
                              <a:prstDash val="solid"/>
                              <a:bevel/>
                            </a:ln>
                            <a:effectLst/>
                          </wps:spPr>
                          <wps:bodyPr/>
                        </wps:wsp>
                        <wps:wsp>
                          <wps:cNvPr id="1073741831" name="Shape 1073741831"/>
                          <wps:cNvSpPr/>
                          <wps:spPr>
                            <a:xfrm>
                              <a:off x="-2" y="-2"/>
                              <a:ext cx="1297906" cy="2249172"/>
                            </a:xfrm>
                            <a:prstGeom prst="rect">
                              <a:avLst/>
                            </a:prstGeom>
                            <a:noFill/>
                            <a:ln w="12700" cap="flat">
                              <a:noFill/>
                              <a:miter lim="400000"/>
                            </a:ln>
                            <a:effectLst/>
                          </wps:spPr>
                          <wps:txbx>
                            <w:txbxContent>
                              <w:p w:rsidR="000F4777" w:rsidRDefault="00D72E8C">
                                <w:pPr>
                                  <w:pStyle w:val="BodyAA"/>
                                  <w:tabs>
                                    <w:tab w:val="left" w:pos="1440"/>
                                  </w:tabs>
                                  <w:suppressAutoHyphens/>
                                  <w:spacing w:after="0" w:line="240" w:lineRule="auto"/>
                                  <w:jc w:val="center"/>
                                  <w:outlineLvl w:val="0"/>
                                  <w:rPr>
                                    <w:color w:val="FFFFFF"/>
                                    <w:sz w:val="41"/>
                                    <w:szCs w:val="41"/>
                                    <w:u w:color="FFFFFF"/>
                                  </w:rPr>
                                </w:pPr>
                                <w:r>
                                  <w:rPr>
                                    <w:b/>
                                    <w:bCs/>
                                    <w:color w:val="FFFFFF"/>
                                    <w:u w:color="FFFFFF"/>
                                  </w:rPr>
                                  <w:t>Making housing more affordable:</w:t>
                                </w:r>
                              </w:p>
                              <w:p w:rsidR="000F4777" w:rsidRDefault="00D72E8C">
                                <w:pPr>
                                  <w:pStyle w:val="BodyAA"/>
                                  <w:tabs>
                                    <w:tab w:val="left" w:pos="1440"/>
                                  </w:tabs>
                                  <w:suppressAutoHyphens/>
                                  <w:spacing w:after="0" w:line="240" w:lineRule="auto"/>
                                  <w:jc w:val="center"/>
                                  <w:outlineLvl w:val="0"/>
                                  <w:rPr>
                                    <w:color w:val="FFFFFF"/>
                                    <w:sz w:val="41"/>
                                    <w:szCs w:val="41"/>
                                    <w:u w:color="FFFFFF"/>
                                  </w:rPr>
                                </w:pPr>
                                <w:r w:rsidRPr="00D72E8C">
                                  <w:rPr>
                                    <w:color w:val="FFFFFF"/>
                                    <w:u w:color="FFFFFF"/>
                                    <w:lang w:val="en-GB"/>
                                  </w:rPr>
                                  <w:t>tax reform</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urban</w:t>
                                </w:r>
                                <w:proofErr w:type="gramEnd"/>
                                <w:r>
                                  <w:rPr>
                                    <w:color w:val="FFFFFF"/>
                                    <w:u w:color="FFFFFF"/>
                                  </w:rPr>
                                  <w:t xml:space="preserve"> planning improvements</w:t>
                                </w:r>
                              </w:p>
                              <w:p w:rsidR="000F4777" w:rsidRDefault="00D72E8C">
                                <w:pPr>
                                  <w:pStyle w:val="BodyAA"/>
                                  <w:tabs>
                                    <w:tab w:val="left" w:pos="1440"/>
                                  </w:tabs>
                                  <w:suppressAutoHyphens/>
                                  <w:spacing w:after="0" w:line="240" w:lineRule="auto"/>
                                  <w:jc w:val="center"/>
                                  <w:outlineLvl w:val="0"/>
                                </w:pPr>
                                <w:proofErr w:type="gramStart"/>
                                <w:r>
                                  <w:rPr>
                                    <w:color w:val="FFFFFF"/>
                                    <w:u w:color="FFFFFF"/>
                                  </w:rPr>
                                  <w:t>assistance</w:t>
                                </w:r>
                                <w:proofErr w:type="gramEnd"/>
                                <w:r>
                                  <w:rPr>
                                    <w:color w:val="FFFFFF"/>
                                    <w:u w:color="FFFFFF"/>
                                  </w:rPr>
                                  <w:t xml:space="preserve"> for home purchasers</w:t>
                                </w:r>
                              </w:p>
                            </w:txbxContent>
                          </wps:txbx>
                          <wps:bodyPr wrap="square" lIns="45718" tIns="45718" rIns="45718" bIns="45718" numCol="1" anchor="ctr">
                            <a:noAutofit/>
                          </wps:bodyPr>
                        </wps:wsp>
                      </wpg:grpSp>
                      <wpg:grpSp>
                        <wpg:cNvPr id="1073741835" name="Group 1073741835"/>
                        <wpg:cNvGrpSpPr/>
                        <wpg:grpSpPr>
                          <a:xfrm>
                            <a:off x="1313616" y="681034"/>
                            <a:ext cx="1297906" cy="2249172"/>
                            <a:chOff x="-1" y="-1"/>
                            <a:chExt cx="1297904" cy="2249171"/>
                          </a:xfrm>
                        </wpg:grpSpPr>
                        <wps:wsp>
                          <wps:cNvPr id="1073741833" name="Shape 1073741833"/>
                          <wps:cNvSpPr/>
                          <wps:spPr>
                            <a:xfrm>
                              <a:off x="-2" y="-2"/>
                              <a:ext cx="1297848" cy="2249070"/>
                            </a:xfrm>
                            <a:prstGeom prst="rect">
                              <a:avLst/>
                            </a:prstGeom>
                            <a:solidFill>
                              <a:srgbClr val="9BBB59"/>
                            </a:solidFill>
                            <a:ln w="25400" cap="flat">
                              <a:solidFill>
                                <a:srgbClr val="FFFFFF"/>
                              </a:solidFill>
                              <a:prstDash val="solid"/>
                              <a:bevel/>
                            </a:ln>
                            <a:effectLst/>
                          </wps:spPr>
                          <wps:bodyPr/>
                        </wps:wsp>
                        <wps:wsp>
                          <wps:cNvPr id="1073741834" name="Shape 1073741834"/>
                          <wps:cNvSpPr/>
                          <wps:spPr>
                            <a:xfrm>
                              <a:off x="-2" y="-2"/>
                              <a:ext cx="1297906" cy="2249172"/>
                            </a:xfrm>
                            <a:prstGeom prst="rect">
                              <a:avLst/>
                            </a:prstGeom>
                            <a:noFill/>
                            <a:ln w="12700" cap="flat">
                              <a:noFill/>
                              <a:miter lim="400000"/>
                            </a:ln>
                            <a:effectLst/>
                          </wps:spPr>
                          <wps:txbx>
                            <w:txbxContent>
                              <w:p w:rsidR="000F4777" w:rsidRDefault="00D72E8C">
                                <w:pPr>
                                  <w:pStyle w:val="BodyAA"/>
                                  <w:tabs>
                                    <w:tab w:val="left" w:pos="1440"/>
                                  </w:tabs>
                                  <w:suppressAutoHyphens/>
                                  <w:spacing w:after="0" w:line="240" w:lineRule="auto"/>
                                  <w:jc w:val="center"/>
                                  <w:outlineLvl w:val="0"/>
                                  <w:rPr>
                                    <w:color w:val="FFFFFF"/>
                                    <w:sz w:val="41"/>
                                    <w:szCs w:val="41"/>
                                    <w:u w:color="FFFFFF"/>
                                  </w:rPr>
                                </w:pPr>
                                <w:r>
                                  <w:rPr>
                                    <w:b/>
                                    <w:bCs/>
                                    <w:color w:val="FFFFFF"/>
                                    <w:u w:color="FFFFFF"/>
                                  </w:rPr>
                                  <w:t>Reforming the private rental market:</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changed</w:t>
                                </w:r>
                                <w:proofErr w:type="gramEnd"/>
                                <w:r>
                                  <w:rPr>
                                    <w:color w:val="FFFFFF"/>
                                    <w:u w:color="FFFFFF"/>
                                  </w:rPr>
                                  <w:t xml:space="preserve"> investment mix</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improved</w:t>
                                </w:r>
                                <w:proofErr w:type="gramEnd"/>
                                <w:r>
                                  <w:rPr>
                                    <w:color w:val="FFFFFF"/>
                                    <w:u w:color="FFFFFF"/>
                                  </w:rPr>
                                  <w:t xml:space="preserve"> consumer protection</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enhanced</w:t>
                                </w:r>
                                <w:proofErr w:type="gramEnd"/>
                                <w:r>
                                  <w:rPr>
                                    <w:color w:val="FFFFFF"/>
                                    <w:u w:color="FFFFFF"/>
                                  </w:rPr>
                                  <w:t xml:space="preserve"> rent assistance</w:t>
                                </w:r>
                              </w:p>
                              <w:p w:rsidR="000F4777" w:rsidRDefault="00D72E8C">
                                <w:pPr>
                                  <w:pStyle w:val="BodyAA"/>
                                  <w:tabs>
                                    <w:tab w:val="left" w:pos="1440"/>
                                  </w:tabs>
                                  <w:suppressAutoHyphens/>
                                  <w:spacing w:after="0" w:line="240" w:lineRule="auto"/>
                                  <w:jc w:val="center"/>
                                  <w:outlineLvl w:val="0"/>
                                </w:pPr>
                                <w:proofErr w:type="gramStart"/>
                                <w:r>
                                  <w:rPr>
                                    <w:color w:val="FFFFFF"/>
                                    <w:u w:color="FFFFFF"/>
                                  </w:rPr>
                                  <w:t>intermediate</w:t>
                                </w:r>
                                <w:proofErr w:type="gramEnd"/>
                                <w:r>
                                  <w:rPr>
                                    <w:color w:val="FFFFFF"/>
                                    <w:u w:color="FFFFFF"/>
                                  </w:rPr>
                                  <w:t xml:space="preserve"> rental housing</w:t>
                                </w:r>
                              </w:p>
                            </w:txbxContent>
                          </wps:txbx>
                          <wps:bodyPr wrap="square" lIns="45718" tIns="45718" rIns="45718" bIns="45718" numCol="1" anchor="ctr">
                            <a:noAutofit/>
                          </wps:bodyPr>
                        </wps:wsp>
                      </wpg:grpSp>
                      <wpg:grpSp>
                        <wpg:cNvPr id="1073741838" name="Group 1073741838"/>
                        <wpg:cNvGrpSpPr/>
                        <wpg:grpSpPr>
                          <a:xfrm>
                            <a:off x="2627233" y="681034"/>
                            <a:ext cx="1297906" cy="2249172"/>
                            <a:chOff x="-1" y="-1"/>
                            <a:chExt cx="1297904" cy="2249171"/>
                          </a:xfrm>
                        </wpg:grpSpPr>
                        <wps:wsp>
                          <wps:cNvPr id="1073741836" name="Shape 1073741836"/>
                          <wps:cNvSpPr/>
                          <wps:spPr>
                            <a:xfrm>
                              <a:off x="-1" y="-2"/>
                              <a:ext cx="1297848" cy="2249070"/>
                            </a:xfrm>
                            <a:prstGeom prst="rect">
                              <a:avLst/>
                            </a:prstGeom>
                            <a:solidFill>
                              <a:srgbClr val="8064A2"/>
                            </a:solidFill>
                            <a:ln w="25400" cap="flat">
                              <a:solidFill>
                                <a:srgbClr val="FFFFFF"/>
                              </a:solidFill>
                              <a:prstDash val="solid"/>
                              <a:bevel/>
                            </a:ln>
                            <a:effectLst/>
                          </wps:spPr>
                          <wps:bodyPr/>
                        </wps:wsp>
                        <wps:wsp>
                          <wps:cNvPr id="1073741837" name="Shape 1073741837"/>
                          <wps:cNvSpPr/>
                          <wps:spPr>
                            <a:xfrm>
                              <a:off x="-2" y="-2"/>
                              <a:ext cx="1297906" cy="2249172"/>
                            </a:xfrm>
                            <a:prstGeom prst="rect">
                              <a:avLst/>
                            </a:prstGeom>
                            <a:noFill/>
                            <a:ln w="12700" cap="flat">
                              <a:noFill/>
                              <a:miter lim="400000"/>
                            </a:ln>
                            <a:effectLst/>
                          </wps:spPr>
                          <wps:txbx>
                            <w:txbxContent>
                              <w:p w:rsidR="000F4777" w:rsidRDefault="00D72E8C">
                                <w:pPr>
                                  <w:pStyle w:val="BodyAA"/>
                                  <w:tabs>
                                    <w:tab w:val="left" w:pos="1440"/>
                                  </w:tabs>
                                  <w:suppressAutoHyphens/>
                                  <w:spacing w:after="0" w:line="240" w:lineRule="auto"/>
                                  <w:jc w:val="center"/>
                                  <w:outlineLvl w:val="0"/>
                                  <w:rPr>
                                    <w:color w:val="FFFFFF"/>
                                    <w:sz w:val="41"/>
                                    <w:szCs w:val="41"/>
                                    <w:u w:color="FFFFFF"/>
                                  </w:rPr>
                                </w:pPr>
                                <w:r>
                                  <w:rPr>
                                    <w:b/>
                                    <w:bCs/>
                                    <w:color w:val="FFFFFF"/>
                                    <w:u w:color="FFFFFF"/>
                                  </w:rPr>
                                  <w:t>Combatting homelessness:</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homelessness</w:t>
                                </w:r>
                                <w:proofErr w:type="gramEnd"/>
                                <w:r>
                                  <w:rPr>
                                    <w:color w:val="FFFFFF"/>
                                    <w:u w:color="FFFFFF"/>
                                  </w:rPr>
                                  <w:t xml:space="preserve"> services reform</w:t>
                                </w:r>
                              </w:p>
                              <w:p w:rsidR="000F4777" w:rsidRDefault="00D72E8C">
                                <w:pPr>
                                  <w:pStyle w:val="BodyAA"/>
                                  <w:tabs>
                                    <w:tab w:val="left" w:pos="1440"/>
                                  </w:tabs>
                                  <w:suppressAutoHyphens/>
                                  <w:spacing w:after="0" w:line="240" w:lineRule="auto"/>
                                  <w:jc w:val="center"/>
                                  <w:outlineLvl w:val="0"/>
                                </w:pPr>
                                <w:proofErr w:type="gramStart"/>
                                <w:r>
                                  <w:rPr>
                                    <w:color w:val="FFFFFF"/>
                                    <w:u w:color="FFFFFF"/>
                                  </w:rPr>
                                  <w:t>improved</w:t>
                                </w:r>
                                <w:proofErr w:type="gramEnd"/>
                                <w:r>
                                  <w:rPr>
                                    <w:color w:val="FFFFFF"/>
                                    <w:u w:color="FFFFFF"/>
                                  </w:rPr>
                                  <w:t xml:space="preserve"> marginal housing</w:t>
                                </w:r>
                              </w:p>
                            </w:txbxContent>
                          </wps:txbx>
                          <wps:bodyPr wrap="square" lIns="45718" tIns="45718" rIns="45718" bIns="45718" numCol="1" anchor="ctr">
                            <a:noAutofit/>
                          </wps:bodyPr>
                        </wps:wsp>
                      </wpg:grpSp>
                      <wpg:grpSp>
                        <wpg:cNvPr id="1073741841" name="Group 1073741841"/>
                        <wpg:cNvGrpSpPr/>
                        <wpg:grpSpPr>
                          <a:xfrm>
                            <a:off x="3940848" y="681034"/>
                            <a:ext cx="1297906" cy="2249172"/>
                            <a:chOff x="-1" y="-1"/>
                            <a:chExt cx="1297904" cy="2249171"/>
                          </a:xfrm>
                        </wpg:grpSpPr>
                        <wps:wsp>
                          <wps:cNvPr id="1073741839" name="Shape 1073741839"/>
                          <wps:cNvSpPr/>
                          <wps:spPr>
                            <a:xfrm>
                              <a:off x="-1" y="-2"/>
                              <a:ext cx="1297848" cy="2249070"/>
                            </a:xfrm>
                            <a:prstGeom prst="rect">
                              <a:avLst/>
                            </a:prstGeom>
                            <a:solidFill>
                              <a:srgbClr val="4BACC6"/>
                            </a:solidFill>
                            <a:ln w="25400" cap="flat">
                              <a:solidFill>
                                <a:srgbClr val="FFFFFF"/>
                              </a:solidFill>
                              <a:prstDash val="solid"/>
                              <a:bevel/>
                            </a:ln>
                            <a:effectLst/>
                          </wps:spPr>
                          <wps:bodyPr/>
                        </wps:wsp>
                        <wps:wsp>
                          <wps:cNvPr id="1073741840" name="Shape 1073741840"/>
                          <wps:cNvSpPr/>
                          <wps:spPr>
                            <a:xfrm>
                              <a:off x="-2" y="-2"/>
                              <a:ext cx="1297906" cy="2249172"/>
                            </a:xfrm>
                            <a:prstGeom prst="rect">
                              <a:avLst/>
                            </a:prstGeom>
                            <a:noFill/>
                            <a:ln w="12700" cap="flat">
                              <a:noFill/>
                              <a:miter lim="400000"/>
                            </a:ln>
                            <a:effectLst/>
                          </wps:spPr>
                          <wps:txbx>
                            <w:txbxContent>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spellStart"/>
                                <w:r>
                                  <w:rPr>
                                    <w:b/>
                                    <w:bCs/>
                                    <w:color w:val="FFFFFF"/>
                                    <w:u w:color="FFFFFF"/>
                                  </w:rPr>
                                  <w:t>Revitalising</w:t>
                                </w:r>
                                <w:proofErr w:type="spellEnd"/>
                                <w:r>
                                  <w:rPr>
                                    <w:b/>
                                    <w:bCs/>
                                    <w:color w:val="FFFFFF"/>
                                    <w:u w:color="FFFFFF"/>
                                  </w:rPr>
                                  <w:t xml:space="preserve"> social housing:</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increased</w:t>
                                </w:r>
                                <w:proofErr w:type="gramEnd"/>
                                <w:r>
                                  <w:rPr>
                                    <w:color w:val="FFFFFF"/>
                                    <w:u w:color="FFFFFF"/>
                                  </w:rPr>
                                  <w:t xml:space="preserve"> supply</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sustainable</w:t>
                                </w:r>
                                <w:proofErr w:type="gramEnd"/>
                                <w:r>
                                  <w:rPr>
                                    <w:color w:val="FFFFFF"/>
                                    <w:u w:color="FFFFFF"/>
                                  </w:rPr>
                                  <w:t xml:space="preserve"> funding</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increased</w:t>
                                </w:r>
                                <w:proofErr w:type="gramEnd"/>
                                <w:r>
                                  <w:rPr>
                                    <w:color w:val="FFFFFF"/>
                                    <w:u w:color="FFFFFF"/>
                                  </w:rPr>
                                  <w:t xml:space="preserve"> diversity of provision</w:t>
                                </w:r>
                              </w:p>
                              <w:p w:rsidR="000F4777" w:rsidRDefault="00D72E8C">
                                <w:pPr>
                                  <w:pStyle w:val="BodyAA"/>
                                  <w:tabs>
                                    <w:tab w:val="left" w:pos="1440"/>
                                  </w:tabs>
                                  <w:suppressAutoHyphens/>
                                  <w:spacing w:after="0" w:line="240" w:lineRule="auto"/>
                                  <w:jc w:val="center"/>
                                  <w:outlineLvl w:val="0"/>
                                  <w:rPr>
                                    <w:color w:val="FFFFFF"/>
                                    <w:sz w:val="41"/>
                                    <w:szCs w:val="41"/>
                                    <w:u w:color="FFFFFF"/>
                                  </w:rPr>
                                </w:pPr>
                                <w:proofErr w:type="gramStart"/>
                                <w:r>
                                  <w:rPr>
                                    <w:color w:val="FFFFFF"/>
                                    <w:u w:color="FFFFFF"/>
                                  </w:rPr>
                                  <w:t>improved</w:t>
                                </w:r>
                                <w:proofErr w:type="gramEnd"/>
                                <w:r>
                                  <w:rPr>
                                    <w:color w:val="FFFFFF"/>
                                    <w:u w:color="FFFFFF"/>
                                  </w:rPr>
                                  <w:t xml:space="preserve"> ATSI social housing</w:t>
                                </w:r>
                              </w:p>
                              <w:p w:rsidR="000F4777" w:rsidRDefault="00D72E8C">
                                <w:pPr>
                                  <w:pStyle w:val="BodyAA"/>
                                  <w:tabs>
                                    <w:tab w:val="left" w:pos="1440"/>
                                  </w:tabs>
                                  <w:suppressAutoHyphens/>
                                  <w:spacing w:after="0" w:line="240" w:lineRule="auto"/>
                                  <w:jc w:val="center"/>
                                  <w:outlineLvl w:val="0"/>
                                </w:pPr>
                                <w:proofErr w:type="gramStart"/>
                                <w:r>
                                  <w:rPr>
                                    <w:color w:val="FFFFFF"/>
                                    <w:u w:color="FFFFFF"/>
                                  </w:rPr>
                                  <w:t>improved</w:t>
                                </w:r>
                                <w:proofErr w:type="gramEnd"/>
                                <w:r>
                                  <w:rPr>
                                    <w:color w:val="FFFFFF"/>
                                    <w:u w:color="FFFFFF"/>
                                  </w:rPr>
                                  <w:t xml:space="preserve"> management</w:t>
                                </w:r>
                              </w:p>
                            </w:txbxContent>
                          </wps:txbx>
                          <wps:bodyPr wrap="square" lIns="45718" tIns="45718" rIns="45718" bIns="45718" numCol="1" anchor="ctr">
                            <a:noAutofit/>
                          </wps:bodyPr>
                        </wps:wsp>
                      </wpg:grpSp>
                      <wps:wsp>
                        <wps:cNvPr id="1073741842" name="Shape 1073741842"/>
                        <wps:cNvSpPr/>
                        <wps:spPr>
                          <a:xfrm>
                            <a:off x="-1" y="2946162"/>
                            <a:ext cx="5238270" cy="149458"/>
                          </a:xfrm>
                          <a:prstGeom prst="rect">
                            <a:avLst/>
                          </a:prstGeom>
                          <a:solidFill>
                            <a:srgbClr val="E8CFCF"/>
                          </a:solidFill>
                          <a:ln w="25400" cap="flat">
                            <a:solidFill>
                              <a:srgbClr val="FFFFFF"/>
                            </a:solidFill>
                            <a:prstDash val="solid"/>
                            <a:bevel/>
                          </a:ln>
                          <a:effectLst/>
                        </wps:spPr>
                        <wps:bodyPr/>
                      </wps:wsp>
                    </wpg:wgp>
                  </a:graphicData>
                </a:graphic>
              </wp:inline>
            </w:drawing>
          </mc:Choice>
          <mc:Fallback>
            <w:pict>
              <v:group id="_x0000_s1026" style="visibility:visible;width:412.5pt;height:243.7pt;" coordorigin="-1,0" coordsize="5238755,3095619">
                <v:group id="_x0000_s1027" style="position:absolute;left:-1;top:0;width:5238755;height:665081;" coordorigin="-1,0" coordsize="5238755,665081">
                  <v:rect id="_x0000_s1028" style="position:absolute;left:0;top:0;width:5238269;height:665081;">
                    <v:fill color="#E8CFCF" opacity="100.0%" type="solid"/>
                    <v:stroke filltype="solid" color="#FFFFFF" opacity="100.0%" weight="2.0pt" dashstyle="solid" endcap="flat" joinstyle="bevel" linestyle="single" startarrow="none" startarrowwidth="medium" startarrowlength="medium" endarrow="none" endarrowwidth="medium" endarrowlength="medium"/>
                  </v:rect>
                  <v:rect id="_x0000_s1029" style="position:absolute;left:-1;top:67719;width:5238755;height:597362;">
                    <v:fill on="f"/>
                    <v:stroke on="f" weight="1.0pt" dashstyle="solid" endcap="flat" miterlimit="400.0%" joinstyle="miter" linestyle="single" startarrow="none" startarrowwidth="medium" startarrowlength="medium" endarrow="none" endarrowwidth="medium" endarrowlength="medium"/>
                    <v:textbox>
                      <w:txbxContent>
                        <w:p>
                          <w:pPr>
                            <w:pStyle w:val="Body A A"/>
                            <w:tabs>
                              <w:tab w:val="left" w:pos="1440"/>
                              <w:tab w:val="left" w:pos="2880"/>
                              <w:tab w:val="left" w:pos="4320"/>
                              <w:tab w:val="left" w:pos="5760"/>
                              <w:tab w:val="left" w:pos="7200"/>
                            </w:tabs>
                            <w:suppressAutoHyphens w:val="1"/>
                            <w:spacing w:after="0" w:line="240" w:lineRule="auto"/>
                            <w:outlineLvl w:val="0"/>
                          </w:pPr>
                          <w:r>
                            <w:rPr>
                              <w:b w:val="1"/>
                              <w:bCs w:val="1"/>
                              <w:sz w:val="33"/>
                              <w:szCs w:val="33"/>
                              <w:rtl w:val="0"/>
                              <w:lang w:val="en-US"/>
                            </w:rPr>
                            <w:t>Meeting the challenges</w:t>
                          </w:r>
                        </w:p>
                      </w:txbxContent>
                    </v:textbox>
                  </v:rect>
                </v:group>
                <v:group id="_x0000_s1030" style="position:absolute;left:-1;top:681034;width:1297905;height:2249171;" coordorigin="-1,-1" coordsize="1297905,2249171">
                  <v:rect id="_x0000_s1031" style="position:absolute;left:-1;top:-1;width:1297847;height:2249069;">
                    <v:fill color="#C0504D" opacity="100.0%" type="solid"/>
                    <v:stroke filltype="solid" color="#FFFFFF" opacity="100.0%" weight="2.0pt" dashstyle="solid" endcap="flat" joinstyle="bevel" linestyle="single" startarrow="none" startarrowwidth="medium" startarrowlength="medium" endarrow="none" endarrowwidth="medium" endarrowlength="medium"/>
                  </v:rect>
                  <v:rect id="_x0000_s1032" style="position:absolute;left:-1;top:-1;width:1297905;height:2249171;">
                    <v:fill on="f"/>
                    <v:stroke on="f" weight="1.0pt" dashstyle="solid" endcap="flat" miterlimit="400.0%" joinstyle="miter" linestyle="single" startarrow="none" startarrowwidth="medium" startarrowlength="medium" endarrow="none" endarrowwidth="medium" endarrowlength="medium"/>
                    <v:textbox>
                      <w:txbxContent>
                        <w:p>
                          <w:pPr>
                            <w:pStyle w:val="Body A A"/>
                            <w:tabs>
                              <w:tab w:val="left" w:pos="1440"/>
                            </w:tabs>
                            <w:suppressAutoHyphens w:val="1"/>
                            <w:spacing w:after="0" w:line="240" w:lineRule="auto"/>
                            <w:jc w:val="center"/>
                            <w:outlineLvl w:val="0"/>
                            <w:rPr>
                              <w:color w:val="ffffff"/>
                              <w:sz w:val="41"/>
                              <w:szCs w:val="41"/>
                              <w:u w:color="ffffff"/>
                            </w:rPr>
                          </w:pPr>
                          <w:r>
                            <w:rPr>
                              <w:b w:val="1"/>
                              <w:bCs w:val="1"/>
                              <w:color w:val="ffffff"/>
                              <w:u w:color="ffffff"/>
                              <w:rtl w:val="0"/>
                              <w:lang w:val="en-US"/>
                            </w:rPr>
                            <w:t>Making housing more affordable:</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fr-FR"/>
                            </w:rPr>
                            <w:t>tax reform</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urban planning improvements</w:t>
                          </w:r>
                        </w:p>
                        <w:p>
                          <w:pPr>
                            <w:pStyle w:val="Body A A"/>
                            <w:tabs>
                              <w:tab w:val="left" w:pos="1440"/>
                            </w:tabs>
                            <w:suppressAutoHyphens w:val="1"/>
                            <w:spacing w:after="0" w:line="240" w:lineRule="auto"/>
                            <w:jc w:val="center"/>
                            <w:outlineLvl w:val="0"/>
                          </w:pPr>
                          <w:r>
                            <w:rPr>
                              <w:color w:val="ffffff"/>
                              <w:u w:color="ffffff"/>
                              <w:rtl w:val="0"/>
                              <w:lang w:val="en-US"/>
                            </w:rPr>
                            <w:t>assistance for home purchasers</w:t>
                          </w:r>
                        </w:p>
                      </w:txbxContent>
                    </v:textbox>
                  </v:rect>
                </v:group>
                <v:group id="_x0000_s1033" style="position:absolute;left:1313616;top:681034;width:1297905;height:2249171;" coordorigin="-1,-1" coordsize="1297905,2249171">
                  <v:rect id="_x0000_s1034" style="position:absolute;left:-1;top:-1;width:1297846;height:2249069;">
                    <v:fill color="#9BBB59" opacity="100.0%" type="solid"/>
                    <v:stroke filltype="solid" color="#FFFFFF" opacity="100.0%" weight="2.0pt" dashstyle="solid" endcap="flat" joinstyle="bevel" linestyle="single" startarrow="none" startarrowwidth="medium" startarrowlength="medium" endarrow="none" endarrowwidth="medium" endarrowlength="medium"/>
                  </v:rect>
                  <v:rect id="_x0000_s1035" style="position:absolute;left:-1;top:-1;width:1297905;height:2249171;">
                    <v:fill on="f"/>
                    <v:stroke on="f" weight="1.0pt" dashstyle="solid" endcap="flat" miterlimit="400.0%" joinstyle="miter" linestyle="single" startarrow="none" startarrowwidth="medium" startarrowlength="medium" endarrow="none" endarrowwidth="medium" endarrowlength="medium"/>
                    <v:textbox>
                      <w:txbxContent>
                        <w:p>
                          <w:pPr>
                            <w:pStyle w:val="Body A A"/>
                            <w:tabs>
                              <w:tab w:val="left" w:pos="1440"/>
                            </w:tabs>
                            <w:suppressAutoHyphens w:val="1"/>
                            <w:spacing w:after="0" w:line="240" w:lineRule="auto"/>
                            <w:jc w:val="center"/>
                            <w:outlineLvl w:val="0"/>
                            <w:rPr>
                              <w:color w:val="ffffff"/>
                              <w:sz w:val="41"/>
                              <w:szCs w:val="41"/>
                              <w:u w:color="ffffff"/>
                            </w:rPr>
                          </w:pPr>
                          <w:r>
                            <w:rPr>
                              <w:b w:val="1"/>
                              <w:bCs w:val="1"/>
                              <w:color w:val="ffffff"/>
                              <w:u w:color="ffffff"/>
                              <w:rtl w:val="0"/>
                              <w:lang w:val="en-US"/>
                            </w:rPr>
                            <w:t>Reforming the private rental market:</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changed investment mix</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improved consumer protection</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enhanced rent assistance</w:t>
                          </w:r>
                        </w:p>
                        <w:p>
                          <w:pPr>
                            <w:pStyle w:val="Body A A"/>
                            <w:tabs>
                              <w:tab w:val="left" w:pos="1440"/>
                            </w:tabs>
                            <w:suppressAutoHyphens w:val="1"/>
                            <w:spacing w:after="0" w:line="240" w:lineRule="auto"/>
                            <w:jc w:val="center"/>
                            <w:outlineLvl w:val="0"/>
                          </w:pPr>
                          <w:r>
                            <w:rPr>
                              <w:color w:val="ffffff"/>
                              <w:u w:color="ffffff"/>
                              <w:rtl w:val="0"/>
                              <w:lang w:val="en-US"/>
                            </w:rPr>
                            <w:t>intermediate rental housing</w:t>
                          </w:r>
                        </w:p>
                      </w:txbxContent>
                    </v:textbox>
                  </v:rect>
                </v:group>
                <v:group id="_x0000_s1036" style="position:absolute;left:2627233;top:681034;width:1297905;height:2249171;" coordorigin="-1,-1" coordsize="1297905,2249171">
                  <v:rect id="_x0000_s1037" style="position:absolute;left:-1;top:-1;width:1297847;height:2249069;">
                    <v:fill color="#8064A2" opacity="100.0%" type="solid"/>
                    <v:stroke filltype="solid" color="#FFFFFF" opacity="100.0%" weight="2.0pt" dashstyle="solid" endcap="flat" joinstyle="bevel" linestyle="single" startarrow="none" startarrowwidth="medium" startarrowlength="medium" endarrow="none" endarrowwidth="medium" endarrowlength="medium"/>
                  </v:rect>
                  <v:rect id="_x0000_s1038" style="position:absolute;left:-1;top:-1;width:1297905;height:2249171;">
                    <v:fill on="f"/>
                    <v:stroke on="f" weight="1.0pt" dashstyle="solid" endcap="flat" miterlimit="400.0%" joinstyle="miter" linestyle="single" startarrow="none" startarrowwidth="medium" startarrowlength="medium" endarrow="none" endarrowwidth="medium" endarrowlength="medium"/>
                    <v:textbox>
                      <w:txbxContent>
                        <w:p>
                          <w:pPr>
                            <w:pStyle w:val="Body A A"/>
                            <w:tabs>
                              <w:tab w:val="left" w:pos="1440"/>
                            </w:tabs>
                            <w:suppressAutoHyphens w:val="1"/>
                            <w:spacing w:after="0" w:line="240" w:lineRule="auto"/>
                            <w:jc w:val="center"/>
                            <w:outlineLvl w:val="0"/>
                            <w:rPr>
                              <w:color w:val="ffffff"/>
                              <w:sz w:val="41"/>
                              <w:szCs w:val="41"/>
                              <w:u w:color="ffffff"/>
                            </w:rPr>
                          </w:pPr>
                          <w:r>
                            <w:rPr>
                              <w:b w:val="1"/>
                              <w:bCs w:val="1"/>
                              <w:color w:val="ffffff"/>
                              <w:u w:color="ffffff"/>
                              <w:rtl w:val="0"/>
                              <w:lang w:val="en-US"/>
                            </w:rPr>
                            <w:t>Combatting homelessness:</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homelessness services reform</w:t>
                          </w:r>
                        </w:p>
                        <w:p>
                          <w:pPr>
                            <w:pStyle w:val="Body A A"/>
                            <w:tabs>
                              <w:tab w:val="left" w:pos="1440"/>
                            </w:tabs>
                            <w:suppressAutoHyphens w:val="1"/>
                            <w:spacing w:after="0" w:line="240" w:lineRule="auto"/>
                            <w:jc w:val="center"/>
                            <w:outlineLvl w:val="0"/>
                          </w:pPr>
                          <w:r>
                            <w:rPr>
                              <w:color w:val="ffffff"/>
                              <w:u w:color="ffffff"/>
                              <w:rtl w:val="0"/>
                              <w:lang w:val="en-US"/>
                            </w:rPr>
                            <w:t>improved marginal housing</w:t>
                          </w:r>
                        </w:p>
                      </w:txbxContent>
                    </v:textbox>
                  </v:rect>
                </v:group>
                <v:group id="_x0000_s1039" style="position:absolute;left:3940849;top:681034;width:1297905;height:2249171;" coordorigin="-1,-1" coordsize="1297905,2249171">
                  <v:rect id="_x0000_s1040" style="position:absolute;left:-1;top:-1;width:1297847;height:2249069;">
                    <v:fill color="#4BACC6" opacity="100.0%" type="solid"/>
                    <v:stroke filltype="solid" color="#FFFFFF" opacity="100.0%" weight="2.0pt" dashstyle="solid" endcap="flat" joinstyle="bevel" linestyle="single" startarrow="none" startarrowwidth="medium" startarrowlength="medium" endarrow="none" endarrowwidth="medium" endarrowlength="medium"/>
                  </v:rect>
                  <v:rect id="_x0000_s1041" style="position:absolute;left:-1;top:-1;width:1297905;height:2249171;">
                    <v:fill on="f"/>
                    <v:stroke on="f" weight="1.0pt" dashstyle="solid" endcap="flat" miterlimit="400.0%" joinstyle="miter" linestyle="single" startarrow="none" startarrowwidth="medium" startarrowlength="medium" endarrow="none" endarrowwidth="medium" endarrowlength="medium"/>
                    <v:textbox>
                      <w:txbxContent>
                        <w:p>
                          <w:pPr>
                            <w:pStyle w:val="Body A A"/>
                            <w:tabs>
                              <w:tab w:val="left" w:pos="1440"/>
                            </w:tabs>
                            <w:suppressAutoHyphens w:val="1"/>
                            <w:spacing w:after="0" w:line="240" w:lineRule="auto"/>
                            <w:jc w:val="center"/>
                            <w:outlineLvl w:val="0"/>
                            <w:rPr>
                              <w:color w:val="ffffff"/>
                              <w:sz w:val="41"/>
                              <w:szCs w:val="41"/>
                              <w:u w:color="ffffff"/>
                            </w:rPr>
                          </w:pPr>
                          <w:r>
                            <w:rPr>
                              <w:b w:val="1"/>
                              <w:bCs w:val="1"/>
                              <w:color w:val="ffffff"/>
                              <w:u w:color="ffffff"/>
                              <w:rtl w:val="0"/>
                              <w:lang w:val="en-US"/>
                            </w:rPr>
                            <w:t>Revitalising social housing:</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increased supply</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sustainable funding</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increased diversity of provision</w:t>
                          </w:r>
                        </w:p>
                        <w:p>
                          <w:pPr>
                            <w:pStyle w:val="Body A A"/>
                            <w:tabs>
                              <w:tab w:val="left" w:pos="1440"/>
                            </w:tabs>
                            <w:suppressAutoHyphens w:val="1"/>
                            <w:spacing w:after="0" w:line="240" w:lineRule="auto"/>
                            <w:jc w:val="center"/>
                            <w:outlineLvl w:val="0"/>
                            <w:rPr>
                              <w:color w:val="ffffff"/>
                              <w:sz w:val="41"/>
                              <w:szCs w:val="41"/>
                              <w:u w:color="ffffff"/>
                            </w:rPr>
                          </w:pPr>
                          <w:r>
                            <w:rPr>
                              <w:color w:val="ffffff"/>
                              <w:u w:color="ffffff"/>
                              <w:rtl w:val="0"/>
                              <w:lang w:val="en-US"/>
                            </w:rPr>
                            <w:t>improved ATSI social housing</w:t>
                          </w:r>
                        </w:p>
                        <w:p>
                          <w:pPr>
                            <w:pStyle w:val="Body A A"/>
                            <w:tabs>
                              <w:tab w:val="left" w:pos="1440"/>
                            </w:tabs>
                            <w:suppressAutoHyphens w:val="1"/>
                            <w:spacing w:after="0" w:line="240" w:lineRule="auto"/>
                            <w:jc w:val="center"/>
                            <w:outlineLvl w:val="0"/>
                          </w:pPr>
                          <w:r>
                            <w:rPr>
                              <w:color w:val="ffffff"/>
                              <w:u w:color="ffffff"/>
                              <w:rtl w:val="0"/>
                              <w:lang w:val="en-US"/>
                            </w:rPr>
                            <w:t>improved management</w:t>
                          </w:r>
                        </w:p>
                      </w:txbxContent>
                    </v:textbox>
                  </v:rect>
                </v:group>
                <v:rect id="_x0000_s1042" style="position:absolute;left:0;top:2946163;width:5238269;height:149456;">
                  <v:fill color="#E8CFCF" opacity="100.0%" type="solid"/>
                  <v:stroke filltype="solid" color="#FFFFFF" opacity="100.0%" weight="2.0pt" dashstyle="solid" endcap="flat" joinstyle="bevel" linestyle="single" startarrow="none" startarrowwidth="medium" startarrowlength="medium" endarrow="none" endarrowwidth="medium" endarrowlength="medium"/>
                </v:rect>
              </v:group>
            </w:pict>
          </mc:Fallback>
        </mc:AlternateContent>
      </w:r>
    </w:p>
    <w:p w:rsidR="000F4777" w:rsidRDefault="000F4777">
      <w:pPr>
        <w:pStyle w:val="BodyAA"/>
        <w:shd w:val="clear" w:color="auto" w:fill="FFFFFF"/>
        <w:spacing w:line="240" w:lineRule="auto"/>
        <w:rPr>
          <w:rFonts w:ascii="Verdana" w:eastAsia="Verdana" w:hAnsi="Verdana" w:cs="Verdana"/>
        </w:rPr>
      </w:pPr>
    </w:p>
    <w:p w:rsidR="000F4777" w:rsidRDefault="000F4777">
      <w:pPr>
        <w:pStyle w:val="Body"/>
      </w:pPr>
    </w:p>
    <w:p w:rsidR="000F4777" w:rsidRDefault="00D72E8C">
      <w:pPr>
        <w:pStyle w:val="Body"/>
        <w:tabs>
          <w:tab w:val="left" w:pos="720"/>
        </w:tabs>
        <w:jc w:val="both"/>
        <w:rPr>
          <w:rFonts w:ascii="Verdana" w:eastAsia="Verdana" w:hAnsi="Verdana" w:cs="Verdana"/>
          <w:b/>
          <w:bCs/>
          <w:u w:color="000000"/>
          <w:lang w:val="en-US"/>
        </w:rPr>
      </w:pPr>
      <w:r>
        <w:rPr>
          <w:rFonts w:ascii="Verdana"/>
          <w:b/>
          <w:bCs/>
          <w:u w:color="000000"/>
          <w:lang w:val="en-US"/>
        </w:rPr>
        <w:t>A.</w:t>
      </w:r>
      <w:r>
        <w:rPr>
          <w:rFonts w:ascii="Verdana"/>
          <w:b/>
          <w:bCs/>
          <w:u w:color="000000"/>
          <w:lang w:val="en-US"/>
        </w:rPr>
        <w:tab/>
        <w:t>Distribution of responsibilities related to the right to adequate housing:</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numPr>
          <w:ilvl w:val="0"/>
          <w:numId w:val="10"/>
        </w:numPr>
        <w:tabs>
          <w:tab w:val="clear" w:pos="1440"/>
          <w:tab w:val="num" w:pos="1375"/>
        </w:tabs>
        <w:ind w:left="1375" w:hanging="655"/>
        <w:jc w:val="both"/>
        <w:rPr>
          <w:rFonts w:ascii="Verdana" w:eastAsia="Verdana" w:hAnsi="Verdana" w:cs="Verdana"/>
          <w:sz w:val="20"/>
          <w:szCs w:val="20"/>
          <w:u w:color="000000"/>
          <w:lang w:val="en-US"/>
        </w:rPr>
      </w:pPr>
      <w:r>
        <w:rPr>
          <w:rFonts w:ascii="Verdana"/>
          <w:u w:color="000000"/>
          <w:lang w:val="en-US"/>
        </w:rPr>
        <w:t xml:space="preserve">Please identify the levels of government (national, provincial/state, municipal) primarily responsible for the following: (where primary responsibility is shared please check more than one): </w:t>
      </w:r>
    </w:p>
    <w:p w:rsidR="000F4777" w:rsidRDefault="000F4777">
      <w:pPr>
        <w:pStyle w:val="Body"/>
        <w:widowControl w:val="0"/>
        <w:tabs>
          <w:tab w:val="left" w:pos="720"/>
        </w:tabs>
        <w:ind w:left="720"/>
        <w:jc w:val="both"/>
        <w:rPr>
          <w:rFonts w:ascii="Verdana" w:eastAsia="Verdana" w:hAnsi="Verdana" w:cs="Verdana"/>
          <w:u w:color="000000"/>
          <w:lang w:val="en-US"/>
        </w:rPr>
      </w:pPr>
    </w:p>
    <w:tbl>
      <w:tblPr>
        <w:tblW w:w="8222"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24"/>
        <w:gridCol w:w="1134"/>
        <w:gridCol w:w="1134"/>
        <w:gridCol w:w="1276"/>
        <w:gridCol w:w="1854"/>
      </w:tblGrid>
      <w:tr w:rsidR="000F4777">
        <w:trPr>
          <w:trHeight w:val="790"/>
        </w:trPr>
        <w:tc>
          <w:tcPr>
            <w:tcW w:w="28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F4777" w:rsidRDefault="000F4777"/>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F4777" w:rsidRDefault="00D72E8C">
            <w:pPr>
              <w:pStyle w:val="Body"/>
            </w:pPr>
            <w:r>
              <w:rPr>
                <w:rFonts w:ascii="Verdana"/>
                <w:u w:color="000000"/>
                <w:lang w:val="en-US"/>
              </w:rPr>
              <w:t>National/ Federal</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F4777" w:rsidRDefault="00D72E8C">
            <w:pPr>
              <w:pStyle w:val="Body"/>
              <w:rPr>
                <w:rFonts w:ascii="Verdana" w:eastAsia="Verdana" w:hAnsi="Verdana" w:cs="Verdana"/>
                <w:u w:color="000000"/>
                <w:lang w:val="en-US"/>
              </w:rPr>
            </w:pPr>
            <w:r>
              <w:rPr>
                <w:rFonts w:ascii="Verdana"/>
                <w:u w:color="000000"/>
                <w:lang w:val="en-US"/>
              </w:rPr>
              <w:t>Provincial/</w:t>
            </w:r>
          </w:p>
          <w:p w:rsidR="000F4777" w:rsidRDefault="00D72E8C">
            <w:pPr>
              <w:pStyle w:val="Body"/>
            </w:pPr>
            <w:r>
              <w:rPr>
                <w:rFonts w:ascii="Verdana"/>
                <w:u w:color="000000"/>
                <w:lang w:val="en-US"/>
              </w:rPr>
              <w:t>state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F4777" w:rsidRDefault="00D72E8C">
            <w:pPr>
              <w:pStyle w:val="Body"/>
            </w:pPr>
            <w:r>
              <w:rPr>
                <w:rFonts w:ascii="Verdana"/>
                <w:u w:color="000000"/>
                <w:lang w:val="en-US"/>
              </w:rPr>
              <w:t>Municipal</w:t>
            </w:r>
          </w:p>
        </w:tc>
        <w:tc>
          <w:tcPr>
            <w:tcW w:w="18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0F4777" w:rsidRDefault="00D72E8C">
            <w:pPr>
              <w:pStyle w:val="Body"/>
            </w:pPr>
            <w:r>
              <w:rPr>
                <w:rFonts w:ascii="Verdana"/>
                <w:u w:color="000000"/>
                <w:lang w:val="en-US"/>
              </w:rPr>
              <w:t xml:space="preserve">Explanatory </w:t>
            </w:r>
            <w:r>
              <w:rPr>
                <w:rFonts w:ascii="Verdana"/>
                <w:u w:color="000000"/>
                <w:lang w:val="en-US"/>
              </w:rPr>
              <w:t>Notes</w:t>
            </w:r>
          </w:p>
        </w:tc>
      </w:tr>
      <w:tr w:rsidR="000F4777">
        <w:trPr>
          <w:trHeight w:val="3650"/>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rPr>
                <w:rFonts w:ascii="Verdana" w:eastAsia="Verdana" w:hAnsi="Verdana" w:cs="Verdana"/>
                <w:u w:color="000000"/>
                <w:lang w:val="en-US"/>
              </w:rPr>
            </w:pPr>
            <w:r>
              <w:rPr>
                <w:rFonts w:ascii="Verdana"/>
                <w:u w:color="000000"/>
                <w:lang w:val="en-US"/>
              </w:rPr>
              <w:t xml:space="preserve">Housing </w:t>
            </w:r>
            <w:proofErr w:type="spellStart"/>
            <w:r>
              <w:rPr>
                <w:rFonts w:ascii="Verdana"/>
                <w:u w:color="000000"/>
                <w:lang w:val="en-US"/>
              </w:rPr>
              <w:t>programme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44"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3"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45"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4"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0F4777"/>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rPr>
              <w:t xml:space="preserve">The Commonwealth of Australia provides funding for the National Affordable Housing Agreement which is administered by State and Territory Governments. </w:t>
            </w:r>
          </w:p>
        </w:tc>
      </w:tr>
      <w:tr w:rsidR="000F4777">
        <w:trPr>
          <w:trHeight w:val="7030"/>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lang w:val="en-US"/>
              </w:rPr>
              <w:t>Income support (</w:t>
            </w:r>
            <w:proofErr w:type="spellStart"/>
            <w:r>
              <w:rPr>
                <w:rFonts w:ascii="Verdana"/>
                <w:u w:color="000000"/>
                <w:lang w:val="en-US"/>
              </w:rPr>
              <w:t>eg</w:t>
            </w:r>
            <w:proofErr w:type="spellEnd"/>
            <w:r>
              <w:rPr>
                <w:rFonts w:ascii="Verdana"/>
                <w:u w:color="000000"/>
                <w:lang w:val="en-US"/>
              </w:rPr>
              <w:t xml:space="preserve">: transfer payments to individuals, welfare, social </w:t>
            </w:r>
            <w:r>
              <w:rPr>
                <w:rFonts w:ascii="Verdana"/>
                <w:u w:color="000000"/>
                <w:lang w:val="en-US"/>
              </w:rPr>
              <w:t>security and/or rent subsidies/supplements)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46"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5"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47"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6"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0F4777"/>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rPr>
              <w:t>The Commonwealth of Australia provides the social security payments including Commonwealth Rent Assistance (CRA is an income support supplement which helps but does not meet affordability benchmarks for reci</w:t>
            </w:r>
            <w:r>
              <w:rPr>
                <w:rFonts w:ascii="Verdana"/>
                <w:u w:color="000000"/>
              </w:rPr>
              <w:t>pients)</w:t>
            </w:r>
          </w:p>
          <w:p w:rsidR="000F4777" w:rsidRDefault="00D72E8C">
            <w:pPr>
              <w:pStyle w:val="Body"/>
            </w:pPr>
            <w:r>
              <w:rPr>
                <w:rFonts w:ascii="Verdana"/>
                <w:u w:color="000000"/>
              </w:rPr>
              <w:t>States also provide some assistance for low income tenants to secure private rental.</w:t>
            </w:r>
          </w:p>
        </w:tc>
      </w:tr>
      <w:tr w:rsidR="000F4777">
        <w:trPr>
          <w:trHeight w:val="711"/>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lang w:val="en-US"/>
              </w:rPr>
              <w:t>Tenancy and security of tenure legislation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0F4777"/>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48"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7"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0F4777"/>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0F4777"/>
        </w:tc>
      </w:tr>
      <w:tr w:rsidR="000F4777">
        <w:trPr>
          <w:trHeight w:val="2090"/>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lang w:val="en-US"/>
              </w:rPr>
              <w:t>Infrastructure (</w:t>
            </w:r>
            <w:proofErr w:type="spellStart"/>
            <w:r>
              <w:rPr>
                <w:rFonts w:ascii="Verdana"/>
                <w:u w:color="000000"/>
                <w:lang w:val="en-US"/>
              </w:rPr>
              <w:t>eg</w:t>
            </w:r>
            <w:proofErr w:type="spellEnd"/>
            <w:r>
              <w:rPr>
                <w:rFonts w:ascii="Verdana"/>
                <w:u w:color="000000"/>
                <w:lang w:val="en-US"/>
              </w:rPr>
              <w:t>: Water/sanitation, electricity)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49"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8"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50"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49"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51"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50"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rPr>
              <w:t>Funding is provided by the Commonwealth but administered</w:t>
            </w:r>
            <w:r>
              <w:rPr>
                <w:rFonts w:ascii="Verdana"/>
                <w:u w:color="000000"/>
              </w:rPr>
              <w:t xml:space="preserve"> by States and Territories</w:t>
            </w:r>
          </w:p>
        </w:tc>
      </w:tr>
      <w:tr w:rsidR="000F4777">
        <w:trPr>
          <w:trHeight w:val="3910"/>
        </w:trPr>
        <w:tc>
          <w:tcPr>
            <w:tcW w:w="2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lang w:val="en-US"/>
              </w:rPr>
              <w:t>Prohibition of discrimination in housing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52"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51"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Default"/>
            </w:pPr>
            <w:r>
              <w:rPr>
                <w:noProof/>
              </w:rPr>
              <mc:AlternateContent>
                <mc:Choice Requires="wps">
                  <w:drawing>
                    <wp:inline distT="0" distB="0" distL="0" distR="0">
                      <wp:extent cx="372393" cy="405561"/>
                      <wp:effectExtent l="0" t="0" r="0" b="0"/>
                      <wp:docPr id="1073741853" name="officeArt object"/>
                      <wp:cNvGraphicFramePr/>
                      <a:graphic xmlns:a="http://schemas.openxmlformats.org/drawingml/2006/main">
                        <a:graphicData uri="http://schemas.microsoft.com/office/word/2010/wordprocessingShape">
                          <wps:wsp>
                            <wps:cNvSpPr/>
                            <wps:spPr>
                              <a:xfrm>
                                <a:off x="0" y="0"/>
                                <a:ext cx="372393" cy="405561"/>
                              </a:xfrm>
                              <a:custGeom>
                                <a:avLst/>
                                <a:gdLst/>
                                <a:ahLst/>
                                <a:cxnLst>
                                  <a:cxn ang="0">
                                    <a:pos x="wd2" y="hd2"/>
                                  </a:cxn>
                                  <a:cxn ang="5400000">
                                    <a:pos x="wd2" y="hd2"/>
                                  </a:cxn>
                                  <a:cxn ang="10800000">
                                    <a:pos x="wd2" y="hd2"/>
                                  </a:cxn>
                                  <a:cxn ang="16200000">
                                    <a:pos x="wd2" y="hd2"/>
                                  </a:cxn>
                                </a:cxnLst>
                                <a:rect l="0" t="0" r="r" b="b"/>
                                <a:pathLst>
                                  <a:path w="21600" h="21600" extrusionOk="0">
                                    <a:moveTo>
                                      <a:pt x="0" y="14358"/>
                                    </a:moveTo>
                                    <a:lnTo>
                                      <a:pt x="6139" y="21600"/>
                                    </a:lnTo>
                                    <a:lnTo>
                                      <a:pt x="21600" y="0"/>
                                    </a:lnTo>
                                  </a:path>
                                </a:pathLst>
                              </a:custGeom>
                              <a:noFill/>
                              <a:ln w="6350" cap="flat">
                                <a:solidFill>
                                  <a:srgbClr val="000000"/>
                                </a:solidFill>
                                <a:prstDash val="solid"/>
                                <a:miter lim="400000"/>
                              </a:ln>
                              <a:effectLst/>
                            </wps:spPr>
                            <wps:bodyPr/>
                          </wps:wsp>
                        </a:graphicData>
                      </a:graphic>
                    </wp:inline>
                  </w:drawing>
                </mc:Choice>
                <mc:Fallback>
                  <w:pict>
                    <v:shape id="_x0000_s1052" style="visibility:visible;width:29.3pt;height:31.9pt;" coordorigin="0,0" coordsize="21600,21600" path="M 0,14358 L 6139,21600 L 21600,0 E">
                      <v:fill on="f"/>
                      <v:stroke filltype="solid" color="#000000" opacity="100.0%" weight="0.5pt" dashstyle="solid" endcap="flat" miterlimit="400.0%" joinstyle="miter" linestyle="single" startarrow="none" startarrowwidth="medium" startarrowlength="medium" endarrow="none" endarrowwidth="medium" endarrowlength="medium"/>
                    </v:shape>
                  </w:pict>
                </mc:Fallback>
              </mc:AlternateConten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0F4777"/>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4777" w:rsidRDefault="00D72E8C">
            <w:pPr>
              <w:pStyle w:val="Body"/>
            </w:pPr>
            <w:r>
              <w:rPr>
                <w:rFonts w:ascii="Verdana"/>
                <w:u w:color="000000"/>
              </w:rPr>
              <w:t xml:space="preserve">Some State legislation prohibits discrimination but is difficult to police. The Commonwealth provides the Racial Discrimination Act which prohibits discrimination on the basis of </w:t>
            </w:r>
            <w:r>
              <w:rPr>
                <w:rFonts w:ascii="Verdana"/>
                <w:u w:color="000000"/>
              </w:rPr>
              <w:t>race.</w:t>
            </w:r>
          </w:p>
        </w:tc>
      </w:tr>
    </w:tbl>
    <w:p w:rsidR="000F4777" w:rsidRDefault="000F4777">
      <w:pPr>
        <w:pStyle w:val="Body"/>
        <w:widowControl w:val="0"/>
        <w:tabs>
          <w:tab w:val="left" w:pos="720"/>
        </w:tabs>
        <w:ind w:left="720"/>
        <w:jc w:val="both"/>
        <w:rPr>
          <w:rFonts w:ascii="Verdana" w:eastAsia="Verdana" w:hAnsi="Verdana" w:cs="Verdana"/>
          <w:u w:color="000000"/>
          <w:lang w:val="en-US"/>
        </w:rPr>
      </w:pPr>
    </w:p>
    <w:p w:rsidR="000F4777" w:rsidRDefault="000F4777">
      <w:pPr>
        <w:pStyle w:val="Body"/>
        <w:ind w:left="720"/>
        <w:rPr>
          <w:rFonts w:ascii="Verdana" w:eastAsia="Verdana" w:hAnsi="Verdana" w:cs="Verdana"/>
          <w:u w:color="000000"/>
          <w:lang w:val="en-US"/>
        </w:rPr>
      </w:pPr>
    </w:p>
    <w:p w:rsidR="000F4777" w:rsidRDefault="000F4777">
      <w:pPr>
        <w:pStyle w:val="Body"/>
        <w:tabs>
          <w:tab w:val="left" w:pos="720"/>
        </w:tabs>
        <w:jc w:val="both"/>
        <w:rPr>
          <w:rFonts w:ascii="Verdana" w:eastAsia="Verdana" w:hAnsi="Verdana" w:cs="Verdana"/>
          <w:u w:color="000000"/>
          <w:lang w:val="en-US"/>
        </w:rPr>
      </w:pPr>
    </w:p>
    <w:p w:rsidR="000F4777" w:rsidRDefault="000F4777">
      <w:pPr>
        <w:pStyle w:val="Body"/>
        <w:tabs>
          <w:tab w:val="left" w:pos="720"/>
        </w:tabs>
        <w:jc w:val="both"/>
        <w:rPr>
          <w:rFonts w:ascii="Verdana" w:eastAsia="Verdana" w:hAnsi="Verdana" w:cs="Verdana"/>
          <w:u w:color="000000"/>
          <w:lang w:val="en-US"/>
        </w:rPr>
      </w:pP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2.</w:t>
      </w:r>
      <w:r>
        <w:rPr>
          <w:rFonts w:ascii="Verdana"/>
          <w:u w:color="000000"/>
          <w:lang w:val="en-US"/>
        </w:rPr>
        <w:tab/>
        <w:t>What are the primary bases for the allocation of responsibilities among different levels of government? Please identify the appropriate provision(s) and provide a copy or link if possible:</w:t>
      </w:r>
    </w:p>
    <w:p w:rsidR="000F4777" w:rsidRDefault="00D72E8C">
      <w:pPr>
        <w:pStyle w:val="Body"/>
        <w:tabs>
          <w:tab w:val="left" w:pos="720"/>
        </w:tabs>
        <w:ind w:left="720"/>
        <w:jc w:val="both"/>
        <w:rPr>
          <w:rFonts w:ascii="Verdana" w:eastAsia="Verdana" w:hAnsi="Verdana" w:cs="Verdana"/>
          <w:u w:color="000000"/>
          <w:lang w:val="en-US"/>
        </w:rPr>
      </w:pPr>
      <w:r>
        <w:rPr>
          <w:rFonts w:ascii="Verdana" w:eastAsia="Verdana" w:hAnsi="Verdana" w:cs="Verdana"/>
          <w:u w:color="000000"/>
          <w:lang w:val="en-US"/>
        </w:rPr>
        <w:tab/>
      </w:r>
      <w:r>
        <w:rPr>
          <w:rFonts w:ascii="Verdana" w:eastAsia="Verdana" w:hAnsi="Verdana" w:cs="Verdana"/>
          <w:u w:color="000000"/>
          <w:lang w:val="en-US"/>
        </w:rPr>
        <w:tab/>
      </w: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Constitutional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 xml:space="preserve">The Australian Constitution </w:t>
      </w:r>
      <w:r>
        <w:rPr>
          <w:rFonts w:ascii="Verdana"/>
          <w:u w:color="000000"/>
          <w:lang w:val="en-US"/>
        </w:rPr>
        <w:t>has no specific clause giving the Commonwealth responsibility for housing.</w:t>
      </w:r>
    </w:p>
    <w:p w:rsidR="000F4777" w:rsidRDefault="000F4777">
      <w:pPr>
        <w:pStyle w:val="Body"/>
        <w:tabs>
          <w:tab w:val="left" w:pos="720"/>
        </w:tabs>
        <w:ind w:left="720"/>
        <w:jc w:val="both"/>
        <w:rPr>
          <w:rFonts w:ascii="Verdana" w:eastAsia="Verdana" w:hAnsi="Verdana" w:cs="Verdana"/>
          <w:sz w:val="20"/>
          <w:szCs w:val="20"/>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National framework legislation or housing strategy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The Commonwealth Government has though, since 1945 following a Commission of Inquiry, dedicated funding programs to housing a</w:t>
      </w:r>
      <w:r>
        <w:rPr>
          <w:rFonts w:ascii="Verdana"/>
          <w:u w:color="000000"/>
          <w:lang w:val="en-US"/>
        </w:rPr>
        <w:t xml:space="preserve">nd homelessness provision. </w:t>
      </w:r>
      <w:proofErr w:type="gramStart"/>
      <w:r>
        <w:rPr>
          <w:rFonts w:ascii="Verdana"/>
          <w:u w:color="000000"/>
          <w:lang w:val="en-US"/>
        </w:rPr>
        <w:t>Initially the Commonwealth State Housing Agreement (CSHA) since 2008 the National Affordable Housing Agreement.</w:t>
      </w:r>
      <w:proofErr w:type="gramEnd"/>
    </w:p>
    <w:p w:rsidR="000F4777" w:rsidRDefault="00D72E8C">
      <w:pPr>
        <w:pStyle w:val="Body"/>
        <w:tabs>
          <w:tab w:val="left" w:pos="720"/>
        </w:tabs>
        <w:ind w:left="720"/>
        <w:jc w:val="both"/>
        <w:rPr>
          <w:rFonts w:ascii="Verdana" w:eastAsia="Verdana" w:hAnsi="Verdana" w:cs="Verdana"/>
          <w:u w:color="000000"/>
          <w:lang w:val="en-US"/>
        </w:rPr>
      </w:pPr>
      <w:hyperlink r:id="rId10" w:history="1">
        <w:r>
          <w:rPr>
            <w:rStyle w:val="Hyperlink0"/>
            <w:rFonts w:ascii="Verdana"/>
            <w:sz w:val="20"/>
            <w:szCs w:val="20"/>
            <w:u w:color="000000"/>
            <w:lang w:val="en-US"/>
          </w:rPr>
          <w:t>http://www.aph.gov.au/About_Parliament/Parliamentary_Departments/Parliamentary_Library/Publications_Archive/archive/StateHouseAgree</w:t>
        </w:r>
      </w:hyperlink>
      <w:r>
        <w:rPr>
          <w:rFonts w:ascii="Verdana"/>
          <w:u w:color="000000"/>
          <w:lang w:val="en-US"/>
        </w:rPr>
        <w:t xml:space="preserve">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hyperlink r:id="rId11" w:history="1">
        <w:r>
          <w:rPr>
            <w:rStyle w:val="Hyperlink0"/>
            <w:rFonts w:ascii="Verdana"/>
            <w:u w:color="000000"/>
            <w:lang w:val="en-US"/>
          </w:rPr>
          <w:t>https://www.dss.gov.au/our-responsibilities/housing-support/programs-services/housing-affordability/national-affordable-housing-agreement</w:t>
        </w:r>
      </w:hyperlink>
      <w:r>
        <w:rPr>
          <w:rFonts w:ascii="Verdana"/>
          <w:u w:color="000000"/>
          <w:lang w:val="en-US"/>
        </w:rPr>
        <w:t xml:space="preserve">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The major difference between the CSHA and the NAHA is</w:t>
      </w:r>
      <w:r>
        <w:rPr>
          <w:rFonts w:ascii="Verdana"/>
          <w:u w:color="000000"/>
          <w:lang w:val="en-US"/>
        </w:rPr>
        <w:t xml:space="preserve"> the inclusion of both housing and homelessness program funding and that the NAHA is a broader agreement with additional partnership agreements attached to it including on Remote Indigenous Housing, Homelessness and Social Housing, all of which are time li</w:t>
      </w:r>
      <w:r>
        <w:rPr>
          <w:rFonts w:ascii="Verdana"/>
          <w:u w:color="000000"/>
          <w:lang w:val="en-US"/>
        </w:rPr>
        <w:t>mited. The NAHA is an in perpetuity agreement which may be adjusted with the agreement of the Commonwealth and States and Territories</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Sub-national level legislation or housing strategy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Most State Governments have State Housing Acts which govern the op</w:t>
      </w:r>
      <w:r>
        <w:rPr>
          <w:rFonts w:ascii="Verdana"/>
          <w:u w:color="000000"/>
          <w:lang w:val="en-US"/>
        </w:rPr>
        <w:t>eration of their housing provision. For example The Queensland Housing Act 2003</w:t>
      </w:r>
    </w:p>
    <w:p w:rsidR="000F4777" w:rsidRDefault="00D72E8C">
      <w:pPr>
        <w:pStyle w:val="Body"/>
        <w:tabs>
          <w:tab w:val="left" w:pos="720"/>
        </w:tabs>
        <w:ind w:left="720"/>
        <w:jc w:val="both"/>
        <w:rPr>
          <w:rFonts w:ascii="Verdana" w:eastAsia="Verdana" w:hAnsi="Verdana" w:cs="Verdana"/>
          <w:u w:color="000000"/>
          <w:lang w:val="en-US"/>
        </w:rPr>
      </w:pPr>
      <w:hyperlink r:id="rId12" w:history="1">
        <w:r>
          <w:rPr>
            <w:rStyle w:val="Hyperlink0"/>
            <w:rFonts w:ascii="Verdana"/>
            <w:sz w:val="20"/>
            <w:szCs w:val="20"/>
            <w:u w:color="000000"/>
            <w:lang w:val="en-US"/>
          </w:rPr>
          <w:t>https://www.legislation.qld.gov.au/LEGISLTN/CURRENT/H/HousingA03.pdf</w:t>
        </w:r>
      </w:hyperlink>
      <w:r>
        <w:rPr>
          <w:rFonts w:ascii="Verdana"/>
          <w:u w:color="000000"/>
          <w:lang w:val="en-US"/>
        </w:rPr>
        <w:t xml:space="preserve">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hyperlink r:id="rId13" w:history="1">
        <w:r>
          <w:rPr>
            <w:rStyle w:val="Hyperlink0"/>
            <w:rFonts w:ascii="Verdana"/>
            <w:sz w:val="20"/>
            <w:szCs w:val="20"/>
            <w:u w:color="000000"/>
            <w:lang w:val="en-US"/>
          </w:rPr>
          <w:t>http://www.slp.wa.gov.au/legislation/statutes.nsf/main_mrtitle_427_homepage.html</w:t>
        </w:r>
      </w:hyperlink>
      <w:r>
        <w:rPr>
          <w:rFonts w:ascii="Verdana"/>
          <w:u w:color="000000"/>
          <w:lang w:val="en-US"/>
        </w:rPr>
        <w:t xml:space="preserve">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hyperlink r:id="rId14" w:history="1">
        <w:r>
          <w:rPr>
            <w:rStyle w:val="Hyperlink0"/>
            <w:rFonts w:ascii="Verdana"/>
            <w:sz w:val="20"/>
            <w:szCs w:val="20"/>
            <w:u w:color="000000"/>
            <w:lang w:val="en-US"/>
          </w:rPr>
          <w:t>h</w:t>
        </w:r>
        <w:r>
          <w:rPr>
            <w:rStyle w:val="Hyperlink0"/>
            <w:rFonts w:ascii="Verdana"/>
            <w:sz w:val="20"/>
            <w:szCs w:val="20"/>
            <w:u w:color="000000"/>
            <w:lang w:val="en-US"/>
          </w:rPr>
          <w:t>ttp://www.austlii.edu.au/au/legis/nsw/consol_act/ha2001107/</w:t>
        </w:r>
      </w:hyperlink>
      <w:r>
        <w:rPr>
          <w:rFonts w:ascii="Verdana"/>
          <w:u w:color="000000"/>
          <w:lang w:val="en-US"/>
        </w:rPr>
        <w:t xml:space="preserve"> </w:t>
      </w:r>
    </w:p>
    <w:p w:rsidR="000F4777" w:rsidRDefault="000F4777">
      <w:pPr>
        <w:pStyle w:val="Body"/>
        <w:tabs>
          <w:tab w:val="left" w:pos="720"/>
        </w:tabs>
        <w:ind w:left="720"/>
        <w:jc w:val="both"/>
        <w:rPr>
          <w:rFonts w:ascii="Verdana" w:eastAsia="Verdana" w:hAnsi="Verdana" w:cs="Verdana"/>
          <w:u w:color="000000"/>
          <w:lang w:val="en-US"/>
        </w:rPr>
      </w:pPr>
    </w:p>
    <w:p w:rsidR="000F4777" w:rsidRDefault="000F4777">
      <w:pPr>
        <w:pStyle w:val="Body"/>
        <w:tabs>
          <w:tab w:val="left" w:pos="720"/>
        </w:tabs>
        <w:ind w:left="720"/>
        <w:jc w:val="both"/>
        <w:rPr>
          <w:rFonts w:ascii="Verdana" w:eastAsia="Verdana" w:hAnsi="Verdana" w:cs="Verdana"/>
          <w:u w:color="000000"/>
          <w:lang w:val="en-US"/>
        </w:rPr>
      </w:pP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Inter-governmental agreement (see above re NAHA)</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Other </w:t>
      </w:r>
      <w:r>
        <w:rPr>
          <w:rFonts w:hAnsi="Verdana"/>
          <w:u w:color="000000"/>
          <w:lang w:val="en-US"/>
        </w:rPr>
        <w:t>–</w:t>
      </w:r>
      <w:r>
        <w:rPr>
          <w:rFonts w:hAnsi="Verdana"/>
          <w:u w:color="000000"/>
          <w:lang w:val="en-US"/>
        </w:rPr>
        <w:t xml:space="preserve"> </w:t>
      </w:r>
      <w:r>
        <w:rPr>
          <w:rFonts w:ascii="Verdana"/>
          <w:u w:color="000000"/>
          <w:lang w:val="en-US"/>
        </w:rPr>
        <w:t>Please explain</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numPr>
          <w:ilvl w:val="0"/>
          <w:numId w:val="13"/>
        </w:numPr>
        <w:tabs>
          <w:tab w:val="clear" w:pos="1080"/>
          <w:tab w:val="num" w:pos="1047"/>
        </w:tabs>
        <w:ind w:left="1047" w:hanging="327"/>
        <w:jc w:val="both"/>
        <w:rPr>
          <w:rFonts w:ascii="Verdana" w:eastAsia="Verdana" w:hAnsi="Verdana" w:cs="Verdana"/>
          <w:sz w:val="20"/>
          <w:szCs w:val="20"/>
          <w:u w:color="000000"/>
          <w:lang w:val="en-US"/>
        </w:rPr>
      </w:pPr>
      <w:r>
        <w:rPr>
          <w:rFonts w:ascii="Verdana"/>
          <w:u w:color="000000"/>
          <w:lang w:val="en-US"/>
        </w:rPr>
        <w:t>What role does the national level government play in relation to housing and related programs? How is compliance with the right to adequate housing structured between the national and sub-national levels?  If possible please kindly provide concrete example</w:t>
      </w:r>
      <w:r>
        <w:rPr>
          <w:rFonts w:ascii="Verdana"/>
          <w:u w:color="000000"/>
          <w:lang w:val="en-US"/>
        </w:rPr>
        <w:t xml:space="preserve">s of how these roles and compliance mechanisms are operationalized. </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The national government</w:t>
      </w:r>
      <w:r>
        <w:rPr>
          <w:rFonts w:hAnsi="Verdana"/>
          <w:u w:color="000000"/>
          <w:lang w:val="en-US"/>
        </w:rPr>
        <w:t>’</w:t>
      </w:r>
      <w:r>
        <w:rPr>
          <w:rFonts w:ascii="Verdana"/>
          <w:u w:color="000000"/>
          <w:lang w:val="en-US"/>
        </w:rPr>
        <w:t xml:space="preserve">s role in housing is largely as a funder of States and Territories via the NAHA, the National Rental Affordability Scheme and the National Partnership Agreements </w:t>
      </w:r>
      <w:r>
        <w:rPr>
          <w:rFonts w:ascii="Verdana"/>
          <w:u w:color="000000"/>
          <w:lang w:val="en-US"/>
        </w:rPr>
        <w:t>on Homelessness and Remote Indigenous Housing.</w:t>
      </w: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The Commonwealth of Australia is the signatory to the U.N. conventions including the right to housing but the States have jurisdictional responsibility for housing programs.</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This means Australia has a Nationa</w:t>
      </w:r>
      <w:r>
        <w:rPr>
          <w:rFonts w:ascii="Verdana"/>
          <w:u w:color="000000"/>
          <w:lang w:val="en-US"/>
        </w:rPr>
        <w:t>l Government with responsibility for compliance but without jurisdictional responsibility and States with Jurisdictional responsibility but without compliance requirements in place.</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Our housing acts contain provisions aligned with a right to housing but n</w:t>
      </w:r>
      <w:r>
        <w:rPr>
          <w:rFonts w:ascii="Verdana"/>
          <w:u w:color="000000"/>
          <w:lang w:val="en-US"/>
        </w:rPr>
        <w:t xml:space="preserve">ever confer a right to housing. They generally describe the provision of programs, the administration of programs </w:t>
      </w:r>
      <w:proofErr w:type="spellStart"/>
      <w:r>
        <w:rPr>
          <w:rFonts w:ascii="Verdana"/>
          <w:u w:color="000000"/>
          <w:lang w:val="en-US"/>
        </w:rPr>
        <w:t>etc</w:t>
      </w:r>
      <w:proofErr w:type="spellEnd"/>
      <w:r>
        <w:rPr>
          <w:rFonts w:ascii="Verdana"/>
          <w:u w:color="000000"/>
          <w:lang w:val="en-US"/>
        </w:rPr>
        <w:t xml:space="preserve"> without providing legal recourse if citizens fail to secure adequate housing.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numPr>
          <w:ilvl w:val="0"/>
          <w:numId w:val="13"/>
        </w:numPr>
        <w:tabs>
          <w:tab w:val="clear" w:pos="1080"/>
          <w:tab w:val="num" w:pos="1047"/>
        </w:tabs>
        <w:ind w:left="1047" w:hanging="327"/>
        <w:jc w:val="both"/>
        <w:rPr>
          <w:rFonts w:ascii="Verdana" w:eastAsia="Verdana" w:hAnsi="Verdana" w:cs="Verdana"/>
          <w:sz w:val="20"/>
          <w:szCs w:val="20"/>
          <w:u w:color="000000"/>
          <w:lang w:val="en-US"/>
        </w:rPr>
      </w:pPr>
      <w:r>
        <w:rPr>
          <w:rFonts w:ascii="Verdana"/>
          <w:u w:color="000000"/>
          <w:lang w:val="en-US"/>
        </w:rPr>
        <w:t>Where sub-national governments hold key responsibilities i</w:t>
      </w:r>
      <w:r>
        <w:rPr>
          <w:rFonts w:ascii="Verdana"/>
          <w:u w:color="000000"/>
          <w:lang w:val="en-US"/>
        </w:rPr>
        <w:t xml:space="preserve">n relation to the right to adequate housing, please describe how programs and policies are </w:t>
      </w:r>
      <w:proofErr w:type="spellStart"/>
      <w:r>
        <w:rPr>
          <w:rFonts w:ascii="Verdana"/>
          <w:u w:color="000000"/>
          <w:lang w:val="en-US"/>
        </w:rPr>
        <w:t>co-ordinated</w:t>
      </w:r>
      <w:proofErr w:type="spellEnd"/>
      <w:r>
        <w:rPr>
          <w:rFonts w:ascii="Verdana"/>
          <w:u w:color="000000"/>
          <w:lang w:val="en-US"/>
        </w:rPr>
        <w:t xml:space="preserve"> nationally and what responsibilities remain with national level institutions. </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Australia has no civil rights Act and does not provide a right to adequa</w:t>
      </w:r>
      <w:r>
        <w:rPr>
          <w:rFonts w:ascii="Verdana"/>
          <w:u w:color="000000"/>
          <w:lang w:val="en-US"/>
        </w:rPr>
        <w:t>te housing despite being a signatory to the U.N. conventions. State and Territory Governments administer housing programs, tenancy legislation, planning Acts and schemes and have jurisdictional responsibility for land and housing related legal frameworks.</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Australia is about to embark on a process examining the nature of our federal system and which has the potential to redraw the various responsibilities between the Commonwealth and States and Territories. This is most likely to mean a withdrawal of respon</w:t>
      </w:r>
      <w:r>
        <w:rPr>
          <w:rFonts w:ascii="Verdana"/>
          <w:u w:color="000000"/>
          <w:lang w:val="en-US"/>
        </w:rPr>
        <w:t>sibility by the Commonwealth from areas it is not specifically required to legislate for or provide for, housing may be an area where the Commonwealth withdraws from capital and other programs with the exception of Commonwealth rent Assistance which is a s</w:t>
      </w:r>
      <w:r>
        <w:rPr>
          <w:rFonts w:ascii="Verdana"/>
          <w:u w:color="000000"/>
          <w:lang w:val="en-US"/>
        </w:rPr>
        <w:t>ocial security provision which is the direct responsibility of the Commonwealth.</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numPr>
          <w:ilvl w:val="0"/>
          <w:numId w:val="16"/>
        </w:numPr>
        <w:tabs>
          <w:tab w:val="clear" w:pos="1080"/>
          <w:tab w:val="num" w:pos="1047"/>
        </w:tabs>
        <w:ind w:left="1047" w:hanging="327"/>
        <w:jc w:val="both"/>
        <w:rPr>
          <w:rFonts w:ascii="Verdana" w:eastAsia="Verdana" w:hAnsi="Verdana" w:cs="Verdana"/>
          <w:sz w:val="20"/>
          <w:szCs w:val="20"/>
          <w:u w:color="000000"/>
          <w:lang w:val="en-US"/>
        </w:rPr>
      </w:pPr>
      <w:r>
        <w:rPr>
          <w:rFonts w:ascii="Verdana"/>
          <w:u w:color="000000"/>
          <w:lang w:val="en-US"/>
        </w:rPr>
        <w:t>Where housing and related programs are administered by sub-national level governments, by whom and how are these programs funded? Are conditions attached to the funding which</w:t>
      </w:r>
      <w:r>
        <w:rPr>
          <w:rFonts w:ascii="Verdana"/>
          <w:u w:color="000000"/>
          <w:lang w:val="en-US"/>
        </w:rPr>
        <w:t xml:space="preserve"> </w:t>
      </w:r>
      <w:proofErr w:type="gramStart"/>
      <w:r>
        <w:rPr>
          <w:rFonts w:ascii="Verdana"/>
          <w:u w:color="000000"/>
          <w:lang w:val="en-US"/>
        </w:rPr>
        <w:t>seek</w:t>
      </w:r>
      <w:proofErr w:type="gramEnd"/>
      <w:r>
        <w:rPr>
          <w:rFonts w:ascii="Verdana"/>
          <w:u w:color="000000"/>
          <w:lang w:val="en-US"/>
        </w:rPr>
        <w:t xml:space="preserve"> to ensure the resources are spent in a way that protects the right to adequate </w:t>
      </w:r>
      <w:r>
        <w:rPr>
          <w:rFonts w:ascii="Verdana"/>
          <w:sz w:val="24"/>
          <w:szCs w:val="24"/>
          <w:u w:color="000000"/>
          <w:lang w:val="en-US"/>
        </w:rPr>
        <w:t>housing? How i</w:t>
      </w:r>
      <w:r>
        <w:rPr>
          <w:rFonts w:ascii="Verdana"/>
          <w:u w:color="000000"/>
          <w:lang w:val="en-US"/>
        </w:rPr>
        <w:t>s this monitored?</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The Commonwealth is the primary funder of housing and homelessness programs excepting those relating to tenancy law. The CSHA used to have</w:t>
      </w:r>
      <w:r>
        <w:rPr>
          <w:rFonts w:ascii="Verdana"/>
          <w:u w:color="000000"/>
          <w:lang w:val="en-US"/>
        </w:rPr>
        <w:t xml:space="preserve"> matching funding provisions requiring State Governments to provide matched funding. The NAHA does not contain matching requirements instead requiring the States and Territories to meet outcomes (which are not well established or measurable) and which allo</w:t>
      </w:r>
      <w:r>
        <w:rPr>
          <w:rFonts w:ascii="Verdana"/>
          <w:u w:color="000000"/>
          <w:lang w:val="en-US"/>
        </w:rPr>
        <w:t xml:space="preserve">ws Sub national jurisdictions to forge their own funding if they meet outcome indicators which as previously indicated are difficult to measure. </w:t>
      </w:r>
      <w:proofErr w:type="gramStart"/>
      <w:r>
        <w:rPr>
          <w:rFonts w:ascii="Verdana"/>
          <w:u w:color="000000"/>
          <w:lang w:val="en-US"/>
        </w:rPr>
        <w:t>see</w:t>
      </w:r>
      <w:proofErr w:type="gramEnd"/>
      <w:r>
        <w:rPr>
          <w:rFonts w:ascii="Verdana"/>
          <w:u w:color="000000"/>
          <w:lang w:val="en-US"/>
        </w:rPr>
        <w:t xml:space="preserve"> </w:t>
      </w:r>
      <w:hyperlink r:id="rId15" w:history="1">
        <w:r>
          <w:rPr>
            <w:rStyle w:val="Hyperlink0"/>
            <w:rFonts w:ascii="Verdana"/>
            <w:sz w:val="20"/>
            <w:szCs w:val="20"/>
            <w:u w:color="000000"/>
            <w:lang w:val="en-US"/>
          </w:rPr>
          <w:t>http://www.coagreformcouncil.gov.a</w:t>
        </w:r>
        <w:r>
          <w:rPr>
            <w:rStyle w:val="Hyperlink0"/>
            <w:rFonts w:ascii="Verdana"/>
            <w:sz w:val="20"/>
            <w:szCs w:val="20"/>
            <w:u w:color="000000"/>
            <w:lang w:val="en-US"/>
          </w:rPr>
          <w:t>u/reports/housing.html</w:t>
        </w:r>
      </w:hyperlink>
      <w:r>
        <w:rPr>
          <w:rFonts w:ascii="Verdana"/>
          <w:u w:color="000000"/>
          <w:lang w:val="en-US"/>
        </w:rPr>
        <w:t xml:space="preserve"> </w:t>
      </w:r>
    </w:p>
    <w:p w:rsidR="000F4777" w:rsidRDefault="000F4777">
      <w:pPr>
        <w:pStyle w:val="Body"/>
        <w:tabs>
          <w:tab w:val="left" w:pos="720"/>
        </w:tabs>
        <w:jc w:val="both"/>
        <w:rPr>
          <w:rFonts w:ascii="Verdana" w:eastAsia="Verdana" w:hAnsi="Verdana" w:cs="Verdana"/>
          <w:u w:color="000000"/>
          <w:lang w:val="en-US"/>
        </w:rPr>
      </w:pP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jc w:val="both"/>
        <w:rPr>
          <w:rFonts w:ascii="Verdana" w:eastAsia="Verdana" w:hAnsi="Verdana" w:cs="Verdana"/>
          <w:b/>
          <w:bCs/>
          <w:u w:color="000000"/>
          <w:lang w:val="en-US"/>
        </w:rPr>
      </w:pPr>
      <w:r>
        <w:rPr>
          <w:rFonts w:ascii="Verdana"/>
          <w:u w:color="000000"/>
          <w:lang w:val="en-US"/>
        </w:rPr>
        <w:t xml:space="preserve"> </w:t>
      </w:r>
      <w:r>
        <w:rPr>
          <w:rFonts w:ascii="Verdana"/>
          <w:b/>
          <w:bCs/>
          <w:u w:color="000000"/>
          <w:lang w:val="en-US"/>
        </w:rPr>
        <w:t>B.</w:t>
      </w:r>
      <w:r>
        <w:rPr>
          <w:rFonts w:ascii="Verdana"/>
          <w:b/>
          <w:bCs/>
          <w:u w:color="000000"/>
          <w:lang w:val="en-US"/>
        </w:rPr>
        <w:tab/>
        <w:t>Accountability of Sub-National Governments</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1.</w:t>
      </w:r>
      <w:r>
        <w:rPr>
          <w:rFonts w:ascii="Verdana"/>
          <w:u w:color="000000"/>
          <w:lang w:val="en-US"/>
        </w:rPr>
        <w:tab/>
        <w:t xml:space="preserve">Are sub-national governments legally accountable to the right to adequate housing on the basis of any of the following? </w:t>
      </w:r>
    </w:p>
    <w:p w:rsidR="000F4777" w:rsidRDefault="00D72E8C">
      <w:pPr>
        <w:pStyle w:val="Body"/>
        <w:tabs>
          <w:tab w:val="left" w:pos="720"/>
        </w:tabs>
        <w:ind w:left="720"/>
        <w:jc w:val="both"/>
        <w:rPr>
          <w:rFonts w:ascii="Verdana" w:eastAsia="Verdana" w:hAnsi="Verdana" w:cs="Verdana"/>
          <w:u w:color="000000"/>
          <w:lang w:val="en-US"/>
        </w:rPr>
      </w:pPr>
      <w:r>
        <w:rPr>
          <w:rFonts w:ascii="Verdana" w:eastAsia="Verdana" w:hAnsi="Verdana" w:cs="Verdana"/>
          <w:u w:color="000000"/>
          <w:lang w:val="en-US"/>
        </w:rPr>
        <w:tab/>
      </w: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International human rights law? (No)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Constitution/National Bill of Rights (No)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hAnsi="Verdana"/>
          <w:u w:color="000000"/>
          <w:lang w:val="en-US"/>
        </w:rPr>
        <w:t>§</w:t>
      </w:r>
      <w:r>
        <w:rPr>
          <w:rFonts w:ascii="Verdana" w:hAnsi="Verdana"/>
          <w:u w:color="000000"/>
          <w:lang w:val="en-US"/>
        </w:rPr>
        <w:tab/>
        <w:t xml:space="preserve"> </w:t>
      </w:r>
      <w:r>
        <w:rPr>
          <w:rFonts w:ascii="Verdana"/>
          <w:u w:color="000000"/>
          <w:lang w:val="en-US"/>
        </w:rPr>
        <w:t xml:space="preserve">National or sub-national legislation (No)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State level or municipal level Bills of Rights/Charters (No)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 xml:space="preserve">Inter-governmental agreements (No)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tabs>
          <w:tab w:val="left" w:pos="720"/>
        </w:tabs>
        <w:ind w:left="1440" w:hanging="720"/>
        <w:jc w:val="both"/>
        <w:rPr>
          <w:rFonts w:ascii="Verdana" w:eastAsia="Verdana" w:hAnsi="Verdana" w:cs="Verdana"/>
          <w:u w:color="000000"/>
          <w:lang w:val="en-US"/>
        </w:rPr>
      </w:pPr>
      <w:r>
        <w:rPr>
          <w:rFonts w:hAnsi="Verdana"/>
          <w:u w:color="000000"/>
          <w:lang w:val="en-US"/>
        </w:rPr>
        <w:t>§</w:t>
      </w:r>
      <w:r>
        <w:rPr>
          <w:rFonts w:hAnsi="Verdana"/>
          <w:u w:color="000000"/>
          <w:lang w:val="en-US"/>
        </w:rPr>
        <w:tab/>
      </w:r>
      <w:r>
        <w:rPr>
          <w:rFonts w:ascii="Verdana"/>
          <w:u w:color="000000"/>
          <w:lang w:val="en-US"/>
        </w:rPr>
        <w:t>Conditional financing (</w:t>
      </w:r>
      <w:proofErr w:type="spellStart"/>
      <w:r>
        <w:rPr>
          <w:rFonts w:ascii="Verdana"/>
          <w:u w:color="000000"/>
          <w:lang w:val="en-US"/>
        </w:rPr>
        <w:t>eg</w:t>
      </w:r>
      <w:proofErr w:type="spellEnd"/>
      <w:r>
        <w:rPr>
          <w:rFonts w:ascii="Verdana"/>
          <w:u w:color="000000"/>
          <w:lang w:val="en-US"/>
        </w:rPr>
        <w:t>: budget transfers from national l</w:t>
      </w:r>
      <w:r>
        <w:rPr>
          <w:rFonts w:ascii="Verdana"/>
          <w:u w:color="000000"/>
          <w:lang w:val="en-US"/>
        </w:rPr>
        <w:t xml:space="preserve">evel to sub-national) (No) </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tabs>
          <w:tab w:val="left" w:pos="720"/>
        </w:tabs>
        <w:ind w:left="720"/>
        <w:jc w:val="both"/>
        <w:rPr>
          <w:rFonts w:ascii="Verdana" w:eastAsia="Verdana" w:hAnsi="Verdana" w:cs="Verdana"/>
          <w:u w:color="000000"/>
          <w:lang w:val="en-US"/>
        </w:rPr>
      </w:pPr>
      <w:r>
        <w:rPr>
          <w:rFonts w:ascii="Verdana"/>
          <w:u w:color="000000"/>
          <w:lang w:val="en-US"/>
        </w:rPr>
        <w:t>2.</w:t>
      </w:r>
      <w:r>
        <w:rPr>
          <w:rFonts w:ascii="Verdana"/>
          <w:u w:color="000000"/>
          <w:lang w:val="en-US"/>
        </w:rPr>
        <w:tab/>
        <w:t xml:space="preserve">With respect to the above and where applicable, please identify: </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numPr>
          <w:ilvl w:val="0"/>
          <w:numId w:val="19"/>
        </w:numPr>
        <w:tabs>
          <w:tab w:val="clear" w:pos="2160"/>
          <w:tab w:val="left" w:pos="720"/>
          <w:tab w:val="num" w:pos="2119"/>
        </w:tabs>
        <w:ind w:left="2119" w:hanging="415"/>
        <w:jc w:val="both"/>
        <w:rPr>
          <w:rFonts w:ascii="Verdana" w:eastAsia="Verdana" w:hAnsi="Verdana" w:cs="Verdana"/>
          <w:sz w:val="20"/>
          <w:szCs w:val="20"/>
          <w:u w:color="000000"/>
          <w:lang w:val="en-US"/>
        </w:rPr>
      </w:pPr>
      <w:proofErr w:type="gramStart"/>
      <w:r>
        <w:rPr>
          <w:rFonts w:ascii="Verdana"/>
          <w:u w:color="000000"/>
          <w:lang w:val="en-US"/>
        </w:rPr>
        <w:t>the</w:t>
      </w:r>
      <w:proofErr w:type="gramEnd"/>
      <w:r>
        <w:rPr>
          <w:rFonts w:ascii="Verdana"/>
          <w:u w:color="000000"/>
          <w:lang w:val="en-US"/>
        </w:rPr>
        <w:t xml:space="preserve"> relevant provision.</w:t>
      </w:r>
    </w:p>
    <w:p w:rsidR="000F4777" w:rsidRDefault="000F4777">
      <w:pPr>
        <w:pStyle w:val="Body"/>
        <w:tabs>
          <w:tab w:val="left" w:pos="720"/>
        </w:tabs>
        <w:ind w:left="1440"/>
        <w:jc w:val="both"/>
        <w:rPr>
          <w:rFonts w:ascii="Verdana" w:eastAsia="Verdana" w:hAnsi="Verdana" w:cs="Verdana"/>
          <w:u w:color="000000"/>
          <w:lang w:val="en-US"/>
        </w:rPr>
      </w:pPr>
    </w:p>
    <w:p w:rsidR="000F4777" w:rsidRDefault="000F4777">
      <w:pPr>
        <w:pStyle w:val="Body"/>
        <w:tabs>
          <w:tab w:val="left" w:pos="720"/>
        </w:tabs>
        <w:ind w:left="1440"/>
        <w:jc w:val="both"/>
        <w:rPr>
          <w:rFonts w:ascii="Verdana" w:eastAsia="Verdana" w:hAnsi="Verdana" w:cs="Verdana"/>
          <w:u w:color="000000"/>
          <w:lang w:val="en-US"/>
        </w:rPr>
      </w:pPr>
    </w:p>
    <w:p w:rsidR="000F4777" w:rsidRDefault="00D72E8C">
      <w:pPr>
        <w:pStyle w:val="Body"/>
        <w:numPr>
          <w:ilvl w:val="0"/>
          <w:numId w:val="19"/>
        </w:numPr>
        <w:tabs>
          <w:tab w:val="clear" w:pos="2160"/>
          <w:tab w:val="left" w:pos="720"/>
          <w:tab w:val="num" w:pos="2119"/>
        </w:tabs>
        <w:ind w:left="2119" w:hanging="415"/>
        <w:jc w:val="both"/>
        <w:rPr>
          <w:rFonts w:ascii="Verdana" w:eastAsia="Verdana" w:hAnsi="Verdana" w:cs="Verdana"/>
          <w:sz w:val="20"/>
          <w:szCs w:val="20"/>
          <w:u w:color="000000"/>
          <w:lang w:val="en-US"/>
        </w:rPr>
      </w:pPr>
      <w:proofErr w:type="gramStart"/>
      <w:r>
        <w:rPr>
          <w:rFonts w:ascii="Verdana"/>
          <w:u w:color="000000"/>
          <w:lang w:val="en-US"/>
        </w:rPr>
        <w:t>the</w:t>
      </w:r>
      <w:proofErr w:type="gramEnd"/>
      <w:r>
        <w:rPr>
          <w:rFonts w:ascii="Verdana"/>
          <w:u w:color="000000"/>
          <w:lang w:val="en-US"/>
        </w:rPr>
        <w:t xml:space="preserve"> sub-national levels of government to which the legal provision applies. </w:t>
      </w:r>
    </w:p>
    <w:p w:rsidR="000F4777" w:rsidRDefault="000F4777">
      <w:pPr>
        <w:pStyle w:val="Body"/>
        <w:tabs>
          <w:tab w:val="left" w:pos="720"/>
        </w:tabs>
        <w:ind w:left="1440"/>
        <w:jc w:val="both"/>
        <w:rPr>
          <w:rFonts w:ascii="Verdana" w:eastAsia="Verdana" w:hAnsi="Verdana" w:cs="Verdana"/>
          <w:u w:color="000000"/>
          <w:lang w:val="en-US"/>
        </w:rPr>
      </w:pPr>
    </w:p>
    <w:p w:rsidR="000F4777" w:rsidRDefault="00D72E8C">
      <w:pPr>
        <w:pStyle w:val="Body"/>
        <w:numPr>
          <w:ilvl w:val="0"/>
          <w:numId w:val="19"/>
        </w:numPr>
        <w:tabs>
          <w:tab w:val="clear" w:pos="2160"/>
          <w:tab w:val="left" w:pos="720"/>
          <w:tab w:val="num" w:pos="2119"/>
        </w:tabs>
        <w:ind w:left="2119" w:hanging="415"/>
        <w:jc w:val="both"/>
        <w:rPr>
          <w:rFonts w:ascii="Verdana" w:eastAsia="Verdana" w:hAnsi="Verdana" w:cs="Verdana"/>
          <w:sz w:val="20"/>
          <w:szCs w:val="20"/>
          <w:u w:color="000000"/>
          <w:lang w:val="en-US"/>
        </w:rPr>
      </w:pPr>
      <w:proofErr w:type="gramStart"/>
      <w:r>
        <w:rPr>
          <w:rFonts w:ascii="Verdana"/>
          <w:u w:color="000000"/>
          <w:lang w:val="en-US"/>
        </w:rPr>
        <w:t>the</w:t>
      </w:r>
      <w:proofErr w:type="gramEnd"/>
      <w:r>
        <w:rPr>
          <w:rFonts w:ascii="Verdana"/>
          <w:u w:color="000000"/>
          <w:lang w:val="en-US"/>
        </w:rPr>
        <w:t xml:space="preserve"> means of enforcement (</w:t>
      </w:r>
      <w:proofErr w:type="spellStart"/>
      <w:r>
        <w:rPr>
          <w:rFonts w:ascii="Verdana"/>
          <w:u w:color="000000"/>
          <w:lang w:val="en-US"/>
        </w:rPr>
        <w:t>eg</w:t>
      </w:r>
      <w:proofErr w:type="spellEnd"/>
      <w:r>
        <w:rPr>
          <w:rFonts w:ascii="Verdana"/>
          <w:u w:color="000000"/>
          <w:lang w:val="en-US"/>
        </w:rPr>
        <w:t xml:space="preserve">: courts, tribunals, </w:t>
      </w:r>
      <w:r>
        <w:rPr>
          <w:rFonts w:ascii="Verdana"/>
          <w:u w:color="000000"/>
          <w:lang w:val="en-US"/>
        </w:rPr>
        <w:t>national human rights institution, including ombudsmen, administrative mechanisms, etc.) and examples of how these means have been applied.</w:t>
      </w:r>
    </w:p>
    <w:p w:rsidR="000F4777" w:rsidRDefault="000F4777">
      <w:pPr>
        <w:pStyle w:val="Body"/>
        <w:tabs>
          <w:tab w:val="left" w:pos="720"/>
        </w:tabs>
        <w:ind w:left="1080"/>
        <w:jc w:val="both"/>
        <w:rPr>
          <w:rFonts w:ascii="Verdana" w:eastAsia="Verdana" w:hAnsi="Verdana" w:cs="Verdana"/>
          <w:u w:color="000000"/>
          <w:lang w:val="en-US"/>
        </w:rPr>
      </w:pP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numPr>
          <w:ilvl w:val="0"/>
          <w:numId w:val="22"/>
        </w:numPr>
        <w:tabs>
          <w:tab w:val="clear" w:pos="1080"/>
          <w:tab w:val="num" w:pos="1047"/>
        </w:tabs>
        <w:ind w:left="1047" w:hanging="327"/>
        <w:jc w:val="both"/>
        <w:rPr>
          <w:rFonts w:ascii="Verdana" w:eastAsia="Verdana" w:hAnsi="Verdana" w:cs="Verdana"/>
          <w:sz w:val="20"/>
          <w:szCs w:val="20"/>
          <w:u w:color="000000"/>
          <w:lang w:val="en-US"/>
        </w:rPr>
      </w:pPr>
      <w:r>
        <w:rPr>
          <w:rFonts w:ascii="Verdana"/>
          <w:u w:color="000000"/>
          <w:lang w:val="en-US"/>
        </w:rPr>
        <w:t>Are sub-national governments involved in State reporting to international human rights monitoring mechanisms and i</w:t>
      </w:r>
      <w:r>
        <w:rPr>
          <w:rFonts w:ascii="Verdana"/>
          <w:u w:color="000000"/>
          <w:lang w:val="en-US"/>
        </w:rPr>
        <w:t>n implementing recommendations?  (</w:t>
      </w:r>
      <w:proofErr w:type="spellStart"/>
      <w:proofErr w:type="gramStart"/>
      <w:r>
        <w:rPr>
          <w:rFonts w:ascii="Verdana"/>
          <w:u w:color="000000"/>
          <w:lang w:val="en-US"/>
        </w:rPr>
        <w:t>eg</w:t>
      </w:r>
      <w:proofErr w:type="spellEnd"/>
      <w:proofErr w:type="gramEnd"/>
      <w:r>
        <w:rPr>
          <w:rFonts w:ascii="Verdana"/>
          <w:u w:color="000000"/>
          <w:lang w:val="en-US"/>
        </w:rPr>
        <w:t xml:space="preserve">, UN treaty monitoring body, Universal Periodic Review). If so, how?  Please kindly provide an example. </w:t>
      </w: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No</w:t>
      </w:r>
    </w:p>
    <w:p w:rsidR="000F4777" w:rsidRDefault="000F4777">
      <w:pPr>
        <w:pStyle w:val="Body"/>
        <w:tabs>
          <w:tab w:val="left" w:pos="720"/>
        </w:tabs>
        <w:ind w:left="720"/>
        <w:jc w:val="both"/>
        <w:rPr>
          <w:rFonts w:ascii="Verdana" w:eastAsia="Verdana" w:hAnsi="Verdana" w:cs="Verdana"/>
          <w:u w:color="000000"/>
          <w:lang w:val="en-US"/>
        </w:rPr>
      </w:pPr>
    </w:p>
    <w:p w:rsidR="000F4777" w:rsidRDefault="00D72E8C">
      <w:pPr>
        <w:pStyle w:val="Body"/>
        <w:numPr>
          <w:ilvl w:val="0"/>
          <w:numId w:val="22"/>
        </w:numPr>
        <w:tabs>
          <w:tab w:val="clear" w:pos="1080"/>
          <w:tab w:val="num" w:pos="1047"/>
        </w:tabs>
        <w:ind w:left="1047" w:hanging="327"/>
        <w:jc w:val="both"/>
        <w:rPr>
          <w:rFonts w:ascii="Verdana" w:eastAsia="Verdana" w:hAnsi="Verdana" w:cs="Verdana"/>
          <w:sz w:val="20"/>
          <w:szCs w:val="20"/>
          <w:u w:color="000000"/>
          <w:lang w:val="en-US"/>
        </w:rPr>
      </w:pPr>
      <w:r>
        <w:rPr>
          <w:rFonts w:ascii="Verdana"/>
          <w:u w:color="000000"/>
          <w:lang w:val="en-US"/>
        </w:rPr>
        <w:t>Apart from the legal and international accountability described above, what political or institutional accounta</w:t>
      </w:r>
      <w:r>
        <w:rPr>
          <w:rFonts w:ascii="Verdana"/>
          <w:u w:color="000000"/>
          <w:lang w:val="en-US"/>
        </w:rPr>
        <w:t>bility mechanisms are in place in your country through which sub-national governments are held accountable to standards or requirements linked to the implementation of the right to adequate housing (</w:t>
      </w:r>
      <w:proofErr w:type="spellStart"/>
      <w:r>
        <w:rPr>
          <w:rFonts w:ascii="Verdana"/>
          <w:u w:color="000000"/>
          <w:lang w:val="en-US"/>
        </w:rPr>
        <w:t>eg</w:t>
      </w:r>
      <w:proofErr w:type="spellEnd"/>
      <w:r>
        <w:rPr>
          <w:rFonts w:ascii="Verdana"/>
          <w:u w:color="000000"/>
          <w:lang w:val="en-US"/>
        </w:rPr>
        <w:t>, Government review procedures, ombudsman/national huma</w:t>
      </w:r>
      <w:r>
        <w:rPr>
          <w:rFonts w:ascii="Verdana"/>
          <w:u w:color="000000"/>
          <w:lang w:val="en-US"/>
        </w:rPr>
        <w:t>n rights institutions, local human rights councils).  Please provide any useful examples of how these have been used and, if possible, assess the outcome.</w:t>
      </w: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 xml:space="preserve">As previously indicated there are no legally binding requirements for sub national governments to </w:t>
      </w:r>
      <w:r>
        <w:rPr>
          <w:rFonts w:ascii="Verdana"/>
          <w:u w:color="000000"/>
          <w:lang w:val="en-US"/>
        </w:rPr>
        <w:t>meet legal responsibilities associated with International conventions or Treaties.</w:t>
      </w:r>
    </w:p>
    <w:p w:rsidR="000F4777" w:rsidRDefault="00D72E8C">
      <w:pPr>
        <w:pStyle w:val="Body"/>
        <w:tabs>
          <w:tab w:val="left" w:pos="720"/>
        </w:tabs>
        <w:jc w:val="both"/>
        <w:rPr>
          <w:rFonts w:ascii="Verdana" w:eastAsia="Verdana" w:hAnsi="Verdana" w:cs="Verdana"/>
          <w:u w:color="000000"/>
          <w:lang w:val="en-US"/>
        </w:rPr>
      </w:pPr>
      <w:r>
        <w:rPr>
          <w:rFonts w:ascii="Verdana"/>
          <w:u w:color="000000"/>
          <w:lang w:val="en-US"/>
        </w:rPr>
        <w:t>We do have a Human Rights and Equal Opportunity Commission, but without power to coerce, we do have strict health and safety legislative requirements providing for standards</w:t>
      </w:r>
      <w:r>
        <w:rPr>
          <w:rFonts w:ascii="Verdana"/>
          <w:u w:color="000000"/>
          <w:lang w:val="en-US"/>
        </w:rPr>
        <w:t xml:space="preserve"> of housing to be met in State and Territory jurisdictions. We do have legislation in many jurisdictions covering the operation of tenancies, boarding houses and in some states caravan parks and our local governments have responsibility for monitoring the </w:t>
      </w:r>
      <w:r>
        <w:rPr>
          <w:rFonts w:ascii="Verdana"/>
          <w:u w:color="000000"/>
          <w:lang w:val="en-US"/>
        </w:rPr>
        <w:t>safety of housing through fire and other safety regulations and legislation.</w:t>
      </w:r>
    </w:p>
    <w:p w:rsidR="000F4777" w:rsidRDefault="000F4777">
      <w:pPr>
        <w:pStyle w:val="ListParagraph"/>
        <w:rPr>
          <w:rFonts w:ascii="Verdana" w:eastAsia="Verdana" w:hAnsi="Verdana" w:cs="Verdana"/>
          <w:sz w:val="22"/>
          <w:szCs w:val="22"/>
        </w:rPr>
      </w:pPr>
    </w:p>
    <w:p w:rsidR="000F4777" w:rsidRDefault="00D72E8C">
      <w:pPr>
        <w:pStyle w:val="Body"/>
        <w:numPr>
          <w:ilvl w:val="0"/>
          <w:numId w:val="22"/>
        </w:numPr>
        <w:tabs>
          <w:tab w:val="clear" w:pos="1080"/>
          <w:tab w:val="num" w:pos="1047"/>
        </w:tabs>
        <w:ind w:left="1047" w:hanging="327"/>
        <w:jc w:val="both"/>
        <w:rPr>
          <w:rFonts w:ascii="Verdana" w:eastAsia="Verdana" w:hAnsi="Verdana" w:cs="Verdana"/>
          <w:sz w:val="20"/>
          <w:szCs w:val="20"/>
          <w:u w:color="000000"/>
          <w:lang w:val="en-US"/>
        </w:rPr>
      </w:pPr>
      <w:r>
        <w:rPr>
          <w:rFonts w:ascii="Verdana"/>
          <w:u w:color="000000"/>
          <w:lang w:val="en-US"/>
        </w:rPr>
        <w:t>Please kindly identify what in your view may be the three most significant challenges in your country to effective accountability of sub-national governments to the right to adeq</w:t>
      </w:r>
      <w:r>
        <w:rPr>
          <w:rFonts w:ascii="Verdana"/>
          <w:u w:color="000000"/>
          <w:lang w:val="en-US"/>
        </w:rPr>
        <w:t xml:space="preserve">uate housing as guaranteed under international human rights law and identify key strategies or ideas for addressing these challenges. </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numPr>
          <w:ilvl w:val="0"/>
          <w:numId w:val="24"/>
        </w:numPr>
        <w:tabs>
          <w:tab w:val="clear" w:pos="360"/>
          <w:tab w:val="num" w:pos="327"/>
          <w:tab w:val="left" w:pos="720"/>
        </w:tabs>
        <w:ind w:left="327" w:hanging="327"/>
        <w:jc w:val="both"/>
        <w:rPr>
          <w:rFonts w:ascii="Verdana" w:eastAsia="Verdana" w:hAnsi="Verdana" w:cs="Verdana"/>
          <w:sz w:val="20"/>
          <w:szCs w:val="20"/>
          <w:u w:color="000000"/>
          <w:lang w:val="en-US"/>
        </w:rPr>
      </w:pPr>
      <w:r>
        <w:rPr>
          <w:rFonts w:ascii="Verdana"/>
          <w:u w:color="000000"/>
          <w:lang w:val="en-US"/>
        </w:rPr>
        <w:t>There is no requirement to meet international obligations within State and Territory legislation. Australian sub nationa</w:t>
      </w:r>
      <w:r>
        <w:rPr>
          <w:rFonts w:ascii="Verdana"/>
          <w:u w:color="000000"/>
          <w:lang w:val="en-US"/>
        </w:rPr>
        <w:t>l jurisdictions are not required to house all their citizens adequately. Most Australian households are well housed but we have a growing shortfall of affordable and available housing for our lowest income households, estimated by the National Housing Supp</w:t>
      </w:r>
      <w:r>
        <w:rPr>
          <w:rFonts w:ascii="Verdana"/>
          <w:u w:color="000000"/>
          <w:lang w:val="en-US"/>
        </w:rPr>
        <w:t>ly Council as 539,000 properties. This creates a big level of housing stress for low income households. The previous Rudd and Gillard governments developed a new National Affordable Housing Agreement which was broader in scope but retained a narrow focus o</w:t>
      </w:r>
      <w:r>
        <w:rPr>
          <w:rFonts w:ascii="Verdana"/>
          <w:u w:color="000000"/>
          <w:lang w:val="en-US"/>
        </w:rPr>
        <w:t xml:space="preserve">n welfare housing and did not address historic concerns over transparency and accountability and which does not deliver sufficient funding to States and Territories to address the long term supply shortfall. They did however provide significant additional </w:t>
      </w:r>
      <w:r>
        <w:rPr>
          <w:rFonts w:ascii="Verdana"/>
          <w:u w:color="000000"/>
          <w:lang w:val="en-US"/>
        </w:rPr>
        <w:t xml:space="preserve">funding in the areas of social housing provision, a new National Rental Affordability Scheme and new national partnership agreements on homelessness and remote Indigenous housing. </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numPr>
          <w:ilvl w:val="0"/>
          <w:numId w:val="24"/>
        </w:numPr>
        <w:tabs>
          <w:tab w:val="clear" w:pos="360"/>
          <w:tab w:val="num" w:pos="327"/>
          <w:tab w:val="left" w:pos="720"/>
        </w:tabs>
        <w:ind w:left="327" w:hanging="327"/>
        <w:jc w:val="both"/>
        <w:rPr>
          <w:rFonts w:ascii="Verdana" w:eastAsia="Verdana" w:hAnsi="Verdana" w:cs="Verdana"/>
          <w:sz w:val="20"/>
          <w:szCs w:val="20"/>
          <w:u w:color="000000"/>
          <w:lang w:val="en-US"/>
        </w:rPr>
      </w:pPr>
      <w:r>
        <w:rPr>
          <w:rFonts w:ascii="Verdana"/>
          <w:u w:color="000000"/>
          <w:lang w:val="en-US"/>
        </w:rPr>
        <w:t>Our most pressing housing challenges exist around remote Indigenous Commun</w:t>
      </w:r>
      <w:r>
        <w:rPr>
          <w:rFonts w:ascii="Verdana"/>
          <w:u w:color="000000"/>
          <w:lang w:val="en-US"/>
        </w:rPr>
        <w:t>ities but also for the majority Indigenous urban population. Approximately 25% of Indigenous Australians live in remote areas with 75% living in urban settings. Aboriginal and Torres Strait Islander (ATSI) Australians still suffer high levels of discrimina</w:t>
      </w:r>
      <w:r>
        <w:rPr>
          <w:rFonts w:ascii="Verdana"/>
          <w:u w:color="000000"/>
          <w:lang w:val="en-US"/>
        </w:rPr>
        <w:t xml:space="preserve">tion in obtaining and retaining housing. ATSI Australians live in highly overcrowded conditions in discreet communities and at much higher levels of overcrowding in general compared to the </w:t>
      </w:r>
      <w:proofErr w:type="spellStart"/>
      <w:r>
        <w:rPr>
          <w:rFonts w:ascii="Verdana"/>
          <w:u w:color="000000"/>
          <w:lang w:val="en-US"/>
        </w:rPr>
        <w:t>non Indigenous</w:t>
      </w:r>
      <w:proofErr w:type="spellEnd"/>
      <w:r>
        <w:rPr>
          <w:rFonts w:ascii="Verdana"/>
          <w:u w:color="000000"/>
          <w:lang w:val="en-US"/>
        </w:rPr>
        <w:t xml:space="preserve"> population.</w:t>
      </w:r>
    </w:p>
    <w:p w:rsidR="000F4777" w:rsidRDefault="000F4777">
      <w:pPr>
        <w:pStyle w:val="Body"/>
        <w:tabs>
          <w:tab w:val="left" w:pos="720"/>
        </w:tabs>
        <w:jc w:val="both"/>
        <w:rPr>
          <w:rFonts w:ascii="Verdana" w:eastAsia="Verdana" w:hAnsi="Verdana" w:cs="Verdana"/>
          <w:u w:color="000000"/>
          <w:lang w:val="en-US"/>
        </w:rPr>
      </w:pPr>
    </w:p>
    <w:p w:rsidR="000F4777" w:rsidRDefault="00D72E8C">
      <w:pPr>
        <w:pStyle w:val="Body"/>
        <w:numPr>
          <w:ilvl w:val="0"/>
          <w:numId w:val="24"/>
        </w:numPr>
        <w:tabs>
          <w:tab w:val="clear" w:pos="360"/>
          <w:tab w:val="num" w:pos="327"/>
          <w:tab w:val="left" w:pos="720"/>
        </w:tabs>
        <w:ind w:left="327" w:hanging="327"/>
        <w:jc w:val="both"/>
        <w:rPr>
          <w:rFonts w:ascii="Verdana" w:eastAsia="Verdana" w:hAnsi="Verdana" w:cs="Verdana"/>
          <w:sz w:val="20"/>
          <w:szCs w:val="20"/>
          <w:u w:color="000000"/>
          <w:lang w:val="en-US"/>
        </w:rPr>
      </w:pPr>
      <w:r>
        <w:rPr>
          <w:rFonts w:ascii="Verdana"/>
          <w:u w:color="000000"/>
          <w:lang w:val="en-US"/>
        </w:rPr>
        <w:t xml:space="preserve">There is inadequate accountability </w:t>
      </w:r>
      <w:r>
        <w:rPr>
          <w:rFonts w:ascii="Verdana"/>
          <w:u w:color="000000"/>
          <w:lang w:val="en-US"/>
        </w:rPr>
        <w:t>between the Commonwealth and States for meeting the housing shortfall and for spending the money allocated by the Commonwealth for these purposes. It creates a continual mistrust between levels of government in Australia about the transparency and accounta</w:t>
      </w:r>
      <w:r>
        <w:rPr>
          <w:rFonts w:ascii="Verdana"/>
          <w:u w:color="000000"/>
          <w:lang w:val="en-US"/>
        </w:rPr>
        <w:t>bility of our housing and homelessness programs.</w:t>
      </w:r>
    </w:p>
    <w:sectPr w:rsidR="000F4777">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E8C">
      <w:r>
        <w:separator/>
      </w:r>
    </w:p>
  </w:endnote>
  <w:endnote w:type="continuationSeparator" w:id="0">
    <w:p w:rsidR="00000000" w:rsidRDefault="00D7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77" w:rsidRDefault="000F4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777" w:rsidRDefault="00D72E8C">
      <w:r>
        <w:separator/>
      </w:r>
    </w:p>
  </w:footnote>
  <w:footnote w:type="continuationSeparator" w:id="0">
    <w:p w:rsidR="000F4777" w:rsidRDefault="00D72E8C">
      <w:r>
        <w:continuationSeparator/>
      </w:r>
    </w:p>
  </w:footnote>
  <w:footnote w:type="continuationNotice" w:id="1">
    <w:p w:rsidR="000F4777" w:rsidRDefault="000F4777"/>
  </w:footnote>
  <w:footnote w:id="2">
    <w:p w:rsidR="000F4777" w:rsidRDefault="00D72E8C">
      <w:pPr>
        <w:pStyle w:val="EndnoteText"/>
      </w:pPr>
      <w:r>
        <w:rPr>
          <w:rFonts w:ascii="Verdana" w:eastAsia="Verdana" w:hAnsi="Verdana" w:cs="Verdana"/>
          <w:i/>
          <w:iCs/>
          <w:vertAlign w:val="superscript"/>
        </w:rPr>
        <w:footnoteRef/>
      </w:r>
      <w:r>
        <w:rPr>
          <w:rFonts w:ascii="Verdana"/>
        </w:rPr>
        <w:t xml:space="preserve"> Taken from </w:t>
      </w:r>
      <w:proofErr w:type="spellStart"/>
      <w:r>
        <w:rPr>
          <w:rFonts w:ascii="Verdana"/>
        </w:rPr>
        <w:t>Dr</w:t>
      </w:r>
      <w:proofErr w:type="spellEnd"/>
      <w:r>
        <w:rPr>
          <w:rFonts w:ascii="Verdana"/>
        </w:rPr>
        <w:t xml:space="preserve"> Judith Yates, </w:t>
      </w:r>
      <w:r>
        <w:rPr>
          <w:rFonts w:ascii="Verdana"/>
          <w:i/>
          <w:iCs/>
        </w:rPr>
        <w:t xml:space="preserve">Housing Affordability </w:t>
      </w:r>
      <w:r>
        <w:rPr>
          <w:rFonts w:hAnsi="Arial Unicode MS"/>
        </w:rPr>
        <w:t>–</w:t>
      </w:r>
      <w:r>
        <w:rPr>
          <w:rFonts w:hAnsi="Arial Unicode MS"/>
        </w:rPr>
        <w:t xml:space="preserve"> </w:t>
      </w:r>
      <w:r>
        <w:rPr>
          <w:rFonts w:ascii="Verdana"/>
          <w:i/>
          <w:iCs/>
        </w:rPr>
        <w:t>Who Is the Most Affected?</w:t>
      </w:r>
      <w:r>
        <w:rPr>
          <w:rFonts w:ascii="Verdana"/>
        </w:rPr>
        <w:t xml:space="preserve">, adapted from </w:t>
      </w:r>
      <w:r>
        <w:rPr>
          <w:rFonts w:ascii="Verdana"/>
          <w:i/>
          <w:iCs/>
        </w:rPr>
        <w:t>Australia</w:t>
      </w:r>
      <w:r>
        <w:rPr>
          <w:rFonts w:hAnsi="Arial Unicode MS"/>
        </w:rPr>
        <w:t>’</w:t>
      </w:r>
      <w:r>
        <w:rPr>
          <w:rFonts w:ascii="Verdana"/>
          <w:i/>
          <w:iCs/>
        </w:rPr>
        <w:t>s Housing Affordability C</w:t>
      </w:r>
      <w:r>
        <w:rPr>
          <w:rFonts w:ascii="Verdana"/>
          <w:i/>
          <w:iCs/>
        </w:rPr>
        <w:t>risis</w:t>
      </w:r>
      <w:r>
        <w:rPr>
          <w:rFonts w:ascii="Verdana"/>
        </w:rPr>
        <w:t>, in The Australian Economic Review, vol. 41, no. 2, pp. 200</w:t>
      </w:r>
      <w:r>
        <w:rPr>
          <w:rFonts w:hAnsi="Arial Unicode MS"/>
        </w:rPr>
        <w:t>–</w:t>
      </w:r>
      <w:r>
        <w:rPr>
          <w:rFonts w:ascii="Verdana"/>
        </w:rPr>
        <w:t>14, 2008.  Figures from Productivity Commission (2004) to 2003, updated by ABS Cat no. 6416.0 to 2009</w:t>
      </w:r>
    </w:p>
  </w:footnote>
  <w:footnote w:id="3">
    <w:p w:rsidR="000F4777" w:rsidRDefault="00D72E8C">
      <w:pPr>
        <w:pStyle w:val="EndnoteText"/>
      </w:pPr>
      <w:r>
        <w:rPr>
          <w:rFonts w:ascii="Verdana" w:eastAsia="Verdana" w:hAnsi="Verdana" w:cs="Verdana"/>
          <w:vertAlign w:val="superscript"/>
        </w:rPr>
        <w:footnoteRef/>
      </w:r>
      <w:r>
        <w:rPr>
          <w:rFonts w:ascii="Verdana"/>
        </w:rPr>
        <w:t xml:space="preserve"> National Housing Supply Council, </w:t>
      </w:r>
      <w:r>
        <w:rPr>
          <w:rFonts w:ascii="Verdana"/>
          <w:i/>
          <w:iCs/>
        </w:rPr>
        <w:t xml:space="preserve">Housing Supply and Affordability </w:t>
      </w:r>
      <w:r>
        <w:rPr>
          <w:rFonts w:hAnsi="Arial Unicode MS"/>
        </w:rPr>
        <w:t>–</w:t>
      </w:r>
      <w:r>
        <w:rPr>
          <w:rFonts w:hAnsi="Arial Unicode MS"/>
        </w:rPr>
        <w:t xml:space="preserve"> </w:t>
      </w:r>
      <w:r>
        <w:rPr>
          <w:rFonts w:ascii="Verdana"/>
          <w:i/>
          <w:iCs/>
        </w:rPr>
        <w:t>Key Indicators</w:t>
      </w:r>
      <w:r>
        <w:rPr>
          <w:rFonts w:ascii="Verdana"/>
        </w:rPr>
        <w:t>, 20</w:t>
      </w:r>
      <w:r>
        <w:rPr>
          <w:rFonts w:ascii="Verdana"/>
        </w:rPr>
        <w:t>12, p22-27</w:t>
      </w:r>
    </w:p>
  </w:footnote>
  <w:footnote w:id="4">
    <w:p w:rsidR="000F4777" w:rsidRDefault="00D72E8C">
      <w:pPr>
        <w:pStyle w:val="EndnoteText"/>
      </w:pPr>
      <w:r>
        <w:rPr>
          <w:rFonts w:ascii="Verdana" w:eastAsia="Verdana" w:hAnsi="Verdana" w:cs="Verdana"/>
          <w:vertAlign w:val="superscript"/>
        </w:rPr>
        <w:footnoteRef/>
      </w:r>
      <w:r>
        <w:rPr>
          <w:rFonts w:ascii="Verdana"/>
        </w:rPr>
        <w:t xml:space="preserve"> </w:t>
      </w:r>
      <w:proofErr w:type="gramStart"/>
      <w:r>
        <w:rPr>
          <w:rFonts w:ascii="Verdana"/>
        </w:rPr>
        <w:t>Ibid, p47.</w:t>
      </w:r>
      <w:proofErr w:type="gramEnd"/>
      <w:r>
        <w:rPr>
          <w:rFonts w:ascii="Verdana"/>
        </w:rPr>
        <w:t xml:space="preserve">  The figure of 539,000 is arrived at as follows.  In 2009-10 there were 857,000 renter households in the bottom 40% of the income distribution, and 1,256,000 dwellings rented at an affordable price for these households.  However, 93</w:t>
      </w:r>
      <w:r>
        <w:rPr>
          <w:rFonts w:ascii="Verdana"/>
        </w:rPr>
        <w:t xml:space="preserve">7,000 of these dwellings were rented by households in higher income groups, leaving only 319,000 available for rent by low income households </w:t>
      </w:r>
      <w:r>
        <w:rPr>
          <w:rFonts w:hAnsi="Arial Unicode MS"/>
        </w:rPr>
        <w:t>–</w:t>
      </w:r>
      <w:r>
        <w:rPr>
          <w:rFonts w:hAnsi="Arial Unicode MS"/>
        </w:rPr>
        <w:t xml:space="preserve"> </w:t>
      </w:r>
      <w:r>
        <w:rPr>
          <w:rFonts w:ascii="Verdana"/>
        </w:rPr>
        <w:t>a shortfall of 539,000.</w:t>
      </w:r>
    </w:p>
  </w:footnote>
  <w:footnote w:id="5">
    <w:p w:rsidR="000F4777" w:rsidRDefault="00D72E8C">
      <w:pPr>
        <w:pStyle w:val="EndnoteText"/>
      </w:pPr>
      <w:r>
        <w:rPr>
          <w:rFonts w:ascii="Verdana" w:eastAsia="Verdana" w:hAnsi="Verdana" w:cs="Verdana"/>
          <w:vertAlign w:val="superscript"/>
        </w:rPr>
        <w:footnoteRef/>
      </w:r>
      <w:r>
        <w:rPr>
          <w:rFonts w:ascii="Verdana"/>
        </w:rPr>
        <w:t xml:space="preserve"> Ibid, p43</w:t>
      </w:r>
    </w:p>
  </w:footnote>
  <w:footnote w:id="6">
    <w:p w:rsidR="000F4777" w:rsidRDefault="00D72E8C">
      <w:pPr>
        <w:pStyle w:val="EndnoteText"/>
      </w:pPr>
      <w:r>
        <w:rPr>
          <w:rFonts w:ascii="Verdana" w:eastAsia="Verdana" w:hAnsi="Verdana" w:cs="Verdana"/>
          <w:vertAlign w:val="superscript"/>
        </w:rPr>
        <w:footnoteRef/>
      </w:r>
      <w:r>
        <w:rPr>
          <w:rFonts w:ascii="Verdana"/>
        </w:rPr>
        <w:t xml:space="preserve"> Queensland figures taken from Queensland Department of Housing and Public Works, </w:t>
      </w:r>
      <w:r>
        <w:rPr>
          <w:rFonts w:ascii="Verdana"/>
          <w:i/>
          <w:iCs/>
        </w:rPr>
        <w:t xml:space="preserve">Social Housing: Factors affecting sustainable delivery in Queensland, </w:t>
      </w:r>
      <w:r>
        <w:rPr>
          <w:rFonts w:ascii="Verdana"/>
        </w:rPr>
        <w:t>June 2012, pp4-5</w:t>
      </w:r>
    </w:p>
  </w:footnote>
  <w:footnote w:id="7">
    <w:p w:rsidR="000F4777" w:rsidRDefault="00D72E8C">
      <w:pPr>
        <w:pStyle w:val="EndnoteText"/>
      </w:pPr>
      <w:r>
        <w:rPr>
          <w:rFonts w:ascii="Verdana" w:eastAsia="Verdana" w:hAnsi="Verdana" w:cs="Verdana"/>
          <w:vertAlign w:val="superscript"/>
        </w:rPr>
        <w:footnoteRef/>
      </w:r>
      <w:r>
        <w:rPr>
          <w:rFonts w:ascii="Verdana"/>
        </w:rPr>
        <w:t xml:space="preserve"> NSW Figures taken from NSW Auditor-General</w:t>
      </w:r>
      <w:r>
        <w:rPr>
          <w:rFonts w:hAnsi="Arial Unicode MS"/>
        </w:rPr>
        <w:t>’</w:t>
      </w:r>
      <w:r>
        <w:rPr>
          <w:rFonts w:ascii="Verdana"/>
        </w:rPr>
        <w:t xml:space="preserve">s Report, </w:t>
      </w:r>
      <w:r>
        <w:rPr>
          <w:rFonts w:ascii="Verdana"/>
          <w:i/>
          <w:iCs/>
        </w:rPr>
        <w:t>Performance Audit: Making Better</w:t>
      </w:r>
      <w:r>
        <w:rPr>
          <w:rFonts w:ascii="Verdana"/>
          <w:i/>
          <w:iCs/>
        </w:rPr>
        <w:t xml:space="preserve"> Use of Public Housing,</w:t>
      </w:r>
      <w:r>
        <w:rPr>
          <w:rFonts w:ascii="Verdana"/>
        </w:rPr>
        <w:t xml:space="preserve"> July 2013, pp18-21</w:t>
      </w:r>
    </w:p>
  </w:footnote>
  <w:footnote w:id="8">
    <w:p w:rsidR="000F4777" w:rsidRDefault="00D72E8C">
      <w:pPr>
        <w:pStyle w:val="EndnoteText"/>
      </w:pPr>
      <w:r>
        <w:rPr>
          <w:rFonts w:ascii="Verdana" w:eastAsia="Verdana" w:hAnsi="Verdana" w:cs="Verdana"/>
          <w:vertAlign w:val="superscript"/>
        </w:rPr>
        <w:footnoteRef/>
      </w:r>
      <w:r>
        <w:rPr>
          <w:rFonts w:ascii="Verdana"/>
        </w:rPr>
        <w:t xml:space="preserve"> Australian Bureau of Statistics, </w:t>
      </w:r>
      <w:r>
        <w:rPr>
          <w:rFonts w:ascii="Verdana"/>
          <w:i/>
          <w:iCs/>
        </w:rPr>
        <w:t xml:space="preserve">Estimating Homelessness 2011, </w:t>
      </w:r>
      <w:r>
        <w:rPr>
          <w:rFonts w:ascii="Verdana"/>
        </w:rPr>
        <w:t>p5</w:t>
      </w:r>
    </w:p>
  </w:footnote>
  <w:footnote w:id="9">
    <w:p w:rsidR="000F4777" w:rsidRDefault="00D72E8C">
      <w:pPr>
        <w:pStyle w:val="EndnoteText"/>
      </w:pPr>
      <w:r>
        <w:rPr>
          <w:rFonts w:ascii="Verdana" w:eastAsia="Verdana" w:hAnsi="Verdana" w:cs="Verdana"/>
          <w:vertAlign w:val="superscript"/>
        </w:rPr>
        <w:footnoteRef/>
      </w:r>
      <w:r>
        <w:rPr>
          <w:rFonts w:ascii="Verdana"/>
        </w:rPr>
        <w:t xml:space="preserve"> Australian Institute of Health and Welfare, </w:t>
      </w:r>
      <w:r>
        <w:rPr>
          <w:rFonts w:ascii="Verdana"/>
          <w:i/>
          <w:iCs/>
        </w:rPr>
        <w:t xml:space="preserve">Specialist </w:t>
      </w:r>
      <w:proofErr w:type="spellStart"/>
      <w:r>
        <w:rPr>
          <w:rFonts w:ascii="Verdana"/>
          <w:i/>
          <w:iCs/>
        </w:rPr>
        <w:t>Hoemlessness</w:t>
      </w:r>
      <w:proofErr w:type="spellEnd"/>
      <w:r>
        <w:rPr>
          <w:rFonts w:ascii="Verdana"/>
          <w:i/>
          <w:iCs/>
        </w:rPr>
        <w:t xml:space="preserve"> Services 2012-13, </w:t>
      </w:r>
      <w:proofErr w:type="spellStart"/>
      <w:r>
        <w:rPr>
          <w:rFonts w:ascii="Verdana"/>
        </w:rPr>
        <w:t>pvii</w:t>
      </w:r>
      <w:proofErr w:type="spellEnd"/>
    </w:p>
  </w:footnote>
  <w:footnote w:id="10">
    <w:p w:rsidR="000F4777" w:rsidRDefault="00D72E8C">
      <w:pPr>
        <w:pStyle w:val="EndnoteText"/>
      </w:pPr>
      <w:r>
        <w:rPr>
          <w:rFonts w:ascii="Verdana" w:eastAsia="Verdana" w:hAnsi="Verdana" w:cs="Verdana"/>
          <w:i/>
          <w:iCs/>
          <w:vertAlign w:val="superscript"/>
        </w:rPr>
        <w:footnoteRef/>
      </w:r>
      <w:r>
        <w:rPr>
          <w:rFonts w:ascii="Verdana"/>
        </w:rPr>
        <w:t xml:space="preserve"> Adapted from a diagram in </w:t>
      </w:r>
      <w:r>
        <w:rPr>
          <w:rFonts w:ascii="Verdana"/>
          <w:i/>
          <w:iCs/>
        </w:rPr>
        <w:t xml:space="preserve">Delivering places where </w:t>
      </w:r>
      <w:r>
        <w:rPr>
          <w:rFonts w:ascii="Verdana"/>
          <w:i/>
          <w:iCs/>
        </w:rPr>
        <w:t>people live and achieving meaningful customer choice,</w:t>
      </w:r>
      <w:r>
        <w:rPr>
          <w:rFonts w:ascii="Verdana"/>
        </w:rPr>
        <w:t xml:space="preserve"> presentation by David </w:t>
      </w:r>
      <w:proofErr w:type="spellStart"/>
      <w:r>
        <w:rPr>
          <w:rFonts w:ascii="Verdana"/>
        </w:rPr>
        <w:t>Cowans</w:t>
      </w:r>
      <w:proofErr w:type="spellEnd"/>
      <w:r>
        <w:rPr>
          <w:rFonts w:ascii="Verdana"/>
        </w:rPr>
        <w:t>, Group Chief Executive, People for Places UK at the International Social Housing Summit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77" w:rsidRDefault="000F4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EC5"/>
    <w:multiLevelType w:val="multilevel"/>
    <w:tmpl w:val="550659AC"/>
    <w:lvl w:ilvl="0">
      <w:start w:val="1"/>
      <w:numFmt w:val="decimal"/>
      <w:lvlText w:val="%1."/>
      <w:lvlJc w:val="left"/>
      <w:pPr>
        <w:tabs>
          <w:tab w:val="num" w:pos="360"/>
        </w:tabs>
        <w:ind w:left="360" w:hanging="360"/>
      </w:pPr>
      <w:rPr>
        <w:position w:val="0"/>
        <w:sz w:val="22"/>
        <w:szCs w:val="22"/>
      </w:rPr>
    </w:lvl>
    <w:lvl w:ilvl="1">
      <w:start w:val="1"/>
      <w:numFmt w:val="decimal"/>
      <w:lvlText w:val="%2."/>
      <w:lvlJc w:val="left"/>
      <w:pPr>
        <w:tabs>
          <w:tab w:val="num" w:pos="720"/>
        </w:tabs>
        <w:ind w:left="720" w:hanging="360"/>
      </w:pPr>
      <w:rPr>
        <w:position w:val="0"/>
        <w:sz w:val="22"/>
        <w:szCs w:val="22"/>
      </w:rPr>
    </w:lvl>
    <w:lvl w:ilvl="2">
      <w:start w:val="1"/>
      <w:numFmt w:val="decimal"/>
      <w:lvlText w:val="%3."/>
      <w:lvlJc w:val="left"/>
      <w:pPr>
        <w:tabs>
          <w:tab w:val="num" w:pos="1080"/>
        </w:tabs>
        <w:ind w:left="1080" w:hanging="360"/>
      </w:pPr>
      <w:rPr>
        <w:position w:val="0"/>
        <w:sz w:val="22"/>
        <w:szCs w:val="22"/>
      </w:rPr>
    </w:lvl>
    <w:lvl w:ilvl="3">
      <w:start w:val="1"/>
      <w:numFmt w:val="decimal"/>
      <w:lvlText w:val="%4."/>
      <w:lvlJc w:val="left"/>
      <w:pPr>
        <w:tabs>
          <w:tab w:val="num" w:pos="1440"/>
        </w:tabs>
        <w:ind w:left="1440" w:hanging="360"/>
      </w:pPr>
      <w:rPr>
        <w:position w:val="0"/>
        <w:sz w:val="22"/>
        <w:szCs w:val="22"/>
      </w:rPr>
    </w:lvl>
    <w:lvl w:ilvl="4">
      <w:start w:val="1"/>
      <w:numFmt w:val="decimal"/>
      <w:lvlText w:val="%5."/>
      <w:lvlJc w:val="left"/>
      <w:pPr>
        <w:tabs>
          <w:tab w:val="num" w:pos="1800"/>
        </w:tabs>
        <w:ind w:left="1800" w:hanging="360"/>
      </w:pPr>
      <w:rPr>
        <w:position w:val="0"/>
        <w:sz w:val="22"/>
        <w:szCs w:val="22"/>
      </w:rPr>
    </w:lvl>
    <w:lvl w:ilvl="5">
      <w:start w:val="1"/>
      <w:numFmt w:val="decimal"/>
      <w:lvlText w:val="%6."/>
      <w:lvlJc w:val="left"/>
      <w:pPr>
        <w:tabs>
          <w:tab w:val="num" w:pos="2160"/>
        </w:tabs>
        <w:ind w:left="2160" w:hanging="360"/>
      </w:pPr>
      <w:rPr>
        <w:position w:val="0"/>
        <w:sz w:val="22"/>
        <w:szCs w:val="22"/>
      </w:rPr>
    </w:lvl>
    <w:lvl w:ilvl="6">
      <w:start w:val="1"/>
      <w:numFmt w:val="decimal"/>
      <w:lvlText w:val="%7."/>
      <w:lvlJc w:val="left"/>
      <w:pPr>
        <w:tabs>
          <w:tab w:val="num" w:pos="2520"/>
        </w:tabs>
        <w:ind w:left="2520" w:hanging="360"/>
      </w:pPr>
      <w:rPr>
        <w:position w:val="0"/>
        <w:sz w:val="22"/>
        <w:szCs w:val="22"/>
      </w:rPr>
    </w:lvl>
    <w:lvl w:ilvl="7">
      <w:start w:val="1"/>
      <w:numFmt w:val="decimal"/>
      <w:lvlText w:val="%8."/>
      <w:lvlJc w:val="left"/>
      <w:pPr>
        <w:tabs>
          <w:tab w:val="num" w:pos="2880"/>
        </w:tabs>
        <w:ind w:left="2880" w:hanging="360"/>
      </w:pPr>
      <w:rPr>
        <w:position w:val="0"/>
        <w:sz w:val="22"/>
        <w:szCs w:val="22"/>
      </w:rPr>
    </w:lvl>
    <w:lvl w:ilvl="8">
      <w:start w:val="1"/>
      <w:numFmt w:val="decimal"/>
      <w:lvlText w:val="%9."/>
      <w:lvlJc w:val="left"/>
      <w:pPr>
        <w:tabs>
          <w:tab w:val="num" w:pos="3240"/>
        </w:tabs>
        <w:ind w:left="3240" w:hanging="360"/>
      </w:pPr>
      <w:rPr>
        <w:position w:val="0"/>
        <w:sz w:val="22"/>
        <w:szCs w:val="22"/>
      </w:rPr>
    </w:lvl>
  </w:abstractNum>
  <w:abstractNum w:abstractNumId="1">
    <w:nsid w:val="0F3222D4"/>
    <w:multiLevelType w:val="multilevel"/>
    <w:tmpl w:val="B934B45A"/>
    <w:lvl w:ilvl="0">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2">
    <w:nsid w:val="182C16D1"/>
    <w:multiLevelType w:val="multilevel"/>
    <w:tmpl w:val="E62E025C"/>
    <w:lvl w:ilvl="0">
      <w:start w:val="1"/>
      <w:numFmt w:val="lowerRoman"/>
      <w:lvlText w:val="%1."/>
      <w:lvlJc w:val="left"/>
      <w:pPr>
        <w:tabs>
          <w:tab w:val="num" w:pos="2160"/>
        </w:tabs>
        <w:ind w:left="2160" w:hanging="456"/>
      </w:pPr>
      <w:rPr>
        <w:position w:val="0"/>
        <w:sz w:val="22"/>
        <w:szCs w:val="22"/>
      </w:rPr>
    </w:lvl>
    <w:lvl w:ilvl="1">
      <w:start w:val="1"/>
      <w:numFmt w:val="lowerLetter"/>
      <w:lvlText w:val="%2."/>
      <w:lvlJc w:val="left"/>
      <w:pPr>
        <w:tabs>
          <w:tab w:val="num" w:pos="2130"/>
        </w:tabs>
        <w:ind w:left="2130" w:hanging="330"/>
      </w:pPr>
      <w:rPr>
        <w:position w:val="0"/>
        <w:sz w:val="22"/>
        <w:szCs w:val="22"/>
      </w:rPr>
    </w:lvl>
    <w:lvl w:ilvl="2">
      <w:start w:val="1"/>
      <w:numFmt w:val="lowerRoman"/>
      <w:lvlText w:val="%3."/>
      <w:lvlJc w:val="left"/>
      <w:pPr>
        <w:tabs>
          <w:tab w:val="num" w:pos="2855"/>
        </w:tabs>
        <w:ind w:left="2855" w:hanging="271"/>
      </w:pPr>
      <w:rPr>
        <w:position w:val="0"/>
        <w:sz w:val="22"/>
        <w:szCs w:val="22"/>
      </w:rPr>
    </w:lvl>
    <w:lvl w:ilvl="3">
      <w:start w:val="1"/>
      <w:numFmt w:val="decimal"/>
      <w:lvlText w:val="%4."/>
      <w:lvlJc w:val="left"/>
      <w:pPr>
        <w:tabs>
          <w:tab w:val="num" w:pos="3570"/>
        </w:tabs>
        <w:ind w:left="3570" w:hanging="330"/>
      </w:pPr>
      <w:rPr>
        <w:position w:val="0"/>
        <w:sz w:val="22"/>
        <w:szCs w:val="22"/>
      </w:rPr>
    </w:lvl>
    <w:lvl w:ilvl="4">
      <w:start w:val="1"/>
      <w:numFmt w:val="lowerLetter"/>
      <w:lvlText w:val="%5."/>
      <w:lvlJc w:val="left"/>
      <w:pPr>
        <w:tabs>
          <w:tab w:val="num" w:pos="4290"/>
        </w:tabs>
        <w:ind w:left="4290" w:hanging="330"/>
      </w:pPr>
      <w:rPr>
        <w:position w:val="0"/>
        <w:sz w:val="22"/>
        <w:szCs w:val="22"/>
      </w:rPr>
    </w:lvl>
    <w:lvl w:ilvl="5">
      <w:start w:val="1"/>
      <w:numFmt w:val="lowerRoman"/>
      <w:lvlText w:val="%6."/>
      <w:lvlJc w:val="left"/>
      <w:pPr>
        <w:tabs>
          <w:tab w:val="num" w:pos="5015"/>
        </w:tabs>
        <w:ind w:left="5015" w:hanging="271"/>
      </w:pPr>
      <w:rPr>
        <w:position w:val="0"/>
        <w:sz w:val="22"/>
        <w:szCs w:val="22"/>
      </w:rPr>
    </w:lvl>
    <w:lvl w:ilvl="6">
      <w:start w:val="1"/>
      <w:numFmt w:val="decimal"/>
      <w:lvlText w:val="%7."/>
      <w:lvlJc w:val="left"/>
      <w:pPr>
        <w:tabs>
          <w:tab w:val="num" w:pos="5730"/>
        </w:tabs>
        <w:ind w:left="5730" w:hanging="330"/>
      </w:pPr>
      <w:rPr>
        <w:position w:val="0"/>
        <w:sz w:val="22"/>
        <w:szCs w:val="22"/>
      </w:rPr>
    </w:lvl>
    <w:lvl w:ilvl="7">
      <w:start w:val="1"/>
      <w:numFmt w:val="lowerLetter"/>
      <w:lvlText w:val="%8."/>
      <w:lvlJc w:val="left"/>
      <w:pPr>
        <w:tabs>
          <w:tab w:val="num" w:pos="6450"/>
        </w:tabs>
        <w:ind w:left="6450" w:hanging="330"/>
      </w:pPr>
      <w:rPr>
        <w:position w:val="0"/>
        <w:sz w:val="22"/>
        <w:szCs w:val="22"/>
      </w:rPr>
    </w:lvl>
    <w:lvl w:ilvl="8">
      <w:start w:val="1"/>
      <w:numFmt w:val="lowerRoman"/>
      <w:lvlText w:val="%9."/>
      <w:lvlJc w:val="left"/>
      <w:pPr>
        <w:tabs>
          <w:tab w:val="num" w:pos="7175"/>
        </w:tabs>
        <w:ind w:left="7175" w:hanging="271"/>
      </w:pPr>
      <w:rPr>
        <w:position w:val="0"/>
        <w:sz w:val="22"/>
        <w:szCs w:val="22"/>
      </w:rPr>
    </w:lvl>
  </w:abstractNum>
  <w:abstractNum w:abstractNumId="3">
    <w:nsid w:val="209F1C5B"/>
    <w:multiLevelType w:val="multilevel"/>
    <w:tmpl w:val="1DDCC4DE"/>
    <w:styleLink w:val="List21"/>
    <w:lvl w:ilvl="0">
      <w:start w:val="3"/>
      <w:numFmt w:val="decimal"/>
      <w:lvlText w:val="%1."/>
      <w:lvlJc w:val="left"/>
      <w:pPr>
        <w:tabs>
          <w:tab w:val="num" w:pos="1080"/>
        </w:tabs>
        <w:ind w:left="1080" w:hanging="360"/>
      </w:pPr>
      <w:rPr>
        <w:position w:val="0"/>
        <w:sz w:val="20"/>
        <w:szCs w:val="20"/>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4">
    <w:nsid w:val="22E26624"/>
    <w:multiLevelType w:val="multilevel"/>
    <w:tmpl w:val="7884BA6E"/>
    <w:lvl w:ilvl="0">
      <w:start w:val="1"/>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5">
    <w:nsid w:val="24E76115"/>
    <w:multiLevelType w:val="multilevel"/>
    <w:tmpl w:val="5406E0FA"/>
    <w:lvl w:ilvl="0">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6">
    <w:nsid w:val="257235B5"/>
    <w:multiLevelType w:val="multilevel"/>
    <w:tmpl w:val="24F64CAA"/>
    <w:lvl w:ilvl="0">
      <w:start w:val="1"/>
      <w:numFmt w:val="decimal"/>
      <w:lvlText w:val="%1."/>
      <w:lvlJc w:val="left"/>
      <w:pPr>
        <w:tabs>
          <w:tab w:val="num" w:pos="1440"/>
        </w:tabs>
        <w:ind w:left="1440" w:hanging="72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7">
    <w:nsid w:val="2800512F"/>
    <w:multiLevelType w:val="multilevel"/>
    <w:tmpl w:val="76C4A6D8"/>
    <w:lvl w:ilvl="0">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8">
    <w:nsid w:val="2C31017C"/>
    <w:multiLevelType w:val="multilevel"/>
    <w:tmpl w:val="2C3ECFCA"/>
    <w:styleLink w:val="List31"/>
    <w:lvl w:ilvl="0">
      <w:start w:val="5"/>
      <w:numFmt w:val="decimal"/>
      <w:lvlText w:val="%1."/>
      <w:lvlJc w:val="left"/>
      <w:pPr>
        <w:tabs>
          <w:tab w:val="num" w:pos="1080"/>
        </w:tabs>
        <w:ind w:left="1080" w:hanging="360"/>
      </w:pPr>
      <w:rPr>
        <w:position w:val="0"/>
        <w:sz w:val="20"/>
        <w:szCs w:val="20"/>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9">
    <w:nsid w:val="304E6843"/>
    <w:multiLevelType w:val="multilevel"/>
    <w:tmpl w:val="54F0F4D8"/>
    <w:lvl w:ilvl="0">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10">
    <w:nsid w:val="39BB67C7"/>
    <w:multiLevelType w:val="multilevel"/>
    <w:tmpl w:val="1A1893E6"/>
    <w:lvl w:ilvl="0">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11">
    <w:nsid w:val="469F7EA8"/>
    <w:multiLevelType w:val="multilevel"/>
    <w:tmpl w:val="80A835E4"/>
    <w:lvl w:ilvl="0">
      <w:start w:val="1"/>
      <w:numFmt w:val="decimal"/>
      <w:lvlText w:val="%1."/>
      <w:lvlJc w:val="left"/>
      <w:pPr>
        <w:tabs>
          <w:tab w:val="num" w:pos="1080"/>
        </w:tabs>
        <w:ind w:left="1080" w:hanging="36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2">
    <w:nsid w:val="4B747551"/>
    <w:multiLevelType w:val="multilevel"/>
    <w:tmpl w:val="C77691DE"/>
    <w:styleLink w:val="List41"/>
    <w:lvl w:ilvl="0">
      <w:start w:val="1"/>
      <w:numFmt w:val="lowerRoman"/>
      <w:lvlText w:val="%1."/>
      <w:lvlJc w:val="left"/>
      <w:pPr>
        <w:tabs>
          <w:tab w:val="num" w:pos="2160"/>
        </w:tabs>
        <w:ind w:left="2160" w:hanging="456"/>
      </w:pPr>
      <w:rPr>
        <w:position w:val="0"/>
        <w:sz w:val="20"/>
        <w:szCs w:val="20"/>
      </w:rPr>
    </w:lvl>
    <w:lvl w:ilvl="1">
      <w:start w:val="1"/>
      <w:numFmt w:val="lowerLetter"/>
      <w:lvlText w:val="%2."/>
      <w:lvlJc w:val="left"/>
      <w:pPr>
        <w:tabs>
          <w:tab w:val="num" w:pos="2130"/>
        </w:tabs>
        <w:ind w:left="2130" w:hanging="330"/>
      </w:pPr>
      <w:rPr>
        <w:position w:val="0"/>
        <w:sz w:val="22"/>
        <w:szCs w:val="22"/>
      </w:rPr>
    </w:lvl>
    <w:lvl w:ilvl="2">
      <w:start w:val="1"/>
      <w:numFmt w:val="lowerRoman"/>
      <w:lvlText w:val="%3."/>
      <w:lvlJc w:val="left"/>
      <w:pPr>
        <w:tabs>
          <w:tab w:val="num" w:pos="2855"/>
        </w:tabs>
        <w:ind w:left="2855" w:hanging="271"/>
      </w:pPr>
      <w:rPr>
        <w:position w:val="0"/>
        <w:sz w:val="22"/>
        <w:szCs w:val="22"/>
      </w:rPr>
    </w:lvl>
    <w:lvl w:ilvl="3">
      <w:start w:val="1"/>
      <w:numFmt w:val="decimal"/>
      <w:lvlText w:val="%4."/>
      <w:lvlJc w:val="left"/>
      <w:pPr>
        <w:tabs>
          <w:tab w:val="num" w:pos="3570"/>
        </w:tabs>
        <w:ind w:left="3570" w:hanging="330"/>
      </w:pPr>
      <w:rPr>
        <w:position w:val="0"/>
        <w:sz w:val="22"/>
        <w:szCs w:val="22"/>
      </w:rPr>
    </w:lvl>
    <w:lvl w:ilvl="4">
      <w:start w:val="1"/>
      <w:numFmt w:val="lowerLetter"/>
      <w:lvlText w:val="%5."/>
      <w:lvlJc w:val="left"/>
      <w:pPr>
        <w:tabs>
          <w:tab w:val="num" w:pos="4290"/>
        </w:tabs>
        <w:ind w:left="4290" w:hanging="330"/>
      </w:pPr>
      <w:rPr>
        <w:position w:val="0"/>
        <w:sz w:val="22"/>
        <w:szCs w:val="22"/>
      </w:rPr>
    </w:lvl>
    <w:lvl w:ilvl="5">
      <w:start w:val="1"/>
      <w:numFmt w:val="lowerRoman"/>
      <w:lvlText w:val="%6."/>
      <w:lvlJc w:val="left"/>
      <w:pPr>
        <w:tabs>
          <w:tab w:val="num" w:pos="5015"/>
        </w:tabs>
        <w:ind w:left="5015" w:hanging="271"/>
      </w:pPr>
      <w:rPr>
        <w:position w:val="0"/>
        <w:sz w:val="22"/>
        <w:szCs w:val="22"/>
      </w:rPr>
    </w:lvl>
    <w:lvl w:ilvl="6">
      <w:start w:val="1"/>
      <w:numFmt w:val="decimal"/>
      <w:lvlText w:val="%7."/>
      <w:lvlJc w:val="left"/>
      <w:pPr>
        <w:tabs>
          <w:tab w:val="num" w:pos="5730"/>
        </w:tabs>
        <w:ind w:left="5730" w:hanging="330"/>
      </w:pPr>
      <w:rPr>
        <w:position w:val="0"/>
        <w:sz w:val="22"/>
        <w:szCs w:val="22"/>
      </w:rPr>
    </w:lvl>
    <w:lvl w:ilvl="7">
      <w:start w:val="1"/>
      <w:numFmt w:val="lowerLetter"/>
      <w:lvlText w:val="%8."/>
      <w:lvlJc w:val="left"/>
      <w:pPr>
        <w:tabs>
          <w:tab w:val="num" w:pos="6450"/>
        </w:tabs>
        <w:ind w:left="6450" w:hanging="330"/>
      </w:pPr>
      <w:rPr>
        <w:position w:val="0"/>
        <w:sz w:val="22"/>
        <w:szCs w:val="22"/>
      </w:rPr>
    </w:lvl>
    <w:lvl w:ilvl="8">
      <w:start w:val="1"/>
      <w:numFmt w:val="lowerRoman"/>
      <w:lvlText w:val="%9."/>
      <w:lvlJc w:val="left"/>
      <w:pPr>
        <w:tabs>
          <w:tab w:val="num" w:pos="7175"/>
        </w:tabs>
        <w:ind w:left="7175" w:hanging="271"/>
      </w:pPr>
      <w:rPr>
        <w:position w:val="0"/>
        <w:sz w:val="22"/>
        <w:szCs w:val="22"/>
      </w:rPr>
    </w:lvl>
  </w:abstractNum>
  <w:abstractNum w:abstractNumId="13">
    <w:nsid w:val="4C384885"/>
    <w:multiLevelType w:val="multilevel"/>
    <w:tmpl w:val="9C62E778"/>
    <w:styleLink w:val="List1"/>
    <w:lvl w:ilvl="0">
      <w:start w:val="1"/>
      <w:numFmt w:val="decimal"/>
      <w:lvlText w:val="%1."/>
      <w:lvlJc w:val="left"/>
      <w:pPr>
        <w:tabs>
          <w:tab w:val="num" w:pos="1440"/>
        </w:tabs>
        <w:ind w:left="1440" w:hanging="720"/>
      </w:pPr>
      <w:rPr>
        <w:position w:val="0"/>
        <w:sz w:val="20"/>
        <w:szCs w:val="20"/>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4">
    <w:nsid w:val="4DCA05ED"/>
    <w:multiLevelType w:val="multilevel"/>
    <w:tmpl w:val="FDF2CB4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nsid w:val="4E5B2E23"/>
    <w:multiLevelType w:val="multilevel"/>
    <w:tmpl w:val="8026986E"/>
    <w:styleLink w:val="List0"/>
    <w:lvl w:ilvl="0">
      <w:numFmt w:val="bullet"/>
      <w:lvlText w:val="•"/>
      <w:lvlJc w:val="left"/>
      <w:rPr>
        <w:rFonts w:ascii="Verdana" w:eastAsia="Verdana" w:hAnsi="Verdana" w:cs="Verdana"/>
        <w:color w:val="000000"/>
        <w:position w:val="0"/>
      </w:rPr>
    </w:lvl>
    <w:lvl w:ilvl="1">
      <w:start w:val="1"/>
      <w:numFmt w:val="bullet"/>
      <w:lvlText w:val="o"/>
      <w:lvlJc w:val="left"/>
      <w:rPr>
        <w:rFonts w:ascii="Verdana" w:eastAsia="Verdana" w:hAnsi="Verdana" w:cs="Verdana"/>
        <w:color w:val="000000"/>
        <w:position w:val="0"/>
      </w:rPr>
    </w:lvl>
    <w:lvl w:ilvl="2">
      <w:start w:val="1"/>
      <w:numFmt w:val="bullet"/>
      <w:lvlText w:val="▪"/>
      <w:lvlJc w:val="left"/>
      <w:rPr>
        <w:rFonts w:ascii="Verdana" w:eastAsia="Verdana" w:hAnsi="Verdana" w:cs="Verdana"/>
        <w:color w:val="000000"/>
        <w:position w:val="0"/>
      </w:rPr>
    </w:lvl>
    <w:lvl w:ilvl="3">
      <w:start w:val="1"/>
      <w:numFmt w:val="bullet"/>
      <w:lvlText w:val="•"/>
      <w:lvlJc w:val="left"/>
      <w:rPr>
        <w:rFonts w:ascii="Verdana" w:eastAsia="Verdana" w:hAnsi="Verdana" w:cs="Verdana"/>
        <w:color w:val="000000"/>
        <w:position w:val="0"/>
      </w:rPr>
    </w:lvl>
    <w:lvl w:ilvl="4">
      <w:start w:val="1"/>
      <w:numFmt w:val="bullet"/>
      <w:lvlText w:val="o"/>
      <w:lvlJc w:val="left"/>
      <w:rPr>
        <w:rFonts w:ascii="Verdana" w:eastAsia="Verdana" w:hAnsi="Verdana" w:cs="Verdana"/>
        <w:color w:val="000000"/>
        <w:position w:val="0"/>
      </w:rPr>
    </w:lvl>
    <w:lvl w:ilvl="5">
      <w:start w:val="1"/>
      <w:numFmt w:val="bullet"/>
      <w:lvlText w:val="▪"/>
      <w:lvlJc w:val="left"/>
      <w:rPr>
        <w:rFonts w:ascii="Verdana" w:eastAsia="Verdana" w:hAnsi="Verdana" w:cs="Verdana"/>
        <w:color w:val="000000"/>
        <w:position w:val="0"/>
      </w:rPr>
    </w:lvl>
    <w:lvl w:ilvl="6">
      <w:start w:val="1"/>
      <w:numFmt w:val="bullet"/>
      <w:lvlText w:val="•"/>
      <w:lvlJc w:val="left"/>
      <w:rPr>
        <w:rFonts w:ascii="Verdana" w:eastAsia="Verdana" w:hAnsi="Verdana" w:cs="Verdana"/>
        <w:color w:val="000000"/>
        <w:position w:val="0"/>
      </w:rPr>
    </w:lvl>
    <w:lvl w:ilvl="7">
      <w:start w:val="1"/>
      <w:numFmt w:val="bullet"/>
      <w:lvlText w:val="o"/>
      <w:lvlJc w:val="left"/>
      <w:rPr>
        <w:rFonts w:ascii="Verdana" w:eastAsia="Verdana" w:hAnsi="Verdana" w:cs="Verdana"/>
        <w:color w:val="000000"/>
        <w:position w:val="0"/>
      </w:rPr>
    </w:lvl>
    <w:lvl w:ilvl="8">
      <w:start w:val="1"/>
      <w:numFmt w:val="bullet"/>
      <w:lvlText w:val="▪"/>
      <w:lvlJc w:val="left"/>
      <w:rPr>
        <w:rFonts w:ascii="Verdana" w:eastAsia="Verdana" w:hAnsi="Verdana" w:cs="Verdana"/>
        <w:color w:val="000000"/>
        <w:position w:val="0"/>
      </w:rPr>
    </w:lvl>
  </w:abstractNum>
  <w:abstractNum w:abstractNumId="16">
    <w:nsid w:val="4F220BAB"/>
    <w:multiLevelType w:val="multilevel"/>
    <w:tmpl w:val="82103A52"/>
    <w:lvl w:ilvl="0">
      <w:start w:val="1"/>
      <w:numFmt w:val="decimal"/>
      <w:lvlText w:val="%1."/>
      <w:lvlJc w:val="left"/>
      <w:pPr>
        <w:tabs>
          <w:tab w:val="num" w:pos="1080"/>
        </w:tabs>
        <w:ind w:left="1080" w:hanging="36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7">
    <w:nsid w:val="4FD44C10"/>
    <w:multiLevelType w:val="multilevel"/>
    <w:tmpl w:val="8A74F78C"/>
    <w:styleLink w:val="Numbered"/>
    <w:lvl w:ilvl="0">
      <w:start w:val="1"/>
      <w:numFmt w:val="decimal"/>
      <w:lvlText w:val="%1."/>
      <w:lvlJc w:val="left"/>
      <w:pPr>
        <w:tabs>
          <w:tab w:val="num" w:pos="360"/>
        </w:tabs>
        <w:ind w:left="360" w:hanging="360"/>
      </w:pPr>
      <w:rPr>
        <w:position w:val="0"/>
        <w:sz w:val="20"/>
        <w:szCs w:val="20"/>
      </w:rPr>
    </w:lvl>
    <w:lvl w:ilvl="1">
      <w:start w:val="1"/>
      <w:numFmt w:val="decimal"/>
      <w:lvlText w:val="%2."/>
      <w:lvlJc w:val="left"/>
      <w:pPr>
        <w:tabs>
          <w:tab w:val="num" w:pos="720"/>
        </w:tabs>
        <w:ind w:left="720" w:hanging="360"/>
      </w:pPr>
      <w:rPr>
        <w:position w:val="0"/>
        <w:sz w:val="22"/>
        <w:szCs w:val="22"/>
      </w:rPr>
    </w:lvl>
    <w:lvl w:ilvl="2">
      <w:start w:val="1"/>
      <w:numFmt w:val="decimal"/>
      <w:lvlText w:val="%3."/>
      <w:lvlJc w:val="left"/>
      <w:pPr>
        <w:tabs>
          <w:tab w:val="num" w:pos="1080"/>
        </w:tabs>
        <w:ind w:left="1080" w:hanging="360"/>
      </w:pPr>
      <w:rPr>
        <w:position w:val="0"/>
        <w:sz w:val="22"/>
        <w:szCs w:val="22"/>
      </w:rPr>
    </w:lvl>
    <w:lvl w:ilvl="3">
      <w:start w:val="1"/>
      <w:numFmt w:val="decimal"/>
      <w:lvlText w:val="%4."/>
      <w:lvlJc w:val="left"/>
      <w:pPr>
        <w:tabs>
          <w:tab w:val="num" w:pos="1440"/>
        </w:tabs>
        <w:ind w:left="1440" w:hanging="360"/>
      </w:pPr>
      <w:rPr>
        <w:position w:val="0"/>
        <w:sz w:val="22"/>
        <w:szCs w:val="22"/>
      </w:rPr>
    </w:lvl>
    <w:lvl w:ilvl="4">
      <w:start w:val="1"/>
      <w:numFmt w:val="decimal"/>
      <w:lvlText w:val="%5."/>
      <w:lvlJc w:val="left"/>
      <w:pPr>
        <w:tabs>
          <w:tab w:val="num" w:pos="1800"/>
        </w:tabs>
        <w:ind w:left="1800" w:hanging="360"/>
      </w:pPr>
      <w:rPr>
        <w:position w:val="0"/>
        <w:sz w:val="22"/>
        <w:szCs w:val="22"/>
      </w:rPr>
    </w:lvl>
    <w:lvl w:ilvl="5">
      <w:start w:val="1"/>
      <w:numFmt w:val="decimal"/>
      <w:lvlText w:val="%6."/>
      <w:lvlJc w:val="left"/>
      <w:pPr>
        <w:tabs>
          <w:tab w:val="num" w:pos="2160"/>
        </w:tabs>
        <w:ind w:left="2160" w:hanging="360"/>
      </w:pPr>
      <w:rPr>
        <w:position w:val="0"/>
        <w:sz w:val="22"/>
        <w:szCs w:val="22"/>
      </w:rPr>
    </w:lvl>
    <w:lvl w:ilvl="6">
      <w:start w:val="1"/>
      <w:numFmt w:val="decimal"/>
      <w:lvlText w:val="%7."/>
      <w:lvlJc w:val="left"/>
      <w:pPr>
        <w:tabs>
          <w:tab w:val="num" w:pos="2520"/>
        </w:tabs>
        <w:ind w:left="2520" w:hanging="360"/>
      </w:pPr>
      <w:rPr>
        <w:position w:val="0"/>
        <w:sz w:val="22"/>
        <w:szCs w:val="22"/>
      </w:rPr>
    </w:lvl>
    <w:lvl w:ilvl="7">
      <w:start w:val="1"/>
      <w:numFmt w:val="decimal"/>
      <w:lvlText w:val="%8."/>
      <w:lvlJc w:val="left"/>
      <w:pPr>
        <w:tabs>
          <w:tab w:val="num" w:pos="2880"/>
        </w:tabs>
        <w:ind w:left="2880" w:hanging="360"/>
      </w:pPr>
      <w:rPr>
        <w:position w:val="0"/>
        <w:sz w:val="22"/>
        <w:szCs w:val="22"/>
      </w:rPr>
    </w:lvl>
    <w:lvl w:ilvl="8">
      <w:start w:val="1"/>
      <w:numFmt w:val="decimal"/>
      <w:lvlText w:val="%9."/>
      <w:lvlJc w:val="left"/>
      <w:pPr>
        <w:tabs>
          <w:tab w:val="num" w:pos="3240"/>
        </w:tabs>
        <w:ind w:left="3240" w:hanging="360"/>
      </w:pPr>
      <w:rPr>
        <w:position w:val="0"/>
        <w:sz w:val="22"/>
        <w:szCs w:val="22"/>
      </w:rPr>
    </w:lvl>
  </w:abstractNum>
  <w:abstractNum w:abstractNumId="18">
    <w:nsid w:val="69AF21E6"/>
    <w:multiLevelType w:val="multilevel"/>
    <w:tmpl w:val="6EC60318"/>
    <w:styleLink w:val="List51"/>
    <w:lvl w:ilvl="0">
      <w:start w:val="3"/>
      <w:numFmt w:val="decimal"/>
      <w:lvlText w:val="%1."/>
      <w:lvlJc w:val="left"/>
      <w:pPr>
        <w:tabs>
          <w:tab w:val="num" w:pos="1080"/>
        </w:tabs>
        <w:ind w:left="1080" w:hanging="360"/>
      </w:pPr>
      <w:rPr>
        <w:position w:val="0"/>
        <w:sz w:val="20"/>
        <w:szCs w:val="20"/>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19">
    <w:nsid w:val="69D565F2"/>
    <w:multiLevelType w:val="multilevel"/>
    <w:tmpl w:val="8CC857C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0">
    <w:nsid w:val="74576BE4"/>
    <w:multiLevelType w:val="multilevel"/>
    <w:tmpl w:val="AF1096F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nsid w:val="77D87441"/>
    <w:multiLevelType w:val="multilevel"/>
    <w:tmpl w:val="3FE48598"/>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2">
    <w:nsid w:val="7B9A1845"/>
    <w:multiLevelType w:val="multilevel"/>
    <w:tmpl w:val="8CA87482"/>
    <w:lvl w:ilvl="0">
      <w:start w:val="1"/>
      <w:numFmt w:val="decimal"/>
      <w:lvlText w:val="%1."/>
      <w:lvlJc w:val="left"/>
      <w:pPr>
        <w:tabs>
          <w:tab w:val="num" w:pos="1080"/>
        </w:tabs>
        <w:ind w:left="1080" w:hanging="360"/>
      </w:pPr>
      <w:rPr>
        <w:position w:val="0"/>
        <w:sz w:val="22"/>
        <w:szCs w:val="22"/>
      </w:rPr>
    </w:lvl>
    <w:lvl w:ilvl="1">
      <w:start w:val="1"/>
      <w:numFmt w:val="lowerLetter"/>
      <w:lvlText w:val="%2."/>
      <w:lvlJc w:val="left"/>
      <w:pPr>
        <w:tabs>
          <w:tab w:val="num" w:pos="1770"/>
        </w:tabs>
        <w:ind w:left="1770" w:hanging="330"/>
      </w:pPr>
      <w:rPr>
        <w:position w:val="0"/>
        <w:sz w:val="22"/>
        <w:szCs w:val="22"/>
      </w:rPr>
    </w:lvl>
    <w:lvl w:ilvl="2">
      <w:start w:val="1"/>
      <w:numFmt w:val="lowerRoman"/>
      <w:lvlText w:val="%3."/>
      <w:lvlJc w:val="left"/>
      <w:pPr>
        <w:tabs>
          <w:tab w:val="num" w:pos="2495"/>
        </w:tabs>
        <w:ind w:left="2495" w:hanging="271"/>
      </w:pPr>
      <w:rPr>
        <w:position w:val="0"/>
        <w:sz w:val="22"/>
        <w:szCs w:val="22"/>
      </w:rPr>
    </w:lvl>
    <w:lvl w:ilvl="3">
      <w:start w:val="1"/>
      <w:numFmt w:val="decimal"/>
      <w:lvlText w:val="%4."/>
      <w:lvlJc w:val="left"/>
      <w:pPr>
        <w:tabs>
          <w:tab w:val="num" w:pos="3210"/>
        </w:tabs>
        <w:ind w:left="3210" w:hanging="330"/>
      </w:pPr>
      <w:rPr>
        <w:position w:val="0"/>
        <w:sz w:val="22"/>
        <w:szCs w:val="22"/>
      </w:rPr>
    </w:lvl>
    <w:lvl w:ilvl="4">
      <w:start w:val="1"/>
      <w:numFmt w:val="lowerLetter"/>
      <w:lvlText w:val="%5."/>
      <w:lvlJc w:val="left"/>
      <w:pPr>
        <w:tabs>
          <w:tab w:val="num" w:pos="3930"/>
        </w:tabs>
        <w:ind w:left="3930" w:hanging="330"/>
      </w:pPr>
      <w:rPr>
        <w:position w:val="0"/>
        <w:sz w:val="22"/>
        <w:szCs w:val="22"/>
      </w:rPr>
    </w:lvl>
    <w:lvl w:ilvl="5">
      <w:start w:val="1"/>
      <w:numFmt w:val="lowerRoman"/>
      <w:lvlText w:val="%6."/>
      <w:lvlJc w:val="left"/>
      <w:pPr>
        <w:tabs>
          <w:tab w:val="num" w:pos="4655"/>
        </w:tabs>
        <w:ind w:left="4655" w:hanging="271"/>
      </w:pPr>
      <w:rPr>
        <w:position w:val="0"/>
        <w:sz w:val="22"/>
        <w:szCs w:val="22"/>
      </w:rPr>
    </w:lvl>
    <w:lvl w:ilvl="6">
      <w:start w:val="1"/>
      <w:numFmt w:val="decimal"/>
      <w:lvlText w:val="%7."/>
      <w:lvlJc w:val="left"/>
      <w:pPr>
        <w:tabs>
          <w:tab w:val="num" w:pos="5370"/>
        </w:tabs>
        <w:ind w:left="5370" w:hanging="330"/>
      </w:pPr>
      <w:rPr>
        <w:position w:val="0"/>
        <w:sz w:val="22"/>
        <w:szCs w:val="22"/>
      </w:rPr>
    </w:lvl>
    <w:lvl w:ilvl="7">
      <w:start w:val="1"/>
      <w:numFmt w:val="lowerLetter"/>
      <w:lvlText w:val="%8."/>
      <w:lvlJc w:val="left"/>
      <w:pPr>
        <w:tabs>
          <w:tab w:val="num" w:pos="6090"/>
        </w:tabs>
        <w:ind w:left="6090" w:hanging="330"/>
      </w:pPr>
      <w:rPr>
        <w:position w:val="0"/>
        <w:sz w:val="22"/>
        <w:szCs w:val="22"/>
      </w:rPr>
    </w:lvl>
    <w:lvl w:ilvl="8">
      <w:start w:val="1"/>
      <w:numFmt w:val="lowerRoman"/>
      <w:lvlText w:val="%9."/>
      <w:lvlJc w:val="left"/>
      <w:pPr>
        <w:tabs>
          <w:tab w:val="num" w:pos="6815"/>
        </w:tabs>
        <w:ind w:left="6815" w:hanging="271"/>
      </w:pPr>
      <w:rPr>
        <w:position w:val="0"/>
        <w:sz w:val="22"/>
        <w:szCs w:val="22"/>
      </w:rPr>
    </w:lvl>
  </w:abstractNum>
  <w:abstractNum w:abstractNumId="23">
    <w:nsid w:val="7EC23046"/>
    <w:multiLevelType w:val="multilevel"/>
    <w:tmpl w:val="79483D4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4"/>
  </w:num>
  <w:num w:numId="2">
    <w:abstractNumId w:val="14"/>
  </w:num>
  <w:num w:numId="3">
    <w:abstractNumId w:val="1"/>
  </w:num>
  <w:num w:numId="4">
    <w:abstractNumId w:val="7"/>
  </w:num>
  <w:num w:numId="5">
    <w:abstractNumId w:val="5"/>
  </w:num>
  <w:num w:numId="6">
    <w:abstractNumId w:val="10"/>
  </w:num>
  <w:num w:numId="7">
    <w:abstractNumId w:val="9"/>
  </w:num>
  <w:num w:numId="8">
    <w:abstractNumId w:val="15"/>
  </w:num>
  <w:num w:numId="9">
    <w:abstractNumId w:val="6"/>
  </w:num>
  <w:num w:numId="10">
    <w:abstractNumId w:val="13"/>
  </w:num>
  <w:num w:numId="11">
    <w:abstractNumId w:val="16"/>
  </w:num>
  <w:num w:numId="12">
    <w:abstractNumId w:val="20"/>
  </w:num>
  <w:num w:numId="13">
    <w:abstractNumId w:val="3"/>
  </w:num>
  <w:num w:numId="14">
    <w:abstractNumId w:val="22"/>
  </w:num>
  <w:num w:numId="15">
    <w:abstractNumId w:val="23"/>
  </w:num>
  <w:num w:numId="16">
    <w:abstractNumId w:val="8"/>
  </w:num>
  <w:num w:numId="17">
    <w:abstractNumId w:val="2"/>
  </w:num>
  <w:num w:numId="18">
    <w:abstractNumId w:val="21"/>
  </w:num>
  <w:num w:numId="19">
    <w:abstractNumId w:val="12"/>
  </w:num>
  <w:num w:numId="20">
    <w:abstractNumId w:val="11"/>
  </w:num>
  <w:num w:numId="21">
    <w:abstractNumId w:val="19"/>
  </w:num>
  <w:num w:numId="22">
    <w:abstractNumId w:val="18"/>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F4777"/>
    <w:rsid w:val="000F4777"/>
    <w:rsid w:val="00D72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6">
    <w:name w:val="heading 6"/>
    <w:next w:val="BodyB"/>
    <w:pPr>
      <w:spacing w:before="300" w:line="276" w:lineRule="auto"/>
      <w:outlineLvl w:val="5"/>
    </w:pPr>
    <w:rPr>
      <w:rFonts w:ascii="Trebuchet MS" w:hAnsi="Arial Unicode MS" w:cs="Arial Unicode MS"/>
      <w:caps/>
      <w:color w:val="365F91"/>
      <w:spacing w:val="10"/>
      <w:sz w:val="22"/>
      <w:szCs w:val="22"/>
      <w:u w:color="365F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keepNext/>
      <w:outlineLvl w:val="0"/>
    </w:pPr>
    <w:rPr>
      <w:rFonts w:ascii="Helvetica" w:hAnsi="Arial Unicode MS" w:cs="Arial Unicode MS"/>
      <w:b/>
      <w:bCs/>
      <w:color w:val="000000"/>
      <w:sz w:val="36"/>
      <w:szCs w:val="36"/>
      <w:lang w:val="en-US"/>
    </w:rPr>
  </w:style>
  <w:style w:type="paragraph" w:styleId="NormalWeb">
    <w:name w:val="Normal (Web)"/>
    <w:pPr>
      <w:spacing w:after="240"/>
    </w:pPr>
    <w:rPr>
      <w:rFonts w:hAnsi="Arial Unicode MS" w:cs="Arial Unicode MS"/>
      <w:color w:val="000000"/>
      <w:sz w:val="24"/>
      <w:szCs w:val="24"/>
      <w:u w:color="000000"/>
      <w:lang w:val="en-US"/>
    </w:rPr>
  </w:style>
  <w:style w:type="paragraph" w:customStyle="1" w:styleId="BodyAA">
    <w:name w:val="Body A A"/>
    <w:pPr>
      <w:spacing w:after="200" w:line="276" w:lineRule="auto"/>
    </w:pPr>
    <w:rPr>
      <w:rFonts w:ascii="Trebuchet MS" w:hAnsi="Arial Unicode MS" w:cs="Arial Unicode MS"/>
      <w:color w:val="000000"/>
      <w:sz w:val="22"/>
      <w:szCs w:val="22"/>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paragraph" w:customStyle="1" w:styleId="BodyB">
    <w:name w:val="Body B"/>
    <w:pPr>
      <w:spacing w:before="200" w:after="200" w:line="276" w:lineRule="auto"/>
    </w:pPr>
    <w:rPr>
      <w:rFonts w:ascii="Calibri" w:eastAsia="Calibri" w:hAnsi="Calibri" w:cs="Calibri"/>
      <w:color w:val="000000"/>
      <w:sz w:val="22"/>
      <w:szCs w:val="22"/>
      <w:u w:color="000000"/>
      <w:lang w:val="en-US"/>
    </w:rPr>
  </w:style>
  <w:style w:type="paragraph" w:styleId="EndnoteText">
    <w:name w:val="endnote text"/>
    <w:rPr>
      <w:rFonts w:ascii="Trebuchet MS" w:eastAsia="Trebuchet MS" w:hAnsi="Trebuchet MS" w:cs="Trebuchet MS"/>
      <w:color w:val="000000"/>
      <w:u w:color="000000"/>
      <w:lang w:val="en-US"/>
    </w:rPr>
  </w:style>
  <w:style w:type="numbering" w:customStyle="1" w:styleId="List1">
    <w:name w:val="List 1"/>
    <w:basedOn w:val="ImportedStyle1"/>
    <w:pPr>
      <w:numPr>
        <w:numId w:val="10"/>
      </w:numPr>
    </w:pPr>
  </w:style>
  <w:style w:type="paragraph" w:customStyle="1" w:styleId="Default">
    <w:name w:val="Default"/>
    <w:rPr>
      <w:rFonts w:ascii="Helvetica" w:eastAsia="Helvetica" w:hAnsi="Helvetica" w:cs="Helvetica"/>
      <w:color w:val="000000"/>
      <w:sz w:val="22"/>
      <w:szCs w:val="22"/>
    </w:rPr>
  </w:style>
  <w:style w:type="character" w:customStyle="1" w:styleId="Hyperlink0">
    <w:name w:val="Hyperlink.0"/>
    <w:basedOn w:val="Hyperlink"/>
    <w:rPr>
      <w:u w:val="single"/>
    </w:rPr>
  </w:style>
  <w:style w:type="numbering" w:customStyle="1" w:styleId="List21">
    <w:name w:val="List 21"/>
    <w:basedOn w:val="ImportedStyle2"/>
    <w:pPr>
      <w:numPr>
        <w:numId w:val="13"/>
      </w:numPr>
    </w:pPr>
  </w:style>
  <w:style w:type="numbering" w:customStyle="1" w:styleId="ImportedStyle2">
    <w:name w:val="Imported Style 2"/>
  </w:style>
  <w:style w:type="numbering" w:customStyle="1" w:styleId="List31">
    <w:name w:val="List 31"/>
    <w:basedOn w:val="ImportedStyle3"/>
    <w:pPr>
      <w:numPr>
        <w:numId w:val="16"/>
      </w:numPr>
    </w:pPr>
  </w:style>
  <w:style w:type="numbering" w:customStyle="1" w:styleId="ImportedStyle3">
    <w:name w:val="Imported Style 3"/>
  </w:style>
  <w:style w:type="numbering" w:customStyle="1" w:styleId="List41">
    <w:name w:val="List 41"/>
    <w:basedOn w:val="ImportedStyle4"/>
    <w:pPr>
      <w:numPr>
        <w:numId w:val="19"/>
      </w:numPr>
    </w:pPr>
  </w:style>
  <w:style w:type="numbering" w:customStyle="1" w:styleId="ImportedStyle4">
    <w:name w:val="Imported Style 4"/>
  </w:style>
  <w:style w:type="numbering" w:customStyle="1" w:styleId="List51">
    <w:name w:val="List 51"/>
    <w:basedOn w:val="ImportedStyle5"/>
    <w:pPr>
      <w:numPr>
        <w:numId w:val="22"/>
      </w:numPr>
    </w:pPr>
  </w:style>
  <w:style w:type="numbering" w:customStyle="1" w:styleId="ImportedStyle5">
    <w:name w:val="Imported Style 5"/>
  </w:style>
  <w:style w:type="paragraph" w:styleId="ListParagraph">
    <w:name w:val="List Paragraph"/>
    <w:pPr>
      <w:ind w:left="720"/>
    </w:pPr>
    <w:rPr>
      <w:rFonts w:eastAsia="Times New Roman"/>
      <w:color w:val="000000"/>
      <w:u w:color="000000"/>
      <w:lang w:val="en-US"/>
    </w:rPr>
  </w:style>
  <w:style w:type="numbering" w:customStyle="1" w:styleId="Numbered">
    <w:name w:val="Numbered"/>
    <w:pPr>
      <w:numPr>
        <w:numId w:val="24"/>
      </w:numPr>
    </w:pPr>
  </w:style>
  <w:style w:type="paragraph" w:styleId="BalloonText">
    <w:name w:val="Balloon Text"/>
    <w:basedOn w:val="Normal"/>
    <w:link w:val="BalloonTextChar"/>
    <w:uiPriority w:val="99"/>
    <w:semiHidden/>
    <w:unhideWhenUsed/>
    <w:rsid w:val="00D72E8C"/>
    <w:rPr>
      <w:rFonts w:ascii="Tahoma" w:hAnsi="Tahoma" w:cs="Tahoma"/>
      <w:sz w:val="16"/>
      <w:szCs w:val="16"/>
    </w:rPr>
  </w:style>
  <w:style w:type="character" w:customStyle="1" w:styleId="BalloonTextChar">
    <w:name w:val="Balloon Text Char"/>
    <w:basedOn w:val="DefaultParagraphFont"/>
    <w:link w:val="BalloonText"/>
    <w:uiPriority w:val="99"/>
    <w:semiHidden/>
    <w:rsid w:val="00D72E8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6">
    <w:name w:val="heading 6"/>
    <w:next w:val="BodyB"/>
    <w:pPr>
      <w:spacing w:before="300" w:line="276" w:lineRule="auto"/>
      <w:outlineLvl w:val="5"/>
    </w:pPr>
    <w:rPr>
      <w:rFonts w:ascii="Trebuchet MS" w:hAnsi="Arial Unicode MS" w:cs="Arial Unicode MS"/>
      <w:caps/>
      <w:color w:val="365F91"/>
      <w:spacing w:val="10"/>
      <w:sz w:val="22"/>
      <w:szCs w:val="22"/>
      <w:u w:color="365F9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keepNext/>
      <w:outlineLvl w:val="0"/>
    </w:pPr>
    <w:rPr>
      <w:rFonts w:ascii="Helvetica" w:hAnsi="Arial Unicode MS" w:cs="Arial Unicode MS"/>
      <w:b/>
      <w:bCs/>
      <w:color w:val="000000"/>
      <w:sz w:val="36"/>
      <w:szCs w:val="36"/>
      <w:lang w:val="en-US"/>
    </w:rPr>
  </w:style>
  <w:style w:type="paragraph" w:styleId="NormalWeb">
    <w:name w:val="Normal (Web)"/>
    <w:pPr>
      <w:spacing w:after="240"/>
    </w:pPr>
    <w:rPr>
      <w:rFonts w:hAnsi="Arial Unicode MS" w:cs="Arial Unicode MS"/>
      <w:color w:val="000000"/>
      <w:sz w:val="24"/>
      <w:szCs w:val="24"/>
      <w:u w:color="000000"/>
      <w:lang w:val="en-US"/>
    </w:rPr>
  </w:style>
  <w:style w:type="paragraph" w:customStyle="1" w:styleId="BodyAA">
    <w:name w:val="Body A A"/>
    <w:pPr>
      <w:spacing w:after="200" w:line="276" w:lineRule="auto"/>
    </w:pPr>
    <w:rPr>
      <w:rFonts w:ascii="Trebuchet MS" w:hAnsi="Arial Unicode MS" w:cs="Arial Unicode MS"/>
      <w:color w:val="000000"/>
      <w:sz w:val="22"/>
      <w:szCs w:val="22"/>
      <w:u w:color="000000"/>
      <w:lang w:val="en-US"/>
    </w:rPr>
  </w:style>
  <w:style w:type="numbering" w:customStyle="1" w:styleId="List0">
    <w:name w:val="List 0"/>
    <w:basedOn w:val="ImportedStyle1"/>
    <w:pPr>
      <w:numPr>
        <w:numId w:val="8"/>
      </w:numPr>
    </w:pPr>
  </w:style>
  <w:style w:type="numbering" w:customStyle="1" w:styleId="ImportedStyle1">
    <w:name w:val="Imported Style 1"/>
  </w:style>
  <w:style w:type="paragraph" w:customStyle="1" w:styleId="BodyB">
    <w:name w:val="Body B"/>
    <w:pPr>
      <w:spacing w:before="200" w:after="200" w:line="276" w:lineRule="auto"/>
    </w:pPr>
    <w:rPr>
      <w:rFonts w:ascii="Calibri" w:eastAsia="Calibri" w:hAnsi="Calibri" w:cs="Calibri"/>
      <w:color w:val="000000"/>
      <w:sz w:val="22"/>
      <w:szCs w:val="22"/>
      <w:u w:color="000000"/>
      <w:lang w:val="en-US"/>
    </w:rPr>
  </w:style>
  <w:style w:type="paragraph" w:styleId="EndnoteText">
    <w:name w:val="endnote text"/>
    <w:rPr>
      <w:rFonts w:ascii="Trebuchet MS" w:eastAsia="Trebuchet MS" w:hAnsi="Trebuchet MS" w:cs="Trebuchet MS"/>
      <w:color w:val="000000"/>
      <w:u w:color="000000"/>
      <w:lang w:val="en-US"/>
    </w:rPr>
  </w:style>
  <w:style w:type="numbering" w:customStyle="1" w:styleId="List1">
    <w:name w:val="List 1"/>
    <w:basedOn w:val="ImportedStyle1"/>
    <w:pPr>
      <w:numPr>
        <w:numId w:val="10"/>
      </w:numPr>
    </w:pPr>
  </w:style>
  <w:style w:type="paragraph" w:customStyle="1" w:styleId="Default">
    <w:name w:val="Default"/>
    <w:rPr>
      <w:rFonts w:ascii="Helvetica" w:eastAsia="Helvetica" w:hAnsi="Helvetica" w:cs="Helvetica"/>
      <w:color w:val="000000"/>
      <w:sz w:val="22"/>
      <w:szCs w:val="22"/>
    </w:rPr>
  </w:style>
  <w:style w:type="character" w:customStyle="1" w:styleId="Hyperlink0">
    <w:name w:val="Hyperlink.0"/>
    <w:basedOn w:val="Hyperlink"/>
    <w:rPr>
      <w:u w:val="single"/>
    </w:rPr>
  </w:style>
  <w:style w:type="numbering" w:customStyle="1" w:styleId="List21">
    <w:name w:val="List 21"/>
    <w:basedOn w:val="ImportedStyle2"/>
    <w:pPr>
      <w:numPr>
        <w:numId w:val="13"/>
      </w:numPr>
    </w:pPr>
  </w:style>
  <w:style w:type="numbering" w:customStyle="1" w:styleId="ImportedStyle2">
    <w:name w:val="Imported Style 2"/>
  </w:style>
  <w:style w:type="numbering" w:customStyle="1" w:styleId="List31">
    <w:name w:val="List 31"/>
    <w:basedOn w:val="ImportedStyle3"/>
    <w:pPr>
      <w:numPr>
        <w:numId w:val="16"/>
      </w:numPr>
    </w:pPr>
  </w:style>
  <w:style w:type="numbering" w:customStyle="1" w:styleId="ImportedStyle3">
    <w:name w:val="Imported Style 3"/>
  </w:style>
  <w:style w:type="numbering" w:customStyle="1" w:styleId="List41">
    <w:name w:val="List 41"/>
    <w:basedOn w:val="ImportedStyle4"/>
    <w:pPr>
      <w:numPr>
        <w:numId w:val="19"/>
      </w:numPr>
    </w:pPr>
  </w:style>
  <w:style w:type="numbering" w:customStyle="1" w:styleId="ImportedStyle4">
    <w:name w:val="Imported Style 4"/>
  </w:style>
  <w:style w:type="numbering" w:customStyle="1" w:styleId="List51">
    <w:name w:val="List 51"/>
    <w:basedOn w:val="ImportedStyle5"/>
    <w:pPr>
      <w:numPr>
        <w:numId w:val="22"/>
      </w:numPr>
    </w:pPr>
  </w:style>
  <w:style w:type="numbering" w:customStyle="1" w:styleId="ImportedStyle5">
    <w:name w:val="Imported Style 5"/>
  </w:style>
  <w:style w:type="paragraph" w:styleId="ListParagraph">
    <w:name w:val="List Paragraph"/>
    <w:pPr>
      <w:ind w:left="720"/>
    </w:pPr>
    <w:rPr>
      <w:rFonts w:eastAsia="Times New Roman"/>
      <w:color w:val="000000"/>
      <w:u w:color="000000"/>
      <w:lang w:val="en-US"/>
    </w:rPr>
  </w:style>
  <w:style w:type="numbering" w:customStyle="1" w:styleId="Numbered">
    <w:name w:val="Numbered"/>
    <w:pPr>
      <w:numPr>
        <w:numId w:val="24"/>
      </w:numPr>
    </w:pPr>
  </w:style>
  <w:style w:type="paragraph" w:styleId="BalloonText">
    <w:name w:val="Balloon Text"/>
    <w:basedOn w:val="Normal"/>
    <w:link w:val="BalloonTextChar"/>
    <w:uiPriority w:val="99"/>
    <w:semiHidden/>
    <w:unhideWhenUsed/>
    <w:rsid w:val="00D72E8C"/>
    <w:rPr>
      <w:rFonts w:ascii="Tahoma" w:hAnsi="Tahoma" w:cs="Tahoma"/>
      <w:sz w:val="16"/>
      <w:szCs w:val="16"/>
    </w:rPr>
  </w:style>
  <w:style w:type="character" w:customStyle="1" w:styleId="BalloonTextChar">
    <w:name w:val="Balloon Text Char"/>
    <w:basedOn w:val="DefaultParagraphFont"/>
    <w:link w:val="BalloonText"/>
    <w:uiPriority w:val="99"/>
    <w:semiHidden/>
    <w:rsid w:val="00D72E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lp.wa.gov.au/legislation/statutes.nsf/main_mrtitle_427_homepage.html"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legislation.qld.gov.au/LEGISLTN/CURRENT/H/HousingA0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ss.gov.au/our-responsibilities/housing-support/programs-services/housing-affordability/national-affordable-housing-agreement" TargetMode="External"/><Relationship Id="rId5" Type="http://schemas.openxmlformats.org/officeDocument/2006/relationships/webSettings" Target="webSettings.xml"/><Relationship Id="rId15" Type="http://schemas.openxmlformats.org/officeDocument/2006/relationships/hyperlink" Target="http://www.coagreformcouncil.gov.au/reports/housing.html" TargetMode="External"/><Relationship Id="rId10" Type="http://schemas.openxmlformats.org/officeDocument/2006/relationships/hyperlink" Target="http://www.aph.gov.au/About_Parliament/Parliamentary_Departments/Parliamentary_Library/Publications_Archive/archive/StateHouseAgr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ustlii.edu.au/au/legis/nsw/consol_act/ha2001107/" TargetMode="External"/><Relationship Id="rId22"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91658-6D74-41AB-ABCD-4D2CDEDC2CB7}"/>
</file>

<file path=customXml/itemProps2.xml><?xml version="1.0" encoding="utf-8"?>
<ds:datastoreItem xmlns:ds="http://schemas.openxmlformats.org/officeDocument/2006/customXml" ds:itemID="{7D61FA36-1C90-4E8B-B5CA-AA31CF5FE71B}"/>
</file>

<file path=customXml/itemProps3.xml><?xml version="1.0" encoding="utf-8"?>
<ds:datastoreItem xmlns:ds="http://schemas.openxmlformats.org/officeDocument/2006/customXml" ds:itemID="{2436D0A4-2747-4B3B-84DD-50BD86F3EB44}"/>
</file>

<file path=docProps/app.xml><?xml version="1.0" encoding="utf-8"?>
<Properties xmlns="http://schemas.openxmlformats.org/officeDocument/2006/extended-properties" xmlns:vt="http://schemas.openxmlformats.org/officeDocument/2006/docPropsVTypes">
  <Template>Normal</Template>
  <TotalTime>36</TotalTime>
  <Pages>10</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Juana Sotomayor</dc:creator>
  <cp:lastModifiedBy>Juana Sotomayor</cp:lastModifiedBy>
  <cp:revision>2</cp:revision>
  <dcterms:created xsi:type="dcterms:W3CDTF">2014-10-31T18:20:00Z</dcterms:created>
  <dcterms:modified xsi:type="dcterms:W3CDTF">2014-10-31T18:20:00Z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2573300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