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5B15" w14:textId="77777777" w:rsidR="00437EC7" w:rsidRPr="005A1DC7" w:rsidRDefault="00437EC7" w:rsidP="006C7127">
      <w:pPr>
        <w:tabs>
          <w:tab w:val="left" w:pos="720"/>
        </w:tabs>
        <w:ind w:right="-1"/>
        <w:jc w:val="both"/>
        <w:rPr>
          <w:sz w:val="22"/>
          <w:szCs w:val="22"/>
        </w:rPr>
      </w:pPr>
    </w:p>
    <w:p w14:paraId="02172314" w14:textId="77777777" w:rsidR="00044720" w:rsidRPr="005A1DC7" w:rsidRDefault="00044720" w:rsidP="006C7127">
      <w:pPr>
        <w:tabs>
          <w:tab w:val="left" w:pos="720"/>
        </w:tabs>
        <w:ind w:right="-1"/>
        <w:jc w:val="both"/>
        <w:rPr>
          <w:sz w:val="22"/>
          <w:szCs w:val="22"/>
        </w:rPr>
      </w:pPr>
    </w:p>
    <w:p w14:paraId="4CA95FB3" w14:textId="77777777" w:rsidR="00044720" w:rsidRPr="005A1DC7" w:rsidRDefault="00044720" w:rsidP="004007ED">
      <w:pPr>
        <w:shd w:val="clear" w:color="auto" w:fill="D9D9D9"/>
        <w:tabs>
          <w:tab w:val="left" w:pos="720"/>
        </w:tabs>
        <w:ind w:right="-1"/>
        <w:jc w:val="both"/>
        <w:rPr>
          <w:b/>
          <w:sz w:val="22"/>
          <w:szCs w:val="22"/>
        </w:rPr>
      </w:pPr>
      <w:r w:rsidRPr="005A1DC7">
        <w:rPr>
          <w:b/>
          <w:sz w:val="22"/>
          <w:szCs w:val="22"/>
        </w:rPr>
        <w:t>I. Background and objectives of this questionnaire</w:t>
      </w:r>
    </w:p>
    <w:p w14:paraId="18C94108" w14:textId="77777777" w:rsidR="00044720" w:rsidRPr="005A1DC7" w:rsidRDefault="00044720" w:rsidP="006C7127">
      <w:pPr>
        <w:tabs>
          <w:tab w:val="left" w:pos="720"/>
        </w:tabs>
        <w:ind w:right="-1"/>
        <w:jc w:val="both"/>
        <w:rPr>
          <w:sz w:val="22"/>
          <w:szCs w:val="22"/>
        </w:rPr>
      </w:pPr>
    </w:p>
    <w:p w14:paraId="7BD082B4" w14:textId="77777777" w:rsidR="0084748D" w:rsidRPr="005A1DC7" w:rsidRDefault="00044720" w:rsidP="006C7127">
      <w:pPr>
        <w:tabs>
          <w:tab w:val="left" w:pos="720"/>
        </w:tabs>
        <w:ind w:right="-1"/>
        <w:jc w:val="both"/>
        <w:rPr>
          <w:sz w:val="22"/>
          <w:szCs w:val="22"/>
        </w:rPr>
      </w:pPr>
      <w:r w:rsidRPr="005A1DC7">
        <w:rPr>
          <w:sz w:val="22"/>
          <w:szCs w:val="22"/>
        </w:rPr>
        <w:t xml:space="preserve">In her upcoming report to the General Assembly, the Special Rapporteur on adequate housing as a component of the right to an adequate standard of living, and on the right to non-discrimination in this context, Ms Leilani </w:t>
      </w:r>
      <w:proofErr w:type="spellStart"/>
      <w:r w:rsidRPr="005A1DC7">
        <w:rPr>
          <w:sz w:val="22"/>
          <w:szCs w:val="22"/>
        </w:rPr>
        <w:t>Farha</w:t>
      </w:r>
      <w:proofErr w:type="spellEnd"/>
      <w:r w:rsidRPr="005A1DC7">
        <w:rPr>
          <w:sz w:val="22"/>
          <w:szCs w:val="22"/>
        </w:rPr>
        <w:t>, outlines some of the priority themes that she intends to address during her mandate (A/69/274).</w:t>
      </w:r>
      <w:r w:rsidR="0084748D" w:rsidRPr="005A1DC7">
        <w:rPr>
          <w:rStyle w:val="FootnoteReference"/>
          <w:sz w:val="22"/>
          <w:szCs w:val="22"/>
        </w:rPr>
        <w:footnoteReference w:id="1"/>
      </w:r>
      <w:r w:rsidRPr="005A1DC7">
        <w:rPr>
          <w:sz w:val="22"/>
          <w:szCs w:val="22"/>
        </w:rPr>
        <w:t xml:space="preserve"> </w:t>
      </w:r>
    </w:p>
    <w:p w14:paraId="09333971" w14:textId="77777777" w:rsidR="0084748D" w:rsidRPr="005A1DC7" w:rsidRDefault="0084748D" w:rsidP="006C7127">
      <w:pPr>
        <w:tabs>
          <w:tab w:val="left" w:pos="720"/>
        </w:tabs>
        <w:ind w:right="-1"/>
        <w:jc w:val="both"/>
        <w:rPr>
          <w:sz w:val="22"/>
          <w:szCs w:val="22"/>
        </w:rPr>
      </w:pPr>
    </w:p>
    <w:p w14:paraId="0D2F55E2" w14:textId="77777777" w:rsidR="00044720" w:rsidRPr="005A1DC7" w:rsidRDefault="00044720" w:rsidP="006C7127">
      <w:pPr>
        <w:tabs>
          <w:tab w:val="left" w:pos="720"/>
        </w:tabs>
        <w:ind w:right="-1"/>
        <w:jc w:val="both"/>
        <w:rPr>
          <w:sz w:val="22"/>
          <w:szCs w:val="22"/>
        </w:rPr>
      </w:pPr>
      <w:r w:rsidRPr="005A1DC7">
        <w:rPr>
          <w:sz w:val="22"/>
          <w:szCs w:val="22"/>
        </w:rPr>
        <w:t xml:space="preserve">Among others, she identifies the increasingly important role of governments at the sub-national level (state, provincial and municipal) in the implementation of the right to adequate housing. In many </w:t>
      </w:r>
      <w:r w:rsidR="009664F9" w:rsidRPr="005A1DC7">
        <w:rPr>
          <w:sz w:val="22"/>
          <w:szCs w:val="22"/>
        </w:rPr>
        <w:t xml:space="preserve">countries </w:t>
      </w:r>
      <w:r w:rsidRPr="005A1DC7">
        <w:rPr>
          <w:sz w:val="22"/>
          <w:szCs w:val="22"/>
        </w:rPr>
        <w:t xml:space="preserve">sub-national levels of government hold key responsibilities for a range of programs and policies linked to adequate housing, including not only housing programs but also income assistance programs, provision of water, sanitation, electricity and other utilities, tenancy and security of tenure legislation, programs assisting particular marginalized and vulnerable groups (such as migrants, persons with disabilities, women, Indigenous peoples, among others) and implementation of housing </w:t>
      </w:r>
      <w:r w:rsidR="00C66D04" w:rsidRPr="005A1DC7">
        <w:rPr>
          <w:sz w:val="22"/>
          <w:szCs w:val="22"/>
        </w:rPr>
        <w:t xml:space="preserve">strategies and strategies to address </w:t>
      </w:r>
      <w:r w:rsidRPr="005A1DC7">
        <w:rPr>
          <w:sz w:val="22"/>
          <w:szCs w:val="22"/>
        </w:rPr>
        <w:t xml:space="preserve">homelessness. </w:t>
      </w:r>
    </w:p>
    <w:p w14:paraId="6BFE6A8F" w14:textId="77777777" w:rsidR="00044720" w:rsidRPr="005A1DC7" w:rsidRDefault="00044720" w:rsidP="006C7127">
      <w:pPr>
        <w:tabs>
          <w:tab w:val="left" w:pos="720"/>
        </w:tabs>
        <w:ind w:right="-1"/>
        <w:jc w:val="both"/>
        <w:rPr>
          <w:sz w:val="22"/>
          <w:szCs w:val="22"/>
        </w:rPr>
      </w:pPr>
    </w:p>
    <w:p w14:paraId="1A4AD747" w14:textId="77777777" w:rsidR="00044720" w:rsidRPr="005A1DC7" w:rsidRDefault="00B7332D" w:rsidP="006C7127">
      <w:pPr>
        <w:tabs>
          <w:tab w:val="left" w:pos="720"/>
        </w:tabs>
        <w:ind w:right="-1"/>
        <w:jc w:val="both"/>
        <w:rPr>
          <w:sz w:val="22"/>
          <w:szCs w:val="22"/>
        </w:rPr>
      </w:pPr>
      <w:r w:rsidRPr="005A1DC7">
        <w:rPr>
          <w:sz w:val="22"/>
          <w:szCs w:val="22"/>
        </w:rPr>
        <w:t>Since u</w:t>
      </w:r>
      <w:r w:rsidR="00FB37E8" w:rsidRPr="005A1DC7">
        <w:rPr>
          <w:sz w:val="22"/>
          <w:szCs w:val="22"/>
        </w:rPr>
        <w:t xml:space="preserve">nder international law, accountability </w:t>
      </w:r>
      <w:r w:rsidR="00044720" w:rsidRPr="005A1DC7">
        <w:rPr>
          <w:sz w:val="22"/>
          <w:szCs w:val="22"/>
        </w:rPr>
        <w:t>to</w:t>
      </w:r>
      <w:r w:rsidR="00FB37E8" w:rsidRPr="005A1DC7">
        <w:rPr>
          <w:sz w:val="22"/>
          <w:szCs w:val="22"/>
        </w:rPr>
        <w:t xml:space="preserve"> </w:t>
      </w:r>
      <w:r w:rsidR="00044720" w:rsidRPr="005A1DC7">
        <w:rPr>
          <w:sz w:val="22"/>
          <w:szCs w:val="22"/>
        </w:rPr>
        <w:t>human rights norms and standards operate</w:t>
      </w:r>
      <w:r w:rsidR="00FB37E8" w:rsidRPr="005A1DC7">
        <w:rPr>
          <w:sz w:val="22"/>
          <w:szCs w:val="22"/>
        </w:rPr>
        <w:t>s</w:t>
      </w:r>
      <w:r w:rsidR="00044720" w:rsidRPr="005A1DC7">
        <w:rPr>
          <w:sz w:val="22"/>
          <w:szCs w:val="22"/>
        </w:rPr>
        <w:t xml:space="preserve"> primarily through the national level government, there are often particular challenges facing countries in ensuring implementation of the right to adequate housing by sub-national levels of government. The Special Rapporteur notes that this issue has not attracted concentrated attention from special procedures mandate holders though often arising in the examination of the situation in many countries. </w:t>
      </w:r>
      <w:r w:rsidR="00C66D04" w:rsidRPr="005A1DC7">
        <w:rPr>
          <w:sz w:val="22"/>
          <w:szCs w:val="22"/>
        </w:rPr>
        <w:t>H</w:t>
      </w:r>
      <w:r w:rsidR="007C6BE9" w:rsidRPr="005A1DC7">
        <w:rPr>
          <w:sz w:val="22"/>
          <w:szCs w:val="22"/>
        </w:rPr>
        <w:t xml:space="preserve">ence, she </w:t>
      </w:r>
      <w:r w:rsidR="00044720" w:rsidRPr="005A1DC7">
        <w:rPr>
          <w:sz w:val="22"/>
          <w:szCs w:val="22"/>
        </w:rPr>
        <w:t xml:space="preserve">has decided to focus her first thematic report </w:t>
      </w:r>
      <w:r w:rsidR="00636E7D" w:rsidRPr="005A1DC7">
        <w:rPr>
          <w:sz w:val="22"/>
          <w:szCs w:val="22"/>
        </w:rPr>
        <w:t xml:space="preserve">to the Human Rights Council, </w:t>
      </w:r>
      <w:r w:rsidR="00044720" w:rsidRPr="005A1DC7">
        <w:rPr>
          <w:sz w:val="22"/>
          <w:szCs w:val="22"/>
        </w:rPr>
        <w:t>pursuant resolutions 15/08 and 25/17</w:t>
      </w:r>
      <w:r w:rsidR="007C6BE9" w:rsidRPr="005A1DC7">
        <w:rPr>
          <w:sz w:val="22"/>
          <w:szCs w:val="22"/>
        </w:rPr>
        <w:t>,</w:t>
      </w:r>
      <w:r w:rsidR="00044720" w:rsidRPr="005A1DC7">
        <w:rPr>
          <w:sz w:val="22"/>
          <w:szCs w:val="22"/>
        </w:rPr>
        <w:t xml:space="preserve"> on the question of enhancing accountability to international human rights norms and standards of sub-national governments</w:t>
      </w:r>
      <w:r w:rsidR="00636E7D" w:rsidRPr="005A1DC7">
        <w:rPr>
          <w:sz w:val="22"/>
          <w:szCs w:val="22"/>
        </w:rPr>
        <w:t xml:space="preserve"> in relation to adequate housing</w:t>
      </w:r>
      <w:r w:rsidR="00044720" w:rsidRPr="005A1DC7">
        <w:rPr>
          <w:sz w:val="22"/>
          <w:szCs w:val="22"/>
        </w:rPr>
        <w:t>.</w:t>
      </w:r>
    </w:p>
    <w:p w14:paraId="443184DA" w14:textId="77777777" w:rsidR="00044720" w:rsidRPr="005A1DC7" w:rsidRDefault="00044720" w:rsidP="006C7127">
      <w:pPr>
        <w:tabs>
          <w:tab w:val="left" w:pos="720"/>
        </w:tabs>
        <w:ind w:right="-1"/>
        <w:jc w:val="both"/>
        <w:rPr>
          <w:sz w:val="22"/>
          <w:szCs w:val="22"/>
        </w:rPr>
      </w:pPr>
    </w:p>
    <w:p w14:paraId="3AC272AB" w14:textId="77777777" w:rsidR="00044720" w:rsidRPr="005A1DC7" w:rsidRDefault="00044720" w:rsidP="006C7127">
      <w:pPr>
        <w:tabs>
          <w:tab w:val="left" w:pos="720"/>
        </w:tabs>
        <w:ind w:right="-1"/>
        <w:jc w:val="both"/>
        <w:rPr>
          <w:sz w:val="22"/>
          <w:szCs w:val="22"/>
        </w:rPr>
      </w:pPr>
      <w:r w:rsidRPr="005A1DC7">
        <w:rPr>
          <w:sz w:val="22"/>
          <w:szCs w:val="22"/>
        </w:rPr>
        <w:t xml:space="preserve">The Special Rapporteur is mindful of diverse domestic arrangements of responsibilities among various levels of government. She wishes to better understand </w:t>
      </w:r>
      <w:r w:rsidR="00385B28" w:rsidRPr="005A1DC7">
        <w:rPr>
          <w:sz w:val="22"/>
          <w:szCs w:val="22"/>
        </w:rPr>
        <w:t xml:space="preserve">those arrangements and existing </w:t>
      </w:r>
      <w:r w:rsidRPr="005A1DC7">
        <w:rPr>
          <w:sz w:val="22"/>
          <w:szCs w:val="22"/>
        </w:rPr>
        <w:t xml:space="preserve">mechanisms for monitoring and accountability for the implementation of binding international human rights treaties related to the right to adequate housing. This questionnaire is designed to </w:t>
      </w:r>
      <w:proofErr w:type="gramStart"/>
      <w:r w:rsidRPr="005A1DC7">
        <w:rPr>
          <w:sz w:val="22"/>
          <w:szCs w:val="22"/>
        </w:rPr>
        <w:t>invite</w:t>
      </w:r>
      <w:proofErr w:type="gramEnd"/>
      <w:r w:rsidRPr="005A1DC7">
        <w:rPr>
          <w:sz w:val="22"/>
          <w:szCs w:val="22"/>
        </w:rPr>
        <w:t xml:space="preserve"> Governments and other relevant stakeholders to share information and inputs for the report, which will be presented to the Human Rights Council at its 28th session in March 2015.</w:t>
      </w:r>
    </w:p>
    <w:p w14:paraId="50B5CAEF" w14:textId="77777777" w:rsidR="00044720" w:rsidRPr="005A1DC7" w:rsidRDefault="00044720" w:rsidP="006C7127">
      <w:pPr>
        <w:tabs>
          <w:tab w:val="left" w:pos="720"/>
        </w:tabs>
        <w:ind w:right="-1"/>
        <w:jc w:val="both"/>
        <w:rPr>
          <w:sz w:val="22"/>
          <w:szCs w:val="22"/>
        </w:rPr>
      </w:pPr>
    </w:p>
    <w:p w14:paraId="6937113B" w14:textId="77777777" w:rsidR="007C6BE9" w:rsidRPr="005A1DC7" w:rsidRDefault="00044720" w:rsidP="006C7127">
      <w:pPr>
        <w:tabs>
          <w:tab w:val="left" w:pos="720"/>
        </w:tabs>
        <w:ind w:right="-1"/>
        <w:jc w:val="both"/>
        <w:rPr>
          <w:sz w:val="22"/>
          <w:szCs w:val="22"/>
        </w:rPr>
      </w:pPr>
      <w:r w:rsidRPr="005A1DC7">
        <w:rPr>
          <w:sz w:val="22"/>
          <w:szCs w:val="22"/>
        </w:rPr>
        <w:t>This questionnaire aims to identify key challenges facing States in relation to the implementation of the right to housing by subnational levels of government</w:t>
      </w:r>
      <w:r w:rsidR="00EE3436" w:rsidRPr="005A1DC7">
        <w:rPr>
          <w:sz w:val="22"/>
          <w:szCs w:val="22"/>
        </w:rPr>
        <w:t xml:space="preserve"> and</w:t>
      </w:r>
      <w:r w:rsidRPr="005A1DC7">
        <w:rPr>
          <w:sz w:val="22"/>
          <w:szCs w:val="22"/>
        </w:rPr>
        <w:t xml:space="preserve"> the primary means through which accountability to international human rights</w:t>
      </w:r>
      <w:r w:rsidR="00B7332D" w:rsidRPr="005A1DC7">
        <w:rPr>
          <w:sz w:val="22"/>
          <w:szCs w:val="22"/>
        </w:rPr>
        <w:t xml:space="preserve"> can be </w:t>
      </w:r>
      <w:r w:rsidRPr="005A1DC7">
        <w:rPr>
          <w:sz w:val="22"/>
          <w:szCs w:val="22"/>
        </w:rPr>
        <w:t xml:space="preserve">ensured. It also aims to identify illustrative examples of the kinds of issues faced by countries </w:t>
      </w:r>
      <w:r w:rsidR="00A75F7C" w:rsidRPr="005A1DC7">
        <w:rPr>
          <w:sz w:val="22"/>
          <w:szCs w:val="22"/>
        </w:rPr>
        <w:t xml:space="preserve">in the implementation of the right to adequate housing through sub-national governments </w:t>
      </w:r>
      <w:r w:rsidRPr="005A1DC7">
        <w:rPr>
          <w:sz w:val="22"/>
          <w:szCs w:val="22"/>
        </w:rPr>
        <w:t>and new and innovative strategies that have been developed</w:t>
      </w:r>
      <w:r w:rsidR="00A62B1D" w:rsidRPr="005A1DC7">
        <w:rPr>
          <w:sz w:val="22"/>
          <w:szCs w:val="22"/>
        </w:rPr>
        <w:t xml:space="preserve"> to address </w:t>
      </w:r>
      <w:r w:rsidR="00A75F7C" w:rsidRPr="005A1DC7">
        <w:rPr>
          <w:sz w:val="22"/>
          <w:szCs w:val="22"/>
        </w:rPr>
        <w:t xml:space="preserve">these issues, </w:t>
      </w:r>
      <w:r w:rsidRPr="005A1DC7">
        <w:rPr>
          <w:sz w:val="22"/>
          <w:szCs w:val="22"/>
        </w:rPr>
        <w:t>or other examples of good practices</w:t>
      </w:r>
      <w:r w:rsidR="00A75F7C" w:rsidRPr="005A1DC7">
        <w:rPr>
          <w:sz w:val="22"/>
          <w:szCs w:val="22"/>
        </w:rPr>
        <w:t xml:space="preserve">. The Special Rapporteur also hopes to learn of sub-national initiatives </w:t>
      </w:r>
      <w:r w:rsidRPr="005A1DC7">
        <w:rPr>
          <w:sz w:val="22"/>
          <w:szCs w:val="22"/>
        </w:rPr>
        <w:t xml:space="preserve">to </w:t>
      </w:r>
      <w:r w:rsidR="00A75F7C" w:rsidRPr="005A1DC7">
        <w:rPr>
          <w:sz w:val="22"/>
          <w:szCs w:val="22"/>
        </w:rPr>
        <w:t xml:space="preserve">ensure </w:t>
      </w:r>
      <w:r w:rsidRPr="005A1DC7">
        <w:rPr>
          <w:sz w:val="22"/>
          <w:szCs w:val="22"/>
        </w:rPr>
        <w:t>accountability to the right to adequate housing</w:t>
      </w:r>
      <w:r w:rsidR="00E132BC" w:rsidRPr="005A1DC7">
        <w:rPr>
          <w:sz w:val="22"/>
          <w:szCs w:val="22"/>
        </w:rPr>
        <w:t xml:space="preserve">, in particular to those vulnerable to rights violations </w:t>
      </w:r>
      <w:r w:rsidRPr="005A1DC7">
        <w:rPr>
          <w:sz w:val="22"/>
          <w:szCs w:val="22"/>
        </w:rPr>
        <w:t>(</w:t>
      </w:r>
      <w:proofErr w:type="spellStart"/>
      <w:r w:rsidRPr="005A1DC7">
        <w:rPr>
          <w:sz w:val="22"/>
          <w:szCs w:val="22"/>
        </w:rPr>
        <w:t>eg</w:t>
      </w:r>
      <w:proofErr w:type="spellEnd"/>
      <w:r w:rsidR="00A62B1D" w:rsidRPr="005A1DC7">
        <w:rPr>
          <w:sz w:val="22"/>
          <w:szCs w:val="22"/>
        </w:rPr>
        <w:t>.</w:t>
      </w:r>
      <w:r w:rsidRPr="005A1DC7">
        <w:rPr>
          <w:sz w:val="22"/>
          <w:szCs w:val="22"/>
        </w:rPr>
        <w:t xml:space="preserve"> incorporating the right to adequate housing</w:t>
      </w:r>
      <w:r w:rsidR="00C03616" w:rsidRPr="005A1DC7">
        <w:rPr>
          <w:sz w:val="22"/>
          <w:szCs w:val="22"/>
        </w:rPr>
        <w:t>, non-discrimination and other housing-related</w:t>
      </w:r>
      <w:r w:rsidR="00B7332D" w:rsidRPr="005A1DC7">
        <w:rPr>
          <w:sz w:val="22"/>
          <w:szCs w:val="22"/>
        </w:rPr>
        <w:t xml:space="preserve"> </w:t>
      </w:r>
      <w:r w:rsidR="00C03616" w:rsidRPr="005A1DC7">
        <w:rPr>
          <w:sz w:val="22"/>
          <w:szCs w:val="22"/>
        </w:rPr>
        <w:t xml:space="preserve">rights </w:t>
      </w:r>
      <w:r w:rsidRPr="005A1DC7">
        <w:rPr>
          <w:sz w:val="22"/>
          <w:szCs w:val="22"/>
        </w:rPr>
        <w:t xml:space="preserve">into city, provincial/state Charters).  </w:t>
      </w:r>
    </w:p>
    <w:p w14:paraId="009CFF8C" w14:textId="77777777" w:rsidR="00A26017" w:rsidRPr="005A1DC7" w:rsidRDefault="00A26017" w:rsidP="006C7127">
      <w:pPr>
        <w:tabs>
          <w:tab w:val="left" w:pos="720"/>
        </w:tabs>
        <w:ind w:right="-1"/>
        <w:jc w:val="both"/>
        <w:rPr>
          <w:sz w:val="22"/>
          <w:szCs w:val="22"/>
        </w:rPr>
      </w:pPr>
    </w:p>
    <w:p w14:paraId="22043BAF" w14:textId="77777777" w:rsidR="00A26017" w:rsidRPr="005A1DC7" w:rsidRDefault="00A26017" w:rsidP="006C7127">
      <w:pPr>
        <w:tabs>
          <w:tab w:val="left" w:pos="720"/>
        </w:tabs>
        <w:ind w:right="-1"/>
        <w:jc w:val="both"/>
        <w:rPr>
          <w:sz w:val="22"/>
          <w:szCs w:val="22"/>
        </w:rPr>
      </w:pPr>
    </w:p>
    <w:p w14:paraId="1772674B" w14:textId="77777777" w:rsidR="00044720" w:rsidRPr="005A1DC7" w:rsidRDefault="00044720" w:rsidP="004007ED">
      <w:pPr>
        <w:shd w:val="clear" w:color="auto" w:fill="D9D9D9"/>
        <w:tabs>
          <w:tab w:val="left" w:pos="720"/>
        </w:tabs>
        <w:ind w:right="-1"/>
        <w:jc w:val="both"/>
        <w:rPr>
          <w:b/>
          <w:sz w:val="22"/>
          <w:szCs w:val="22"/>
        </w:rPr>
      </w:pPr>
      <w:r w:rsidRPr="005A1DC7">
        <w:rPr>
          <w:b/>
          <w:sz w:val="22"/>
          <w:szCs w:val="22"/>
        </w:rPr>
        <w:lastRenderedPageBreak/>
        <w:t>II. Submission of Responses</w:t>
      </w:r>
    </w:p>
    <w:p w14:paraId="1AF16880" w14:textId="77777777" w:rsidR="00044720" w:rsidRPr="005A1DC7" w:rsidRDefault="00044720" w:rsidP="006C7127">
      <w:pPr>
        <w:tabs>
          <w:tab w:val="left" w:pos="720"/>
        </w:tabs>
        <w:ind w:right="-1"/>
        <w:jc w:val="both"/>
        <w:rPr>
          <w:sz w:val="22"/>
          <w:szCs w:val="22"/>
        </w:rPr>
      </w:pPr>
    </w:p>
    <w:p w14:paraId="3A42B3D4" w14:textId="77777777" w:rsidR="00044720" w:rsidRPr="005A1DC7" w:rsidRDefault="00044720" w:rsidP="006C7127">
      <w:pPr>
        <w:tabs>
          <w:tab w:val="left" w:pos="720"/>
        </w:tabs>
        <w:ind w:right="-1"/>
        <w:jc w:val="both"/>
        <w:rPr>
          <w:sz w:val="22"/>
          <w:szCs w:val="22"/>
        </w:rPr>
      </w:pPr>
      <w:r w:rsidRPr="005A1DC7">
        <w:rPr>
          <w:sz w:val="22"/>
          <w:szCs w:val="22"/>
        </w:rPr>
        <w:t xml:space="preserve">Kindly bear in mind that the study does not intend to address the detailed distribution of responsibilities in each </w:t>
      </w:r>
      <w:r w:rsidR="00BF7013" w:rsidRPr="005A1DC7">
        <w:rPr>
          <w:sz w:val="22"/>
          <w:szCs w:val="22"/>
        </w:rPr>
        <w:t xml:space="preserve">country, </w:t>
      </w:r>
      <w:r w:rsidRPr="005A1DC7">
        <w:rPr>
          <w:sz w:val="22"/>
          <w:szCs w:val="22"/>
        </w:rPr>
        <w:t xml:space="preserve">but aims </w:t>
      </w:r>
      <w:r w:rsidR="00A75F7C" w:rsidRPr="005A1DC7">
        <w:rPr>
          <w:sz w:val="22"/>
          <w:szCs w:val="22"/>
        </w:rPr>
        <w:t>to focus on an</w:t>
      </w:r>
      <w:r w:rsidRPr="005A1DC7">
        <w:rPr>
          <w:sz w:val="22"/>
          <w:szCs w:val="22"/>
        </w:rPr>
        <w:t xml:space="preserve"> overview of challenges and examples of practices which will be of benefit to the Special Rapporteur </w:t>
      </w:r>
      <w:r w:rsidR="007C6BE9" w:rsidRPr="005A1DC7">
        <w:rPr>
          <w:sz w:val="22"/>
          <w:szCs w:val="22"/>
        </w:rPr>
        <w:t xml:space="preserve">in understanding the situation. </w:t>
      </w:r>
      <w:r w:rsidRPr="005A1DC7">
        <w:rPr>
          <w:sz w:val="22"/>
          <w:szCs w:val="22"/>
        </w:rPr>
        <w:t xml:space="preserve">Therefore, it is hoped that responses will provide a brief overview of how responsibilities are divided up and some </w:t>
      </w:r>
      <w:r w:rsidR="00A75F7C" w:rsidRPr="005A1DC7">
        <w:rPr>
          <w:sz w:val="22"/>
          <w:szCs w:val="22"/>
        </w:rPr>
        <w:t xml:space="preserve">concrete </w:t>
      </w:r>
      <w:r w:rsidRPr="005A1DC7">
        <w:rPr>
          <w:sz w:val="22"/>
          <w:szCs w:val="22"/>
        </w:rPr>
        <w:t xml:space="preserve">examples of challenges and how these have been addressed. </w:t>
      </w:r>
    </w:p>
    <w:p w14:paraId="2BF9AC7D" w14:textId="77777777" w:rsidR="00044720" w:rsidRPr="005A1DC7" w:rsidRDefault="00044720" w:rsidP="006C7127">
      <w:pPr>
        <w:tabs>
          <w:tab w:val="left" w:pos="720"/>
        </w:tabs>
        <w:ind w:right="-1"/>
        <w:jc w:val="both"/>
        <w:rPr>
          <w:sz w:val="22"/>
          <w:szCs w:val="22"/>
        </w:rPr>
      </w:pPr>
    </w:p>
    <w:p w14:paraId="245AF8C0" w14:textId="77777777" w:rsidR="00044720" w:rsidRPr="005A1DC7" w:rsidRDefault="00044720" w:rsidP="006C7127">
      <w:pPr>
        <w:tabs>
          <w:tab w:val="left" w:pos="720"/>
        </w:tabs>
        <w:ind w:right="-1"/>
        <w:jc w:val="both"/>
        <w:rPr>
          <w:b/>
          <w:sz w:val="22"/>
          <w:szCs w:val="22"/>
        </w:rPr>
      </w:pPr>
      <w:r w:rsidRPr="005A1DC7">
        <w:rPr>
          <w:sz w:val="22"/>
          <w:szCs w:val="22"/>
        </w:rPr>
        <w:t>When possible, please identify links or provide copies of any law, regulation, policy or other document related to your answers. Due to limited capacity for translation, we kindly request that you submit your answers, if possible, in English, Spanish or French</w:t>
      </w:r>
      <w:r w:rsidR="00F4387C" w:rsidRPr="005A1DC7">
        <w:rPr>
          <w:sz w:val="22"/>
          <w:szCs w:val="22"/>
        </w:rPr>
        <w:t xml:space="preserve"> and,</w:t>
      </w:r>
      <w:r w:rsidRPr="005A1DC7">
        <w:rPr>
          <w:b/>
          <w:sz w:val="22"/>
          <w:szCs w:val="22"/>
        </w:rPr>
        <w:t xml:space="preserve"> no later than Friday, 31 October 2014.</w:t>
      </w:r>
    </w:p>
    <w:p w14:paraId="5105A036" w14:textId="77777777" w:rsidR="00044720" w:rsidRPr="005A1DC7" w:rsidRDefault="00044720" w:rsidP="006C7127">
      <w:pPr>
        <w:tabs>
          <w:tab w:val="left" w:pos="720"/>
        </w:tabs>
        <w:ind w:right="-1"/>
        <w:jc w:val="both"/>
        <w:rPr>
          <w:sz w:val="22"/>
          <w:szCs w:val="22"/>
        </w:rPr>
      </w:pPr>
    </w:p>
    <w:p w14:paraId="5FE015E0" w14:textId="77777777" w:rsidR="00044720" w:rsidRPr="005A1DC7" w:rsidRDefault="00044720" w:rsidP="006C7127">
      <w:pPr>
        <w:tabs>
          <w:tab w:val="left" w:pos="720"/>
        </w:tabs>
        <w:ind w:right="-1"/>
        <w:jc w:val="both"/>
        <w:rPr>
          <w:sz w:val="22"/>
          <w:szCs w:val="22"/>
        </w:rPr>
      </w:pPr>
      <w:r w:rsidRPr="005A1DC7">
        <w:rPr>
          <w:sz w:val="22"/>
          <w:szCs w:val="22"/>
        </w:rPr>
        <w:t>Please send your resp</w:t>
      </w:r>
      <w:r w:rsidR="007C6BE9" w:rsidRPr="005A1DC7">
        <w:rPr>
          <w:sz w:val="22"/>
          <w:szCs w:val="22"/>
        </w:rPr>
        <w:t xml:space="preserve">onses preferably via email to: </w:t>
      </w:r>
      <w:r w:rsidRPr="005A1DC7">
        <w:rPr>
          <w:sz w:val="22"/>
          <w:szCs w:val="22"/>
        </w:rPr>
        <w:t xml:space="preserve">srhousing@ohchr.org, or to: </w:t>
      </w:r>
    </w:p>
    <w:p w14:paraId="32B41F8C" w14:textId="77777777" w:rsidR="00044720" w:rsidRPr="005A1DC7" w:rsidRDefault="00044720" w:rsidP="006C7127">
      <w:pPr>
        <w:tabs>
          <w:tab w:val="left" w:pos="720"/>
        </w:tabs>
        <w:ind w:right="-1"/>
        <w:jc w:val="both"/>
        <w:rPr>
          <w:sz w:val="22"/>
          <w:szCs w:val="22"/>
        </w:rPr>
      </w:pPr>
    </w:p>
    <w:p w14:paraId="432B0A49" w14:textId="77777777" w:rsidR="00044720" w:rsidRPr="005A1DC7" w:rsidRDefault="00044720" w:rsidP="006C7127">
      <w:pPr>
        <w:tabs>
          <w:tab w:val="left" w:pos="720"/>
        </w:tabs>
        <w:ind w:right="-1"/>
        <w:jc w:val="both"/>
        <w:rPr>
          <w:sz w:val="22"/>
          <w:szCs w:val="22"/>
        </w:rPr>
      </w:pPr>
      <w:r w:rsidRPr="005A1DC7">
        <w:rPr>
          <w:sz w:val="22"/>
          <w:szCs w:val="22"/>
        </w:rPr>
        <w:t xml:space="preserve">UN Special Rapporteur on adequate housing </w:t>
      </w:r>
    </w:p>
    <w:p w14:paraId="653676D9" w14:textId="77777777" w:rsidR="00044720" w:rsidRPr="005A1DC7" w:rsidRDefault="00044720" w:rsidP="006C7127">
      <w:pPr>
        <w:tabs>
          <w:tab w:val="left" w:pos="720"/>
        </w:tabs>
        <w:ind w:right="-1"/>
        <w:jc w:val="both"/>
        <w:rPr>
          <w:sz w:val="22"/>
          <w:szCs w:val="22"/>
        </w:rPr>
      </w:pPr>
      <w:r w:rsidRPr="005A1DC7">
        <w:rPr>
          <w:sz w:val="22"/>
          <w:szCs w:val="22"/>
        </w:rPr>
        <w:t>Office of the High Commissioner for Human Rights</w:t>
      </w:r>
    </w:p>
    <w:p w14:paraId="757A44FC" w14:textId="77777777" w:rsidR="00044720" w:rsidRPr="005A1DC7" w:rsidRDefault="00044720" w:rsidP="006C7127">
      <w:pPr>
        <w:tabs>
          <w:tab w:val="left" w:pos="720"/>
        </w:tabs>
        <w:ind w:right="-1"/>
        <w:jc w:val="both"/>
        <w:rPr>
          <w:sz w:val="22"/>
          <w:szCs w:val="22"/>
        </w:rPr>
      </w:pPr>
      <w:r w:rsidRPr="005A1DC7">
        <w:rPr>
          <w:sz w:val="22"/>
          <w:szCs w:val="22"/>
        </w:rPr>
        <w:t xml:space="preserve">Special Procedures Branch, </w:t>
      </w:r>
      <w:proofErr w:type="spellStart"/>
      <w:r w:rsidRPr="005A1DC7">
        <w:rPr>
          <w:sz w:val="22"/>
          <w:szCs w:val="22"/>
        </w:rPr>
        <w:t>Palais</w:t>
      </w:r>
      <w:proofErr w:type="spellEnd"/>
      <w:r w:rsidRPr="005A1DC7">
        <w:rPr>
          <w:sz w:val="22"/>
          <w:szCs w:val="22"/>
        </w:rPr>
        <w:t xml:space="preserve"> Wilson, Room 3-077</w:t>
      </w:r>
    </w:p>
    <w:p w14:paraId="6EB575CC" w14:textId="77777777" w:rsidR="00044720" w:rsidRPr="005A1DC7" w:rsidRDefault="00044720" w:rsidP="006C7127">
      <w:pPr>
        <w:tabs>
          <w:tab w:val="left" w:pos="720"/>
        </w:tabs>
        <w:ind w:right="-1"/>
        <w:jc w:val="both"/>
        <w:rPr>
          <w:sz w:val="22"/>
          <w:szCs w:val="22"/>
        </w:rPr>
      </w:pPr>
      <w:r w:rsidRPr="005A1DC7">
        <w:rPr>
          <w:sz w:val="22"/>
          <w:szCs w:val="22"/>
        </w:rPr>
        <w:t>CH – 1211, Geneva 10</w:t>
      </w:r>
    </w:p>
    <w:p w14:paraId="427515DC" w14:textId="77777777" w:rsidR="00044720" w:rsidRPr="005A1DC7" w:rsidRDefault="00044720" w:rsidP="006C7127">
      <w:pPr>
        <w:tabs>
          <w:tab w:val="left" w:pos="720"/>
        </w:tabs>
        <w:ind w:right="-1"/>
        <w:jc w:val="both"/>
        <w:rPr>
          <w:sz w:val="22"/>
          <w:szCs w:val="22"/>
        </w:rPr>
      </w:pPr>
      <w:r w:rsidRPr="005A1DC7">
        <w:rPr>
          <w:sz w:val="22"/>
          <w:szCs w:val="22"/>
        </w:rPr>
        <w:t>Switzerland</w:t>
      </w:r>
    </w:p>
    <w:p w14:paraId="20D4716A" w14:textId="77777777" w:rsidR="00044720" w:rsidRPr="005A1DC7" w:rsidRDefault="00044720" w:rsidP="006C7127">
      <w:pPr>
        <w:tabs>
          <w:tab w:val="left" w:pos="720"/>
        </w:tabs>
        <w:ind w:right="-1"/>
        <w:jc w:val="both"/>
        <w:rPr>
          <w:sz w:val="22"/>
          <w:szCs w:val="22"/>
        </w:rPr>
      </w:pPr>
    </w:p>
    <w:p w14:paraId="110FB6D8" w14:textId="77777777" w:rsidR="00044720" w:rsidRPr="005A1DC7" w:rsidRDefault="00044720" w:rsidP="006C7127">
      <w:pPr>
        <w:tabs>
          <w:tab w:val="left" w:pos="720"/>
        </w:tabs>
        <w:ind w:right="-1"/>
        <w:jc w:val="both"/>
        <w:rPr>
          <w:sz w:val="22"/>
          <w:szCs w:val="22"/>
        </w:rPr>
      </w:pPr>
      <w:r w:rsidRPr="005A1DC7">
        <w:rPr>
          <w:sz w:val="22"/>
          <w:szCs w:val="22"/>
        </w:rPr>
        <w:t xml:space="preserve">For any question, please contact the Special Rapporteur through her assistant, </w:t>
      </w:r>
      <w:proofErr w:type="spellStart"/>
      <w:r w:rsidRPr="005A1DC7">
        <w:rPr>
          <w:sz w:val="22"/>
          <w:szCs w:val="22"/>
        </w:rPr>
        <w:t>Ms.</w:t>
      </w:r>
      <w:proofErr w:type="spellEnd"/>
      <w:r w:rsidRPr="005A1DC7">
        <w:rPr>
          <w:sz w:val="22"/>
          <w:szCs w:val="22"/>
        </w:rPr>
        <w:t xml:space="preserve"> Juana Sotomayor, Special Procedures Branch- OHCHR: email: jsotomayor@ohchr.org; phone: +41 22 917 94 45.</w:t>
      </w:r>
    </w:p>
    <w:p w14:paraId="22E62CF3" w14:textId="77777777" w:rsidR="00044720" w:rsidRPr="005A1DC7" w:rsidRDefault="00044720" w:rsidP="006C7127">
      <w:pPr>
        <w:tabs>
          <w:tab w:val="left" w:pos="720"/>
        </w:tabs>
        <w:ind w:right="-1"/>
        <w:jc w:val="both"/>
        <w:rPr>
          <w:sz w:val="22"/>
          <w:szCs w:val="22"/>
        </w:rPr>
      </w:pPr>
    </w:p>
    <w:p w14:paraId="73572DC2" w14:textId="77777777" w:rsidR="00044720" w:rsidRPr="005A1DC7" w:rsidRDefault="00044720" w:rsidP="004007ED">
      <w:pPr>
        <w:shd w:val="clear" w:color="auto" w:fill="D9D9D9"/>
        <w:tabs>
          <w:tab w:val="left" w:pos="720"/>
        </w:tabs>
        <w:ind w:right="-1"/>
        <w:jc w:val="both"/>
        <w:rPr>
          <w:b/>
          <w:sz w:val="22"/>
          <w:szCs w:val="22"/>
        </w:rPr>
      </w:pPr>
      <w:r w:rsidRPr="005A1DC7">
        <w:rPr>
          <w:b/>
          <w:sz w:val="22"/>
          <w:szCs w:val="22"/>
        </w:rPr>
        <w:t>III.</w:t>
      </w:r>
      <w:r w:rsidRPr="005A1DC7">
        <w:rPr>
          <w:b/>
          <w:sz w:val="22"/>
          <w:szCs w:val="22"/>
        </w:rPr>
        <w:tab/>
        <w:t>Questionnaire</w:t>
      </w:r>
    </w:p>
    <w:p w14:paraId="72835041" w14:textId="77777777" w:rsidR="007C6BE9" w:rsidRPr="005A1DC7" w:rsidRDefault="007C6BE9" w:rsidP="006C7127">
      <w:pPr>
        <w:tabs>
          <w:tab w:val="left" w:pos="720"/>
        </w:tabs>
        <w:ind w:right="-1"/>
        <w:jc w:val="both"/>
        <w:rPr>
          <w:sz w:val="22"/>
          <w:szCs w:val="22"/>
        </w:rPr>
      </w:pPr>
    </w:p>
    <w:p w14:paraId="32AAB34B" w14:textId="77777777" w:rsidR="00044720" w:rsidRPr="005A1DC7" w:rsidRDefault="00044720" w:rsidP="006C7127">
      <w:pPr>
        <w:tabs>
          <w:tab w:val="left" w:pos="720"/>
        </w:tabs>
        <w:ind w:right="-1"/>
        <w:jc w:val="both"/>
        <w:rPr>
          <w:b/>
          <w:sz w:val="22"/>
          <w:szCs w:val="22"/>
        </w:rPr>
      </w:pPr>
      <w:r w:rsidRPr="005A1DC7">
        <w:rPr>
          <w:b/>
          <w:sz w:val="22"/>
          <w:szCs w:val="22"/>
        </w:rPr>
        <w:t>A.</w:t>
      </w:r>
      <w:r w:rsidRPr="005A1DC7">
        <w:rPr>
          <w:b/>
          <w:sz w:val="22"/>
          <w:szCs w:val="22"/>
        </w:rPr>
        <w:tab/>
        <w:t>Distribution of responsibilities related to the right to adequate housing:</w:t>
      </w:r>
    </w:p>
    <w:p w14:paraId="59AD0A74" w14:textId="77777777" w:rsidR="00044720" w:rsidRPr="005A1DC7" w:rsidRDefault="00044720" w:rsidP="006C7127">
      <w:pPr>
        <w:tabs>
          <w:tab w:val="left" w:pos="720"/>
        </w:tabs>
        <w:ind w:right="-1"/>
        <w:jc w:val="both"/>
        <w:rPr>
          <w:sz w:val="22"/>
          <w:szCs w:val="22"/>
        </w:rPr>
      </w:pPr>
    </w:p>
    <w:p w14:paraId="5E76E58C" w14:textId="77777777" w:rsidR="00044720" w:rsidRPr="005A1DC7" w:rsidRDefault="00044720" w:rsidP="003D0CCC">
      <w:pPr>
        <w:numPr>
          <w:ilvl w:val="0"/>
          <w:numId w:val="2"/>
        </w:numPr>
        <w:tabs>
          <w:tab w:val="left" w:pos="720"/>
        </w:tabs>
        <w:ind w:right="-1"/>
        <w:jc w:val="both"/>
        <w:rPr>
          <w:b/>
          <w:i/>
          <w:sz w:val="22"/>
          <w:szCs w:val="22"/>
        </w:rPr>
      </w:pPr>
      <w:r w:rsidRPr="005A1DC7">
        <w:rPr>
          <w:b/>
          <w:i/>
          <w:sz w:val="22"/>
          <w:szCs w:val="22"/>
        </w:rPr>
        <w:t>Please identify the levels of government (national, provincial/state, municipal) primarily responsible for the following: (where primary responsibility is shared please che</w:t>
      </w:r>
      <w:r w:rsidR="007C6BE9" w:rsidRPr="005A1DC7">
        <w:rPr>
          <w:b/>
          <w:i/>
          <w:sz w:val="22"/>
          <w:szCs w:val="22"/>
        </w:rPr>
        <w:t>ck more than one</w:t>
      </w:r>
      <w:r w:rsidRPr="005A1DC7">
        <w:rPr>
          <w:b/>
          <w:i/>
          <w:sz w:val="22"/>
          <w:szCs w:val="22"/>
        </w:rPr>
        <w:t xml:space="preserve">): </w:t>
      </w:r>
    </w:p>
    <w:p w14:paraId="12510ACC" w14:textId="77777777" w:rsidR="007C6BE9" w:rsidRPr="005A1DC7" w:rsidRDefault="007C6BE9" w:rsidP="006C7127">
      <w:pPr>
        <w:tabs>
          <w:tab w:val="left" w:pos="720"/>
        </w:tabs>
        <w:ind w:left="720" w:right="-1"/>
        <w:jc w:val="both"/>
        <w:rPr>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2"/>
        <w:gridCol w:w="1417"/>
        <w:gridCol w:w="1276"/>
        <w:gridCol w:w="1134"/>
        <w:gridCol w:w="2126"/>
      </w:tblGrid>
      <w:tr w:rsidR="00636E7D" w:rsidRPr="00652F75" w14:paraId="3E483AC0" w14:textId="77777777" w:rsidTr="00AF7C3E">
        <w:tc>
          <w:tcPr>
            <w:tcW w:w="2824" w:type="dxa"/>
            <w:shd w:val="clear" w:color="auto" w:fill="D9D9D9"/>
          </w:tcPr>
          <w:p w14:paraId="4A17ECE8" w14:textId="77777777" w:rsidR="007C6BE9" w:rsidRPr="005A1DC7" w:rsidRDefault="007C6BE9" w:rsidP="006C7127">
            <w:pPr>
              <w:contextualSpacing/>
              <w:rPr>
                <w:sz w:val="22"/>
                <w:szCs w:val="22"/>
              </w:rPr>
            </w:pPr>
          </w:p>
        </w:tc>
        <w:tc>
          <w:tcPr>
            <w:tcW w:w="1429" w:type="dxa"/>
            <w:gridSpan w:val="2"/>
            <w:shd w:val="clear" w:color="auto" w:fill="D9D9D9"/>
          </w:tcPr>
          <w:p w14:paraId="12E84DFC" w14:textId="77777777" w:rsidR="007C6BE9" w:rsidRPr="005A1DC7" w:rsidRDefault="007C6BE9" w:rsidP="006C7127">
            <w:pPr>
              <w:contextualSpacing/>
              <w:rPr>
                <w:sz w:val="22"/>
                <w:szCs w:val="22"/>
                <w:lang w:val="en-CA"/>
              </w:rPr>
            </w:pPr>
            <w:r w:rsidRPr="005A1DC7">
              <w:rPr>
                <w:sz w:val="22"/>
                <w:szCs w:val="22"/>
                <w:lang w:val="en-CA"/>
              </w:rPr>
              <w:t>National/ Federal</w:t>
            </w:r>
          </w:p>
        </w:tc>
        <w:tc>
          <w:tcPr>
            <w:tcW w:w="1276" w:type="dxa"/>
            <w:shd w:val="clear" w:color="auto" w:fill="D9D9D9"/>
          </w:tcPr>
          <w:p w14:paraId="75047DE2" w14:textId="77777777" w:rsidR="007C6BE9" w:rsidRPr="005A1DC7" w:rsidRDefault="007C6BE9" w:rsidP="006C7127">
            <w:pPr>
              <w:contextualSpacing/>
              <w:rPr>
                <w:sz w:val="22"/>
                <w:szCs w:val="22"/>
                <w:lang w:val="en-CA"/>
              </w:rPr>
            </w:pPr>
            <w:r w:rsidRPr="005A1DC7">
              <w:rPr>
                <w:sz w:val="22"/>
                <w:szCs w:val="22"/>
                <w:lang w:val="en-CA"/>
              </w:rPr>
              <w:t>Provincial/</w:t>
            </w:r>
          </w:p>
          <w:p w14:paraId="485E2FED" w14:textId="77777777" w:rsidR="007C6BE9" w:rsidRPr="005A1DC7" w:rsidRDefault="00C657AF" w:rsidP="006C7127">
            <w:pPr>
              <w:contextualSpacing/>
              <w:rPr>
                <w:sz w:val="22"/>
                <w:szCs w:val="22"/>
                <w:lang w:val="en-CA"/>
              </w:rPr>
            </w:pPr>
            <w:r w:rsidRPr="005A1DC7">
              <w:rPr>
                <w:sz w:val="22"/>
                <w:szCs w:val="22"/>
                <w:lang w:val="en-CA"/>
              </w:rPr>
              <w:t>S</w:t>
            </w:r>
            <w:r w:rsidR="007C6BE9" w:rsidRPr="005A1DC7">
              <w:rPr>
                <w:sz w:val="22"/>
                <w:szCs w:val="22"/>
                <w:lang w:val="en-CA"/>
              </w:rPr>
              <w:t>tate</w:t>
            </w:r>
          </w:p>
        </w:tc>
        <w:tc>
          <w:tcPr>
            <w:tcW w:w="1134" w:type="dxa"/>
            <w:shd w:val="clear" w:color="auto" w:fill="D9D9D9"/>
          </w:tcPr>
          <w:p w14:paraId="6061756E" w14:textId="77777777" w:rsidR="007C6BE9" w:rsidRPr="005A1DC7" w:rsidRDefault="007C6BE9" w:rsidP="006C7127">
            <w:pPr>
              <w:contextualSpacing/>
              <w:rPr>
                <w:sz w:val="22"/>
                <w:szCs w:val="22"/>
                <w:lang w:val="en-CA"/>
              </w:rPr>
            </w:pPr>
            <w:r w:rsidRPr="005A1DC7">
              <w:rPr>
                <w:sz w:val="22"/>
                <w:szCs w:val="22"/>
                <w:lang w:val="en-CA"/>
              </w:rPr>
              <w:t>Municipal</w:t>
            </w:r>
          </w:p>
        </w:tc>
        <w:tc>
          <w:tcPr>
            <w:tcW w:w="2126" w:type="dxa"/>
            <w:shd w:val="clear" w:color="auto" w:fill="D9D9D9"/>
          </w:tcPr>
          <w:p w14:paraId="15E2F11A" w14:textId="77777777" w:rsidR="007C6BE9" w:rsidRPr="005A1DC7" w:rsidRDefault="007C6BE9" w:rsidP="006C7127">
            <w:pPr>
              <w:contextualSpacing/>
              <w:rPr>
                <w:sz w:val="22"/>
                <w:szCs w:val="22"/>
                <w:lang w:val="en-CA"/>
              </w:rPr>
            </w:pPr>
            <w:r w:rsidRPr="005A1DC7">
              <w:rPr>
                <w:sz w:val="22"/>
                <w:szCs w:val="22"/>
                <w:lang w:val="en-CA"/>
              </w:rPr>
              <w:t>Explanatory Notes</w:t>
            </w:r>
          </w:p>
        </w:tc>
      </w:tr>
      <w:tr w:rsidR="00636E7D" w:rsidRPr="00652F75" w14:paraId="79BD8C8C" w14:textId="77777777" w:rsidTr="00AF7C3E">
        <w:tc>
          <w:tcPr>
            <w:tcW w:w="2824" w:type="dxa"/>
            <w:shd w:val="clear" w:color="auto" w:fill="auto"/>
          </w:tcPr>
          <w:p w14:paraId="7402BC73" w14:textId="77777777" w:rsidR="007C6BE9" w:rsidRPr="00652F75" w:rsidRDefault="007C6BE9" w:rsidP="006C7127">
            <w:pPr>
              <w:contextualSpacing/>
              <w:rPr>
                <w:sz w:val="22"/>
                <w:szCs w:val="22"/>
                <w:lang w:val="en-CA"/>
              </w:rPr>
            </w:pPr>
            <w:r w:rsidRPr="00652F75">
              <w:rPr>
                <w:sz w:val="22"/>
                <w:szCs w:val="22"/>
                <w:lang w:val="en-CA"/>
              </w:rPr>
              <w:t>Housing programme</w:t>
            </w:r>
          </w:p>
          <w:p w14:paraId="28048CC7" w14:textId="77777777" w:rsidR="007C6BE9" w:rsidRPr="00652F75" w:rsidRDefault="007C6BE9" w:rsidP="006C7127">
            <w:pPr>
              <w:contextualSpacing/>
              <w:rPr>
                <w:sz w:val="22"/>
                <w:szCs w:val="22"/>
                <w:lang w:val="en-CA"/>
              </w:rPr>
            </w:pPr>
          </w:p>
        </w:tc>
        <w:tc>
          <w:tcPr>
            <w:tcW w:w="1429" w:type="dxa"/>
            <w:gridSpan w:val="2"/>
            <w:shd w:val="clear" w:color="auto" w:fill="auto"/>
          </w:tcPr>
          <w:p w14:paraId="519971A7" w14:textId="77777777" w:rsidR="00AF7C3E" w:rsidRPr="00652F75" w:rsidRDefault="00AF7C3E" w:rsidP="006C7127">
            <w:pPr>
              <w:contextualSpacing/>
              <w:rPr>
                <w:sz w:val="22"/>
                <w:szCs w:val="22"/>
                <w:lang w:val="en-CA"/>
              </w:rPr>
            </w:pPr>
            <w:r w:rsidRPr="00652F75">
              <w:rPr>
                <w:sz w:val="22"/>
                <w:szCs w:val="22"/>
                <w:lang w:val="en-CA"/>
              </w:rPr>
              <w:t xml:space="preserve">X </w:t>
            </w:r>
          </w:p>
          <w:p w14:paraId="06A9F8D3" w14:textId="77777777" w:rsidR="007C6BE9" w:rsidRPr="00652F75" w:rsidRDefault="007C6BE9" w:rsidP="006C7127">
            <w:pPr>
              <w:contextualSpacing/>
              <w:rPr>
                <w:sz w:val="22"/>
                <w:szCs w:val="22"/>
                <w:lang w:val="en-CA"/>
              </w:rPr>
            </w:pPr>
          </w:p>
        </w:tc>
        <w:tc>
          <w:tcPr>
            <w:tcW w:w="1276" w:type="dxa"/>
            <w:shd w:val="clear" w:color="auto" w:fill="auto"/>
          </w:tcPr>
          <w:p w14:paraId="41BB725F" w14:textId="77777777" w:rsidR="007C6BE9" w:rsidRPr="00652F75" w:rsidRDefault="007C6BE9" w:rsidP="006C7127">
            <w:pPr>
              <w:contextualSpacing/>
              <w:rPr>
                <w:sz w:val="22"/>
                <w:szCs w:val="22"/>
                <w:lang w:val="en-CA"/>
              </w:rPr>
            </w:pPr>
          </w:p>
        </w:tc>
        <w:tc>
          <w:tcPr>
            <w:tcW w:w="1134" w:type="dxa"/>
            <w:shd w:val="clear" w:color="auto" w:fill="auto"/>
          </w:tcPr>
          <w:p w14:paraId="4F1F776F" w14:textId="77777777" w:rsidR="007C6BE9" w:rsidRPr="00652F75" w:rsidRDefault="00AF7C3E" w:rsidP="006C7127">
            <w:pPr>
              <w:contextualSpacing/>
              <w:rPr>
                <w:sz w:val="22"/>
                <w:szCs w:val="22"/>
                <w:lang w:val="en-CA"/>
              </w:rPr>
            </w:pPr>
            <w:r w:rsidRPr="00652F75">
              <w:rPr>
                <w:sz w:val="22"/>
                <w:szCs w:val="22"/>
                <w:lang w:val="en-CA"/>
              </w:rPr>
              <w:t>X</w:t>
            </w:r>
          </w:p>
        </w:tc>
        <w:tc>
          <w:tcPr>
            <w:tcW w:w="2126" w:type="dxa"/>
            <w:shd w:val="clear" w:color="auto" w:fill="auto"/>
          </w:tcPr>
          <w:p w14:paraId="0535BDC3" w14:textId="62B81EF5" w:rsidR="007C6BE9" w:rsidRPr="00652F75" w:rsidRDefault="00AF7C3E" w:rsidP="000D5265">
            <w:pPr>
              <w:contextualSpacing/>
              <w:rPr>
                <w:sz w:val="22"/>
                <w:szCs w:val="22"/>
                <w:lang w:val="en-CA"/>
              </w:rPr>
            </w:pPr>
            <w:r w:rsidRPr="00652F75">
              <w:rPr>
                <w:sz w:val="22"/>
                <w:szCs w:val="22"/>
                <w:lang w:val="en-CA"/>
              </w:rPr>
              <w:t xml:space="preserve">Please see </w:t>
            </w:r>
            <w:r w:rsidR="000D5265" w:rsidRPr="00652F75">
              <w:rPr>
                <w:sz w:val="22"/>
                <w:szCs w:val="22"/>
                <w:lang w:val="en-CA"/>
              </w:rPr>
              <w:t xml:space="preserve">the </w:t>
            </w:r>
            <w:r w:rsidRPr="00652F75">
              <w:rPr>
                <w:sz w:val="22"/>
                <w:szCs w:val="22"/>
                <w:lang w:val="en-CA"/>
              </w:rPr>
              <w:t xml:space="preserve">answer </w:t>
            </w:r>
            <w:r w:rsidR="000D5265" w:rsidRPr="00652F75">
              <w:rPr>
                <w:sz w:val="22"/>
                <w:szCs w:val="22"/>
                <w:lang w:val="en-CA"/>
              </w:rPr>
              <w:t xml:space="preserve">to the </w:t>
            </w:r>
            <w:r w:rsidRPr="00652F75">
              <w:rPr>
                <w:sz w:val="22"/>
                <w:szCs w:val="22"/>
                <w:lang w:val="en-CA"/>
              </w:rPr>
              <w:t>2</w:t>
            </w:r>
            <w:r w:rsidRPr="00652F75">
              <w:rPr>
                <w:sz w:val="22"/>
                <w:szCs w:val="22"/>
                <w:vertAlign w:val="superscript"/>
                <w:lang w:val="en-CA"/>
              </w:rPr>
              <w:t>nd</w:t>
            </w:r>
            <w:r w:rsidRPr="00652F75">
              <w:rPr>
                <w:sz w:val="22"/>
                <w:szCs w:val="22"/>
                <w:lang w:val="en-CA"/>
              </w:rPr>
              <w:t xml:space="preserve"> question </w:t>
            </w:r>
            <w:r w:rsidR="000D5265" w:rsidRPr="00652F75">
              <w:rPr>
                <w:sz w:val="22"/>
                <w:szCs w:val="22"/>
                <w:lang w:val="en-CA"/>
              </w:rPr>
              <w:t>below for</w:t>
            </w:r>
            <w:r w:rsidRPr="00652F75">
              <w:rPr>
                <w:sz w:val="22"/>
                <w:szCs w:val="22"/>
                <w:lang w:val="en-CA"/>
              </w:rPr>
              <w:t xml:space="preserve"> further information</w:t>
            </w:r>
          </w:p>
        </w:tc>
      </w:tr>
      <w:tr w:rsidR="00636E7D" w:rsidRPr="00652F75" w14:paraId="6F752C8B" w14:textId="77777777" w:rsidTr="00AF7C3E">
        <w:tc>
          <w:tcPr>
            <w:tcW w:w="2824" w:type="dxa"/>
            <w:shd w:val="clear" w:color="auto" w:fill="auto"/>
          </w:tcPr>
          <w:p w14:paraId="77C5C53A" w14:textId="77777777" w:rsidR="007C6BE9" w:rsidRPr="00652F75" w:rsidRDefault="007C6BE9" w:rsidP="006C7127">
            <w:pPr>
              <w:contextualSpacing/>
              <w:rPr>
                <w:sz w:val="22"/>
                <w:szCs w:val="22"/>
                <w:lang w:val="en-CA"/>
              </w:rPr>
            </w:pPr>
            <w:r w:rsidRPr="00652F75">
              <w:rPr>
                <w:sz w:val="22"/>
                <w:szCs w:val="22"/>
                <w:lang w:val="en-CA"/>
              </w:rPr>
              <w:t>Income support (</w:t>
            </w:r>
            <w:proofErr w:type="spellStart"/>
            <w:r w:rsidRPr="00652F75">
              <w:rPr>
                <w:sz w:val="22"/>
                <w:szCs w:val="22"/>
                <w:lang w:val="en-CA"/>
              </w:rPr>
              <w:t>eg</w:t>
            </w:r>
            <w:proofErr w:type="spellEnd"/>
            <w:r w:rsidRPr="00652F75">
              <w:rPr>
                <w:sz w:val="22"/>
                <w:szCs w:val="22"/>
                <w:lang w:val="en-CA"/>
              </w:rPr>
              <w:t>: transfer payments to individuals</w:t>
            </w:r>
            <w:r w:rsidR="00C03616" w:rsidRPr="00652F75">
              <w:rPr>
                <w:sz w:val="22"/>
                <w:szCs w:val="22"/>
                <w:lang w:val="en-CA"/>
              </w:rPr>
              <w:t>, welfare, social security</w:t>
            </w:r>
            <w:r w:rsidRPr="00652F75">
              <w:rPr>
                <w:sz w:val="22"/>
                <w:szCs w:val="22"/>
                <w:lang w:val="en-CA"/>
              </w:rPr>
              <w:t xml:space="preserve"> and/or rent subsidies/supplements)</w:t>
            </w:r>
          </w:p>
        </w:tc>
        <w:tc>
          <w:tcPr>
            <w:tcW w:w="1429" w:type="dxa"/>
            <w:gridSpan w:val="2"/>
            <w:shd w:val="clear" w:color="auto" w:fill="auto"/>
          </w:tcPr>
          <w:p w14:paraId="792C3156" w14:textId="77777777" w:rsidR="007C6BE9" w:rsidRPr="00652F75" w:rsidRDefault="00AF7C3E" w:rsidP="006C7127">
            <w:pPr>
              <w:contextualSpacing/>
              <w:rPr>
                <w:sz w:val="22"/>
                <w:szCs w:val="22"/>
                <w:lang w:val="en-CA"/>
              </w:rPr>
            </w:pPr>
            <w:r w:rsidRPr="00652F75">
              <w:rPr>
                <w:sz w:val="22"/>
                <w:szCs w:val="22"/>
                <w:lang w:val="en-CA"/>
              </w:rPr>
              <w:t>X</w:t>
            </w:r>
          </w:p>
        </w:tc>
        <w:tc>
          <w:tcPr>
            <w:tcW w:w="1276" w:type="dxa"/>
            <w:shd w:val="clear" w:color="auto" w:fill="auto"/>
          </w:tcPr>
          <w:p w14:paraId="2F6DA668" w14:textId="77777777" w:rsidR="007C6BE9" w:rsidRPr="00652F75" w:rsidRDefault="007C6BE9" w:rsidP="006C7127">
            <w:pPr>
              <w:contextualSpacing/>
              <w:rPr>
                <w:sz w:val="22"/>
                <w:szCs w:val="22"/>
                <w:lang w:val="en-CA"/>
              </w:rPr>
            </w:pPr>
          </w:p>
        </w:tc>
        <w:tc>
          <w:tcPr>
            <w:tcW w:w="1134" w:type="dxa"/>
            <w:shd w:val="clear" w:color="auto" w:fill="auto"/>
          </w:tcPr>
          <w:p w14:paraId="1C95A87E" w14:textId="77777777" w:rsidR="007C6BE9" w:rsidRPr="00652F75" w:rsidRDefault="00AF7C3E" w:rsidP="006C7127">
            <w:pPr>
              <w:contextualSpacing/>
              <w:rPr>
                <w:sz w:val="22"/>
                <w:szCs w:val="22"/>
                <w:lang w:val="en-CA"/>
              </w:rPr>
            </w:pPr>
            <w:r w:rsidRPr="00652F75">
              <w:rPr>
                <w:sz w:val="22"/>
                <w:szCs w:val="22"/>
                <w:lang w:val="en-CA"/>
              </w:rPr>
              <w:t>X</w:t>
            </w:r>
          </w:p>
        </w:tc>
        <w:tc>
          <w:tcPr>
            <w:tcW w:w="2126" w:type="dxa"/>
            <w:shd w:val="clear" w:color="auto" w:fill="auto"/>
          </w:tcPr>
          <w:p w14:paraId="346DB2E8" w14:textId="77777777" w:rsidR="007C6BE9" w:rsidRPr="00652F75" w:rsidRDefault="007C6BE9" w:rsidP="006C7127">
            <w:pPr>
              <w:contextualSpacing/>
              <w:rPr>
                <w:sz w:val="22"/>
                <w:szCs w:val="22"/>
                <w:lang w:val="en-CA"/>
              </w:rPr>
            </w:pPr>
          </w:p>
        </w:tc>
      </w:tr>
      <w:tr w:rsidR="00636E7D" w:rsidRPr="00652F75" w14:paraId="27B50960" w14:textId="77777777" w:rsidTr="00AF7C3E">
        <w:tc>
          <w:tcPr>
            <w:tcW w:w="2824" w:type="dxa"/>
            <w:shd w:val="clear" w:color="auto" w:fill="auto"/>
          </w:tcPr>
          <w:p w14:paraId="7D3ACE86" w14:textId="77777777" w:rsidR="007C6BE9" w:rsidRPr="00652F75" w:rsidRDefault="007C6BE9" w:rsidP="006C7127">
            <w:pPr>
              <w:contextualSpacing/>
              <w:rPr>
                <w:sz w:val="22"/>
                <w:szCs w:val="22"/>
                <w:lang w:val="en-CA"/>
              </w:rPr>
            </w:pPr>
            <w:r w:rsidRPr="00652F75">
              <w:rPr>
                <w:sz w:val="22"/>
                <w:szCs w:val="22"/>
                <w:lang w:val="en-CA"/>
              </w:rPr>
              <w:t>Tenancy and security of tenure legislation</w:t>
            </w:r>
          </w:p>
        </w:tc>
        <w:tc>
          <w:tcPr>
            <w:tcW w:w="1429" w:type="dxa"/>
            <w:gridSpan w:val="2"/>
            <w:shd w:val="clear" w:color="auto" w:fill="auto"/>
          </w:tcPr>
          <w:p w14:paraId="5411D899" w14:textId="77777777" w:rsidR="007C6BE9" w:rsidRPr="00652F75" w:rsidRDefault="00AF7C3E" w:rsidP="006C7127">
            <w:pPr>
              <w:contextualSpacing/>
              <w:rPr>
                <w:sz w:val="22"/>
                <w:szCs w:val="22"/>
                <w:lang w:val="en-CA"/>
              </w:rPr>
            </w:pPr>
            <w:r w:rsidRPr="00652F75">
              <w:rPr>
                <w:sz w:val="22"/>
                <w:szCs w:val="22"/>
                <w:lang w:val="en-CA"/>
              </w:rPr>
              <w:t>X</w:t>
            </w:r>
          </w:p>
        </w:tc>
        <w:tc>
          <w:tcPr>
            <w:tcW w:w="1276" w:type="dxa"/>
            <w:shd w:val="clear" w:color="auto" w:fill="auto"/>
          </w:tcPr>
          <w:p w14:paraId="4BAF5167" w14:textId="77777777" w:rsidR="007C6BE9" w:rsidRPr="00652F75" w:rsidRDefault="007C6BE9" w:rsidP="006C7127">
            <w:pPr>
              <w:contextualSpacing/>
              <w:rPr>
                <w:sz w:val="22"/>
                <w:szCs w:val="22"/>
                <w:lang w:val="en-CA"/>
              </w:rPr>
            </w:pPr>
          </w:p>
        </w:tc>
        <w:tc>
          <w:tcPr>
            <w:tcW w:w="1134" w:type="dxa"/>
            <w:shd w:val="clear" w:color="auto" w:fill="auto"/>
          </w:tcPr>
          <w:p w14:paraId="1FD2C4DF" w14:textId="77777777" w:rsidR="007C6BE9" w:rsidRPr="00652F75" w:rsidRDefault="007C6BE9" w:rsidP="006C7127">
            <w:pPr>
              <w:contextualSpacing/>
              <w:rPr>
                <w:sz w:val="22"/>
                <w:szCs w:val="22"/>
                <w:lang w:val="en-CA"/>
              </w:rPr>
            </w:pPr>
          </w:p>
        </w:tc>
        <w:tc>
          <w:tcPr>
            <w:tcW w:w="2126" w:type="dxa"/>
            <w:shd w:val="clear" w:color="auto" w:fill="auto"/>
          </w:tcPr>
          <w:p w14:paraId="73D75A6D" w14:textId="77777777" w:rsidR="007C6BE9" w:rsidRPr="00652F75" w:rsidRDefault="007C6BE9" w:rsidP="006C7127">
            <w:pPr>
              <w:contextualSpacing/>
              <w:rPr>
                <w:sz w:val="22"/>
                <w:szCs w:val="22"/>
                <w:lang w:val="en-CA"/>
              </w:rPr>
            </w:pPr>
          </w:p>
        </w:tc>
      </w:tr>
      <w:tr w:rsidR="00636E7D" w:rsidRPr="00652F75" w14:paraId="250C1E83" w14:textId="77777777" w:rsidTr="00AF7C3E">
        <w:tc>
          <w:tcPr>
            <w:tcW w:w="2824" w:type="dxa"/>
            <w:shd w:val="clear" w:color="auto" w:fill="auto"/>
          </w:tcPr>
          <w:p w14:paraId="6735726D" w14:textId="77777777" w:rsidR="007C6BE9" w:rsidRPr="00652F75" w:rsidRDefault="007C6BE9" w:rsidP="006C7127">
            <w:pPr>
              <w:contextualSpacing/>
              <w:rPr>
                <w:sz w:val="22"/>
                <w:szCs w:val="22"/>
                <w:lang w:val="en-CA"/>
              </w:rPr>
            </w:pPr>
            <w:r w:rsidRPr="00652F75">
              <w:rPr>
                <w:sz w:val="22"/>
                <w:szCs w:val="22"/>
                <w:lang w:val="en-CA"/>
              </w:rPr>
              <w:t>Infrastructure (</w:t>
            </w:r>
            <w:proofErr w:type="spellStart"/>
            <w:r w:rsidRPr="00652F75">
              <w:rPr>
                <w:sz w:val="22"/>
                <w:szCs w:val="22"/>
                <w:lang w:val="en-CA"/>
              </w:rPr>
              <w:t>eg</w:t>
            </w:r>
            <w:proofErr w:type="spellEnd"/>
            <w:r w:rsidRPr="00652F75">
              <w:rPr>
                <w:sz w:val="22"/>
                <w:szCs w:val="22"/>
                <w:lang w:val="en-CA"/>
              </w:rPr>
              <w:t>: Water/sanitation, electricity)</w:t>
            </w:r>
          </w:p>
        </w:tc>
        <w:tc>
          <w:tcPr>
            <w:tcW w:w="1429" w:type="dxa"/>
            <w:gridSpan w:val="2"/>
            <w:shd w:val="clear" w:color="auto" w:fill="auto"/>
          </w:tcPr>
          <w:p w14:paraId="0873B58A" w14:textId="77777777" w:rsidR="007C6BE9" w:rsidRPr="00652F75" w:rsidRDefault="00AF7C3E" w:rsidP="006C7127">
            <w:pPr>
              <w:contextualSpacing/>
              <w:rPr>
                <w:sz w:val="22"/>
                <w:szCs w:val="22"/>
                <w:lang w:val="en-CA"/>
              </w:rPr>
            </w:pPr>
            <w:r w:rsidRPr="00652F75">
              <w:rPr>
                <w:sz w:val="22"/>
                <w:szCs w:val="22"/>
                <w:lang w:val="en-CA"/>
              </w:rPr>
              <w:t>X</w:t>
            </w:r>
          </w:p>
        </w:tc>
        <w:tc>
          <w:tcPr>
            <w:tcW w:w="1276" w:type="dxa"/>
            <w:shd w:val="clear" w:color="auto" w:fill="auto"/>
          </w:tcPr>
          <w:p w14:paraId="5A081EDC" w14:textId="77777777" w:rsidR="007C6BE9" w:rsidRPr="00652F75" w:rsidRDefault="007C6BE9" w:rsidP="006C7127">
            <w:pPr>
              <w:contextualSpacing/>
              <w:rPr>
                <w:sz w:val="22"/>
                <w:szCs w:val="22"/>
                <w:lang w:val="en-CA"/>
              </w:rPr>
            </w:pPr>
          </w:p>
        </w:tc>
        <w:tc>
          <w:tcPr>
            <w:tcW w:w="1134" w:type="dxa"/>
            <w:shd w:val="clear" w:color="auto" w:fill="auto"/>
          </w:tcPr>
          <w:p w14:paraId="0494D2D0" w14:textId="77777777" w:rsidR="007C6BE9" w:rsidRPr="00652F75" w:rsidRDefault="00AF7C3E" w:rsidP="006C7127">
            <w:pPr>
              <w:contextualSpacing/>
              <w:rPr>
                <w:sz w:val="22"/>
                <w:szCs w:val="22"/>
                <w:lang w:val="en-CA"/>
              </w:rPr>
            </w:pPr>
            <w:r w:rsidRPr="00652F75">
              <w:rPr>
                <w:sz w:val="22"/>
                <w:szCs w:val="22"/>
                <w:lang w:val="en-CA"/>
              </w:rPr>
              <w:t>X</w:t>
            </w:r>
          </w:p>
        </w:tc>
        <w:tc>
          <w:tcPr>
            <w:tcW w:w="2126" w:type="dxa"/>
            <w:shd w:val="clear" w:color="auto" w:fill="auto"/>
          </w:tcPr>
          <w:p w14:paraId="5C6836D3" w14:textId="77777777" w:rsidR="007C6BE9" w:rsidRPr="00652F75" w:rsidRDefault="007C6BE9" w:rsidP="006C7127">
            <w:pPr>
              <w:contextualSpacing/>
              <w:rPr>
                <w:sz w:val="22"/>
                <w:szCs w:val="22"/>
                <w:lang w:val="en-CA"/>
              </w:rPr>
            </w:pPr>
          </w:p>
        </w:tc>
      </w:tr>
      <w:tr w:rsidR="00636E7D" w:rsidRPr="00652F75" w14:paraId="2569EB14" w14:textId="77777777" w:rsidTr="00AF7C3E">
        <w:tc>
          <w:tcPr>
            <w:tcW w:w="2836" w:type="dxa"/>
            <w:gridSpan w:val="2"/>
            <w:shd w:val="clear" w:color="auto" w:fill="auto"/>
          </w:tcPr>
          <w:p w14:paraId="5CFB439B" w14:textId="77777777" w:rsidR="007C6BE9" w:rsidRPr="00652F75" w:rsidRDefault="00C03616" w:rsidP="006C7127">
            <w:pPr>
              <w:contextualSpacing/>
              <w:rPr>
                <w:sz w:val="22"/>
                <w:szCs w:val="22"/>
                <w:lang w:val="en-CA"/>
              </w:rPr>
            </w:pPr>
            <w:r w:rsidRPr="00652F75">
              <w:rPr>
                <w:sz w:val="22"/>
                <w:szCs w:val="22"/>
                <w:lang w:val="en-CA"/>
              </w:rPr>
              <w:t>Prohibition of d</w:t>
            </w:r>
            <w:r w:rsidR="007C6BE9" w:rsidRPr="00652F75">
              <w:rPr>
                <w:sz w:val="22"/>
                <w:szCs w:val="22"/>
                <w:lang w:val="en-CA"/>
              </w:rPr>
              <w:t>iscrimination in housing</w:t>
            </w:r>
          </w:p>
        </w:tc>
        <w:tc>
          <w:tcPr>
            <w:tcW w:w="1417" w:type="dxa"/>
            <w:shd w:val="clear" w:color="auto" w:fill="auto"/>
          </w:tcPr>
          <w:p w14:paraId="2E5D7E1B" w14:textId="77777777" w:rsidR="007C6BE9" w:rsidRPr="00652F75" w:rsidRDefault="00AF7C3E" w:rsidP="006C7127">
            <w:pPr>
              <w:contextualSpacing/>
              <w:rPr>
                <w:sz w:val="22"/>
                <w:szCs w:val="22"/>
                <w:lang w:val="en-CA"/>
              </w:rPr>
            </w:pPr>
            <w:r w:rsidRPr="00652F75">
              <w:rPr>
                <w:sz w:val="22"/>
                <w:szCs w:val="22"/>
                <w:lang w:val="en-CA"/>
              </w:rPr>
              <w:t>X</w:t>
            </w:r>
          </w:p>
        </w:tc>
        <w:tc>
          <w:tcPr>
            <w:tcW w:w="1276" w:type="dxa"/>
            <w:shd w:val="clear" w:color="auto" w:fill="auto"/>
          </w:tcPr>
          <w:p w14:paraId="53BBA1C2" w14:textId="77777777" w:rsidR="007C6BE9" w:rsidRPr="00652F75" w:rsidRDefault="007C6BE9" w:rsidP="006C7127">
            <w:pPr>
              <w:contextualSpacing/>
              <w:rPr>
                <w:sz w:val="22"/>
                <w:szCs w:val="22"/>
                <w:lang w:val="en-CA"/>
              </w:rPr>
            </w:pPr>
          </w:p>
        </w:tc>
        <w:tc>
          <w:tcPr>
            <w:tcW w:w="1134" w:type="dxa"/>
            <w:shd w:val="clear" w:color="auto" w:fill="auto"/>
          </w:tcPr>
          <w:p w14:paraId="6039620C" w14:textId="2C428229" w:rsidR="007C6BE9" w:rsidRPr="00652F75" w:rsidRDefault="00851D17" w:rsidP="006C7127">
            <w:pPr>
              <w:contextualSpacing/>
              <w:rPr>
                <w:sz w:val="22"/>
                <w:szCs w:val="22"/>
                <w:lang w:val="en-CA"/>
              </w:rPr>
            </w:pPr>
            <w:r w:rsidRPr="00652F75">
              <w:rPr>
                <w:sz w:val="22"/>
                <w:szCs w:val="22"/>
                <w:lang w:val="en-CA"/>
              </w:rPr>
              <w:t>X</w:t>
            </w:r>
          </w:p>
        </w:tc>
        <w:tc>
          <w:tcPr>
            <w:tcW w:w="2126" w:type="dxa"/>
            <w:shd w:val="clear" w:color="auto" w:fill="auto"/>
          </w:tcPr>
          <w:p w14:paraId="64AF7BC3" w14:textId="26EDFB63" w:rsidR="007C6BE9" w:rsidRPr="00652F75" w:rsidRDefault="00851D17" w:rsidP="006C7127">
            <w:pPr>
              <w:contextualSpacing/>
              <w:rPr>
                <w:sz w:val="22"/>
                <w:szCs w:val="22"/>
                <w:lang w:val="en-CA"/>
              </w:rPr>
            </w:pPr>
            <w:r w:rsidRPr="00652F75">
              <w:rPr>
                <w:sz w:val="22"/>
                <w:szCs w:val="22"/>
                <w:lang w:val="en-CA"/>
              </w:rPr>
              <w:t>Art. 10 of the Constitution: Equality before the law</w:t>
            </w:r>
            <w:r w:rsidR="003221BD">
              <w:rPr>
                <w:sz w:val="22"/>
                <w:szCs w:val="22"/>
                <w:lang w:val="en-CA"/>
              </w:rPr>
              <w:t xml:space="preserve"> </w:t>
            </w:r>
            <w:r w:rsidRPr="00652F75">
              <w:rPr>
                <w:sz w:val="22"/>
                <w:szCs w:val="22"/>
                <w:lang w:val="en-CA"/>
              </w:rPr>
              <w:t xml:space="preserve">(does not mention housing explicitly) (article is applicable to central </w:t>
            </w:r>
            <w:r w:rsidRPr="00652F75">
              <w:rPr>
                <w:sz w:val="22"/>
                <w:szCs w:val="22"/>
                <w:lang w:val="en-CA"/>
              </w:rPr>
              <w:lastRenderedPageBreak/>
              <w:t xml:space="preserve">government as well as local governments. </w:t>
            </w:r>
          </w:p>
          <w:p w14:paraId="147346A5" w14:textId="3B2BD131" w:rsidR="00851D17" w:rsidRPr="00652F75" w:rsidRDefault="00851D17" w:rsidP="006C7127">
            <w:pPr>
              <w:contextualSpacing/>
              <w:rPr>
                <w:sz w:val="22"/>
                <w:szCs w:val="22"/>
                <w:lang w:val="en-CA"/>
              </w:rPr>
            </w:pPr>
            <w:r w:rsidRPr="00652F75">
              <w:rPr>
                <w:sz w:val="22"/>
                <w:szCs w:val="22"/>
                <w:lang w:val="en-CA"/>
              </w:rPr>
              <w:t>But Turkey does not have an anti-discrimination law.</w:t>
            </w:r>
          </w:p>
        </w:tc>
      </w:tr>
    </w:tbl>
    <w:p w14:paraId="6B6C2E83" w14:textId="77777777" w:rsidR="007C6BE9" w:rsidRPr="00652F75" w:rsidRDefault="007C6BE9" w:rsidP="006C7127">
      <w:pPr>
        <w:ind w:left="720"/>
        <w:contextualSpacing/>
        <w:rPr>
          <w:sz w:val="22"/>
          <w:szCs w:val="22"/>
          <w:lang w:val="en-CA"/>
        </w:rPr>
      </w:pPr>
    </w:p>
    <w:p w14:paraId="30414609" w14:textId="77777777" w:rsidR="00044720" w:rsidRPr="00652F75" w:rsidRDefault="00044720" w:rsidP="006C7127">
      <w:pPr>
        <w:tabs>
          <w:tab w:val="left" w:pos="720"/>
        </w:tabs>
        <w:ind w:right="-1"/>
        <w:jc w:val="both"/>
        <w:rPr>
          <w:sz w:val="22"/>
          <w:szCs w:val="22"/>
        </w:rPr>
      </w:pPr>
    </w:p>
    <w:p w14:paraId="53289738" w14:textId="77777777" w:rsidR="00044720" w:rsidRPr="00652F75" w:rsidRDefault="00044720" w:rsidP="006C7127">
      <w:pPr>
        <w:tabs>
          <w:tab w:val="left" w:pos="720"/>
        </w:tabs>
        <w:ind w:right="-1"/>
        <w:jc w:val="both"/>
        <w:rPr>
          <w:sz w:val="22"/>
          <w:szCs w:val="22"/>
        </w:rPr>
      </w:pPr>
    </w:p>
    <w:p w14:paraId="573E11EA" w14:textId="77777777" w:rsidR="00044720" w:rsidRPr="00652F75" w:rsidRDefault="00044720" w:rsidP="006C7127">
      <w:pPr>
        <w:tabs>
          <w:tab w:val="left" w:pos="720"/>
        </w:tabs>
        <w:ind w:right="-1"/>
        <w:jc w:val="both"/>
        <w:rPr>
          <w:sz w:val="22"/>
          <w:szCs w:val="22"/>
        </w:rPr>
      </w:pPr>
    </w:p>
    <w:p w14:paraId="03421E4B" w14:textId="77777777" w:rsidR="0061277D" w:rsidRPr="00652F75" w:rsidRDefault="00044720" w:rsidP="00EE5BC7">
      <w:pPr>
        <w:numPr>
          <w:ilvl w:val="0"/>
          <w:numId w:val="2"/>
        </w:numPr>
        <w:tabs>
          <w:tab w:val="left" w:pos="720"/>
        </w:tabs>
        <w:ind w:right="-1"/>
        <w:jc w:val="both"/>
        <w:rPr>
          <w:b/>
          <w:i/>
          <w:sz w:val="22"/>
          <w:szCs w:val="22"/>
        </w:rPr>
      </w:pPr>
      <w:r w:rsidRPr="00652F75">
        <w:rPr>
          <w:b/>
          <w:i/>
          <w:sz w:val="22"/>
          <w:szCs w:val="22"/>
        </w:rPr>
        <w:t xml:space="preserve">What </w:t>
      </w:r>
      <w:r w:rsidR="00B7332D" w:rsidRPr="00652F75">
        <w:rPr>
          <w:b/>
          <w:i/>
          <w:sz w:val="22"/>
          <w:szCs w:val="22"/>
        </w:rPr>
        <w:t xml:space="preserve">are </w:t>
      </w:r>
      <w:r w:rsidRPr="00652F75">
        <w:rPr>
          <w:b/>
          <w:i/>
          <w:sz w:val="22"/>
          <w:szCs w:val="22"/>
        </w:rPr>
        <w:t xml:space="preserve">the </w:t>
      </w:r>
      <w:r w:rsidR="00C03616" w:rsidRPr="00652F75">
        <w:rPr>
          <w:b/>
          <w:i/>
          <w:sz w:val="22"/>
          <w:szCs w:val="22"/>
        </w:rPr>
        <w:t>primary</w:t>
      </w:r>
      <w:r w:rsidR="00B7332D" w:rsidRPr="00652F75">
        <w:rPr>
          <w:b/>
          <w:i/>
          <w:sz w:val="22"/>
          <w:szCs w:val="22"/>
        </w:rPr>
        <w:t xml:space="preserve"> </w:t>
      </w:r>
      <w:r w:rsidRPr="00652F75">
        <w:rPr>
          <w:b/>
          <w:i/>
          <w:sz w:val="22"/>
          <w:szCs w:val="22"/>
        </w:rPr>
        <w:t>bas</w:t>
      </w:r>
      <w:r w:rsidR="00B7332D" w:rsidRPr="00652F75">
        <w:rPr>
          <w:b/>
          <w:i/>
          <w:sz w:val="22"/>
          <w:szCs w:val="22"/>
        </w:rPr>
        <w:t>es</w:t>
      </w:r>
      <w:r w:rsidRPr="00652F75">
        <w:rPr>
          <w:b/>
          <w:i/>
          <w:sz w:val="22"/>
          <w:szCs w:val="22"/>
        </w:rPr>
        <w:t xml:space="preserve"> for the allocation of responsibilities</w:t>
      </w:r>
      <w:r w:rsidR="00C03616" w:rsidRPr="00652F75">
        <w:rPr>
          <w:b/>
          <w:i/>
          <w:sz w:val="22"/>
          <w:szCs w:val="22"/>
        </w:rPr>
        <w:t xml:space="preserve"> among d</w:t>
      </w:r>
      <w:r w:rsidR="00FB37E8" w:rsidRPr="00652F75">
        <w:rPr>
          <w:b/>
          <w:i/>
          <w:sz w:val="22"/>
          <w:szCs w:val="22"/>
        </w:rPr>
        <w:t>i</w:t>
      </w:r>
      <w:r w:rsidR="00C03616" w:rsidRPr="00652F75">
        <w:rPr>
          <w:b/>
          <w:i/>
          <w:sz w:val="22"/>
          <w:szCs w:val="22"/>
        </w:rPr>
        <w:t>fferent levels of government</w:t>
      </w:r>
      <w:r w:rsidRPr="00652F75">
        <w:rPr>
          <w:b/>
          <w:i/>
          <w:sz w:val="22"/>
          <w:szCs w:val="22"/>
        </w:rPr>
        <w:t>? Please identify the appropriate provision(s) and provide a copy or link if possible</w:t>
      </w:r>
      <w:r w:rsidR="007C6BE9" w:rsidRPr="00652F75">
        <w:rPr>
          <w:b/>
          <w:i/>
          <w:sz w:val="22"/>
          <w:szCs w:val="22"/>
        </w:rPr>
        <w:t>:</w:t>
      </w:r>
    </w:p>
    <w:p w14:paraId="1A90E662" w14:textId="77777777" w:rsidR="00EE5BC7" w:rsidRPr="00652F75" w:rsidRDefault="00EE5BC7" w:rsidP="00EE5BC7">
      <w:pPr>
        <w:tabs>
          <w:tab w:val="left" w:pos="720"/>
        </w:tabs>
        <w:ind w:left="1440" w:right="-1"/>
        <w:jc w:val="both"/>
        <w:rPr>
          <w:sz w:val="22"/>
          <w:szCs w:val="22"/>
        </w:rPr>
      </w:pPr>
    </w:p>
    <w:p w14:paraId="43E30DDA" w14:textId="297B4245" w:rsidR="00044720" w:rsidRPr="00652F75" w:rsidRDefault="00044720" w:rsidP="006C7127">
      <w:pPr>
        <w:tabs>
          <w:tab w:val="left" w:pos="720"/>
        </w:tabs>
        <w:ind w:left="720" w:right="-1"/>
        <w:jc w:val="both"/>
        <w:rPr>
          <w:sz w:val="22"/>
          <w:szCs w:val="22"/>
        </w:rPr>
      </w:pPr>
      <w:r w:rsidRPr="00652F75">
        <w:rPr>
          <w:sz w:val="22"/>
          <w:szCs w:val="22"/>
        </w:rPr>
        <w:tab/>
      </w:r>
    </w:p>
    <w:p w14:paraId="78974347" w14:textId="77777777"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r>
      <w:r w:rsidRPr="00652F75">
        <w:rPr>
          <w:i/>
          <w:sz w:val="22"/>
          <w:szCs w:val="22"/>
        </w:rPr>
        <w:t xml:space="preserve">Constitutional </w:t>
      </w:r>
    </w:p>
    <w:p w14:paraId="5DFCE7E3" w14:textId="465856EC" w:rsidR="008D07DE" w:rsidRPr="00652F75" w:rsidRDefault="00CD4125" w:rsidP="00CD4125">
      <w:pPr>
        <w:ind w:left="720"/>
        <w:contextualSpacing/>
        <w:jc w:val="both"/>
        <w:rPr>
          <w:sz w:val="22"/>
          <w:szCs w:val="22"/>
        </w:rPr>
      </w:pPr>
      <w:r w:rsidRPr="00652F75">
        <w:rPr>
          <w:sz w:val="22"/>
          <w:szCs w:val="22"/>
        </w:rPr>
        <w:t>Turkish Constitution</w:t>
      </w:r>
      <w:r w:rsidRPr="00652F75">
        <w:rPr>
          <w:rStyle w:val="FootnoteReference"/>
          <w:sz w:val="22"/>
          <w:szCs w:val="22"/>
        </w:rPr>
        <w:footnoteReference w:id="2"/>
      </w:r>
      <w:r w:rsidR="000D5265" w:rsidRPr="00652F75">
        <w:rPr>
          <w:sz w:val="22"/>
          <w:szCs w:val="22"/>
        </w:rPr>
        <w:t xml:space="preserve"> (</w:t>
      </w:r>
      <w:r w:rsidR="00B90731" w:rsidRPr="00652F75">
        <w:rPr>
          <w:sz w:val="22"/>
          <w:szCs w:val="22"/>
        </w:rPr>
        <w:t>1982</w:t>
      </w:r>
      <w:r w:rsidR="000D5265" w:rsidRPr="00652F75">
        <w:rPr>
          <w:sz w:val="22"/>
          <w:szCs w:val="22"/>
        </w:rPr>
        <w:t>)</w:t>
      </w:r>
      <w:r w:rsidR="00B90731" w:rsidRPr="00652F75">
        <w:rPr>
          <w:sz w:val="22"/>
          <w:szCs w:val="22"/>
        </w:rPr>
        <w:t>,</w:t>
      </w:r>
      <w:r w:rsidR="00457734" w:rsidRPr="00652F75">
        <w:rPr>
          <w:sz w:val="22"/>
          <w:szCs w:val="22"/>
        </w:rPr>
        <w:t xml:space="preserve"> </w:t>
      </w:r>
      <w:r w:rsidR="000D5265" w:rsidRPr="00652F75">
        <w:rPr>
          <w:sz w:val="22"/>
          <w:szCs w:val="22"/>
        </w:rPr>
        <w:t xml:space="preserve">protects the </w:t>
      </w:r>
      <w:r w:rsidR="00457734" w:rsidRPr="00652F75">
        <w:rPr>
          <w:sz w:val="22"/>
          <w:szCs w:val="22"/>
        </w:rPr>
        <w:t>right to housing</w:t>
      </w:r>
      <w:r w:rsidR="000D5265" w:rsidRPr="00652F75">
        <w:rPr>
          <w:sz w:val="22"/>
          <w:szCs w:val="22"/>
        </w:rPr>
        <w:t xml:space="preserve"> in</w:t>
      </w:r>
      <w:r w:rsidR="00B90731" w:rsidRPr="00652F75">
        <w:rPr>
          <w:sz w:val="22"/>
          <w:szCs w:val="22"/>
        </w:rPr>
        <w:t xml:space="preserve"> the </w:t>
      </w:r>
      <w:r w:rsidR="008D07DE" w:rsidRPr="00652F75">
        <w:rPr>
          <w:b/>
          <w:i/>
          <w:sz w:val="22"/>
          <w:szCs w:val="22"/>
        </w:rPr>
        <w:t xml:space="preserve">Article </w:t>
      </w:r>
      <w:r w:rsidR="00B90731" w:rsidRPr="00652F75">
        <w:rPr>
          <w:b/>
          <w:i/>
          <w:sz w:val="22"/>
          <w:szCs w:val="22"/>
        </w:rPr>
        <w:t>57</w:t>
      </w:r>
      <w:r w:rsidR="000D5265" w:rsidRPr="00652F75">
        <w:rPr>
          <w:sz w:val="22"/>
          <w:szCs w:val="22"/>
        </w:rPr>
        <w:t xml:space="preserve"> and </w:t>
      </w:r>
      <w:r w:rsidRPr="00652F75">
        <w:rPr>
          <w:sz w:val="22"/>
          <w:szCs w:val="22"/>
        </w:rPr>
        <w:t>categorize</w:t>
      </w:r>
      <w:r w:rsidR="000D5265" w:rsidRPr="00652F75">
        <w:rPr>
          <w:sz w:val="22"/>
          <w:szCs w:val="22"/>
        </w:rPr>
        <w:t>s</w:t>
      </w:r>
      <w:r w:rsidRPr="00652F75">
        <w:rPr>
          <w:sz w:val="22"/>
          <w:szCs w:val="22"/>
        </w:rPr>
        <w:t xml:space="preserve"> </w:t>
      </w:r>
      <w:r w:rsidR="000D5265" w:rsidRPr="00652F75">
        <w:rPr>
          <w:sz w:val="22"/>
          <w:szCs w:val="22"/>
        </w:rPr>
        <w:t xml:space="preserve">it </w:t>
      </w:r>
      <w:r w:rsidRPr="00652F75">
        <w:rPr>
          <w:sz w:val="22"/>
          <w:szCs w:val="22"/>
        </w:rPr>
        <w:t>as a social right</w:t>
      </w:r>
      <w:r w:rsidR="00457734" w:rsidRPr="00652F75">
        <w:rPr>
          <w:sz w:val="22"/>
          <w:szCs w:val="22"/>
        </w:rPr>
        <w:t>,</w:t>
      </w:r>
      <w:r w:rsidRPr="00652F75">
        <w:rPr>
          <w:sz w:val="22"/>
          <w:szCs w:val="22"/>
        </w:rPr>
        <w:t xml:space="preserve"> </w:t>
      </w:r>
      <w:r w:rsidR="000D5265" w:rsidRPr="00652F75">
        <w:rPr>
          <w:sz w:val="22"/>
          <w:szCs w:val="22"/>
        </w:rPr>
        <w:t>such that it</w:t>
      </w:r>
      <w:r w:rsidRPr="00652F75">
        <w:rPr>
          <w:sz w:val="22"/>
          <w:szCs w:val="22"/>
        </w:rPr>
        <w:t xml:space="preserve"> requires </w:t>
      </w:r>
      <w:r w:rsidR="000D5265" w:rsidRPr="00652F75">
        <w:rPr>
          <w:sz w:val="22"/>
          <w:szCs w:val="22"/>
        </w:rPr>
        <w:t xml:space="preserve">the </w:t>
      </w:r>
      <w:r w:rsidRPr="00652F75">
        <w:rPr>
          <w:sz w:val="22"/>
          <w:szCs w:val="22"/>
        </w:rPr>
        <w:t xml:space="preserve">allocation of adequate resources and intervention of the State. According to this article, the State is responsible for </w:t>
      </w:r>
      <w:r w:rsidR="000D5265" w:rsidRPr="00652F75">
        <w:rPr>
          <w:sz w:val="22"/>
          <w:szCs w:val="22"/>
        </w:rPr>
        <w:t xml:space="preserve">the </w:t>
      </w:r>
      <w:r w:rsidRPr="00652F75">
        <w:rPr>
          <w:sz w:val="22"/>
          <w:szCs w:val="22"/>
        </w:rPr>
        <w:t>prepar</w:t>
      </w:r>
      <w:r w:rsidR="000D5265" w:rsidRPr="00652F75">
        <w:rPr>
          <w:sz w:val="22"/>
          <w:szCs w:val="22"/>
        </w:rPr>
        <w:t>ation of</w:t>
      </w:r>
      <w:r w:rsidRPr="00652F75">
        <w:rPr>
          <w:sz w:val="22"/>
          <w:szCs w:val="22"/>
        </w:rPr>
        <w:t xml:space="preserve"> housing programs</w:t>
      </w:r>
      <w:r w:rsidR="00457734" w:rsidRPr="00652F75">
        <w:rPr>
          <w:sz w:val="22"/>
          <w:szCs w:val="22"/>
        </w:rPr>
        <w:t>,</w:t>
      </w:r>
      <w:r w:rsidRPr="00652F75">
        <w:rPr>
          <w:sz w:val="22"/>
          <w:szCs w:val="22"/>
        </w:rPr>
        <w:t xml:space="preserve"> tak</w:t>
      </w:r>
      <w:r w:rsidR="000D5265" w:rsidRPr="00652F75">
        <w:rPr>
          <w:sz w:val="22"/>
          <w:szCs w:val="22"/>
        </w:rPr>
        <w:t>ing</w:t>
      </w:r>
      <w:r w:rsidRPr="00652F75">
        <w:rPr>
          <w:sz w:val="22"/>
          <w:szCs w:val="22"/>
        </w:rPr>
        <w:t xml:space="preserve"> into account environmental aspects and specific needs of the cities. The relevant program i</w:t>
      </w:r>
      <w:r w:rsidR="008D07DE" w:rsidRPr="00652F75">
        <w:rPr>
          <w:sz w:val="22"/>
          <w:szCs w:val="22"/>
        </w:rPr>
        <w:t>s expected to support community-based</w:t>
      </w:r>
      <w:r w:rsidRPr="00652F75">
        <w:rPr>
          <w:sz w:val="22"/>
          <w:szCs w:val="22"/>
        </w:rPr>
        <w:t xml:space="preserve"> housing projects</w:t>
      </w:r>
      <w:r w:rsidR="000D5265" w:rsidRPr="00652F75">
        <w:rPr>
          <w:sz w:val="22"/>
          <w:szCs w:val="22"/>
        </w:rPr>
        <w:t>.</w:t>
      </w:r>
      <w:r w:rsidRPr="00652F75">
        <w:rPr>
          <w:sz w:val="22"/>
          <w:szCs w:val="22"/>
        </w:rPr>
        <w:t xml:space="preserve">  </w:t>
      </w:r>
    </w:p>
    <w:p w14:paraId="4A58DB49" w14:textId="77777777" w:rsidR="008D07DE" w:rsidRPr="00652F75" w:rsidRDefault="008D07DE" w:rsidP="00CD4125">
      <w:pPr>
        <w:ind w:left="720"/>
        <w:contextualSpacing/>
        <w:jc w:val="both"/>
        <w:rPr>
          <w:sz w:val="22"/>
          <w:szCs w:val="22"/>
        </w:rPr>
      </w:pPr>
    </w:p>
    <w:p w14:paraId="0082DB3A" w14:textId="78AA1759" w:rsidR="0040039A" w:rsidRPr="00652F75" w:rsidRDefault="000D5265" w:rsidP="00652F75">
      <w:pPr>
        <w:ind w:left="720"/>
        <w:contextualSpacing/>
        <w:jc w:val="both"/>
        <w:rPr>
          <w:sz w:val="22"/>
          <w:szCs w:val="22"/>
        </w:rPr>
      </w:pPr>
      <w:r w:rsidRPr="00652F75">
        <w:rPr>
          <w:sz w:val="22"/>
          <w:szCs w:val="22"/>
        </w:rPr>
        <w:t>Under</w:t>
      </w:r>
      <w:r w:rsidRPr="00652F75">
        <w:rPr>
          <w:b/>
          <w:sz w:val="22"/>
          <w:szCs w:val="22"/>
        </w:rPr>
        <w:t xml:space="preserve"> </w:t>
      </w:r>
      <w:r w:rsidR="00CD4125" w:rsidRPr="00652F75">
        <w:rPr>
          <w:b/>
          <w:i/>
          <w:sz w:val="22"/>
          <w:szCs w:val="22"/>
        </w:rPr>
        <w:t>Article 2</w:t>
      </w:r>
      <w:r w:rsidR="00CD4125" w:rsidRPr="00652F75">
        <w:rPr>
          <w:sz w:val="22"/>
          <w:szCs w:val="22"/>
        </w:rPr>
        <w:t xml:space="preserve"> of the Constitution</w:t>
      </w:r>
      <w:r w:rsidRPr="00652F75">
        <w:rPr>
          <w:sz w:val="22"/>
          <w:szCs w:val="22"/>
        </w:rPr>
        <w:t>,</w:t>
      </w:r>
      <w:r w:rsidR="00CD4125" w:rsidRPr="00652F75">
        <w:rPr>
          <w:sz w:val="22"/>
          <w:szCs w:val="22"/>
        </w:rPr>
        <w:t xml:space="preserve"> Turkish Republic is </w:t>
      </w:r>
      <w:r w:rsidRPr="00652F75">
        <w:rPr>
          <w:sz w:val="22"/>
          <w:szCs w:val="22"/>
        </w:rPr>
        <w:t xml:space="preserve">a </w:t>
      </w:r>
      <w:r w:rsidR="00CD4125" w:rsidRPr="00652F75">
        <w:rPr>
          <w:sz w:val="22"/>
          <w:szCs w:val="22"/>
        </w:rPr>
        <w:t>social state</w:t>
      </w:r>
      <w:r w:rsidRPr="00652F75">
        <w:rPr>
          <w:sz w:val="22"/>
          <w:szCs w:val="22"/>
        </w:rPr>
        <w:t>,</w:t>
      </w:r>
      <w:r w:rsidR="00CD4125" w:rsidRPr="00652F75">
        <w:rPr>
          <w:sz w:val="22"/>
          <w:szCs w:val="22"/>
        </w:rPr>
        <w:t xml:space="preserve"> based on </w:t>
      </w:r>
      <w:r w:rsidRPr="00652F75">
        <w:rPr>
          <w:sz w:val="22"/>
          <w:szCs w:val="22"/>
        </w:rPr>
        <w:t xml:space="preserve">the </w:t>
      </w:r>
      <w:r w:rsidR="00CD4125" w:rsidRPr="00652F75">
        <w:rPr>
          <w:sz w:val="22"/>
          <w:szCs w:val="22"/>
        </w:rPr>
        <w:t>rule of law and respect</w:t>
      </w:r>
      <w:r w:rsidRPr="00652F75">
        <w:rPr>
          <w:sz w:val="22"/>
          <w:szCs w:val="22"/>
        </w:rPr>
        <w:t xml:space="preserve"> for </w:t>
      </w:r>
      <w:r w:rsidR="00CD4125" w:rsidRPr="00652F75">
        <w:rPr>
          <w:sz w:val="22"/>
          <w:szCs w:val="22"/>
        </w:rPr>
        <w:t xml:space="preserve">human rights. There is also a general provision regarding “duties of the State” </w:t>
      </w:r>
      <w:r w:rsidRPr="00652F75">
        <w:rPr>
          <w:sz w:val="22"/>
          <w:szCs w:val="22"/>
        </w:rPr>
        <w:t xml:space="preserve">providing an obligation for </w:t>
      </w:r>
      <w:r w:rsidR="00CD4125" w:rsidRPr="00652F75">
        <w:rPr>
          <w:sz w:val="22"/>
          <w:szCs w:val="22"/>
        </w:rPr>
        <w:t xml:space="preserve">the State </w:t>
      </w:r>
      <w:r w:rsidRPr="00652F75">
        <w:rPr>
          <w:sz w:val="22"/>
          <w:szCs w:val="22"/>
        </w:rPr>
        <w:t>to</w:t>
      </w:r>
      <w:r w:rsidR="00CD4125" w:rsidRPr="00652F75">
        <w:rPr>
          <w:sz w:val="22"/>
          <w:szCs w:val="22"/>
        </w:rPr>
        <w:t xml:space="preserve"> remove </w:t>
      </w:r>
      <w:r w:rsidRPr="00652F75">
        <w:rPr>
          <w:sz w:val="22"/>
          <w:szCs w:val="22"/>
        </w:rPr>
        <w:t xml:space="preserve">political, economic and </w:t>
      </w:r>
      <w:r w:rsidR="00CD4125" w:rsidRPr="00652F75">
        <w:rPr>
          <w:sz w:val="22"/>
          <w:szCs w:val="22"/>
        </w:rPr>
        <w:t>social</w:t>
      </w:r>
      <w:r w:rsidR="008D07DE" w:rsidRPr="00652F75">
        <w:rPr>
          <w:sz w:val="22"/>
          <w:szCs w:val="22"/>
        </w:rPr>
        <w:t xml:space="preserve"> obstacles which restrict</w:t>
      </w:r>
      <w:r w:rsidR="00CD4125" w:rsidRPr="00652F75">
        <w:rPr>
          <w:sz w:val="22"/>
          <w:szCs w:val="22"/>
        </w:rPr>
        <w:t xml:space="preserve"> the welfare of in</w:t>
      </w:r>
      <w:r w:rsidR="008D07DE" w:rsidRPr="00652F75">
        <w:rPr>
          <w:sz w:val="22"/>
          <w:szCs w:val="22"/>
        </w:rPr>
        <w:t>dividuals and of the community.</w:t>
      </w:r>
      <w:r w:rsidR="00CD4125" w:rsidRPr="00652F75">
        <w:rPr>
          <w:sz w:val="22"/>
          <w:szCs w:val="22"/>
        </w:rPr>
        <w:t xml:space="preserve"> </w:t>
      </w:r>
      <w:r w:rsidR="0040039A" w:rsidRPr="00652F75">
        <w:rPr>
          <w:sz w:val="22"/>
          <w:szCs w:val="22"/>
        </w:rPr>
        <w:t xml:space="preserve">According to </w:t>
      </w:r>
      <w:r w:rsidR="0040039A" w:rsidRPr="00652F75">
        <w:rPr>
          <w:b/>
          <w:i/>
          <w:sz w:val="22"/>
          <w:szCs w:val="22"/>
        </w:rPr>
        <w:t>Article 65</w:t>
      </w:r>
      <w:r w:rsidR="0040039A" w:rsidRPr="00652F75">
        <w:rPr>
          <w:sz w:val="22"/>
          <w:szCs w:val="22"/>
        </w:rPr>
        <w:t xml:space="preserve"> of the Constitution, social rights shall be realized by taking into account financial capacity of the state and priorities in the field of social rights. </w:t>
      </w:r>
      <w:r w:rsidR="00CD4125" w:rsidRPr="00652F75">
        <w:rPr>
          <w:sz w:val="22"/>
          <w:szCs w:val="22"/>
        </w:rPr>
        <w:t xml:space="preserve">The main challenge resulting from </w:t>
      </w:r>
      <w:r w:rsidR="0040039A" w:rsidRPr="00652F75">
        <w:rPr>
          <w:sz w:val="22"/>
          <w:szCs w:val="22"/>
        </w:rPr>
        <w:t xml:space="preserve">the </w:t>
      </w:r>
      <w:r w:rsidR="00CD4125" w:rsidRPr="00652F75">
        <w:rPr>
          <w:sz w:val="22"/>
          <w:szCs w:val="22"/>
        </w:rPr>
        <w:t xml:space="preserve">social right character of </w:t>
      </w:r>
      <w:r w:rsidRPr="00652F75">
        <w:rPr>
          <w:sz w:val="22"/>
          <w:szCs w:val="22"/>
        </w:rPr>
        <w:t xml:space="preserve">the </w:t>
      </w:r>
      <w:r w:rsidR="00CD4125" w:rsidRPr="00652F75">
        <w:rPr>
          <w:sz w:val="22"/>
          <w:szCs w:val="22"/>
        </w:rPr>
        <w:t>right to housing is that</w:t>
      </w:r>
      <w:r w:rsidR="0040039A" w:rsidRPr="00652F75">
        <w:rPr>
          <w:sz w:val="22"/>
          <w:szCs w:val="22"/>
        </w:rPr>
        <w:t xml:space="preserve">, the </w:t>
      </w:r>
      <w:r w:rsidR="00CD4125" w:rsidRPr="00652F75">
        <w:rPr>
          <w:sz w:val="22"/>
          <w:szCs w:val="22"/>
        </w:rPr>
        <w:t>financial ability of the State u</w:t>
      </w:r>
      <w:r w:rsidR="008D07DE" w:rsidRPr="00652F75">
        <w:rPr>
          <w:sz w:val="22"/>
          <w:szCs w:val="22"/>
        </w:rPr>
        <w:t xml:space="preserve">sually </w:t>
      </w:r>
      <w:r w:rsidRPr="00652F75">
        <w:rPr>
          <w:sz w:val="22"/>
          <w:szCs w:val="22"/>
        </w:rPr>
        <w:t>i</w:t>
      </w:r>
      <w:r w:rsidR="008D07DE" w:rsidRPr="00652F75">
        <w:rPr>
          <w:sz w:val="22"/>
          <w:szCs w:val="22"/>
        </w:rPr>
        <w:t xml:space="preserve">s invoked </w:t>
      </w:r>
      <w:r w:rsidR="0040039A" w:rsidRPr="00652F75">
        <w:rPr>
          <w:sz w:val="22"/>
          <w:szCs w:val="22"/>
        </w:rPr>
        <w:t xml:space="preserve">frequently </w:t>
      </w:r>
      <w:r w:rsidRPr="00652F75">
        <w:rPr>
          <w:sz w:val="22"/>
          <w:szCs w:val="22"/>
        </w:rPr>
        <w:t xml:space="preserve">as a justification for the failure </w:t>
      </w:r>
      <w:r w:rsidR="0040039A" w:rsidRPr="00652F75">
        <w:rPr>
          <w:sz w:val="22"/>
          <w:szCs w:val="22"/>
        </w:rPr>
        <w:t>to</w:t>
      </w:r>
      <w:r w:rsidR="00CD4125" w:rsidRPr="00652F75">
        <w:rPr>
          <w:sz w:val="22"/>
          <w:szCs w:val="22"/>
        </w:rPr>
        <w:t xml:space="preserve"> </w:t>
      </w:r>
      <w:r w:rsidR="0040039A" w:rsidRPr="00652F75">
        <w:rPr>
          <w:sz w:val="22"/>
          <w:szCs w:val="22"/>
        </w:rPr>
        <w:t xml:space="preserve">fulfil State </w:t>
      </w:r>
      <w:r w:rsidR="00CD4125" w:rsidRPr="00652F75">
        <w:rPr>
          <w:sz w:val="22"/>
          <w:szCs w:val="22"/>
        </w:rPr>
        <w:t>obligations</w:t>
      </w:r>
      <w:r w:rsidR="0040039A" w:rsidRPr="00652F75">
        <w:rPr>
          <w:sz w:val="22"/>
          <w:szCs w:val="22"/>
        </w:rPr>
        <w:t>.</w:t>
      </w:r>
      <w:r w:rsidR="00CD4125" w:rsidRPr="00652F75">
        <w:rPr>
          <w:sz w:val="22"/>
          <w:szCs w:val="22"/>
        </w:rPr>
        <w:t xml:space="preserve"> </w:t>
      </w:r>
    </w:p>
    <w:p w14:paraId="6358F1EF" w14:textId="77777777" w:rsidR="00103227" w:rsidRPr="00652F75" w:rsidRDefault="00103227" w:rsidP="00652F75">
      <w:pPr>
        <w:ind w:left="720"/>
        <w:contextualSpacing/>
        <w:jc w:val="both"/>
        <w:rPr>
          <w:sz w:val="22"/>
          <w:szCs w:val="22"/>
        </w:rPr>
      </w:pPr>
    </w:p>
    <w:p w14:paraId="483409A4" w14:textId="7338D16C" w:rsidR="00AA65EF" w:rsidRPr="00652F75" w:rsidRDefault="0040039A" w:rsidP="00AA65EF">
      <w:pPr>
        <w:tabs>
          <w:tab w:val="left" w:pos="720"/>
        </w:tabs>
        <w:ind w:left="720" w:right="-1"/>
        <w:jc w:val="both"/>
        <w:rPr>
          <w:sz w:val="22"/>
          <w:szCs w:val="22"/>
        </w:rPr>
      </w:pPr>
      <w:r w:rsidRPr="00652F75">
        <w:rPr>
          <w:sz w:val="22"/>
          <w:szCs w:val="22"/>
        </w:rPr>
        <w:t>According to</w:t>
      </w:r>
      <w:r w:rsidRPr="00652F75">
        <w:rPr>
          <w:b/>
          <w:sz w:val="22"/>
          <w:szCs w:val="22"/>
        </w:rPr>
        <w:t xml:space="preserve"> </w:t>
      </w:r>
      <w:r w:rsidR="008948BC" w:rsidRPr="00652F75">
        <w:rPr>
          <w:b/>
          <w:i/>
          <w:sz w:val="22"/>
          <w:szCs w:val="22"/>
        </w:rPr>
        <w:t>Article 10</w:t>
      </w:r>
      <w:r w:rsidR="008948BC" w:rsidRPr="00652F75">
        <w:rPr>
          <w:sz w:val="22"/>
          <w:szCs w:val="22"/>
        </w:rPr>
        <w:t xml:space="preserve"> of the Constitution </w:t>
      </w:r>
      <w:r w:rsidR="00AA65EF" w:rsidRPr="00652F75">
        <w:rPr>
          <w:sz w:val="22"/>
          <w:szCs w:val="22"/>
        </w:rPr>
        <w:t>“Everyone is equal before the law without distinction as to language, race, colour, sex, political opinion, philosophical belief, religion and sect, or any such grounds. Men and women have equal rights. The State has the obligation to ensure that this equality exists in practice. Measures taken for this purpose shall not be interpreted as contrary to the principle of equality. Measures to be taken for children, the elderly, disabled people, widows and orphans of martyrs as well as for the invalid and veterans shall not be considered as violation of the principle of equality. No privilege shall be granted to any individual, family, group or class.</w:t>
      </w:r>
      <w:r w:rsidRPr="00652F75">
        <w:rPr>
          <w:sz w:val="22"/>
          <w:szCs w:val="22"/>
        </w:rPr>
        <w:t xml:space="preserve"> </w:t>
      </w:r>
      <w:r w:rsidR="00AA65EF" w:rsidRPr="00652F75">
        <w:rPr>
          <w:sz w:val="22"/>
          <w:szCs w:val="22"/>
        </w:rPr>
        <w:t>State organs and administrative authorities are obliged to act in compliance with the principle of equality before the law in all their proceedings.</w:t>
      </w:r>
    </w:p>
    <w:p w14:paraId="5911CD9A" w14:textId="77777777" w:rsidR="00AA65EF" w:rsidRPr="00652F75" w:rsidRDefault="00AA65EF" w:rsidP="00AA65EF">
      <w:pPr>
        <w:tabs>
          <w:tab w:val="left" w:pos="720"/>
        </w:tabs>
        <w:ind w:left="720" w:right="-1"/>
        <w:jc w:val="both"/>
        <w:rPr>
          <w:sz w:val="22"/>
          <w:szCs w:val="22"/>
        </w:rPr>
      </w:pPr>
    </w:p>
    <w:p w14:paraId="1B096357" w14:textId="12756F4D" w:rsidR="00AA65EF" w:rsidRPr="00652F75" w:rsidRDefault="00AA65EF" w:rsidP="00AA65EF">
      <w:pPr>
        <w:tabs>
          <w:tab w:val="left" w:pos="720"/>
        </w:tabs>
        <w:ind w:left="720" w:right="-1"/>
        <w:jc w:val="both"/>
        <w:rPr>
          <w:sz w:val="22"/>
          <w:szCs w:val="22"/>
        </w:rPr>
      </w:pPr>
      <w:r w:rsidRPr="00652F75">
        <w:rPr>
          <w:b/>
          <w:i/>
          <w:sz w:val="22"/>
          <w:szCs w:val="22"/>
        </w:rPr>
        <w:t>Article 61</w:t>
      </w:r>
      <w:r w:rsidRPr="00652F75">
        <w:rPr>
          <w:sz w:val="22"/>
          <w:szCs w:val="22"/>
        </w:rPr>
        <w:t xml:space="preserve"> of the Constitution </w:t>
      </w:r>
      <w:r w:rsidR="001620B8" w:rsidRPr="00652F75">
        <w:rPr>
          <w:sz w:val="22"/>
          <w:szCs w:val="22"/>
        </w:rPr>
        <w:t>stipulates</w:t>
      </w:r>
      <w:r w:rsidR="0040039A" w:rsidRPr="00652F75">
        <w:rPr>
          <w:sz w:val="22"/>
          <w:szCs w:val="22"/>
        </w:rPr>
        <w:t xml:space="preserve"> that</w:t>
      </w:r>
      <w:r w:rsidR="001620B8" w:rsidRPr="00652F75">
        <w:rPr>
          <w:sz w:val="22"/>
          <w:szCs w:val="22"/>
        </w:rPr>
        <w:t>,</w:t>
      </w:r>
      <w:r w:rsidRPr="00652F75">
        <w:rPr>
          <w:sz w:val="22"/>
          <w:szCs w:val="22"/>
        </w:rPr>
        <w:t xml:space="preserve"> “The State shall protect the widows and orphans of martyrs of war and duty, together with invalid and war veterans, and ensure that they enjoy a decent standard of living. The State shall take measures to protect the disabled and secure their integration into community life. The aged shall be protected by the State. State assistance to, and other rights and benefits of the aged shall be regulated by law. The State shall take all kinds of measures for social resettlement of children in need of protection. To achieve these aims the State shall establish the necessary organizations or facilities, or arrange for their establishment.”</w:t>
      </w:r>
    </w:p>
    <w:p w14:paraId="3C6A2128" w14:textId="77777777" w:rsidR="008948BC" w:rsidRPr="00652F75" w:rsidRDefault="008948BC" w:rsidP="00652F75">
      <w:pPr>
        <w:tabs>
          <w:tab w:val="left" w:pos="720"/>
        </w:tabs>
        <w:ind w:right="-1"/>
        <w:jc w:val="both"/>
        <w:rPr>
          <w:sz w:val="22"/>
          <w:szCs w:val="22"/>
        </w:rPr>
      </w:pPr>
    </w:p>
    <w:p w14:paraId="330835EF" w14:textId="77777777" w:rsidR="00EE5BC7" w:rsidRPr="00652F75" w:rsidRDefault="00EE5BC7" w:rsidP="006C7127">
      <w:pPr>
        <w:tabs>
          <w:tab w:val="left" w:pos="720"/>
        </w:tabs>
        <w:ind w:left="720" w:right="-1"/>
        <w:jc w:val="both"/>
        <w:rPr>
          <w:sz w:val="22"/>
          <w:szCs w:val="22"/>
        </w:rPr>
      </w:pPr>
    </w:p>
    <w:p w14:paraId="5D09E059" w14:textId="77777777"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r>
      <w:r w:rsidRPr="00652F75">
        <w:rPr>
          <w:i/>
          <w:sz w:val="22"/>
          <w:szCs w:val="22"/>
        </w:rPr>
        <w:t>National framework legislation or housing strategy</w:t>
      </w:r>
      <w:r w:rsidRPr="00652F75">
        <w:rPr>
          <w:sz w:val="22"/>
          <w:szCs w:val="22"/>
        </w:rPr>
        <w:t xml:space="preserve"> </w:t>
      </w:r>
    </w:p>
    <w:p w14:paraId="5EF09DF5" w14:textId="77777777" w:rsidR="0021013A" w:rsidRPr="00652F75" w:rsidRDefault="0021013A" w:rsidP="0021013A">
      <w:pPr>
        <w:jc w:val="both"/>
        <w:rPr>
          <w:rFonts w:eastAsia="Calibri"/>
          <w:b/>
          <w:sz w:val="22"/>
          <w:szCs w:val="22"/>
        </w:rPr>
      </w:pPr>
      <w:r w:rsidRPr="00652F75">
        <w:rPr>
          <w:rFonts w:eastAsia="Calibri"/>
          <w:b/>
          <w:sz w:val="22"/>
          <w:szCs w:val="22"/>
        </w:rPr>
        <w:tab/>
      </w:r>
    </w:p>
    <w:p w14:paraId="4FE8A1DC" w14:textId="55A6C39E" w:rsidR="00F10078" w:rsidRPr="00652F75" w:rsidRDefault="0021013A" w:rsidP="00B0631A">
      <w:pPr>
        <w:ind w:left="720"/>
        <w:jc w:val="both"/>
        <w:rPr>
          <w:sz w:val="22"/>
          <w:szCs w:val="22"/>
        </w:rPr>
      </w:pPr>
      <w:r w:rsidRPr="00652F75">
        <w:rPr>
          <w:rFonts w:eastAsia="Calibri"/>
          <w:b/>
          <w:sz w:val="22"/>
          <w:szCs w:val="22"/>
        </w:rPr>
        <w:t>10</w:t>
      </w:r>
      <w:r w:rsidRPr="00652F75">
        <w:rPr>
          <w:rFonts w:eastAsia="Calibri"/>
          <w:b/>
          <w:sz w:val="22"/>
          <w:szCs w:val="22"/>
          <w:vertAlign w:val="superscript"/>
        </w:rPr>
        <w:t>th</w:t>
      </w:r>
      <w:r w:rsidRPr="00652F75">
        <w:rPr>
          <w:rFonts w:eastAsia="Calibri"/>
          <w:b/>
          <w:sz w:val="22"/>
          <w:szCs w:val="22"/>
        </w:rPr>
        <w:t xml:space="preserve"> National Development Plan</w:t>
      </w:r>
      <w:r w:rsidR="00146082" w:rsidRPr="00652F75">
        <w:rPr>
          <w:rFonts w:eastAsia="Calibri"/>
          <w:b/>
          <w:sz w:val="22"/>
          <w:szCs w:val="22"/>
        </w:rPr>
        <w:t xml:space="preserve"> </w:t>
      </w:r>
      <w:r w:rsidRPr="00652F75">
        <w:rPr>
          <w:rFonts w:eastAsia="Calibri"/>
          <w:b/>
          <w:sz w:val="22"/>
          <w:szCs w:val="22"/>
        </w:rPr>
        <w:t>(2014-2018)</w:t>
      </w:r>
      <w:r w:rsidRPr="00652F75">
        <w:rPr>
          <w:rStyle w:val="FootnoteReference"/>
          <w:rFonts w:eastAsia="Calibri"/>
          <w:b/>
          <w:sz w:val="22"/>
          <w:szCs w:val="22"/>
        </w:rPr>
        <w:footnoteReference w:id="3"/>
      </w:r>
      <w:r w:rsidRPr="00652F75">
        <w:rPr>
          <w:rFonts w:eastAsia="Calibri"/>
          <w:b/>
          <w:sz w:val="22"/>
          <w:szCs w:val="22"/>
        </w:rPr>
        <w:t xml:space="preserve">: </w:t>
      </w:r>
      <w:r w:rsidRPr="00652F75">
        <w:rPr>
          <w:sz w:val="22"/>
          <w:szCs w:val="22"/>
        </w:rPr>
        <w:t xml:space="preserve">The latest development plan which is applicable countrywide and has to be taken into consideration by all public authorities </w:t>
      </w:r>
      <w:r w:rsidR="0040039A" w:rsidRPr="00652F75">
        <w:rPr>
          <w:sz w:val="22"/>
          <w:szCs w:val="22"/>
        </w:rPr>
        <w:t xml:space="preserve">refers to </w:t>
      </w:r>
      <w:r w:rsidRPr="00652F75">
        <w:rPr>
          <w:sz w:val="22"/>
          <w:szCs w:val="22"/>
        </w:rPr>
        <w:t xml:space="preserve">a project called “Urban Transformation Program </w:t>
      </w:r>
      <w:r w:rsidR="0040039A" w:rsidRPr="00652F75">
        <w:rPr>
          <w:sz w:val="22"/>
          <w:szCs w:val="22"/>
        </w:rPr>
        <w:t>Promoting</w:t>
      </w:r>
      <w:r w:rsidRPr="00652F75">
        <w:rPr>
          <w:sz w:val="22"/>
          <w:szCs w:val="22"/>
        </w:rPr>
        <w:t xml:space="preserve"> Competition and Social Harmony</w:t>
      </w:r>
      <w:r w:rsidR="00B6377A" w:rsidRPr="00652F75">
        <w:rPr>
          <w:sz w:val="22"/>
          <w:szCs w:val="22"/>
        </w:rPr>
        <w:t>.</w:t>
      </w:r>
      <w:r w:rsidRPr="00652F75">
        <w:rPr>
          <w:sz w:val="22"/>
          <w:szCs w:val="22"/>
        </w:rPr>
        <w:t xml:space="preserve">” The </w:t>
      </w:r>
      <w:r w:rsidR="00B6377A" w:rsidRPr="00652F75">
        <w:rPr>
          <w:sz w:val="22"/>
          <w:szCs w:val="22"/>
        </w:rPr>
        <w:t xml:space="preserve">Project is to be implemented by </w:t>
      </w:r>
      <w:r w:rsidR="00273C4A" w:rsidRPr="00652F75">
        <w:rPr>
          <w:sz w:val="22"/>
          <w:szCs w:val="22"/>
        </w:rPr>
        <w:t xml:space="preserve">the </w:t>
      </w:r>
      <w:r w:rsidR="00B6377A" w:rsidRPr="00652F75">
        <w:rPr>
          <w:sz w:val="22"/>
          <w:szCs w:val="22"/>
        </w:rPr>
        <w:t>Ministry of Environment and Urbanism</w:t>
      </w:r>
      <w:r w:rsidR="00B6377A" w:rsidRPr="00652F75" w:rsidDel="00273C4A">
        <w:rPr>
          <w:sz w:val="22"/>
          <w:szCs w:val="22"/>
        </w:rPr>
        <w:t xml:space="preserve"> </w:t>
      </w:r>
      <w:r w:rsidRPr="00652F75">
        <w:rPr>
          <w:sz w:val="22"/>
          <w:szCs w:val="22"/>
        </w:rPr>
        <w:t>Housing Development Admin</w:t>
      </w:r>
      <w:r w:rsidR="00146082" w:rsidRPr="00652F75">
        <w:rPr>
          <w:sz w:val="22"/>
          <w:szCs w:val="22"/>
        </w:rPr>
        <w:t>is</w:t>
      </w:r>
      <w:r w:rsidRPr="00652F75">
        <w:rPr>
          <w:sz w:val="22"/>
          <w:szCs w:val="22"/>
        </w:rPr>
        <w:t>tration of Turkey</w:t>
      </w:r>
      <w:r w:rsidR="00273C4A" w:rsidRPr="00652F75">
        <w:rPr>
          <w:sz w:val="22"/>
          <w:szCs w:val="22"/>
        </w:rPr>
        <w:t xml:space="preserve"> (</w:t>
      </w:r>
      <w:r w:rsidR="003221BD">
        <w:rPr>
          <w:sz w:val="22"/>
          <w:szCs w:val="22"/>
        </w:rPr>
        <w:t>TOKI</w:t>
      </w:r>
      <w:r w:rsidR="00273C4A" w:rsidRPr="00652F75">
        <w:rPr>
          <w:sz w:val="22"/>
          <w:szCs w:val="22"/>
        </w:rPr>
        <w:t>)</w:t>
      </w:r>
      <w:r w:rsidRPr="00652F75">
        <w:rPr>
          <w:sz w:val="22"/>
          <w:szCs w:val="22"/>
        </w:rPr>
        <w:t xml:space="preserve">, the Ministry of Development and the Ministry </w:t>
      </w:r>
      <w:r w:rsidR="00A916D7" w:rsidRPr="00652F75">
        <w:rPr>
          <w:sz w:val="22"/>
          <w:szCs w:val="22"/>
        </w:rPr>
        <w:t>of Family and Social Policies</w:t>
      </w:r>
      <w:r w:rsidR="00B6377A" w:rsidRPr="00652F75">
        <w:rPr>
          <w:sz w:val="22"/>
          <w:szCs w:val="22"/>
        </w:rPr>
        <w:t>, under the coordination of the Ministry of Environment and Urbanism.</w:t>
      </w:r>
    </w:p>
    <w:p w14:paraId="2A96574E" w14:textId="77777777" w:rsidR="0021013A" w:rsidRPr="00652F75" w:rsidRDefault="0021013A" w:rsidP="0021013A">
      <w:pPr>
        <w:tabs>
          <w:tab w:val="left" w:pos="720"/>
        </w:tabs>
        <w:ind w:right="-1"/>
        <w:jc w:val="both"/>
        <w:rPr>
          <w:sz w:val="22"/>
          <w:szCs w:val="22"/>
        </w:rPr>
      </w:pPr>
    </w:p>
    <w:p w14:paraId="64A011C4" w14:textId="71E422A9" w:rsidR="000F5E45" w:rsidRPr="00652F75" w:rsidRDefault="000F5E45" w:rsidP="00A916D7">
      <w:pPr>
        <w:ind w:left="720"/>
        <w:jc w:val="both"/>
        <w:rPr>
          <w:b/>
          <w:sz w:val="22"/>
          <w:szCs w:val="22"/>
        </w:rPr>
      </w:pPr>
      <w:r w:rsidRPr="00652F75">
        <w:rPr>
          <w:b/>
          <w:sz w:val="22"/>
          <w:szCs w:val="22"/>
        </w:rPr>
        <w:t>62</w:t>
      </w:r>
      <w:r w:rsidRPr="00652F75">
        <w:rPr>
          <w:b/>
          <w:sz w:val="22"/>
          <w:szCs w:val="22"/>
          <w:vertAlign w:val="superscript"/>
        </w:rPr>
        <w:t>nd</w:t>
      </w:r>
      <w:r w:rsidRPr="00652F75">
        <w:rPr>
          <w:b/>
          <w:sz w:val="22"/>
          <w:szCs w:val="22"/>
        </w:rPr>
        <w:t xml:space="preserve"> Government Program</w:t>
      </w:r>
      <w:r w:rsidRPr="00652F75">
        <w:rPr>
          <w:rStyle w:val="FootnoteReference"/>
          <w:sz w:val="22"/>
          <w:szCs w:val="22"/>
        </w:rPr>
        <w:footnoteReference w:id="4"/>
      </w:r>
      <w:r w:rsidRPr="00652F75">
        <w:rPr>
          <w:b/>
          <w:sz w:val="22"/>
          <w:szCs w:val="22"/>
        </w:rPr>
        <w:t xml:space="preserve">: </w:t>
      </w:r>
      <w:r w:rsidR="003F2FB1" w:rsidRPr="00652F75">
        <w:rPr>
          <w:sz w:val="22"/>
          <w:szCs w:val="22"/>
        </w:rPr>
        <w:t>During</w:t>
      </w:r>
      <w:r w:rsidRPr="00652F75">
        <w:rPr>
          <w:sz w:val="22"/>
          <w:szCs w:val="22"/>
        </w:rPr>
        <w:t xml:space="preserve"> the </w:t>
      </w:r>
      <w:r w:rsidR="003F2FB1" w:rsidRPr="00652F75">
        <w:rPr>
          <w:sz w:val="22"/>
          <w:szCs w:val="22"/>
        </w:rPr>
        <w:t>term of office</w:t>
      </w:r>
      <w:r w:rsidRPr="00652F75">
        <w:rPr>
          <w:sz w:val="22"/>
          <w:szCs w:val="22"/>
        </w:rPr>
        <w:t xml:space="preserve"> of the </w:t>
      </w:r>
      <w:r w:rsidR="003F2FB1" w:rsidRPr="00652F75">
        <w:rPr>
          <w:sz w:val="22"/>
          <w:szCs w:val="22"/>
        </w:rPr>
        <w:t xml:space="preserve">new </w:t>
      </w:r>
      <w:r w:rsidRPr="00652F75">
        <w:rPr>
          <w:sz w:val="22"/>
          <w:szCs w:val="22"/>
        </w:rPr>
        <w:t xml:space="preserve">government, urban transformation projects will be at the core of housing strategy of the </w:t>
      </w:r>
      <w:r w:rsidR="00B0631A" w:rsidRPr="00652F75">
        <w:rPr>
          <w:sz w:val="22"/>
          <w:szCs w:val="22"/>
        </w:rPr>
        <w:t>government</w:t>
      </w:r>
      <w:r w:rsidRPr="00652F75">
        <w:rPr>
          <w:sz w:val="22"/>
          <w:szCs w:val="22"/>
        </w:rPr>
        <w:t xml:space="preserve">. The </w:t>
      </w:r>
      <w:r w:rsidR="00B6377A" w:rsidRPr="00652F75">
        <w:rPr>
          <w:sz w:val="22"/>
          <w:szCs w:val="22"/>
        </w:rPr>
        <w:t>g</w:t>
      </w:r>
      <w:r w:rsidRPr="00652F75">
        <w:rPr>
          <w:sz w:val="22"/>
          <w:szCs w:val="22"/>
        </w:rPr>
        <w:t>overnment aims at renovating and transforming 6</w:t>
      </w:r>
      <w:r w:rsidR="00B6377A" w:rsidRPr="00652F75">
        <w:rPr>
          <w:sz w:val="22"/>
          <w:szCs w:val="22"/>
        </w:rPr>
        <w:t>.</w:t>
      </w:r>
      <w:r w:rsidRPr="00652F75">
        <w:rPr>
          <w:sz w:val="22"/>
          <w:szCs w:val="22"/>
        </w:rPr>
        <w:t xml:space="preserve">5 million houses until 2023 with the collaboration of </w:t>
      </w:r>
      <w:r w:rsidR="00B6377A" w:rsidRPr="00652F75">
        <w:rPr>
          <w:sz w:val="22"/>
          <w:szCs w:val="22"/>
        </w:rPr>
        <w:t xml:space="preserve">the </w:t>
      </w:r>
      <w:r w:rsidRPr="00652F75">
        <w:rPr>
          <w:sz w:val="22"/>
          <w:szCs w:val="22"/>
        </w:rPr>
        <w:t>private sector</w:t>
      </w:r>
      <w:r w:rsidR="00B6377A" w:rsidRPr="00652F75">
        <w:rPr>
          <w:sz w:val="22"/>
          <w:szCs w:val="22"/>
        </w:rPr>
        <w:t xml:space="preserve">, as well as </w:t>
      </w:r>
      <w:r w:rsidRPr="00652F75">
        <w:rPr>
          <w:sz w:val="22"/>
          <w:szCs w:val="22"/>
        </w:rPr>
        <w:t>local government</w:t>
      </w:r>
      <w:r w:rsidR="00B6377A" w:rsidRPr="00652F75">
        <w:rPr>
          <w:sz w:val="22"/>
          <w:szCs w:val="22"/>
        </w:rPr>
        <w:t>s</w:t>
      </w:r>
      <w:r w:rsidRPr="00652F75">
        <w:rPr>
          <w:sz w:val="22"/>
          <w:szCs w:val="22"/>
        </w:rPr>
        <w:t>.</w:t>
      </w:r>
      <w:r w:rsidR="00A916D7" w:rsidRPr="00652F75">
        <w:rPr>
          <w:sz w:val="22"/>
          <w:szCs w:val="22"/>
        </w:rPr>
        <w:t xml:space="preserve"> </w:t>
      </w:r>
      <w:r w:rsidRPr="00652F75">
        <w:rPr>
          <w:sz w:val="22"/>
          <w:szCs w:val="22"/>
        </w:rPr>
        <w:t xml:space="preserve">The other objective of the </w:t>
      </w:r>
      <w:r w:rsidR="00B6377A" w:rsidRPr="00652F75">
        <w:rPr>
          <w:sz w:val="22"/>
          <w:szCs w:val="22"/>
        </w:rPr>
        <w:t>G</w:t>
      </w:r>
      <w:r w:rsidRPr="00652F75">
        <w:rPr>
          <w:sz w:val="22"/>
          <w:szCs w:val="22"/>
        </w:rPr>
        <w:t xml:space="preserve">overnment is to start “rural transformation” projects. With the introduction of </w:t>
      </w:r>
      <w:r w:rsidR="00B6377A" w:rsidRPr="00652F75">
        <w:rPr>
          <w:sz w:val="22"/>
          <w:szCs w:val="22"/>
        </w:rPr>
        <w:t xml:space="preserve">the </w:t>
      </w:r>
      <w:r w:rsidRPr="00652F75">
        <w:rPr>
          <w:sz w:val="22"/>
          <w:szCs w:val="22"/>
        </w:rPr>
        <w:t>new Metropolitan Municipality structure by the Law No. 6360</w:t>
      </w:r>
      <w:r w:rsidR="00B6377A" w:rsidRPr="00652F75">
        <w:rPr>
          <w:sz w:val="22"/>
          <w:szCs w:val="22"/>
        </w:rPr>
        <w:t xml:space="preserve"> in 2012</w:t>
      </w:r>
      <w:r w:rsidRPr="00652F75">
        <w:rPr>
          <w:sz w:val="22"/>
          <w:szCs w:val="22"/>
        </w:rPr>
        <w:t xml:space="preserve">, public corporate personality of many villages which is protected by the Constitution is abolished and those local government structures are transformed into neighbourhoods of municipalities. Rural transformation aims at implementing similar urban policies to village areas. Mass housing strategy is </w:t>
      </w:r>
      <w:r w:rsidR="00A916D7" w:rsidRPr="00652F75">
        <w:rPr>
          <w:sz w:val="22"/>
          <w:szCs w:val="22"/>
        </w:rPr>
        <w:t xml:space="preserve">also </w:t>
      </w:r>
      <w:r w:rsidRPr="00652F75">
        <w:rPr>
          <w:sz w:val="22"/>
          <w:szCs w:val="22"/>
        </w:rPr>
        <w:t xml:space="preserve">one of the most important components of the </w:t>
      </w:r>
      <w:r w:rsidR="00A916D7" w:rsidRPr="00652F75">
        <w:rPr>
          <w:sz w:val="22"/>
          <w:szCs w:val="22"/>
        </w:rPr>
        <w:t xml:space="preserve">Government </w:t>
      </w:r>
      <w:r w:rsidRPr="00652F75">
        <w:rPr>
          <w:sz w:val="22"/>
          <w:szCs w:val="22"/>
        </w:rPr>
        <w:t xml:space="preserve">program. </w:t>
      </w:r>
    </w:p>
    <w:p w14:paraId="6BD68283" w14:textId="77777777" w:rsidR="0021013A" w:rsidRPr="00652F75" w:rsidRDefault="0021013A" w:rsidP="0021013A">
      <w:pPr>
        <w:autoSpaceDE w:val="0"/>
        <w:autoSpaceDN w:val="0"/>
        <w:adjustRightInd w:val="0"/>
        <w:jc w:val="both"/>
        <w:rPr>
          <w:rStyle w:val="A22"/>
          <w:sz w:val="22"/>
          <w:szCs w:val="22"/>
        </w:rPr>
      </w:pPr>
    </w:p>
    <w:p w14:paraId="1F59D487" w14:textId="40B7FFE6" w:rsidR="00D756DB" w:rsidRPr="00652F75" w:rsidRDefault="00D756DB" w:rsidP="00924B15">
      <w:pPr>
        <w:tabs>
          <w:tab w:val="left" w:pos="720"/>
        </w:tabs>
        <w:ind w:left="720" w:right="-1"/>
        <w:jc w:val="both"/>
        <w:rPr>
          <w:b/>
          <w:iCs/>
          <w:sz w:val="22"/>
          <w:szCs w:val="22"/>
        </w:rPr>
      </w:pPr>
      <w:r w:rsidRPr="00652F75">
        <w:rPr>
          <w:b/>
          <w:iCs/>
          <w:sz w:val="22"/>
          <w:szCs w:val="22"/>
        </w:rPr>
        <w:t xml:space="preserve">Law No. 2985 </w:t>
      </w:r>
      <w:r w:rsidR="00F52EAF" w:rsidRPr="00652F75">
        <w:rPr>
          <w:b/>
          <w:iCs/>
          <w:sz w:val="22"/>
          <w:szCs w:val="22"/>
        </w:rPr>
        <w:t>Mass H</w:t>
      </w:r>
      <w:r w:rsidRPr="00652F75">
        <w:rPr>
          <w:b/>
          <w:iCs/>
          <w:sz w:val="22"/>
          <w:szCs w:val="22"/>
        </w:rPr>
        <w:t>ousing Law</w:t>
      </w:r>
      <w:r w:rsidRPr="00652F75">
        <w:rPr>
          <w:rStyle w:val="FootnoteReference"/>
          <w:b/>
          <w:iCs/>
          <w:sz w:val="22"/>
          <w:szCs w:val="22"/>
        </w:rPr>
        <w:footnoteReference w:id="5"/>
      </w:r>
      <w:r w:rsidR="00753514" w:rsidRPr="00652F75">
        <w:rPr>
          <w:b/>
          <w:iCs/>
          <w:sz w:val="22"/>
          <w:szCs w:val="22"/>
        </w:rPr>
        <w:t>:</w:t>
      </w:r>
      <w:r w:rsidR="00924B15" w:rsidRPr="00652F75">
        <w:rPr>
          <w:sz w:val="22"/>
          <w:szCs w:val="22"/>
          <w:lang w:val="en-US"/>
        </w:rPr>
        <w:t xml:space="preserve"> Th</w:t>
      </w:r>
      <w:r w:rsidR="00F52EAF" w:rsidRPr="00652F75">
        <w:rPr>
          <w:sz w:val="22"/>
          <w:szCs w:val="22"/>
          <w:lang w:val="en-US"/>
        </w:rPr>
        <w:t>is</w:t>
      </w:r>
      <w:r w:rsidR="00924B15" w:rsidRPr="00652F75">
        <w:rPr>
          <w:sz w:val="22"/>
          <w:szCs w:val="22"/>
          <w:lang w:val="en-US"/>
        </w:rPr>
        <w:t xml:space="preserve"> </w:t>
      </w:r>
      <w:r w:rsidR="00F52EAF" w:rsidRPr="00652F75">
        <w:rPr>
          <w:sz w:val="22"/>
          <w:szCs w:val="22"/>
          <w:lang w:val="en-US"/>
        </w:rPr>
        <w:t>L</w:t>
      </w:r>
      <w:r w:rsidR="00924B15" w:rsidRPr="00652F75">
        <w:rPr>
          <w:sz w:val="22"/>
          <w:szCs w:val="22"/>
          <w:lang w:val="en-US"/>
        </w:rPr>
        <w:t>aw</w:t>
      </w:r>
      <w:r w:rsidR="00F52EAF" w:rsidRPr="00652F75">
        <w:rPr>
          <w:sz w:val="22"/>
          <w:szCs w:val="22"/>
          <w:lang w:val="en-US"/>
        </w:rPr>
        <w:t>,</w:t>
      </w:r>
      <w:r w:rsidR="00924B15" w:rsidRPr="00652F75">
        <w:rPr>
          <w:sz w:val="22"/>
          <w:szCs w:val="22"/>
          <w:lang w:val="en-US"/>
        </w:rPr>
        <w:t xml:space="preserve"> which </w:t>
      </w:r>
      <w:r w:rsidR="00F52EAF" w:rsidRPr="00652F75">
        <w:rPr>
          <w:sz w:val="22"/>
          <w:szCs w:val="22"/>
          <w:lang w:val="en-US"/>
        </w:rPr>
        <w:t>governs</w:t>
      </w:r>
      <w:r w:rsidR="00924B15" w:rsidRPr="00652F75">
        <w:rPr>
          <w:sz w:val="22"/>
          <w:szCs w:val="22"/>
          <w:lang w:val="en-US"/>
        </w:rPr>
        <w:t xml:space="preserve"> the basic principles</w:t>
      </w:r>
      <w:r w:rsidR="00F52EAF" w:rsidRPr="00652F75">
        <w:rPr>
          <w:sz w:val="22"/>
          <w:szCs w:val="22"/>
          <w:lang w:val="en-US"/>
        </w:rPr>
        <w:t xml:space="preserve"> </w:t>
      </w:r>
      <w:r w:rsidR="00924B15" w:rsidRPr="00652F75">
        <w:rPr>
          <w:sz w:val="22"/>
          <w:szCs w:val="22"/>
          <w:lang w:val="en-US"/>
        </w:rPr>
        <w:t xml:space="preserve">of </w:t>
      </w:r>
      <w:r w:rsidR="00F52EAF" w:rsidRPr="00652F75">
        <w:rPr>
          <w:sz w:val="22"/>
          <w:szCs w:val="22"/>
          <w:lang w:val="en-US"/>
        </w:rPr>
        <w:t xml:space="preserve">mass housing reflects the approach adopted by the State regarding </w:t>
      </w:r>
      <w:r w:rsidR="00924B15" w:rsidRPr="00652F75">
        <w:rPr>
          <w:sz w:val="22"/>
          <w:szCs w:val="22"/>
          <w:lang w:val="en-US"/>
        </w:rPr>
        <w:t>the housing problem in Turkey</w:t>
      </w:r>
      <w:r w:rsidR="00F52EAF" w:rsidRPr="00652F75">
        <w:rPr>
          <w:sz w:val="22"/>
          <w:szCs w:val="22"/>
          <w:lang w:val="en-US"/>
        </w:rPr>
        <w:t>.</w:t>
      </w:r>
      <w:r w:rsidR="00924B15" w:rsidRPr="00652F75">
        <w:rPr>
          <w:sz w:val="22"/>
          <w:szCs w:val="22"/>
          <w:lang w:val="en-US"/>
        </w:rPr>
        <w:t xml:space="preserve"> </w:t>
      </w:r>
      <w:r w:rsidR="00F52EAF" w:rsidRPr="00652F75">
        <w:rPr>
          <w:sz w:val="22"/>
          <w:szCs w:val="22"/>
          <w:lang w:val="en-US"/>
        </w:rPr>
        <w:t>O</w:t>
      </w:r>
      <w:r w:rsidR="00924B15" w:rsidRPr="00652F75">
        <w:rPr>
          <w:sz w:val="22"/>
          <w:szCs w:val="22"/>
          <w:lang w:val="en-US"/>
        </w:rPr>
        <w:t>rganizational</w:t>
      </w:r>
      <w:r w:rsidR="00F52EAF" w:rsidRPr="00652F75">
        <w:rPr>
          <w:sz w:val="22"/>
          <w:szCs w:val="22"/>
          <w:lang w:val="en-US"/>
        </w:rPr>
        <w:t>, as well as</w:t>
      </w:r>
      <w:r w:rsidR="00924B15" w:rsidRPr="00652F75">
        <w:rPr>
          <w:sz w:val="22"/>
          <w:szCs w:val="22"/>
          <w:lang w:val="en-US"/>
        </w:rPr>
        <w:t xml:space="preserve"> financial aspects</w:t>
      </w:r>
      <w:r w:rsidR="00F52EAF" w:rsidRPr="00652F75">
        <w:rPr>
          <w:sz w:val="22"/>
          <w:szCs w:val="22"/>
          <w:lang w:val="en-US"/>
        </w:rPr>
        <w:t xml:space="preserve"> of the issue are also governed by this Law</w:t>
      </w:r>
      <w:r w:rsidR="00924B15" w:rsidRPr="00652F75">
        <w:rPr>
          <w:sz w:val="22"/>
          <w:szCs w:val="22"/>
          <w:lang w:val="en-US"/>
        </w:rPr>
        <w:t xml:space="preserve">. </w:t>
      </w:r>
      <w:r w:rsidR="003221BD">
        <w:rPr>
          <w:sz w:val="22"/>
          <w:szCs w:val="22"/>
          <w:lang w:val="en-US"/>
        </w:rPr>
        <w:t>TOKI</w:t>
      </w:r>
      <w:r w:rsidR="00490B93" w:rsidRPr="00652F75">
        <w:rPr>
          <w:sz w:val="22"/>
          <w:szCs w:val="22"/>
          <w:lang w:val="en-US"/>
        </w:rPr>
        <w:t xml:space="preserve"> is given </w:t>
      </w:r>
      <w:r w:rsidR="00F52EAF" w:rsidRPr="00652F75">
        <w:rPr>
          <w:sz w:val="22"/>
          <w:szCs w:val="22"/>
          <w:lang w:val="en-US"/>
        </w:rPr>
        <w:t xml:space="preserve">the </w:t>
      </w:r>
      <w:r w:rsidR="00490B93" w:rsidRPr="00652F75">
        <w:rPr>
          <w:sz w:val="22"/>
          <w:szCs w:val="22"/>
          <w:lang w:val="en-US"/>
        </w:rPr>
        <w:t>authori</w:t>
      </w:r>
      <w:r w:rsidR="00F52EAF" w:rsidRPr="00652F75">
        <w:rPr>
          <w:sz w:val="22"/>
          <w:szCs w:val="22"/>
          <w:lang w:val="en-US"/>
        </w:rPr>
        <w:t>ty</w:t>
      </w:r>
      <w:r w:rsidR="00490B93" w:rsidRPr="00652F75">
        <w:rPr>
          <w:sz w:val="22"/>
          <w:szCs w:val="22"/>
          <w:lang w:val="en-US"/>
        </w:rPr>
        <w:t xml:space="preserve"> to plan and develop projects aimed at eliminating areas of substandard housing, to prepare and modify </w:t>
      </w:r>
      <w:r w:rsidR="00F52EAF" w:rsidRPr="00652F75">
        <w:rPr>
          <w:sz w:val="22"/>
          <w:szCs w:val="22"/>
          <w:lang w:val="en-US"/>
        </w:rPr>
        <w:t xml:space="preserve">such </w:t>
      </w:r>
      <w:r w:rsidR="00490B93" w:rsidRPr="00652F75">
        <w:rPr>
          <w:sz w:val="22"/>
          <w:szCs w:val="22"/>
          <w:lang w:val="en-US"/>
        </w:rPr>
        <w:t>plans and to develop and make necessary financial arrangements for slum transformation proj</w:t>
      </w:r>
      <w:r w:rsidR="001F384F" w:rsidRPr="00652F75">
        <w:rPr>
          <w:sz w:val="22"/>
          <w:szCs w:val="22"/>
          <w:lang w:val="en-US"/>
        </w:rPr>
        <w:t>e</w:t>
      </w:r>
      <w:r w:rsidR="00490B93" w:rsidRPr="00652F75">
        <w:rPr>
          <w:sz w:val="22"/>
          <w:szCs w:val="22"/>
          <w:lang w:val="en-US"/>
        </w:rPr>
        <w:t xml:space="preserve">cts. </w:t>
      </w:r>
    </w:p>
    <w:p w14:paraId="543AF91D" w14:textId="77777777" w:rsidR="00D756DB" w:rsidRPr="00652F75" w:rsidRDefault="00D756DB" w:rsidP="00D756DB">
      <w:pPr>
        <w:tabs>
          <w:tab w:val="left" w:pos="720"/>
        </w:tabs>
        <w:ind w:right="-1"/>
        <w:jc w:val="both"/>
        <w:rPr>
          <w:b/>
          <w:iCs/>
          <w:sz w:val="22"/>
          <w:szCs w:val="22"/>
        </w:rPr>
      </w:pPr>
    </w:p>
    <w:p w14:paraId="75739E9B" w14:textId="68D62654" w:rsidR="00EE5BC7" w:rsidRPr="00652F75" w:rsidRDefault="00D756DB" w:rsidP="00EE5BC7">
      <w:pPr>
        <w:tabs>
          <w:tab w:val="left" w:pos="720"/>
        </w:tabs>
        <w:ind w:left="720" w:right="-1"/>
        <w:jc w:val="both"/>
        <w:rPr>
          <w:iCs/>
          <w:sz w:val="22"/>
          <w:szCs w:val="22"/>
        </w:rPr>
      </w:pPr>
      <w:r w:rsidRPr="00652F75">
        <w:rPr>
          <w:b/>
          <w:sz w:val="22"/>
          <w:szCs w:val="22"/>
        </w:rPr>
        <w:t xml:space="preserve">Law No. 6306 on the </w:t>
      </w:r>
      <w:r w:rsidRPr="00652F75">
        <w:rPr>
          <w:b/>
          <w:iCs/>
          <w:sz w:val="22"/>
          <w:szCs w:val="22"/>
        </w:rPr>
        <w:t xml:space="preserve">Transformation of Areas under Disaster Risk: </w:t>
      </w:r>
      <w:r w:rsidR="005738F4" w:rsidRPr="00652F75">
        <w:rPr>
          <w:iCs/>
          <w:sz w:val="22"/>
          <w:szCs w:val="22"/>
        </w:rPr>
        <w:t xml:space="preserve">The urban regeneration process is mainly based on this </w:t>
      </w:r>
      <w:r w:rsidR="00F52EAF" w:rsidRPr="00652F75">
        <w:rPr>
          <w:iCs/>
          <w:sz w:val="22"/>
          <w:szCs w:val="22"/>
        </w:rPr>
        <w:t>L</w:t>
      </w:r>
      <w:r w:rsidR="005738F4" w:rsidRPr="00652F75">
        <w:rPr>
          <w:iCs/>
          <w:sz w:val="22"/>
          <w:szCs w:val="22"/>
        </w:rPr>
        <w:t>aw. Th</w:t>
      </w:r>
      <w:r w:rsidR="00F52EAF" w:rsidRPr="00652F75">
        <w:rPr>
          <w:iCs/>
          <w:sz w:val="22"/>
          <w:szCs w:val="22"/>
        </w:rPr>
        <w:t>e focus of the L</w:t>
      </w:r>
      <w:r w:rsidR="005738F4" w:rsidRPr="00652F75">
        <w:rPr>
          <w:iCs/>
          <w:sz w:val="22"/>
          <w:szCs w:val="22"/>
        </w:rPr>
        <w:t xml:space="preserve">aw </w:t>
      </w:r>
      <w:r w:rsidR="00F52EAF" w:rsidRPr="00652F75">
        <w:rPr>
          <w:iCs/>
          <w:sz w:val="22"/>
          <w:szCs w:val="22"/>
        </w:rPr>
        <w:t>is</w:t>
      </w:r>
      <w:r w:rsidR="005738F4" w:rsidRPr="00652F75">
        <w:rPr>
          <w:iCs/>
          <w:sz w:val="22"/>
          <w:szCs w:val="22"/>
        </w:rPr>
        <w:t xml:space="preserve"> on risk areas that are defined as areas that may cause loss of life or assets during disasters. The </w:t>
      </w:r>
      <w:r w:rsidR="00EE5BC7" w:rsidRPr="00652F75">
        <w:rPr>
          <w:iCs/>
          <w:sz w:val="22"/>
          <w:szCs w:val="22"/>
        </w:rPr>
        <w:t>risk</w:t>
      </w:r>
      <w:r w:rsidR="005738F4" w:rsidRPr="00652F75">
        <w:rPr>
          <w:iCs/>
          <w:sz w:val="22"/>
          <w:szCs w:val="22"/>
        </w:rPr>
        <w:t xml:space="preserve"> areas are determined by the Ministry of Environment and Urban Planning, </w:t>
      </w:r>
      <w:r w:rsidR="003221BD">
        <w:rPr>
          <w:iCs/>
          <w:sz w:val="22"/>
          <w:szCs w:val="22"/>
        </w:rPr>
        <w:t>TOKI</w:t>
      </w:r>
      <w:r w:rsidR="005738F4" w:rsidRPr="00652F75">
        <w:rPr>
          <w:iCs/>
          <w:sz w:val="22"/>
          <w:szCs w:val="22"/>
        </w:rPr>
        <w:t xml:space="preserve"> or municipalities, </w:t>
      </w:r>
      <w:r w:rsidR="00734406" w:rsidRPr="00652F75">
        <w:rPr>
          <w:iCs/>
          <w:sz w:val="22"/>
          <w:szCs w:val="22"/>
        </w:rPr>
        <w:t xml:space="preserve">after consulting </w:t>
      </w:r>
      <w:r w:rsidR="005738F4" w:rsidRPr="00652F75">
        <w:rPr>
          <w:iCs/>
          <w:sz w:val="22"/>
          <w:szCs w:val="22"/>
        </w:rPr>
        <w:t xml:space="preserve">the Presidency of </w:t>
      </w:r>
      <w:r w:rsidR="00734406" w:rsidRPr="00652F75">
        <w:rPr>
          <w:iCs/>
          <w:sz w:val="22"/>
          <w:szCs w:val="22"/>
        </w:rPr>
        <w:t xml:space="preserve">Disaster and Emergency </w:t>
      </w:r>
      <w:r w:rsidR="005738F4" w:rsidRPr="00652F75">
        <w:rPr>
          <w:iCs/>
          <w:sz w:val="22"/>
          <w:szCs w:val="22"/>
        </w:rPr>
        <w:t xml:space="preserve">Management </w:t>
      </w:r>
      <w:r w:rsidR="00EE5BC7" w:rsidRPr="00652F75">
        <w:rPr>
          <w:iCs/>
          <w:sz w:val="22"/>
          <w:szCs w:val="22"/>
        </w:rPr>
        <w:t xml:space="preserve">and </w:t>
      </w:r>
      <w:r w:rsidR="00734406" w:rsidRPr="00652F75">
        <w:rPr>
          <w:iCs/>
          <w:sz w:val="22"/>
          <w:szCs w:val="22"/>
        </w:rPr>
        <w:t>adopt</w:t>
      </w:r>
      <w:r w:rsidR="00EE5BC7" w:rsidRPr="00652F75">
        <w:rPr>
          <w:iCs/>
          <w:sz w:val="22"/>
          <w:szCs w:val="22"/>
        </w:rPr>
        <w:t>ed by</w:t>
      </w:r>
      <w:r w:rsidR="005738F4" w:rsidRPr="00652F75">
        <w:rPr>
          <w:iCs/>
          <w:sz w:val="22"/>
          <w:szCs w:val="22"/>
        </w:rPr>
        <w:t xml:space="preserve"> the Council of Ministers </w:t>
      </w:r>
      <w:r w:rsidR="002816AC" w:rsidRPr="00652F75">
        <w:rPr>
          <w:iCs/>
          <w:sz w:val="22"/>
          <w:szCs w:val="22"/>
        </w:rPr>
        <w:t xml:space="preserve">upon </w:t>
      </w:r>
      <w:r w:rsidR="00734406" w:rsidRPr="00652F75">
        <w:rPr>
          <w:iCs/>
          <w:sz w:val="22"/>
          <w:szCs w:val="22"/>
        </w:rPr>
        <w:t xml:space="preserve">a </w:t>
      </w:r>
      <w:r w:rsidR="002816AC" w:rsidRPr="00652F75">
        <w:rPr>
          <w:iCs/>
          <w:sz w:val="22"/>
          <w:szCs w:val="22"/>
        </w:rPr>
        <w:t>proposal f</w:t>
      </w:r>
      <w:r w:rsidR="00734406" w:rsidRPr="00652F75">
        <w:rPr>
          <w:iCs/>
          <w:sz w:val="22"/>
          <w:szCs w:val="22"/>
        </w:rPr>
        <w:t>rom</w:t>
      </w:r>
      <w:r w:rsidR="002816AC" w:rsidRPr="00652F75">
        <w:rPr>
          <w:iCs/>
          <w:sz w:val="22"/>
          <w:szCs w:val="22"/>
        </w:rPr>
        <w:t xml:space="preserve"> the Ministry. </w:t>
      </w:r>
      <w:r w:rsidR="00734406" w:rsidRPr="00652F75">
        <w:rPr>
          <w:iCs/>
          <w:sz w:val="22"/>
          <w:szCs w:val="22"/>
        </w:rPr>
        <w:t>Under a</w:t>
      </w:r>
      <w:r w:rsidRPr="00652F75">
        <w:rPr>
          <w:iCs/>
          <w:sz w:val="22"/>
          <w:szCs w:val="22"/>
        </w:rPr>
        <w:t xml:space="preserve">rticle 5, if the owners arrive </w:t>
      </w:r>
      <w:r w:rsidR="00273C4A" w:rsidRPr="00652F75">
        <w:rPr>
          <w:iCs/>
          <w:sz w:val="22"/>
          <w:szCs w:val="22"/>
        </w:rPr>
        <w:t xml:space="preserve">at </w:t>
      </w:r>
      <w:r w:rsidRPr="00652F75">
        <w:rPr>
          <w:iCs/>
          <w:sz w:val="22"/>
          <w:szCs w:val="22"/>
        </w:rPr>
        <w:t xml:space="preserve">an agreement with the state on renovation, destruction or improvement of their properties at risk of disaster and other risk-prone buildings, State may provide housing benefits by a decree released by </w:t>
      </w:r>
      <w:r w:rsidR="00734406" w:rsidRPr="00652F75">
        <w:rPr>
          <w:iCs/>
          <w:sz w:val="22"/>
          <w:szCs w:val="22"/>
        </w:rPr>
        <w:t xml:space="preserve">the </w:t>
      </w:r>
      <w:r w:rsidRPr="00652F75">
        <w:rPr>
          <w:iCs/>
          <w:sz w:val="22"/>
          <w:szCs w:val="22"/>
        </w:rPr>
        <w:t>Council of Ministers/Cabinet (</w:t>
      </w:r>
      <w:r w:rsidR="00B90920" w:rsidRPr="00652F75">
        <w:rPr>
          <w:iCs/>
          <w:sz w:val="22"/>
          <w:szCs w:val="22"/>
        </w:rPr>
        <w:t>d</w:t>
      </w:r>
      <w:r w:rsidRPr="00652F75">
        <w:rPr>
          <w:iCs/>
          <w:sz w:val="22"/>
          <w:szCs w:val="22"/>
        </w:rPr>
        <w:t xml:space="preserve">iscretionary power of </w:t>
      </w:r>
      <w:r w:rsidR="006D01FD" w:rsidRPr="00652F75">
        <w:rPr>
          <w:iCs/>
          <w:sz w:val="22"/>
          <w:szCs w:val="22"/>
        </w:rPr>
        <w:t>the C</w:t>
      </w:r>
      <w:r w:rsidRPr="00652F75">
        <w:rPr>
          <w:iCs/>
          <w:sz w:val="22"/>
          <w:szCs w:val="22"/>
        </w:rPr>
        <w:t xml:space="preserve">entral </w:t>
      </w:r>
      <w:r w:rsidR="006D01FD" w:rsidRPr="00652F75">
        <w:rPr>
          <w:iCs/>
          <w:sz w:val="22"/>
          <w:szCs w:val="22"/>
        </w:rPr>
        <w:t>G</w:t>
      </w:r>
      <w:r w:rsidRPr="00652F75">
        <w:rPr>
          <w:iCs/>
          <w:sz w:val="22"/>
          <w:szCs w:val="22"/>
        </w:rPr>
        <w:t>overnment)</w:t>
      </w:r>
      <w:r w:rsidR="00610492" w:rsidRPr="00652F75">
        <w:rPr>
          <w:iCs/>
          <w:sz w:val="22"/>
          <w:szCs w:val="22"/>
        </w:rPr>
        <w:t xml:space="preserve">. </w:t>
      </w:r>
    </w:p>
    <w:p w14:paraId="0889A178" w14:textId="77777777" w:rsidR="001F1A56" w:rsidRPr="00652F75" w:rsidRDefault="001F1A56" w:rsidP="00EE5BC7">
      <w:pPr>
        <w:tabs>
          <w:tab w:val="left" w:pos="720"/>
        </w:tabs>
        <w:ind w:left="720" w:right="-1"/>
        <w:jc w:val="both"/>
        <w:rPr>
          <w:iCs/>
          <w:sz w:val="22"/>
          <w:szCs w:val="22"/>
        </w:rPr>
      </w:pPr>
    </w:p>
    <w:p w14:paraId="4AA6721E" w14:textId="77777777" w:rsidR="0021013A" w:rsidRPr="00652F75" w:rsidRDefault="0021013A" w:rsidP="008054FC">
      <w:pPr>
        <w:tabs>
          <w:tab w:val="left" w:pos="720"/>
        </w:tabs>
        <w:ind w:right="-1"/>
        <w:jc w:val="both"/>
        <w:rPr>
          <w:sz w:val="22"/>
          <w:szCs w:val="22"/>
        </w:rPr>
      </w:pPr>
    </w:p>
    <w:p w14:paraId="6E74B8B2" w14:textId="77777777" w:rsidR="00044720" w:rsidRPr="00652F75" w:rsidRDefault="00044720" w:rsidP="006C7127">
      <w:pPr>
        <w:tabs>
          <w:tab w:val="left" w:pos="720"/>
        </w:tabs>
        <w:ind w:left="720" w:right="-1"/>
        <w:jc w:val="both"/>
        <w:rPr>
          <w:sz w:val="22"/>
          <w:szCs w:val="22"/>
        </w:rPr>
      </w:pPr>
    </w:p>
    <w:p w14:paraId="0EDE6FAA" w14:textId="77777777"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r>
      <w:r w:rsidRPr="00652F75">
        <w:rPr>
          <w:i/>
          <w:sz w:val="22"/>
          <w:szCs w:val="22"/>
        </w:rPr>
        <w:t>Sub-national level legislation or housing strategy</w:t>
      </w:r>
      <w:r w:rsidRPr="00652F75">
        <w:rPr>
          <w:sz w:val="22"/>
          <w:szCs w:val="22"/>
        </w:rPr>
        <w:t xml:space="preserve"> </w:t>
      </w:r>
    </w:p>
    <w:p w14:paraId="066E8EEC" w14:textId="77777777" w:rsidR="00564395" w:rsidRPr="00652F75" w:rsidRDefault="00564395" w:rsidP="006C7127">
      <w:pPr>
        <w:tabs>
          <w:tab w:val="left" w:pos="720"/>
        </w:tabs>
        <w:ind w:left="720" w:right="-1"/>
        <w:jc w:val="both"/>
        <w:rPr>
          <w:sz w:val="22"/>
          <w:szCs w:val="22"/>
        </w:rPr>
      </w:pPr>
    </w:p>
    <w:p w14:paraId="5A6DB61F" w14:textId="0DA80A83" w:rsidR="00564395" w:rsidRPr="00652F75" w:rsidRDefault="00564395" w:rsidP="00564395">
      <w:pPr>
        <w:tabs>
          <w:tab w:val="left" w:pos="142"/>
        </w:tabs>
        <w:ind w:left="720"/>
        <w:jc w:val="both"/>
        <w:rPr>
          <w:sz w:val="22"/>
          <w:szCs w:val="22"/>
        </w:rPr>
      </w:pPr>
      <w:r w:rsidRPr="00652F75">
        <w:rPr>
          <w:b/>
          <w:sz w:val="22"/>
          <w:szCs w:val="22"/>
        </w:rPr>
        <w:t>Law No. 5393 (2005) on Municipality</w:t>
      </w:r>
      <w:r w:rsidR="008D38FC" w:rsidRPr="00652F75">
        <w:rPr>
          <w:rStyle w:val="FootnoteReference"/>
          <w:b/>
          <w:sz w:val="22"/>
          <w:szCs w:val="22"/>
        </w:rPr>
        <w:footnoteReference w:id="6"/>
      </w:r>
      <w:r w:rsidR="00BE002E" w:rsidRPr="00652F75">
        <w:rPr>
          <w:b/>
          <w:sz w:val="22"/>
          <w:szCs w:val="22"/>
        </w:rPr>
        <w:t>:</w:t>
      </w:r>
      <w:r w:rsidRPr="00652F75">
        <w:rPr>
          <w:sz w:val="22"/>
          <w:szCs w:val="22"/>
        </w:rPr>
        <w:t xml:space="preserve"> </w:t>
      </w:r>
      <w:r w:rsidR="00B90920" w:rsidRPr="00652F75">
        <w:rPr>
          <w:sz w:val="22"/>
          <w:szCs w:val="22"/>
        </w:rPr>
        <w:t xml:space="preserve">The </w:t>
      </w:r>
      <w:r w:rsidR="006D01FD" w:rsidRPr="00652F75">
        <w:rPr>
          <w:sz w:val="22"/>
          <w:szCs w:val="22"/>
        </w:rPr>
        <w:t>L</w:t>
      </w:r>
      <w:r w:rsidR="00B90920" w:rsidRPr="00652F75">
        <w:rPr>
          <w:sz w:val="22"/>
          <w:szCs w:val="22"/>
        </w:rPr>
        <w:t xml:space="preserve">aw </w:t>
      </w:r>
      <w:r w:rsidR="006D01FD" w:rsidRPr="00652F75">
        <w:rPr>
          <w:sz w:val="22"/>
          <w:szCs w:val="22"/>
        </w:rPr>
        <w:t xml:space="preserve">governs the </w:t>
      </w:r>
      <w:r w:rsidRPr="00652F75">
        <w:rPr>
          <w:sz w:val="22"/>
          <w:szCs w:val="22"/>
        </w:rPr>
        <w:t xml:space="preserve">duties and responsibilities of the municipalities. Housing is one of the main duties of those local government entities. The relevant articles regarding housing responsibilities of municipalities are: </w:t>
      </w:r>
      <w:r w:rsidR="00362EA0" w:rsidRPr="00652F75">
        <w:rPr>
          <w:sz w:val="22"/>
          <w:szCs w:val="22"/>
        </w:rPr>
        <w:t xml:space="preserve">Article 14, </w:t>
      </w:r>
      <w:r w:rsidR="002D4E2E" w:rsidRPr="00652F75">
        <w:rPr>
          <w:sz w:val="22"/>
          <w:szCs w:val="22"/>
        </w:rPr>
        <w:lastRenderedPageBreak/>
        <w:t xml:space="preserve">Article 38, </w:t>
      </w:r>
      <w:r w:rsidR="00362EA0" w:rsidRPr="00652F75">
        <w:rPr>
          <w:sz w:val="22"/>
          <w:szCs w:val="22"/>
        </w:rPr>
        <w:t>Article 69</w:t>
      </w:r>
      <w:r w:rsidR="00B90920" w:rsidRPr="00652F75">
        <w:rPr>
          <w:sz w:val="22"/>
          <w:szCs w:val="22"/>
        </w:rPr>
        <w:t xml:space="preserve"> and</w:t>
      </w:r>
      <w:r w:rsidR="00362EA0" w:rsidRPr="00652F75">
        <w:rPr>
          <w:sz w:val="22"/>
          <w:szCs w:val="22"/>
        </w:rPr>
        <w:t xml:space="preserve"> Article 73.</w:t>
      </w:r>
      <w:r w:rsidR="0098112E" w:rsidRPr="00652F75">
        <w:rPr>
          <w:sz w:val="22"/>
          <w:szCs w:val="22"/>
        </w:rPr>
        <w:t xml:space="preserve"> Article 73 on Urban Transformation refers to both municipalities and metropolitan municipalities. </w:t>
      </w:r>
      <w:r w:rsidR="00362EA0" w:rsidRPr="00652F75">
        <w:rPr>
          <w:sz w:val="22"/>
          <w:szCs w:val="22"/>
        </w:rPr>
        <w:t xml:space="preserve"> </w:t>
      </w:r>
    </w:p>
    <w:p w14:paraId="3DF09A8E" w14:textId="77777777" w:rsidR="00564395" w:rsidRPr="00652F75" w:rsidRDefault="00564395" w:rsidP="00564395">
      <w:pPr>
        <w:tabs>
          <w:tab w:val="left" w:pos="720"/>
        </w:tabs>
        <w:ind w:right="-1"/>
        <w:jc w:val="both"/>
        <w:rPr>
          <w:b/>
          <w:sz w:val="22"/>
          <w:szCs w:val="22"/>
        </w:rPr>
      </w:pPr>
    </w:p>
    <w:p w14:paraId="52660483" w14:textId="0105F59E" w:rsidR="00564395" w:rsidRPr="00652F75" w:rsidRDefault="00564395" w:rsidP="00564395">
      <w:pPr>
        <w:tabs>
          <w:tab w:val="left" w:pos="720"/>
        </w:tabs>
        <w:ind w:left="720" w:right="-1"/>
        <w:jc w:val="both"/>
        <w:rPr>
          <w:sz w:val="22"/>
          <w:szCs w:val="22"/>
        </w:rPr>
      </w:pPr>
      <w:r w:rsidRPr="00652F75">
        <w:rPr>
          <w:b/>
          <w:sz w:val="22"/>
          <w:szCs w:val="22"/>
        </w:rPr>
        <w:t xml:space="preserve">Law No. 5216 on Metropolitan Municipality: </w:t>
      </w:r>
      <w:r w:rsidR="000F5E45" w:rsidRPr="00652F75">
        <w:rPr>
          <w:sz w:val="22"/>
          <w:szCs w:val="22"/>
        </w:rPr>
        <w:t>The rele</w:t>
      </w:r>
      <w:r w:rsidRPr="00652F75">
        <w:rPr>
          <w:sz w:val="22"/>
          <w:szCs w:val="22"/>
        </w:rPr>
        <w:t xml:space="preserve">vant article regarding housing responsibilities </w:t>
      </w:r>
      <w:r w:rsidR="001A6699" w:rsidRPr="00652F75">
        <w:rPr>
          <w:sz w:val="22"/>
          <w:szCs w:val="22"/>
        </w:rPr>
        <w:t xml:space="preserve">of the metropolitan municipalities </w:t>
      </w:r>
      <w:r w:rsidR="00B90920" w:rsidRPr="00652F75">
        <w:rPr>
          <w:sz w:val="22"/>
          <w:szCs w:val="22"/>
        </w:rPr>
        <w:t xml:space="preserve">is </w:t>
      </w:r>
      <w:r w:rsidRPr="00652F75">
        <w:rPr>
          <w:sz w:val="22"/>
          <w:szCs w:val="22"/>
        </w:rPr>
        <w:t xml:space="preserve">Article 7 (Duties and Responsibilities of Metropolitan, District </w:t>
      </w:r>
      <w:r w:rsidR="003B02A4" w:rsidRPr="00652F75">
        <w:rPr>
          <w:sz w:val="22"/>
          <w:szCs w:val="22"/>
        </w:rPr>
        <w:t xml:space="preserve">and First-Tier Municipalities). </w:t>
      </w:r>
      <w:r w:rsidR="006D01FD" w:rsidRPr="00652F75">
        <w:rPr>
          <w:sz w:val="22"/>
          <w:szCs w:val="22"/>
        </w:rPr>
        <w:t>Duties include fire inspection and evacuation and demolition of buildings posing disaster risk.</w:t>
      </w:r>
    </w:p>
    <w:p w14:paraId="2EC80802" w14:textId="77777777" w:rsidR="002D4E2E" w:rsidRPr="00652F75" w:rsidRDefault="002D4E2E" w:rsidP="00564395">
      <w:pPr>
        <w:tabs>
          <w:tab w:val="left" w:pos="720"/>
        </w:tabs>
        <w:ind w:left="720" w:right="-1"/>
        <w:jc w:val="both"/>
        <w:rPr>
          <w:sz w:val="22"/>
          <w:szCs w:val="22"/>
        </w:rPr>
      </w:pPr>
    </w:p>
    <w:p w14:paraId="4AE7F637" w14:textId="77777777" w:rsidR="002D4E2E" w:rsidRPr="00652F75" w:rsidRDefault="002D4E2E" w:rsidP="00564395">
      <w:pPr>
        <w:tabs>
          <w:tab w:val="left" w:pos="720"/>
        </w:tabs>
        <w:ind w:left="720" w:right="-1"/>
        <w:jc w:val="both"/>
        <w:rPr>
          <w:sz w:val="22"/>
          <w:szCs w:val="22"/>
        </w:rPr>
      </w:pPr>
      <w:r w:rsidRPr="00652F75">
        <w:rPr>
          <w:b/>
          <w:sz w:val="22"/>
          <w:szCs w:val="22"/>
        </w:rPr>
        <w:t>Law No. 5366 Law on Renovating Conserving and Actively Using Dilapidated Historical and Cultural Immovable Assets</w:t>
      </w:r>
      <w:r w:rsidRPr="00652F75">
        <w:rPr>
          <w:rStyle w:val="FootnoteReference"/>
          <w:b/>
          <w:sz w:val="22"/>
          <w:szCs w:val="22"/>
        </w:rPr>
        <w:footnoteReference w:id="7"/>
      </w:r>
      <w:r w:rsidRPr="00652F75">
        <w:rPr>
          <w:b/>
          <w:sz w:val="22"/>
          <w:szCs w:val="22"/>
        </w:rPr>
        <w:t>:</w:t>
      </w:r>
      <w:r w:rsidRPr="00652F75">
        <w:rPr>
          <w:sz w:val="22"/>
          <w:szCs w:val="22"/>
        </w:rPr>
        <w:t xml:space="preserve"> The law </w:t>
      </w:r>
      <w:r w:rsidR="008054FC" w:rsidRPr="00652F75">
        <w:rPr>
          <w:sz w:val="22"/>
          <w:szCs w:val="22"/>
        </w:rPr>
        <w:t>propounds renewal sites in order to consolidate the urban structure for earthquake risk mitigation and regenerate especially the deprived neighbourhoods of historic city centre through the utilization of mixed uses. Renewal zones decis</w:t>
      </w:r>
      <w:r w:rsidR="001F384F" w:rsidRPr="00652F75">
        <w:rPr>
          <w:sz w:val="22"/>
          <w:szCs w:val="22"/>
        </w:rPr>
        <w:t>ions</w:t>
      </w:r>
      <w:r w:rsidR="008054FC" w:rsidRPr="00652F75">
        <w:rPr>
          <w:sz w:val="22"/>
          <w:szCs w:val="22"/>
        </w:rPr>
        <w:t xml:space="preserve"> is taken by Municipal Assemblies in the settlements having municipalities and by General Assembly of Provinces in</w:t>
      </w:r>
      <w:r w:rsidR="001F384F" w:rsidRPr="00652F75">
        <w:rPr>
          <w:sz w:val="22"/>
          <w:szCs w:val="22"/>
        </w:rPr>
        <w:t xml:space="preserve"> the settlements outside governed by</w:t>
      </w:r>
      <w:r w:rsidR="008054FC" w:rsidRPr="00652F75">
        <w:rPr>
          <w:sz w:val="22"/>
          <w:szCs w:val="22"/>
        </w:rPr>
        <w:t xml:space="preserve"> Special administration of Provinces outside municipal </w:t>
      </w:r>
      <w:r w:rsidR="001F384F" w:rsidRPr="00652F75">
        <w:rPr>
          <w:sz w:val="22"/>
          <w:szCs w:val="22"/>
        </w:rPr>
        <w:t>boundaries</w:t>
      </w:r>
      <w:r w:rsidR="008054FC" w:rsidRPr="00652F75">
        <w:rPr>
          <w:sz w:val="22"/>
          <w:szCs w:val="22"/>
        </w:rPr>
        <w:t xml:space="preserve">. </w:t>
      </w:r>
    </w:p>
    <w:p w14:paraId="3FDD6C61" w14:textId="77777777" w:rsidR="003B02A4" w:rsidRPr="00652F75" w:rsidRDefault="003B02A4" w:rsidP="00564395">
      <w:pPr>
        <w:tabs>
          <w:tab w:val="left" w:pos="720"/>
        </w:tabs>
        <w:ind w:left="720" w:right="-1"/>
        <w:jc w:val="both"/>
        <w:rPr>
          <w:sz w:val="22"/>
          <w:szCs w:val="22"/>
        </w:rPr>
      </w:pPr>
    </w:p>
    <w:p w14:paraId="2C939B42" w14:textId="1BFC3671" w:rsidR="003B02A4" w:rsidRPr="00652F75" w:rsidRDefault="003B02A4" w:rsidP="00564395">
      <w:pPr>
        <w:tabs>
          <w:tab w:val="left" w:pos="720"/>
        </w:tabs>
        <w:ind w:left="720" w:right="-1"/>
        <w:jc w:val="both"/>
        <w:rPr>
          <w:sz w:val="22"/>
          <w:szCs w:val="22"/>
        </w:rPr>
      </w:pPr>
      <w:r w:rsidRPr="00652F75">
        <w:rPr>
          <w:b/>
          <w:sz w:val="22"/>
          <w:szCs w:val="22"/>
        </w:rPr>
        <w:t xml:space="preserve">Law No. 6360 on the Establishment of the Thirteen New Metropolitan Municipalities and Twenty Six Districts: </w:t>
      </w:r>
      <w:r w:rsidRPr="00652F75">
        <w:rPr>
          <w:sz w:val="22"/>
          <w:szCs w:val="22"/>
        </w:rPr>
        <w:t>The law changed the administrative structure of local government</w:t>
      </w:r>
      <w:r w:rsidR="00EE5BC7" w:rsidRPr="00652F75">
        <w:rPr>
          <w:sz w:val="22"/>
          <w:szCs w:val="22"/>
        </w:rPr>
        <w:t xml:space="preserve"> and increased the number of the metropolitan municipalities in the country</w:t>
      </w:r>
      <w:r w:rsidRPr="00652F75">
        <w:rPr>
          <w:sz w:val="22"/>
          <w:szCs w:val="22"/>
        </w:rPr>
        <w:t xml:space="preserve">. </w:t>
      </w:r>
      <w:r w:rsidR="009B56AF" w:rsidRPr="00652F75">
        <w:rPr>
          <w:sz w:val="22"/>
          <w:szCs w:val="22"/>
        </w:rPr>
        <w:t xml:space="preserve">Currently there are 30 metropolitan municipalities in Turkey out of 81 provinces. </w:t>
      </w:r>
    </w:p>
    <w:p w14:paraId="35B7FA89" w14:textId="77777777" w:rsidR="00EE5BC7" w:rsidRPr="00652F75" w:rsidRDefault="00EE5BC7" w:rsidP="00564395">
      <w:pPr>
        <w:tabs>
          <w:tab w:val="left" w:pos="720"/>
        </w:tabs>
        <w:ind w:left="720" w:right="-1"/>
        <w:jc w:val="both"/>
        <w:rPr>
          <w:sz w:val="22"/>
          <w:szCs w:val="22"/>
        </w:rPr>
      </w:pPr>
    </w:p>
    <w:p w14:paraId="4C468B03" w14:textId="49DF6342" w:rsidR="001E757E" w:rsidRPr="00652F75" w:rsidRDefault="001E757E" w:rsidP="00564395">
      <w:pPr>
        <w:tabs>
          <w:tab w:val="left" w:pos="720"/>
        </w:tabs>
        <w:ind w:left="720" w:right="-1"/>
        <w:jc w:val="both"/>
        <w:rPr>
          <w:sz w:val="22"/>
          <w:szCs w:val="22"/>
        </w:rPr>
      </w:pPr>
      <w:r w:rsidRPr="00652F75">
        <w:rPr>
          <w:sz w:val="22"/>
          <w:szCs w:val="22"/>
        </w:rPr>
        <w:t>According to Article 17</w:t>
      </w:r>
      <w:r w:rsidRPr="00652F75">
        <w:rPr>
          <w:rStyle w:val="FootnoteReference"/>
          <w:sz w:val="22"/>
          <w:szCs w:val="22"/>
        </w:rPr>
        <w:footnoteReference w:id="8"/>
      </w:r>
      <w:r w:rsidRPr="00652F75">
        <w:rPr>
          <w:sz w:val="22"/>
          <w:szCs w:val="22"/>
        </w:rPr>
        <w:t xml:space="preserve"> of this Law, the metropolitan municipalities and the municipalities with 100.000 or more inhabitants have to establish shelters for women and children.</w:t>
      </w:r>
      <w:r w:rsidRPr="00652F75">
        <w:rPr>
          <w:rStyle w:val="FootnoteReference"/>
          <w:sz w:val="22"/>
          <w:szCs w:val="22"/>
        </w:rPr>
        <w:footnoteReference w:id="9"/>
      </w:r>
      <w:r w:rsidRPr="00652F75">
        <w:rPr>
          <w:sz w:val="22"/>
          <w:szCs w:val="22"/>
        </w:rPr>
        <w:t xml:space="preserve"> Other municipalities may establish shelters by taking their financial situation and priorities into consideration. </w:t>
      </w:r>
      <w:r w:rsidR="004D5184" w:rsidRPr="00652F75">
        <w:rPr>
          <w:sz w:val="22"/>
          <w:szCs w:val="22"/>
        </w:rPr>
        <w:t>According to 2014 data</w:t>
      </w:r>
      <w:r w:rsidRPr="00652F75">
        <w:rPr>
          <w:sz w:val="22"/>
          <w:szCs w:val="22"/>
        </w:rPr>
        <w:t>, there are 92 shelters under the authority and responsibility of the General Directorate on the Status of Women (under the Ministry of Family and Social Policies) and 33 shelters under the authority and responsibility of municipalities. 3 shelters are run by women NGOs. In total there are 128 shelters all over Turkey</w:t>
      </w:r>
      <w:r w:rsidR="004D5184" w:rsidRPr="00652F75">
        <w:rPr>
          <w:sz w:val="22"/>
          <w:szCs w:val="22"/>
        </w:rPr>
        <w:t>.</w:t>
      </w:r>
      <w:r w:rsidR="004D5184" w:rsidRPr="00652F75">
        <w:rPr>
          <w:rStyle w:val="FootnoteReference"/>
          <w:sz w:val="22"/>
          <w:szCs w:val="22"/>
        </w:rPr>
        <w:footnoteReference w:id="10"/>
      </w:r>
    </w:p>
    <w:p w14:paraId="4C53706D" w14:textId="77777777" w:rsidR="001F1A56" w:rsidRPr="00652F75" w:rsidRDefault="001F1A56" w:rsidP="00564395">
      <w:pPr>
        <w:tabs>
          <w:tab w:val="left" w:pos="720"/>
        </w:tabs>
        <w:ind w:left="720" w:right="-1"/>
        <w:jc w:val="both"/>
        <w:rPr>
          <w:sz w:val="22"/>
          <w:szCs w:val="22"/>
        </w:rPr>
      </w:pPr>
    </w:p>
    <w:p w14:paraId="60F8BC74" w14:textId="7E48E42F" w:rsidR="001F1A56" w:rsidRPr="00652F75" w:rsidRDefault="001F1A56" w:rsidP="001F1A56">
      <w:pPr>
        <w:tabs>
          <w:tab w:val="left" w:pos="720"/>
        </w:tabs>
        <w:ind w:left="720" w:right="-1"/>
        <w:jc w:val="both"/>
        <w:rPr>
          <w:iCs/>
          <w:sz w:val="22"/>
          <w:szCs w:val="22"/>
        </w:rPr>
      </w:pPr>
      <w:r w:rsidRPr="00652F75">
        <w:rPr>
          <w:b/>
          <w:iCs/>
          <w:sz w:val="22"/>
          <w:szCs w:val="22"/>
        </w:rPr>
        <w:t xml:space="preserve">Law No. 755 on Slum Houses: </w:t>
      </w:r>
      <w:r w:rsidRPr="00652F75">
        <w:rPr>
          <w:iCs/>
          <w:sz w:val="22"/>
          <w:szCs w:val="22"/>
        </w:rPr>
        <w:t xml:space="preserve">According to art. 25 of this Law, land shall be given to those who are or who will become homeless due to evacuation of slums. </w:t>
      </w:r>
    </w:p>
    <w:p w14:paraId="380CDFF6" w14:textId="77777777" w:rsidR="001F1A56" w:rsidRPr="00652F75" w:rsidRDefault="001F1A56" w:rsidP="00564395">
      <w:pPr>
        <w:tabs>
          <w:tab w:val="left" w:pos="720"/>
        </w:tabs>
        <w:ind w:left="720" w:right="-1"/>
        <w:jc w:val="both"/>
        <w:rPr>
          <w:sz w:val="22"/>
          <w:szCs w:val="22"/>
        </w:rPr>
      </w:pPr>
    </w:p>
    <w:p w14:paraId="6E131F27" w14:textId="77777777" w:rsidR="00EE5BC7" w:rsidRPr="00652F75" w:rsidRDefault="00EE5BC7" w:rsidP="00564395">
      <w:pPr>
        <w:tabs>
          <w:tab w:val="left" w:pos="720"/>
        </w:tabs>
        <w:ind w:left="720" w:right="-1"/>
        <w:jc w:val="both"/>
        <w:rPr>
          <w:sz w:val="22"/>
          <w:szCs w:val="22"/>
        </w:rPr>
      </w:pPr>
    </w:p>
    <w:p w14:paraId="6E9EFCA6" w14:textId="77777777" w:rsidR="00044720" w:rsidRPr="00652F75" w:rsidRDefault="00044720" w:rsidP="006C7127">
      <w:pPr>
        <w:tabs>
          <w:tab w:val="left" w:pos="720"/>
        </w:tabs>
        <w:ind w:left="720" w:right="-1"/>
        <w:jc w:val="both"/>
        <w:rPr>
          <w:sz w:val="22"/>
          <w:szCs w:val="22"/>
        </w:rPr>
      </w:pPr>
    </w:p>
    <w:p w14:paraId="644F5248" w14:textId="77777777" w:rsidR="00044720" w:rsidRPr="00652F75" w:rsidRDefault="007C6BE9" w:rsidP="006C7127">
      <w:pPr>
        <w:tabs>
          <w:tab w:val="left" w:pos="720"/>
        </w:tabs>
        <w:ind w:left="720" w:right="-1"/>
        <w:jc w:val="both"/>
        <w:rPr>
          <w:sz w:val="22"/>
          <w:szCs w:val="22"/>
        </w:rPr>
      </w:pPr>
      <w:r w:rsidRPr="00652F75">
        <w:rPr>
          <w:sz w:val="22"/>
          <w:szCs w:val="22"/>
        </w:rPr>
        <w:t></w:t>
      </w:r>
      <w:r w:rsidRPr="00652F75">
        <w:rPr>
          <w:sz w:val="22"/>
          <w:szCs w:val="22"/>
        </w:rPr>
        <w:tab/>
      </w:r>
      <w:r w:rsidRPr="00652F75">
        <w:rPr>
          <w:i/>
          <w:sz w:val="22"/>
          <w:szCs w:val="22"/>
        </w:rPr>
        <w:t>Inter-governmental a</w:t>
      </w:r>
      <w:r w:rsidR="00044720" w:rsidRPr="00652F75">
        <w:rPr>
          <w:i/>
          <w:sz w:val="22"/>
          <w:szCs w:val="22"/>
        </w:rPr>
        <w:t xml:space="preserve">greement </w:t>
      </w:r>
    </w:p>
    <w:p w14:paraId="5214763D" w14:textId="77777777" w:rsidR="00044720" w:rsidRPr="00652F75" w:rsidRDefault="00E1681E" w:rsidP="004C5186">
      <w:pPr>
        <w:tabs>
          <w:tab w:val="left" w:pos="720"/>
        </w:tabs>
        <w:ind w:left="720" w:right="-1"/>
        <w:jc w:val="both"/>
        <w:rPr>
          <w:sz w:val="22"/>
          <w:szCs w:val="22"/>
        </w:rPr>
      </w:pPr>
      <w:r w:rsidRPr="00652F75">
        <w:rPr>
          <w:sz w:val="22"/>
          <w:szCs w:val="22"/>
        </w:rPr>
        <w:tab/>
      </w:r>
      <w:r w:rsidR="004C5186" w:rsidRPr="00652F75">
        <w:rPr>
          <w:sz w:val="22"/>
          <w:szCs w:val="22"/>
        </w:rPr>
        <w:t>-</w:t>
      </w:r>
    </w:p>
    <w:p w14:paraId="7608D314" w14:textId="77777777" w:rsidR="00EE5BC7" w:rsidRPr="00652F75" w:rsidRDefault="00EE5BC7" w:rsidP="004C5186">
      <w:pPr>
        <w:tabs>
          <w:tab w:val="left" w:pos="720"/>
        </w:tabs>
        <w:ind w:left="720" w:right="-1"/>
        <w:jc w:val="both"/>
        <w:rPr>
          <w:sz w:val="22"/>
          <w:szCs w:val="22"/>
        </w:rPr>
      </w:pPr>
    </w:p>
    <w:p w14:paraId="4B96AD10" w14:textId="77777777" w:rsidR="00413B4C" w:rsidRPr="00652F75" w:rsidRDefault="00413B4C" w:rsidP="008054FC">
      <w:pPr>
        <w:tabs>
          <w:tab w:val="left" w:pos="720"/>
        </w:tabs>
        <w:ind w:right="-1"/>
        <w:jc w:val="both"/>
        <w:rPr>
          <w:sz w:val="22"/>
          <w:szCs w:val="22"/>
        </w:rPr>
      </w:pPr>
    </w:p>
    <w:p w14:paraId="6E7A0FF5" w14:textId="77777777"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r>
      <w:proofErr w:type="gramStart"/>
      <w:r w:rsidRPr="00652F75">
        <w:rPr>
          <w:i/>
          <w:sz w:val="22"/>
          <w:szCs w:val="22"/>
        </w:rPr>
        <w:t>Other</w:t>
      </w:r>
      <w:proofErr w:type="gramEnd"/>
      <w:r w:rsidRPr="00652F75">
        <w:rPr>
          <w:i/>
          <w:sz w:val="22"/>
          <w:szCs w:val="22"/>
        </w:rPr>
        <w:t xml:space="preserve"> – Please explain</w:t>
      </w:r>
    </w:p>
    <w:p w14:paraId="5BC31F57" w14:textId="77777777" w:rsidR="004C5186" w:rsidRPr="00652F75" w:rsidRDefault="004C5186" w:rsidP="006C7127">
      <w:pPr>
        <w:tabs>
          <w:tab w:val="left" w:pos="720"/>
        </w:tabs>
        <w:ind w:left="720" w:right="-1"/>
        <w:jc w:val="both"/>
        <w:rPr>
          <w:sz w:val="22"/>
          <w:szCs w:val="22"/>
        </w:rPr>
      </w:pPr>
      <w:r w:rsidRPr="00652F75">
        <w:rPr>
          <w:sz w:val="22"/>
          <w:szCs w:val="22"/>
        </w:rPr>
        <w:tab/>
        <w:t>-</w:t>
      </w:r>
    </w:p>
    <w:p w14:paraId="679637D3" w14:textId="77777777" w:rsidR="004C5186" w:rsidRPr="00652F75" w:rsidRDefault="004C5186" w:rsidP="006C7127">
      <w:pPr>
        <w:tabs>
          <w:tab w:val="left" w:pos="720"/>
        </w:tabs>
        <w:ind w:left="720" w:right="-1"/>
        <w:jc w:val="both"/>
        <w:rPr>
          <w:sz w:val="22"/>
          <w:szCs w:val="22"/>
        </w:rPr>
      </w:pPr>
    </w:p>
    <w:p w14:paraId="08E89716" w14:textId="77777777" w:rsidR="00490B93" w:rsidRPr="00652F75" w:rsidRDefault="00490B93" w:rsidP="006C7127">
      <w:pPr>
        <w:tabs>
          <w:tab w:val="left" w:pos="720"/>
        </w:tabs>
        <w:ind w:left="720" w:right="-1"/>
        <w:jc w:val="both"/>
        <w:rPr>
          <w:sz w:val="22"/>
          <w:szCs w:val="22"/>
        </w:rPr>
      </w:pPr>
    </w:p>
    <w:p w14:paraId="5DF8DD04" w14:textId="77777777" w:rsidR="00EE5BC7" w:rsidRPr="00652F75" w:rsidRDefault="00EE5BC7" w:rsidP="006C7127">
      <w:pPr>
        <w:tabs>
          <w:tab w:val="left" w:pos="720"/>
        </w:tabs>
        <w:ind w:left="720" w:right="-1"/>
        <w:jc w:val="both"/>
        <w:rPr>
          <w:sz w:val="22"/>
          <w:szCs w:val="22"/>
        </w:rPr>
      </w:pPr>
    </w:p>
    <w:p w14:paraId="2F43BADF" w14:textId="77777777" w:rsidR="00AF7D70" w:rsidRPr="00652F75" w:rsidRDefault="00044720" w:rsidP="003D0CCC">
      <w:pPr>
        <w:numPr>
          <w:ilvl w:val="0"/>
          <w:numId w:val="4"/>
        </w:numPr>
        <w:tabs>
          <w:tab w:val="left" w:pos="720"/>
        </w:tabs>
        <w:ind w:right="-1"/>
        <w:jc w:val="both"/>
        <w:rPr>
          <w:b/>
          <w:i/>
          <w:sz w:val="22"/>
          <w:szCs w:val="22"/>
        </w:rPr>
      </w:pPr>
      <w:r w:rsidRPr="00652F75">
        <w:rPr>
          <w:b/>
          <w:i/>
          <w:sz w:val="22"/>
          <w:szCs w:val="22"/>
        </w:rPr>
        <w:t xml:space="preserve">What role </w:t>
      </w:r>
      <w:r w:rsidR="00A75F7C" w:rsidRPr="00652F75">
        <w:rPr>
          <w:b/>
          <w:i/>
          <w:sz w:val="22"/>
          <w:szCs w:val="22"/>
        </w:rPr>
        <w:t xml:space="preserve">does the </w:t>
      </w:r>
      <w:r w:rsidRPr="00652F75">
        <w:rPr>
          <w:b/>
          <w:i/>
          <w:sz w:val="22"/>
          <w:szCs w:val="22"/>
        </w:rPr>
        <w:t xml:space="preserve">national level government </w:t>
      </w:r>
      <w:r w:rsidR="00A75F7C" w:rsidRPr="00652F75">
        <w:rPr>
          <w:b/>
          <w:i/>
          <w:sz w:val="22"/>
          <w:szCs w:val="22"/>
        </w:rPr>
        <w:t xml:space="preserve">play </w:t>
      </w:r>
      <w:r w:rsidRPr="00652F75">
        <w:rPr>
          <w:b/>
          <w:i/>
          <w:sz w:val="22"/>
          <w:szCs w:val="22"/>
        </w:rPr>
        <w:t>in relation to housing and related programs</w:t>
      </w:r>
      <w:r w:rsidR="00F45B22" w:rsidRPr="00652F75">
        <w:rPr>
          <w:b/>
          <w:i/>
          <w:sz w:val="22"/>
          <w:szCs w:val="22"/>
        </w:rPr>
        <w:t>? H</w:t>
      </w:r>
      <w:r w:rsidR="00A75F7C" w:rsidRPr="00652F75">
        <w:rPr>
          <w:b/>
          <w:i/>
          <w:sz w:val="22"/>
          <w:szCs w:val="22"/>
        </w:rPr>
        <w:t xml:space="preserve">ow is </w:t>
      </w:r>
      <w:r w:rsidRPr="00652F75">
        <w:rPr>
          <w:b/>
          <w:i/>
          <w:sz w:val="22"/>
          <w:szCs w:val="22"/>
        </w:rPr>
        <w:t>compliance with the right to adequate housing</w:t>
      </w:r>
      <w:r w:rsidR="00A75F7C" w:rsidRPr="00652F75">
        <w:rPr>
          <w:b/>
          <w:i/>
          <w:sz w:val="22"/>
          <w:szCs w:val="22"/>
        </w:rPr>
        <w:t xml:space="preserve"> structured</w:t>
      </w:r>
      <w:r w:rsidR="00F45B22" w:rsidRPr="00652F75">
        <w:rPr>
          <w:b/>
          <w:i/>
          <w:sz w:val="22"/>
          <w:szCs w:val="22"/>
        </w:rPr>
        <w:t xml:space="preserve"> between the national and sub-national levels</w:t>
      </w:r>
      <w:r w:rsidR="00A75F7C" w:rsidRPr="00652F75">
        <w:rPr>
          <w:b/>
          <w:i/>
          <w:sz w:val="22"/>
          <w:szCs w:val="22"/>
        </w:rPr>
        <w:t>?</w:t>
      </w:r>
      <w:r w:rsidRPr="00652F75">
        <w:rPr>
          <w:b/>
          <w:i/>
          <w:sz w:val="22"/>
          <w:szCs w:val="22"/>
        </w:rPr>
        <w:t xml:space="preserve"> </w:t>
      </w:r>
      <w:r w:rsidR="00F45B22" w:rsidRPr="00652F75">
        <w:rPr>
          <w:b/>
          <w:i/>
          <w:sz w:val="22"/>
          <w:szCs w:val="22"/>
        </w:rPr>
        <w:t xml:space="preserve"> If possible please kindly </w:t>
      </w:r>
      <w:r w:rsidR="00F45B22" w:rsidRPr="00652F75">
        <w:rPr>
          <w:b/>
          <w:i/>
          <w:sz w:val="22"/>
          <w:szCs w:val="22"/>
        </w:rPr>
        <w:lastRenderedPageBreak/>
        <w:t xml:space="preserve">provide concrete examples of how these roles and compliance mechanisms are operationalized. </w:t>
      </w:r>
    </w:p>
    <w:p w14:paraId="5464BD60" w14:textId="77777777" w:rsidR="00D27487" w:rsidRPr="00652F75" w:rsidRDefault="00D27487" w:rsidP="00243422">
      <w:pPr>
        <w:tabs>
          <w:tab w:val="left" w:pos="720"/>
        </w:tabs>
        <w:ind w:right="-1"/>
        <w:jc w:val="both"/>
        <w:rPr>
          <w:sz w:val="22"/>
          <w:szCs w:val="22"/>
        </w:rPr>
      </w:pPr>
    </w:p>
    <w:p w14:paraId="37C1E6D7" w14:textId="16D0D35E" w:rsidR="00651AC4" w:rsidRPr="00652F75" w:rsidRDefault="003221BD" w:rsidP="006E534A">
      <w:pPr>
        <w:tabs>
          <w:tab w:val="left" w:pos="720"/>
        </w:tabs>
        <w:ind w:left="1080" w:right="-1"/>
        <w:jc w:val="both"/>
        <w:rPr>
          <w:sz w:val="22"/>
          <w:szCs w:val="22"/>
        </w:rPr>
      </w:pPr>
      <w:r>
        <w:rPr>
          <w:sz w:val="22"/>
          <w:szCs w:val="22"/>
        </w:rPr>
        <w:t>TOKI</w:t>
      </w:r>
      <w:r w:rsidR="00297AE4" w:rsidRPr="00652F75">
        <w:rPr>
          <w:sz w:val="22"/>
          <w:szCs w:val="22"/>
        </w:rPr>
        <w:t xml:space="preserve">, which </w:t>
      </w:r>
      <w:r w:rsidR="00490B93" w:rsidRPr="00652F75">
        <w:rPr>
          <w:sz w:val="22"/>
          <w:szCs w:val="22"/>
        </w:rPr>
        <w:t>reports direct</w:t>
      </w:r>
      <w:r w:rsidR="00297AE4" w:rsidRPr="00652F75">
        <w:rPr>
          <w:sz w:val="22"/>
          <w:szCs w:val="22"/>
        </w:rPr>
        <w:t xml:space="preserve">ly to the Prime Minister and </w:t>
      </w:r>
      <w:r w:rsidR="00C81713" w:rsidRPr="00652F75">
        <w:rPr>
          <w:sz w:val="22"/>
          <w:szCs w:val="22"/>
        </w:rPr>
        <w:t xml:space="preserve">is in </w:t>
      </w:r>
      <w:r w:rsidR="00490B93" w:rsidRPr="00652F75">
        <w:rPr>
          <w:sz w:val="22"/>
          <w:szCs w:val="22"/>
        </w:rPr>
        <w:t>charg</w:t>
      </w:r>
      <w:r w:rsidR="00C81713" w:rsidRPr="00652F75">
        <w:rPr>
          <w:sz w:val="22"/>
          <w:szCs w:val="22"/>
        </w:rPr>
        <w:t>e</w:t>
      </w:r>
      <w:r w:rsidR="00490B93" w:rsidRPr="00652F75">
        <w:rPr>
          <w:sz w:val="22"/>
          <w:szCs w:val="22"/>
        </w:rPr>
        <w:t xml:space="preserve"> </w:t>
      </w:r>
      <w:r w:rsidR="00C81713" w:rsidRPr="00652F75">
        <w:rPr>
          <w:sz w:val="22"/>
          <w:szCs w:val="22"/>
        </w:rPr>
        <w:t xml:space="preserve">of </w:t>
      </w:r>
      <w:r w:rsidR="00490B93" w:rsidRPr="00652F75">
        <w:rPr>
          <w:sz w:val="22"/>
          <w:szCs w:val="22"/>
        </w:rPr>
        <w:t>delivering affordable mass housing</w:t>
      </w:r>
      <w:r w:rsidR="00413B4C" w:rsidRPr="00652F75">
        <w:rPr>
          <w:sz w:val="22"/>
          <w:szCs w:val="22"/>
        </w:rPr>
        <w:t xml:space="preserve"> in the country</w:t>
      </w:r>
      <w:r w:rsidR="00297AE4" w:rsidRPr="00652F75">
        <w:rPr>
          <w:sz w:val="22"/>
          <w:szCs w:val="22"/>
        </w:rPr>
        <w:t xml:space="preserve"> is the main institution </w:t>
      </w:r>
      <w:r w:rsidR="009B56AF" w:rsidRPr="00652F75">
        <w:rPr>
          <w:sz w:val="22"/>
          <w:szCs w:val="22"/>
        </w:rPr>
        <w:t>at</w:t>
      </w:r>
      <w:r w:rsidR="00297AE4" w:rsidRPr="00652F75">
        <w:rPr>
          <w:sz w:val="22"/>
          <w:szCs w:val="22"/>
        </w:rPr>
        <w:t xml:space="preserve"> national level that deals with the issue of housing.</w:t>
      </w:r>
      <w:r w:rsidR="006E534A" w:rsidRPr="00652F75">
        <w:rPr>
          <w:sz w:val="22"/>
          <w:szCs w:val="22"/>
        </w:rPr>
        <w:t xml:space="preserve"> The Mass Housing Law </w:t>
      </w:r>
      <w:r w:rsidR="009B56AF" w:rsidRPr="00652F75">
        <w:rPr>
          <w:sz w:val="22"/>
          <w:szCs w:val="22"/>
        </w:rPr>
        <w:t xml:space="preserve">No. </w:t>
      </w:r>
      <w:r w:rsidR="006E534A" w:rsidRPr="00652F75">
        <w:rPr>
          <w:sz w:val="22"/>
          <w:szCs w:val="22"/>
        </w:rPr>
        <w:t xml:space="preserve">2985 establishes the process of transformation of slum areas and determines the task of </w:t>
      </w:r>
      <w:r>
        <w:rPr>
          <w:sz w:val="22"/>
          <w:szCs w:val="22"/>
        </w:rPr>
        <w:t>TOKI</w:t>
      </w:r>
      <w:r w:rsidR="006E534A" w:rsidRPr="00652F75">
        <w:rPr>
          <w:sz w:val="22"/>
          <w:szCs w:val="22"/>
        </w:rPr>
        <w:t>.</w:t>
      </w:r>
      <w:r w:rsidR="00297AE4" w:rsidRPr="00652F75">
        <w:rPr>
          <w:sz w:val="22"/>
          <w:szCs w:val="22"/>
        </w:rPr>
        <w:t xml:space="preserve"> </w:t>
      </w:r>
      <w:r>
        <w:rPr>
          <w:sz w:val="22"/>
          <w:szCs w:val="22"/>
        </w:rPr>
        <w:t>TOKI</w:t>
      </w:r>
      <w:r w:rsidR="006E534A" w:rsidRPr="00652F75">
        <w:rPr>
          <w:sz w:val="22"/>
          <w:szCs w:val="22"/>
        </w:rPr>
        <w:t xml:space="preserve"> has the power to form </w:t>
      </w:r>
      <w:r w:rsidR="00651AC4" w:rsidRPr="00652F75">
        <w:rPr>
          <w:sz w:val="22"/>
          <w:szCs w:val="22"/>
        </w:rPr>
        <w:t>partnerships with private construction companies</w:t>
      </w:r>
      <w:r w:rsidR="006E534A" w:rsidRPr="00652F75">
        <w:rPr>
          <w:sz w:val="22"/>
          <w:szCs w:val="22"/>
        </w:rPr>
        <w:t>;</w:t>
      </w:r>
      <w:r w:rsidR="00651AC4" w:rsidRPr="00652F75">
        <w:rPr>
          <w:sz w:val="22"/>
          <w:szCs w:val="22"/>
        </w:rPr>
        <w:t xml:space="preserve"> and </w:t>
      </w:r>
      <w:r w:rsidR="00B04624" w:rsidRPr="00652F75">
        <w:rPr>
          <w:sz w:val="22"/>
          <w:szCs w:val="22"/>
        </w:rPr>
        <w:t>takes part</w:t>
      </w:r>
      <w:r w:rsidR="00651AC4" w:rsidRPr="00652F75">
        <w:rPr>
          <w:sz w:val="22"/>
          <w:szCs w:val="22"/>
        </w:rPr>
        <w:t xml:space="preserve"> in the construction and selling of houses for profit</w:t>
      </w:r>
      <w:r w:rsidR="006E534A" w:rsidRPr="00652F75">
        <w:rPr>
          <w:sz w:val="22"/>
          <w:szCs w:val="22"/>
        </w:rPr>
        <w:t xml:space="preserve">; </w:t>
      </w:r>
      <w:r w:rsidR="00C81713" w:rsidRPr="00652F75">
        <w:rPr>
          <w:sz w:val="22"/>
          <w:szCs w:val="22"/>
        </w:rPr>
        <w:t xml:space="preserve">is </w:t>
      </w:r>
      <w:r w:rsidR="00651AC4" w:rsidRPr="00652F75">
        <w:rPr>
          <w:sz w:val="22"/>
          <w:szCs w:val="22"/>
        </w:rPr>
        <w:t xml:space="preserve">able to take over state urban land at no cost with the approval of </w:t>
      </w:r>
      <w:r w:rsidR="0098112E" w:rsidRPr="00652F75">
        <w:rPr>
          <w:sz w:val="22"/>
          <w:szCs w:val="22"/>
        </w:rPr>
        <w:t>P</w:t>
      </w:r>
      <w:r w:rsidR="00651AC4" w:rsidRPr="00652F75">
        <w:rPr>
          <w:sz w:val="22"/>
          <w:szCs w:val="22"/>
        </w:rPr>
        <w:t xml:space="preserve">rime </w:t>
      </w:r>
      <w:r w:rsidR="0098112E" w:rsidRPr="00652F75">
        <w:rPr>
          <w:sz w:val="22"/>
          <w:szCs w:val="22"/>
        </w:rPr>
        <w:t>M</w:t>
      </w:r>
      <w:r w:rsidR="00651AC4" w:rsidRPr="00652F75">
        <w:rPr>
          <w:sz w:val="22"/>
          <w:szCs w:val="22"/>
        </w:rPr>
        <w:t xml:space="preserve">inistry and the </w:t>
      </w:r>
      <w:r w:rsidR="0098112E" w:rsidRPr="00652F75">
        <w:rPr>
          <w:sz w:val="22"/>
          <w:szCs w:val="22"/>
        </w:rPr>
        <w:t>P</w:t>
      </w:r>
      <w:r w:rsidR="00651AC4" w:rsidRPr="00652F75">
        <w:rPr>
          <w:sz w:val="22"/>
          <w:szCs w:val="22"/>
        </w:rPr>
        <w:t>resident</w:t>
      </w:r>
      <w:r w:rsidR="00C81713" w:rsidRPr="00652F75">
        <w:rPr>
          <w:sz w:val="22"/>
          <w:szCs w:val="22"/>
        </w:rPr>
        <w:t>’</w:t>
      </w:r>
      <w:r w:rsidR="00651AC4" w:rsidRPr="00652F75">
        <w:rPr>
          <w:sz w:val="22"/>
          <w:szCs w:val="22"/>
        </w:rPr>
        <w:t xml:space="preserve">s </w:t>
      </w:r>
      <w:r w:rsidR="0098112E" w:rsidRPr="00652F75">
        <w:rPr>
          <w:sz w:val="22"/>
          <w:szCs w:val="22"/>
        </w:rPr>
        <w:t>O</w:t>
      </w:r>
      <w:r w:rsidR="00651AC4" w:rsidRPr="00652F75">
        <w:rPr>
          <w:sz w:val="22"/>
          <w:szCs w:val="22"/>
        </w:rPr>
        <w:t xml:space="preserve">ffice; </w:t>
      </w:r>
      <w:r w:rsidR="006E534A" w:rsidRPr="00652F75">
        <w:rPr>
          <w:sz w:val="22"/>
          <w:szCs w:val="22"/>
        </w:rPr>
        <w:t>expropriate</w:t>
      </w:r>
      <w:r w:rsidR="00C81713" w:rsidRPr="00652F75">
        <w:rPr>
          <w:sz w:val="22"/>
          <w:szCs w:val="22"/>
        </w:rPr>
        <w:t>s</w:t>
      </w:r>
      <w:r w:rsidR="00651AC4" w:rsidRPr="00652F75">
        <w:rPr>
          <w:sz w:val="22"/>
          <w:szCs w:val="22"/>
        </w:rPr>
        <w:t xml:space="preserve"> urban land to construct housing projects and </w:t>
      </w:r>
      <w:r w:rsidR="006E534A" w:rsidRPr="00652F75">
        <w:rPr>
          <w:sz w:val="22"/>
          <w:szCs w:val="22"/>
        </w:rPr>
        <w:t>to develop</w:t>
      </w:r>
      <w:r w:rsidR="00651AC4" w:rsidRPr="00652F75">
        <w:rPr>
          <w:sz w:val="22"/>
          <w:szCs w:val="22"/>
        </w:rPr>
        <w:t xml:space="preserve"> and implement </w:t>
      </w:r>
      <w:r w:rsidR="006E534A" w:rsidRPr="00652F75">
        <w:rPr>
          <w:sz w:val="22"/>
          <w:szCs w:val="22"/>
        </w:rPr>
        <w:t>squatter house</w:t>
      </w:r>
      <w:r w:rsidR="00651AC4" w:rsidRPr="00652F75">
        <w:rPr>
          <w:sz w:val="22"/>
          <w:szCs w:val="22"/>
        </w:rPr>
        <w:t xml:space="preserve"> transformation projects.  </w:t>
      </w:r>
    </w:p>
    <w:p w14:paraId="24C18D37" w14:textId="77777777" w:rsidR="00651AC4" w:rsidRPr="00652F75" w:rsidRDefault="00651AC4" w:rsidP="004B7A67">
      <w:pPr>
        <w:tabs>
          <w:tab w:val="left" w:pos="720"/>
        </w:tabs>
        <w:ind w:left="1080" w:right="-1"/>
        <w:jc w:val="both"/>
        <w:rPr>
          <w:sz w:val="22"/>
          <w:szCs w:val="22"/>
        </w:rPr>
      </w:pPr>
    </w:p>
    <w:p w14:paraId="305338EB" w14:textId="29DA638D" w:rsidR="00F84687" w:rsidRPr="00652F75" w:rsidRDefault="004E035E" w:rsidP="004B7A67">
      <w:pPr>
        <w:tabs>
          <w:tab w:val="left" w:pos="720"/>
        </w:tabs>
        <w:ind w:left="1080" w:right="-1"/>
        <w:jc w:val="both"/>
        <w:rPr>
          <w:sz w:val="22"/>
          <w:szCs w:val="22"/>
        </w:rPr>
      </w:pPr>
      <w:r w:rsidRPr="00652F75">
        <w:rPr>
          <w:sz w:val="22"/>
          <w:szCs w:val="22"/>
        </w:rPr>
        <w:t xml:space="preserve">The Municipal Law </w:t>
      </w:r>
      <w:r w:rsidR="009B56AF" w:rsidRPr="00652F75">
        <w:rPr>
          <w:sz w:val="22"/>
          <w:szCs w:val="22"/>
        </w:rPr>
        <w:t xml:space="preserve">No. </w:t>
      </w:r>
      <w:r w:rsidRPr="00652F75">
        <w:rPr>
          <w:sz w:val="22"/>
          <w:szCs w:val="22"/>
        </w:rPr>
        <w:t xml:space="preserve">5393 </w:t>
      </w:r>
      <w:r w:rsidR="009A7B78" w:rsidRPr="00652F75">
        <w:rPr>
          <w:sz w:val="22"/>
          <w:szCs w:val="22"/>
        </w:rPr>
        <w:t xml:space="preserve">confers </w:t>
      </w:r>
      <w:r w:rsidRPr="00652F75">
        <w:rPr>
          <w:sz w:val="22"/>
          <w:szCs w:val="22"/>
        </w:rPr>
        <w:t>responsibilit</w:t>
      </w:r>
      <w:r w:rsidR="009A7B78" w:rsidRPr="00652F75">
        <w:rPr>
          <w:sz w:val="22"/>
          <w:szCs w:val="22"/>
        </w:rPr>
        <w:t>ies</w:t>
      </w:r>
      <w:r w:rsidRPr="00652F75">
        <w:rPr>
          <w:sz w:val="22"/>
          <w:szCs w:val="22"/>
        </w:rPr>
        <w:t xml:space="preserve"> </w:t>
      </w:r>
      <w:r w:rsidR="009A7B78" w:rsidRPr="00652F75">
        <w:rPr>
          <w:sz w:val="22"/>
          <w:szCs w:val="22"/>
        </w:rPr>
        <w:t>regarding</w:t>
      </w:r>
      <w:r w:rsidRPr="00652F75">
        <w:rPr>
          <w:sz w:val="22"/>
          <w:szCs w:val="22"/>
        </w:rPr>
        <w:t xml:space="preserve"> urbanization and development projec</w:t>
      </w:r>
      <w:r w:rsidR="009C64EF" w:rsidRPr="00652F75">
        <w:rPr>
          <w:sz w:val="22"/>
          <w:szCs w:val="22"/>
        </w:rPr>
        <w:t xml:space="preserve">ts to municipalities and </w:t>
      </w:r>
      <w:r w:rsidR="003221BD">
        <w:rPr>
          <w:sz w:val="22"/>
          <w:szCs w:val="22"/>
        </w:rPr>
        <w:t>TOKI</w:t>
      </w:r>
      <w:r w:rsidR="009C64EF" w:rsidRPr="00652F75">
        <w:rPr>
          <w:sz w:val="22"/>
          <w:szCs w:val="22"/>
        </w:rPr>
        <w:t xml:space="preserve">. </w:t>
      </w:r>
      <w:r w:rsidR="00F84687" w:rsidRPr="00652F75">
        <w:rPr>
          <w:sz w:val="22"/>
          <w:szCs w:val="22"/>
        </w:rPr>
        <w:t xml:space="preserve"> </w:t>
      </w:r>
      <w:r w:rsidR="00A70103" w:rsidRPr="00652F75">
        <w:rPr>
          <w:sz w:val="22"/>
          <w:szCs w:val="22"/>
        </w:rPr>
        <w:t>Examples can be gi</w:t>
      </w:r>
      <w:r w:rsidR="004512BC" w:rsidRPr="00652F75">
        <w:rPr>
          <w:sz w:val="22"/>
          <w:szCs w:val="22"/>
        </w:rPr>
        <w:t xml:space="preserve">ven as </w:t>
      </w:r>
      <w:proofErr w:type="spellStart"/>
      <w:r w:rsidR="004512BC" w:rsidRPr="00652F75">
        <w:rPr>
          <w:sz w:val="22"/>
          <w:szCs w:val="22"/>
        </w:rPr>
        <w:t>Sulukule</w:t>
      </w:r>
      <w:proofErr w:type="spellEnd"/>
      <w:r w:rsidR="004512BC" w:rsidRPr="00652F75">
        <w:rPr>
          <w:sz w:val="22"/>
          <w:szCs w:val="22"/>
        </w:rPr>
        <w:t xml:space="preserve">, </w:t>
      </w:r>
      <w:proofErr w:type="spellStart"/>
      <w:r w:rsidR="004512BC" w:rsidRPr="00652F75">
        <w:rPr>
          <w:sz w:val="22"/>
          <w:szCs w:val="22"/>
        </w:rPr>
        <w:t>Fener-Balat</w:t>
      </w:r>
      <w:proofErr w:type="spellEnd"/>
      <w:r w:rsidR="004512BC" w:rsidRPr="00652F75">
        <w:rPr>
          <w:sz w:val="22"/>
          <w:szCs w:val="22"/>
        </w:rPr>
        <w:t>,</w:t>
      </w:r>
      <w:r w:rsidR="003221BD">
        <w:rPr>
          <w:sz w:val="22"/>
          <w:szCs w:val="22"/>
        </w:rPr>
        <w:t xml:space="preserve"> </w:t>
      </w:r>
      <w:proofErr w:type="spellStart"/>
      <w:r w:rsidR="003221BD">
        <w:rPr>
          <w:sz w:val="22"/>
          <w:szCs w:val="22"/>
        </w:rPr>
        <w:t>Tarlabasi</w:t>
      </w:r>
      <w:proofErr w:type="spellEnd"/>
      <w:r w:rsidR="00365B34" w:rsidRPr="00652F75">
        <w:rPr>
          <w:sz w:val="22"/>
          <w:szCs w:val="22"/>
        </w:rPr>
        <w:t xml:space="preserve"> and</w:t>
      </w:r>
      <w:r w:rsidR="004512BC" w:rsidRPr="00652F75">
        <w:rPr>
          <w:sz w:val="22"/>
          <w:szCs w:val="22"/>
        </w:rPr>
        <w:t xml:space="preserve"> </w:t>
      </w:r>
      <w:proofErr w:type="spellStart"/>
      <w:r w:rsidR="004512BC" w:rsidRPr="00652F75">
        <w:rPr>
          <w:sz w:val="22"/>
          <w:szCs w:val="22"/>
        </w:rPr>
        <w:t>Tozkoparan</w:t>
      </w:r>
      <w:proofErr w:type="spellEnd"/>
      <w:r w:rsidR="004512BC" w:rsidRPr="00652F75">
        <w:rPr>
          <w:sz w:val="22"/>
          <w:szCs w:val="22"/>
        </w:rPr>
        <w:t xml:space="preserve"> from Istanbul.</w:t>
      </w:r>
      <w:r w:rsidR="00C81713" w:rsidRPr="00652F75">
        <w:rPr>
          <w:rStyle w:val="FootnoteReference"/>
          <w:sz w:val="22"/>
          <w:szCs w:val="22"/>
        </w:rPr>
        <w:footnoteReference w:id="11"/>
      </w:r>
      <w:r w:rsidR="004512BC" w:rsidRPr="00652F75">
        <w:rPr>
          <w:sz w:val="22"/>
          <w:szCs w:val="22"/>
        </w:rPr>
        <w:t xml:space="preserve"> </w:t>
      </w:r>
    </w:p>
    <w:p w14:paraId="03BB6338" w14:textId="77777777" w:rsidR="00F84687" w:rsidRPr="00652F75" w:rsidRDefault="00F84687" w:rsidP="00F84687">
      <w:pPr>
        <w:tabs>
          <w:tab w:val="left" w:pos="720"/>
        </w:tabs>
        <w:ind w:left="1080" w:right="-1"/>
        <w:jc w:val="both"/>
        <w:rPr>
          <w:sz w:val="22"/>
          <w:szCs w:val="22"/>
        </w:rPr>
      </w:pPr>
    </w:p>
    <w:p w14:paraId="0BDF1B7C" w14:textId="77777777" w:rsidR="00413B4C" w:rsidRPr="00652F75" w:rsidRDefault="00413B4C" w:rsidP="00AF7D70">
      <w:pPr>
        <w:tabs>
          <w:tab w:val="left" w:pos="720"/>
        </w:tabs>
        <w:ind w:left="720" w:right="-1"/>
        <w:jc w:val="both"/>
        <w:rPr>
          <w:sz w:val="22"/>
          <w:szCs w:val="22"/>
        </w:rPr>
      </w:pPr>
    </w:p>
    <w:p w14:paraId="092E222B" w14:textId="77777777" w:rsidR="00E50D20" w:rsidRPr="00652F75" w:rsidRDefault="00D20550" w:rsidP="003D0CCC">
      <w:pPr>
        <w:numPr>
          <w:ilvl w:val="0"/>
          <w:numId w:val="4"/>
        </w:numPr>
        <w:tabs>
          <w:tab w:val="left" w:pos="720"/>
        </w:tabs>
        <w:ind w:right="-1"/>
        <w:jc w:val="both"/>
        <w:rPr>
          <w:b/>
          <w:i/>
          <w:sz w:val="22"/>
          <w:szCs w:val="22"/>
        </w:rPr>
      </w:pPr>
      <w:r w:rsidRPr="00652F75">
        <w:rPr>
          <w:b/>
          <w:i/>
          <w:sz w:val="22"/>
          <w:szCs w:val="22"/>
        </w:rPr>
        <w:t xml:space="preserve">Where sub-national governments hold key responsibilities in relation to the right to adequate housing, </w:t>
      </w:r>
      <w:r w:rsidR="00F856A6" w:rsidRPr="00652F75">
        <w:rPr>
          <w:b/>
          <w:i/>
          <w:sz w:val="22"/>
          <w:szCs w:val="22"/>
        </w:rPr>
        <w:t>please describe how programs and policies are</w:t>
      </w:r>
      <w:r w:rsidRPr="00652F75">
        <w:rPr>
          <w:b/>
          <w:i/>
          <w:sz w:val="22"/>
          <w:szCs w:val="22"/>
        </w:rPr>
        <w:t xml:space="preserve"> co-ordinated </w:t>
      </w:r>
      <w:r w:rsidR="00E50D20" w:rsidRPr="00652F75">
        <w:rPr>
          <w:b/>
          <w:i/>
          <w:sz w:val="22"/>
          <w:szCs w:val="22"/>
        </w:rPr>
        <w:t xml:space="preserve">nationally </w:t>
      </w:r>
      <w:r w:rsidRPr="00652F75">
        <w:rPr>
          <w:b/>
          <w:i/>
          <w:sz w:val="22"/>
          <w:szCs w:val="22"/>
        </w:rPr>
        <w:t>and what responsibilities remain with national level institutions</w:t>
      </w:r>
      <w:r w:rsidR="00504D32" w:rsidRPr="00652F75">
        <w:rPr>
          <w:b/>
          <w:i/>
          <w:sz w:val="22"/>
          <w:szCs w:val="22"/>
        </w:rPr>
        <w:t xml:space="preserve">. </w:t>
      </w:r>
    </w:p>
    <w:p w14:paraId="49E16EFD" w14:textId="77777777" w:rsidR="005066F6" w:rsidRPr="00652F75" w:rsidRDefault="005066F6" w:rsidP="005066F6">
      <w:pPr>
        <w:tabs>
          <w:tab w:val="left" w:pos="720"/>
        </w:tabs>
        <w:ind w:left="1080" w:right="-1"/>
        <w:jc w:val="both"/>
        <w:rPr>
          <w:sz w:val="22"/>
          <w:szCs w:val="22"/>
        </w:rPr>
      </w:pPr>
    </w:p>
    <w:p w14:paraId="686BAF8F" w14:textId="10E3FB62" w:rsidR="002816AC" w:rsidRPr="00652F75" w:rsidRDefault="00F84687" w:rsidP="002816AC">
      <w:pPr>
        <w:ind w:left="1080"/>
        <w:jc w:val="both"/>
        <w:rPr>
          <w:sz w:val="22"/>
          <w:szCs w:val="22"/>
        </w:rPr>
      </w:pPr>
      <w:r w:rsidRPr="00652F75">
        <w:rPr>
          <w:sz w:val="22"/>
          <w:szCs w:val="22"/>
        </w:rPr>
        <w:t xml:space="preserve">The Municipal Law </w:t>
      </w:r>
      <w:r w:rsidR="009B56AF" w:rsidRPr="00652F75">
        <w:rPr>
          <w:sz w:val="22"/>
          <w:szCs w:val="22"/>
        </w:rPr>
        <w:t xml:space="preserve">No. </w:t>
      </w:r>
      <w:r w:rsidRPr="00652F75">
        <w:rPr>
          <w:sz w:val="22"/>
          <w:szCs w:val="22"/>
        </w:rPr>
        <w:t xml:space="preserve">5393 enables the municipalities to form partnership with </w:t>
      </w:r>
      <w:r w:rsidR="003221BD">
        <w:rPr>
          <w:sz w:val="22"/>
          <w:szCs w:val="22"/>
        </w:rPr>
        <w:t>TOKI</w:t>
      </w:r>
      <w:r w:rsidRPr="00652F75">
        <w:rPr>
          <w:sz w:val="22"/>
          <w:szCs w:val="22"/>
        </w:rPr>
        <w:t xml:space="preserve"> to undertake urban transformation projects; the municipalities select the land, </w:t>
      </w:r>
      <w:r w:rsidR="003221BD">
        <w:rPr>
          <w:sz w:val="22"/>
          <w:szCs w:val="22"/>
        </w:rPr>
        <w:t>TOKI</w:t>
      </w:r>
      <w:r w:rsidRPr="00652F75">
        <w:rPr>
          <w:sz w:val="22"/>
          <w:szCs w:val="22"/>
        </w:rPr>
        <w:t xml:space="preserve"> undertakes the construction. </w:t>
      </w:r>
      <w:r w:rsidR="000B43F3" w:rsidRPr="00652F75">
        <w:rPr>
          <w:sz w:val="22"/>
          <w:szCs w:val="22"/>
        </w:rPr>
        <w:t xml:space="preserve">Thus both municipalities and </w:t>
      </w:r>
      <w:r w:rsidR="003221BD">
        <w:rPr>
          <w:sz w:val="22"/>
          <w:szCs w:val="22"/>
        </w:rPr>
        <w:t>TOKI</w:t>
      </w:r>
      <w:r w:rsidR="000B43F3" w:rsidRPr="00652F75">
        <w:rPr>
          <w:sz w:val="22"/>
          <w:szCs w:val="22"/>
        </w:rPr>
        <w:t xml:space="preserve"> play a crucial role and they cooperate </w:t>
      </w:r>
      <w:r w:rsidR="00E51CBC" w:rsidRPr="00652F75">
        <w:rPr>
          <w:sz w:val="22"/>
          <w:szCs w:val="22"/>
        </w:rPr>
        <w:t xml:space="preserve">with each other </w:t>
      </w:r>
      <w:r w:rsidR="000B43F3" w:rsidRPr="00652F75">
        <w:rPr>
          <w:sz w:val="22"/>
          <w:szCs w:val="22"/>
        </w:rPr>
        <w:t xml:space="preserve">closely in relation to housing in the country. </w:t>
      </w:r>
      <w:r w:rsidR="001F1A56" w:rsidRPr="00652F75">
        <w:rPr>
          <w:sz w:val="22"/>
          <w:szCs w:val="22"/>
        </w:rPr>
        <w:t xml:space="preserve">Slum Houses Law No. 755 also requires cooperation between municipalities and </w:t>
      </w:r>
      <w:r w:rsidR="003221BD">
        <w:rPr>
          <w:sz w:val="22"/>
          <w:szCs w:val="22"/>
        </w:rPr>
        <w:t>TOKI</w:t>
      </w:r>
      <w:r w:rsidR="001F1A56" w:rsidRPr="00652F75">
        <w:rPr>
          <w:sz w:val="22"/>
          <w:szCs w:val="22"/>
        </w:rPr>
        <w:t xml:space="preserve">. </w:t>
      </w:r>
    </w:p>
    <w:p w14:paraId="063ADE04" w14:textId="77777777" w:rsidR="002816AC" w:rsidRPr="00652F75" w:rsidRDefault="002816AC" w:rsidP="00BB0D9A">
      <w:pPr>
        <w:ind w:left="1080"/>
        <w:jc w:val="both"/>
        <w:rPr>
          <w:sz w:val="22"/>
          <w:szCs w:val="22"/>
        </w:rPr>
      </w:pPr>
    </w:p>
    <w:p w14:paraId="1B63E37F" w14:textId="42B8F6E4" w:rsidR="002816AC" w:rsidRPr="00652F75" w:rsidRDefault="0016647D" w:rsidP="002816AC">
      <w:pPr>
        <w:ind w:left="1080"/>
        <w:jc w:val="both"/>
        <w:rPr>
          <w:sz w:val="22"/>
          <w:szCs w:val="22"/>
        </w:rPr>
      </w:pPr>
      <w:r w:rsidRPr="00652F75">
        <w:rPr>
          <w:sz w:val="22"/>
          <w:szCs w:val="22"/>
        </w:rPr>
        <w:t>A</w:t>
      </w:r>
      <w:r w:rsidR="00F30729" w:rsidRPr="00652F75">
        <w:rPr>
          <w:sz w:val="22"/>
          <w:szCs w:val="22"/>
        </w:rPr>
        <w:t xml:space="preserve">rticle 73 of the Municipal Law particularly deals with the responsibilities that should be considered under the municipalities regarding the urban regeneration projects. The Article also states “The areas to be subject to urbanization and development projects shall be announced under the decision of the absolute majority of the entire members of the Municipal Council.” </w:t>
      </w:r>
      <w:r w:rsidR="002816AC" w:rsidRPr="00652F75">
        <w:rPr>
          <w:sz w:val="22"/>
          <w:szCs w:val="22"/>
        </w:rPr>
        <w:t xml:space="preserve">The Article 4 of the Law </w:t>
      </w:r>
      <w:r w:rsidR="00E51CBC" w:rsidRPr="00652F75">
        <w:rPr>
          <w:sz w:val="22"/>
          <w:szCs w:val="22"/>
        </w:rPr>
        <w:t xml:space="preserve">No. </w:t>
      </w:r>
      <w:r w:rsidR="00CA05EF" w:rsidRPr="00652F75">
        <w:rPr>
          <w:sz w:val="22"/>
          <w:szCs w:val="22"/>
        </w:rPr>
        <w:t>29</w:t>
      </w:r>
      <w:r w:rsidR="002816AC" w:rsidRPr="00652F75">
        <w:rPr>
          <w:sz w:val="22"/>
          <w:szCs w:val="22"/>
        </w:rPr>
        <w:t xml:space="preserve">85 also assigns responsibility to the </w:t>
      </w:r>
      <w:r w:rsidR="00E51CBC" w:rsidRPr="00652F75">
        <w:rPr>
          <w:sz w:val="22"/>
          <w:szCs w:val="22"/>
        </w:rPr>
        <w:t>m</w:t>
      </w:r>
      <w:r w:rsidR="002816AC" w:rsidRPr="00652F75">
        <w:rPr>
          <w:sz w:val="22"/>
          <w:szCs w:val="22"/>
        </w:rPr>
        <w:t xml:space="preserve">unicipal councils for the urban regeneration projects. </w:t>
      </w:r>
    </w:p>
    <w:p w14:paraId="621B40C6" w14:textId="77777777" w:rsidR="002816AC" w:rsidRPr="00652F75" w:rsidRDefault="002816AC" w:rsidP="00BB0D9A">
      <w:pPr>
        <w:ind w:left="1080"/>
        <w:jc w:val="both"/>
        <w:rPr>
          <w:sz w:val="22"/>
          <w:szCs w:val="22"/>
        </w:rPr>
      </w:pPr>
    </w:p>
    <w:p w14:paraId="4A90CA44" w14:textId="77777777" w:rsidR="002816AC" w:rsidRPr="00652F75" w:rsidRDefault="002816AC" w:rsidP="000B43F3">
      <w:pPr>
        <w:ind w:left="1080"/>
        <w:jc w:val="both"/>
        <w:rPr>
          <w:sz w:val="22"/>
          <w:szCs w:val="22"/>
        </w:rPr>
      </w:pPr>
      <w:r w:rsidRPr="00652F75">
        <w:rPr>
          <w:sz w:val="22"/>
          <w:szCs w:val="22"/>
        </w:rPr>
        <w:t xml:space="preserve">Besides, </w:t>
      </w:r>
      <w:r w:rsidR="000B43F3" w:rsidRPr="00652F75">
        <w:rPr>
          <w:sz w:val="22"/>
          <w:szCs w:val="22"/>
        </w:rPr>
        <w:t xml:space="preserve">municipalities have a primary role in terms of housing and their duties are underlined in the Municipal Law. </w:t>
      </w:r>
      <w:r w:rsidRPr="00652F75">
        <w:rPr>
          <w:sz w:val="22"/>
          <w:szCs w:val="22"/>
        </w:rPr>
        <w:t>Article 14 of the Municipal Law clearly defines the role of municipalities as “providing services of urban infrastructure such as development of the region, water, sewage system and transportation; geographical and urban data systems; environment and environmental health, cleaning and solid waste; security forces, fire brigades, emergency aid, relief services and ambulance; city traffic; funeral and cemetery services; forestry, parks and green areas; housing, cultural and artworks, tourism and presentation, youth and sporting activities; social and aid services; marriage ceremonies professional trainings; and services aimed at development of economy and commerce.”</w:t>
      </w:r>
      <w:r w:rsidR="000B43F3" w:rsidRPr="00652F75">
        <w:rPr>
          <w:sz w:val="22"/>
          <w:szCs w:val="22"/>
        </w:rPr>
        <w:t xml:space="preserve"> </w:t>
      </w:r>
    </w:p>
    <w:p w14:paraId="2FAC607B" w14:textId="77777777" w:rsidR="00F30729" w:rsidRPr="00652F75" w:rsidRDefault="00F30729" w:rsidP="00F30729">
      <w:pPr>
        <w:ind w:left="720"/>
        <w:jc w:val="both"/>
        <w:rPr>
          <w:sz w:val="22"/>
          <w:szCs w:val="22"/>
        </w:rPr>
      </w:pPr>
    </w:p>
    <w:p w14:paraId="02FE16FE" w14:textId="6FBEA0A1" w:rsidR="000F712F" w:rsidRPr="00652F75" w:rsidRDefault="000F712F" w:rsidP="000F712F">
      <w:pPr>
        <w:tabs>
          <w:tab w:val="left" w:pos="720"/>
        </w:tabs>
        <w:ind w:left="1080" w:right="-1"/>
        <w:jc w:val="both"/>
        <w:rPr>
          <w:sz w:val="22"/>
          <w:szCs w:val="22"/>
        </w:rPr>
      </w:pPr>
      <w:r w:rsidRPr="00652F75">
        <w:rPr>
          <w:sz w:val="22"/>
          <w:szCs w:val="22"/>
        </w:rPr>
        <w:t>Law No. 6360</w:t>
      </w:r>
      <w:r w:rsidR="001F1A56" w:rsidRPr="00652F75">
        <w:rPr>
          <w:sz w:val="22"/>
          <w:szCs w:val="22"/>
        </w:rPr>
        <w:t xml:space="preserve"> is criticized for </w:t>
      </w:r>
      <w:r w:rsidRPr="00652F75">
        <w:rPr>
          <w:sz w:val="22"/>
          <w:szCs w:val="22"/>
        </w:rPr>
        <w:t>increas</w:t>
      </w:r>
      <w:r w:rsidR="001F1A56" w:rsidRPr="00652F75">
        <w:rPr>
          <w:sz w:val="22"/>
          <w:szCs w:val="22"/>
        </w:rPr>
        <w:t>ing the</w:t>
      </w:r>
      <w:r w:rsidRPr="00652F75">
        <w:rPr>
          <w:sz w:val="22"/>
          <w:szCs w:val="22"/>
        </w:rPr>
        <w:t xml:space="preserve"> administrative tutelage of </w:t>
      </w:r>
      <w:r w:rsidR="001F1A56" w:rsidRPr="00652F75">
        <w:rPr>
          <w:sz w:val="22"/>
          <w:szCs w:val="22"/>
        </w:rPr>
        <w:t>the C</w:t>
      </w:r>
      <w:r w:rsidRPr="00652F75">
        <w:rPr>
          <w:sz w:val="22"/>
          <w:szCs w:val="22"/>
        </w:rPr>
        <w:t xml:space="preserve">entral </w:t>
      </w:r>
      <w:r w:rsidR="001F1A56" w:rsidRPr="00652F75">
        <w:rPr>
          <w:sz w:val="22"/>
          <w:szCs w:val="22"/>
        </w:rPr>
        <w:t>G</w:t>
      </w:r>
      <w:r w:rsidRPr="00652F75">
        <w:rPr>
          <w:sz w:val="22"/>
          <w:szCs w:val="22"/>
        </w:rPr>
        <w:t xml:space="preserve">overnment over local authorities and </w:t>
      </w:r>
      <w:r w:rsidR="001B43B0" w:rsidRPr="00652F75">
        <w:rPr>
          <w:sz w:val="22"/>
          <w:szCs w:val="22"/>
        </w:rPr>
        <w:t xml:space="preserve">for opting for profit generation, instead of strengthening </w:t>
      </w:r>
      <w:r w:rsidRPr="00652F75">
        <w:rPr>
          <w:sz w:val="22"/>
          <w:szCs w:val="22"/>
        </w:rPr>
        <w:t xml:space="preserve">citizen-focused public services. </w:t>
      </w:r>
    </w:p>
    <w:p w14:paraId="68C4CC9D" w14:textId="77777777" w:rsidR="0016647D" w:rsidRPr="00652F75" w:rsidRDefault="0016647D" w:rsidP="00FF1A1E">
      <w:pPr>
        <w:tabs>
          <w:tab w:val="left" w:pos="720"/>
        </w:tabs>
        <w:ind w:right="-1"/>
        <w:jc w:val="both"/>
        <w:rPr>
          <w:sz w:val="22"/>
          <w:szCs w:val="22"/>
        </w:rPr>
      </w:pPr>
    </w:p>
    <w:p w14:paraId="1F7D7DC6" w14:textId="5288DF8C" w:rsidR="005066F6" w:rsidRPr="00652F75" w:rsidRDefault="005066F6" w:rsidP="005066F6">
      <w:pPr>
        <w:tabs>
          <w:tab w:val="left" w:pos="720"/>
        </w:tabs>
        <w:ind w:right="-1"/>
        <w:jc w:val="both"/>
        <w:rPr>
          <w:sz w:val="22"/>
          <w:szCs w:val="22"/>
        </w:rPr>
      </w:pPr>
    </w:p>
    <w:p w14:paraId="2C4EEA0D" w14:textId="77777777" w:rsidR="005066F6" w:rsidRPr="00652F75" w:rsidRDefault="005066F6" w:rsidP="005066F6">
      <w:pPr>
        <w:tabs>
          <w:tab w:val="left" w:pos="720"/>
        </w:tabs>
        <w:ind w:right="-1"/>
        <w:jc w:val="both"/>
        <w:rPr>
          <w:sz w:val="22"/>
          <w:szCs w:val="22"/>
        </w:rPr>
      </w:pPr>
      <w:r w:rsidRPr="00652F75">
        <w:rPr>
          <w:sz w:val="22"/>
          <w:szCs w:val="22"/>
        </w:rPr>
        <w:tab/>
      </w:r>
    </w:p>
    <w:p w14:paraId="6A75B562" w14:textId="77777777" w:rsidR="00044720" w:rsidRPr="00652F75" w:rsidRDefault="00044720" w:rsidP="003D0CCC">
      <w:pPr>
        <w:numPr>
          <w:ilvl w:val="0"/>
          <w:numId w:val="5"/>
        </w:numPr>
        <w:tabs>
          <w:tab w:val="left" w:pos="720"/>
        </w:tabs>
        <w:ind w:right="-1"/>
        <w:jc w:val="both"/>
        <w:rPr>
          <w:b/>
          <w:i/>
          <w:sz w:val="22"/>
          <w:szCs w:val="22"/>
        </w:rPr>
      </w:pPr>
      <w:r w:rsidRPr="00652F75">
        <w:rPr>
          <w:b/>
          <w:i/>
          <w:sz w:val="22"/>
          <w:szCs w:val="22"/>
        </w:rPr>
        <w:t xml:space="preserve">Where housing and related programs </w:t>
      </w:r>
      <w:r w:rsidR="00C846C4" w:rsidRPr="00652F75">
        <w:rPr>
          <w:b/>
          <w:i/>
          <w:sz w:val="22"/>
          <w:szCs w:val="22"/>
        </w:rPr>
        <w:t xml:space="preserve">are </w:t>
      </w:r>
      <w:r w:rsidRPr="00652F75">
        <w:rPr>
          <w:b/>
          <w:i/>
          <w:sz w:val="22"/>
          <w:szCs w:val="22"/>
        </w:rPr>
        <w:t xml:space="preserve">administered by sub-national level governments, </w:t>
      </w:r>
      <w:r w:rsidR="00F45B22" w:rsidRPr="00652F75">
        <w:rPr>
          <w:b/>
          <w:i/>
          <w:sz w:val="22"/>
          <w:szCs w:val="22"/>
        </w:rPr>
        <w:t xml:space="preserve">by whom and </w:t>
      </w:r>
      <w:r w:rsidR="00C846C4" w:rsidRPr="00652F75">
        <w:rPr>
          <w:b/>
          <w:i/>
          <w:sz w:val="22"/>
          <w:szCs w:val="22"/>
        </w:rPr>
        <w:t xml:space="preserve">how are these programs funded? </w:t>
      </w:r>
      <w:r w:rsidR="00E35FCC" w:rsidRPr="00652F75">
        <w:rPr>
          <w:b/>
          <w:i/>
          <w:sz w:val="22"/>
          <w:szCs w:val="22"/>
        </w:rPr>
        <w:t xml:space="preserve">Are </w:t>
      </w:r>
      <w:r w:rsidRPr="00652F75">
        <w:rPr>
          <w:b/>
          <w:i/>
          <w:sz w:val="22"/>
          <w:szCs w:val="22"/>
        </w:rPr>
        <w:t xml:space="preserve">conditions attached to the funding </w:t>
      </w:r>
      <w:r w:rsidR="00F45B22" w:rsidRPr="00652F75">
        <w:rPr>
          <w:b/>
          <w:i/>
          <w:sz w:val="22"/>
          <w:szCs w:val="22"/>
        </w:rPr>
        <w:t xml:space="preserve">which seek to </w:t>
      </w:r>
      <w:r w:rsidRPr="00652F75">
        <w:rPr>
          <w:b/>
          <w:i/>
          <w:sz w:val="22"/>
          <w:szCs w:val="22"/>
        </w:rPr>
        <w:t xml:space="preserve">ensure the </w:t>
      </w:r>
      <w:r w:rsidR="00E35FCC" w:rsidRPr="00652F75">
        <w:rPr>
          <w:b/>
          <w:i/>
          <w:sz w:val="22"/>
          <w:szCs w:val="22"/>
        </w:rPr>
        <w:t xml:space="preserve">resources are spent in a way that </w:t>
      </w:r>
      <w:r w:rsidR="00F45B22" w:rsidRPr="00652F75">
        <w:rPr>
          <w:b/>
          <w:i/>
          <w:sz w:val="22"/>
          <w:szCs w:val="22"/>
        </w:rPr>
        <w:t xml:space="preserve">protects </w:t>
      </w:r>
      <w:r w:rsidRPr="00652F75">
        <w:rPr>
          <w:b/>
          <w:i/>
          <w:sz w:val="22"/>
          <w:szCs w:val="22"/>
        </w:rPr>
        <w:t>the right to adequate housing</w:t>
      </w:r>
      <w:r w:rsidR="00F45B22" w:rsidRPr="00652F75">
        <w:rPr>
          <w:rStyle w:val="CommentReference"/>
          <w:b/>
          <w:i/>
          <w:sz w:val="22"/>
          <w:szCs w:val="22"/>
        </w:rPr>
        <w:t>? How i</w:t>
      </w:r>
      <w:r w:rsidR="00C846C4" w:rsidRPr="00652F75">
        <w:rPr>
          <w:b/>
          <w:i/>
          <w:sz w:val="22"/>
          <w:szCs w:val="22"/>
        </w:rPr>
        <w:t>s this monitored</w:t>
      </w:r>
      <w:r w:rsidR="00E35FCC" w:rsidRPr="00652F75">
        <w:rPr>
          <w:b/>
          <w:i/>
          <w:sz w:val="22"/>
          <w:szCs w:val="22"/>
        </w:rPr>
        <w:t>?</w:t>
      </w:r>
    </w:p>
    <w:p w14:paraId="40BC6770" w14:textId="77777777" w:rsidR="00464393" w:rsidRPr="00652F75" w:rsidRDefault="00464393" w:rsidP="000B43F3">
      <w:pPr>
        <w:tabs>
          <w:tab w:val="left" w:pos="720"/>
        </w:tabs>
        <w:ind w:right="-1"/>
        <w:jc w:val="both"/>
        <w:rPr>
          <w:sz w:val="22"/>
          <w:szCs w:val="22"/>
        </w:rPr>
      </w:pPr>
    </w:p>
    <w:p w14:paraId="20618049" w14:textId="11867EE4" w:rsidR="00553E75" w:rsidRPr="00652F75" w:rsidRDefault="00CA05EF" w:rsidP="00050909">
      <w:pPr>
        <w:widowControl w:val="0"/>
        <w:autoSpaceDE w:val="0"/>
        <w:autoSpaceDN w:val="0"/>
        <w:adjustRightInd w:val="0"/>
        <w:spacing w:after="300"/>
        <w:ind w:left="1080"/>
        <w:jc w:val="both"/>
        <w:rPr>
          <w:sz w:val="22"/>
          <w:szCs w:val="22"/>
          <w:lang w:val="en-US"/>
        </w:rPr>
      </w:pPr>
      <w:r w:rsidRPr="00652F75">
        <w:rPr>
          <w:sz w:val="22"/>
          <w:szCs w:val="22"/>
          <w:lang w:val="en-US"/>
        </w:rPr>
        <w:t xml:space="preserve">Liquidation of Mass Housing Fund and Real Estate </w:t>
      </w:r>
      <w:r w:rsidR="004966DF" w:rsidRPr="00652F75">
        <w:rPr>
          <w:sz w:val="22"/>
          <w:szCs w:val="22"/>
          <w:lang w:val="en-US"/>
        </w:rPr>
        <w:t xml:space="preserve">Credit </w:t>
      </w:r>
      <w:r w:rsidRPr="00652F75">
        <w:rPr>
          <w:sz w:val="22"/>
          <w:szCs w:val="22"/>
          <w:lang w:val="en-US"/>
        </w:rPr>
        <w:t xml:space="preserve">Bank and transfer of their funds to </w:t>
      </w:r>
      <w:r w:rsidR="003221BD">
        <w:rPr>
          <w:sz w:val="22"/>
          <w:szCs w:val="22"/>
          <w:lang w:val="en-US"/>
        </w:rPr>
        <w:t>TOKI</w:t>
      </w:r>
      <w:r w:rsidRPr="00652F75">
        <w:rPr>
          <w:sz w:val="22"/>
          <w:szCs w:val="22"/>
          <w:lang w:val="en-US"/>
        </w:rPr>
        <w:t xml:space="preserve"> </w:t>
      </w:r>
      <w:r w:rsidR="004966DF" w:rsidRPr="00652F75">
        <w:rPr>
          <w:sz w:val="22"/>
          <w:szCs w:val="22"/>
          <w:lang w:val="en-US"/>
        </w:rPr>
        <w:t>provided a considerable revenue for TOK</w:t>
      </w:r>
      <w:r w:rsidR="003221BD">
        <w:rPr>
          <w:sz w:val="22"/>
          <w:szCs w:val="22"/>
          <w:lang w:val="en-US"/>
        </w:rPr>
        <w:t>I</w:t>
      </w:r>
      <w:r w:rsidRPr="00652F75">
        <w:rPr>
          <w:sz w:val="22"/>
          <w:szCs w:val="22"/>
          <w:lang w:val="en-US"/>
        </w:rPr>
        <w:t xml:space="preserve">. Law </w:t>
      </w:r>
      <w:r w:rsidR="00E51CBC" w:rsidRPr="00652F75">
        <w:rPr>
          <w:sz w:val="22"/>
          <w:szCs w:val="22"/>
          <w:lang w:val="en-US"/>
        </w:rPr>
        <w:t xml:space="preserve">No. </w:t>
      </w:r>
      <w:r w:rsidRPr="00652F75">
        <w:rPr>
          <w:sz w:val="22"/>
          <w:szCs w:val="22"/>
          <w:lang w:val="en-US"/>
        </w:rPr>
        <w:t>2985 gave TOK</w:t>
      </w:r>
      <w:r w:rsidR="003221BD">
        <w:rPr>
          <w:sz w:val="22"/>
          <w:szCs w:val="22"/>
          <w:lang w:val="en-US"/>
        </w:rPr>
        <w:t>I</w:t>
      </w:r>
      <w:r w:rsidRPr="00652F75">
        <w:rPr>
          <w:sz w:val="22"/>
          <w:szCs w:val="22"/>
          <w:lang w:val="en-US"/>
        </w:rPr>
        <w:t xml:space="preserve"> the authority to sell state owned lands</w:t>
      </w:r>
      <w:r w:rsidR="00CE2D50" w:rsidRPr="00652F75">
        <w:rPr>
          <w:sz w:val="22"/>
          <w:szCs w:val="22"/>
          <w:lang w:val="en-US"/>
        </w:rPr>
        <w:t xml:space="preserve"> including 2B land</w:t>
      </w:r>
      <w:r w:rsidR="00E23E64" w:rsidRPr="00652F75">
        <w:rPr>
          <w:sz w:val="22"/>
          <w:szCs w:val="22"/>
          <w:lang w:val="en-US"/>
        </w:rPr>
        <w:t>,</w:t>
      </w:r>
      <w:r w:rsidR="00E23E64" w:rsidRPr="00652F75">
        <w:rPr>
          <w:rStyle w:val="FootnoteReference"/>
          <w:sz w:val="22"/>
          <w:szCs w:val="22"/>
          <w:lang w:val="en-US"/>
        </w:rPr>
        <w:footnoteReference w:id="12"/>
      </w:r>
      <w:r w:rsidRPr="00652F75">
        <w:rPr>
          <w:sz w:val="22"/>
          <w:szCs w:val="22"/>
          <w:lang w:val="en-US"/>
        </w:rPr>
        <w:t xml:space="preserve"> </w:t>
      </w:r>
      <w:r w:rsidR="00CE2D50" w:rsidRPr="00652F75">
        <w:rPr>
          <w:sz w:val="22"/>
          <w:szCs w:val="22"/>
          <w:lang w:val="en-US"/>
        </w:rPr>
        <w:t xml:space="preserve">to </w:t>
      </w:r>
      <w:r w:rsidR="000D5A1E" w:rsidRPr="00652F75">
        <w:rPr>
          <w:sz w:val="22"/>
          <w:szCs w:val="22"/>
          <w:lang w:val="en-US"/>
        </w:rPr>
        <w:t>establish</w:t>
      </w:r>
      <w:r w:rsidR="00CE2D50" w:rsidRPr="00652F75">
        <w:rPr>
          <w:sz w:val="22"/>
          <w:szCs w:val="22"/>
          <w:lang w:val="en-US"/>
        </w:rPr>
        <w:t xml:space="preserve"> private </w:t>
      </w:r>
      <w:r w:rsidR="000D5A1E" w:rsidRPr="00652F75">
        <w:rPr>
          <w:sz w:val="22"/>
          <w:szCs w:val="22"/>
          <w:lang w:val="en-US"/>
        </w:rPr>
        <w:t xml:space="preserve">building sector </w:t>
      </w:r>
      <w:r w:rsidR="00CE2D50" w:rsidRPr="00652F75">
        <w:rPr>
          <w:sz w:val="22"/>
          <w:szCs w:val="22"/>
          <w:lang w:val="en-US"/>
        </w:rPr>
        <w:t>firms</w:t>
      </w:r>
      <w:r w:rsidR="003221BD">
        <w:rPr>
          <w:sz w:val="22"/>
          <w:szCs w:val="22"/>
          <w:lang w:val="en-US"/>
        </w:rPr>
        <w:t xml:space="preserve"> or be a shareholder in such firms</w:t>
      </w:r>
      <w:r w:rsidR="000D5A1E" w:rsidRPr="00652F75">
        <w:rPr>
          <w:sz w:val="22"/>
          <w:szCs w:val="22"/>
          <w:lang w:val="en-US"/>
        </w:rPr>
        <w:t>, give loans to banks for the financing of housing etc.</w:t>
      </w:r>
      <w:r w:rsidR="00CE2D50" w:rsidRPr="00652F75">
        <w:rPr>
          <w:sz w:val="22"/>
          <w:szCs w:val="22"/>
          <w:lang w:val="en-US"/>
        </w:rPr>
        <w:t xml:space="preserve"> </w:t>
      </w:r>
      <w:r w:rsidR="003221BD">
        <w:rPr>
          <w:sz w:val="22"/>
          <w:szCs w:val="22"/>
        </w:rPr>
        <w:t>TOKI</w:t>
      </w:r>
      <w:r w:rsidR="008A23BB" w:rsidRPr="00652F75">
        <w:rPr>
          <w:sz w:val="22"/>
          <w:szCs w:val="22"/>
        </w:rPr>
        <w:t xml:space="preserve"> provide</w:t>
      </w:r>
      <w:r w:rsidR="000D5A1E" w:rsidRPr="00652F75">
        <w:rPr>
          <w:sz w:val="22"/>
          <w:szCs w:val="22"/>
        </w:rPr>
        <w:t>s</w:t>
      </w:r>
      <w:r w:rsidR="008A23BB" w:rsidRPr="00652F75">
        <w:rPr>
          <w:sz w:val="22"/>
          <w:szCs w:val="22"/>
        </w:rPr>
        <w:t xml:space="preserve"> financial sources through land sales to large firms and shares the income earned via the sales of the houses.</w:t>
      </w:r>
      <w:r w:rsidR="00E23E64" w:rsidRPr="00652F75">
        <w:rPr>
          <w:sz w:val="22"/>
          <w:szCs w:val="22"/>
          <w:lang w:val="en-US"/>
        </w:rPr>
        <w:t xml:space="preserve"> </w:t>
      </w:r>
      <w:r w:rsidR="00CE2D50" w:rsidRPr="00652F75">
        <w:rPr>
          <w:sz w:val="22"/>
          <w:szCs w:val="22"/>
          <w:lang w:val="en-US"/>
        </w:rPr>
        <w:t>Under the new law, 2B</w:t>
      </w:r>
      <w:r w:rsidR="00F5078A" w:rsidRPr="00652F75">
        <w:rPr>
          <w:sz w:val="22"/>
          <w:szCs w:val="22"/>
          <w:lang w:val="en-US"/>
        </w:rPr>
        <w:t xml:space="preserve"> </w:t>
      </w:r>
      <w:r w:rsidR="00553E75" w:rsidRPr="00652F75">
        <w:rPr>
          <w:sz w:val="22"/>
          <w:szCs w:val="22"/>
          <w:lang w:val="en-US"/>
        </w:rPr>
        <w:t>land eligible for construction,</w:t>
      </w:r>
      <w:r w:rsidR="00CE2D50" w:rsidRPr="00652F75">
        <w:rPr>
          <w:sz w:val="22"/>
          <w:szCs w:val="22"/>
          <w:lang w:val="en-US"/>
        </w:rPr>
        <w:t xml:space="preserve"> land that</w:t>
      </w:r>
      <w:r w:rsidR="00F5078A" w:rsidRPr="00652F75">
        <w:rPr>
          <w:sz w:val="22"/>
          <w:szCs w:val="22"/>
          <w:lang w:val="en-US"/>
        </w:rPr>
        <w:t xml:space="preserve"> has not been built upon yet, </w:t>
      </w:r>
      <w:r w:rsidR="00CE2D50" w:rsidRPr="00652F75">
        <w:rPr>
          <w:sz w:val="22"/>
          <w:szCs w:val="22"/>
          <w:lang w:val="en-US"/>
        </w:rPr>
        <w:t xml:space="preserve">will be allocated to mass housing. </w:t>
      </w:r>
    </w:p>
    <w:p w14:paraId="551D72FC" w14:textId="7867A7DE" w:rsidR="002553DE" w:rsidRPr="00652F75" w:rsidRDefault="00E1484D" w:rsidP="00050909">
      <w:pPr>
        <w:widowControl w:val="0"/>
        <w:autoSpaceDE w:val="0"/>
        <w:autoSpaceDN w:val="0"/>
        <w:adjustRightInd w:val="0"/>
        <w:spacing w:after="300"/>
        <w:ind w:left="1080"/>
        <w:jc w:val="both"/>
        <w:rPr>
          <w:sz w:val="22"/>
          <w:szCs w:val="22"/>
          <w:lang w:val="en-US"/>
        </w:rPr>
      </w:pPr>
      <w:r w:rsidRPr="00652F75">
        <w:rPr>
          <w:sz w:val="22"/>
          <w:szCs w:val="22"/>
          <w:lang w:val="en-US"/>
        </w:rPr>
        <w:t>R</w:t>
      </w:r>
      <w:r w:rsidR="000D5A1E" w:rsidRPr="00652F75">
        <w:rPr>
          <w:sz w:val="22"/>
          <w:szCs w:val="22"/>
          <w:lang w:val="en-US"/>
        </w:rPr>
        <w:t xml:space="preserve">evenues of </w:t>
      </w:r>
      <w:r w:rsidR="003221BD">
        <w:rPr>
          <w:sz w:val="22"/>
          <w:szCs w:val="22"/>
          <w:lang w:val="en-US"/>
        </w:rPr>
        <w:t>TOKI</w:t>
      </w:r>
      <w:r w:rsidR="000D5A1E" w:rsidRPr="00652F75">
        <w:rPr>
          <w:sz w:val="22"/>
          <w:szCs w:val="22"/>
          <w:lang w:val="en-US"/>
        </w:rPr>
        <w:t xml:space="preserve"> can either be directly used by </w:t>
      </w:r>
      <w:r w:rsidR="003221BD">
        <w:rPr>
          <w:sz w:val="22"/>
          <w:szCs w:val="22"/>
          <w:lang w:val="en-US"/>
        </w:rPr>
        <w:t>TOKI</w:t>
      </w:r>
      <w:r w:rsidRPr="00652F75">
        <w:rPr>
          <w:sz w:val="22"/>
          <w:szCs w:val="22"/>
          <w:lang w:val="en-US"/>
        </w:rPr>
        <w:t xml:space="preserve">, can be given as loans by </w:t>
      </w:r>
      <w:r w:rsidR="003221BD">
        <w:rPr>
          <w:sz w:val="22"/>
          <w:szCs w:val="22"/>
          <w:lang w:val="en-US"/>
        </w:rPr>
        <w:t>TOKI</w:t>
      </w:r>
      <w:r w:rsidR="000D5A1E" w:rsidRPr="00652F75">
        <w:rPr>
          <w:sz w:val="22"/>
          <w:szCs w:val="22"/>
          <w:lang w:val="en-US"/>
        </w:rPr>
        <w:t xml:space="preserve"> or </w:t>
      </w:r>
      <w:r w:rsidRPr="00652F75">
        <w:rPr>
          <w:sz w:val="22"/>
          <w:szCs w:val="22"/>
          <w:lang w:val="en-US"/>
        </w:rPr>
        <w:t>can be given as loans through banks, housing cooperatives established by disaster victims</w:t>
      </w:r>
      <w:r w:rsidR="00F01F15" w:rsidRPr="00652F75">
        <w:rPr>
          <w:sz w:val="22"/>
          <w:szCs w:val="22"/>
          <w:lang w:val="en-US"/>
        </w:rPr>
        <w:t xml:space="preserve"> and the poor or municipalities</w:t>
      </w:r>
      <w:r w:rsidRPr="00652F75">
        <w:rPr>
          <w:sz w:val="22"/>
          <w:szCs w:val="22"/>
          <w:lang w:val="en-US"/>
        </w:rPr>
        <w:t xml:space="preserve">. </w:t>
      </w:r>
    </w:p>
    <w:p w14:paraId="287DF163" w14:textId="1B0B9970" w:rsidR="000D5A1E" w:rsidRDefault="00E1484D" w:rsidP="00050909">
      <w:pPr>
        <w:widowControl w:val="0"/>
        <w:autoSpaceDE w:val="0"/>
        <w:autoSpaceDN w:val="0"/>
        <w:adjustRightInd w:val="0"/>
        <w:spacing w:after="300"/>
        <w:ind w:left="1080"/>
        <w:jc w:val="both"/>
        <w:rPr>
          <w:sz w:val="22"/>
          <w:szCs w:val="22"/>
          <w:lang w:val="en-US"/>
        </w:rPr>
      </w:pPr>
      <w:r w:rsidRPr="00652F75">
        <w:rPr>
          <w:sz w:val="22"/>
          <w:szCs w:val="22"/>
          <w:lang w:val="en-US"/>
        </w:rPr>
        <w:t xml:space="preserve">Under the Slum Houses Law, </w:t>
      </w:r>
      <w:r w:rsidR="002553DE" w:rsidRPr="00652F75">
        <w:rPr>
          <w:sz w:val="22"/>
          <w:szCs w:val="22"/>
          <w:lang w:val="en-US"/>
        </w:rPr>
        <w:t xml:space="preserve">land transferred to municipalities under this Law can be used for housing purposes either directly by </w:t>
      </w:r>
      <w:r w:rsidR="003221BD">
        <w:rPr>
          <w:sz w:val="22"/>
          <w:szCs w:val="22"/>
          <w:lang w:val="en-US"/>
        </w:rPr>
        <w:t>TOKI</w:t>
      </w:r>
      <w:r w:rsidR="002553DE" w:rsidRPr="00652F75">
        <w:rPr>
          <w:sz w:val="22"/>
          <w:szCs w:val="22"/>
          <w:lang w:val="en-US"/>
        </w:rPr>
        <w:t xml:space="preserve"> or by municipalities with the approval of </w:t>
      </w:r>
      <w:r w:rsidR="003221BD">
        <w:rPr>
          <w:sz w:val="22"/>
          <w:szCs w:val="22"/>
          <w:lang w:val="en-US"/>
        </w:rPr>
        <w:t>TOKI</w:t>
      </w:r>
      <w:r w:rsidR="002553DE" w:rsidRPr="00652F75">
        <w:rPr>
          <w:sz w:val="22"/>
          <w:szCs w:val="22"/>
          <w:lang w:val="en-US"/>
        </w:rPr>
        <w:t xml:space="preserve">. </w:t>
      </w:r>
    </w:p>
    <w:p w14:paraId="5C726CD5" w14:textId="7850698E" w:rsidR="00B35A93" w:rsidRPr="00652F75" w:rsidRDefault="00B35A93" w:rsidP="00050909">
      <w:pPr>
        <w:widowControl w:val="0"/>
        <w:autoSpaceDE w:val="0"/>
        <w:autoSpaceDN w:val="0"/>
        <w:adjustRightInd w:val="0"/>
        <w:spacing w:after="300"/>
        <w:ind w:left="1080"/>
        <w:jc w:val="both"/>
        <w:rPr>
          <w:sz w:val="22"/>
          <w:szCs w:val="22"/>
          <w:lang w:val="en-US"/>
        </w:rPr>
      </w:pPr>
      <w:r>
        <w:rPr>
          <w:sz w:val="22"/>
          <w:szCs w:val="22"/>
          <w:lang w:val="en-US"/>
        </w:rPr>
        <w:t xml:space="preserve">Even though it is possible under the Law for TOKI to provide funding to municipalities through loans, the financial burden mainly falls on the municipality. They have to generate their own revenues in order to invest on housing. </w:t>
      </w:r>
      <w:bookmarkStart w:id="0" w:name="_GoBack"/>
      <w:bookmarkEnd w:id="0"/>
    </w:p>
    <w:p w14:paraId="463A3430" w14:textId="77777777" w:rsidR="00044720" w:rsidRPr="00652F75" w:rsidRDefault="00044720" w:rsidP="006C7127">
      <w:pPr>
        <w:tabs>
          <w:tab w:val="left" w:pos="720"/>
        </w:tabs>
        <w:ind w:right="-1"/>
        <w:jc w:val="both"/>
        <w:rPr>
          <w:sz w:val="22"/>
          <w:szCs w:val="22"/>
        </w:rPr>
      </w:pPr>
    </w:p>
    <w:p w14:paraId="41F0F0ED" w14:textId="77777777" w:rsidR="00044720" w:rsidRPr="00652F75" w:rsidRDefault="00044720" w:rsidP="006C7127">
      <w:pPr>
        <w:tabs>
          <w:tab w:val="left" w:pos="720"/>
        </w:tabs>
        <w:ind w:right="-1"/>
        <w:jc w:val="both"/>
        <w:rPr>
          <w:b/>
          <w:sz w:val="22"/>
          <w:szCs w:val="22"/>
        </w:rPr>
      </w:pPr>
      <w:r w:rsidRPr="00652F75">
        <w:rPr>
          <w:sz w:val="22"/>
          <w:szCs w:val="22"/>
        </w:rPr>
        <w:t xml:space="preserve"> </w:t>
      </w:r>
      <w:r w:rsidRPr="00652F75">
        <w:rPr>
          <w:b/>
          <w:sz w:val="22"/>
          <w:szCs w:val="22"/>
        </w:rPr>
        <w:t>B.</w:t>
      </w:r>
      <w:r w:rsidRPr="00652F75">
        <w:rPr>
          <w:b/>
          <w:sz w:val="22"/>
          <w:szCs w:val="22"/>
        </w:rPr>
        <w:tab/>
        <w:t>Accountability of Sub-National Governments</w:t>
      </w:r>
    </w:p>
    <w:p w14:paraId="5357859E" w14:textId="77777777" w:rsidR="00044720" w:rsidRPr="00652F75" w:rsidRDefault="00044720" w:rsidP="006C7127">
      <w:pPr>
        <w:tabs>
          <w:tab w:val="left" w:pos="720"/>
        </w:tabs>
        <w:ind w:right="-1"/>
        <w:jc w:val="both"/>
        <w:rPr>
          <w:sz w:val="22"/>
          <w:szCs w:val="22"/>
        </w:rPr>
      </w:pPr>
    </w:p>
    <w:p w14:paraId="5FADF037" w14:textId="77777777" w:rsidR="00413B4C" w:rsidRPr="00652F75" w:rsidRDefault="00044720" w:rsidP="003D0CCC">
      <w:pPr>
        <w:numPr>
          <w:ilvl w:val="0"/>
          <w:numId w:val="7"/>
        </w:numPr>
        <w:tabs>
          <w:tab w:val="left" w:pos="720"/>
        </w:tabs>
        <w:ind w:right="-1"/>
        <w:jc w:val="both"/>
        <w:rPr>
          <w:b/>
          <w:i/>
          <w:sz w:val="22"/>
          <w:szCs w:val="22"/>
        </w:rPr>
      </w:pPr>
      <w:r w:rsidRPr="00652F75">
        <w:rPr>
          <w:b/>
          <w:i/>
          <w:sz w:val="22"/>
          <w:szCs w:val="22"/>
        </w:rPr>
        <w:t xml:space="preserve">Are sub-national governments legally accountable to the right to adequate housing on the basis of any of the following? </w:t>
      </w:r>
    </w:p>
    <w:p w14:paraId="2EE54473" w14:textId="77777777" w:rsidR="00044720" w:rsidRPr="00652F75" w:rsidRDefault="00044720" w:rsidP="006C7127">
      <w:pPr>
        <w:tabs>
          <w:tab w:val="left" w:pos="720"/>
        </w:tabs>
        <w:ind w:left="720" w:right="-1"/>
        <w:jc w:val="both"/>
        <w:rPr>
          <w:sz w:val="22"/>
          <w:szCs w:val="22"/>
        </w:rPr>
      </w:pPr>
      <w:r w:rsidRPr="00652F75">
        <w:rPr>
          <w:sz w:val="22"/>
          <w:szCs w:val="22"/>
        </w:rPr>
        <w:tab/>
      </w:r>
    </w:p>
    <w:p w14:paraId="2C7FBAC8" w14:textId="13BD26F9"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t xml:space="preserve">International human rights </w:t>
      </w:r>
      <w:r w:rsidR="007C6BE9" w:rsidRPr="00652F75">
        <w:rPr>
          <w:sz w:val="22"/>
          <w:szCs w:val="22"/>
        </w:rPr>
        <w:t xml:space="preserve">law? </w:t>
      </w:r>
      <w:r w:rsidRPr="00652F75">
        <w:rPr>
          <w:b/>
          <w:sz w:val="22"/>
          <w:szCs w:val="22"/>
        </w:rPr>
        <w:t>No</w:t>
      </w:r>
      <w:r w:rsidRPr="00652F75">
        <w:rPr>
          <w:sz w:val="22"/>
          <w:szCs w:val="22"/>
        </w:rPr>
        <w:t xml:space="preserve"> </w:t>
      </w:r>
    </w:p>
    <w:p w14:paraId="3B2D5DAD" w14:textId="77777777" w:rsidR="00044720" w:rsidRPr="00652F75" w:rsidRDefault="00044720" w:rsidP="006C7127">
      <w:pPr>
        <w:tabs>
          <w:tab w:val="left" w:pos="720"/>
        </w:tabs>
        <w:ind w:left="720" w:right="-1"/>
        <w:jc w:val="both"/>
        <w:rPr>
          <w:sz w:val="22"/>
          <w:szCs w:val="22"/>
        </w:rPr>
      </w:pPr>
    </w:p>
    <w:p w14:paraId="566F9993" w14:textId="65D4C136"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t xml:space="preserve">Constitution/National Bill of Rights </w:t>
      </w:r>
      <w:r w:rsidR="0002654A" w:rsidRPr="00652F75">
        <w:rPr>
          <w:sz w:val="22"/>
          <w:szCs w:val="22"/>
        </w:rPr>
        <w:t xml:space="preserve">- </w:t>
      </w:r>
      <w:r w:rsidRPr="00652F75">
        <w:rPr>
          <w:b/>
          <w:sz w:val="22"/>
          <w:szCs w:val="22"/>
        </w:rPr>
        <w:t>No</w:t>
      </w:r>
      <w:r w:rsidRPr="00652F75">
        <w:rPr>
          <w:sz w:val="22"/>
          <w:szCs w:val="22"/>
        </w:rPr>
        <w:t xml:space="preserve"> </w:t>
      </w:r>
    </w:p>
    <w:p w14:paraId="1263938B" w14:textId="77777777" w:rsidR="00044720" w:rsidRPr="00652F75" w:rsidRDefault="00044720" w:rsidP="006C7127">
      <w:pPr>
        <w:tabs>
          <w:tab w:val="left" w:pos="720"/>
        </w:tabs>
        <w:ind w:left="720" w:right="-1"/>
        <w:jc w:val="both"/>
        <w:rPr>
          <w:sz w:val="22"/>
          <w:szCs w:val="22"/>
        </w:rPr>
      </w:pPr>
    </w:p>
    <w:p w14:paraId="30F0664C" w14:textId="1716217E" w:rsidR="0002654A"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t xml:space="preserve"> National or sub-national legislation </w:t>
      </w:r>
      <w:r w:rsidRPr="00652F75">
        <w:rPr>
          <w:b/>
          <w:sz w:val="22"/>
          <w:szCs w:val="22"/>
        </w:rPr>
        <w:t>Yes</w:t>
      </w:r>
    </w:p>
    <w:p w14:paraId="0B172E56" w14:textId="77777777" w:rsidR="0002654A" w:rsidRPr="00652F75" w:rsidRDefault="0002654A" w:rsidP="006C7127">
      <w:pPr>
        <w:tabs>
          <w:tab w:val="left" w:pos="720"/>
        </w:tabs>
        <w:ind w:left="720" w:right="-1"/>
        <w:jc w:val="both"/>
        <w:rPr>
          <w:sz w:val="22"/>
          <w:szCs w:val="22"/>
        </w:rPr>
      </w:pPr>
    </w:p>
    <w:p w14:paraId="12465EEE" w14:textId="77777777" w:rsidR="0002654A" w:rsidRPr="00652F75" w:rsidRDefault="0002654A" w:rsidP="0002654A">
      <w:pPr>
        <w:tabs>
          <w:tab w:val="left" w:pos="720"/>
        </w:tabs>
        <w:ind w:right="-1"/>
        <w:jc w:val="both"/>
        <w:rPr>
          <w:b/>
          <w:sz w:val="22"/>
          <w:szCs w:val="22"/>
        </w:rPr>
      </w:pPr>
      <w:r w:rsidRPr="00652F75">
        <w:rPr>
          <w:b/>
          <w:sz w:val="22"/>
          <w:szCs w:val="22"/>
        </w:rPr>
        <w:t xml:space="preserve">Supervision on Municipalities </w:t>
      </w:r>
    </w:p>
    <w:p w14:paraId="68D6C4BC" w14:textId="77777777" w:rsidR="0002654A" w:rsidRPr="00652F75" w:rsidRDefault="0002654A" w:rsidP="0002654A">
      <w:pPr>
        <w:tabs>
          <w:tab w:val="left" w:pos="720"/>
        </w:tabs>
        <w:ind w:right="-1"/>
        <w:jc w:val="both"/>
        <w:rPr>
          <w:b/>
          <w:sz w:val="22"/>
          <w:szCs w:val="22"/>
        </w:rPr>
      </w:pPr>
    </w:p>
    <w:p w14:paraId="135951D1" w14:textId="77777777" w:rsidR="0002654A" w:rsidRPr="00652F75" w:rsidRDefault="0002654A" w:rsidP="0002654A">
      <w:pPr>
        <w:tabs>
          <w:tab w:val="left" w:pos="720"/>
        </w:tabs>
        <w:ind w:right="-1"/>
        <w:jc w:val="both"/>
        <w:rPr>
          <w:b/>
          <w:sz w:val="22"/>
          <w:szCs w:val="22"/>
        </w:rPr>
      </w:pPr>
      <w:r w:rsidRPr="00652F75">
        <w:rPr>
          <w:b/>
          <w:sz w:val="22"/>
          <w:szCs w:val="22"/>
        </w:rPr>
        <w:t xml:space="preserve">Law No. 5393 on Municipality: </w:t>
      </w:r>
    </w:p>
    <w:p w14:paraId="64A477B8" w14:textId="77777777" w:rsidR="0002654A" w:rsidRPr="00652F75" w:rsidRDefault="0002654A" w:rsidP="0002654A">
      <w:pPr>
        <w:tabs>
          <w:tab w:val="left" w:pos="720"/>
        </w:tabs>
        <w:ind w:right="-1"/>
        <w:jc w:val="both"/>
        <w:rPr>
          <w:b/>
          <w:sz w:val="22"/>
          <w:szCs w:val="22"/>
        </w:rPr>
      </w:pPr>
    </w:p>
    <w:p w14:paraId="4FD32E02" w14:textId="6F01ED30" w:rsidR="0002654A" w:rsidRPr="00652F75" w:rsidRDefault="0002654A" w:rsidP="0002654A">
      <w:pPr>
        <w:tabs>
          <w:tab w:val="left" w:pos="720"/>
        </w:tabs>
        <w:ind w:right="-1"/>
        <w:jc w:val="both"/>
        <w:rPr>
          <w:b/>
          <w:sz w:val="22"/>
          <w:szCs w:val="22"/>
        </w:rPr>
      </w:pPr>
      <w:r w:rsidRPr="00652F75">
        <w:rPr>
          <w:b/>
          <w:sz w:val="22"/>
          <w:szCs w:val="22"/>
        </w:rPr>
        <w:t>Purpose of supervision: Article 54-</w:t>
      </w:r>
      <w:r w:rsidRPr="00652F75">
        <w:rPr>
          <w:sz w:val="22"/>
          <w:szCs w:val="22"/>
        </w:rPr>
        <w:t xml:space="preserve"> The supervision on municipalities shall include independently </w:t>
      </w:r>
      <w:proofErr w:type="spellStart"/>
      <w:r w:rsidRPr="00652F75">
        <w:rPr>
          <w:sz w:val="22"/>
          <w:szCs w:val="22"/>
        </w:rPr>
        <w:t>analyzing</w:t>
      </w:r>
      <w:proofErr w:type="spellEnd"/>
      <w:r w:rsidRPr="00652F75">
        <w:rPr>
          <w:sz w:val="22"/>
          <w:szCs w:val="22"/>
        </w:rPr>
        <w:t xml:space="preserve">, comparing and measuring, assessing on the basis of evidence the service processes and results according to the legislation against the predetermined goals and objectives, performance criteria and quality standards, making the results into a report and informing the relevant parties in order to assist the municipalities in preventing errors in their activities and acts and provide guidance for the development of their staff and organization, making their management and control systems valid, reliable and consistent. </w:t>
      </w:r>
    </w:p>
    <w:p w14:paraId="7398E0FC" w14:textId="77777777" w:rsidR="0002654A" w:rsidRPr="00652F75" w:rsidRDefault="0002654A" w:rsidP="0002654A">
      <w:pPr>
        <w:tabs>
          <w:tab w:val="left" w:pos="720"/>
        </w:tabs>
        <w:ind w:left="720" w:right="-1"/>
        <w:jc w:val="both"/>
        <w:rPr>
          <w:b/>
          <w:sz w:val="22"/>
          <w:szCs w:val="22"/>
        </w:rPr>
      </w:pPr>
    </w:p>
    <w:p w14:paraId="4AFC10B8" w14:textId="77777777" w:rsidR="0002654A" w:rsidRPr="00652F75" w:rsidRDefault="0002654A" w:rsidP="0002654A">
      <w:pPr>
        <w:tabs>
          <w:tab w:val="left" w:pos="720"/>
        </w:tabs>
        <w:ind w:right="-1"/>
        <w:jc w:val="both"/>
        <w:rPr>
          <w:sz w:val="22"/>
          <w:szCs w:val="22"/>
        </w:rPr>
      </w:pPr>
      <w:r w:rsidRPr="00652F75">
        <w:rPr>
          <w:b/>
          <w:sz w:val="22"/>
          <w:szCs w:val="22"/>
        </w:rPr>
        <w:t xml:space="preserve">Scope and types of supervision (Article 55) </w:t>
      </w:r>
      <w:r w:rsidRPr="00652F75">
        <w:rPr>
          <w:sz w:val="22"/>
          <w:szCs w:val="22"/>
        </w:rPr>
        <w:t xml:space="preserve">Municipalities shall be subject to </w:t>
      </w:r>
      <w:r w:rsidRPr="00652F75">
        <w:rPr>
          <w:b/>
          <w:sz w:val="22"/>
          <w:szCs w:val="22"/>
        </w:rPr>
        <w:t>internal and external supervision</w:t>
      </w:r>
      <w:r w:rsidRPr="00652F75">
        <w:rPr>
          <w:sz w:val="22"/>
          <w:szCs w:val="22"/>
        </w:rPr>
        <w:t xml:space="preserve">. Supervision shall cover the </w:t>
      </w:r>
      <w:r w:rsidRPr="00652F75">
        <w:rPr>
          <w:b/>
          <w:sz w:val="22"/>
          <w:szCs w:val="22"/>
        </w:rPr>
        <w:t>legal compliance of acts, and financial and performance auditing</w:t>
      </w:r>
      <w:r w:rsidRPr="00652F75">
        <w:rPr>
          <w:sz w:val="22"/>
          <w:szCs w:val="22"/>
        </w:rPr>
        <w:t xml:space="preserve">. Internal and external supervision shall be conducted in accordance with the provisions of the Law No. 5018 on Public Fiscal Administration and Control. In addition to the municipality’s financial transactions, the </w:t>
      </w:r>
      <w:r w:rsidRPr="00652F75">
        <w:rPr>
          <w:b/>
          <w:sz w:val="22"/>
          <w:szCs w:val="22"/>
        </w:rPr>
        <w:t>Ministry of Interior shall also monitor the municipality’s administrative acts in terms of legal compliance and integrity of administration</w:t>
      </w:r>
      <w:r w:rsidRPr="00652F75">
        <w:rPr>
          <w:sz w:val="22"/>
          <w:szCs w:val="22"/>
        </w:rPr>
        <w:t xml:space="preserve">. Municipalities’ affiliated entities and enterprises shall also be audited in accordance with the foregoing rules. </w:t>
      </w:r>
    </w:p>
    <w:p w14:paraId="05FF1C72" w14:textId="77777777" w:rsidR="0002654A" w:rsidRPr="00652F75" w:rsidRDefault="0002654A" w:rsidP="0002654A">
      <w:pPr>
        <w:tabs>
          <w:tab w:val="left" w:pos="720"/>
        </w:tabs>
        <w:ind w:right="-1"/>
        <w:jc w:val="both"/>
        <w:rPr>
          <w:b/>
          <w:sz w:val="22"/>
          <w:szCs w:val="22"/>
        </w:rPr>
      </w:pPr>
    </w:p>
    <w:p w14:paraId="431A2F58" w14:textId="77777777" w:rsidR="0002654A" w:rsidRPr="00652F75" w:rsidRDefault="0002654A" w:rsidP="0002654A">
      <w:pPr>
        <w:tabs>
          <w:tab w:val="left" w:pos="720"/>
        </w:tabs>
        <w:ind w:right="-1"/>
        <w:jc w:val="both"/>
        <w:rPr>
          <w:sz w:val="22"/>
          <w:szCs w:val="22"/>
        </w:rPr>
      </w:pPr>
      <w:r w:rsidRPr="00652F75">
        <w:rPr>
          <w:sz w:val="22"/>
          <w:szCs w:val="22"/>
        </w:rPr>
        <w:t>The outcome of audits shall be made public, and communicated to the municipal council.</w:t>
      </w:r>
    </w:p>
    <w:p w14:paraId="26F300E1" w14:textId="77777777" w:rsidR="0002654A" w:rsidRPr="00652F75" w:rsidRDefault="0002654A" w:rsidP="0002654A">
      <w:pPr>
        <w:tabs>
          <w:tab w:val="left" w:pos="720"/>
        </w:tabs>
        <w:ind w:right="-1"/>
        <w:jc w:val="both"/>
        <w:rPr>
          <w:sz w:val="22"/>
          <w:szCs w:val="22"/>
        </w:rPr>
      </w:pPr>
    </w:p>
    <w:p w14:paraId="05C13C4E" w14:textId="53831DD8" w:rsidR="0002654A" w:rsidRPr="00652F75" w:rsidRDefault="0002654A" w:rsidP="0002654A">
      <w:pPr>
        <w:tabs>
          <w:tab w:val="left" w:pos="720"/>
        </w:tabs>
        <w:ind w:right="-1"/>
        <w:jc w:val="both"/>
        <w:rPr>
          <w:sz w:val="22"/>
          <w:szCs w:val="22"/>
        </w:rPr>
      </w:pPr>
      <w:r w:rsidRPr="00652F75">
        <w:rPr>
          <w:b/>
          <w:sz w:val="22"/>
          <w:szCs w:val="22"/>
        </w:rPr>
        <w:t xml:space="preserve">Activity report: Article 56 - </w:t>
      </w:r>
      <w:r w:rsidRPr="00652F75">
        <w:rPr>
          <w:sz w:val="22"/>
          <w:szCs w:val="22"/>
        </w:rPr>
        <w:t xml:space="preserve">The mayor shall draw up an activity report in the manner prescribed in the fourth paragraph of Article 41 of the Law No. 5018 on Public Fiscal Administration and Control, </w:t>
      </w:r>
      <w:r w:rsidRPr="00652F75">
        <w:rPr>
          <w:b/>
          <w:sz w:val="22"/>
          <w:szCs w:val="22"/>
        </w:rPr>
        <w:t>indicating the activities conducted in accordance with the strategic plan and the performance program, the goals and the extent of their achievement against the performance criteria determined and the reasons for any deviations therefrom, together with the state of the municipality’s debts</w:t>
      </w:r>
      <w:r w:rsidRPr="00652F75">
        <w:rPr>
          <w:sz w:val="22"/>
          <w:szCs w:val="22"/>
        </w:rPr>
        <w:t xml:space="preserve">. The activity report shall also include such information and assessments in respect of the municipality’s affiliated entities and enterprises and municipal companies. </w:t>
      </w:r>
    </w:p>
    <w:p w14:paraId="61333B93" w14:textId="77777777" w:rsidR="0002654A" w:rsidRPr="00652F75" w:rsidRDefault="0002654A" w:rsidP="0002654A">
      <w:pPr>
        <w:tabs>
          <w:tab w:val="left" w:pos="720"/>
        </w:tabs>
        <w:ind w:right="-1"/>
        <w:jc w:val="both"/>
        <w:rPr>
          <w:sz w:val="22"/>
          <w:szCs w:val="22"/>
        </w:rPr>
      </w:pPr>
    </w:p>
    <w:p w14:paraId="05815BEF" w14:textId="77777777" w:rsidR="0002654A" w:rsidRPr="00652F75" w:rsidRDefault="0002654A" w:rsidP="0002654A">
      <w:pPr>
        <w:tabs>
          <w:tab w:val="left" w:pos="720"/>
        </w:tabs>
        <w:ind w:right="-1"/>
        <w:jc w:val="both"/>
        <w:rPr>
          <w:sz w:val="22"/>
          <w:szCs w:val="22"/>
        </w:rPr>
      </w:pPr>
      <w:r w:rsidRPr="00652F75">
        <w:rPr>
          <w:sz w:val="22"/>
          <w:szCs w:val="22"/>
        </w:rPr>
        <w:t>The mayor shall submit the activity report to the municipal council during the meeting in April. A copy of the report shall be communicated to the Ministry of Interior and the report shall be made public.</w:t>
      </w:r>
    </w:p>
    <w:p w14:paraId="4EB09805" w14:textId="77777777" w:rsidR="0002654A" w:rsidRPr="00652F75" w:rsidRDefault="0002654A" w:rsidP="0002654A">
      <w:pPr>
        <w:tabs>
          <w:tab w:val="left" w:pos="720"/>
        </w:tabs>
        <w:ind w:left="720" w:right="-1"/>
        <w:jc w:val="both"/>
        <w:rPr>
          <w:sz w:val="22"/>
          <w:szCs w:val="22"/>
        </w:rPr>
      </w:pPr>
    </w:p>
    <w:p w14:paraId="0E4D170D" w14:textId="1183AE34" w:rsidR="0002654A" w:rsidRPr="00652F75" w:rsidRDefault="0002654A" w:rsidP="0002654A">
      <w:pPr>
        <w:tabs>
          <w:tab w:val="left" w:pos="720"/>
        </w:tabs>
        <w:ind w:right="-1"/>
        <w:jc w:val="both"/>
        <w:rPr>
          <w:b/>
          <w:sz w:val="22"/>
          <w:szCs w:val="22"/>
        </w:rPr>
      </w:pPr>
      <w:r w:rsidRPr="00652F75">
        <w:rPr>
          <w:b/>
          <w:sz w:val="22"/>
          <w:szCs w:val="22"/>
        </w:rPr>
        <w:t>Failure in services (Article 57):</w:t>
      </w:r>
      <w:r w:rsidRPr="00652F75">
        <w:rPr>
          <w:sz w:val="22"/>
          <w:szCs w:val="22"/>
        </w:rPr>
        <w:t xml:space="preserve">  Where, </w:t>
      </w:r>
      <w:r w:rsidRPr="00652F75">
        <w:rPr>
          <w:b/>
          <w:sz w:val="22"/>
          <w:szCs w:val="22"/>
        </w:rPr>
        <w:t>at the request of the Ministry of Interior</w:t>
      </w:r>
      <w:r w:rsidRPr="00652F75">
        <w:rPr>
          <w:sz w:val="22"/>
          <w:szCs w:val="22"/>
        </w:rPr>
        <w:t xml:space="preserve">, the competent judge of the peace court finds that a </w:t>
      </w:r>
      <w:r w:rsidRPr="00652F75">
        <w:rPr>
          <w:b/>
          <w:sz w:val="22"/>
          <w:szCs w:val="22"/>
        </w:rPr>
        <w:t>municipality’s services are seriously failing and such failure is adversely affecting the population’s health, peace and well-being to a vital degree,</w:t>
      </w:r>
      <w:r w:rsidRPr="00652F75">
        <w:rPr>
          <w:sz w:val="22"/>
          <w:szCs w:val="22"/>
        </w:rPr>
        <w:t xml:space="preserve"> the Minister of the Interior shall ask, and allow reasonable time to, the mayor to remedy the failure in service provision in the light of the particular nature of the service. </w:t>
      </w:r>
      <w:r w:rsidRPr="00652F75">
        <w:rPr>
          <w:b/>
          <w:sz w:val="22"/>
          <w:szCs w:val="22"/>
        </w:rPr>
        <w:t>If the failure cannot be remedied, the Minister shall request the governor of the province concerned to provide the service in question</w:t>
      </w:r>
      <w:r w:rsidRPr="00652F75">
        <w:rPr>
          <w:sz w:val="22"/>
          <w:szCs w:val="22"/>
        </w:rPr>
        <w:t xml:space="preserve">. Then, the provincial governor shall at first remedy the failure by means of the municipal equipment, staff and other facilities. If that is impossible, he may also use the resources of other public entities. The provincial governor shall notify the Bank of Provinces of the cost incurred, and the Bank of Provinces shall place the amount at the disposal of the provincial governor’s office out of the apportionment allocated to the municipality concerned out of its total amount of tax revenue under the general budget for the following month. </w:t>
      </w:r>
    </w:p>
    <w:p w14:paraId="3E7A088B" w14:textId="77777777" w:rsidR="0002654A" w:rsidRPr="00652F75" w:rsidRDefault="0002654A" w:rsidP="0002654A">
      <w:pPr>
        <w:tabs>
          <w:tab w:val="left" w:pos="720"/>
        </w:tabs>
        <w:ind w:right="-1"/>
        <w:jc w:val="both"/>
        <w:rPr>
          <w:sz w:val="22"/>
          <w:szCs w:val="22"/>
        </w:rPr>
      </w:pPr>
    </w:p>
    <w:p w14:paraId="6AA68686" w14:textId="77777777" w:rsidR="0002654A" w:rsidRPr="00652F75" w:rsidRDefault="0002654A" w:rsidP="0002654A">
      <w:pPr>
        <w:tabs>
          <w:tab w:val="left" w:pos="720"/>
        </w:tabs>
        <w:ind w:right="-1"/>
        <w:jc w:val="both"/>
        <w:rPr>
          <w:sz w:val="22"/>
          <w:szCs w:val="22"/>
        </w:rPr>
      </w:pPr>
      <w:r w:rsidRPr="00652F75">
        <w:rPr>
          <w:sz w:val="22"/>
          <w:szCs w:val="22"/>
        </w:rPr>
        <w:t xml:space="preserve">The municipality concerned may appeal to the law court of first instance against the decision taken by the judge of the peace court at the request of the Ministry of Interior. </w:t>
      </w:r>
      <w:r w:rsidRPr="00652F75">
        <w:rPr>
          <w:sz w:val="22"/>
          <w:szCs w:val="22"/>
        </w:rPr>
        <w:cr/>
      </w:r>
    </w:p>
    <w:p w14:paraId="42C89522" w14:textId="2A963302" w:rsidR="00851D17" w:rsidRPr="00652F75" w:rsidRDefault="00851D17" w:rsidP="0002654A">
      <w:pPr>
        <w:tabs>
          <w:tab w:val="left" w:pos="720"/>
        </w:tabs>
        <w:ind w:right="-1"/>
        <w:jc w:val="both"/>
        <w:rPr>
          <w:sz w:val="22"/>
          <w:szCs w:val="22"/>
        </w:rPr>
      </w:pPr>
      <w:r w:rsidRPr="00652F75">
        <w:rPr>
          <w:sz w:val="22"/>
          <w:szCs w:val="22"/>
        </w:rPr>
        <w:t>The Ministry of Interior has a complaints mechanism regarding local governments and local government employees.</w:t>
      </w:r>
      <w:r w:rsidRPr="00652F75">
        <w:rPr>
          <w:rStyle w:val="FootnoteReference"/>
          <w:sz w:val="22"/>
          <w:szCs w:val="22"/>
        </w:rPr>
        <w:footnoteReference w:id="13"/>
      </w:r>
    </w:p>
    <w:p w14:paraId="1777A0A6" w14:textId="77777777" w:rsidR="00851D17" w:rsidRPr="00652F75" w:rsidRDefault="00851D17" w:rsidP="0002654A">
      <w:pPr>
        <w:tabs>
          <w:tab w:val="left" w:pos="720"/>
        </w:tabs>
        <w:ind w:right="-1"/>
        <w:jc w:val="both"/>
        <w:rPr>
          <w:sz w:val="22"/>
          <w:szCs w:val="22"/>
        </w:rPr>
      </w:pPr>
    </w:p>
    <w:p w14:paraId="635AB162" w14:textId="4544F4B7" w:rsidR="00851D17" w:rsidRPr="00652F75" w:rsidRDefault="00851D17" w:rsidP="0002654A">
      <w:pPr>
        <w:tabs>
          <w:tab w:val="left" w:pos="720"/>
        </w:tabs>
        <w:ind w:right="-1"/>
        <w:jc w:val="both"/>
        <w:rPr>
          <w:sz w:val="22"/>
          <w:szCs w:val="22"/>
        </w:rPr>
      </w:pPr>
      <w:r w:rsidRPr="00652F75">
        <w:rPr>
          <w:sz w:val="22"/>
          <w:szCs w:val="22"/>
        </w:rPr>
        <w:t>There is also an Ethical Board</w:t>
      </w:r>
      <w:r w:rsidR="007E3CC2" w:rsidRPr="00652F75">
        <w:rPr>
          <w:sz w:val="22"/>
          <w:szCs w:val="22"/>
        </w:rPr>
        <w:t xml:space="preserve"> of Public Employees, where complaints can be made against local government employees.</w:t>
      </w:r>
      <w:r w:rsidR="007E3CC2" w:rsidRPr="00652F75">
        <w:rPr>
          <w:rStyle w:val="FootnoteReference"/>
          <w:sz w:val="22"/>
          <w:szCs w:val="22"/>
        </w:rPr>
        <w:footnoteReference w:id="14"/>
      </w:r>
    </w:p>
    <w:p w14:paraId="2AEEB3DC" w14:textId="77777777" w:rsidR="00851D17" w:rsidRPr="00652F75" w:rsidRDefault="00851D17" w:rsidP="0002654A">
      <w:pPr>
        <w:tabs>
          <w:tab w:val="left" w:pos="720"/>
        </w:tabs>
        <w:ind w:right="-1"/>
        <w:jc w:val="both"/>
        <w:rPr>
          <w:sz w:val="22"/>
          <w:szCs w:val="22"/>
        </w:rPr>
      </w:pPr>
    </w:p>
    <w:p w14:paraId="1005E4CE" w14:textId="77777777" w:rsidR="00044720" w:rsidRPr="00652F75" w:rsidRDefault="00044720" w:rsidP="006C7127">
      <w:pPr>
        <w:tabs>
          <w:tab w:val="left" w:pos="720"/>
        </w:tabs>
        <w:ind w:left="720" w:right="-1"/>
        <w:jc w:val="both"/>
        <w:rPr>
          <w:sz w:val="22"/>
          <w:szCs w:val="22"/>
        </w:rPr>
      </w:pPr>
    </w:p>
    <w:p w14:paraId="4D277A18" w14:textId="3C9E0516"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t xml:space="preserve">State level or municipal level Bills of Rights/Charters </w:t>
      </w:r>
      <w:r w:rsidR="0002654A" w:rsidRPr="00652F75">
        <w:rPr>
          <w:sz w:val="22"/>
          <w:szCs w:val="22"/>
        </w:rPr>
        <w:t xml:space="preserve">- </w:t>
      </w:r>
      <w:r w:rsidRPr="00652F75">
        <w:rPr>
          <w:b/>
          <w:sz w:val="22"/>
          <w:szCs w:val="22"/>
        </w:rPr>
        <w:t>No</w:t>
      </w:r>
      <w:r w:rsidRPr="00652F75">
        <w:rPr>
          <w:sz w:val="22"/>
          <w:szCs w:val="22"/>
        </w:rPr>
        <w:t xml:space="preserve"> </w:t>
      </w:r>
    </w:p>
    <w:p w14:paraId="7E83BA97" w14:textId="77777777" w:rsidR="00044720" w:rsidRPr="00652F75" w:rsidRDefault="00044720" w:rsidP="006C7127">
      <w:pPr>
        <w:tabs>
          <w:tab w:val="left" w:pos="720"/>
        </w:tabs>
        <w:ind w:left="720" w:right="-1"/>
        <w:jc w:val="both"/>
        <w:rPr>
          <w:sz w:val="22"/>
          <w:szCs w:val="22"/>
        </w:rPr>
      </w:pPr>
    </w:p>
    <w:p w14:paraId="1E9A24D3" w14:textId="4F629C8C" w:rsidR="00044720" w:rsidRPr="00652F75" w:rsidRDefault="00044720" w:rsidP="006C7127">
      <w:pPr>
        <w:tabs>
          <w:tab w:val="left" w:pos="720"/>
        </w:tabs>
        <w:ind w:left="720" w:right="-1"/>
        <w:jc w:val="both"/>
        <w:rPr>
          <w:sz w:val="22"/>
          <w:szCs w:val="22"/>
        </w:rPr>
      </w:pPr>
      <w:r w:rsidRPr="00652F75">
        <w:rPr>
          <w:sz w:val="22"/>
          <w:szCs w:val="22"/>
        </w:rPr>
        <w:t></w:t>
      </w:r>
      <w:r w:rsidRPr="00652F75">
        <w:rPr>
          <w:sz w:val="22"/>
          <w:szCs w:val="22"/>
        </w:rPr>
        <w:tab/>
        <w:t xml:space="preserve">Inter-governmental agreements </w:t>
      </w:r>
      <w:r w:rsidR="0002654A" w:rsidRPr="00652F75">
        <w:rPr>
          <w:sz w:val="22"/>
          <w:szCs w:val="22"/>
        </w:rPr>
        <w:t xml:space="preserve">- </w:t>
      </w:r>
      <w:r w:rsidRPr="00652F75">
        <w:rPr>
          <w:b/>
          <w:sz w:val="22"/>
          <w:szCs w:val="22"/>
        </w:rPr>
        <w:t>No</w:t>
      </w:r>
      <w:r w:rsidRPr="00652F75">
        <w:rPr>
          <w:sz w:val="22"/>
          <w:szCs w:val="22"/>
        </w:rPr>
        <w:t xml:space="preserve"> </w:t>
      </w:r>
    </w:p>
    <w:p w14:paraId="1A8370C5" w14:textId="77777777" w:rsidR="00044720" w:rsidRPr="00652F75" w:rsidRDefault="00044720" w:rsidP="006C7127">
      <w:pPr>
        <w:tabs>
          <w:tab w:val="left" w:pos="720"/>
        </w:tabs>
        <w:ind w:left="720" w:right="-1"/>
        <w:jc w:val="both"/>
        <w:rPr>
          <w:sz w:val="22"/>
          <w:szCs w:val="22"/>
        </w:rPr>
      </w:pPr>
    </w:p>
    <w:p w14:paraId="016CE89A" w14:textId="151C796F" w:rsidR="007E3CC2" w:rsidRPr="00652F75" w:rsidRDefault="00044720" w:rsidP="00815944">
      <w:pPr>
        <w:tabs>
          <w:tab w:val="left" w:pos="720"/>
        </w:tabs>
        <w:ind w:left="1440" w:right="-1" w:hanging="720"/>
        <w:jc w:val="both"/>
        <w:rPr>
          <w:b/>
          <w:sz w:val="22"/>
          <w:szCs w:val="22"/>
        </w:rPr>
      </w:pPr>
      <w:r w:rsidRPr="00652F75">
        <w:rPr>
          <w:sz w:val="22"/>
          <w:szCs w:val="22"/>
        </w:rPr>
        <w:lastRenderedPageBreak/>
        <w:t></w:t>
      </w:r>
      <w:r w:rsidRPr="00652F75">
        <w:rPr>
          <w:sz w:val="22"/>
          <w:szCs w:val="22"/>
        </w:rPr>
        <w:tab/>
        <w:t>Conditional financing (</w:t>
      </w:r>
      <w:proofErr w:type="spellStart"/>
      <w:r w:rsidRPr="00652F75">
        <w:rPr>
          <w:sz w:val="22"/>
          <w:szCs w:val="22"/>
        </w:rPr>
        <w:t>eg</w:t>
      </w:r>
      <w:proofErr w:type="spellEnd"/>
      <w:r w:rsidRPr="00652F75">
        <w:rPr>
          <w:sz w:val="22"/>
          <w:szCs w:val="22"/>
        </w:rPr>
        <w:t xml:space="preserve">: </w:t>
      </w:r>
      <w:r w:rsidR="000339AE" w:rsidRPr="00652F75">
        <w:rPr>
          <w:sz w:val="22"/>
          <w:szCs w:val="22"/>
        </w:rPr>
        <w:t xml:space="preserve">budget transfers </w:t>
      </w:r>
      <w:r w:rsidRPr="00652F75">
        <w:rPr>
          <w:sz w:val="22"/>
          <w:szCs w:val="22"/>
        </w:rPr>
        <w:t xml:space="preserve">from national level to sub-national) </w:t>
      </w:r>
      <w:r w:rsidRPr="00652F75">
        <w:rPr>
          <w:b/>
          <w:sz w:val="22"/>
          <w:szCs w:val="22"/>
        </w:rPr>
        <w:t>Yes</w:t>
      </w:r>
    </w:p>
    <w:p w14:paraId="48F62FA0" w14:textId="006B513F" w:rsidR="00F01F15" w:rsidRPr="00652F75" w:rsidRDefault="00F01F15" w:rsidP="00815944">
      <w:pPr>
        <w:tabs>
          <w:tab w:val="left" w:pos="720"/>
        </w:tabs>
        <w:ind w:left="1440" w:right="-1" w:hanging="720"/>
        <w:jc w:val="both"/>
        <w:rPr>
          <w:sz w:val="22"/>
          <w:szCs w:val="22"/>
        </w:rPr>
      </w:pPr>
    </w:p>
    <w:p w14:paraId="3F89FF4C" w14:textId="2737BEDD" w:rsidR="00044720" w:rsidRPr="00652F75" w:rsidRDefault="00F01F15" w:rsidP="00652F75">
      <w:pPr>
        <w:tabs>
          <w:tab w:val="left" w:pos="720"/>
        </w:tabs>
        <w:ind w:right="-1"/>
        <w:jc w:val="both"/>
        <w:rPr>
          <w:sz w:val="22"/>
          <w:szCs w:val="22"/>
        </w:rPr>
      </w:pPr>
      <w:r w:rsidRPr="00652F75">
        <w:rPr>
          <w:sz w:val="22"/>
          <w:szCs w:val="22"/>
        </w:rPr>
        <w:t>Please see above the comments on the Law No. 5393 on Municipality</w:t>
      </w:r>
      <w:r w:rsidR="00044720" w:rsidRPr="00652F75">
        <w:rPr>
          <w:sz w:val="22"/>
          <w:szCs w:val="22"/>
        </w:rPr>
        <w:t xml:space="preserve"> </w:t>
      </w:r>
      <w:r w:rsidRPr="00652F75">
        <w:rPr>
          <w:sz w:val="22"/>
          <w:szCs w:val="22"/>
        </w:rPr>
        <w:t xml:space="preserve">art. 54-57. </w:t>
      </w:r>
    </w:p>
    <w:p w14:paraId="2C13D642" w14:textId="77777777" w:rsidR="00044720" w:rsidRPr="00652F75" w:rsidRDefault="00044720" w:rsidP="006C7127">
      <w:pPr>
        <w:tabs>
          <w:tab w:val="left" w:pos="720"/>
        </w:tabs>
        <w:ind w:right="-1"/>
        <w:jc w:val="both"/>
        <w:rPr>
          <w:sz w:val="22"/>
          <w:szCs w:val="22"/>
        </w:rPr>
      </w:pPr>
    </w:p>
    <w:p w14:paraId="100F7F0A" w14:textId="77777777" w:rsidR="00044720" w:rsidRPr="00652F75" w:rsidRDefault="00044720" w:rsidP="006C7127">
      <w:pPr>
        <w:tabs>
          <w:tab w:val="left" w:pos="720"/>
        </w:tabs>
        <w:ind w:left="720" w:right="-1"/>
        <w:jc w:val="both"/>
        <w:rPr>
          <w:sz w:val="22"/>
          <w:szCs w:val="22"/>
        </w:rPr>
      </w:pPr>
      <w:r w:rsidRPr="00652F75">
        <w:rPr>
          <w:sz w:val="22"/>
          <w:szCs w:val="22"/>
        </w:rPr>
        <w:t>2.</w:t>
      </w:r>
      <w:r w:rsidRPr="00652F75">
        <w:rPr>
          <w:sz w:val="22"/>
          <w:szCs w:val="22"/>
        </w:rPr>
        <w:tab/>
        <w:t>W</w:t>
      </w:r>
      <w:r w:rsidR="00F45B22" w:rsidRPr="00652F75">
        <w:rPr>
          <w:sz w:val="22"/>
          <w:szCs w:val="22"/>
        </w:rPr>
        <w:t xml:space="preserve">ith respect to the above and where applicable, </w:t>
      </w:r>
      <w:r w:rsidRPr="00652F75">
        <w:rPr>
          <w:sz w:val="22"/>
          <w:szCs w:val="22"/>
        </w:rPr>
        <w:t xml:space="preserve">please identify: </w:t>
      </w:r>
    </w:p>
    <w:p w14:paraId="3D896D09" w14:textId="77777777" w:rsidR="00044720" w:rsidRPr="00652F75" w:rsidRDefault="00044720" w:rsidP="006C7127">
      <w:pPr>
        <w:tabs>
          <w:tab w:val="left" w:pos="720"/>
        </w:tabs>
        <w:ind w:left="720" w:right="-1"/>
        <w:jc w:val="both"/>
        <w:rPr>
          <w:sz w:val="22"/>
          <w:szCs w:val="22"/>
        </w:rPr>
      </w:pPr>
    </w:p>
    <w:p w14:paraId="5C28DA45" w14:textId="77777777" w:rsidR="00044720" w:rsidRPr="00652F75" w:rsidRDefault="00044720" w:rsidP="003D0CCC">
      <w:pPr>
        <w:numPr>
          <w:ilvl w:val="0"/>
          <w:numId w:val="3"/>
        </w:numPr>
        <w:tabs>
          <w:tab w:val="left" w:pos="720"/>
        </w:tabs>
        <w:ind w:left="2160" w:right="-1"/>
        <w:jc w:val="both"/>
        <w:rPr>
          <w:sz w:val="22"/>
          <w:szCs w:val="22"/>
        </w:rPr>
      </w:pPr>
      <w:proofErr w:type="gramStart"/>
      <w:r w:rsidRPr="00652F75">
        <w:rPr>
          <w:sz w:val="22"/>
          <w:szCs w:val="22"/>
        </w:rPr>
        <w:t>the</w:t>
      </w:r>
      <w:proofErr w:type="gramEnd"/>
      <w:r w:rsidRPr="00652F75">
        <w:rPr>
          <w:sz w:val="22"/>
          <w:szCs w:val="22"/>
        </w:rPr>
        <w:t xml:space="preserve"> relevant provision</w:t>
      </w:r>
      <w:r w:rsidR="000339AE" w:rsidRPr="00652F75">
        <w:rPr>
          <w:sz w:val="22"/>
          <w:szCs w:val="22"/>
        </w:rPr>
        <w:t>.</w:t>
      </w:r>
    </w:p>
    <w:p w14:paraId="264A6767" w14:textId="77777777" w:rsidR="00044720" w:rsidRPr="00652F75" w:rsidRDefault="00044720" w:rsidP="00AF7D70">
      <w:pPr>
        <w:tabs>
          <w:tab w:val="left" w:pos="720"/>
        </w:tabs>
        <w:ind w:left="1440" w:right="-1"/>
        <w:jc w:val="both"/>
        <w:rPr>
          <w:sz w:val="22"/>
          <w:szCs w:val="22"/>
        </w:rPr>
      </w:pPr>
    </w:p>
    <w:p w14:paraId="0F6DA832" w14:textId="77777777" w:rsidR="00044720" w:rsidRPr="00652F75" w:rsidRDefault="00044720" w:rsidP="00AF7D70">
      <w:pPr>
        <w:tabs>
          <w:tab w:val="left" w:pos="720"/>
        </w:tabs>
        <w:ind w:left="1440" w:right="-1"/>
        <w:jc w:val="both"/>
        <w:rPr>
          <w:sz w:val="22"/>
          <w:szCs w:val="22"/>
        </w:rPr>
      </w:pPr>
    </w:p>
    <w:p w14:paraId="7CDA4E77" w14:textId="77777777" w:rsidR="00044720" w:rsidRPr="00652F75" w:rsidRDefault="00044720" w:rsidP="003D0CCC">
      <w:pPr>
        <w:numPr>
          <w:ilvl w:val="0"/>
          <w:numId w:val="3"/>
        </w:numPr>
        <w:tabs>
          <w:tab w:val="left" w:pos="720"/>
        </w:tabs>
        <w:ind w:left="2160" w:right="-1"/>
        <w:jc w:val="both"/>
        <w:rPr>
          <w:sz w:val="22"/>
          <w:szCs w:val="22"/>
        </w:rPr>
      </w:pPr>
      <w:proofErr w:type="gramStart"/>
      <w:r w:rsidRPr="00652F75">
        <w:rPr>
          <w:sz w:val="22"/>
          <w:szCs w:val="22"/>
        </w:rPr>
        <w:t>the</w:t>
      </w:r>
      <w:proofErr w:type="gramEnd"/>
      <w:r w:rsidRPr="00652F75">
        <w:rPr>
          <w:sz w:val="22"/>
          <w:szCs w:val="22"/>
        </w:rPr>
        <w:t xml:space="preserve"> sub-national levels of government to which the legal provision applies</w:t>
      </w:r>
      <w:r w:rsidR="007C6BE9" w:rsidRPr="00652F75">
        <w:rPr>
          <w:sz w:val="22"/>
          <w:szCs w:val="22"/>
        </w:rPr>
        <w:t>.</w:t>
      </w:r>
      <w:r w:rsidRPr="00652F75">
        <w:rPr>
          <w:sz w:val="22"/>
          <w:szCs w:val="22"/>
        </w:rPr>
        <w:t xml:space="preserve"> </w:t>
      </w:r>
    </w:p>
    <w:p w14:paraId="5E01364C" w14:textId="77777777" w:rsidR="00AF7D70" w:rsidRPr="00652F75" w:rsidRDefault="00AF7D70" w:rsidP="00AF7D70">
      <w:pPr>
        <w:tabs>
          <w:tab w:val="left" w:pos="720"/>
        </w:tabs>
        <w:ind w:left="1440" w:right="-1"/>
        <w:jc w:val="both"/>
        <w:rPr>
          <w:sz w:val="22"/>
          <w:szCs w:val="22"/>
        </w:rPr>
      </w:pPr>
    </w:p>
    <w:p w14:paraId="6F8CE03E" w14:textId="77777777" w:rsidR="000339AE" w:rsidRPr="00652F75" w:rsidRDefault="000339AE" w:rsidP="003D0CCC">
      <w:pPr>
        <w:numPr>
          <w:ilvl w:val="0"/>
          <w:numId w:val="3"/>
        </w:numPr>
        <w:tabs>
          <w:tab w:val="left" w:pos="720"/>
        </w:tabs>
        <w:ind w:left="2160" w:right="-1"/>
        <w:jc w:val="both"/>
        <w:rPr>
          <w:sz w:val="22"/>
          <w:szCs w:val="22"/>
        </w:rPr>
      </w:pPr>
      <w:proofErr w:type="gramStart"/>
      <w:r w:rsidRPr="00652F75">
        <w:rPr>
          <w:sz w:val="22"/>
          <w:szCs w:val="22"/>
        </w:rPr>
        <w:t>the</w:t>
      </w:r>
      <w:proofErr w:type="gramEnd"/>
      <w:r w:rsidRPr="00652F75">
        <w:rPr>
          <w:sz w:val="22"/>
          <w:szCs w:val="22"/>
        </w:rPr>
        <w:t xml:space="preserve"> means of enforcement (</w:t>
      </w:r>
      <w:proofErr w:type="spellStart"/>
      <w:r w:rsidRPr="00652F75">
        <w:rPr>
          <w:sz w:val="22"/>
          <w:szCs w:val="22"/>
        </w:rPr>
        <w:t>eg</w:t>
      </w:r>
      <w:proofErr w:type="spellEnd"/>
      <w:r w:rsidRPr="00652F75">
        <w:rPr>
          <w:sz w:val="22"/>
          <w:szCs w:val="22"/>
        </w:rPr>
        <w:t>: courts, tribunals, national human rights institution, including ombudsmen, administrative mechanisms, etc.) and examples of how these means have been applied.</w:t>
      </w:r>
    </w:p>
    <w:p w14:paraId="486C82C3" w14:textId="77777777" w:rsidR="007E551C" w:rsidRPr="00652F75" w:rsidRDefault="007E551C" w:rsidP="00652F75">
      <w:pPr>
        <w:tabs>
          <w:tab w:val="left" w:pos="720"/>
        </w:tabs>
        <w:ind w:right="-1"/>
        <w:jc w:val="both"/>
        <w:rPr>
          <w:sz w:val="22"/>
          <w:szCs w:val="22"/>
        </w:rPr>
      </w:pPr>
    </w:p>
    <w:p w14:paraId="316F680E" w14:textId="4C1C912D" w:rsidR="007E551C" w:rsidRPr="00652F75" w:rsidRDefault="007E551C" w:rsidP="00652F75">
      <w:pPr>
        <w:tabs>
          <w:tab w:val="left" w:pos="720"/>
        </w:tabs>
        <w:ind w:right="-1"/>
        <w:jc w:val="both"/>
        <w:rPr>
          <w:sz w:val="22"/>
          <w:szCs w:val="22"/>
        </w:rPr>
      </w:pPr>
      <w:r w:rsidRPr="00652F75">
        <w:rPr>
          <w:sz w:val="22"/>
          <w:szCs w:val="22"/>
        </w:rPr>
        <w:t xml:space="preserve">Constitutional Court, Administrative courts, Turkish Human Rights Institution and the Office of the Ombudsperson would have the authority. However, it has to be noted that the decisions of the Turkish Human Rights Institution and the Ombudsperson are not binding. </w:t>
      </w:r>
    </w:p>
    <w:p w14:paraId="0A83942D" w14:textId="77777777" w:rsidR="00044720" w:rsidRPr="00652F75" w:rsidRDefault="00044720" w:rsidP="006C7127">
      <w:pPr>
        <w:tabs>
          <w:tab w:val="left" w:pos="720"/>
        </w:tabs>
        <w:ind w:left="1080" w:right="-1"/>
        <w:jc w:val="both"/>
        <w:rPr>
          <w:sz w:val="22"/>
          <w:szCs w:val="22"/>
        </w:rPr>
      </w:pPr>
    </w:p>
    <w:p w14:paraId="74D83A51" w14:textId="77777777" w:rsidR="00044720" w:rsidRPr="00652F75" w:rsidRDefault="00044720" w:rsidP="006C7127">
      <w:pPr>
        <w:tabs>
          <w:tab w:val="left" w:pos="720"/>
        </w:tabs>
        <w:ind w:right="-1"/>
        <w:jc w:val="both"/>
        <w:rPr>
          <w:sz w:val="22"/>
          <w:szCs w:val="22"/>
        </w:rPr>
      </w:pPr>
    </w:p>
    <w:p w14:paraId="26422991" w14:textId="77777777" w:rsidR="00F45B22" w:rsidRPr="00652F75" w:rsidRDefault="00044720" w:rsidP="003D0CCC">
      <w:pPr>
        <w:numPr>
          <w:ilvl w:val="0"/>
          <w:numId w:val="6"/>
        </w:numPr>
        <w:tabs>
          <w:tab w:val="left" w:pos="720"/>
        </w:tabs>
        <w:ind w:right="-1"/>
        <w:jc w:val="both"/>
        <w:rPr>
          <w:b/>
          <w:i/>
          <w:sz w:val="22"/>
          <w:szCs w:val="22"/>
        </w:rPr>
      </w:pPr>
      <w:r w:rsidRPr="00652F75">
        <w:rPr>
          <w:b/>
          <w:i/>
          <w:sz w:val="22"/>
          <w:szCs w:val="22"/>
        </w:rPr>
        <w:t>Are sub-national governments involved in State reporting to international human rights monitoring mechanisms and in implementing recommendations?  (</w:t>
      </w:r>
      <w:proofErr w:type="spellStart"/>
      <w:proofErr w:type="gramStart"/>
      <w:r w:rsidRPr="00652F75">
        <w:rPr>
          <w:b/>
          <w:i/>
          <w:sz w:val="22"/>
          <w:szCs w:val="22"/>
        </w:rPr>
        <w:t>eg</w:t>
      </w:r>
      <w:proofErr w:type="spellEnd"/>
      <w:proofErr w:type="gramEnd"/>
      <w:r w:rsidRPr="00652F75">
        <w:rPr>
          <w:b/>
          <w:i/>
          <w:sz w:val="22"/>
          <w:szCs w:val="22"/>
        </w:rPr>
        <w:t>, UN treaty monitoring body, Universal Periodic Review). If so, how?</w:t>
      </w:r>
      <w:r w:rsidR="007C6BE9" w:rsidRPr="00652F75">
        <w:rPr>
          <w:b/>
          <w:i/>
          <w:sz w:val="22"/>
          <w:szCs w:val="22"/>
        </w:rPr>
        <w:t xml:space="preserve"> </w:t>
      </w:r>
      <w:r w:rsidRPr="00652F75">
        <w:rPr>
          <w:b/>
          <w:i/>
          <w:sz w:val="22"/>
          <w:szCs w:val="22"/>
        </w:rPr>
        <w:t xml:space="preserve"> Please </w:t>
      </w:r>
      <w:r w:rsidR="007C6BE9" w:rsidRPr="00652F75">
        <w:rPr>
          <w:b/>
          <w:i/>
          <w:sz w:val="22"/>
          <w:szCs w:val="22"/>
        </w:rPr>
        <w:t>kindly provide</w:t>
      </w:r>
      <w:r w:rsidRPr="00652F75">
        <w:rPr>
          <w:b/>
          <w:i/>
          <w:sz w:val="22"/>
          <w:szCs w:val="22"/>
        </w:rPr>
        <w:t xml:space="preserve"> an example</w:t>
      </w:r>
      <w:r w:rsidR="00372EF1" w:rsidRPr="00652F75">
        <w:rPr>
          <w:b/>
          <w:i/>
          <w:sz w:val="22"/>
          <w:szCs w:val="22"/>
        </w:rPr>
        <w:t>.</w:t>
      </w:r>
      <w:r w:rsidRPr="00652F75">
        <w:rPr>
          <w:b/>
          <w:i/>
          <w:sz w:val="22"/>
          <w:szCs w:val="22"/>
        </w:rPr>
        <w:t xml:space="preserve"> </w:t>
      </w:r>
    </w:p>
    <w:p w14:paraId="53416821" w14:textId="77777777" w:rsidR="005066F6" w:rsidRPr="00652F75" w:rsidRDefault="005066F6" w:rsidP="005066F6">
      <w:pPr>
        <w:tabs>
          <w:tab w:val="left" w:pos="720"/>
        </w:tabs>
        <w:ind w:left="1080" w:right="-1"/>
        <w:jc w:val="both"/>
        <w:rPr>
          <w:sz w:val="22"/>
          <w:szCs w:val="22"/>
        </w:rPr>
      </w:pPr>
    </w:p>
    <w:p w14:paraId="0F44ACA2" w14:textId="3BE6336E" w:rsidR="0004668C" w:rsidRPr="00652F75" w:rsidRDefault="0004668C" w:rsidP="00430A49">
      <w:pPr>
        <w:tabs>
          <w:tab w:val="left" w:pos="720"/>
        </w:tabs>
        <w:ind w:left="1077"/>
        <w:jc w:val="both"/>
        <w:rPr>
          <w:sz w:val="22"/>
          <w:szCs w:val="22"/>
        </w:rPr>
      </w:pPr>
      <w:r w:rsidRPr="00652F75">
        <w:rPr>
          <w:sz w:val="22"/>
          <w:szCs w:val="22"/>
        </w:rPr>
        <w:t>There are no direct legally binding provisions regarding the responsibility of the local government structures in the implementation of housing rights at local level. However, constitutional framework relat</w:t>
      </w:r>
      <w:r w:rsidR="00050909" w:rsidRPr="00652F75">
        <w:rPr>
          <w:sz w:val="22"/>
          <w:szCs w:val="22"/>
        </w:rPr>
        <w:t>ing</w:t>
      </w:r>
      <w:r w:rsidRPr="00652F75">
        <w:rPr>
          <w:sz w:val="22"/>
          <w:szCs w:val="22"/>
        </w:rPr>
        <w:t xml:space="preserve"> to general administrative principles, special laws on the mandate of local government</w:t>
      </w:r>
      <w:r w:rsidR="007E551C" w:rsidRPr="00652F75">
        <w:rPr>
          <w:sz w:val="22"/>
          <w:szCs w:val="22"/>
        </w:rPr>
        <w:t>s</w:t>
      </w:r>
      <w:r w:rsidRPr="00652F75">
        <w:rPr>
          <w:sz w:val="22"/>
          <w:szCs w:val="22"/>
        </w:rPr>
        <w:t xml:space="preserve"> and finally human rights obligations of Turkey arising from international or regional human rights conventions offer a broad range of opportunit</w:t>
      </w:r>
      <w:r w:rsidR="007E551C" w:rsidRPr="00652F75">
        <w:rPr>
          <w:sz w:val="22"/>
          <w:szCs w:val="22"/>
        </w:rPr>
        <w:t>ies</w:t>
      </w:r>
      <w:r w:rsidRPr="00652F75">
        <w:rPr>
          <w:sz w:val="22"/>
          <w:szCs w:val="22"/>
        </w:rPr>
        <w:t xml:space="preserve"> to determine the scope of responsibilities of local government</w:t>
      </w:r>
      <w:r w:rsidR="00050909" w:rsidRPr="00652F75">
        <w:rPr>
          <w:sz w:val="22"/>
          <w:szCs w:val="22"/>
        </w:rPr>
        <w:t>s</w:t>
      </w:r>
      <w:r w:rsidRPr="00652F75">
        <w:rPr>
          <w:sz w:val="22"/>
          <w:szCs w:val="22"/>
        </w:rPr>
        <w:t xml:space="preserve">. </w:t>
      </w:r>
    </w:p>
    <w:p w14:paraId="589F72E1" w14:textId="77777777" w:rsidR="00430A49" w:rsidRPr="00652F75" w:rsidRDefault="00430A49" w:rsidP="00430A49">
      <w:pPr>
        <w:tabs>
          <w:tab w:val="left" w:pos="720"/>
        </w:tabs>
        <w:ind w:left="1077"/>
        <w:jc w:val="both"/>
        <w:rPr>
          <w:sz w:val="22"/>
          <w:szCs w:val="22"/>
        </w:rPr>
      </w:pPr>
    </w:p>
    <w:p w14:paraId="416971DB" w14:textId="6BF49B7B" w:rsidR="005066F6" w:rsidRPr="00652F75" w:rsidRDefault="00050909" w:rsidP="0004668C">
      <w:pPr>
        <w:ind w:left="1077"/>
        <w:jc w:val="both"/>
        <w:rPr>
          <w:sz w:val="22"/>
          <w:szCs w:val="22"/>
        </w:rPr>
      </w:pPr>
      <w:r w:rsidRPr="00652F75">
        <w:rPr>
          <w:sz w:val="22"/>
          <w:szCs w:val="22"/>
        </w:rPr>
        <w:t xml:space="preserve">İstanbul </w:t>
      </w:r>
      <w:proofErr w:type="spellStart"/>
      <w:r w:rsidRPr="00652F75">
        <w:rPr>
          <w:sz w:val="22"/>
          <w:szCs w:val="22"/>
        </w:rPr>
        <w:t>Bilgi</w:t>
      </w:r>
      <w:proofErr w:type="spellEnd"/>
      <w:r w:rsidRPr="00652F75">
        <w:rPr>
          <w:sz w:val="22"/>
          <w:szCs w:val="22"/>
        </w:rPr>
        <w:t xml:space="preserve"> University </w:t>
      </w:r>
      <w:r w:rsidR="005066F6" w:rsidRPr="00652F75">
        <w:rPr>
          <w:sz w:val="22"/>
          <w:szCs w:val="22"/>
        </w:rPr>
        <w:t xml:space="preserve">Human Rights </w:t>
      </w:r>
      <w:r w:rsidRPr="00652F75">
        <w:rPr>
          <w:sz w:val="22"/>
          <w:szCs w:val="22"/>
        </w:rPr>
        <w:t xml:space="preserve">Law Research </w:t>
      </w:r>
      <w:proofErr w:type="spellStart"/>
      <w:r w:rsidR="005066F6" w:rsidRPr="00652F75">
        <w:rPr>
          <w:sz w:val="22"/>
          <w:szCs w:val="22"/>
        </w:rPr>
        <w:t>Center</w:t>
      </w:r>
      <w:proofErr w:type="spellEnd"/>
      <w:r w:rsidR="005066F6" w:rsidRPr="00652F75">
        <w:rPr>
          <w:sz w:val="22"/>
          <w:szCs w:val="22"/>
        </w:rPr>
        <w:t xml:space="preserve"> submitted a report</w:t>
      </w:r>
      <w:r w:rsidR="005066F6" w:rsidRPr="00652F75">
        <w:rPr>
          <w:rStyle w:val="FootnoteReference"/>
          <w:sz w:val="22"/>
          <w:szCs w:val="22"/>
        </w:rPr>
        <w:footnoteReference w:id="15"/>
      </w:r>
      <w:r w:rsidR="005066F6" w:rsidRPr="00652F75">
        <w:rPr>
          <w:sz w:val="22"/>
          <w:szCs w:val="22"/>
        </w:rPr>
        <w:t xml:space="preserve"> </w:t>
      </w:r>
      <w:r w:rsidR="00851D17" w:rsidRPr="00652F75">
        <w:rPr>
          <w:sz w:val="22"/>
          <w:szCs w:val="22"/>
        </w:rPr>
        <w:t xml:space="preserve">to the Human Rights Council </w:t>
      </w:r>
      <w:r w:rsidR="005066F6" w:rsidRPr="00652F75">
        <w:rPr>
          <w:sz w:val="22"/>
          <w:szCs w:val="22"/>
        </w:rPr>
        <w:t xml:space="preserve">on Turkey regarding </w:t>
      </w:r>
      <w:r w:rsidR="00851D17" w:rsidRPr="00652F75">
        <w:rPr>
          <w:sz w:val="22"/>
          <w:szCs w:val="22"/>
        </w:rPr>
        <w:t xml:space="preserve">the human rights obligations of </w:t>
      </w:r>
      <w:r w:rsidR="005066F6" w:rsidRPr="00652F75">
        <w:rPr>
          <w:sz w:val="22"/>
          <w:szCs w:val="22"/>
        </w:rPr>
        <w:t>local government</w:t>
      </w:r>
      <w:r w:rsidR="00851D17" w:rsidRPr="00652F75">
        <w:rPr>
          <w:sz w:val="22"/>
          <w:szCs w:val="22"/>
        </w:rPr>
        <w:t>.</w:t>
      </w:r>
      <w:r w:rsidRPr="00652F75">
        <w:rPr>
          <w:sz w:val="22"/>
          <w:szCs w:val="22"/>
        </w:rPr>
        <w:t xml:space="preserve"> </w:t>
      </w:r>
      <w:r w:rsidR="005066F6" w:rsidRPr="00652F75">
        <w:rPr>
          <w:sz w:val="22"/>
          <w:szCs w:val="22"/>
        </w:rPr>
        <w:t xml:space="preserve">None of the central or local government structures in Turkey submitted a report on the current situation of human rights at local level. </w:t>
      </w:r>
    </w:p>
    <w:p w14:paraId="0541C1FE" w14:textId="77777777" w:rsidR="005066F6" w:rsidRPr="00652F75" w:rsidRDefault="005066F6" w:rsidP="005066F6">
      <w:pPr>
        <w:ind w:left="720"/>
        <w:jc w:val="both"/>
        <w:rPr>
          <w:sz w:val="22"/>
          <w:szCs w:val="22"/>
        </w:rPr>
      </w:pPr>
    </w:p>
    <w:p w14:paraId="165935A2" w14:textId="77777777" w:rsidR="00044720" w:rsidRPr="00652F75" w:rsidRDefault="00044720" w:rsidP="003D0CCC">
      <w:pPr>
        <w:numPr>
          <w:ilvl w:val="0"/>
          <w:numId w:val="6"/>
        </w:numPr>
        <w:tabs>
          <w:tab w:val="left" w:pos="720"/>
        </w:tabs>
        <w:ind w:right="-1"/>
        <w:jc w:val="both"/>
        <w:rPr>
          <w:b/>
          <w:i/>
          <w:sz w:val="22"/>
          <w:szCs w:val="22"/>
        </w:rPr>
      </w:pPr>
      <w:r w:rsidRPr="00652F75">
        <w:rPr>
          <w:b/>
          <w:i/>
          <w:sz w:val="22"/>
          <w:szCs w:val="22"/>
        </w:rPr>
        <w:t>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w:t>
      </w:r>
      <w:proofErr w:type="spellStart"/>
      <w:r w:rsidRPr="00652F75">
        <w:rPr>
          <w:b/>
          <w:i/>
          <w:sz w:val="22"/>
          <w:szCs w:val="22"/>
        </w:rPr>
        <w:t>eg</w:t>
      </w:r>
      <w:proofErr w:type="spellEnd"/>
      <w:r w:rsidR="006C7127" w:rsidRPr="00652F75">
        <w:rPr>
          <w:b/>
          <w:i/>
          <w:sz w:val="22"/>
          <w:szCs w:val="22"/>
        </w:rPr>
        <w:t>,</w:t>
      </w:r>
      <w:r w:rsidRPr="00652F75">
        <w:rPr>
          <w:b/>
          <w:i/>
          <w:sz w:val="22"/>
          <w:szCs w:val="22"/>
        </w:rPr>
        <w:t xml:space="preserve"> Government review procedures, ombudsman/national human rights institutions, local human rights councils).  Please provide any useful examples of how these have been used and</w:t>
      </w:r>
      <w:r w:rsidR="00372EF1" w:rsidRPr="00652F75">
        <w:rPr>
          <w:b/>
          <w:i/>
          <w:sz w:val="22"/>
          <w:szCs w:val="22"/>
        </w:rPr>
        <w:t>, if possible,</w:t>
      </w:r>
      <w:r w:rsidRPr="00652F75">
        <w:rPr>
          <w:b/>
          <w:i/>
          <w:sz w:val="22"/>
          <w:szCs w:val="22"/>
        </w:rPr>
        <w:t xml:space="preserve"> assess the outcome.</w:t>
      </w:r>
    </w:p>
    <w:p w14:paraId="776B3E65" w14:textId="77777777" w:rsidR="00AE06DE" w:rsidRPr="00652F75" w:rsidRDefault="00AE06DE" w:rsidP="00AE06DE">
      <w:pPr>
        <w:tabs>
          <w:tab w:val="left" w:pos="720"/>
        </w:tabs>
        <w:ind w:left="1080" w:right="-1"/>
        <w:jc w:val="both"/>
        <w:rPr>
          <w:sz w:val="22"/>
          <w:szCs w:val="22"/>
        </w:rPr>
      </w:pPr>
    </w:p>
    <w:p w14:paraId="6845B1E2" w14:textId="31F357C9" w:rsidR="00267C6A" w:rsidRPr="00652F75" w:rsidRDefault="00AE06DE" w:rsidP="00267C6A">
      <w:pPr>
        <w:widowControl w:val="0"/>
        <w:autoSpaceDE w:val="0"/>
        <w:autoSpaceDN w:val="0"/>
        <w:adjustRightInd w:val="0"/>
        <w:ind w:left="720"/>
        <w:jc w:val="both"/>
        <w:rPr>
          <w:sz w:val="22"/>
          <w:szCs w:val="22"/>
          <w:lang w:val="en-US"/>
        </w:rPr>
      </w:pPr>
      <w:r w:rsidRPr="00652F75">
        <w:rPr>
          <w:sz w:val="22"/>
          <w:szCs w:val="22"/>
          <w:lang w:val="en-US"/>
        </w:rPr>
        <w:t xml:space="preserve">Above all, it is crucial to note Municipality Law </w:t>
      </w:r>
      <w:r w:rsidR="00C90F0D" w:rsidRPr="00652F75">
        <w:rPr>
          <w:sz w:val="22"/>
          <w:szCs w:val="22"/>
          <w:lang w:val="en-US"/>
        </w:rPr>
        <w:t>N</w:t>
      </w:r>
      <w:r w:rsidRPr="00652F75">
        <w:rPr>
          <w:sz w:val="22"/>
          <w:szCs w:val="22"/>
          <w:lang w:val="en-US"/>
        </w:rPr>
        <w:t xml:space="preserve">o. 5393, which can be regarded as an opening for participatory policy and participation of the public in decision-making mechanisms </w:t>
      </w:r>
      <w:r w:rsidR="001C4E17" w:rsidRPr="00652F75">
        <w:rPr>
          <w:sz w:val="22"/>
          <w:szCs w:val="22"/>
          <w:lang w:val="en-US"/>
        </w:rPr>
        <w:t xml:space="preserve">at </w:t>
      </w:r>
      <w:r w:rsidRPr="00652F75">
        <w:rPr>
          <w:sz w:val="22"/>
          <w:szCs w:val="22"/>
          <w:lang w:val="en-US"/>
        </w:rPr>
        <w:t>the local level</w:t>
      </w:r>
      <w:r w:rsidR="00CB725E" w:rsidRPr="00652F75">
        <w:rPr>
          <w:sz w:val="22"/>
          <w:szCs w:val="22"/>
          <w:lang w:val="en-US"/>
        </w:rPr>
        <w:t>.</w:t>
      </w:r>
      <w:r w:rsidRPr="00652F75">
        <w:rPr>
          <w:sz w:val="22"/>
          <w:szCs w:val="22"/>
          <w:lang w:val="en-US"/>
        </w:rPr>
        <w:t xml:space="preserve"> First of all, the Municipality Law states </w:t>
      </w:r>
      <w:r w:rsidR="001C4E17" w:rsidRPr="00652F75">
        <w:rPr>
          <w:sz w:val="22"/>
          <w:szCs w:val="22"/>
          <w:lang w:val="en-US"/>
        </w:rPr>
        <w:t xml:space="preserve">that </w:t>
      </w:r>
      <w:r w:rsidRPr="00652F75">
        <w:rPr>
          <w:sz w:val="22"/>
          <w:szCs w:val="22"/>
          <w:lang w:val="en-US"/>
        </w:rPr>
        <w:t xml:space="preserve">local residents have the right to participate in municipal decisions and municipal services. Secondly, </w:t>
      </w:r>
      <w:r w:rsidRPr="00652F75">
        <w:rPr>
          <w:sz w:val="22"/>
          <w:szCs w:val="22"/>
          <w:lang w:val="en-US"/>
        </w:rPr>
        <w:lastRenderedPageBreak/>
        <w:t>comprehensive changes made the preparation of strategic plans necessary for municipalities with a population of 50,000 or more. Article 41 of the Municipality Law clearly assigns municipalities the task of preparing a development plan and program, as well as a strategic plan in compliance with the regional plan (if any) within six months of local elections by seeking the opinion of universities, chambers (if any), and NGOs. Third, it establishes a City Council</w:t>
      </w:r>
      <w:r w:rsidR="008D38FC" w:rsidRPr="00652F75">
        <w:rPr>
          <w:rStyle w:val="FootnoteReference"/>
          <w:sz w:val="22"/>
          <w:szCs w:val="22"/>
          <w:lang w:val="en-US"/>
        </w:rPr>
        <w:footnoteReference w:id="16"/>
      </w:r>
      <w:r w:rsidRPr="00652F75">
        <w:rPr>
          <w:sz w:val="22"/>
          <w:szCs w:val="22"/>
          <w:lang w:val="en-US"/>
        </w:rPr>
        <w:t xml:space="preserve">, a new body in municipal administration, to cater for a local participatory process on behalf of local residents, as a main institutional context reflecting a participatory approach. The framework for the operation and functioning of the City Council would be determined in accordance with by-laws to be prepared by the Ministry of the Interior. </w:t>
      </w:r>
    </w:p>
    <w:p w14:paraId="54C61B6B" w14:textId="77777777" w:rsidR="00267C6A" w:rsidRPr="00652F75" w:rsidRDefault="00267C6A" w:rsidP="00267C6A">
      <w:pPr>
        <w:widowControl w:val="0"/>
        <w:autoSpaceDE w:val="0"/>
        <w:autoSpaceDN w:val="0"/>
        <w:adjustRightInd w:val="0"/>
        <w:ind w:left="720"/>
        <w:jc w:val="both"/>
        <w:rPr>
          <w:sz w:val="22"/>
          <w:szCs w:val="22"/>
          <w:lang w:val="en-US"/>
        </w:rPr>
      </w:pPr>
    </w:p>
    <w:p w14:paraId="4F16BC6D" w14:textId="4479891C" w:rsidR="00267C6A" w:rsidRPr="00652F75" w:rsidRDefault="00267C6A" w:rsidP="00267C6A">
      <w:pPr>
        <w:widowControl w:val="0"/>
        <w:autoSpaceDE w:val="0"/>
        <w:autoSpaceDN w:val="0"/>
        <w:adjustRightInd w:val="0"/>
        <w:ind w:left="720"/>
        <w:jc w:val="both"/>
        <w:rPr>
          <w:sz w:val="22"/>
          <w:szCs w:val="22"/>
          <w:lang w:val="en-US"/>
        </w:rPr>
      </w:pPr>
      <w:r w:rsidRPr="00652F75">
        <w:rPr>
          <w:sz w:val="22"/>
          <w:szCs w:val="22"/>
          <w:lang w:val="en-US"/>
        </w:rPr>
        <w:t xml:space="preserve">However, despite the changes and openings in the legal framework, currently, there is a prevailing lack of in-depth knowledge and understanding on how participatory processes can work. City Councils are formed under Municipal Law </w:t>
      </w:r>
      <w:r w:rsidR="001C4E17" w:rsidRPr="00652F75">
        <w:rPr>
          <w:sz w:val="22"/>
          <w:szCs w:val="22"/>
          <w:lang w:val="en-US"/>
        </w:rPr>
        <w:t xml:space="preserve">No. </w:t>
      </w:r>
      <w:r w:rsidRPr="00652F75">
        <w:rPr>
          <w:sz w:val="22"/>
          <w:szCs w:val="22"/>
          <w:lang w:val="en-US"/>
        </w:rPr>
        <w:t xml:space="preserve">5393 and regulations are set with the Ministry of Interior by-laws that came into effect on 8 October 2006. Nevertheless there are no monitoring mechanisms for ensuring the effective functioning of City Councils and their participation in decision-making mechanisms. The new legal and policy frameworks, while necessary for creating avenues for participation, may not always suffice to ensure it. </w:t>
      </w:r>
    </w:p>
    <w:p w14:paraId="3647724C" w14:textId="77777777" w:rsidR="00AE06DE" w:rsidRPr="00652F75" w:rsidRDefault="00AE06DE" w:rsidP="00267C6A">
      <w:pPr>
        <w:pStyle w:val="ListParagraph1"/>
        <w:tabs>
          <w:tab w:val="left" w:pos="6840"/>
        </w:tabs>
        <w:spacing w:after="0" w:line="240" w:lineRule="auto"/>
        <w:jc w:val="both"/>
        <w:rPr>
          <w:rFonts w:ascii="Times New Roman" w:hAnsi="Times New Roman"/>
          <w:lang w:val="en-US"/>
        </w:rPr>
      </w:pPr>
    </w:p>
    <w:p w14:paraId="28F3EC20" w14:textId="77777777" w:rsidR="00AF7D70" w:rsidRPr="00652F75" w:rsidRDefault="00AF7D70" w:rsidP="00AF7D70">
      <w:pPr>
        <w:pStyle w:val="ColorfulList-Accent11"/>
        <w:rPr>
          <w:sz w:val="22"/>
          <w:szCs w:val="22"/>
        </w:rPr>
      </w:pPr>
    </w:p>
    <w:p w14:paraId="30B66211" w14:textId="77777777" w:rsidR="00044720" w:rsidRPr="00652F75" w:rsidRDefault="00044720" w:rsidP="003D0CCC">
      <w:pPr>
        <w:numPr>
          <w:ilvl w:val="0"/>
          <w:numId w:val="6"/>
        </w:numPr>
        <w:tabs>
          <w:tab w:val="left" w:pos="720"/>
        </w:tabs>
        <w:ind w:right="-1"/>
        <w:jc w:val="both"/>
        <w:rPr>
          <w:b/>
          <w:i/>
          <w:sz w:val="22"/>
          <w:szCs w:val="22"/>
        </w:rPr>
      </w:pPr>
      <w:r w:rsidRPr="00652F75">
        <w:rPr>
          <w:b/>
          <w:i/>
          <w:sz w:val="22"/>
          <w:szCs w:val="22"/>
        </w:rPr>
        <w:t xml:space="preserve">Please </w:t>
      </w:r>
      <w:r w:rsidR="00F45B22" w:rsidRPr="00652F75">
        <w:rPr>
          <w:b/>
          <w:i/>
          <w:sz w:val="22"/>
          <w:szCs w:val="22"/>
        </w:rPr>
        <w:t xml:space="preserve">kindly </w:t>
      </w:r>
      <w:r w:rsidRPr="00652F75">
        <w:rPr>
          <w:b/>
          <w:i/>
          <w:sz w:val="22"/>
          <w:szCs w:val="22"/>
        </w:rPr>
        <w:t xml:space="preserve">identify what in your view may be the three most significant challenges in your country to effective accountability of sub-national governments </w:t>
      </w:r>
      <w:r w:rsidR="00F856A6" w:rsidRPr="00652F75">
        <w:rPr>
          <w:b/>
          <w:i/>
          <w:sz w:val="22"/>
          <w:szCs w:val="22"/>
        </w:rPr>
        <w:t>to the right to adequate</w:t>
      </w:r>
      <w:r w:rsidRPr="00652F75">
        <w:rPr>
          <w:b/>
          <w:i/>
          <w:sz w:val="22"/>
          <w:szCs w:val="22"/>
        </w:rPr>
        <w:t xml:space="preserve"> housing</w:t>
      </w:r>
      <w:r w:rsidR="00F856A6" w:rsidRPr="00652F75">
        <w:rPr>
          <w:b/>
          <w:i/>
          <w:sz w:val="22"/>
          <w:szCs w:val="22"/>
        </w:rPr>
        <w:t xml:space="preserve"> as guaranteed under international human rights law and identify key strategies or ideas for addressing these challenges</w:t>
      </w:r>
      <w:r w:rsidR="007C6BE9" w:rsidRPr="00652F75">
        <w:rPr>
          <w:b/>
          <w:i/>
          <w:sz w:val="22"/>
          <w:szCs w:val="22"/>
        </w:rPr>
        <w:t>.</w:t>
      </w:r>
      <w:r w:rsidRPr="00652F75">
        <w:rPr>
          <w:b/>
          <w:i/>
          <w:sz w:val="22"/>
          <w:szCs w:val="22"/>
        </w:rPr>
        <w:t xml:space="preserve"> </w:t>
      </w:r>
    </w:p>
    <w:p w14:paraId="5FDCE2DE" w14:textId="77777777" w:rsidR="0064701E" w:rsidRPr="00652F75" w:rsidRDefault="0064701E" w:rsidP="0064701E">
      <w:pPr>
        <w:tabs>
          <w:tab w:val="left" w:pos="720"/>
        </w:tabs>
        <w:ind w:left="1080" w:right="-1"/>
        <w:jc w:val="both"/>
        <w:rPr>
          <w:b/>
          <w:i/>
          <w:sz w:val="22"/>
          <w:szCs w:val="22"/>
        </w:rPr>
      </w:pPr>
    </w:p>
    <w:p w14:paraId="37F83D6F" w14:textId="77777777" w:rsidR="005B0280" w:rsidRPr="00652F75" w:rsidRDefault="005B0280" w:rsidP="005B0280">
      <w:pPr>
        <w:tabs>
          <w:tab w:val="left" w:pos="720"/>
        </w:tabs>
        <w:ind w:right="-1"/>
        <w:jc w:val="both"/>
        <w:rPr>
          <w:sz w:val="22"/>
          <w:szCs w:val="22"/>
        </w:rPr>
      </w:pPr>
    </w:p>
    <w:p w14:paraId="2F4F3F7A" w14:textId="50CEF26F" w:rsidR="005A1DC7" w:rsidRPr="00652F75" w:rsidRDefault="00E81105" w:rsidP="00652F75">
      <w:pPr>
        <w:pStyle w:val="ColorfulList-Accent11"/>
        <w:jc w:val="both"/>
        <w:rPr>
          <w:sz w:val="22"/>
          <w:szCs w:val="22"/>
        </w:rPr>
      </w:pPr>
      <w:r w:rsidRPr="00652F75">
        <w:rPr>
          <w:b/>
          <w:sz w:val="22"/>
          <w:szCs w:val="22"/>
        </w:rPr>
        <w:t>Participation</w:t>
      </w:r>
      <w:r w:rsidR="003A69A1" w:rsidRPr="00652F75">
        <w:rPr>
          <w:b/>
          <w:sz w:val="22"/>
          <w:szCs w:val="22"/>
        </w:rPr>
        <w:t xml:space="preserve"> and c</w:t>
      </w:r>
      <w:r w:rsidRPr="00652F75">
        <w:rPr>
          <w:b/>
          <w:sz w:val="22"/>
          <w:szCs w:val="22"/>
        </w:rPr>
        <w:t>onsultation</w:t>
      </w:r>
      <w:r w:rsidR="001938D1" w:rsidRPr="00652F75">
        <w:rPr>
          <w:b/>
          <w:sz w:val="22"/>
          <w:szCs w:val="22"/>
        </w:rPr>
        <w:t xml:space="preserve">: </w:t>
      </w:r>
      <w:r w:rsidR="001938D1" w:rsidRPr="00652F75">
        <w:rPr>
          <w:sz w:val="22"/>
          <w:szCs w:val="22"/>
        </w:rPr>
        <w:t xml:space="preserve">The top down planning without consulting affected communities or consideration of the social dimensions and cultural practices, historical neighbourhoods whose residents own legal title, as in </w:t>
      </w:r>
      <w:proofErr w:type="spellStart"/>
      <w:r w:rsidR="001938D1" w:rsidRPr="00652F75">
        <w:rPr>
          <w:sz w:val="22"/>
          <w:szCs w:val="22"/>
        </w:rPr>
        <w:t>Sulukule</w:t>
      </w:r>
      <w:proofErr w:type="spellEnd"/>
      <w:r w:rsidR="001938D1" w:rsidRPr="00652F75">
        <w:rPr>
          <w:sz w:val="22"/>
          <w:szCs w:val="22"/>
        </w:rPr>
        <w:t xml:space="preserve"> and </w:t>
      </w:r>
      <w:proofErr w:type="spellStart"/>
      <w:r w:rsidR="001938D1" w:rsidRPr="00652F75">
        <w:rPr>
          <w:sz w:val="22"/>
          <w:szCs w:val="22"/>
        </w:rPr>
        <w:t>Tarl</w:t>
      </w:r>
      <w:r w:rsidR="001630B5" w:rsidRPr="00652F75">
        <w:rPr>
          <w:sz w:val="22"/>
          <w:szCs w:val="22"/>
        </w:rPr>
        <w:t>a</w:t>
      </w:r>
      <w:r w:rsidR="001938D1" w:rsidRPr="00652F75">
        <w:rPr>
          <w:sz w:val="22"/>
          <w:szCs w:val="22"/>
        </w:rPr>
        <w:t>ba</w:t>
      </w:r>
      <w:r w:rsidR="003221BD">
        <w:rPr>
          <w:sz w:val="22"/>
          <w:szCs w:val="22"/>
        </w:rPr>
        <w:t>si</w:t>
      </w:r>
      <w:proofErr w:type="spellEnd"/>
      <w:r w:rsidR="001938D1" w:rsidRPr="00652F75">
        <w:rPr>
          <w:sz w:val="22"/>
          <w:szCs w:val="22"/>
        </w:rPr>
        <w:t xml:space="preserve"> </w:t>
      </w:r>
      <w:r w:rsidR="00FB139B" w:rsidRPr="00652F75">
        <w:rPr>
          <w:sz w:val="22"/>
          <w:szCs w:val="22"/>
        </w:rPr>
        <w:t xml:space="preserve">of Istanbul </w:t>
      </w:r>
      <w:r w:rsidR="001938D1" w:rsidRPr="00652F75">
        <w:rPr>
          <w:sz w:val="22"/>
          <w:szCs w:val="22"/>
        </w:rPr>
        <w:t xml:space="preserve">have become subject to urban regeneration. Planners and </w:t>
      </w:r>
      <w:r w:rsidR="001630B5" w:rsidRPr="00652F75">
        <w:rPr>
          <w:sz w:val="22"/>
          <w:szCs w:val="22"/>
        </w:rPr>
        <w:t xml:space="preserve">developers impose unaffordable luxurious projects on these populations, compelling them to leave. If they do not sign a contract and become partners to the project, their properties are expropriated under </w:t>
      </w:r>
      <w:r w:rsidR="007E3CC2" w:rsidRPr="00652F75">
        <w:rPr>
          <w:sz w:val="22"/>
          <w:szCs w:val="22"/>
        </w:rPr>
        <w:t xml:space="preserve">the </w:t>
      </w:r>
      <w:r w:rsidR="001630B5" w:rsidRPr="00652F75">
        <w:rPr>
          <w:sz w:val="22"/>
          <w:szCs w:val="22"/>
        </w:rPr>
        <w:t xml:space="preserve">law. </w:t>
      </w:r>
    </w:p>
    <w:p w14:paraId="49599C8C" w14:textId="1EC46605" w:rsidR="00AF7D70" w:rsidRPr="00652F75" w:rsidRDefault="005A1DC7" w:rsidP="00652F75">
      <w:pPr>
        <w:pStyle w:val="ColorfulList-Accent11"/>
        <w:jc w:val="both"/>
        <w:rPr>
          <w:sz w:val="22"/>
          <w:szCs w:val="22"/>
        </w:rPr>
      </w:pPr>
      <w:r w:rsidRPr="00652F75">
        <w:rPr>
          <w:rFonts w:asciiTheme="minorBidi" w:hAnsiTheme="minorBidi"/>
          <w:sz w:val="22"/>
          <w:szCs w:val="22"/>
        </w:rPr>
        <w:t>This turns into a latent forced-eviction mechanism, since the relocated populati</w:t>
      </w:r>
      <w:r w:rsidR="003221BD">
        <w:rPr>
          <w:rFonts w:asciiTheme="minorBidi" w:hAnsiTheme="minorBidi"/>
          <w:sz w:val="22"/>
          <w:szCs w:val="22"/>
        </w:rPr>
        <w:t>ons, unable to pay their instal</w:t>
      </w:r>
      <w:r w:rsidRPr="00652F75">
        <w:rPr>
          <w:rFonts w:asciiTheme="minorBidi" w:hAnsiTheme="minorBidi"/>
          <w:sz w:val="22"/>
          <w:szCs w:val="22"/>
        </w:rPr>
        <w:t>ments either face foreclosures or sell their shares with debt to 3</w:t>
      </w:r>
      <w:r w:rsidRPr="00652F75">
        <w:rPr>
          <w:rFonts w:asciiTheme="minorBidi" w:hAnsiTheme="minorBidi"/>
          <w:sz w:val="22"/>
          <w:szCs w:val="22"/>
          <w:vertAlign w:val="superscript"/>
        </w:rPr>
        <w:t>rd</w:t>
      </w:r>
      <w:r w:rsidRPr="00652F75">
        <w:rPr>
          <w:rFonts w:asciiTheme="minorBidi" w:hAnsiTheme="minorBidi"/>
          <w:sz w:val="22"/>
          <w:szCs w:val="22"/>
        </w:rPr>
        <w:t xml:space="preserve">parties. Retaining few or no assets, they move out, more impoverished than before, also losing all their social networks and solidarity ties, vital mechanisms of survival for the urban poor. </w:t>
      </w:r>
      <w:r w:rsidR="001630B5" w:rsidRPr="00652F75">
        <w:rPr>
          <w:sz w:val="22"/>
          <w:szCs w:val="22"/>
        </w:rPr>
        <w:t xml:space="preserve">They are </w:t>
      </w:r>
      <w:r w:rsidR="001C4E17" w:rsidRPr="00652F75">
        <w:rPr>
          <w:sz w:val="22"/>
          <w:szCs w:val="22"/>
        </w:rPr>
        <w:t xml:space="preserve">further </w:t>
      </w:r>
      <w:r w:rsidR="001630B5" w:rsidRPr="00652F75">
        <w:rPr>
          <w:sz w:val="22"/>
          <w:szCs w:val="22"/>
        </w:rPr>
        <w:t>impoverished</w:t>
      </w:r>
      <w:r w:rsidR="001C4E17" w:rsidRPr="00652F75">
        <w:rPr>
          <w:sz w:val="22"/>
          <w:szCs w:val="22"/>
        </w:rPr>
        <w:t xml:space="preserve"> and </w:t>
      </w:r>
      <w:r w:rsidR="001630B5" w:rsidRPr="00652F75">
        <w:rPr>
          <w:sz w:val="22"/>
          <w:szCs w:val="22"/>
        </w:rPr>
        <w:t xml:space="preserve">deprived and eventually displaced. </w:t>
      </w:r>
    </w:p>
    <w:p w14:paraId="5589F6A0" w14:textId="77777777" w:rsidR="005A1DC7" w:rsidRPr="00652F75" w:rsidRDefault="005A1DC7" w:rsidP="00652F75">
      <w:pPr>
        <w:pStyle w:val="ColorfulList-Accent11"/>
        <w:jc w:val="both"/>
        <w:rPr>
          <w:sz w:val="22"/>
          <w:szCs w:val="22"/>
        </w:rPr>
      </w:pPr>
    </w:p>
    <w:p w14:paraId="28C740A7" w14:textId="518DE23F" w:rsidR="005A1DC7" w:rsidRPr="00652F75" w:rsidRDefault="005A1DC7" w:rsidP="00652F75">
      <w:pPr>
        <w:ind w:left="720"/>
        <w:jc w:val="both"/>
        <w:rPr>
          <w:sz w:val="22"/>
          <w:szCs w:val="22"/>
        </w:rPr>
      </w:pPr>
      <w:r w:rsidRPr="00652F75">
        <w:rPr>
          <w:rFonts w:asciiTheme="minorBidi" w:hAnsiTheme="minorBidi"/>
          <w:sz w:val="22"/>
          <w:szCs w:val="22"/>
        </w:rPr>
        <w:t>A new law passed in July 2005 (Law No.5366) codifies and systematizes forced eviction without consultations with the affected communities</w:t>
      </w:r>
      <w:r w:rsidRPr="005A1DC7">
        <w:rPr>
          <w:rFonts w:asciiTheme="minorBidi" w:hAnsiTheme="minorBidi"/>
          <w:sz w:val="22"/>
          <w:szCs w:val="22"/>
        </w:rPr>
        <w:t>.</w:t>
      </w:r>
      <w:r>
        <w:rPr>
          <w:rStyle w:val="FootnoteReference"/>
          <w:rFonts w:asciiTheme="minorBidi" w:hAnsiTheme="minorBidi"/>
          <w:sz w:val="22"/>
          <w:szCs w:val="22"/>
        </w:rPr>
        <w:footnoteReference w:id="17"/>
      </w:r>
      <w:r w:rsidRPr="005A1DC7">
        <w:rPr>
          <w:rFonts w:asciiTheme="minorBidi" w:hAnsiTheme="minorBidi"/>
          <w:sz w:val="22"/>
          <w:szCs w:val="22"/>
        </w:rPr>
        <w:t xml:space="preserve"> </w:t>
      </w:r>
    </w:p>
    <w:p w14:paraId="0DD77CCE" w14:textId="77777777" w:rsidR="00E81105" w:rsidRPr="00652F75" w:rsidRDefault="00E81105" w:rsidP="00AF7D70">
      <w:pPr>
        <w:pStyle w:val="ColorfulList-Accent11"/>
        <w:rPr>
          <w:sz w:val="22"/>
          <w:szCs w:val="22"/>
        </w:rPr>
      </w:pPr>
    </w:p>
    <w:p w14:paraId="1EDBAB6D" w14:textId="4A43AA9E" w:rsidR="00F5078A" w:rsidRPr="00652F75" w:rsidRDefault="00AA08A4" w:rsidP="00AA08A4">
      <w:pPr>
        <w:tabs>
          <w:tab w:val="left" w:pos="720"/>
        </w:tabs>
        <w:ind w:left="720" w:right="-1"/>
        <w:jc w:val="both"/>
        <w:rPr>
          <w:sz w:val="22"/>
          <w:szCs w:val="22"/>
        </w:rPr>
      </w:pPr>
      <w:r w:rsidRPr="00652F75">
        <w:rPr>
          <w:b/>
          <w:sz w:val="22"/>
          <w:szCs w:val="22"/>
        </w:rPr>
        <w:t>Transparency:</w:t>
      </w:r>
      <w:r w:rsidRPr="00652F75">
        <w:rPr>
          <w:sz w:val="22"/>
          <w:szCs w:val="22"/>
        </w:rPr>
        <w:t xml:space="preserve"> </w:t>
      </w:r>
      <w:r w:rsidR="003221BD">
        <w:rPr>
          <w:sz w:val="22"/>
          <w:szCs w:val="22"/>
        </w:rPr>
        <w:t>TOKI</w:t>
      </w:r>
      <w:r w:rsidR="00A51FF3" w:rsidRPr="00652F75">
        <w:rPr>
          <w:sz w:val="22"/>
          <w:szCs w:val="22"/>
        </w:rPr>
        <w:t xml:space="preserve"> provided financial sources through land sales to large firms and shares the income earned via the sales of the houses. </w:t>
      </w:r>
      <w:r w:rsidR="003221BD">
        <w:rPr>
          <w:sz w:val="22"/>
          <w:szCs w:val="22"/>
        </w:rPr>
        <w:t>TOKI</w:t>
      </w:r>
      <w:r w:rsidR="00A51FF3" w:rsidRPr="00652F75">
        <w:rPr>
          <w:sz w:val="22"/>
          <w:szCs w:val="22"/>
        </w:rPr>
        <w:t>’s revenue sharing model is not fully transparent and public as</w:t>
      </w:r>
      <w:r w:rsidR="00CA05EF" w:rsidRPr="00652F75">
        <w:rPr>
          <w:sz w:val="22"/>
          <w:szCs w:val="22"/>
        </w:rPr>
        <w:t>sets had been sold below fair</w:t>
      </w:r>
      <w:r w:rsidR="00A51FF3" w:rsidRPr="00652F75">
        <w:rPr>
          <w:sz w:val="22"/>
          <w:szCs w:val="22"/>
        </w:rPr>
        <w:t xml:space="preserve"> value. </w:t>
      </w:r>
      <w:r w:rsidR="003221BD">
        <w:rPr>
          <w:sz w:val="22"/>
          <w:szCs w:val="22"/>
        </w:rPr>
        <w:t>TOKI</w:t>
      </w:r>
      <w:r w:rsidR="00F5078A" w:rsidRPr="00652F75">
        <w:rPr>
          <w:sz w:val="22"/>
          <w:szCs w:val="22"/>
        </w:rPr>
        <w:t xml:space="preserve"> has been do</w:t>
      </w:r>
      <w:r w:rsidR="00FA044A" w:rsidRPr="00652F75">
        <w:rPr>
          <w:sz w:val="22"/>
          <w:szCs w:val="22"/>
        </w:rPr>
        <w:t>g</w:t>
      </w:r>
      <w:r w:rsidR="00F5078A" w:rsidRPr="00652F75">
        <w:rPr>
          <w:sz w:val="22"/>
          <w:szCs w:val="22"/>
        </w:rPr>
        <w:t xml:space="preserve">ged for corruption recently and there are questions about the transparency of the tenders. </w:t>
      </w:r>
      <w:r w:rsidR="003221BD">
        <w:rPr>
          <w:sz w:val="22"/>
          <w:szCs w:val="22"/>
        </w:rPr>
        <w:t>TOKI</w:t>
      </w:r>
      <w:r w:rsidR="00CA05EF" w:rsidRPr="00652F75">
        <w:rPr>
          <w:sz w:val="22"/>
          <w:szCs w:val="22"/>
        </w:rPr>
        <w:t xml:space="preserve"> ha</w:t>
      </w:r>
      <w:r w:rsidR="00FB139B" w:rsidRPr="00652F75">
        <w:rPr>
          <w:sz w:val="22"/>
          <w:szCs w:val="22"/>
        </w:rPr>
        <w:t>s</w:t>
      </w:r>
      <w:r w:rsidR="00CA05EF" w:rsidRPr="00652F75">
        <w:rPr>
          <w:sz w:val="22"/>
          <w:szCs w:val="22"/>
        </w:rPr>
        <w:t xml:space="preserve"> the immunity from public auditing and</w:t>
      </w:r>
      <w:r w:rsidR="00F5078A" w:rsidRPr="00652F75">
        <w:rPr>
          <w:sz w:val="22"/>
          <w:szCs w:val="22"/>
        </w:rPr>
        <w:t xml:space="preserve"> regulation. </w:t>
      </w:r>
    </w:p>
    <w:p w14:paraId="6C4C3E1A" w14:textId="77777777" w:rsidR="00F5078A" w:rsidRPr="00652F75" w:rsidRDefault="00F5078A" w:rsidP="00AA08A4">
      <w:pPr>
        <w:tabs>
          <w:tab w:val="left" w:pos="720"/>
        </w:tabs>
        <w:ind w:left="720" w:right="-1"/>
        <w:jc w:val="both"/>
        <w:rPr>
          <w:sz w:val="22"/>
          <w:szCs w:val="22"/>
        </w:rPr>
      </w:pPr>
    </w:p>
    <w:p w14:paraId="43F74C8D" w14:textId="5C312FDC" w:rsidR="00AA08A4" w:rsidRDefault="00AA08A4" w:rsidP="00AA08A4">
      <w:pPr>
        <w:tabs>
          <w:tab w:val="left" w:pos="720"/>
        </w:tabs>
        <w:ind w:left="720" w:right="-1"/>
        <w:jc w:val="both"/>
        <w:rPr>
          <w:sz w:val="22"/>
          <w:szCs w:val="22"/>
        </w:rPr>
      </w:pPr>
      <w:r w:rsidRPr="00652F75">
        <w:rPr>
          <w:sz w:val="22"/>
          <w:szCs w:val="22"/>
        </w:rPr>
        <w:t xml:space="preserve">The active privatization of public assets and public functions, urban planning projects by the government and private sector have hindered the realization of the housing rights in </w:t>
      </w:r>
      <w:r w:rsidRPr="00652F75">
        <w:rPr>
          <w:sz w:val="22"/>
          <w:szCs w:val="22"/>
        </w:rPr>
        <w:lastRenderedPageBreak/>
        <w:t>Turkey. The programs of privatization and structural adjustment to relinquish the financial responsibility and public benefits of state economic enterprises have particularly harmed the poor while especially targeting minorities and marginalized segments such as Kurds, trans</w:t>
      </w:r>
      <w:r w:rsidR="001C4E17" w:rsidRPr="00652F75">
        <w:rPr>
          <w:sz w:val="22"/>
          <w:szCs w:val="22"/>
        </w:rPr>
        <w:t>gender persons</w:t>
      </w:r>
      <w:r w:rsidRPr="00652F75">
        <w:rPr>
          <w:sz w:val="22"/>
          <w:szCs w:val="22"/>
        </w:rPr>
        <w:t xml:space="preserve"> and Roma people in favour of private real estate investment schemes in greater İstanbul and other cities. </w:t>
      </w:r>
      <w:r w:rsidR="00C35CE0" w:rsidRPr="00652F75">
        <w:rPr>
          <w:sz w:val="22"/>
          <w:szCs w:val="22"/>
        </w:rPr>
        <w:t>There is an urgency to fulfil state’s c</w:t>
      </w:r>
      <w:r w:rsidRPr="00652F75">
        <w:rPr>
          <w:sz w:val="22"/>
          <w:szCs w:val="22"/>
        </w:rPr>
        <w:t xml:space="preserve">ommitment to transparency and set clear standards for privatization process and human rights grounded land and housing policies. </w:t>
      </w:r>
    </w:p>
    <w:p w14:paraId="2CB58C86" w14:textId="77777777" w:rsidR="005A1DC7" w:rsidRDefault="005A1DC7" w:rsidP="00AA08A4">
      <w:pPr>
        <w:tabs>
          <w:tab w:val="left" w:pos="720"/>
        </w:tabs>
        <w:ind w:left="720" w:right="-1"/>
        <w:jc w:val="both"/>
        <w:rPr>
          <w:sz w:val="22"/>
          <w:szCs w:val="22"/>
        </w:rPr>
      </w:pPr>
    </w:p>
    <w:p w14:paraId="4BDCB1F1" w14:textId="6FAD9AD3" w:rsidR="005A1DC7" w:rsidRPr="00652F75" w:rsidRDefault="005A1DC7" w:rsidP="00AA08A4">
      <w:pPr>
        <w:tabs>
          <w:tab w:val="left" w:pos="720"/>
        </w:tabs>
        <w:ind w:left="720" w:right="-1"/>
        <w:jc w:val="both"/>
        <w:rPr>
          <w:sz w:val="22"/>
          <w:szCs w:val="22"/>
        </w:rPr>
      </w:pPr>
      <w:r>
        <w:rPr>
          <w:sz w:val="22"/>
          <w:szCs w:val="22"/>
        </w:rPr>
        <w:t xml:space="preserve">In recent years, </w:t>
      </w:r>
      <w:r w:rsidR="003221BD">
        <w:rPr>
          <w:sz w:val="22"/>
          <w:szCs w:val="22"/>
        </w:rPr>
        <w:t>TOKI</w:t>
      </w:r>
      <w:r>
        <w:rPr>
          <w:sz w:val="22"/>
          <w:szCs w:val="22"/>
        </w:rPr>
        <w:t xml:space="preserve">’s control over the housing sector grew. </w:t>
      </w:r>
      <w:r w:rsidR="00096B9A">
        <w:rPr>
          <w:sz w:val="22"/>
          <w:szCs w:val="22"/>
        </w:rPr>
        <w:t xml:space="preserve">Even though from afar it might look like a positive development, this development has many troubling aspects, including transparency. </w:t>
      </w:r>
      <w:r w:rsidR="003221BD">
        <w:rPr>
          <w:sz w:val="22"/>
          <w:szCs w:val="22"/>
        </w:rPr>
        <w:t>TOKI</w:t>
      </w:r>
      <w:r w:rsidR="00096B9A">
        <w:rPr>
          <w:sz w:val="22"/>
          <w:szCs w:val="22"/>
        </w:rPr>
        <w:t xml:space="preserve">’s control over municipalities leaves no space for local self-governance. Secondly, claiming to be doing it for creating revenues for housing for the poor, TOKI has shifted its energy to build houses for the rich. </w:t>
      </w:r>
      <w:r w:rsidR="00096B9A" w:rsidRPr="005A1DC7">
        <w:rPr>
          <w:rFonts w:asciiTheme="minorBidi" w:hAnsiTheme="minorBidi"/>
          <w:sz w:val="22"/>
          <w:szCs w:val="22"/>
        </w:rPr>
        <w:t>In 2009, TOKI built almost 282 thousand residential houses across the country, but only 20 thousand (about 7%) targeted the poor and low-income groups. While only 850 of 64 thousand of all ongoing housing projects in Istanbul build for the poor and low-income groups.</w:t>
      </w:r>
      <w:r w:rsidR="00096B9A">
        <w:rPr>
          <w:rStyle w:val="FootnoteReference"/>
          <w:rFonts w:asciiTheme="minorBidi" w:hAnsiTheme="minorBidi"/>
          <w:sz w:val="22"/>
          <w:szCs w:val="22"/>
        </w:rPr>
        <w:footnoteReference w:id="18"/>
      </w:r>
      <w:r w:rsidR="00096B9A">
        <w:rPr>
          <w:rFonts w:asciiTheme="minorBidi" w:hAnsiTheme="minorBidi"/>
          <w:sz w:val="22"/>
          <w:szCs w:val="22"/>
        </w:rPr>
        <w:t xml:space="preserve"> </w:t>
      </w:r>
      <w:r w:rsidR="00096B9A">
        <w:rPr>
          <w:sz w:val="22"/>
          <w:szCs w:val="22"/>
        </w:rPr>
        <w:t xml:space="preserve"> </w:t>
      </w:r>
    </w:p>
    <w:p w14:paraId="0140A6A7" w14:textId="77777777" w:rsidR="00C15BED" w:rsidRPr="00652F75" w:rsidRDefault="00C15BED" w:rsidP="00AA08A4">
      <w:pPr>
        <w:tabs>
          <w:tab w:val="left" w:pos="720"/>
        </w:tabs>
        <w:ind w:left="720" w:right="-1"/>
        <w:jc w:val="both"/>
        <w:rPr>
          <w:sz w:val="22"/>
          <w:szCs w:val="22"/>
        </w:rPr>
      </w:pPr>
    </w:p>
    <w:p w14:paraId="63D8A678" w14:textId="75BEA9AF" w:rsidR="005A1DC7" w:rsidRDefault="002816AC" w:rsidP="002816AC">
      <w:pPr>
        <w:pStyle w:val="ColorfulList-Accent11"/>
        <w:jc w:val="both"/>
        <w:rPr>
          <w:sz w:val="22"/>
          <w:szCs w:val="22"/>
        </w:rPr>
      </w:pPr>
      <w:r w:rsidRPr="00652F75">
        <w:rPr>
          <w:b/>
          <w:sz w:val="22"/>
          <w:szCs w:val="22"/>
        </w:rPr>
        <w:t xml:space="preserve">Disadvantaged </w:t>
      </w:r>
      <w:r w:rsidR="003A69A1" w:rsidRPr="00652F75">
        <w:rPr>
          <w:b/>
          <w:sz w:val="22"/>
          <w:szCs w:val="22"/>
        </w:rPr>
        <w:t>and vulnerable groups in the society, m</w:t>
      </w:r>
      <w:r w:rsidR="004E1D33" w:rsidRPr="00652F75">
        <w:rPr>
          <w:b/>
          <w:sz w:val="22"/>
          <w:szCs w:val="22"/>
        </w:rPr>
        <w:t>igrants</w:t>
      </w:r>
      <w:r w:rsidR="003A69A1" w:rsidRPr="00652F75">
        <w:rPr>
          <w:b/>
          <w:sz w:val="22"/>
          <w:szCs w:val="22"/>
        </w:rPr>
        <w:t xml:space="preserve"> and r</w:t>
      </w:r>
      <w:r w:rsidR="004E1D33" w:rsidRPr="00652F75">
        <w:rPr>
          <w:b/>
          <w:sz w:val="22"/>
          <w:szCs w:val="22"/>
        </w:rPr>
        <w:t>efugees</w:t>
      </w:r>
      <w:r w:rsidR="00C15BED" w:rsidRPr="00652F75">
        <w:rPr>
          <w:b/>
          <w:sz w:val="22"/>
          <w:szCs w:val="22"/>
        </w:rPr>
        <w:t>:</w:t>
      </w:r>
      <w:r w:rsidR="00C15BED" w:rsidRPr="00652F75">
        <w:rPr>
          <w:sz w:val="22"/>
          <w:szCs w:val="22"/>
        </w:rPr>
        <w:t xml:space="preserve"> </w:t>
      </w:r>
    </w:p>
    <w:p w14:paraId="3ADC27E5" w14:textId="77777777" w:rsidR="005A1DC7" w:rsidRDefault="005A1DC7" w:rsidP="002816AC">
      <w:pPr>
        <w:pStyle w:val="ColorfulList-Accent11"/>
        <w:jc w:val="both"/>
        <w:rPr>
          <w:sz w:val="22"/>
          <w:szCs w:val="22"/>
        </w:rPr>
      </w:pPr>
    </w:p>
    <w:p w14:paraId="2845F796" w14:textId="7A6AD3DD" w:rsidR="00C15BED" w:rsidRPr="00652F75" w:rsidRDefault="00C15BED" w:rsidP="002816AC">
      <w:pPr>
        <w:pStyle w:val="ColorfulList-Accent11"/>
        <w:jc w:val="both"/>
        <w:rPr>
          <w:color w:val="262626"/>
          <w:sz w:val="22"/>
          <w:szCs w:val="22"/>
          <w:lang w:val="en-US"/>
        </w:rPr>
      </w:pPr>
      <w:r w:rsidRPr="00652F75">
        <w:rPr>
          <w:sz w:val="22"/>
          <w:szCs w:val="22"/>
        </w:rPr>
        <w:t xml:space="preserve">The influx of Syrian refugees into Turkey, especially to the border towns to escape the civil war face with the housing problem. It is estimated that </w:t>
      </w:r>
      <w:r w:rsidR="00FB139B" w:rsidRPr="00652F75">
        <w:rPr>
          <w:sz w:val="22"/>
          <w:szCs w:val="22"/>
        </w:rPr>
        <w:t xml:space="preserve">there are </w:t>
      </w:r>
      <w:r w:rsidRPr="00652F75">
        <w:rPr>
          <w:sz w:val="22"/>
          <w:szCs w:val="22"/>
        </w:rPr>
        <w:t>1.5 million Syrian refugees in Turkey</w:t>
      </w:r>
      <w:r w:rsidR="00441CF5" w:rsidRPr="00652F75">
        <w:rPr>
          <w:sz w:val="22"/>
          <w:szCs w:val="22"/>
        </w:rPr>
        <w:t xml:space="preserve">; while </w:t>
      </w:r>
      <w:r w:rsidRPr="00652F75">
        <w:rPr>
          <w:sz w:val="22"/>
          <w:szCs w:val="22"/>
        </w:rPr>
        <w:t xml:space="preserve">1/5 of them </w:t>
      </w:r>
      <w:r w:rsidR="00FB139B" w:rsidRPr="00652F75">
        <w:rPr>
          <w:sz w:val="22"/>
          <w:szCs w:val="22"/>
        </w:rPr>
        <w:t xml:space="preserve">stay </w:t>
      </w:r>
      <w:r w:rsidRPr="00652F75">
        <w:rPr>
          <w:sz w:val="22"/>
          <w:szCs w:val="22"/>
        </w:rPr>
        <w:t>in the refugee camps</w:t>
      </w:r>
      <w:r w:rsidR="00FB139B" w:rsidRPr="00652F75">
        <w:rPr>
          <w:sz w:val="22"/>
          <w:szCs w:val="22"/>
        </w:rPr>
        <w:t xml:space="preserve"> and</w:t>
      </w:r>
      <w:r w:rsidRPr="00652F75">
        <w:rPr>
          <w:sz w:val="22"/>
          <w:szCs w:val="22"/>
        </w:rPr>
        <w:t xml:space="preserve"> the rest of the refugee population are trying to reach adequate housing as rent and house prices to skyrocket in frontier cities. </w:t>
      </w:r>
      <w:r w:rsidRPr="00652F75">
        <w:rPr>
          <w:color w:val="262626"/>
          <w:sz w:val="22"/>
          <w:szCs w:val="22"/>
          <w:lang w:val="en-US"/>
        </w:rPr>
        <w:t>Soaring demand from Syrians combined with a shortage in land has caused real estate prices in the southeastern T</w:t>
      </w:r>
      <w:r w:rsidR="003221BD">
        <w:rPr>
          <w:color w:val="262626"/>
          <w:sz w:val="22"/>
          <w:szCs w:val="22"/>
          <w:lang w:val="en-US"/>
        </w:rPr>
        <w:t xml:space="preserve">urkish provinces of Gaziantep, </w:t>
      </w:r>
      <w:proofErr w:type="spellStart"/>
      <w:r w:rsidR="003221BD">
        <w:rPr>
          <w:color w:val="262626"/>
          <w:sz w:val="22"/>
          <w:szCs w:val="22"/>
          <w:lang w:val="en-US"/>
        </w:rPr>
        <w:t>S</w:t>
      </w:r>
      <w:r w:rsidRPr="00652F75">
        <w:rPr>
          <w:color w:val="262626"/>
          <w:sz w:val="22"/>
          <w:szCs w:val="22"/>
          <w:lang w:val="en-US"/>
        </w:rPr>
        <w:t>anl</w:t>
      </w:r>
      <w:r w:rsidR="003221BD">
        <w:rPr>
          <w:color w:val="262626"/>
          <w:sz w:val="22"/>
          <w:szCs w:val="22"/>
          <w:lang w:val="en-US"/>
        </w:rPr>
        <w:t>i</w:t>
      </w:r>
      <w:r w:rsidRPr="00652F75">
        <w:rPr>
          <w:color w:val="262626"/>
          <w:sz w:val="22"/>
          <w:szCs w:val="22"/>
          <w:lang w:val="en-US"/>
        </w:rPr>
        <w:t>urfa</w:t>
      </w:r>
      <w:proofErr w:type="spellEnd"/>
      <w:r w:rsidRPr="00652F75">
        <w:rPr>
          <w:color w:val="262626"/>
          <w:sz w:val="22"/>
          <w:szCs w:val="22"/>
          <w:lang w:val="en-US"/>
        </w:rPr>
        <w:t xml:space="preserve"> and </w:t>
      </w:r>
      <w:proofErr w:type="spellStart"/>
      <w:r w:rsidRPr="00652F75">
        <w:rPr>
          <w:color w:val="262626"/>
          <w:sz w:val="22"/>
          <w:szCs w:val="22"/>
          <w:lang w:val="en-US"/>
        </w:rPr>
        <w:t>Kilis</w:t>
      </w:r>
      <w:proofErr w:type="spellEnd"/>
      <w:r w:rsidRPr="00652F75">
        <w:rPr>
          <w:color w:val="262626"/>
          <w:sz w:val="22"/>
          <w:szCs w:val="22"/>
          <w:lang w:val="en-US"/>
        </w:rPr>
        <w:t xml:space="preserve"> to double and rents to soar up to three-fold compared to two years ago.</w:t>
      </w:r>
    </w:p>
    <w:p w14:paraId="1B0A415F" w14:textId="77777777" w:rsidR="003A69A1" w:rsidRPr="00652F75" w:rsidRDefault="003A69A1" w:rsidP="002816AC">
      <w:pPr>
        <w:pStyle w:val="ColorfulList-Accent11"/>
        <w:jc w:val="both"/>
        <w:rPr>
          <w:sz w:val="22"/>
          <w:szCs w:val="22"/>
        </w:rPr>
      </w:pPr>
    </w:p>
    <w:p w14:paraId="272F8C2D" w14:textId="3BF5608B" w:rsidR="00917760" w:rsidRPr="00652F75" w:rsidRDefault="00917760" w:rsidP="002816AC">
      <w:pPr>
        <w:pStyle w:val="ColorfulList-Accent11"/>
        <w:jc w:val="both"/>
        <w:rPr>
          <w:sz w:val="22"/>
          <w:szCs w:val="22"/>
        </w:rPr>
      </w:pPr>
      <w:r w:rsidRPr="00652F75">
        <w:rPr>
          <w:sz w:val="22"/>
          <w:szCs w:val="22"/>
        </w:rPr>
        <w:t>There are p</w:t>
      </w:r>
      <w:r w:rsidR="003A69A1" w:rsidRPr="00652F75">
        <w:rPr>
          <w:sz w:val="22"/>
          <w:szCs w:val="22"/>
        </w:rPr>
        <w:t xml:space="preserve">articular groups in Turkey </w:t>
      </w:r>
      <w:r w:rsidRPr="00652F75">
        <w:rPr>
          <w:sz w:val="22"/>
          <w:szCs w:val="22"/>
        </w:rPr>
        <w:t>who lack</w:t>
      </w:r>
      <w:r w:rsidR="003A69A1" w:rsidRPr="00652F75">
        <w:rPr>
          <w:sz w:val="22"/>
          <w:szCs w:val="22"/>
        </w:rPr>
        <w:t xml:space="preserve"> access to adequate housing </w:t>
      </w:r>
      <w:r w:rsidRPr="00652F75">
        <w:rPr>
          <w:sz w:val="22"/>
          <w:szCs w:val="22"/>
        </w:rPr>
        <w:t>due to unavailability of legal framework and public policies. These groups are:</w:t>
      </w:r>
    </w:p>
    <w:p w14:paraId="31B0CBA6" w14:textId="2F35B1C3" w:rsidR="00917760" w:rsidRPr="00652F75" w:rsidRDefault="00917760" w:rsidP="001F0C01">
      <w:pPr>
        <w:pStyle w:val="ColorfulList-Accent11"/>
        <w:numPr>
          <w:ilvl w:val="0"/>
          <w:numId w:val="9"/>
        </w:numPr>
        <w:jc w:val="both"/>
        <w:rPr>
          <w:sz w:val="22"/>
          <w:szCs w:val="22"/>
        </w:rPr>
      </w:pPr>
      <w:r w:rsidRPr="00652F75">
        <w:rPr>
          <w:sz w:val="22"/>
          <w:szCs w:val="22"/>
        </w:rPr>
        <w:t>Groups who become socially excluded due to their ethnic orig</w:t>
      </w:r>
      <w:r w:rsidR="001F0C01" w:rsidRPr="00652F75">
        <w:rPr>
          <w:sz w:val="22"/>
          <w:szCs w:val="22"/>
        </w:rPr>
        <w:t>in, sexual orientation or sex</w:t>
      </w:r>
      <w:r w:rsidRPr="00652F75">
        <w:rPr>
          <w:sz w:val="22"/>
          <w:szCs w:val="22"/>
        </w:rPr>
        <w:t xml:space="preserve"> identity </w:t>
      </w:r>
      <w:r w:rsidR="00857035" w:rsidRPr="00652F75">
        <w:rPr>
          <w:sz w:val="22"/>
          <w:szCs w:val="22"/>
        </w:rPr>
        <w:t>and have limited options to tenements being refused by landowners/neighbours due to their identity,</w:t>
      </w:r>
    </w:p>
    <w:p w14:paraId="3B88401C" w14:textId="381F265B" w:rsidR="001F0C01" w:rsidRDefault="001F0C01" w:rsidP="001F0C01">
      <w:pPr>
        <w:pStyle w:val="ColorfulList-Accent11"/>
        <w:numPr>
          <w:ilvl w:val="0"/>
          <w:numId w:val="9"/>
        </w:numPr>
        <w:jc w:val="both"/>
        <w:rPr>
          <w:sz w:val="22"/>
          <w:szCs w:val="22"/>
        </w:rPr>
      </w:pPr>
      <w:r w:rsidRPr="00652F75">
        <w:rPr>
          <w:sz w:val="22"/>
          <w:szCs w:val="22"/>
        </w:rPr>
        <w:t xml:space="preserve">Disabled people, </w:t>
      </w:r>
    </w:p>
    <w:p w14:paraId="4FCA7D5B" w14:textId="2ED98D56" w:rsidR="00096B9A" w:rsidRPr="00652F75" w:rsidRDefault="00096B9A" w:rsidP="001F0C01">
      <w:pPr>
        <w:pStyle w:val="ColorfulList-Accent11"/>
        <w:numPr>
          <w:ilvl w:val="0"/>
          <w:numId w:val="9"/>
        </w:numPr>
        <w:jc w:val="both"/>
        <w:rPr>
          <w:sz w:val="22"/>
          <w:szCs w:val="22"/>
        </w:rPr>
      </w:pPr>
      <w:r>
        <w:rPr>
          <w:sz w:val="22"/>
          <w:szCs w:val="22"/>
        </w:rPr>
        <w:t>Elderly,</w:t>
      </w:r>
    </w:p>
    <w:p w14:paraId="02E7DF53" w14:textId="37940173" w:rsidR="001F0C01" w:rsidRPr="00652F75" w:rsidRDefault="001F0C01" w:rsidP="001F0C01">
      <w:pPr>
        <w:pStyle w:val="ColorfulList-Accent11"/>
        <w:numPr>
          <w:ilvl w:val="0"/>
          <w:numId w:val="9"/>
        </w:numPr>
        <w:jc w:val="both"/>
        <w:rPr>
          <w:sz w:val="22"/>
          <w:szCs w:val="22"/>
        </w:rPr>
      </w:pPr>
      <w:r w:rsidRPr="00652F75">
        <w:rPr>
          <w:sz w:val="22"/>
          <w:szCs w:val="22"/>
        </w:rPr>
        <w:t>Urban poor,</w:t>
      </w:r>
      <w:r w:rsidR="00857035" w:rsidRPr="00652F75">
        <w:rPr>
          <w:sz w:val="22"/>
          <w:szCs w:val="22"/>
        </w:rPr>
        <w:t xml:space="preserve"> people from lower socio-economic classes,</w:t>
      </w:r>
    </w:p>
    <w:p w14:paraId="1BC77C03" w14:textId="79ABC201" w:rsidR="001F0C01" w:rsidRPr="00652F75" w:rsidRDefault="00917760" w:rsidP="001F0C01">
      <w:pPr>
        <w:pStyle w:val="ColorfulList-Accent11"/>
        <w:numPr>
          <w:ilvl w:val="0"/>
          <w:numId w:val="9"/>
        </w:numPr>
        <w:rPr>
          <w:sz w:val="22"/>
          <w:szCs w:val="22"/>
        </w:rPr>
      </w:pPr>
      <w:r w:rsidRPr="00652F75">
        <w:rPr>
          <w:sz w:val="22"/>
          <w:szCs w:val="22"/>
        </w:rPr>
        <w:t>University students</w:t>
      </w:r>
      <w:r w:rsidR="00857035" w:rsidRPr="00652F75">
        <w:rPr>
          <w:sz w:val="22"/>
          <w:szCs w:val="22"/>
        </w:rPr>
        <w:t xml:space="preserve"> faced with inadequate affordable accommodation and dormitory housing,</w:t>
      </w:r>
    </w:p>
    <w:p w14:paraId="1F3801B3" w14:textId="4D3E9494" w:rsidR="00C15BED" w:rsidRPr="00652F75" w:rsidRDefault="00917760" w:rsidP="001F0C01">
      <w:pPr>
        <w:pStyle w:val="ColorfulList-Accent11"/>
        <w:numPr>
          <w:ilvl w:val="0"/>
          <w:numId w:val="9"/>
        </w:numPr>
        <w:rPr>
          <w:sz w:val="22"/>
          <w:szCs w:val="22"/>
        </w:rPr>
      </w:pPr>
      <w:r w:rsidRPr="00652F75">
        <w:rPr>
          <w:sz w:val="22"/>
          <w:szCs w:val="22"/>
        </w:rPr>
        <w:t>Women who are exposed to</w:t>
      </w:r>
      <w:r w:rsidR="001F0C01" w:rsidRPr="00652F75">
        <w:rPr>
          <w:sz w:val="22"/>
          <w:szCs w:val="22"/>
        </w:rPr>
        <w:t xml:space="preserve"> or under the threat of</w:t>
      </w:r>
      <w:r w:rsidRPr="00652F75">
        <w:rPr>
          <w:sz w:val="22"/>
          <w:szCs w:val="22"/>
        </w:rPr>
        <w:t xml:space="preserve"> domestic violence and cannot be provided with secure permanent housing </w:t>
      </w:r>
      <w:r w:rsidR="001F0C01" w:rsidRPr="00652F75">
        <w:rPr>
          <w:sz w:val="22"/>
          <w:szCs w:val="22"/>
        </w:rPr>
        <w:t>by the state</w:t>
      </w:r>
      <w:r w:rsidR="00857035" w:rsidRPr="00652F75">
        <w:rPr>
          <w:sz w:val="22"/>
          <w:szCs w:val="22"/>
        </w:rPr>
        <w:t xml:space="preserve"> due to limited number of shelters particularly in densely populated cities. </w:t>
      </w:r>
    </w:p>
    <w:p w14:paraId="42A5E497" w14:textId="77777777" w:rsidR="00AF7D70" w:rsidRPr="00652F75" w:rsidRDefault="00AF7D70" w:rsidP="00AF7D70">
      <w:pPr>
        <w:tabs>
          <w:tab w:val="left" w:pos="720"/>
        </w:tabs>
        <w:ind w:left="720" w:right="-1"/>
        <w:jc w:val="both"/>
        <w:rPr>
          <w:sz w:val="22"/>
          <w:szCs w:val="22"/>
        </w:rPr>
      </w:pPr>
    </w:p>
    <w:p w14:paraId="2446699D" w14:textId="77777777" w:rsidR="00044720" w:rsidRPr="00652F75" w:rsidRDefault="00044720" w:rsidP="008D38FC">
      <w:pPr>
        <w:tabs>
          <w:tab w:val="left" w:pos="720"/>
        </w:tabs>
        <w:ind w:right="-1"/>
        <w:jc w:val="both"/>
        <w:rPr>
          <w:sz w:val="22"/>
          <w:szCs w:val="22"/>
        </w:rPr>
      </w:pPr>
    </w:p>
    <w:sectPr w:rsidR="00044720" w:rsidRPr="00652F75" w:rsidSect="00D66A0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92F0" w14:textId="77777777" w:rsidR="00DC1EEA" w:rsidRDefault="00DC1EEA">
      <w:r>
        <w:separator/>
      </w:r>
    </w:p>
  </w:endnote>
  <w:endnote w:type="continuationSeparator" w:id="0">
    <w:p w14:paraId="05527044" w14:textId="77777777" w:rsidR="00DC1EEA" w:rsidRDefault="00DC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4E"/>
    <w:family w:val="auto"/>
    <w:pitch w:val="variable"/>
    <w:sig w:usb0="E00002FF" w:usb1="7AC7FFFF" w:usb2="00000012" w:usb3="00000000" w:csb0="0002000D" w:csb1="00000000"/>
  </w:font>
  <w:font w:name="Adobe Caslon Pro">
    <w:altName w:val="Adobe Caslon Pro"/>
    <w:panose1 w:val="00000000000000000000"/>
    <w:charset w:val="00"/>
    <w:family w:val="roman"/>
    <w:notTrueType/>
    <w:pitch w:val="default"/>
    <w:sig w:usb0="00000003" w:usb1="00000000" w:usb2="00000000" w:usb3="00000000" w:csb0="00000013" w:csb1="00000000"/>
  </w:font>
  <w:font w:name="Adobe Garamond Pro">
    <w:altName w:val="Times New Roman"/>
    <w:panose1 w:val="00000000000000000000"/>
    <w:charset w:val="A2"/>
    <w:family w:val="roman"/>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4612" w14:textId="77777777" w:rsidR="007E551C" w:rsidRDefault="007E551C" w:rsidP="00D66A0F">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00C15" w14:textId="77777777" w:rsidR="007E551C" w:rsidRPr="00147F9C" w:rsidRDefault="007E551C" w:rsidP="00D66A0F">
    <w:pPr>
      <w:pStyle w:val="Footer"/>
      <w:tabs>
        <w:tab w:val="left" w:pos="731"/>
      </w:tabs>
      <w:jc w:val="both"/>
      <w:rPr>
        <w:sz w:val="24"/>
        <w:szCs w:val="24"/>
        <w:lang w:val="fr-CH"/>
      </w:rPr>
    </w:pPr>
    <w:r w:rsidRPr="00E20051">
      <w:rPr>
        <w:sz w:val="24"/>
        <w:szCs w:val="24"/>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4CE0A" w14:textId="77777777" w:rsidR="00DC1EEA" w:rsidRDefault="00DC1EEA">
      <w:r>
        <w:separator/>
      </w:r>
    </w:p>
  </w:footnote>
  <w:footnote w:type="continuationSeparator" w:id="0">
    <w:p w14:paraId="386A83FD" w14:textId="77777777" w:rsidR="00DC1EEA" w:rsidRDefault="00DC1EEA">
      <w:r>
        <w:continuationSeparator/>
      </w:r>
    </w:p>
  </w:footnote>
  <w:footnote w:id="1">
    <w:p w14:paraId="2231916B" w14:textId="77777777"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The report is available at: http://www.ohchr.org/EN/Issues/Housing/Pages/AnnualReports.aspx</w:t>
      </w:r>
    </w:p>
  </w:footnote>
  <w:footnote w:id="2">
    <w:p w14:paraId="62A4861E" w14:textId="03726D16"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English version of Turkish Constitution of 1982, </w:t>
      </w:r>
      <w:hyperlink r:id="rId1" w:history="1">
        <w:r w:rsidRPr="003221BD">
          <w:rPr>
            <w:rStyle w:val="Hyperlink"/>
            <w:sz w:val="18"/>
            <w:szCs w:val="18"/>
          </w:rPr>
          <w:t>http://global.tbmm.gov.tr/docs/constitution_en.pdf</w:t>
        </w:r>
      </w:hyperlink>
      <w:r w:rsidRPr="003221BD">
        <w:rPr>
          <w:sz w:val="18"/>
          <w:szCs w:val="18"/>
        </w:rPr>
        <w:t xml:space="preserve"> [Accessed: 22.10.2014].</w:t>
      </w:r>
    </w:p>
  </w:footnote>
  <w:footnote w:id="3">
    <w:p w14:paraId="57CF84B0" w14:textId="77777777" w:rsid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10</w:t>
      </w:r>
      <w:r w:rsidRPr="003221BD">
        <w:rPr>
          <w:sz w:val="18"/>
          <w:szCs w:val="18"/>
          <w:vertAlign w:val="superscript"/>
        </w:rPr>
        <w:t>th</w:t>
      </w:r>
      <w:r w:rsidRPr="003221BD">
        <w:rPr>
          <w:sz w:val="18"/>
          <w:szCs w:val="18"/>
        </w:rPr>
        <w:t xml:space="preserve"> Development Plan, </w:t>
      </w:r>
    </w:p>
    <w:p w14:paraId="5CBA1B57" w14:textId="4F222768" w:rsidR="007E551C" w:rsidRPr="003221BD" w:rsidRDefault="00DC1EEA" w:rsidP="003221BD">
      <w:pPr>
        <w:pStyle w:val="FootnoteText"/>
        <w:jc w:val="both"/>
        <w:rPr>
          <w:sz w:val="18"/>
          <w:szCs w:val="18"/>
        </w:rPr>
      </w:pPr>
      <w:hyperlink r:id="rId2" w:history="1">
        <w:r w:rsidR="007E551C" w:rsidRPr="003221BD">
          <w:rPr>
            <w:rStyle w:val="Hyperlink"/>
            <w:sz w:val="18"/>
            <w:szCs w:val="18"/>
          </w:rPr>
          <w:t>http://www.kalkinma.gov.tr/Lists/Kalknma%20Planlar/Attachments/12/Onuncu%20Kalk%C4%B1nma%20Plan%C4%B1.pdf</w:t>
        </w:r>
      </w:hyperlink>
      <w:r w:rsidR="007E551C" w:rsidRPr="003221BD">
        <w:rPr>
          <w:sz w:val="18"/>
          <w:szCs w:val="18"/>
        </w:rPr>
        <w:t>, [Accessed: 20.10.2014].</w:t>
      </w:r>
    </w:p>
  </w:footnote>
  <w:footnote w:id="4">
    <w:p w14:paraId="6C4EA7F5" w14:textId="77777777" w:rsidR="003221BD" w:rsidRDefault="007E551C" w:rsidP="003221BD">
      <w:pPr>
        <w:pStyle w:val="CommentText"/>
        <w:jc w:val="both"/>
        <w:rPr>
          <w:sz w:val="18"/>
          <w:szCs w:val="18"/>
        </w:rPr>
      </w:pPr>
      <w:r w:rsidRPr="003221BD">
        <w:rPr>
          <w:rStyle w:val="FootnoteReference"/>
          <w:sz w:val="18"/>
          <w:szCs w:val="18"/>
        </w:rPr>
        <w:footnoteRef/>
      </w:r>
      <w:r w:rsidRPr="003221BD">
        <w:rPr>
          <w:sz w:val="18"/>
          <w:szCs w:val="18"/>
        </w:rPr>
        <w:t xml:space="preserve"> For the Government Program see </w:t>
      </w:r>
    </w:p>
    <w:p w14:paraId="3013C418" w14:textId="208E406A" w:rsidR="007E551C" w:rsidRPr="003221BD" w:rsidRDefault="00DC1EEA" w:rsidP="003221BD">
      <w:pPr>
        <w:pStyle w:val="CommentText"/>
        <w:jc w:val="both"/>
        <w:rPr>
          <w:sz w:val="18"/>
          <w:szCs w:val="18"/>
        </w:rPr>
      </w:pPr>
      <w:hyperlink r:id="rId3" w:history="1">
        <w:r w:rsidR="007E551C" w:rsidRPr="003221BD">
          <w:rPr>
            <w:rStyle w:val="Hyperlink"/>
            <w:sz w:val="18"/>
            <w:szCs w:val="18"/>
          </w:rPr>
          <w:t>http://www.basbakanlik.gov.tr/Forms/_Global/_Government/pg_GovernmentProgram.aspx</w:t>
        </w:r>
      </w:hyperlink>
      <w:r w:rsidR="007E551C" w:rsidRPr="003221BD">
        <w:rPr>
          <w:sz w:val="18"/>
          <w:szCs w:val="18"/>
        </w:rPr>
        <w:t xml:space="preserve"> [Accessed: 22.10.2014].</w:t>
      </w:r>
    </w:p>
    <w:p w14:paraId="6AB7CEC4" w14:textId="26F6C3C7" w:rsidR="007E551C" w:rsidRPr="003221BD" w:rsidRDefault="007E551C" w:rsidP="003221BD">
      <w:pPr>
        <w:pStyle w:val="FootnoteText"/>
        <w:jc w:val="both"/>
        <w:rPr>
          <w:sz w:val="18"/>
          <w:szCs w:val="18"/>
        </w:rPr>
      </w:pPr>
      <w:proofErr w:type="gramStart"/>
      <w:r w:rsidRPr="003221BD">
        <w:rPr>
          <w:sz w:val="18"/>
          <w:szCs w:val="18"/>
        </w:rPr>
        <w:t>7.htm</w:t>
      </w:r>
      <w:proofErr w:type="gramEnd"/>
      <w:r w:rsidRPr="003221BD">
        <w:rPr>
          <w:sz w:val="18"/>
          <w:szCs w:val="18"/>
        </w:rPr>
        <w:t>&amp;main=http://www.resmigazete.gov.tr/eskiler/2014/09/20140907.htm. [Accessed: 22.10.2014].</w:t>
      </w:r>
    </w:p>
  </w:footnote>
  <w:footnote w:id="5">
    <w:p w14:paraId="28842034" w14:textId="7DF5015C"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Please see, </w:t>
      </w:r>
      <w:hyperlink r:id="rId4" w:history="1">
        <w:r w:rsidRPr="003221BD">
          <w:rPr>
            <w:rStyle w:val="Hyperlink"/>
            <w:sz w:val="18"/>
            <w:szCs w:val="18"/>
          </w:rPr>
          <w:t>http://www.</w:t>
        </w:r>
        <w:r w:rsidR="003221BD" w:rsidRPr="003221BD">
          <w:rPr>
            <w:rStyle w:val="Hyperlink"/>
            <w:sz w:val="18"/>
            <w:szCs w:val="18"/>
          </w:rPr>
          <w:t>TOKI</w:t>
        </w:r>
        <w:r w:rsidRPr="003221BD">
          <w:rPr>
            <w:rStyle w:val="Hyperlink"/>
            <w:sz w:val="18"/>
            <w:szCs w:val="18"/>
          </w:rPr>
          <w:t>.gov.tr/english/MASSHOUSINGLAW.PDF</w:t>
        </w:r>
      </w:hyperlink>
      <w:r w:rsidRPr="003221BD">
        <w:rPr>
          <w:sz w:val="18"/>
          <w:szCs w:val="18"/>
        </w:rPr>
        <w:t xml:space="preserve"> [Accessed: 22.10.2014].</w:t>
      </w:r>
    </w:p>
  </w:footnote>
  <w:footnote w:id="6">
    <w:p w14:paraId="6FD42D0D" w14:textId="0CD71A51"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Promulgated in the Official Gazette - No. 25874, 13 July 2005.</w:t>
      </w:r>
    </w:p>
  </w:footnote>
  <w:footnote w:id="7">
    <w:p w14:paraId="29D6DD66" w14:textId="33195F02"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Please see: </w:t>
      </w:r>
      <w:hyperlink r:id="rId5" w:history="1">
        <w:r w:rsidRPr="003221BD">
          <w:rPr>
            <w:rStyle w:val="Hyperlink"/>
            <w:sz w:val="18"/>
            <w:szCs w:val="18"/>
          </w:rPr>
          <w:t>http://www.migm.gov.tr/en/Laws/Law5366_DilapidatedHistoricAssets_2010-12-31_EN_rev01.pdf</w:t>
        </w:r>
      </w:hyperlink>
      <w:r w:rsidRPr="003221BD">
        <w:rPr>
          <w:sz w:val="18"/>
          <w:szCs w:val="18"/>
        </w:rPr>
        <w:t xml:space="preserve"> [Accessed: 22.10.2014].</w:t>
      </w:r>
    </w:p>
  </w:footnote>
  <w:footnote w:id="8">
    <w:p w14:paraId="17B65F76" w14:textId="77777777" w:rsidR="007E551C" w:rsidRPr="003221BD" w:rsidRDefault="007E551C"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proofErr w:type="spellStart"/>
      <w:r w:rsidRPr="003221BD">
        <w:rPr>
          <w:sz w:val="18"/>
          <w:szCs w:val="18"/>
          <w:lang w:val="tr-TR"/>
        </w:rPr>
        <w:t>Article</w:t>
      </w:r>
      <w:proofErr w:type="spellEnd"/>
      <w:r w:rsidRPr="003221BD">
        <w:rPr>
          <w:sz w:val="18"/>
          <w:szCs w:val="18"/>
          <w:lang w:val="tr-TR"/>
        </w:rPr>
        <w:t xml:space="preserve"> 17 of </w:t>
      </w:r>
      <w:proofErr w:type="spellStart"/>
      <w:r w:rsidRPr="003221BD">
        <w:rPr>
          <w:sz w:val="18"/>
          <w:szCs w:val="18"/>
          <w:lang w:val="tr-TR"/>
        </w:rPr>
        <w:t>the</w:t>
      </w:r>
      <w:proofErr w:type="spellEnd"/>
      <w:r w:rsidRPr="003221BD">
        <w:rPr>
          <w:sz w:val="18"/>
          <w:szCs w:val="18"/>
          <w:lang w:val="tr-TR"/>
        </w:rPr>
        <w:t xml:space="preserve"> Law No. 6360 </w:t>
      </w:r>
      <w:proofErr w:type="spellStart"/>
      <w:r w:rsidRPr="003221BD">
        <w:rPr>
          <w:sz w:val="18"/>
          <w:szCs w:val="18"/>
          <w:lang w:val="tr-TR"/>
        </w:rPr>
        <w:t>amended</w:t>
      </w:r>
      <w:proofErr w:type="spellEnd"/>
      <w:r w:rsidRPr="003221BD">
        <w:rPr>
          <w:sz w:val="18"/>
          <w:szCs w:val="18"/>
          <w:lang w:val="tr-TR"/>
        </w:rPr>
        <w:t xml:space="preserve"> </w:t>
      </w:r>
      <w:proofErr w:type="spellStart"/>
      <w:r w:rsidRPr="003221BD">
        <w:rPr>
          <w:sz w:val="18"/>
          <w:szCs w:val="18"/>
          <w:lang w:val="tr-TR"/>
        </w:rPr>
        <w:t>the</w:t>
      </w:r>
      <w:proofErr w:type="spellEnd"/>
      <w:r w:rsidRPr="003221BD">
        <w:rPr>
          <w:sz w:val="18"/>
          <w:szCs w:val="18"/>
          <w:lang w:val="tr-TR"/>
        </w:rPr>
        <w:t xml:space="preserve"> </w:t>
      </w:r>
      <w:proofErr w:type="spellStart"/>
      <w:r w:rsidRPr="003221BD">
        <w:rPr>
          <w:sz w:val="18"/>
          <w:szCs w:val="18"/>
          <w:lang w:val="tr-TR"/>
        </w:rPr>
        <w:t>regulation</w:t>
      </w:r>
      <w:proofErr w:type="spellEnd"/>
      <w:r w:rsidRPr="003221BD">
        <w:rPr>
          <w:sz w:val="18"/>
          <w:szCs w:val="18"/>
          <w:lang w:val="tr-TR"/>
        </w:rPr>
        <w:t xml:space="preserve"> in </w:t>
      </w:r>
      <w:proofErr w:type="spellStart"/>
      <w:r w:rsidRPr="003221BD">
        <w:rPr>
          <w:sz w:val="18"/>
          <w:szCs w:val="18"/>
          <w:lang w:val="tr-TR"/>
        </w:rPr>
        <w:t>Article</w:t>
      </w:r>
      <w:proofErr w:type="spellEnd"/>
      <w:r w:rsidRPr="003221BD">
        <w:rPr>
          <w:sz w:val="18"/>
          <w:szCs w:val="18"/>
          <w:lang w:val="tr-TR"/>
        </w:rPr>
        <w:t xml:space="preserve"> 14 of </w:t>
      </w:r>
      <w:proofErr w:type="spellStart"/>
      <w:r w:rsidRPr="003221BD">
        <w:rPr>
          <w:sz w:val="18"/>
          <w:szCs w:val="18"/>
          <w:lang w:val="tr-TR"/>
        </w:rPr>
        <w:t>the</w:t>
      </w:r>
      <w:proofErr w:type="spellEnd"/>
      <w:r w:rsidRPr="003221BD">
        <w:rPr>
          <w:sz w:val="18"/>
          <w:szCs w:val="18"/>
          <w:lang w:val="tr-TR"/>
        </w:rPr>
        <w:t xml:space="preserve"> Law No.5393. </w:t>
      </w:r>
      <w:proofErr w:type="spellStart"/>
      <w:r w:rsidRPr="003221BD">
        <w:rPr>
          <w:sz w:val="18"/>
          <w:szCs w:val="18"/>
          <w:lang w:val="tr-TR"/>
        </w:rPr>
        <w:t>According</w:t>
      </w:r>
      <w:proofErr w:type="spellEnd"/>
      <w:r w:rsidRPr="003221BD">
        <w:rPr>
          <w:sz w:val="18"/>
          <w:szCs w:val="18"/>
          <w:lang w:val="tr-TR"/>
        </w:rPr>
        <w:t xml:space="preserve"> </w:t>
      </w:r>
      <w:proofErr w:type="spellStart"/>
      <w:r w:rsidRPr="003221BD">
        <w:rPr>
          <w:sz w:val="18"/>
          <w:szCs w:val="18"/>
          <w:lang w:val="tr-TR"/>
        </w:rPr>
        <w:t>to</w:t>
      </w:r>
      <w:proofErr w:type="spellEnd"/>
      <w:r w:rsidRPr="003221BD">
        <w:rPr>
          <w:sz w:val="18"/>
          <w:szCs w:val="18"/>
          <w:lang w:val="tr-TR"/>
        </w:rPr>
        <w:t xml:space="preserve"> </w:t>
      </w:r>
      <w:proofErr w:type="spellStart"/>
      <w:r w:rsidRPr="003221BD">
        <w:rPr>
          <w:sz w:val="18"/>
          <w:szCs w:val="18"/>
          <w:lang w:val="tr-TR"/>
        </w:rPr>
        <w:t>Article</w:t>
      </w:r>
      <w:proofErr w:type="spellEnd"/>
      <w:r w:rsidRPr="003221BD">
        <w:rPr>
          <w:sz w:val="18"/>
          <w:szCs w:val="18"/>
          <w:lang w:val="tr-TR"/>
        </w:rPr>
        <w:t xml:space="preserve"> 14 of </w:t>
      </w:r>
      <w:proofErr w:type="spellStart"/>
      <w:r w:rsidRPr="003221BD">
        <w:rPr>
          <w:sz w:val="18"/>
          <w:szCs w:val="18"/>
          <w:lang w:val="tr-TR"/>
        </w:rPr>
        <w:t>the</w:t>
      </w:r>
      <w:proofErr w:type="spellEnd"/>
      <w:r w:rsidRPr="003221BD">
        <w:rPr>
          <w:sz w:val="18"/>
          <w:szCs w:val="18"/>
          <w:lang w:val="tr-TR"/>
        </w:rPr>
        <w:t xml:space="preserve"> Law No. 5393 </w:t>
      </w:r>
      <w:proofErr w:type="spellStart"/>
      <w:r w:rsidRPr="003221BD">
        <w:rPr>
          <w:sz w:val="18"/>
          <w:szCs w:val="18"/>
          <w:lang w:val="tr-TR"/>
        </w:rPr>
        <w:t>metropolitan</w:t>
      </w:r>
      <w:proofErr w:type="spellEnd"/>
      <w:r w:rsidRPr="003221BD">
        <w:rPr>
          <w:sz w:val="18"/>
          <w:szCs w:val="18"/>
          <w:lang w:val="tr-TR"/>
        </w:rPr>
        <w:t xml:space="preserve"> </w:t>
      </w:r>
      <w:proofErr w:type="spellStart"/>
      <w:r w:rsidRPr="003221BD">
        <w:rPr>
          <w:sz w:val="18"/>
          <w:szCs w:val="18"/>
          <w:lang w:val="tr-TR"/>
        </w:rPr>
        <w:t>municipalities</w:t>
      </w:r>
      <w:proofErr w:type="spellEnd"/>
      <w:r w:rsidRPr="003221BD">
        <w:rPr>
          <w:sz w:val="18"/>
          <w:szCs w:val="18"/>
          <w:lang w:val="tr-TR"/>
        </w:rPr>
        <w:t xml:space="preserve"> </w:t>
      </w:r>
      <w:proofErr w:type="spellStart"/>
      <w:r w:rsidRPr="003221BD">
        <w:rPr>
          <w:sz w:val="18"/>
          <w:szCs w:val="18"/>
          <w:lang w:val="tr-TR"/>
        </w:rPr>
        <w:t>and</w:t>
      </w:r>
      <w:proofErr w:type="spellEnd"/>
      <w:r w:rsidRPr="003221BD">
        <w:rPr>
          <w:sz w:val="18"/>
          <w:szCs w:val="18"/>
          <w:lang w:val="tr-TR"/>
        </w:rPr>
        <w:t xml:space="preserve"> </w:t>
      </w:r>
      <w:proofErr w:type="spellStart"/>
      <w:r w:rsidRPr="003221BD">
        <w:rPr>
          <w:sz w:val="18"/>
          <w:szCs w:val="18"/>
          <w:lang w:val="tr-TR"/>
        </w:rPr>
        <w:t>municipalities</w:t>
      </w:r>
      <w:proofErr w:type="spellEnd"/>
      <w:r w:rsidRPr="003221BD">
        <w:rPr>
          <w:sz w:val="18"/>
          <w:szCs w:val="18"/>
          <w:lang w:val="tr-TR"/>
        </w:rPr>
        <w:t xml:space="preserve"> </w:t>
      </w:r>
      <w:proofErr w:type="spellStart"/>
      <w:r w:rsidRPr="003221BD">
        <w:rPr>
          <w:sz w:val="18"/>
          <w:szCs w:val="18"/>
          <w:lang w:val="tr-TR"/>
        </w:rPr>
        <w:t>with</w:t>
      </w:r>
      <w:proofErr w:type="spellEnd"/>
      <w:r w:rsidRPr="003221BD">
        <w:rPr>
          <w:sz w:val="18"/>
          <w:szCs w:val="18"/>
          <w:lang w:val="tr-TR"/>
        </w:rPr>
        <w:t xml:space="preserve"> 50.000 </w:t>
      </w:r>
      <w:proofErr w:type="spellStart"/>
      <w:r w:rsidRPr="003221BD">
        <w:rPr>
          <w:sz w:val="18"/>
          <w:szCs w:val="18"/>
          <w:lang w:val="tr-TR"/>
        </w:rPr>
        <w:t>or</w:t>
      </w:r>
      <w:proofErr w:type="spellEnd"/>
      <w:r w:rsidRPr="003221BD">
        <w:rPr>
          <w:sz w:val="18"/>
          <w:szCs w:val="18"/>
          <w:lang w:val="tr-TR"/>
        </w:rPr>
        <w:t xml:space="preserve"> </w:t>
      </w:r>
      <w:proofErr w:type="spellStart"/>
      <w:r w:rsidRPr="003221BD">
        <w:rPr>
          <w:sz w:val="18"/>
          <w:szCs w:val="18"/>
          <w:lang w:val="tr-TR"/>
        </w:rPr>
        <w:t>more</w:t>
      </w:r>
      <w:proofErr w:type="spellEnd"/>
      <w:r w:rsidRPr="003221BD">
        <w:rPr>
          <w:sz w:val="18"/>
          <w:szCs w:val="18"/>
          <w:lang w:val="tr-TR"/>
        </w:rPr>
        <w:t xml:space="preserve"> </w:t>
      </w:r>
      <w:proofErr w:type="spellStart"/>
      <w:r w:rsidRPr="003221BD">
        <w:rPr>
          <w:sz w:val="18"/>
          <w:szCs w:val="18"/>
          <w:lang w:val="tr-TR"/>
        </w:rPr>
        <w:t>inhabitants</w:t>
      </w:r>
      <w:proofErr w:type="spellEnd"/>
      <w:r w:rsidRPr="003221BD">
        <w:rPr>
          <w:sz w:val="18"/>
          <w:szCs w:val="18"/>
          <w:lang w:val="tr-TR"/>
        </w:rPr>
        <w:t xml:space="preserve"> </w:t>
      </w:r>
      <w:proofErr w:type="spellStart"/>
      <w:r w:rsidRPr="003221BD">
        <w:rPr>
          <w:sz w:val="18"/>
          <w:szCs w:val="18"/>
          <w:lang w:val="tr-TR"/>
        </w:rPr>
        <w:t>establish</w:t>
      </w:r>
      <w:proofErr w:type="spellEnd"/>
      <w:r w:rsidRPr="003221BD">
        <w:rPr>
          <w:sz w:val="18"/>
          <w:szCs w:val="18"/>
          <w:lang w:val="tr-TR"/>
        </w:rPr>
        <w:t xml:space="preserve"> </w:t>
      </w:r>
      <w:proofErr w:type="spellStart"/>
      <w:r w:rsidRPr="003221BD">
        <w:rPr>
          <w:sz w:val="18"/>
          <w:szCs w:val="18"/>
          <w:lang w:val="tr-TR"/>
        </w:rPr>
        <w:t>shelters</w:t>
      </w:r>
      <w:proofErr w:type="spellEnd"/>
      <w:r w:rsidRPr="003221BD">
        <w:rPr>
          <w:sz w:val="18"/>
          <w:szCs w:val="18"/>
          <w:lang w:val="tr-TR"/>
        </w:rPr>
        <w:t xml:space="preserve"> </w:t>
      </w:r>
      <w:proofErr w:type="spellStart"/>
      <w:r w:rsidRPr="003221BD">
        <w:rPr>
          <w:sz w:val="18"/>
          <w:szCs w:val="18"/>
          <w:lang w:val="tr-TR"/>
        </w:rPr>
        <w:t>for</w:t>
      </w:r>
      <w:proofErr w:type="spellEnd"/>
      <w:r w:rsidRPr="003221BD">
        <w:rPr>
          <w:sz w:val="18"/>
          <w:szCs w:val="18"/>
          <w:lang w:val="tr-TR"/>
        </w:rPr>
        <w:t xml:space="preserve"> </w:t>
      </w:r>
      <w:proofErr w:type="spellStart"/>
      <w:r w:rsidRPr="003221BD">
        <w:rPr>
          <w:sz w:val="18"/>
          <w:szCs w:val="18"/>
          <w:lang w:val="tr-TR"/>
        </w:rPr>
        <w:t>women</w:t>
      </w:r>
      <w:proofErr w:type="spellEnd"/>
      <w:r w:rsidRPr="003221BD">
        <w:rPr>
          <w:sz w:val="18"/>
          <w:szCs w:val="18"/>
          <w:lang w:val="tr-TR"/>
        </w:rPr>
        <w:t xml:space="preserve"> </w:t>
      </w:r>
      <w:proofErr w:type="spellStart"/>
      <w:r w:rsidRPr="003221BD">
        <w:rPr>
          <w:sz w:val="18"/>
          <w:szCs w:val="18"/>
          <w:lang w:val="tr-TR"/>
        </w:rPr>
        <w:t>and</w:t>
      </w:r>
      <w:proofErr w:type="spellEnd"/>
      <w:r w:rsidRPr="003221BD">
        <w:rPr>
          <w:sz w:val="18"/>
          <w:szCs w:val="18"/>
          <w:lang w:val="tr-TR"/>
        </w:rPr>
        <w:t xml:space="preserve"> </w:t>
      </w:r>
      <w:proofErr w:type="spellStart"/>
      <w:r w:rsidRPr="003221BD">
        <w:rPr>
          <w:sz w:val="18"/>
          <w:szCs w:val="18"/>
          <w:lang w:val="tr-TR"/>
        </w:rPr>
        <w:t>children</w:t>
      </w:r>
      <w:proofErr w:type="spellEnd"/>
      <w:r w:rsidRPr="003221BD">
        <w:rPr>
          <w:sz w:val="18"/>
          <w:szCs w:val="18"/>
          <w:lang w:val="tr-TR"/>
        </w:rPr>
        <w:t xml:space="preserve">. </w:t>
      </w:r>
    </w:p>
  </w:footnote>
  <w:footnote w:id="9">
    <w:p w14:paraId="4A78E558" w14:textId="77777777" w:rsidR="007E551C" w:rsidRPr="003221BD" w:rsidRDefault="007E551C"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proofErr w:type="spellStart"/>
      <w:r w:rsidRPr="003221BD">
        <w:rPr>
          <w:sz w:val="18"/>
          <w:szCs w:val="18"/>
          <w:lang w:val="tr-TR"/>
        </w:rPr>
        <w:t>Instead</w:t>
      </w:r>
      <w:proofErr w:type="spellEnd"/>
      <w:r w:rsidRPr="003221BD">
        <w:rPr>
          <w:sz w:val="18"/>
          <w:szCs w:val="18"/>
          <w:lang w:val="tr-TR"/>
        </w:rPr>
        <w:t xml:space="preserve"> of </w:t>
      </w:r>
      <w:proofErr w:type="spellStart"/>
      <w:r w:rsidRPr="003221BD">
        <w:rPr>
          <w:sz w:val="18"/>
          <w:szCs w:val="18"/>
          <w:lang w:val="tr-TR"/>
        </w:rPr>
        <w:t>shelters</w:t>
      </w:r>
      <w:proofErr w:type="spellEnd"/>
      <w:r w:rsidRPr="003221BD">
        <w:rPr>
          <w:sz w:val="18"/>
          <w:szCs w:val="18"/>
          <w:lang w:val="tr-TR"/>
        </w:rPr>
        <w:t xml:space="preserve">, </w:t>
      </w:r>
      <w:proofErr w:type="spellStart"/>
      <w:r w:rsidRPr="003221BD">
        <w:rPr>
          <w:sz w:val="18"/>
          <w:szCs w:val="18"/>
          <w:lang w:val="tr-TR"/>
        </w:rPr>
        <w:t>the</w:t>
      </w:r>
      <w:proofErr w:type="spellEnd"/>
      <w:r w:rsidRPr="003221BD">
        <w:rPr>
          <w:sz w:val="18"/>
          <w:szCs w:val="18"/>
          <w:lang w:val="tr-TR"/>
        </w:rPr>
        <w:t xml:space="preserve"> </w:t>
      </w:r>
      <w:proofErr w:type="spellStart"/>
      <w:r w:rsidRPr="003221BD">
        <w:rPr>
          <w:sz w:val="18"/>
          <w:szCs w:val="18"/>
          <w:lang w:val="tr-TR"/>
        </w:rPr>
        <w:t>term</w:t>
      </w:r>
      <w:proofErr w:type="spellEnd"/>
      <w:r w:rsidRPr="003221BD">
        <w:rPr>
          <w:sz w:val="18"/>
          <w:szCs w:val="18"/>
          <w:lang w:val="tr-TR"/>
        </w:rPr>
        <w:t xml:space="preserve"> “</w:t>
      </w:r>
      <w:proofErr w:type="spellStart"/>
      <w:r w:rsidRPr="003221BD">
        <w:rPr>
          <w:sz w:val="18"/>
          <w:szCs w:val="18"/>
          <w:lang w:val="tr-TR"/>
        </w:rPr>
        <w:t>guesthouse</w:t>
      </w:r>
      <w:proofErr w:type="spellEnd"/>
      <w:r w:rsidRPr="003221BD">
        <w:rPr>
          <w:sz w:val="18"/>
          <w:szCs w:val="18"/>
          <w:lang w:val="tr-TR"/>
        </w:rPr>
        <w:t xml:space="preserve">” is </w:t>
      </w:r>
      <w:proofErr w:type="spellStart"/>
      <w:r w:rsidRPr="003221BD">
        <w:rPr>
          <w:sz w:val="18"/>
          <w:szCs w:val="18"/>
          <w:lang w:val="tr-TR"/>
        </w:rPr>
        <w:t>used</w:t>
      </w:r>
      <w:proofErr w:type="spellEnd"/>
      <w:r w:rsidRPr="003221BD">
        <w:rPr>
          <w:sz w:val="18"/>
          <w:szCs w:val="18"/>
          <w:lang w:val="tr-TR"/>
        </w:rPr>
        <w:t xml:space="preserve"> in </w:t>
      </w:r>
      <w:proofErr w:type="spellStart"/>
      <w:r w:rsidRPr="003221BD">
        <w:rPr>
          <w:sz w:val="18"/>
          <w:szCs w:val="18"/>
          <w:lang w:val="tr-TR"/>
        </w:rPr>
        <w:t>the</w:t>
      </w:r>
      <w:proofErr w:type="spellEnd"/>
      <w:r w:rsidRPr="003221BD">
        <w:rPr>
          <w:sz w:val="18"/>
          <w:szCs w:val="18"/>
          <w:lang w:val="tr-TR"/>
        </w:rPr>
        <w:t xml:space="preserve"> </w:t>
      </w:r>
      <w:proofErr w:type="spellStart"/>
      <w:r w:rsidRPr="003221BD">
        <w:rPr>
          <w:sz w:val="18"/>
          <w:szCs w:val="18"/>
          <w:lang w:val="tr-TR"/>
        </w:rPr>
        <w:t>legislation</w:t>
      </w:r>
      <w:proofErr w:type="spellEnd"/>
      <w:r w:rsidRPr="003221BD">
        <w:rPr>
          <w:sz w:val="18"/>
          <w:szCs w:val="18"/>
          <w:lang w:val="tr-TR"/>
        </w:rPr>
        <w:t xml:space="preserve">. </w:t>
      </w:r>
      <w:proofErr w:type="spellStart"/>
      <w:r w:rsidRPr="003221BD">
        <w:rPr>
          <w:sz w:val="18"/>
          <w:szCs w:val="18"/>
          <w:lang w:val="tr-TR"/>
        </w:rPr>
        <w:t>However</w:t>
      </w:r>
      <w:proofErr w:type="spellEnd"/>
      <w:r w:rsidRPr="003221BD">
        <w:rPr>
          <w:sz w:val="18"/>
          <w:szCs w:val="18"/>
          <w:lang w:val="tr-TR"/>
        </w:rPr>
        <w:t xml:space="preserve">, </w:t>
      </w:r>
      <w:proofErr w:type="spellStart"/>
      <w:r w:rsidRPr="003221BD">
        <w:rPr>
          <w:sz w:val="18"/>
          <w:szCs w:val="18"/>
          <w:lang w:val="tr-TR"/>
        </w:rPr>
        <w:t>women’s</w:t>
      </w:r>
      <w:proofErr w:type="spellEnd"/>
      <w:r w:rsidRPr="003221BD">
        <w:rPr>
          <w:sz w:val="18"/>
          <w:szCs w:val="18"/>
          <w:lang w:val="tr-TR"/>
        </w:rPr>
        <w:t xml:space="preserve"> </w:t>
      </w:r>
      <w:proofErr w:type="spellStart"/>
      <w:r w:rsidRPr="003221BD">
        <w:rPr>
          <w:sz w:val="18"/>
          <w:szCs w:val="18"/>
          <w:lang w:val="tr-TR"/>
        </w:rPr>
        <w:t>organizations</w:t>
      </w:r>
      <w:proofErr w:type="spellEnd"/>
      <w:r w:rsidRPr="003221BD">
        <w:rPr>
          <w:sz w:val="18"/>
          <w:szCs w:val="18"/>
          <w:lang w:val="tr-TR"/>
        </w:rPr>
        <w:t xml:space="preserve"> </w:t>
      </w:r>
      <w:proofErr w:type="spellStart"/>
      <w:r w:rsidRPr="003221BD">
        <w:rPr>
          <w:sz w:val="18"/>
          <w:szCs w:val="18"/>
          <w:lang w:val="tr-TR"/>
        </w:rPr>
        <w:t>criticized</w:t>
      </w:r>
      <w:proofErr w:type="spellEnd"/>
      <w:r w:rsidRPr="003221BD">
        <w:rPr>
          <w:sz w:val="18"/>
          <w:szCs w:val="18"/>
          <w:lang w:val="tr-TR"/>
        </w:rPr>
        <w:t xml:space="preserve"> </w:t>
      </w:r>
      <w:proofErr w:type="spellStart"/>
      <w:r w:rsidRPr="003221BD">
        <w:rPr>
          <w:sz w:val="18"/>
          <w:szCs w:val="18"/>
          <w:lang w:val="tr-TR"/>
        </w:rPr>
        <w:t>the</w:t>
      </w:r>
      <w:proofErr w:type="spellEnd"/>
      <w:r w:rsidRPr="003221BD">
        <w:rPr>
          <w:sz w:val="18"/>
          <w:szCs w:val="18"/>
          <w:lang w:val="tr-TR"/>
        </w:rPr>
        <w:t xml:space="preserve"> </w:t>
      </w:r>
      <w:proofErr w:type="spellStart"/>
      <w:r w:rsidRPr="003221BD">
        <w:rPr>
          <w:sz w:val="18"/>
          <w:szCs w:val="18"/>
          <w:lang w:val="tr-TR"/>
        </w:rPr>
        <w:t>use</w:t>
      </w:r>
      <w:proofErr w:type="spellEnd"/>
      <w:r w:rsidRPr="003221BD">
        <w:rPr>
          <w:sz w:val="18"/>
          <w:szCs w:val="18"/>
          <w:lang w:val="tr-TR"/>
        </w:rPr>
        <w:t xml:space="preserve"> of “</w:t>
      </w:r>
      <w:proofErr w:type="spellStart"/>
      <w:r w:rsidRPr="003221BD">
        <w:rPr>
          <w:sz w:val="18"/>
          <w:szCs w:val="18"/>
          <w:lang w:val="tr-TR"/>
        </w:rPr>
        <w:t>guesthouse</w:t>
      </w:r>
      <w:proofErr w:type="spellEnd"/>
      <w:r w:rsidRPr="003221BD">
        <w:rPr>
          <w:sz w:val="18"/>
          <w:szCs w:val="18"/>
          <w:lang w:val="tr-TR"/>
        </w:rPr>
        <w:t xml:space="preserve">” </w:t>
      </w:r>
      <w:proofErr w:type="spellStart"/>
      <w:r w:rsidRPr="003221BD">
        <w:rPr>
          <w:sz w:val="18"/>
          <w:szCs w:val="18"/>
          <w:lang w:val="tr-TR"/>
        </w:rPr>
        <w:t>instead</w:t>
      </w:r>
      <w:proofErr w:type="spellEnd"/>
      <w:r w:rsidRPr="003221BD">
        <w:rPr>
          <w:sz w:val="18"/>
          <w:szCs w:val="18"/>
          <w:lang w:val="tr-TR"/>
        </w:rPr>
        <w:t xml:space="preserve"> of “</w:t>
      </w:r>
      <w:proofErr w:type="spellStart"/>
      <w:r w:rsidRPr="003221BD">
        <w:rPr>
          <w:sz w:val="18"/>
          <w:szCs w:val="18"/>
          <w:lang w:val="tr-TR"/>
        </w:rPr>
        <w:t>shelter</w:t>
      </w:r>
      <w:proofErr w:type="spellEnd"/>
      <w:r w:rsidRPr="003221BD">
        <w:rPr>
          <w:sz w:val="18"/>
          <w:szCs w:val="18"/>
          <w:lang w:val="tr-TR"/>
        </w:rPr>
        <w:t xml:space="preserve">”. </w:t>
      </w:r>
    </w:p>
  </w:footnote>
  <w:footnote w:id="10">
    <w:p w14:paraId="536D4487" w14:textId="3B60316A" w:rsidR="007E551C" w:rsidRPr="003221BD" w:rsidRDefault="007E551C"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hyperlink r:id="rId6" w:history="1">
        <w:r w:rsidRPr="003221BD">
          <w:rPr>
            <w:rStyle w:val="Hyperlink"/>
            <w:sz w:val="18"/>
            <w:szCs w:val="18"/>
          </w:rPr>
          <w:t>http://www.kadininstatusu.gov.tr/tr/28222/</w:t>
        </w:r>
      </w:hyperlink>
      <w:r w:rsidRPr="003221BD">
        <w:rPr>
          <w:color w:val="1A1A1A"/>
          <w:sz w:val="18"/>
          <w:szCs w:val="18"/>
          <w:lang w:val="en-US" w:eastAsia="tr-TR"/>
        </w:rPr>
        <w:t xml:space="preserve">. </w:t>
      </w:r>
      <w:r w:rsidRPr="003221BD">
        <w:rPr>
          <w:sz w:val="18"/>
          <w:szCs w:val="18"/>
        </w:rPr>
        <w:t>[Accessed: 29.10.2014].</w:t>
      </w:r>
    </w:p>
  </w:footnote>
  <w:footnote w:id="11">
    <w:p w14:paraId="32F86AEC" w14:textId="19FE5AFE"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Please see Mission Report of the Advisory Group on Forced Evictions to the Executive Director of UN-HABITAT (AGFE) (Istanbul, 8-11 June 2009): </w:t>
      </w:r>
      <w:hyperlink r:id="rId7" w:history="1">
        <w:r w:rsidRPr="003221BD">
          <w:rPr>
            <w:rStyle w:val="Hyperlink"/>
            <w:sz w:val="18"/>
            <w:szCs w:val="18"/>
          </w:rPr>
          <w:t>http://mirror.unhabitat.org/downloads/docs/10008_1_593994.pdf</w:t>
        </w:r>
      </w:hyperlink>
      <w:r w:rsidRPr="003221BD">
        <w:rPr>
          <w:sz w:val="18"/>
          <w:szCs w:val="18"/>
        </w:rPr>
        <w:t xml:space="preserve"> [Accessed: 22.10.2014]</w:t>
      </w:r>
    </w:p>
  </w:footnote>
  <w:footnote w:id="12">
    <w:p w14:paraId="5D0E6D90" w14:textId="5D756DEC"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2B lands are areas where construction and agricultural activity were banned by the state and had previously been labelled as forestland. The 2B land covers 1.66 million hectares (4.1 million acres), which equals to approximately 2% of the country.</w:t>
      </w:r>
    </w:p>
  </w:footnote>
  <w:footnote w:id="13">
    <w:p w14:paraId="5F2F8D0C" w14:textId="3924EBEC" w:rsidR="00851D17" w:rsidRPr="003221BD" w:rsidRDefault="00851D17"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hyperlink r:id="rId8" w:history="1">
        <w:r w:rsidRPr="003221BD">
          <w:rPr>
            <w:rStyle w:val="Hyperlink"/>
            <w:sz w:val="18"/>
            <w:szCs w:val="18"/>
          </w:rPr>
          <w:t>http://www.migm.gov.tr/BizeUlasin.aspx?DetayId=1</w:t>
        </w:r>
      </w:hyperlink>
      <w:r w:rsidRPr="003221BD">
        <w:rPr>
          <w:sz w:val="18"/>
          <w:szCs w:val="18"/>
        </w:rPr>
        <w:t xml:space="preserve"> [Accessed: 30.10.2014].</w:t>
      </w:r>
    </w:p>
  </w:footnote>
  <w:footnote w:id="14">
    <w:p w14:paraId="5BE9BEA3" w14:textId="5BB55119" w:rsidR="007E3CC2" w:rsidRPr="003221BD" w:rsidRDefault="007E3CC2"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hyperlink r:id="rId9" w:history="1">
        <w:r w:rsidRPr="003221BD">
          <w:rPr>
            <w:rStyle w:val="Hyperlink"/>
            <w:sz w:val="18"/>
            <w:szCs w:val="18"/>
          </w:rPr>
          <w:t>http://www.etik.gov.tr/</w:t>
        </w:r>
      </w:hyperlink>
      <w:r w:rsidRPr="003221BD">
        <w:rPr>
          <w:sz w:val="18"/>
          <w:szCs w:val="18"/>
        </w:rPr>
        <w:t xml:space="preserve"> [Accessed: 30.10.2014].</w:t>
      </w:r>
    </w:p>
    <w:p w14:paraId="1137EBBE" w14:textId="0EC86C2A" w:rsidR="007E3CC2" w:rsidRPr="003221BD" w:rsidRDefault="007E3CC2" w:rsidP="003221BD">
      <w:pPr>
        <w:pStyle w:val="FootnoteText"/>
        <w:jc w:val="both"/>
        <w:rPr>
          <w:sz w:val="18"/>
          <w:szCs w:val="18"/>
          <w:lang w:val="tr-TR"/>
        </w:rPr>
      </w:pPr>
    </w:p>
  </w:footnote>
  <w:footnote w:id="15">
    <w:p w14:paraId="21D0F419" w14:textId="4DF58BED"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Report submitted by Human Rights Law Research </w:t>
      </w:r>
      <w:proofErr w:type="spellStart"/>
      <w:r w:rsidRPr="003221BD">
        <w:rPr>
          <w:sz w:val="18"/>
          <w:szCs w:val="18"/>
        </w:rPr>
        <w:t>Center</w:t>
      </w:r>
      <w:proofErr w:type="spellEnd"/>
      <w:r w:rsidRPr="003221BD">
        <w:rPr>
          <w:sz w:val="18"/>
          <w:szCs w:val="18"/>
        </w:rPr>
        <w:t xml:space="preserve"> of Istanbul </w:t>
      </w:r>
      <w:proofErr w:type="spellStart"/>
      <w:r w:rsidRPr="003221BD">
        <w:rPr>
          <w:sz w:val="18"/>
          <w:szCs w:val="18"/>
        </w:rPr>
        <w:t>Bilgi</w:t>
      </w:r>
      <w:proofErr w:type="spellEnd"/>
      <w:r w:rsidRPr="003221BD">
        <w:rPr>
          <w:sz w:val="18"/>
          <w:szCs w:val="18"/>
        </w:rPr>
        <w:t xml:space="preserve"> University, </w:t>
      </w:r>
      <w:hyperlink r:id="rId10" w:history="1">
        <w:r w:rsidRPr="003221BD">
          <w:rPr>
            <w:rStyle w:val="Hyperlink"/>
            <w:sz w:val="18"/>
            <w:szCs w:val="18"/>
          </w:rPr>
          <w:t>http://www.ohchr.org/EN/HRBodies/HRC/AdvisoryCommittee/Pages/LocalGovernmentAndHR.aspx</w:t>
        </w:r>
      </w:hyperlink>
      <w:r w:rsidRPr="003221BD">
        <w:rPr>
          <w:sz w:val="18"/>
          <w:szCs w:val="18"/>
        </w:rPr>
        <w:t xml:space="preserve">, [Accessed: 19.10.2014]. </w:t>
      </w:r>
    </w:p>
  </w:footnote>
  <w:footnote w:id="16">
    <w:p w14:paraId="68312C6F" w14:textId="77777777" w:rsidR="007E551C" w:rsidRPr="003221BD" w:rsidRDefault="007E551C" w:rsidP="003221BD">
      <w:pPr>
        <w:pStyle w:val="FootnoteText"/>
        <w:jc w:val="both"/>
        <w:rPr>
          <w:sz w:val="18"/>
          <w:szCs w:val="18"/>
        </w:rPr>
      </w:pPr>
      <w:r w:rsidRPr="003221BD">
        <w:rPr>
          <w:rStyle w:val="FootnoteReference"/>
          <w:sz w:val="18"/>
          <w:szCs w:val="18"/>
        </w:rPr>
        <w:footnoteRef/>
      </w:r>
      <w:r w:rsidRPr="003221BD">
        <w:rPr>
          <w:sz w:val="18"/>
          <w:szCs w:val="18"/>
        </w:rPr>
        <w:t xml:space="preserve"> </w:t>
      </w:r>
      <w:r w:rsidRPr="003221BD">
        <w:rPr>
          <w:rFonts w:eastAsia="MS Mincho"/>
          <w:sz w:val="18"/>
          <w:szCs w:val="18"/>
        </w:rPr>
        <w:t>It is crucial to note the difference between Municipal Councils, local elected bodies and the City Councils that are open to public participation and became to the agenda in 2005 with the aim of making the local administration more participatory.</w:t>
      </w:r>
    </w:p>
  </w:footnote>
  <w:footnote w:id="17">
    <w:p w14:paraId="07A67A57" w14:textId="029D936B" w:rsidR="005A1DC7" w:rsidRPr="003221BD" w:rsidRDefault="005A1DC7" w:rsidP="003221BD">
      <w:pPr>
        <w:pStyle w:val="FootnoteText"/>
        <w:jc w:val="both"/>
        <w:rPr>
          <w:sz w:val="18"/>
          <w:szCs w:val="18"/>
          <w:lang w:val="tr-TR"/>
        </w:rPr>
      </w:pPr>
      <w:r w:rsidRPr="003221BD">
        <w:rPr>
          <w:rStyle w:val="FootnoteReference"/>
          <w:sz w:val="18"/>
          <w:szCs w:val="18"/>
        </w:rPr>
        <w:footnoteRef/>
      </w:r>
      <w:r w:rsidRPr="003221BD">
        <w:rPr>
          <w:sz w:val="18"/>
          <w:szCs w:val="18"/>
        </w:rPr>
        <w:t xml:space="preserve"> </w:t>
      </w:r>
      <w:r w:rsidRPr="003221BD">
        <w:rPr>
          <w:rFonts w:asciiTheme="minorBidi" w:hAnsiTheme="minorBidi"/>
          <w:sz w:val="18"/>
          <w:szCs w:val="18"/>
        </w:rPr>
        <w:t>Renovating, Conserving and Actively Using Dilapidated Historical and Cultural Immovable Assets Act, No.5366.</w:t>
      </w:r>
    </w:p>
  </w:footnote>
  <w:footnote w:id="18">
    <w:p w14:paraId="6F8A7DB1" w14:textId="77777777" w:rsidR="003221BD" w:rsidRDefault="00096B9A" w:rsidP="003221BD">
      <w:pPr>
        <w:pStyle w:val="EndnoteText"/>
        <w:jc w:val="both"/>
        <w:rPr>
          <w:rFonts w:asciiTheme="minorBidi" w:hAnsiTheme="minorBidi"/>
          <w:sz w:val="18"/>
          <w:szCs w:val="18"/>
        </w:rPr>
      </w:pPr>
      <w:r w:rsidRPr="003221BD">
        <w:rPr>
          <w:rStyle w:val="FootnoteReference"/>
          <w:sz w:val="18"/>
          <w:szCs w:val="18"/>
        </w:rPr>
        <w:footnoteRef/>
      </w:r>
      <w:r w:rsidRPr="003221BD">
        <w:rPr>
          <w:sz w:val="18"/>
          <w:szCs w:val="18"/>
        </w:rPr>
        <w:t xml:space="preserve"> </w:t>
      </w:r>
      <w:r w:rsidRPr="003221BD">
        <w:rPr>
          <w:rFonts w:asciiTheme="minorBidi" w:hAnsiTheme="minorBidi"/>
          <w:sz w:val="18"/>
          <w:szCs w:val="18"/>
        </w:rPr>
        <w:t xml:space="preserve">Housing Development Administration of Turkey (TOKI), </w:t>
      </w:r>
      <w:r w:rsidRPr="003221BD">
        <w:rPr>
          <w:rFonts w:asciiTheme="minorBidi" w:hAnsiTheme="minorBidi"/>
          <w:i/>
          <w:iCs/>
          <w:sz w:val="18"/>
          <w:szCs w:val="18"/>
        </w:rPr>
        <w:t>Building Turkey’s Future, Corporate Profile 2008</w:t>
      </w:r>
      <w:r w:rsidRPr="003221BD">
        <w:rPr>
          <w:rFonts w:ascii="Arial" w:hAnsi="Arial" w:cs="Arial"/>
          <w:i/>
          <w:iCs/>
          <w:sz w:val="18"/>
          <w:szCs w:val="18"/>
        </w:rPr>
        <w:t>–</w:t>
      </w:r>
      <w:r w:rsidRPr="003221BD">
        <w:rPr>
          <w:rFonts w:asciiTheme="minorBidi" w:hAnsiTheme="minorBidi"/>
          <w:i/>
          <w:iCs/>
          <w:sz w:val="18"/>
          <w:szCs w:val="18"/>
        </w:rPr>
        <w:t>2009</w:t>
      </w:r>
      <w:r w:rsidRPr="003221BD">
        <w:rPr>
          <w:rFonts w:asciiTheme="minorBidi" w:hAnsiTheme="minorBidi"/>
          <w:sz w:val="18"/>
          <w:szCs w:val="18"/>
        </w:rPr>
        <w:t xml:space="preserve"> (Ankara: Republic of Turkey Prime Ministry, 2009), at: </w:t>
      </w:r>
    </w:p>
    <w:p w14:paraId="64332C01" w14:textId="5FB17C25" w:rsidR="00096B9A" w:rsidRPr="003221BD" w:rsidRDefault="00DC1EEA" w:rsidP="003221BD">
      <w:pPr>
        <w:pStyle w:val="FootnoteText"/>
        <w:jc w:val="both"/>
        <w:rPr>
          <w:sz w:val="18"/>
          <w:szCs w:val="18"/>
        </w:rPr>
      </w:pPr>
      <w:hyperlink r:id="rId11" w:history="1">
        <w:r w:rsidR="00096B9A" w:rsidRPr="003221BD">
          <w:rPr>
            <w:rStyle w:val="Hyperlink"/>
            <w:rFonts w:asciiTheme="minorBidi" w:hAnsiTheme="minorBidi"/>
            <w:sz w:val="18"/>
            <w:szCs w:val="18"/>
          </w:rPr>
          <w:t>http://www.</w:t>
        </w:r>
        <w:r w:rsidR="003221BD" w:rsidRPr="003221BD">
          <w:rPr>
            <w:rStyle w:val="Hyperlink"/>
            <w:rFonts w:asciiTheme="minorBidi" w:hAnsiTheme="minorBidi"/>
            <w:sz w:val="18"/>
            <w:szCs w:val="18"/>
          </w:rPr>
          <w:t>TOKI</w:t>
        </w:r>
        <w:r w:rsidR="00096B9A" w:rsidRPr="003221BD">
          <w:rPr>
            <w:rStyle w:val="Hyperlink"/>
            <w:rFonts w:asciiTheme="minorBidi" w:hAnsiTheme="minorBidi"/>
            <w:sz w:val="18"/>
            <w:szCs w:val="18"/>
          </w:rPr>
          <w:t>.gov.tr/docs/yayinlar/TOKI_book_sec_en.pdf</w:t>
        </w:r>
      </w:hyperlink>
      <w:r w:rsidR="003221BD">
        <w:rPr>
          <w:sz w:val="18"/>
          <w:szCs w:val="18"/>
        </w:rPr>
        <w:t xml:space="preserve"> </w:t>
      </w:r>
      <w:r w:rsidR="003221BD" w:rsidRPr="003221BD">
        <w:rPr>
          <w:sz w:val="18"/>
          <w:szCs w:val="18"/>
        </w:rPr>
        <w:t>[Accessed: 22.10.2014].</w:t>
      </w:r>
    </w:p>
    <w:p w14:paraId="1A2C0306" w14:textId="77777777" w:rsidR="00096B9A" w:rsidRPr="003221BD" w:rsidRDefault="00096B9A" w:rsidP="003221BD">
      <w:pPr>
        <w:pStyle w:val="FootnoteText"/>
        <w:jc w:val="both"/>
        <w:rPr>
          <w:sz w:val="18"/>
          <w:szCs w:val="18"/>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9CEF" w14:textId="2608F583" w:rsidR="007E551C" w:rsidRPr="00AD4CA9" w:rsidRDefault="007E551C" w:rsidP="00D66A0F">
    <w:pPr>
      <w:pStyle w:val="Header"/>
      <w:tabs>
        <w:tab w:val="clear" w:pos="4153"/>
        <w:tab w:val="clear" w:pos="8306"/>
        <w:tab w:val="right" w:pos="9214"/>
      </w:tabs>
      <w:spacing w:before="360" w:after="840"/>
      <w:rPr>
        <w:sz w:val="14"/>
        <w:szCs w:val="14"/>
        <w:lang w:val="en-GB"/>
      </w:rPr>
    </w:pPr>
    <w:r>
      <w:rPr>
        <w:noProof/>
        <w:lang w:val="tr-TR" w:eastAsia="tr-TR"/>
      </w:rPr>
      <w:drawing>
        <wp:anchor distT="0" distB="0" distL="114300" distR="114300" simplePos="0" relativeHeight="251658240" behindDoc="1" locked="0" layoutInCell="1" allowOverlap="1" wp14:anchorId="3CFE1A3F" wp14:editId="60688D7E">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B35A93">
      <w:rPr>
        <w:noProof/>
        <w:sz w:val="14"/>
        <w:szCs w:val="14"/>
        <w:lang w:val="en-GB"/>
      </w:rPr>
      <w:t>11</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FE231" w14:textId="32030698" w:rsidR="007E551C" w:rsidRPr="00925A9D" w:rsidRDefault="007E551C" w:rsidP="00D66A0F">
    <w:pPr>
      <w:pStyle w:val="Header"/>
      <w:tabs>
        <w:tab w:val="clear" w:pos="4153"/>
        <w:tab w:val="clear" w:pos="8306"/>
      </w:tabs>
      <w:spacing w:before="1680" w:after="60"/>
      <w:jc w:val="center"/>
      <w:rPr>
        <w:sz w:val="14"/>
        <w:szCs w:val="14"/>
        <w:lang w:val="en-GB"/>
      </w:rPr>
    </w:pPr>
    <w:r>
      <w:rPr>
        <w:noProof/>
        <w:lang w:val="tr-TR" w:eastAsia="tr-TR"/>
      </w:rPr>
      <w:drawing>
        <wp:anchor distT="0" distB="0" distL="114300" distR="114300" simplePos="0" relativeHeight="251657216" behindDoc="1" locked="0" layoutInCell="1" allowOverlap="1" wp14:anchorId="7B41B109" wp14:editId="7D2FE8CD">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7A555514" w14:textId="77777777" w:rsidR="007E551C" w:rsidRPr="000675DB" w:rsidRDefault="007E551C" w:rsidP="00D66A0F">
    <w:pPr>
      <w:pStyle w:val="Header"/>
      <w:tabs>
        <w:tab w:val="clear" w:pos="4153"/>
        <w:tab w:val="right" w:pos="3686"/>
        <w:tab w:val="left" w:pos="5812"/>
      </w:tabs>
      <w:jc w:val="center"/>
      <w:rPr>
        <w:sz w:val="14"/>
        <w:szCs w:val="14"/>
        <w:lang w:val="fr-CH"/>
      </w:rPr>
    </w:pPr>
    <w:r w:rsidRPr="000675DB">
      <w:rPr>
        <w:sz w:val="14"/>
        <w:szCs w:val="14"/>
        <w:lang w:val="fr-CH"/>
      </w:rPr>
      <w:t>PALAIS DES NATIONS • 1211 GENEVA 10, SWITZERLAND</w:t>
    </w:r>
  </w:p>
  <w:p w14:paraId="36ADD3F5" w14:textId="77777777" w:rsidR="007E551C" w:rsidRPr="006C7127" w:rsidRDefault="007E551C" w:rsidP="00D66A0F">
    <w:pPr>
      <w:pStyle w:val="Header"/>
      <w:tabs>
        <w:tab w:val="clear" w:pos="4153"/>
        <w:tab w:val="clear" w:pos="8306"/>
        <w:tab w:val="right" w:pos="3686"/>
        <w:tab w:val="left" w:pos="5812"/>
      </w:tabs>
      <w:spacing w:before="80" w:after="360"/>
      <w:jc w:val="center"/>
      <w:rPr>
        <w:sz w:val="14"/>
        <w:szCs w:val="14"/>
        <w:lang w:val="fr-CH"/>
      </w:rPr>
    </w:pPr>
    <w:r w:rsidRPr="006C7127">
      <w:rPr>
        <w:sz w:val="14"/>
        <w:szCs w:val="14"/>
        <w:lang w:val="fr-CH"/>
      </w:rPr>
      <w:t>www.ohchr.org • TEL: +41 22</w:t>
    </w:r>
    <w:r>
      <w:rPr>
        <w:sz w:val="14"/>
        <w:szCs w:val="14"/>
        <w:lang w:val="fr-CH"/>
      </w:rPr>
      <w:t xml:space="preserve"> 917 9368 • FAX: +41 22 917 9008</w:t>
    </w:r>
    <w:r w:rsidRPr="006C7127">
      <w:rPr>
        <w:sz w:val="14"/>
        <w:szCs w:val="14"/>
        <w:lang w:val="fr-CH"/>
      </w:rPr>
      <w:t xml:space="preserve"> • E-MAIL: srhousing@ohchr.org</w:t>
    </w:r>
  </w:p>
  <w:p w14:paraId="45A922DD" w14:textId="77777777" w:rsidR="007E551C" w:rsidRPr="00437EC7" w:rsidRDefault="007E551C" w:rsidP="00437EC7">
    <w:pPr>
      <w:jc w:val="center"/>
      <w:rPr>
        <w:b/>
        <w:bCs/>
      </w:rPr>
    </w:pPr>
    <w:r w:rsidRPr="00E64622">
      <w:rPr>
        <w:b/>
        <w:bCs/>
      </w:rPr>
      <w:t xml:space="preserve">Mandate of the Special Rapporteur on the right to </w:t>
    </w:r>
    <w:r>
      <w:rPr>
        <w:b/>
        <w:bCs/>
      </w:rPr>
      <w:t>adequate housing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1D046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2D6D68"/>
    <w:multiLevelType w:val="hybridMultilevel"/>
    <w:tmpl w:val="4B2A13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54F569B"/>
    <w:multiLevelType w:val="hybridMultilevel"/>
    <w:tmpl w:val="BB24C732"/>
    <w:lvl w:ilvl="0" w:tplc="A2865E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4">
    <w:nsid w:val="3FDF141E"/>
    <w:multiLevelType w:val="hybridMultilevel"/>
    <w:tmpl w:val="0690309E"/>
    <w:lvl w:ilvl="0" w:tplc="D50A6A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C0460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112136"/>
    <w:multiLevelType w:val="hybridMultilevel"/>
    <w:tmpl w:val="B8E6DBE8"/>
    <w:name w:val="TOC3"/>
    <w:lvl w:ilvl="0" w:tplc="2BEA074E">
      <w:start w:val="1"/>
      <w:numFmt w:val="decimal"/>
      <w:lvlText w:val="%1."/>
      <w:lvlJc w:val="left"/>
      <w:pPr>
        <w:tabs>
          <w:tab w:val="num" w:pos="720"/>
        </w:tabs>
        <w:ind w:left="720" w:hanging="360"/>
      </w:pPr>
    </w:lvl>
    <w:lvl w:ilvl="1" w:tplc="AFACFF7C" w:tentative="1">
      <w:start w:val="1"/>
      <w:numFmt w:val="lowerLetter"/>
      <w:lvlText w:val="%2."/>
      <w:lvlJc w:val="left"/>
      <w:pPr>
        <w:tabs>
          <w:tab w:val="num" w:pos="1440"/>
        </w:tabs>
        <w:ind w:left="1440" w:hanging="360"/>
      </w:pPr>
    </w:lvl>
    <w:lvl w:ilvl="2" w:tplc="DCC2A354" w:tentative="1">
      <w:start w:val="1"/>
      <w:numFmt w:val="lowerRoman"/>
      <w:lvlText w:val="%3."/>
      <w:lvlJc w:val="right"/>
      <w:pPr>
        <w:tabs>
          <w:tab w:val="num" w:pos="2160"/>
        </w:tabs>
        <w:ind w:left="2160" w:hanging="180"/>
      </w:pPr>
    </w:lvl>
    <w:lvl w:ilvl="3" w:tplc="4530BFC2" w:tentative="1">
      <w:start w:val="1"/>
      <w:numFmt w:val="decimal"/>
      <w:lvlText w:val="%4."/>
      <w:lvlJc w:val="left"/>
      <w:pPr>
        <w:tabs>
          <w:tab w:val="num" w:pos="2880"/>
        </w:tabs>
        <w:ind w:left="2880" w:hanging="360"/>
      </w:pPr>
    </w:lvl>
    <w:lvl w:ilvl="4" w:tplc="30720E08" w:tentative="1">
      <w:start w:val="1"/>
      <w:numFmt w:val="lowerLetter"/>
      <w:lvlText w:val="%5."/>
      <w:lvlJc w:val="left"/>
      <w:pPr>
        <w:tabs>
          <w:tab w:val="num" w:pos="3600"/>
        </w:tabs>
        <w:ind w:left="3600" w:hanging="360"/>
      </w:pPr>
    </w:lvl>
    <w:lvl w:ilvl="5" w:tplc="A5B0DFA6" w:tentative="1">
      <w:start w:val="1"/>
      <w:numFmt w:val="lowerRoman"/>
      <w:lvlText w:val="%6."/>
      <w:lvlJc w:val="right"/>
      <w:pPr>
        <w:tabs>
          <w:tab w:val="num" w:pos="4320"/>
        </w:tabs>
        <w:ind w:left="4320" w:hanging="180"/>
      </w:pPr>
    </w:lvl>
    <w:lvl w:ilvl="6" w:tplc="9D184DB2" w:tentative="1">
      <w:start w:val="1"/>
      <w:numFmt w:val="decimal"/>
      <w:lvlText w:val="%7."/>
      <w:lvlJc w:val="left"/>
      <w:pPr>
        <w:tabs>
          <w:tab w:val="num" w:pos="5040"/>
        </w:tabs>
        <w:ind w:left="5040" w:hanging="360"/>
      </w:pPr>
    </w:lvl>
    <w:lvl w:ilvl="7" w:tplc="1BC605D8" w:tentative="1">
      <w:start w:val="1"/>
      <w:numFmt w:val="lowerLetter"/>
      <w:lvlText w:val="%8."/>
      <w:lvlJc w:val="left"/>
      <w:pPr>
        <w:tabs>
          <w:tab w:val="num" w:pos="5760"/>
        </w:tabs>
        <w:ind w:left="5760" w:hanging="360"/>
      </w:pPr>
    </w:lvl>
    <w:lvl w:ilvl="8" w:tplc="B24EDBBA" w:tentative="1">
      <w:start w:val="1"/>
      <w:numFmt w:val="lowerRoman"/>
      <w:lvlText w:val="%9."/>
      <w:lvlJc w:val="right"/>
      <w:pPr>
        <w:tabs>
          <w:tab w:val="num" w:pos="6480"/>
        </w:tabs>
        <w:ind w:left="6480" w:hanging="180"/>
      </w:pPr>
    </w:lvl>
  </w:abstractNum>
  <w:abstractNum w:abstractNumId="7">
    <w:nsid w:val="6071164F"/>
    <w:multiLevelType w:val="hybridMultilevel"/>
    <w:tmpl w:val="7CB488F2"/>
    <w:lvl w:ilvl="0" w:tplc="04F43F3E">
      <w:start w:val="7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723D3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CD2B9C"/>
    <w:multiLevelType w:val="hybridMultilevel"/>
    <w:tmpl w:val="29EC9654"/>
    <w:lvl w:ilvl="0" w:tplc="D50A6A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2"/>
  </w:num>
  <w:num w:numId="6">
    <w:abstractNumId w:val="5"/>
  </w:num>
  <w:num w:numId="7">
    <w:abstractNumId w:val="4"/>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5E87"/>
    <w:rsid w:val="00011548"/>
    <w:rsid w:val="00015D0B"/>
    <w:rsid w:val="00016EAD"/>
    <w:rsid w:val="00020FC1"/>
    <w:rsid w:val="0002654A"/>
    <w:rsid w:val="000339AE"/>
    <w:rsid w:val="00042986"/>
    <w:rsid w:val="00044720"/>
    <w:rsid w:val="0004668C"/>
    <w:rsid w:val="00050909"/>
    <w:rsid w:val="00060F8F"/>
    <w:rsid w:val="000752A7"/>
    <w:rsid w:val="00083A89"/>
    <w:rsid w:val="00096B9A"/>
    <w:rsid w:val="000A1B74"/>
    <w:rsid w:val="000A5998"/>
    <w:rsid w:val="000B43F3"/>
    <w:rsid w:val="000D5265"/>
    <w:rsid w:val="000D5A1E"/>
    <w:rsid w:val="000D6A74"/>
    <w:rsid w:val="000E7B3F"/>
    <w:rsid w:val="000F5E45"/>
    <w:rsid w:val="000F712F"/>
    <w:rsid w:val="00103227"/>
    <w:rsid w:val="001126FF"/>
    <w:rsid w:val="00114E9B"/>
    <w:rsid w:val="00127F69"/>
    <w:rsid w:val="001365D4"/>
    <w:rsid w:val="00142706"/>
    <w:rsid w:val="00146082"/>
    <w:rsid w:val="001620B8"/>
    <w:rsid w:val="001630B5"/>
    <w:rsid w:val="0016647D"/>
    <w:rsid w:val="00171761"/>
    <w:rsid w:val="001938D1"/>
    <w:rsid w:val="001A6699"/>
    <w:rsid w:val="001B0602"/>
    <w:rsid w:val="001B43B0"/>
    <w:rsid w:val="001B7BBF"/>
    <w:rsid w:val="001C1ED7"/>
    <w:rsid w:val="001C2BB0"/>
    <w:rsid w:val="001C4E17"/>
    <w:rsid w:val="001D49D4"/>
    <w:rsid w:val="001D5592"/>
    <w:rsid w:val="001D787A"/>
    <w:rsid w:val="001E757E"/>
    <w:rsid w:val="001F0C01"/>
    <w:rsid w:val="001F1A56"/>
    <w:rsid w:val="001F384F"/>
    <w:rsid w:val="0021013A"/>
    <w:rsid w:val="00236E9A"/>
    <w:rsid w:val="00243422"/>
    <w:rsid w:val="002553DE"/>
    <w:rsid w:val="00267C6A"/>
    <w:rsid w:val="00273C4A"/>
    <w:rsid w:val="002816AC"/>
    <w:rsid w:val="00285DB3"/>
    <w:rsid w:val="002863FB"/>
    <w:rsid w:val="00292433"/>
    <w:rsid w:val="00297AE4"/>
    <w:rsid w:val="002A3414"/>
    <w:rsid w:val="002B445E"/>
    <w:rsid w:val="002B6DE6"/>
    <w:rsid w:val="002B71D2"/>
    <w:rsid w:val="002C072D"/>
    <w:rsid w:val="002C3AA3"/>
    <w:rsid w:val="002C6145"/>
    <w:rsid w:val="002D4E2E"/>
    <w:rsid w:val="002E28C2"/>
    <w:rsid w:val="00312A70"/>
    <w:rsid w:val="003221BD"/>
    <w:rsid w:val="003230E5"/>
    <w:rsid w:val="00325A65"/>
    <w:rsid w:val="0033104F"/>
    <w:rsid w:val="003552C5"/>
    <w:rsid w:val="00362EA0"/>
    <w:rsid w:val="00365B34"/>
    <w:rsid w:val="00372EF1"/>
    <w:rsid w:val="00385B28"/>
    <w:rsid w:val="00395551"/>
    <w:rsid w:val="003A69A1"/>
    <w:rsid w:val="003B02A4"/>
    <w:rsid w:val="003C2EB3"/>
    <w:rsid w:val="003C3268"/>
    <w:rsid w:val="003C4753"/>
    <w:rsid w:val="003D01E7"/>
    <w:rsid w:val="003D0CCC"/>
    <w:rsid w:val="003D3763"/>
    <w:rsid w:val="003E0CBC"/>
    <w:rsid w:val="003F2FB1"/>
    <w:rsid w:val="003F7E46"/>
    <w:rsid w:val="0040039A"/>
    <w:rsid w:val="004007ED"/>
    <w:rsid w:val="004044A0"/>
    <w:rsid w:val="00413B4C"/>
    <w:rsid w:val="004233C5"/>
    <w:rsid w:val="00425553"/>
    <w:rsid w:val="00430A49"/>
    <w:rsid w:val="0043225A"/>
    <w:rsid w:val="00437EC7"/>
    <w:rsid w:val="0044025B"/>
    <w:rsid w:val="00440615"/>
    <w:rsid w:val="00440FF2"/>
    <w:rsid w:val="00441CF5"/>
    <w:rsid w:val="004512BC"/>
    <w:rsid w:val="00456F2A"/>
    <w:rsid w:val="00457734"/>
    <w:rsid w:val="004613C2"/>
    <w:rsid w:val="00464393"/>
    <w:rsid w:val="0048005F"/>
    <w:rsid w:val="00490B93"/>
    <w:rsid w:val="004966DF"/>
    <w:rsid w:val="004A0EC8"/>
    <w:rsid w:val="004A19DB"/>
    <w:rsid w:val="004B589A"/>
    <w:rsid w:val="004B7A67"/>
    <w:rsid w:val="004C5186"/>
    <w:rsid w:val="004D4A25"/>
    <w:rsid w:val="004D5184"/>
    <w:rsid w:val="004E035E"/>
    <w:rsid w:val="004E1D33"/>
    <w:rsid w:val="004E4AAD"/>
    <w:rsid w:val="00504D32"/>
    <w:rsid w:val="005066F6"/>
    <w:rsid w:val="00517076"/>
    <w:rsid w:val="00520259"/>
    <w:rsid w:val="005245D2"/>
    <w:rsid w:val="00532AA0"/>
    <w:rsid w:val="00540483"/>
    <w:rsid w:val="00553E75"/>
    <w:rsid w:val="00564395"/>
    <w:rsid w:val="005738F4"/>
    <w:rsid w:val="005A1DC7"/>
    <w:rsid w:val="005B0280"/>
    <w:rsid w:val="005B26B9"/>
    <w:rsid w:val="005D24B8"/>
    <w:rsid w:val="005D3678"/>
    <w:rsid w:val="005D5A14"/>
    <w:rsid w:val="005D7C16"/>
    <w:rsid w:val="005F4480"/>
    <w:rsid w:val="00602E6A"/>
    <w:rsid w:val="00604B22"/>
    <w:rsid w:val="00610492"/>
    <w:rsid w:val="0061277D"/>
    <w:rsid w:val="006155C2"/>
    <w:rsid w:val="006157D3"/>
    <w:rsid w:val="0061631D"/>
    <w:rsid w:val="006216C3"/>
    <w:rsid w:val="00636E7D"/>
    <w:rsid w:val="006442B3"/>
    <w:rsid w:val="0064701E"/>
    <w:rsid w:val="00651AC4"/>
    <w:rsid w:val="00652F75"/>
    <w:rsid w:val="00653CA3"/>
    <w:rsid w:val="00673BDD"/>
    <w:rsid w:val="00682011"/>
    <w:rsid w:val="00696506"/>
    <w:rsid w:val="006B45E5"/>
    <w:rsid w:val="006B4C4F"/>
    <w:rsid w:val="006C7127"/>
    <w:rsid w:val="006C7E7A"/>
    <w:rsid w:val="006D01FD"/>
    <w:rsid w:val="006D7A53"/>
    <w:rsid w:val="006E5211"/>
    <w:rsid w:val="006E534A"/>
    <w:rsid w:val="00703006"/>
    <w:rsid w:val="00721A62"/>
    <w:rsid w:val="00725392"/>
    <w:rsid w:val="00734406"/>
    <w:rsid w:val="00740844"/>
    <w:rsid w:val="007412D6"/>
    <w:rsid w:val="00751978"/>
    <w:rsid w:val="00753514"/>
    <w:rsid w:val="00754C49"/>
    <w:rsid w:val="007815B6"/>
    <w:rsid w:val="00793364"/>
    <w:rsid w:val="007A3448"/>
    <w:rsid w:val="007C0841"/>
    <w:rsid w:val="007C56D2"/>
    <w:rsid w:val="007C6BE9"/>
    <w:rsid w:val="007E1926"/>
    <w:rsid w:val="007E2C9E"/>
    <w:rsid w:val="007E3CC2"/>
    <w:rsid w:val="007E551C"/>
    <w:rsid w:val="007F57DA"/>
    <w:rsid w:val="007F7D64"/>
    <w:rsid w:val="00800071"/>
    <w:rsid w:val="008054FC"/>
    <w:rsid w:val="008059E8"/>
    <w:rsid w:val="00815944"/>
    <w:rsid w:val="00825C6E"/>
    <w:rsid w:val="00831F2B"/>
    <w:rsid w:val="00840E7E"/>
    <w:rsid w:val="0084748D"/>
    <w:rsid w:val="00851D17"/>
    <w:rsid w:val="00857035"/>
    <w:rsid w:val="00857ECC"/>
    <w:rsid w:val="00872292"/>
    <w:rsid w:val="008926A4"/>
    <w:rsid w:val="008948BC"/>
    <w:rsid w:val="008A23BB"/>
    <w:rsid w:val="008A6E88"/>
    <w:rsid w:val="008B6D2F"/>
    <w:rsid w:val="008D07DE"/>
    <w:rsid w:val="008D38FC"/>
    <w:rsid w:val="008D4346"/>
    <w:rsid w:val="009042FE"/>
    <w:rsid w:val="00907EBB"/>
    <w:rsid w:val="00917760"/>
    <w:rsid w:val="009237CE"/>
    <w:rsid w:val="00924B15"/>
    <w:rsid w:val="0094220A"/>
    <w:rsid w:val="009523D5"/>
    <w:rsid w:val="00957FE7"/>
    <w:rsid w:val="0096071E"/>
    <w:rsid w:val="009664F9"/>
    <w:rsid w:val="009665F0"/>
    <w:rsid w:val="0098112E"/>
    <w:rsid w:val="0098526E"/>
    <w:rsid w:val="00995D0A"/>
    <w:rsid w:val="009A7B78"/>
    <w:rsid w:val="009B56AF"/>
    <w:rsid w:val="009C64EF"/>
    <w:rsid w:val="009D1660"/>
    <w:rsid w:val="009E71CB"/>
    <w:rsid w:val="00A03ED1"/>
    <w:rsid w:val="00A2364C"/>
    <w:rsid w:val="00A26017"/>
    <w:rsid w:val="00A51FF3"/>
    <w:rsid w:val="00A628CA"/>
    <w:rsid w:val="00A62B1D"/>
    <w:rsid w:val="00A70103"/>
    <w:rsid w:val="00A70D10"/>
    <w:rsid w:val="00A75F7C"/>
    <w:rsid w:val="00A916D7"/>
    <w:rsid w:val="00AA08A4"/>
    <w:rsid w:val="00AA65EF"/>
    <w:rsid w:val="00AB7459"/>
    <w:rsid w:val="00AC5021"/>
    <w:rsid w:val="00AC7299"/>
    <w:rsid w:val="00AD2C4B"/>
    <w:rsid w:val="00AD5361"/>
    <w:rsid w:val="00AE06DE"/>
    <w:rsid w:val="00AF7C3E"/>
    <w:rsid w:val="00AF7D70"/>
    <w:rsid w:val="00B04624"/>
    <w:rsid w:val="00B04721"/>
    <w:rsid w:val="00B0631A"/>
    <w:rsid w:val="00B158E3"/>
    <w:rsid w:val="00B23583"/>
    <w:rsid w:val="00B243F9"/>
    <w:rsid w:val="00B35A93"/>
    <w:rsid w:val="00B53514"/>
    <w:rsid w:val="00B6377A"/>
    <w:rsid w:val="00B7332D"/>
    <w:rsid w:val="00B85CE6"/>
    <w:rsid w:val="00B90731"/>
    <w:rsid w:val="00B90920"/>
    <w:rsid w:val="00BA2D70"/>
    <w:rsid w:val="00BA3363"/>
    <w:rsid w:val="00BA4515"/>
    <w:rsid w:val="00BB0D9A"/>
    <w:rsid w:val="00BC3861"/>
    <w:rsid w:val="00BC636B"/>
    <w:rsid w:val="00BC6A4B"/>
    <w:rsid w:val="00BE002E"/>
    <w:rsid w:val="00BF7013"/>
    <w:rsid w:val="00C03616"/>
    <w:rsid w:val="00C0545F"/>
    <w:rsid w:val="00C15BED"/>
    <w:rsid w:val="00C16A15"/>
    <w:rsid w:val="00C238B2"/>
    <w:rsid w:val="00C35295"/>
    <w:rsid w:val="00C35CE0"/>
    <w:rsid w:val="00C570F0"/>
    <w:rsid w:val="00C657AF"/>
    <w:rsid w:val="00C66D04"/>
    <w:rsid w:val="00C752D6"/>
    <w:rsid w:val="00C81713"/>
    <w:rsid w:val="00C846C4"/>
    <w:rsid w:val="00C90F0D"/>
    <w:rsid w:val="00CA05EF"/>
    <w:rsid w:val="00CB0DDD"/>
    <w:rsid w:val="00CB725E"/>
    <w:rsid w:val="00CC0779"/>
    <w:rsid w:val="00CC2799"/>
    <w:rsid w:val="00CD4125"/>
    <w:rsid w:val="00CE2D50"/>
    <w:rsid w:val="00CE608F"/>
    <w:rsid w:val="00D20550"/>
    <w:rsid w:val="00D233A5"/>
    <w:rsid w:val="00D23A0D"/>
    <w:rsid w:val="00D27487"/>
    <w:rsid w:val="00D30C0A"/>
    <w:rsid w:val="00D40315"/>
    <w:rsid w:val="00D43258"/>
    <w:rsid w:val="00D4682A"/>
    <w:rsid w:val="00D66A0F"/>
    <w:rsid w:val="00D756DB"/>
    <w:rsid w:val="00DA4C1E"/>
    <w:rsid w:val="00DA783A"/>
    <w:rsid w:val="00DB78B8"/>
    <w:rsid w:val="00DC1EEA"/>
    <w:rsid w:val="00DC59F5"/>
    <w:rsid w:val="00DC6261"/>
    <w:rsid w:val="00DE6A34"/>
    <w:rsid w:val="00DE71FF"/>
    <w:rsid w:val="00E132BC"/>
    <w:rsid w:val="00E1484D"/>
    <w:rsid w:val="00E1681E"/>
    <w:rsid w:val="00E205B7"/>
    <w:rsid w:val="00E23E64"/>
    <w:rsid w:val="00E31050"/>
    <w:rsid w:val="00E35FCC"/>
    <w:rsid w:val="00E4566A"/>
    <w:rsid w:val="00E50D20"/>
    <w:rsid w:val="00E51CBC"/>
    <w:rsid w:val="00E55ABC"/>
    <w:rsid w:val="00E56D42"/>
    <w:rsid w:val="00E81105"/>
    <w:rsid w:val="00E82FC8"/>
    <w:rsid w:val="00E97D82"/>
    <w:rsid w:val="00EA4482"/>
    <w:rsid w:val="00EA5AFF"/>
    <w:rsid w:val="00EB2252"/>
    <w:rsid w:val="00EB45B6"/>
    <w:rsid w:val="00ED003C"/>
    <w:rsid w:val="00EE08D9"/>
    <w:rsid w:val="00EE1B62"/>
    <w:rsid w:val="00EE3436"/>
    <w:rsid w:val="00EE5BC7"/>
    <w:rsid w:val="00EF41E1"/>
    <w:rsid w:val="00F01F15"/>
    <w:rsid w:val="00F10078"/>
    <w:rsid w:val="00F114F5"/>
    <w:rsid w:val="00F13DE6"/>
    <w:rsid w:val="00F30729"/>
    <w:rsid w:val="00F4387C"/>
    <w:rsid w:val="00F45B22"/>
    <w:rsid w:val="00F5078A"/>
    <w:rsid w:val="00F52EAF"/>
    <w:rsid w:val="00F611C6"/>
    <w:rsid w:val="00F62EE0"/>
    <w:rsid w:val="00F84687"/>
    <w:rsid w:val="00F856A6"/>
    <w:rsid w:val="00FA044A"/>
    <w:rsid w:val="00FA2555"/>
    <w:rsid w:val="00FB139B"/>
    <w:rsid w:val="00FB2CA2"/>
    <w:rsid w:val="00FB37E8"/>
    <w:rsid w:val="00FC3464"/>
    <w:rsid w:val="00FE529D"/>
    <w:rsid w:val="00FF024F"/>
    <w:rsid w:val="00FF1A1E"/>
    <w:rsid w:val="00FF5503"/>
    <w:rsid w:val="00FF656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B62"/>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DarkList-Accent31">
    <w:name w:val="Dark List - Accent 31"/>
    <w:hidden/>
    <w:uiPriority w:val="99"/>
    <w:semiHidden/>
    <w:rsid w:val="006412EA"/>
    <w:rPr>
      <w:lang w:val="en-GB" w:eastAsia="en-US"/>
    </w:rPr>
  </w:style>
  <w:style w:type="character" w:customStyle="1" w:styleId="FooterChar">
    <w:name w:val="Footer Char"/>
    <w:link w:val="Footer"/>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ColorfulShading-Accent31">
    <w:name w:val="Colorful Shading - Accent 3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val="en-US" w:eastAsia="zh-CN"/>
    </w:rPr>
  </w:style>
  <w:style w:type="paragraph" w:customStyle="1" w:styleId="Body1">
    <w:name w:val="Body 1"/>
    <w:rsid w:val="002C3AA3"/>
    <w:pPr>
      <w:outlineLvl w:val="0"/>
    </w:pPr>
    <w:rPr>
      <w:rFonts w:eastAsia="ヒラギノ角ゴ Pro W3"/>
      <w:color w:val="000000"/>
      <w:sz w:val="24"/>
      <w:lang w:val="en-US" w:eastAsia="en-GB"/>
    </w:rPr>
  </w:style>
  <w:style w:type="character" w:styleId="CommentReference">
    <w:name w:val="annotation reference"/>
    <w:rsid w:val="00DA4C1E"/>
    <w:rPr>
      <w:sz w:val="16"/>
      <w:szCs w:val="16"/>
    </w:rPr>
  </w:style>
  <w:style w:type="paragraph" w:styleId="CommentSubject">
    <w:name w:val="annotation subject"/>
    <w:basedOn w:val="CommentText"/>
    <w:next w:val="CommentText"/>
    <w:link w:val="CommentSubjectChar"/>
    <w:rsid w:val="00DA4C1E"/>
    <w:rPr>
      <w:b/>
      <w:bCs/>
    </w:rPr>
  </w:style>
  <w:style w:type="character" w:customStyle="1" w:styleId="CommentTextChar">
    <w:name w:val="Comment Text Char"/>
    <w:link w:val="CommentText"/>
    <w:uiPriority w:val="99"/>
    <w:semiHidden/>
    <w:rsid w:val="00DA4C1E"/>
    <w:rPr>
      <w:lang w:eastAsia="en-US"/>
    </w:rPr>
  </w:style>
  <w:style w:type="character" w:customStyle="1" w:styleId="CommentSubjectChar">
    <w:name w:val="Comment Subject Char"/>
    <w:link w:val="CommentSubject"/>
    <w:rsid w:val="00DA4C1E"/>
    <w:rPr>
      <w:b/>
      <w:bCs/>
      <w:lang w:eastAsia="en-US"/>
    </w:rPr>
  </w:style>
  <w:style w:type="paragraph" w:customStyle="1" w:styleId="ParaNo">
    <w:name w:val="ParaNo."/>
    <w:basedOn w:val="Normal"/>
    <w:rsid w:val="003D3763"/>
    <w:pPr>
      <w:numPr>
        <w:numId w:val="1"/>
      </w:numPr>
      <w:tabs>
        <w:tab w:val="left" w:pos="737"/>
      </w:tabs>
      <w:spacing w:after="240"/>
    </w:pPr>
    <w:rPr>
      <w:sz w:val="24"/>
      <w:lang w:val="fr-CH"/>
    </w:rPr>
  </w:style>
  <w:style w:type="paragraph" w:customStyle="1" w:styleId="LightGrid-Accent31">
    <w:name w:val="Light Grid - Accent 31"/>
    <w:basedOn w:val="Normal"/>
    <w:uiPriority w:val="34"/>
    <w:qFormat/>
    <w:rsid w:val="00D4682A"/>
    <w:pPr>
      <w:ind w:left="720"/>
    </w:pPr>
  </w:style>
  <w:style w:type="table" w:customStyle="1" w:styleId="TableGrid1">
    <w:name w:val="Table Grid1"/>
    <w:basedOn w:val="TableNormal"/>
    <w:next w:val="TableGrid"/>
    <w:uiPriority w:val="59"/>
    <w:rsid w:val="007C6BE9"/>
    <w:rPr>
      <w:rFonts w:ascii="Calibri" w:eastAsia="Calibri" w:hAnsi="Calibri"/>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F7D70"/>
    <w:pPr>
      <w:ind w:left="720"/>
    </w:pPr>
  </w:style>
  <w:style w:type="character" w:customStyle="1" w:styleId="A22">
    <w:name w:val="A2+2"/>
    <w:uiPriority w:val="99"/>
    <w:rsid w:val="0021013A"/>
    <w:rPr>
      <w:rFonts w:cs="Adobe Caslon Pro"/>
      <w:color w:val="000000"/>
    </w:rPr>
  </w:style>
  <w:style w:type="character" w:customStyle="1" w:styleId="A61">
    <w:name w:val="A6+1"/>
    <w:uiPriority w:val="99"/>
    <w:rsid w:val="0021013A"/>
    <w:rPr>
      <w:rFonts w:cs="Adobe Caslon Pro"/>
      <w:color w:val="000000"/>
      <w:sz w:val="18"/>
      <w:szCs w:val="18"/>
    </w:rPr>
  </w:style>
  <w:style w:type="character" w:styleId="FollowedHyperlink">
    <w:name w:val="FollowedHyperlink"/>
    <w:rsid w:val="00F10078"/>
    <w:rPr>
      <w:color w:val="800080"/>
      <w:u w:val="single"/>
    </w:rPr>
  </w:style>
  <w:style w:type="paragraph" w:customStyle="1" w:styleId="Pa11">
    <w:name w:val="Pa11"/>
    <w:basedOn w:val="Normal"/>
    <w:next w:val="Normal"/>
    <w:uiPriority w:val="99"/>
    <w:rsid w:val="000F5E45"/>
    <w:pPr>
      <w:autoSpaceDE w:val="0"/>
      <w:autoSpaceDN w:val="0"/>
      <w:adjustRightInd w:val="0"/>
      <w:spacing w:line="241" w:lineRule="atLeast"/>
    </w:pPr>
    <w:rPr>
      <w:rFonts w:ascii="Adobe Garamond Pro" w:eastAsia="Calibri" w:hAnsi="Adobe Garamond Pro"/>
      <w:sz w:val="24"/>
      <w:szCs w:val="24"/>
      <w:lang w:val="tr-TR"/>
    </w:rPr>
  </w:style>
  <w:style w:type="paragraph" w:customStyle="1" w:styleId="SingleTxtG">
    <w:name w:val="_ Single Txt_G"/>
    <w:basedOn w:val="Normal"/>
    <w:link w:val="SingleTxtGChar"/>
    <w:rsid w:val="005066F6"/>
    <w:pPr>
      <w:suppressAutoHyphens/>
      <w:spacing w:after="120" w:line="240" w:lineRule="atLeast"/>
      <w:ind w:left="1134" w:right="1134"/>
      <w:jc w:val="both"/>
    </w:pPr>
  </w:style>
  <w:style w:type="character" w:customStyle="1" w:styleId="SingleTxtGChar">
    <w:name w:val="_ Single Txt_G Char"/>
    <w:link w:val="SingleTxtG"/>
    <w:rsid w:val="005066F6"/>
    <w:rPr>
      <w:lang w:val="en-GB"/>
    </w:rPr>
  </w:style>
  <w:style w:type="paragraph" w:customStyle="1" w:styleId="Normal1">
    <w:name w:val="Normal1"/>
    <w:rsid w:val="005066F6"/>
    <w:pPr>
      <w:widowControl w:val="0"/>
      <w:spacing w:after="200" w:line="276" w:lineRule="auto"/>
    </w:pPr>
    <w:rPr>
      <w:rFonts w:ascii="Calibri" w:eastAsia="Calibri" w:hAnsi="Calibri" w:cs="Calibri"/>
      <w:color w:val="000000"/>
      <w:sz w:val="22"/>
    </w:rPr>
  </w:style>
  <w:style w:type="paragraph" w:customStyle="1" w:styleId="ListParagraph1">
    <w:name w:val="List Paragraph1"/>
    <w:basedOn w:val="Normal"/>
    <w:rsid w:val="00AE06DE"/>
    <w:pPr>
      <w:spacing w:after="200" w:line="276" w:lineRule="auto"/>
      <w:ind w:left="720"/>
      <w:contextualSpacing/>
    </w:pPr>
    <w:rPr>
      <w:rFonts w:ascii="Calibri" w:eastAsia="Calibri" w:hAnsi="Calibri"/>
      <w:sz w:val="22"/>
      <w:szCs w:val="22"/>
      <w:lang w:val="tr-TR"/>
    </w:rPr>
  </w:style>
  <w:style w:type="paragraph" w:styleId="EndnoteText">
    <w:name w:val="endnote text"/>
    <w:basedOn w:val="Normal"/>
    <w:link w:val="EndnoteTextChar"/>
    <w:uiPriority w:val="99"/>
    <w:rsid w:val="00AE06DE"/>
    <w:rPr>
      <w:rFonts w:eastAsia="Calibri"/>
      <w:lang w:val="en-US" w:eastAsia="tr-TR"/>
    </w:rPr>
  </w:style>
  <w:style w:type="character" w:customStyle="1" w:styleId="EndnoteTextChar">
    <w:name w:val="Endnote Text Char"/>
    <w:link w:val="EndnoteText"/>
    <w:uiPriority w:val="99"/>
    <w:rsid w:val="00AE06DE"/>
    <w:rPr>
      <w:rFonts w:eastAsia="Calibri"/>
      <w:lang w:eastAsia="tr-TR"/>
    </w:rPr>
  </w:style>
  <w:style w:type="character" w:styleId="EndnoteReference">
    <w:name w:val="endnote reference"/>
    <w:uiPriority w:val="99"/>
    <w:unhideWhenUsed/>
    <w:rsid w:val="00AE06DE"/>
    <w:rPr>
      <w:vertAlign w:val="superscript"/>
    </w:rPr>
  </w:style>
  <w:style w:type="paragraph" w:styleId="ListParagraph">
    <w:name w:val="List Paragraph"/>
    <w:basedOn w:val="Normal"/>
    <w:uiPriority w:val="34"/>
    <w:qFormat/>
    <w:rsid w:val="007E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migm.gov.tr/BizeUlasin.aspx?DetayId=1" TargetMode="External"/><Relationship Id="rId3" Type="http://schemas.openxmlformats.org/officeDocument/2006/relationships/hyperlink" Target="http://www.basbakanlik.gov.tr/Forms/_Global/_Government/pg_GovernmentProgram.aspx" TargetMode="External"/><Relationship Id="rId7" Type="http://schemas.openxmlformats.org/officeDocument/2006/relationships/hyperlink" Target="http://mirror.unhabitat.org/downloads/docs/10008_1_593994.pdf" TargetMode="External"/><Relationship Id="rId2" Type="http://schemas.openxmlformats.org/officeDocument/2006/relationships/hyperlink" Target="http://www.kalkinma.gov.tr/Lists/Kalknma%20Planlar/Attachments/12/Onuncu%20Kalk%C4%B1nma%20Plan%C4%B1.pdf" TargetMode="External"/><Relationship Id="rId1" Type="http://schemas.openxmlformats.org/officeDocument/2006/relationships/hyperlink" Target="http://global.tbmm.gov.tr/docs/constitution_en.pdf" TargetMode="External"/><Relationship Id="rId6" Type="http://schemas.openxmlformats.org/officeDocument/2006/relationships/hyperlink" Target="http://www.kadininstatusu.gov.tr/tr/28222/" TargetMode="External"/><Relationship Id="rId11" Type="http://schemas.openxmlformats.org/officeDocument/2006/relationships/hyperlink" Target="http://www.toki.gov.tr/docs/yayinlar/TOKI_book_sec_en.pdf" TargetMode="External"/><Relationship Id="rId5" Type="http://schemas.openxmlformats.org/officeDocument/2006/relationships/hyperlink" Target="http://www.migm.gov.tr/en/Laws/Law5366_DilapidatedHistoricAssets_2010-12-31_EN_rev01.pdf" TargetMode="External"/><Relationship Id="rId10" Type="http://schemas.openxmlformats.org/officeDocument/2006/relationships/hyperlink" Target="http://www.ohchr.org/EN/HRBodies/HRC/AdvisoryCommittee/Pages/LocalGovernmentAndHR.aspx" TargetMode="External"/><Relationship Id="rId4" Type="http://schemas.openxmlformats.org/officeDocument/2006/relationships/hyperlink" Target="http://www.toki.gov.tr/english/MASSHOUSINGLAW.PDF" TargetMode="External"/><Relationship Id="rId9" Type="http://schemas.openxmlformats.org/officeDocument/2006/relationships/hyperlink" Target="http://www.etik.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4EFC-DE18-4533-8C21-B6269512B18A}"/>
</file>

<file path=customXml/itemProps2.xml><?xml version="1.0" encoding="utf-8"?>
<ds:datastoreItem xmlns:ds="http://schemas.openxmlformats.org/officeDocument/2006/customXml" ds:itemID="{7D760D18-1B2E-405D-8413-9071F4F84B8C}"/>
</file>

<file path=customXml/itemProps3.xml><?xml version="1.0" encoding="utf-8"?>
<ds:datastoreItem xmlns:ds="http://schemas.openxmlformats.org/officeDocument/2006/customXml" ds:itemID="{CCF42E3A-60A9-41D6-A72C-9580BFB67730}"/>
</file>

<file path=customXml/itemProps4.xml><?xml version="1.0" encoding="utf-8"?>
<ds:datastoreItem xmlns:ds="http://schemas.openxmlformats.org/officeDocument/2006/customXml" ds:itemID="{16E64B98-48E8-4997-9580-B553DE4A252C}"/>
</file>

<file path=customXml/itemProps5.xml><?xml version="1.0" encoding="utf-8"?>
<ds:datastoreItem xmlns:ds="http://schemas.openxmlformats.org/officeDocument/2006/customXml" ds:itemID="{6FC96025-F5F4-4558-BC88-39276BB9D74A}"/>
</file>

<file path=docProps/app.xml><?xml version="1.0" encoding="utf-8"?>
<Properties xmlns="http://schemas.openxmlformats.org/officeDocument/2006/extended-properties" xmlns:vt="http://schemas.openxmlformats.org/officeDocument/2006/docPropsVTypes">
  <Template>Normal</Template>
  <TotalTime>0</TotalTime>
  <Pages>11</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31976</CharactersWithSpaces>
  <SharedDoc>false</SharedDoc>
  <HLinks>
    <vt:vector size="60" baseType="variant">
      <vt:variant>
        <vt:i4>4522006</vt:i4>
      </vt:variant>
      <vt:variant>
        <vt:i4>0</vt:i4>
      </vt:variant>
      <vt:variant>
        <vt:i4>0</vt:i4>
      </vt:variant>
      <vt:variant>
        <vt:i4>5</vt:i4>
      </vt:variant>
      <vt:variant>
        <vt:lpwstr>http://mirror.unhabitat.org/downloads/docs/10008_1_593994.pdf</vt:lpwstr>
      </vt:variant>
      <vt:variant>
        <vt:lpwstr/>
      </vt:variant>
      <vt:variant>
        <vt:i4>2752560</vt:i4>
      </vt:variant>
      <vt:variant>
        <vt:i4>18</vt:i4>
      </vt:variant>
      <vt:variant>
        <vt:i4>0</vt:i4>
      </vt:variant>
      <vt:variant>
        <vt:i4>5</vt:i4>
      </vt:variant>
      <vt:variant>
        <vt:lpwstr>http://www.ohchr.org/EN/HRBodies/HRC/AdvisoryCommittee/Pages/LocalGovernmentAndHR.aspx</vt:lpwstr>
      </vt:variant>
      <vt:variant>
        <vt:lpwstr/>
      </vt:variant>
      <vt:variant>
        <vt:i4>4390940</vt:i4>
      </vt:variant>
      <vt:variant>
        <vt:i4>15</vt:i4>
      </vt:variant>
      <vt:variant>
        <vt:i4>0</vt:i4>
      </vt:variant>
      <vt:variant>
        <vt:i4>5</vt:i4>
      </vt:variant>
      <vt:variant>
        <vt:lpwstr>http://www.ohchr.org/EN/HRBodies/HRC/RegularSessions/Session27/Pages/ListReports.aspx</vt:lpwstr>
      </vt:variant>
      <vt:variant>
        <vt:lpwstr/>
      </vt:variant>
      <vt:variant>
        <vt:i4>4522006</vt:i4>
      </vt:variant>
      <vt:variant>
        <vt:i4>12</vt:i4>
      </vt:variant>
      <vt:variant>
        <vt:i4>0</vt:i4>
      </vt:variant>
      <vt:variant>
        <vt:i4>5</vt:i4>
      </vt:variant>
      <vt:variant>
        <vt:lpwstr>http://mirror.unhabitat.org/downloads/docs/10008_1_593994.pdf</vt:lpwstr>
      </vt:variant>
      <vt:variant>
        <vt:lpwstr/>
      </vt:variant>
      <vt:variant>
        <vt:i4>2228272</vt:i4>
      </vt:variant>
      <vt:variant>
        <vt:i4>9</vt:i4>
      </vt:variant>
      <vt:variant>
        <vt:i4>0</vt:i4>
      </vt:variant>
      <vt:variant>
        <vt:i4>5</vt:i4>
      </vt:variant>
      <vt:variant>
        <vt:lpwstr>http://www.migm.gov.tr/en/Laws/Law5366_DilapidatedHistoricAssets_2010-12-31_EN_rev01.pdf</vt:lpwstr>
      </vt:variant>
      <vt:variant>
        <vt:lpwstr/>
      </vt:variant>
      <vt:variant>
        <vt:i4>786505</vt:i4>
      </vt:variant>
      <vt:variant>
        <vt:i4>6</vt:i4>
      </vt:variant>
      <vt:variant>
        <vt:i4>0</vt:i4>
      </vt:variant>
      <vt:variant>
        <vt:i4>5</vt:i4>
      </vt:variant>
      <vt:variant>
        <vt:lpwstr>http://www.toki.gov.tr/english/MASSHOUSINGLAW.PDF</vt:lpwstr>
      </vt:variant>
      <vt:variant>
        <vt:lpwstr/>
      </vt:variant>
      <vt:variant>
        <vt:i4>6291515</vt:i4>
      </vt:variant>
      <vt:variant>
        <vt:i4>3</vt:i4>
      </vt:variant>
      <vt:variant>
        <vt:i4>0</vt:i4>
      </vt:variant>
      <vt:variant>
        <vt:i4>5</vt:i4>
      </vt:variant>
      <vt:variant>
        <vt:lpwstr>http://www.kalkinma.gov.tr/Lists/Kalknma Planlar/Attachments/12/Onuncu Kalk%C4%B1nma Plan%C4%B1.pdf</vt:lpwstr>
      </vt:variant>
      <vt:variant>
        <vt:lpwstr/>
      </vt:variant>
      <vt:variant>
        <vt:i4>262255</vt:i4>
      </vt:variant>
      <vt:variant>
        <vt:i4>0</vt:i4>
      </vt:variant>
      <vt:variant>
        <vt:i4>0</vt:i4>
      </vt:variant>
      <vt:variant>
        <vt:i4>5</vt:i4>
      </vt:variant>
      <vt:variant>
        <vt:lpwstr>http://global.tbmm.gov.tr/docs/constitution_en.pdf</vt:lpwstr>
      </vt:variant>
      <vt:variant>
        <vt:lpwstr/>
      </vt:variant>
      <vt:variant>
        <vt:i4>4522017</vt:i4>
      </vt:variant>
      <vt:variant>
        <vt:i4>3</vt:i4>
      </vt:variant>
      <vt:variant>
        <vt:i4>0</vt:i4>
      </vt:variant>
      <vt:variant>
        <vt:i4>5</vt:i4>
      </vt:variant>
      <vt:variant>
        <vt:lpwstr>http://www.basbakanlik.gov.tr/Forms/_Global/_Government/pg_GovernmentProgram.aspx</vt:lpwstr>
      </vt:variant>
      <vt:variant>
        <vt:lpwstr/>
      </vt:variant>
      <vt:variant>
        <vt:i4>4128864</vt:i4>
      </vt:variant>
      <vt:variant>
        <vt:i4>0</vt:i4>
      </vt:variant>
      <vt:variant>
        <vt:i4>0</vt:i4>
      </vt:variant>
      <vt:variant>
        <vt:i4>5</vt:i4>
      </vt:variant>
      <vt:variant>
        <vt:lpwstr>http://www.resmigazete.gov.tr/eskiler/2014/09/20140907-1-1.pdf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2014-10-30T16:30:00Z</dcterms:created>
  <dcterms:modified xsi:type="dcterms:W3CDTF">2014-10-31T08:35:00Z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2574000</vt:r8>
  </property>
</Properties>
</file>