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76D33" w14:textId="77777777" w:rsidR="00E55C71" w:rsidRPr="000B645D" w:rsidRDefault="00E55C71" w:rsidP="00E55C71">
      <w:pPr>
        <w:shd w:val="clear" w:color="auto" w:fill="D9D9D9"/>
        <w:tabs>
          <w:tab w:val="left" w:pos="720"/>
        </w:tabs>
        <w:ind w:right="-1"/>
        <w:jc w:val="both"/>
        <w:rPr>
          <w:b/>
          <w:sz w:val="22"/>
          <w:szCs w:val="22"/>
        </w:rPr>
      </w:pPr>
      <w:r w:rsidRPr="000B645D">
        <w:rPr>
          <w:b/>
          <w:sz w:val="22"/>
          <w:szCs w:val="22"/>
        </w:rPr>
        <w:t>III.</w:t>
      </w:r>
      <w:r w:rsidRPr="000B645D">
        <w:rPr>
          <w:b/>
          <w:sz w:val="22"/>
          <w:szCs w:val="22"/>
        </w:rPr>
        <w:tab/>
        <w:t>Questionnaire</w:t>
      </w:r>
    </w:p>
    <w:p w14:paraId="78651DF5" w14:textId="77777777" w:rsidR="00E55C71" w:rsidRPr="000B645D" w:rsidRDefault="00E55C71" w:rsidP="00E55C71">
      <w:pPr>
        <w:tabs>
          <w:tab w:val="left" w:pos="720"/>
        </w:tabs>
        <w:ind w:right="-1"/>
        <w:jc w:val="both"/>
        <w:rPr>
          <w:sz w:val="22"/>
          <w:szCs w:val="22"/>
        </w:rPr>
      </w:pPr>
    </w:p>
    <w:p w14:paraId="3B4E6908" w14:textId="0DED2A0A" w:rsidR="00FB664F" w:rsidRPr="000B645D" w:rsidRDefault="000B645D" w:rsidP="00E55C71">
      <w:pPr>
        <w:tabs>
          <w:tab w:val="left" w:pos="720"/>
        </w:tabs>
        <w:ind w:right="-1"/>
        <w:jc w:val="both"/>
        <w:rPr>
          <w:sz w:val="22"/>
          <w:szCs w:val="22"/>
        </w:rPr>
      </w:pPr>
      <w:r>
        <w:rPr>
          <w:sz w:val="22"/>
          <w:szCs w:val="22"/>
        </w:rPr>
        <w:t xml:space="preserve">These answers are provided by the Tenants’ Union of NSW, the peak non-government organisation for tenants and specialist Community Legal Centre. The </w:t>
      </w:r>
      <w:r w:rsidR="00FB664F" w:rsidRPr="000B645D">
        <w:rPr>
          <w:sz w:val="22"/>
          <w:szCs w:val="22"/>
        </w:rPr>
        <w:t xml:space="preserve">answers relating to ‘sub-national’ levels of government relate to State and local levels of government in New South Wales </w:t>
      </w:r>
      <w:r>
        <w:rPr>
          <w:sz w:val="22"/>
          <w:szCs w:val="22"/>
        </w:rPr>
        <w:t>specifically</w:t>
      </w:r>
      <w:bookmarkStart w:id="0" w:name="_GoBack"/>
      <w:bookmarkEnd w:id="0"/>
      <w:r w:rsidR="00FB664F" w:rsidRPr="000B645D">
        <w:rPr>
          <w:sz w:val="22"/>
          <w:szCs w:val="22"/>
        </w:rPr>
        <w:t>.</w:t>
      </w:r>
    </w:p>
    <w:p w14:paraId="4A202708" w14:textId="77777777" w:rsidR="00FB664F" w:rsidRPr="000B645D" w:rsidRDefault="00FB664F" w:rsidP="00E55C71">
      <w:pPr>
        <w:tabs>
          <w:tab w:val="left" w:pos="720"/>
        </w:tabs>
        <w:ind w:right="-1"/>
        <w:jc w:val="both"/>
        <w:rPr>
          <w:sz w:val="22"/>
          <w:szCs w:val="22"/>
        </w:rPr>
      </w:pPr>
    </w:p>
    <w:p w14:paraId="5A3B3770" w14:textId="77777777" w:rsidR="00E55C71" w:rsidRPr="000B645D" w:rsidRDefault="00E55C71" w:rsidP="00E55C71">
      <w:pPr>
        <w:tabs>
          <w:tab w:val="left" w:pos="720"/>
        </w:tabs>
        <w:ind w:right="-1"/>
        <w:jc w:val="both"/>
        <w:rPr>
          <w:b/>
          <w:i/>
          <w:sz w:val="22"/>
          <w:szCs w:val="22"/>
        </w:rPr>
      </w:pPr>
      <w:r w:rsidRPr="000B645D">
        <w:rPr>
          <w:b/>
          <w:i/>
          <w:sz w:val="22"/>
          <w:szCs w:val="22"/>
        </w:rPr>
        <w:t>A.</w:t>
      </w:r>
      <w:r w:rsidRPr="000B645D">
        <w:rPr>
          <w:b/>
          <w:i/>
          <w:sz w:val="22"/>
          <w:szCs w:val="22"/>
        </w:rPr>
        <w:tab/>
        <w:t>Distribution of responsibilities related to the right to adequate housing:</w:t>
      </w:r>
    </w:p>
    <w:p w14:paraId="2CCAB235" w14:textId="77777777" w:rsidR="00E55C71" w:rsidRPr="000B645D" w:rsidRDefault="00E55C71" w:rsidP="00E55C71">
      <w:pPr>
        <w:tabs>
          <w:tab w:val="left" w:pos="720"/>
        </w:tabs>
        <w:ind w:right="-1"/>
        <w:jc w:val="both"/>
        <w:rPr>
          <w:i/>
          <w:sz w:val="22"/>
          <w:szCs w:val="22"/>
        </w:rPr>
      </w:pPr>
    </w:p>
    <w:p w14:paraId="77237205" w14:textId="77777777" w:rsidR="00E55C71" w:rsidRPr="000B645D" w:rsidRDefault="00E55C71" w:rsidP="00E55C71">
      <w:pPr>
        <w:numPr>
          <w:ilvl w:val="0"/>
          <w:numId w:val="1"/>
        </w:numPr>
        <w:tabs>
          <w:tab w:val="left" w:pos="720"/>
        </w:tabs>
        <w:ind w:right="-1"/>
        <w:jc w:val="both"/>
        <w:rPr>
          <w:i/>
          <w:sz w:val="22"/>
          <w:szCs w:val="22"/>
        </w:rPr>
      </w:pPr>
      <w:r w:rsidRPr="000B645D">
        <w:rPr>
          <w:i/>
          <w:sz w:val="22"/>
          <w:szCs w:val="22"/>
        </w:rPr>
        <w:t xml:space="preserve">Please identify the levels of government (national, provincial/state, municipal) primarily responsible for the following: (where primary responsibility is shared please check more than one): </w:t>
      </w:r>
    </w:p>
    <w:p w14:paraId="25DA10B2" w14:textId="77777777" w:rsidR="00E55C71" w:rsidRPr="000B645D" w:rsidRDefault="00E55C71" w:rsidP="00E55C71">
      <w:pPr>
        <w:tabs>
          <w:tab w:val="left" w:pos="720"/>
        </w:tabs>
        <w:ind w:left="720" w:right="-1"/>
        <w:jc w:val="both"/>
        <w:rPr>
          <w:sz w:val="22"/>
          <w:szCs w:val="22"/>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4"/>
        <w:gridCol w:w="12"/>
        <w:gridCol w:w="1122"/>
        <w:gridCol w:w="12"/>
        <w:gridCol w:w="1122"/>
        <w:gridCol w:w="12"/>
        <w:gridCol w:w="1264"/>
        <w:gridCol w:w="11"/>
        <w:gridCol w:w="1843"/>
      </w:tblGrid>
      <w:tr w:rsidR="00E55C71" w:rsidRPr="000B645D" w14:paraId="6942550E" w14:textId="77777777" w:rsidTr="005C1092">
        <w:tc>
          <w:tcPr>
            <w:tcW w:w="2824" w:type="dxa"/>
            <w:shd w:val="clear" w:color="auto" w:fill="D9D9D9"/>
          </w:tcPr>
          <w:p w14:paraId="39BF3F47" w14:textId="77777777" w:rsidR="00E55C71" w:rsidRPr="000B645D" w:rsidRDefault="00E55C71" w:rsidP="005C1092">
            <w:pPr>
              <w:contextualSpacing/>
              <w:rPr>
                <w:sz w:val="22"/>
                <w:szCs w:val="22"/>
              </w:rPr>
            </w:pPr>
          </w:p>
        </w:tc>
        <w:tc>
          <w:tcPr>
            <w:tcW w:w="1134" w:type="dxa"/>
            <w:gridSpan w:val="2"/>
            <w:shd w:val="clear" w:color="auto" w:fill="D9D9D9"/>
          </w:tcPr>
          <w:p w14:paraId="78EB4C9F" w14:textId="77777777" w:rsidR="00E55C71" w:rsidRPr="000B645D" w:rsidRDefault="00E55C71" w:rsidP="005C1092">
            <w:pPr>
              <w:contextualSpacing/>
              <w:rPr>
                <w:sz w:val="22"/>
                <w:szCs w:val="22"/>
                <w:lang w:val="en-CA"/>
              </w:rPr>
            </w:pPr>
            <w:r w:rsidRPr="000B645D">
              <w:rPr>
                <w:sz w:val="22"/>
                <w:szCs w:val="22"/>
                <w:lang w:val="en-CA"/>
              </w:rPr>
              <w:t>National/ Federal</w:t>
            </w:r>
          </w:p>
        </w:tc>
        <w:tc>
          <w:tcPr>
            <w:tcW w:w="1134" w:type="dxa"/>
            <w:gridSpan w:val="2"/>
            <w:shd w:val="clear" w:color="auto" w:fill="D9D9D9"/>
          </w:tcPr>
          <w:p w14:paraId="75E77B0D" w14:textId="77777777" w:rsidR="00E55C71" w:rsidRPr="000B645D" w:rsidRDefault="00E55C71" w:rsidP="005C1092">
            <w:pPr>
              <w:contextualSpacing/>
              <w:rPr>
                <w:sz w:val="22"/>
                <w:szCs w:val="22"/>
                <w:lang w:val="en-CA"/>
              </w:rPr>
            </w:pPr>
            <w:r w:rsidRPr="000B645D">
              <w:rPr>
                <w:sz w:val="22"/>
                <w:szCs w:val="22"/>
                <w:lang w:val="en-CA"/>
              </w:rPr>
              <w:t>Provincial/</w:t>
            </w:r>
          </w:p>
          <w:p w14:paraId="4C689556" w14:textId="77777777" w:rsidR="00E55C71" w:rsidRPr="000B645D" w:rsidRDefault="00E55C71" w:rsidP="005C1092">
            <w:pPr>
              <w:contextualSpacing/>
              <w:rPr>
                <w:sz w:val="22"/>
                <w:szCs w:val="22"/>
                <w:lang w:val="en-CA"/>
              </w:rPr>
            </w:pPr>
            <w:proofErr w:type="gramStart"/>
            <w:r w:rsidRPr="000B645D">
              <w:rPr>
                <w:sz w:val="22"/>
                <w:szCs w:val="22"/>
                <w:lang w:val="en-CA"/>
              </w:rPr>
              <w:t>state</w:t>
            </w:r>
            <w:proofErr w:type="gramEnd"/>
          </w:p>
        </w:tc>
        <w:tc>
          <w:tcPr>
            <w:tcW w:w="1276" w:type="dxa"/>
            <w:gridSpan w:val="2"/>
            <w:shd w:val="clear" w:color="auto" w:fill="D9D9D9"/>
          </w:tcPr>
          <w:p w14:paraId="6335E892" w14:textId="77777777" w:rsidR="00E55C71" w:rsidRPr="000B645D" w:rsidRDefault="00E55C71" w:rsidP="005C1092">
            <w:pPr>
              <w:contextualSpacing/>
              <w:rPr>
                <w:sz w:val="22"/>
                <w:szCs w:val="22"/>
                <w:lang w:val="en-CA"/>
              </w:rPr>
            </w:pPr>
            <w:r w:rsidRPr="000B645D">
              <w:rPr>
                <w:sz w:val="22"/>
                <w:szCs w:val="22"/>
                <w:lang w:val="en-CA"/>
              </w:rPr>
              <w:t>Municipal</w:t>
            </w:r>
          </w:p>
        </w:tc>
        <w:tc>
          <w:tcPr>
            <w:tcW w:w="1854" w:type="dxa"/>
            <w:gridSpan w:val="2"/>
            <w:shd w:val="clear" w:color="auto" w:fill="D9D9D9"/>
          </w:tcPr>
          <w:p w14:paraId="26280B32" w14:textId="77777777" w:rsidR="00E55C71" w:rsidRPr="000B645D" w:rsidRDefault="00E55C71" w:rsidP="005C1092">
            <w:pPr>
              <w:contextualSpacing/>
              <w:rPr>
                <w:sz w:val="22"/>
                <w:szCs w:val="22"/>
                <w:lang w:val="en-CA"/>
              </w:rPr>
            </w:pPr>
            <w:r w:rsidRPr="000B645D">
              <w:rPr>
                <w:sz w:val="22"/>
                <w:szCs w:val="22"/>
                <w:lang w:val="en-CA"/>
              </w:rPr>
              <w:t>Explanatory Notes</w:t>
            </w:r>
          </w:p>
        </w:tc>
      </w:tr>
      <w:tr w:rsidR="00E55C71" w:rsidRPr="000B645D" w14:paraId="7F230F7C" w14:textId="77777777" w:rsidTr="005C1092">
        <w:tc>
          <w:tcPr>
            <w:tcW w:w="2824" w:type="dxa"/>
            <w:shd w:val="clear" w:color="auto" w:fill="auto"/>
          </w:tcPr>
          <w:p w14:paraId="30C5D666" w14:textId="77777777" w:rsidR="00E55C71" w:rsidRPr="000B645D" w:rsidRDefault="00E55C71" w:rsidP="005C1092">
            <w:pPr>
              <w:contextualSpacing/>
              <w:rPr>
                <w:sz w:val="22"/>
                <w:szCs w:val="22"/>
                <w:lang w:val="en-CA"/>
              </w:rPr>
            </w:pPr>
            <w:r w:rsidRPr="000B645D">
              <w:rPr>
                <w:sz w:val="22"/>
                <w:szCs w:val="22"/>
                <w:lang w:val="en-CA"/>
              </w:rPr>
              <w:t>Housing programme</w:t>
            </w:r>
          </w:p>
          <w:p w14:paraId="30BED881" w14:textId="77777777" w:rsidR="00E55C71" w:rsidRPr="000B645D" w:rsidRDefault="00E55C71" w:rsidP="005C1092">
            <w:pPr>
              <w:contextualSpacing/>
              <w:rPr>
                <w:sz w:val="22"/>
                <w:szCs w:val="22"/>
                <w:lang w:val="en-CA"/>
              </w:rPr>
            </w:pPr>
          </w:p>
        </w:tc>
        <w:tc>
          <w:tcPr>
            <w:tcW w:w="1134" w:type="dxa"/>
            <w:gridSpan w:val="2"/>
            <w:shd w:val="clear" w:color="auto" w:fill="auto"/>
          </w:tcPr>
          <w:p w14:paraId="2484915A" w14:textId="77777777" w:rsidR="00E55C71" w:rsidRPr="000B645D" w:rsidRDefault="00E55C71" w:rsidP="005C1092">
            <w:pPr>
              <w:contextualSpacing/>
              <w:rPr>
                <w:sz w:val="22"/>
                <w:szCs w:val="22"/>
                <w:lang w:val="en-CA"/>
              </w:rPr>
            </w:pPr>
          </w:p>
        </w:tc>
        <w:tc>
          <w:tcPr>
            <w:tcW w:w="1134" w:type="dxa"/>
            <w:gridSpan w:val="2"/>
            <w:shd w:val="clear" w:color="auto" w:fill="auto"/>
          </w:tcPr>
          <w:p w14:paraId="0CC8DDEC" w14:textId="77777777" w:rsidR="00E55C71" w:rsidRPr="000B645D" w:rsidRDefault="005C1092" w:rsidP="005C1092">
            <w:pPr>
              <w:contextualSpacing/>
              <w:rPr>
                <w:sz w:val="22"/>
                <w:szCs w:val="22"/>
                <w:lang w:val="en-CA"/>
              </w:rPr>
            </w:pPr>
            <w:proofErr w:type="gramStart"/>
            <w:r w:rsidRPr="000B645D">
              <w:rPr>
                <w:sz w:val="22"/>
                <w:szCs w:val="22"/>
                <w:lang w:val="en-CA"/>
              </w:rPr>
              <w:t>x</w:t>
            </w:r>
            <w:proofErr w:type="gramEnd"/>
          </w:p>
        </w:tc>
        <w:tc>
          <w:tcPr>
            <w:tcW w:w="1276" w:type="dxa"/>
            <w:gridSpan w:val="2"/>
            <w:shd w:val="clear" w:color="auto" w:fill="auto"/>
          </w:tcPr>
          <w:p w14:paraId="10F6715E" w14:textId="77777777" w:rsidR="00E55C71" w:rsidRPr="000B645D" w:rsidRDefault="00E55C71" w:rsidP="005C1092">
            <w:pPr>
              <w:contextualSpacing/>
              <w:rPr>
                <w:sz w:val="22"/>
                <w:szCs w:val="22"/>
                <w:lang w:val="en-CA"/>
              </w:rPr>
            </w:pPr>
          </w:p>
        </w:tc>
        <w:tc>
          <w:tcPr>
            <w:tcW w:w="1854" w:type="dxa"/>
            <w:gridSpan w:val="2"/>
            <w:shd w:val="clear" w:color="auto" w:fill="auto"/>
          </w:tcPr>
          <w:p w14:paraId="5967D353" w14:textId="77777777" w:rsidR="00E55C71" w:rsidRPr="000B645D" w:rsidRDefault="00E55C71" w:rsidP="005C1092">
            <w:pPr>
              <w:contextualSpacing/>
              <w:rPr>
                <w:sz w:val="22"/>
                <w:szCs w:val="22"/>
                <w:lang w:val="en-CA"/>
              </w:rPr>
            </w:pPr>
          </w:p>
        </w:tc>
      </w:tr>
      <w:tr w:rsidR="00E55C71" w:rsidRPr="000B645D" w14:paraId="621F5A38" w14:textId="77777777" w:rsidTr="005C1092">
        <w:tc>
          <w:tcPr>
            <w:tcW w:w="2824" w:type="dxa"/>
            <w:shd w:val="clear" w:color="auto" w:fill="auto"/>
          </w:tcPr>
          <w:p w14:paraId="7F15FD4E" w14:textId="77777777" w:rsidR="00E55C71" w:rsidRPr="000B645D" w:rsidRDefault="00E55C71" w:rsidP="005C1092">
            <w:pPr>
              <w:contextualSpacing/>
              <w:rPr>
                <w:sz w:val="22"/>
                <w:szCs w:val="22"/>
                <w:lang w:val="en-CA"/>
              </w:rPr>
            </w:pPr>
            <w:r w:rsidRPr="000B645D">
              <w:rPr>
                <w:sz w:val="22"/>
                <w:szCs w:val="22"/>
                <w:lang w:val="en-CA"/>
              </w:rPr>
              <w:t>Income support (</w:t>
            </w:r>
            <w:proofErr w:type="spellStart"/>
            <w:r w:rsidRPr="000B645D">
              <w:rPr>
                <w:sz w:val="22"/>
                <w:szCs w:val="22"/>
                <w:lang w:val="en-CA"/>
              </w:rPr>
              <w:t>eg</w:t>
            </w:r>
            <w:proofErr w:type="spellEnd"/>
            <w:r w:rsidRPr="000B645D">
              <w:rPr>
                <w:sz w:val="22"/>
                <w:szCs w:val="22"/>
                <w:lang w:val="en-CA"/>
              </w:rPr>
              <w:t>: transfer payments to individuals, welfare, social security and/or rent subsidies/supplements)</w:t>
            </w:r>
          </w:p>
        </w:tc>
        <w:tc>
          <w:tcPr>
            <w:tcW w:w="1134" w:type="dxa"/>
            <w:gridSpan w:val="2"/>
            <w:shd w:val="clear" w:color="auto" w:fill="auto"/>
          </w:tcPr>
          <w:p w14:paraId="09A3A3E2" w14:textId="77777777" w:rsidR="00E55C71" w:rsidRPr="000B645D" w:rsidRDefault="005C1092" w:rsidP="005C1092">
            <w:pPr>
              <w:contextualSpacing/>
              <w:rPr>
                <w:sz w:val="22"/>
                <w:szCs w:val="22"/>
                <w:lang w:val="en-CA"/>
              </w:rPr>
            </w:pPr>
            <w:proofErr w:type="gramStart"/>
            <w:r w:rsidRPr="000B645D">
              <w:rPr>
                <w:sz w:val="22"/>
                <w:szCs w:val="22"/>
                <w:lang w:val="en-CA"/>
              </w:rPr>
              <w:t>x</w:t>
            </w:r>
            <w:proofErr w:type="gramEnd"/>
          </w:p>
        </w:tc>
        <w:tc>
          <w:tcPr>
            <w:tcW w:w="1134" w:type="dxa"/>
            <w:gridSpan w:val="2"/>
            <w:shd w:val="clear" w:color="auto" w:fill="auto"/>
          </w:tcPr>
          <w:p w14:paraId="65D2C308" w14:textId="77777777" w:rsidR="00E55C71" w:rsidRPr="000B645D" w:rsidRDefault="005C1092" w:rsidP="005C1092">
            <w:pPr>
              <w:contextualSpacing/>
              <w:rPr>
                <w:sz w:val="22"/>
                <w:szCs w:val="22"/>
                <w:lang w:val="en-CA"/>
              </w:rPr>
            </w:pPr>
            <w:proofErr w:type="gramStart"/>
            <w:r w:rsidRPr="000B645D">
              <w:rPr>
                <w:sz w:val="22"/>
                <w:szCs w:val="22"/>
                <w:lang w:val="en-CA"/>
              </w:rPr>
              <w:t>x</w:t>
            </w:r>
            <w:proofErr w:type="gramEnd"/>
          </w:p>
        </w:tc>
        <w:tc>
          <w:tcPr>
            <w:tcW w:w="1276" w:type="dxa"/>
            <w:gridSpan w:val="2"/>
            <w:shd w:val="clear" w:color="auto" w:fill="auto"/>
          </w:tcPr>
          <w:p w14:paraId="6190F101" w14:textId="77777777" w:rsidR="00E55C71" w:rsidRPr="000B645D" w:rsidRDefault="00E55C71" w:rsidP="005C1092">
            <w:pPr>
              <w:contextualSpacing/>
              <w:rPr>
                <w:sz w:val="22"/>
                <w:szCs w:val="22"/>
                <w:lang w:val="en-CA"/>
              </w:rPr>
            </w:pPr>
          </w:p>
        </w:tc>
        <w:tc>
          <w:tcPr>
            <w:tcW w:w="1854" w:type="dxa"/>
            <w:gridSpan w:val="2"/>
            <w:shd w:val="clear" w:color="auto" w:fill="auto"/>
          </w:tcPr>
          <w:p w14:paraId="107AB12C" w14:textId="77777777" w:rsidR="005C1092" w:rsidRPr="000B645D" w:rsidRDefault="005C1092" w:rsidP="005C1092">
            <w:pPr>
              <w:contextualSpacing/>
              <w:rPr>
                <w:sz w:val="22"/>
                <w:szCs w:val="22"/>
                <w:lang w:val="en-CA"/>
              </w:rPr>
            </w:pPr>
            <w:r w:rsidRPr="000B645D">
              <w:rPr>
                <w:sz w:val="22"/>
                <w:szCs w:val="22"/>
                <w:u w:val="single"/>
                <w:lang w:val="en-CA"/>
              </w:rPr>
              <w:t>National</w:t>
            </w:r>
            <w:r w:rsidRPr="000B645D">
              <w:rPr>
                <w:sz w:val="22"/>
                <w:szCs w:val="22"/>
                <w:lang w:val="en-CA"/>
              </w:rPr>
              <w:t xml:space="preserve"> – income support; and rent assistance paid to eligible tenants through welfare system.</w:t>
            </w:r>
          </w:p>
          <w:p w14:paraId="4DEB977C" w14:textId="77777777" w:rsidR="00E55C71" w:rsidRPr="000B645D" w:rsidRDefault="005C1092" w:rsidP="005C1092">
            <w:pPr>
              <w:contextualSpacing/>
              <w:rPr>
                <w:sz w:val="22"/>
                <w:szCs w:val="22"/>
                <w:lang w:val="en-CA"/>
              </w:rPr>
            </w:pPr>
            <w:r w:rsidRPr="000B645D">
              <w:rPr>
                <w:sz w:val="22"/>
                <w:szCs w:val="22"/>
                <w:u w:val="single"/>
                <w:lang w:val="en-CA"/>
              </w:rPr>
              <w:t>Sub-national</w:t>
            </w:r>
            <w:r w:rsidRPr="000B645D">
              <w:rPr>
                <w:sz w:val="22"/>
                <w:szCs w:val="22"/>
                <w:lang w:val="en-CA"/>
              </w:rPr>
              <w:t xml:space="preserve"> – states provide rental subsidies (discounts) to eligible tenants in Social Housing. </w:t>
            </w:r>
          </w:p>
        </w:tc>
      </w:tr>
      <w:tr w:rsidR="00E55C71" w:rsidRPr="000B645D" w14:paraId="20112505" w14:textId="77777777" w:rsidTr="005C1092">
        <w:tc>
          <w:tcPr>
            <w:tcW w:w="2824" w:type="dxa"/>
            <w:shd w:val="clear" w:color="auto" w:fill="auto"/>
          </w:tcPr>
          <w:p w14:paraId="67D4FEF1" w14:textId="77777777" w:rsidR="00E55C71" w:rsidRPr="000B645D" w:rsidRDefault="00E55C71" w:rsidP="005C1092">
            <w:pPr>
              <w:contextualSpacing/>
              <w:rPr>
                <w:sz w:val="22"/>
                <w:szCs w:val="22"/>
                <w:lang w:val="en-CA"/>
              </w:rPr>
            </w:pPr>
            <w:r w:rsidRPr="000B645D">
              <w:rPr>
                <w:sz w:val="22"/>
                <w:szCs w:val="22"/>
                <w:lang w:val="en-CA"/>
              </w:rPr>
              <w:t>Tenancy and security of tenure legislation</w:t>
            </w:r>
          </w:p>
        </w:tc>
        <w:tc>
          <w:tcPr>
            <w:tcW w:w="1134" w:type="dxa"/>
            <w:gridSpan w:val="2"/>
            <w:shd w:val="clear" w:color="auto" w:fill="auto"/>
          </w:tcPr>
          <w:p w14:paraId="71455344" w14:textId="77777777" w:rsidR="00E55C71" w:rsidRPr="000B645D" w:rsidRDefault="00E55C71" w:rsidP="005C1092">
            <w:pPr>
              <w:contextualSpacing/>
              <w:rPr>
                <w:sz w:val="22"/>
                <w:szCs w:val="22"/>
                <w:lang w:val="en-CA"/>
              </w:rPr>
            </w:pPr>
          </w:p>
        </w:tc>
        <w:tc>
          <w:tcPr>
            <w:tcW w:w="1134" w:type="dxa"/>
            <w:gridSpan w:val="2"/>
            <w:shd w:val="clear" w:color="auto" w:fill="auto"/>
          </w:tcPr>
          <w:p w14:paraId="0B98513E" w14:textId="77777777" w:rsidR="00E55C71" w:rsidRPr="000B645D" w:rsidRDefault="005C1092" w:rsidP="005C1092">
            <w:pPr>
              <w:contextualSpacing/>
              <w:rPr>
                <w:sz w:val="22"/>
                <w:szCs w:val="22"/>
                <w:lang w:val="en-CA"/>
              </w:rPr>
            </w:pPr>
            <w:proofErr w:type="gramStart"/>
            <w:r w:rsidRPr="000B645D">
              <w:rPr>
                <w:sz w:val="22"/>
                <w:szCs w:val="22"/>
                <w:lang w:val="en-CA"/>
              </w:rPr>
              <w:t>x</w:t>
            </w:r>
            <w:proofErr w:type="gramEnd"/>
          </w:p>
        </w:tc>
        <w:tc>
          <w:tcPr>
            <w:tcW w:w="1276" w:type="dxa"/>
            <w:gridSpan w:val="2"/>
            <w:shd w:val="clear" w:color="auto" w:fill="auto"/>
          </w:tcPr>
          <w:p w14:paraId="6D715C9C" w14:textId="77777777" w:rsidR="00E55C71" w:rsidRPr="000B645D" w:rsidRDefault="00E55C71" w:rsidP="005C1092">
            <w:pPr>
              <w:contextualSpacing/>
              <w:rPr>
                <w:sz w:val="22"/>
                <w:szCs w:val="22"/>
                <w:lang w:val="en-CA"/>
              </w:rPr>
            </w:pPr>
          </w:p>
        </w:tc>
        <w:tc>
          <w:tcPr>
            <w:tcW w:w="1854" w:type="dxa"/>
            <w:gridSpan w:val="2"/>
            <w:shd w:val="clear" w:color="auto" w:fill="auto"/>
          </w:tcPr>
          <w:p w14:paraId="30FAC981" w14:textId="77777777" w:rsidR="00E55C71" w:rsidRPr="000B645D" w:rsidRDefault="00E55C71" w:rsidP="005C1092">
            <w:pPr>
              <w:contextualSpacing/>
              <w:rPr>
                <w:sz w:val="22"/>
                <w:szCs w:val="22"/>
                <w:lang w:val="en-CA"/>
              </w:rPr>
            </w:pPr>
          </w:p>
        </w:tc>
      </w:tr>
      <w:tr w:rsidR="00E55C71" w:rsidRPr="000B645D" w14:paraId="5827166B" w14:textId="77777777" w:rsidTr="005C1092">
        <w:tc>
          <w:tcPr>
            <w:tcW w:w="2824" w:type="dxa"/>
            <w:shd w:val="clear" w:color="auto" w:fill="auto"/>
          </w:tcPr>
          <w:p w14:paraId="4CC5EB69" w14:textId="77777777" w:rsidR="00E55C71" w:rsidRPr="000B645D" w:rsidRDefault="00E55C71" w:rsidP="005C1092">
            <w:pPr>
              <w:contextualSpacing/>
              <w:rPr>
                <w:sz w:val="22"/>
                <w:szCs w:val="22"/>
                <w:lang w:val="en-CA"/>
              </w:rPr>
            </w:pPr>
            <w:r w:rsidRPr="000B645D">
              <w:rPr>
                <w:sz w:val="22"/>
                <w:szCs w:val="22"/>
                <w:lang w:val="en-CA"/>
              </w:rPr>
              <w:t>Infrastructure (</w:t>
            </w:r>
            <w:proofErr w:type="spellStart"/>
            <w:r w:rsidRPr="000B645D">
              <w:rPr>
                <w:sz w:val="22"/>
                <w:szCs w:val="22"/>
                <w:lang w:val="en-CA"/>
              </w:rPr>
              <w:t>eg</w:t>
            </w:r>
            <w:proofErr w:type="spellEnd"/>
            <w:r w:rsidRPr="000B645D">
              <w:rPr>
                <w:sz w:val="22"/>
                <w:szCs w:val="22"/>
                <w:lang w:val="en-CA"/>
              </w:rPr>
              <w:t>: Water/sanitation, electricity)</w:t>
            </w:r>
          </w:p>
        </w:tc>
        <w:tc>
          <w:tcPr>
            <w:tcW w:w="1134" w:type="dxa"/>
            <w:gridSpan w:val="2"/>
            <w:shd w:val="clear" w:color="auto" w:fill="auto"/>
          </w:tcPr>
          <w:p w14:paraId="5FE4F6A1" w14:textId="77777777" w:rsidR="00E55C71" w:rsidRPr="000B645D" w:rsidRDefault="00E55C71" w:rsidP="005C1092">
            <w:pPr>
              <w:contextualSpacing/>
              <w:rPr>
                <w:sz w:val="22"/>
                <w:szCs w:val="22"/>
                <w:lang w:val="en-CA"/>
              </w:rPr>
            </w:pPr>
          </w:p>
        </w:tc>
        <w:tc>
          <w:tcPr>
            <w:tcW w:w="1134" w:type="dxa"/>
            <w:gridSpan w:val="2"/>
            <w:shd w:val="clear" w:color="auto" w:fill="auto"/>
          </w:tcPr>
          <w:p w14:paraId="6DD6765F" w14:textId="77777777" w:rsidR="00E55C71" w:rsidRPr="000B645D" w:rsidRDefault="005C1092" w:rsidP="005C1092">
            <w:pPr>
              <w:contextualSpacing/>
              <w:rPr>
                <w:sz w:val="22"/>
                <w:szCs w:val="22"/>
                <w:lang w:val="en-CA"/>
              </w:rPr>
            </w:pPr>
            <w:proofErr w:type="gramStart"/>
            <w:r w:rsidRPr="000B645D">
              <w:rPr>
                <w:sz w:val="22"/>
                <w:szCs w:val="22"/>
                <w:lang w:val="en-CA"/>
              </w:rPr>
              <w:t>x</w:t>
            </w:r>
            <w:proofErr w:type="gramEnd"/>
          </w:p>
        </w:tc>
        <w:tc>
          <w:tcPr>
            <w:tcW w:w="1276" w:type="dxa"/>
            <w:gridSpan w:val="2"/>
            <w:shd w:val="clear" w:color="auto" w:fill="auto"/>
          </w:tcPr>
          <w:p w14:paraId="57880C54" w14:textId="77777777" w:rsidR="00E55C71" w:rsidRPr="000B645D" w:rsidRDefault="005C1092" w:rsidP="005C1092">
            <w:pPr>
              <w:contextualSpacing/>
              <w:rPr>
                <w:sz w:val="22"/>
                <w:szCs w:val="22"/>
                <w:lang w:val="en-CA"/>
              </w:rPr>
            </w:pPr>
            <w:proofErr w:type="gramStart"/>
            <w:r w:rsidRPr="000B645D">
              <w:rPr>
                <w:sz w:val="22"/>
                <w:szCs w:val="22"/>
                <w:lang w:val="en-CA"/>
              </w:rPr>
              <w:t>x</w:t>
            </w:r>
            <w:proofErr w:type="gramEnd"/>
          </w:p>
        </w:tc>
        <w:tc>
          <w:tcPr>
            <w:tcW w:w="1854" w:type="dxa"/>
            <w:gridSpan w:val="2"/>
            <w:shd w:val="clear" w:color="auto" w:fill="auto"/>
          </w:tcPr>
          <w:p w14:paraId="194DC90F" w14:textId="77777777" w:rsidR="00E55C71" w:rsidRPr="000B645D" w:rsidRDefault="00E55C71" w:rsidP="005C1092">
            <w:pPr>
              <w:contextualSpacing/>
              <w:rPr>
                <w:sz w:val="22"/>
                <w:szCs w:val="22"/>
                <w:lang w:val="en-CA"/>
              </w:rPr>
            </w:pPr>
          </w:p>
        </w:tc>
      </w:tr>
      <w:tr w:rsidR="00E55C71" w:rsidRPr="000B645D" w14:paraId="49304D54" w14:textId="77777777" w:rsidTr="005C1092">
        <w:tc>
          <w:tcPr>
            <w:tcW w:w="2836" w:type="dxa"/>
            <w:gridSpan w:val="2"/>
            <w:shd w:val="clear" w:color="auto" w:fill="auto"/>
          </w:tcPr>
          <w:p w14:paraId="6E93FC22" w14:textId="77777777" w:rsidR="00E55C71" w:rsidRPr="000B645D" w:rsidRDefault="00E55C71" w:rsidP="005C1092">
            <w:pPr>
              <w:contextualSpacing/>
              <w:rPr>
                <w:sz w:val="22"/>
                <w:szCs w:val="22"/>
                <w:lang w:val="en-CA"/>
              </w:rPr>
            </w:pPr>
            <w:r w:rsidRPr="000B645D">
              <w:rPr>
                <w:sz w:val="22"/>
                <w:szCs w:val="22"/>
                <w:lang w:val="en-CA"/>
              </w:rPr>
              <w:t>Prohibition of discrimination in housing</w:t>
            </w:r>
          </w:p>
        </w:tc>
        <w:tc>
          <w:tcPr>
            <w:tcW w:w="1134" w:type="dxa"/>
            <w:gridSpan w:val="2"/>
            <w:shd w:val="clear" w:color="auto" w:fill="auto"/>
          </w:tcPr>
          <w:p w14:paraId="3E3C8875" w14:textId="77777777" w:rsidR="00E55C71" w:rsidRPr="000B645D" w:rsidRDefault="005C1092" w:rsidP="005C1092">
            <w:pPr>
              <w:contextualSpacing/>
              <w:rPr>
                <w:sz w:val="22"/>
                <w:szCs w:val="22"/>
                <w:lang w:val="en-CA"/>
              </w:rPr>
            </w:pPr>
            <w:proofErr w:type="gramStart"/>
            <w:r w:rsidRPr="000B645D">
              <w:rPr>
                <w:sz w:val="22"/>
                <w:szCs w:val="22"/>
                <w:lang w:val="en-CA"/>
              </w:rPr>
              <w:t>x</w:t>
            </w:r>
            <w:proofErr w:type="gramEnd"/>
          </w:p>
        </w:tc>
        <w:tc>
          <w:tcPr>
            <w:tcW w:w="1134" w:type="dxa"/>
            <w:gridSpan w:val="2"/>
            <w:shd w:val="clear" w:color="auto" w:fill="auto"/>
          </w:tcPr>
          <w:p w14:paraId="334BBDC2" w14:textId="77777777" w:rsidR="00E55C71" w:rsidRPr="000B645D" w:rsidRDefault="005C1092" w:rsidP="005C1092">
            <w:pPr>
              <w:contextualSpacing/>
              <w:rPr>
                <w:sz w:val="22"/>
                <w:szCs w:val="22"/>
                <w:lang w:val="en-CA"/>
              </w:rPr>
            </w:pPr>
            <w:proofErr w:type="gramStart"/>
            <w:r w:rsidRPr="000B645D">
              <w:rPr>
                <w:sz w:val="22"/>
                <w:szCs w:val="22"/>
                <w:lang w:val="en-CA"/>
              </w:rPr>
              <w:t>x</w:t>
            </w:r>
            <w:proofErr w:type="gramEnd"/>
          </w:p>
        </w:tc>
        <w:tc>
          <w:tcPr>
            <w:tcW w:w="1275" w:type="dxa"/>
            <w:gridSpan w:val="2"/>
            <w:shd w:val="clear" w:color="auto" w:fill="auto"/>
          </w:tcPr>
          <w:p w14:paraId="7BBB795D" w14:textId="77777777" w:rsidR="00E55C71" w:rsidRPr="000B645D" w:rsidRDefault="00E55C71" w:rsidP="005C1092">
            <w:pPr>
              <w:contextualSpacing/>
              <w:rPr>
                <w:sz w:val="22"/>
                <w:szCs w:val="22"/>
                <w:lang w:val="en-CA"/>
              </w:rPr>
            </w:pPr>
          </w:p>
        </w:tc>
        <w:tc>
          <w:tcPr>
            <w:tcW w:w="1843" w:type="dxa"/>
            <w:shd w:val="clear" w:color="auto" w:fill="auto"/>
          </w:tcPr>
          <w:p w14:paraId="622BE656" w14:textId="77777777" w:rsidR="00E55C71" w:rsidRPr="000B645D" w:rsidRDefault="00E55C71" w:rsidP="005C1092">
            <w:pPr>
              <w:contextualSpacing/>
              <w:rPr>
                <w:sz w:val="22"/>
                <w:szCs w:val="22"/>
                <w:lang w:val="en-CA"/>
              </w:rPr>
            </w:pPr>
          </w:p>
        </w:tc>
      </w:tr>
    </w:tbl>
    <w:p w14:paraId="5D13726B" w14:textId="77777777" w:rsidR="00E55C71" w:rsidRPr="000B645D" w:rsidRDefault="00E55C71" w:rsidP="00E55C71">
      <w:pPr>
        <w:ind w:left="720"/>
        <w:contextualSpacing/>
        <w:rPr>
          <w:sz w:val="22"/>
          <w:szCs w:val="22"/>
          <w:lang w:val="en-CA"/>
        </w:rPr>
      </w:pPr>
    </w:p>
    <w:p w14:paraId="4E196A15" w14:textId="77777777" w:rsidR="00E55C71" w:rsidRPr="000B645D" w:rsidRDefault="00E55C71" w:rsidP="00E55C71">
      <w:pPr>
        <w:tabs>
          <w:tab w:val="left" w:pos="720"/>
        </w:tabs>
        <w:ind w:right="-1"/>
        <w:jc w:val="both"/>
        <w:rPr>
          <w:sz w:val="22"/>
          <w:szCs w:val="22"/>
        </w:rPr>
      </w:pPr>
    </w:p>
    <w:p w14:paraId="40078118" w14:textId="77777777" w:rsidR="00E55C71" w:rsidRPr="000B645D" w:rsidRDefault="00E55C71" w:rsidP="00E55C71">
      <w:pPr>
        <w:tabs>
          <w:tab w:val="left" w:pos="720"/>
        </w:tabs>
        <w:ind w:right="-1"/>
        <w:jc w:val="both"/>
        <w:rPr>
          <w:sz w:val="22"/>
          <w:szCs w:val="22"/>
        </w:rPr>
      </w:pPr>
    </w:p>
    <w:p w14:paraId="7AF04AE9" w14:textId="77777777" w:rsidR="00E55C71" w:rsidRPr="000B645D" w:rsidRDefault="00E55C71" w:rsidP="00E55C71">
      <w:pPr>
        <w:tabs>
          <w:tab w:val="left" w:pos="720"/>
        </w:tabs>
        <w:ind w:right="-1"/>
        <w:jc w:val="both"/>
        <w:rPr>
          <w:sz w:val="22"/>
          <w:szCs w:val="22"/>
        </w:rPr>
      </w:pPr>
    </w:p>
    <w:p w14:paraId="6F76BAA3" w14:textId="77777777" w:rsidR="00E55C71" w:rsidRPr="000B645D" w:rsidRDefault="00E55C71" w:rsidP="00E55C71">
      <w:pPr>
        <w:tabs>
          <w:tab w:val="left" w:pos="720"/>
        </w:tabs>
        <w:ind w:left="720" w:right="-1"/>
        <w:jc w:val="both"/>
        <w:rPr>
          <w:i/>
          <w:sz w:val="22"/>
          <w:szCs w:val="22"/>
        </w:rPr>
      </w:pPr>
      <w:r w:rsidRPr="000B645D">
        <w:rPr>
          <w:i/>
          <w:sz w:val="22"/>
          <w:szCs w:val="22"/>
        </w:rPr>
        <w:t>2.</w:t>
      </w:r>
      <w:r w:rsidRPr="000B645D">
        <w:rPr>
          <w:i/>
          <w:sz w:val="22"/>
          <w:szCs w:val="22"/>
        </w:rPr>
        <w:tab/>
        <w:t>What are the primary bases for the allocation of responsibilities among different levels of government? Please identify the appropriate provision(s) and provide a copy or link if possible:</w:t>
      </w:r>
    </w:p>
    <w:p w14:paraId="38E2F1EE" w14:textId="77777777" w:rsidR="00E55C71" w:rsidRPr="000B645D" w:rsidRDefault="00E55C71" w:rsidP="00E55C71">
      <w:pPr>
        <w:tabs>
          <w:tab w:val="left" w:pos="720"/>
        </w:tabs>
        <w:ind w:left="720" w:right="-1"/>
        <w:jc w:val="both"/>
        <w:rPr>
          <w:sz w:val="22"/>
          <w:szCs w:val="22"/>
        </w:rPr>
      </w:pPr>
      <w:r w:rsidRPr="000B645D">
        <w:rPr>
          <w:sz w:val="22"/>
          <w:szCs w:val="22"/>
        </w:rPr>
        <w:tab/>
      </w:r>
      <w:r w:rsidRPr="000B645D">
        <w:rPr>
          <w:sz w:val="22"/>
          <w:szCs w:val="22"/>
        </w:rPr>
        <w:tab/>
      </w:r>
    </w:p>
    <w:p w14:paraId="756814E5" w14:textId="2022B763" w:rsidR="00E55C71" w:rsidRPr="000B645D" w:rsidRDefault="00E55C71" w:rsidP="00E55C71">
      <w:pPr>
        <w:tabs>
          <w:tab w:val="left" w:pos="720"/>
        </w:tabs>
        <w:ind w:left="720" w:right="-1"/>
        <w:jc w:val="both"/>
        <w:rPr>
          <w:sz w:val="22"/>
          <w:szCs w:val="22"/>
        </w:rPr>
      </w:pPr>
      <w:r w:rsidRPr="000B645D">
        <w:rPr>
          <w:sz w:val="22"/>
          <w:szCs w:val="22"/>
        </w:rPr>
        <w:t></w:t>
      </w:r>
      <w:r w:rsidRPr="000B645D">
        <w:rPr>
          <w:sz w:val="22"/>
          <w:szCs w:val="22"/>
        </w:rPr>
        <w:tab/>
        <w:t xml:space="preserve">Constitutional </w:t>
      </w:r>
      <w:r w:rsidR="00DC7D5F" w:rsidRPr="000B645D">
        <w:rPr>
          <w:sz w:val="22"/>
          <w:szCs w:val="22"/>
        </w:rPr>
        <w:t>–</w:t>
      </w:r>
      <w:r w:rsidR="00D83E95" w:rsidRPr="000B645D">
        <w:rPr>
          <w:sz w:val="22"/>
          <w:szCs w:val="22"/>
        </w:rPr>
        <w:t xml:space="preserve"> </w:t>
      </w:r>
      <w:r w:rsidR="002206BD" w:rsidRPr="000B645D">
        <w:rPr>
          <w:sz w:val="22"/>
          <w:szCs w:val="22"/>
        </w:rPr>
        <w:t>The Constitution of the Commonwealth of Australia confers no express power to the Federal Government in relation to housing (see the express powers at section 51). It does</w:t>
      </w:r>
      <w:r w:rsidR="00227AF4" w:rsidRPr="000B645D">
        <w:rPr>
          <w:sz w:val="22"/>
          <w:szCs w:val="22"/>
        </w:rPr>
        <w:t xml:space="preserve">, however empower the Federal Government to make grants of funds to the States and Territories (s 96), which is the basis for funding agreements between the Federal Government and the State and Territory Governments, including in relation to housing. The Constitution also empowers to Federal Government </w:t>
      </w:r>
      <w:r w:rsidR="0090497B" w:rsidRPr="000B645D">
        <w:rPr>
          <w:sz w:val="22"/>
          <w:szCs w:val="22"/>
        </w:rPr>
        <w:t>in relation to</w:t>
      </w:r>
      <w:r w:rsidR="00005978" w:rsidRPr="000B645D">
        <w:rPr>
          <w:sz w:val="22"/>
          <w:szCs w:val="22"/>
        </w:rPr>
        <w:t xml:space="preserve"> taxation (section 51(ii)), </w:t>
      </w:r>
      <w:r w:rsidR="0090497B" w:rsidRPr="000B645D">
        <w:rPr>
          <w:sz w:val="22"/>
          <w:szCs w:val="22"/>
        </w:rPr>
        <w:t>social security (section 51(xxiii) and (</w:t>
      </w:r>
      <w:proofErr w:type="spellStart"/>
      <w:r w:rsidR="0090497B" w:rsidRPr="000B645D">
        <w:rPr>
          <w:sz w:val="22"/>
          <w:szCs w:val="22"/>
        </w:rPr>
        <w:t>xxiiiA</w:t>
      </w:r>
      <w:proofErr w:type="spellEnd"/>
      <w:r w:rsidR="0090497B" w:rsidRPr="000B645D">
        <w:rPr>
          <w:sz w:val="22"/>
          <w:szCs w:val="22"/>
        </w:rPr>
        <w:t>)) and external affairs (section 51(xxix))</w:t>
      </w:r>
      <w:r w:rsidR="00005978" w:rsidRPr="000B645D">
        <w:rPr>
          <w:sz w:val="22"/>
          <w:szCs w:val="22"/>
        </w:rPr>
        <w:t>, amongst other things</w:t>
      </w:r>
      <w:r w:rsidR="0090497B" w:rsidRPr="000B645D">
        <w:rPr>
          <w:sz w:val="22"/>
          <w:szCs w:val="22"/>
        </w:rPr>
        <w:t xml:space="preserve">. The </w:t>
      </w:r>
      <w:r w:rsidR="00005978" w:rsidRPr="000B645D">
        <w:rPr>
          <w:sz w:val="22"/>
          <w:szCs w:val="22"/>
        </w:rPr>
        <w:t>external affairs power</w:t>
      </w:r>
      <w:r w:rsidR="0090497B" w:rsidRPr="000B645D">
        <w:rPr>
          <w:sz w:val="22"/>
          <w:szCs w:val="22"/>
        </w:rPr>
        <w:t xml:space="preserve"> is the basis for Federal legislation reflecting international obligations, including human rights and anti-discrimination obligations.</w:t>
      </w:r>
      <w:r w:rsidR="002206BD" w:rsidRPr="000B645D">
        <w:rPr>
          <w:sz w:val="22"/>
          <w:szCs w:val="22"/>
        </w:rPr>
        <w:t xml:space="preserve"> </w:t>
      </w:r>
    </w:p>
    <w:p w14:paraId="34F68270" w14:textId="77777777" w:rsidR="00E55C71" w:rsidRPr="000B645D" w:rsidRDefault="00E55C71" w:rsidP="00E55C71">
      <w:pPr>
        <w:tabs>
          <w:tab w:val="left" w:pos="720"/>
        </w:tabs>
        <w:ind w:left="720" w:right="-1"/>
        <w:jc w:val="both"/>
        <w:rPr>
          <w:sz w:val="22"/>
          <w:szCs w:val="22"/>
        </w:rPr>
      </w:pPr>
    </w:p>
    <w:p w14:paraId="1D2B7706" w14:textId="77777777" w:rsidR="00280403" w:rsidRPr="000B645D" w:rsidRDefault="00E55C71" w:rsidP="00625C17">
      <w:pPr>
        <w:tabs>
          <w:tab w:val="left" w:pos="720"/>
        </w:tabs>
        <w:ind w:left="720" w:right="-1"/>
        <w:jc w:val="both"/>
        <w:rPr>
          <w:sz w:val="22"/>
          <w:szCs w:val="22"/>
        </w:rPr>
      </w:pPr>
      <w:r w:rsidRPr="000B645D">
        <w:rPr>
          <w:sz w:val="22"/>
          <w:szCs w:val="22"/>
        </w:rPr>
        <w:t></w:t>
      </w:r>
      <w:r w:rsidRPr="000B645D">
        <w:rPr>
          <w:sz w:val="22"/>
          <w:szCs w:val="22"/>
        </w:rPr>
        <w:tab/>
        <w:t xml:space="preserve">National framework legislation or housing strategy </w:t>
      </w:r>
      <w:r w:rsidR="005C1092" w:rsidRPr="000B645D">
        <w:rPr>
          <w:sz w:val="22"/>
          <w:szCs w:val="22"/>
        </w:rPr>
        <w:t xml:space="preserve">– </w:t>
      </w:r>
      <w:r w:rsidR="0090497B" w:rsidRPr="000B645D">
        <w:rPr>
          <w:sz w:val="22"/>
          <w:szCs w:val="22"/>
        </w:rPr>
        <w:t>There is no formal national housing policy.</w:t>
      </w:r>
    </w:p>
    <w:p w14:paraId="3B159F36" w14:textId="77777777" w:rsidR="00280403" w:rsidRPr="000B645D" w:rsidRDefault="00280403" w:rsidP="00625C17">
      <w:pPr>
        <w:tabs>
          <w:tab w:val="left" w:pos="720"/>
        </w:tabs>
        <w:ind w:left="720" w:right="-1"/>
        <w:jc w:val="both"/>
        <w:rPr>
          <w:sz w:val="22"/>
          <w:szCs w:val="22"/>
        </w:rPr>
      </w:pPr>
    </w:p>
    <w:p w14:paraId="6FF6D63B" w14:textId="361BE427" w:rsidR="00625C17" w:rsidRPr="000B645D" w:rsidRDefault="00280403" w:rsidP="00625C17">
      <w:pPr>
        <w:tabs>
          <w:tab w:val="left" w:pos="720"/>
        </w:tabs>
        <w:ind w:left="720" w:right="-1"/>
        <w:jc w:val="both"/>
        <w:rPr>
          <w:sz w:val="22"/>
          <w:szCs w:val="22"/>
        </w:rPr>
      </w:pPr>
      <w:r w:rsidRPr="000B645D">
        <w:rPr>
          <w:sz w:val="22"/>
          <w:szCs w:val="22"/>
        </w:rPr>
        <w:t>The most important national-level housing policy document is the National Affordable Housing Agreement, discussed at ‘Inter-governmental agreement’, below.</w:t>
      </w:r>
    </w:p>
    <w:p w14:paraId="6B858393" w14:textId="77777777" w:rsidR="00625C17" w:rsidRPr="000B645D" w:rsidRDefault="00625C17" w:rsidP="00625C17">
      <w:pPr>
        <w:tabs>
          <w:tab w:val="left" w:pos="720"/>
        </w:tabs>
        <w:ind w:left="720" w:right="-1"/>
        <w:jc w:val="both"/>
        <w:rPr>
          <w:sz w:val="22"/>
          <w:szCs w:val="22"/>
        </w:rPr>
      </w:pPr>
    </w:p>
    <w:p w14:paraId="64897105" w14:textId="77777777" w:rsidR="00E55C71" w:rsidRPr="000B645D" w:rsidRDefault="00E55C71" w:rsidP="000B645D">
      <w:pPr>
        <w:tabs>
          <w:tab w:val="left" w:pos="720"/>
        </w:tabs>
        <w:ind w:right="-1"/>
        <w:jc w:val="both"/>
        <w:rPr>
          <w:sz w:val="22"/>
          <w:szCs w:val="22"/>
        </w:rPr>
      </w:pPr>
    </w:p>
    <w:p w14:paraId="66489072" w14:textId="44171BE2" w:rsidR="00FB664F" w:rsidRPr="000B645D" w:rsidRDefault="00E55C71" w:rsidP="00E55C71">
      <w:pPr>
        <w:tabs>
          <w:tab w:val="left" w:pos="720"/>
        </w:tabs>
        <w:ind w:left="720" w:right="-1"/>
        <w:jc w:val="both"/>
        <w:rPr>
          <w:sz w:val="22"/>
          <w:szCs w:val="22"/>
        </w:rPr>
      </w:pPr>
      <w:r w:rsidRPr="000B645D">
        <w:rPr>
          <w:sz w:val="22"/>
          <w:szCs w:val="22"/>
        </w:rPr>
        <w:t></w:t>
      </w:r>
      <w:r w:rsidRPr="000B645D">
        <w:rPr>
          <w:sz w:val="22"/>
          <w:szCs w:val="22"/>
        </w:rPr>
        <w:tab/>
        <w:t xml:space="preserve">Sub-national level legislation or housing strategy </w:t>
      </w:r>
      <w:r w:rsidR="005C1092" w:rsidRPr="000B645D">
        <w:rPr>
          <w:sz w:val="22"/>
          <w:szCs w:val="22"/>
        </w:rPr>
        <w:t xml:space="preserve">– </w:t>
      </w:r>
      <w:r w:rsidR="00FB664F" w:rsidRPr="000B645D">
        <w:rPr>
          <w:sz w:val="22"/>
          <w:szCs w:val="22"/>
        </w:rPr>
        <w:t xml:space="preserve">There is no formal NSW State housing policy. </w:t>
      </w:r>
    </w:p>
    <w:p w14:paraId="32B321FB" w14:textId="77777777" w:rsidR="00280403" w:rsidRPr="000B645D" w:rsidRDefault="00280403" w:rsidP="00E55C71">
      <w:pPr>
        <w:tabs>
          <w:tab w:val="left" w:pos="720"/>
        </w:tabs>
        <w:ind w:left="720" w:right="-1"/>
        <w:jc w:val="both"/>
        <w:rPr>
          <w:sz w:val="22"/>
          <w:szCs w:val="22"/>
        </w:rPr>
      </w:pPr>
    </w:p>
    <w:p w14:paraId="1A6F79EC" w14:textId="14F48F5F" w:rsidR="00280403" w:rsidRPr="000B645D" w:rsidRDefault="00FB664F" w:rsidP="00E55C71">
      <w:pPr>
        <w:tabs>
          <w:tab w:val="left" w:pos="720"/>
        </w:tabs>
        <w:ind w:left="720" w:right="-1"/>
        <w:jc w:val="both"/>
        <w:rPr>
          <w:sz w:val="22"/>
          <w:szCs w:val="22"/>
        </w:rPr>
      </w:pPr>
      <w:r w:rsidRPr="000B645D">
        <w:rPr>
          <w:sz w:val="22"/>
          <w:szCs w:val="22"/>
        </w:rPr>
        <w:t>The State Government legislation relevant to</w:t>
      </w:r>
      <w:r w:rsidR="00280403" w:rsidRPr="000B645D">
        <w:rPr>
          <w:sz w:val="22"/>
          <w:szCs w:val="22"/>
        </w:rPr>
        <w:t xml:space="preserve"> housing includes the Environmental Planning and Assessment Act 1979, which establishes the planning system administered by the State Government and local councils. This Act includes provisions that would allow local councils to require </w:t>
      </w:r>
      <w:r w:rsidR="00A676FD" w:rsidRPr="000B645D">
        <w:rPr>
          <w:sz w:val="22"/>
          <w:szCs w:val="22"/>
        </w:rPr>
        <w:t>the creation of affordable housing as part of a development</w:t>
      </w:r>
      <w:r w:rsidR="00280403" w:rsidRPr="000B645D">
        <w:rPr>
          <w:sz w:val="22"/>
          <w:szCs w:val="22"/>
        </w:rPr>
        <w:t xml:space="preserve">; however, the State Government has allowed these provisions to be used in only a few places. There is also an Affordable Rental Housing State Environmental Planning Policy 2009 (ARHSEPP) under the Act, which is intended to encourage the development of affordable rental housing by providing that development may be conducted in some circumstances where it would otherwise not be allowed under the development consent processes administered by local councils. It also allows for some local </w:t>
      </w:r>
      <w:proofErr w:type="gramStart"/>
      <w:r w:rsidR="00280403" w:rsidRPr="000B645D">
        <w:rPr>
          <w:sz w:val="22"/>
          <w:szCs w:val="22"/>
        </w:rPr>
        <w:t>councils</w:t>
      </w:r>
      <w:proofErr w:type="gramEnd"/>
      <w:r w:rsidR="00280403" w:rsidRPr="000B645D">
        <w:rPr>
          <w:sz w:val="22"/>
          <w:szCs w:val="22"/>
        </w:rPr>
        <w:t xml:space="preserve"> to require developers to make compensating contributions to the council where a development causes a loss of affordable rental housing.      </w:t>
      </w:r>
    </w:p>
    <w:p w14:paraId="771F26EB" w14:textId="77777777" w:rsidR="00280403" w:rsidRPr="000B645D" w:rsidRDefault="00280403" w:rsidP="00E55C71">
      <w:pPr>
        <w:tabs>
          <w:tab w:val="left" w:pos="720"/>
        </w:tabs>
        <w:ind w:left="720" w:right="-1"/>
        <w:jc w:val="both"/>
        <w:rPr>
          <w:sz w:val="22"/>
          <w:szCs w:val="22"/>
        </w:rPr>
      </w:pPr>
    </w:p>
    <w:p w14:paraId="314BD5CF" w14:textId="0124FE62" w:rsidR="00FB664F" w:rsidRPr="000B645D" w:rsidRDefault="00280403" w:rsidP="00E55C71">
      <w:pPr>
        <w:tabs>
          <w:tab w:val="left" w:pos="720"/>
        </w:tabs>
        <w:ind w:left="720" w:right="-1"/>
        <w:jc w:val="both"/>
        <w:rPr>
          <w:sz w:val="22"/>
          <w:szCs w:val="22"/>
        </w:rPr>
      </w:pPr>
      <w:r w:rsidRPr="000B645D">
        <w:rPr>
          <w:sz w:val="22"/>
          <w:szCs w:val="22"/>
        </w:rPr>
        <w:t xml:space="preserve">State legislation relating to </w:t>
      </w:r>
      <w:r w:rsidR="00FB664F" w:rsidRPr="000B645D">
        <w:rPr>
          <w:sz w:val="22"/>
          <w:szCs w:val="22"/>
        </w:rPr>
        <w:t>housing rights</w:t>
      </w:r>
      <w:r w:rsidR="00200A3A" w:rsidRPr="000B645D">
        <w:rPr>
          <w:sz w:val="22"/>
          <w:szCs w:val="22"/>
        </w:rPr>
        <w:t xml:space="preserve"> include</w:t>
      </w:r>
      <w:r w:rsidR="00FB664F" w:rsidRPr="000B645D">
        <w:rPr>
          <w:sz w:val="22"/>
          <w:szCs w:val="22"/>
        </w:rPr>
        <w:t xml:space="preserve"> the Residential Tenancies A</w:t>
      </w:r>
      <w:r w:rsidR="00200A3A" w:rsidRPr="000B645D">
        <w:rPr>
          <w:sz w:val="22"/>
          <w:szCs w:val="22"/>
        </w:rPr>
        <w:t>ct 2010, the Boarding Houses Act 2012 and</w:t>
      </w:r>
      <w:r w:rsidR="004A412E" w:rsidRPr="000B645D">
        <w:rPr>
          <w:sz w:val="22"/>
          <w:szCs w:val="22"/>
        </w:rPr>
        <w:t xml:space="preserve"> the Residential Parks Act 1998</w:t>
      </w:r>
      <w:r w:rsidR="00200A3A" w:rsidRPr="000B645D">
        <w:rPr>
          <w:sz w:val="22"/>
          <w:szCs w:val="22"/>
        </w:rPr>
        <w:t xml:space="preserve">, which deal with the legal rights and responsibilities of landlords and tenants/residents; and </w:t>
      </w:r>
      <w:r w:rsidR="004A412E" w:rsidRPr="000B645D">
        <w:rPr>
          <w:sz w:val="22"/>
          <w:szCs w:val="22"/>
        </w:rPr>
        <w:t>the Housing Act 2001</w:t>
      </w:r>
      <w:r w:rsidR="00200A3A" w:rsidRPr="000B645D">
        <w:rPr>
          <w:sz w:val="22"/>
          <w:szCs w:val="22"/>
        </w:rPr>
        <w:t xml:space="preserve">, </w:t>
      </w:r>
      <w:r w:rsidR="004A412E" w:rsidRPr="000B645D">
        <w:rPr>
          <w:sz w:val="22"/>
          <w:szCs w:val="22"/>
        </w:rPr>
        <w:t xml:space="preserve">the Aboriginal Housing Act </w:t>
      </w:r>
      <w:r w:rsidR="00200A3A" w:rsidRPr="000B645D">
        <w:rPr>
          <w:sz w:val="22"/>
          <w:szCs w:val="22"/>
        </w:rPr>
        <w:t>1998,</w:t>
      </w:r>
      <w:r w:rsidR="004A412E" w:rsidRPr="000B645D">
        <w:rPr>
          <w:sz w:val="22"/>
          <w:szCs w:val="22"/>
        </w:rPr>
        <w:t xml:space="preserve"> and the Community Housing Providers (Adoption of National Law) Act 2012</w:t>
      </w:r>
      <w:r w:rsidR="00200A3A" w:rsidRPr="000B645D">
        <w:rPr>
          <w:sz w:val="22"/>
          <w:szCs w:val="22"/>
        </w:rPr>
        <w:t>, which</w:t>
      </w:r>
      <w:r w:rsidR="00551F0D" w:rsidRPr="000B645D">
        <w:rPr>
          <w:sz w:val="22"/>
          <w:szCs w:val="22"/>
        </w:rPr>
        <w:t xml:space="preserve"> establish the social housing system</w:t>
      </w:r>
      <w:r w:rsidR="004A412E" w:rsidRPr="000B645D">
        <w:rPr>
          <w:sz w:val="22"/>
          <w:szCs w:val="22"/>
        </w:rPr>
        <w:t>.</w:t>
      </w:r>
    </w:p>
    <w:p w14:paraId="2BC1D290" w14:textId="77777777" w:rsidR="006259D7" w:rsidRPr="000B645D" w:rsidRDefault="006259D7" w:rsidP="000B645D">
      <w:pPr>
        <w:tabs>
          <w:tab w:val="left" w:pos="720"/>
        </w:tabs>
        <w:ind w:right="-1"/>
        <w:jc w:val="both"/>
        <w:rPr>
          <w:sz w:val="22"/>
          <w:szCs w:val="22"/>
        </w:rPr>
      </w:pPr>
    </w:p>
    <w:p w14:paraId="1352DD54" w14:textId="77777777" w:rsidR="00E55C71" w:rsidRPr="000B645D" w:rsidRDefault="00E55C71" w:rsidP="00E55C71">
      <w:pPr>
        <w:tabs>
          <w:tab w:val="left" w:pos="720"/>
        </w:tabs>
        <w:ind w:left="720" w:right="-1"/>
        <w:jc w:val="both"/>
        <w:rPr>
          <w:sz w:val="22"/>
          <w:szCs w:val="22"/>
        </w:rPr>
      </w:pPr>
    </w:p>
    <w:p w14:paraId="5E18CD17" w14:textId="33DA78B8" w:rsidR="004A412E" w:rsidRPr="000B645D" w:rsidRDefault="00E55C71" w:rsidP="00EA0E6B">
      <w:pPr>
        <w:tabs>
          <w:tab w:val="left" w:pos="720"/>
        </w:tabs>
        <w:ind w:left="720" w:right="-1"/>
        <w:jc w:val="both"/>
        <w:rPr>
          <w:sz w:val="22"/>
          <w:szCs w:val="22"/>
        </w:rPr>
      </w:pPr>
      <w:r w:rsidRPr="000B645D">
        <w:rPr>
          <w:sz w:val="22"/>
          <w:szCs w:val="22"/>
        </w:rPr>
        <w:t></w:t>
      </w:r>
      <w:r w:rsidRPr="000B645D">
        <w:rPr>
          <w:sz w:val="22"/>
          <w:szCs w:val="22"/>
        </w:rPr>
        <w:tab/>
        <w:t xml:space="preserve">Inter-governmental agreement </w:t>
      </w:r>
      <w:r w:rsidR="00D83E95" w:rsidRPr="000B645D">
        <w:rPr>
          <w:sz w:val="22"/>
          <w:szCs w:val="22"/>
        </w:rPr>
        <w:t xml:space="preserve">– </w:t>
      </w:r>
      <w:r w:rsidR="00EA0E6B" w:rsidRPr="000B645D">
        <w:rPr>
          <w:sz w:val="22"/>
          <w:szCs w:val="22"/>
        </w:rPr>
        <w:t>The National Affordable Housing Agreement (NAHA)</w:t>
      </w:r>
      <w:r w:rsidR="006259D7" w:rsidRPr="000B645D">
        <w:rPr>
          <w:rStyle w:val="FootnoteReference"/>
          <w:sz w:val="22"/>
          <w:szCs w:val="22"/>
        </w:rPr>
        <w:footnoteReference w:id="1"/>
      </w:r>
      <w:r w:rsidR="00EA0E6B" w:rsidRPr="000B645D">
        <w:rPr>
          <w:sz w:val="22"/>
          <w:szCs w:val="22"/>
        </w:rPr>
        <w:t xml:space="preserve"> between the Federal Government and the State and Territory Governments is the basis for Federal funding of </w:t>
      </w:r>
      <w:r w:rsidR="004A412E" w:rsidRPr="000B645D">
        <w:rPr>
          <w:sz w:val="22"/>
          <w:szCs w:val="22"/>
        </w:rPr>
        <w:t xml:space="preserve">social </w:t>
      </w:r>
      <w:r w:rsidR="00EA0E6B" w:rsidRPr="000B645D">
        <w:rPr>
          <w:sz w:val="22"/>
          <w:szCs w:val="22"/>
        </w:rPr>
        <w:t xml:space="preserve">housing </w:t>
      </w:r>
      <w:r w:rsidR="004A412E" w:rsidRPr="000B645D">
        <w:rPr>
          <w:sz w:val="22"/>
          <w:szCs w:val="22"/>
        </w:rPr>
        <w:t xml:space="preserve">and homelessness </w:t>
      </w:r>
      <w:r w:rsidR="00EA0E6B" w:rsidRPr="000B645D">
        <w:rPr>
          <w:sz w:val="22"/>
          <w:szCs w:val="22"/>
        </w:rPr>
        <w:t>programs administered by the State and Territory Governments.</w:t>
      </w:r>
    </w:p>
    <w:p w14:paraId="02333D25" w14:textId="77777777" w:rsidR="004A412E" w:rsidRPr="000B645D" w:rsidRDefault="004A412E" w:rsidP="00EA0E6B">
      <w:pPr>
        <w:tabs>
          <w:tab w:val="left" w:pos="720"/>
        </w:tabs>
        <w:ind w:left="720" w:right="-1"/>
        <w:jc w:val="both"/>
        <w:rPr>
          <w:sz w:val="22"/>
          <w:szCs w:val="22"/>
        </w:rPr>
      </w:pPr>
    </w:p>
    <w:p w14:paraId="78B5BE1F" w14:textId="02BD751C" w:rsidR="00EA0E6B" w:rsidRPr="000B645D" w:rsidRDefault="004A412E" w:rsidP="00EA0E6B">
      <w:pPr>
        <w:tabs>
          <w:tab w:val="left" w:pos="720"/>
        </w:tabs>
        <w:ind w:left="720" w:right="-1"/>
        <w:jc w:val="both"/>
        <w:rPr>
          <w:sz w:val="22"/>
          <w:szCs w:val="22"/>
        </w:rPr>
      </w:pPr>
      <w:r w:rsidRPr="000B645D">
        <w:rPr>
          <w:sz w:val="22"/>
          <w:szCs w:val="22"/>
        </w:rPr>
        <w:t>The Federal and State and Territory Governments also collaborate on the National Regulatory System for Community Housing.</w:t>
      </w:r>
      <w:r w:rsidR="00EA0E6B" w:rsidRPr="000B645D">
        <w:rPr>
          <w:sz w:val="22"/>
          <w:szCs w:val="22"/>
        </w:rPr>
        <w:t xml:space="preserve"> </w:t>
      </w:r>
    </w:p>
    <w:p w14:paraId="70206F90" w14:textId="77777777" w:rsidR="00E55C71" w:rsidRPr="000B645D" w:rsidRDefault="00E55C71" w:rsidP="00E55C71">
      <w:pPr>
        <w:tabs>
          <w:tab w:val="left" w:pos="720"/>
        </w:tabs>
        <w:ind w:left="720" w:right="-1"/>
        <w:jc w:val="both"/>
        <w:rPr>
          <w:sz w:val="22"/>
          <w:szCs w:val="22"/>
        </w:rPr>
      </w:pPr>
    </w:p>
    <w:p w14:paraId="2764E784" w14:textId="4793FF7B" w:rsidR="00E55C71" w:rsidRPr="000B645D" w:rsidRDefault="000B645D" w:rsidP="00E55C71">
      <w:pPr>
        <w:tabs>
          <w:tab w:val="left" w:pos="720"/>
        </w:tabs>
        <w:ind w:left="720" w:right="-1"/>
        <w:jc w:val="both"/>
        <w:rPr>
          <w:sz w:val="22"/>
          <w:szCs w:val="22"/>
        </w:rPr>
      </w:pPr>
      <w:r>
        <w:rPr>
          <w:i/>
          <w:sz w:val="22"/>
          <w:szCs w:val="22"/>
        </w:rPr>
        <w:t></w:t>
      </w:r>
      <w:r>
        <w:rPr>
          <w:i/>
          <w:sz w:val="22"/>
          <w:szCs w:val="22"/>
        </w:rPr>
        <w:tab/>
        <w:t xml:space="preserve">Other – </w:t>
      </w:r>
      <w:r w:rsidRPr="000B645D">
        <w:rPr>
          <w:sz w:val="22"/>
          <w:szCs w:val="22"/>
        </w:rPr>
        <w:t>Not applicable</w:t>
      </w:r>
    </w:p>
    <w:p w14:paraId="651284B3" w14:textId="77777777" w:rsidR="00E55C71" w:rsidRPr="000B645D" w:rsidRDefault="00E55C71" w:rsidP="00E55C71">
      <w:pPr>
        <w:tabs>
          <w:tab w:val="left" w:pos="720"/>
        </w:tabs>
        <w:ind w:left="720" w:right="-1"/>
        <w:jc w:val="both"/>
        <w:rPr>
          <w:sz w:val="22"/>
          <w:szCs w:val="22"/>
        </w:rPr>
      </w:pPr>
    </w:p>
    <w:p w14:paraId="1279A763" w14:textId="77777777" w:rsidR="00D83E95" w:rsidRPr="000B645D" w:rsidRDefault="00E55C71" w:rsidP="00D83E95">
      <w:pPr>
        <w:numPr>
          <w:ilvl w:val="0"/>
          <w:numId w:val="3"/>
        </w:numPr>
        <w:tabs>
          <w:tab w:val="left" w:pos="720"/>
        </w:tabs>
        <w:ind w:right="-1"/>
        <w:jc w:val="both"/>
        <w:rPr>
          <w:i/>
          <w:sz w:val="22"/>
          <w:szCs w:val="22"/>
        </w:rPr>
      </w:pPr>
      <w:r w:rsidRPr="000B645D">
        <w:rPr>
          <w:i/>
          <w:sz w:val="22"/>
          <w:szCs w:val="22"/>
        </w:rPr>
        <w:t xml:space="preserve">What role does the national level government play in relation to housing and related programs? </w:t>
      </w:r>
    </w:p>
    <w:p w14:paraId="60174B11" w14:textId="77777777" w:rsidR="00D83E95" w:rsidRPr="000B645D" w:rsidRDefault="00D83E95" w:rsidP="00D83E95">
      <w:pPr>
        <w:tabs>
          <w:tab w:val="left" w:pos="720"/>
        </w:tabs>
        <w:ind w:left="1080" w:right="-1"/>
        <w:jc w:val="both"/>
        <w:rPr>
          <w:sz w:val="22"/>
          <w:szCs w:val="22"/>
        </w:rPr>
      </w:pPr>
    </w:p>
    <w:p w14:paraId="55DD431D" w14:textId="77777777" w:rsidR="00FB664F" w:rsidRPr="000B645D" w:rsidRDefault="00FB664F" w:rsidP="00D83E95">
      <w:pPr>
        <w:tabs>
          <w:tab w:val="left" w:pos="720"/>
        </w:tabs>
        <w:ind w:left="1080" w:right="-1"/>
        <w:jc w:val="both"/>
        <w:rPr>
          <w:sz w:val="22"/>
          <w:szCs w:val="22"/>
        </w:rPr>
      </w:pPr>
      <w:r w:rsidRPr="000B645D">
        <w:rPr>
          <w:sz w:val="22"/>
          <w:szCs w:val="22"/>
        </w:rPr>
        <w:t>The Federal Government’s largest influence on housing comes from its role in taxation. Federal tax settings – in particular, the exemption of owner-occupied housing from capital gains tax; the tax discount for capital gains from other asset classes, including rental housing; and generous tax treatment of negative gearing – encourage speculation in housing, which is resulted in persistent house price inflation, declining affordability (for purchasers and renters) and declining rates of homeownership.</w:t>
      </w:r>
    </w:p>
    <w:p w14:paraId="3EB50808" w14:textId="77777777" w:rsidR="00FB664F" w:rsidRPr="000B645D" w:rsidRDefault="00FB664F" w:rsidP="00D83E95">
      <w:pPr>
        <w:tabs>
          <w:tab w:val="left" w:pos="720"/>
        </w:tabs>
        <w:ind w:left="1080" w:right="-1"/>
        <w:jc w:val="both"/>
        <w:rPr>
          <w:sz w:val="22"/>
          <w:szCs w:val="22"/>
        </w:rPr>
      </w:pPr>
    </w:p>
    <w:p w14:paraId="48CF1786" w14:textId="508768C2" w:rsidR="00FB664F" w:rsidRPr="000B645D" w:rsidRDefault="00FB664F" w:rsidP="00D83E95">
      <w:pPr>
        <w:tabs>
          <w:tab w:val="left" w:pos="720"/>
        </w:tabs>
        <w:ind w:left="1080" w:right="-1"/>
        <w:jc w:val="both"/>
        <w:rPr>
          <w:sz w:val="22"/>
          <w:szCs w:val="22"/>
        </w:rPr>
      </w:pPr>
      <w:r w:rsidRPr="000B645D">
        <w:rPr>
          <w:sz w:val="22"/>
          <w:szCs w:val="22"/>
        </w:rPr>
        <w:t>The Federal Government pays</w:t>
      </w:r>
      <w:r w:rsidR="00EA0E6B" w:rsidRPr="000B645D">
        <w:rPr>
          <w:sz w:val="22"/>
          <w:szCs w:val="22"/>
        </w:rPr>
        <w:t xml:space="preserve"> First Home Buyer Grants, which are administered by the State and Territory Governments. The Federal Government also pays</w:t>
      </w:r>
      <w:r w:rsidRPr="000B645D">
        <w:rPr>
          <w:sz w:val="22"/>
          <w:szCs w:val="22"/>
        </w:rPr>
        <w:t xml:space="preserve">, through the </w:t>
      </w:r>
      <w:r w:rsidR="00EA0E6B" w:rsidRPr="000B645D">
        <w:rPr>
          <w:sz w:val="22"/>
          <w:szCs w:val="22"/>
        </w:rPr>
        <w:t xml:space="preserve">Federal </w:t>
      </w:r>
      <w:r w:rsidRPr="000B645D">
        <w:rPr>
          <w:sz w:val="22"/>
          <w:szCs w:val="22"/>
        </w:rPr>
        <w:t>social security system, Rent Assistance to eligible persons in private rental housing.</w:t>
      </w:r>
    </w:p>
    <w:p w14:paraId="10C2E7B5" w14:textId="77777777" w:rsidR="00FB664F" w:rsidRPr="000B645D" w:rsidRDefault="00FB664F" w:rsidP="00D83E95">
      <w:pPr>
        <w:tabs>
          <w:tab w:val="left" w:pos="720"/>
        </w:tabs>
        <w:ind w:left="1080" w:right="-1"/>
        <w:jc w:val="both"/>
        <w:rPr>
          <w:sz w:val="22"/>
          <w:szCs w:val="22"/>
        </w:rPr>
      </w:pPr>
    </w:p>
    <w:p w14:paraId="2B826443" w14:textId="13685952" w:rsidR="00FB664F" w:rsidRPr="000B645D" w:rsidRDefault="00FB664F" w:rsidP="00D83E95">
      <w:pPr>
        <w:tabs>
          <w:tab w:val="left" w:pos="720"/>
        </w:tabs>
        <w:ind w:left="1080" w:right="-1"/>
        <w:jc w:val="both"/>
        <w:rPr>
          <w:sz w:val="22"/>
          <w:szCs w:val="22"/>
        </w:rPr>
      </w:pPr>
      <w:r w:rsidRPr="000B645D">
        <w:rPr>
          <w:sz w:val="22"/>
          <w:szCs w:val="22"/>
        </w:rPr>
        <w:t>The Federal Government also contributes funds, through the NAHA,</w:t>
      </w:r>
      <w:r w:rsidR="00D83E95" w:rsidRPr="000B645D">
        <w:rPr>
          <w:sz w:val="22"/>
          <w:szCs w:val="22"/>
        </w:rPr>
        <w:t xml:space="preserve"> </w:t>
      </w:r>
      <w:r w:rsidRPr="000B645D">
        <w:rPr>
          <w:sz w:val="22"/>
          <w:szCs w:val="22"/>
        </w:rPr>
        <w:t xml:space="preserve">to </w:t>
      </w:r>
      <w:r w:rsidR="00D83E95" w:rsidRPr="000B645D">
        <w:rPr>
          <w:sz w:val="22"/>
          <w:szCs w:val="22"/>
        </w:rPr>
        <w:t xml:space="preserve">sub-national government social housing </w:t>
      </w:r>
      <w:r w:rsidRPr="000B645D">
        <w:rPr>
          <w:sz w:val="22"/>
          <w:szCs w:val="22"/>
        </w:rPr>
        <w:t xml:space="preserve">and homelessness </w:t>
      </w:r>
      <w:r w:rsidR="00625C17" w:rsidRPr="000B645D">
        <w:rPr>
          <w:sz w:val="22"/>
          <w:szCs w:val="22"/>
        </w:rPr>
        <w:t>programs</w:t>
      </w:r>
      <w:r w:rsidRPr="000B645D">
        <w:rPr>
          <w:sz w:val="22"/>
          <w:szCs w:val="22"/>
        </w:rPr>
        <w:t>.</w:t>
      </w:r>
      <w:r w:rsidR="00EA0E6B" w:rsidRPr="000B645D">
        <w:rPr>
          <w:sz w:val="22"/>
          <w:szCs w:val="22"/>
        </w:rPr>
        <w:t xml:space="preserve"> The Federal Government also contributes funds, through the National Rental Affordability Scheme (NRAS), to private sector agencies for the construction of affordable rental housing; however, the Federal Government announced earlier this year that there would be no further rounds of NRAS</w:t>
      </w:r>
      <w:proofErr w:type="gramStart"/>
      <w:r w:rsidR="00EA0E6B" w:rsidRPr="000B645D">
        <w:rPr>
          <w:sz w:val="22"/>
          <w:szCs w:val="22"/>
        </w:rPr>
        <w:t>.</w:t>
      </w:r>
      <w:r w:rsidR="00D83E95" w:rsidRPr="000B645D">
        <w:rPr>
          <w:sz w:val="22"/>
          <w:szCs w:val="22"/>
        </w:rPr>
        <w:t>.</w:t>
      </w:r>
      <w:proofErr w:type="gramEnd"/>
      <w:r w:rsidR="00D83E95" w:rsidRPr="000B645D">
        <w:rPr>
          <w:sz w:val="22"/>
          <w:szCs w:val="22"/>
        </w:rPr>
        <w:t xml:space="preserve"> </w:t>
      </w:r>
    </w:p>
    <w:p w14:paraId="5C74C7CD" w14:textId="77777777" w:rsidR="00FB664F" w:rsidRPr="000B645D" w:rsidRDefault="00FB664F" w:rsidP="00D83E95">
      <w:pPr>
        <w:tabs>
          <w:tab w:val="left" w:pos="720"/>
        </w:tabs>
        <w:ind w:left="1080" w:right="-1"/>
        <w:jc w:val="both"/>
        <w:rPr>
          <w:sz w:val="22"/>
          <w:szCs w:val="22"/>
        </w:rPr>
      </w:pPr>
    </w:p>
    <w:p w14:paraId="78A7BDAA" w14:textId="723E7A22" w:rsidR="00D83E95" w:rsidRPr="000B645D" w:rsidRDefault="00FB664F" w:rsidP="00D83E95">
      <w:pPr>
        <w:tabs>
          <w:tab w:val="left" w:pos="720"/>
        </w:tabs>
        <w:ind w:left="1080" w:right="-1"/>
        <w:jc w:val="both"/>
        <w:rPr>
          <w:sz w:val="22"/>
          <w:szCs w:val="22"/>
        </w:rPr>
      </w:pPr>
      <w:r w:rsidRPr="000B645D">
        <w:rPr>
          <w:sz w:val="22"/>
          <w:szCs w:val="22"/>
        </w:rPr>
        <w:t xml:space="preserve">Recently, the Federal Government has undertaken to review Federal-State relations and the distribution of roles and responsibilities between levels of government. It has indicated </w:t>
      </w:r>
      <w:r w:rsidR="00EA0E6B" w:rsidRPr="000B645D">
        <w:rPr>
          <w:sz w:val="22"/>
          <w:szCs w:val="22"/>
        </w:rPr>
        <w:t xml:space="preserve">(with reference to section 51 of the Constitution) </w:t>
      </w:r>
      <w:r w:rsidRPr="000B645D">
        <w:rPr>
          <w:sz w:val="22"/>
          <w:szCs w:val="22"/>
        </w:rPr>
        <w:t xml:space="preserve">that it considers housing and homelessness </w:t>
      </w:r>
      <w:r w:rsidR="00EA0E6B" w:rsidRPr="000B645D">
        <w:rPr>
          <w:sz w:val="22"/>
          <w:szCs w:val="22"/>
        </w:rPr>
        <w:t xml:space="preserve">to be State responsibilities, and may withdraw from involvement in social housing and homelessness programs (however, it has also indicated that it will not change its tax settings, which largely influence housing). </w:t>
      </w:r>
    </w:p>
    <w:p w14:paraId="56241193" w14:textId="77777777" w:rsidR="00D83E95" w:rsidRPr="000B645D" w:rsidRDefault="00D83E95" w:rsidP="00D83E95">
      <w:pPr>
        <w:tabs>
          <w:tab w:val="left" w:pos="720"/>
        </w:tabs>
        <w:ind w:left="1080" w:right="-1"/>
        <w:jc w:val="both"/>
        <w:rPr>
          <w:sz w:val="22"/>
          <w:szCs w:val="22"/>
        </w:rPr>
      </w:pPr>
    </w:p>
    <w:p w14:paraId="40C3271E" w14:textId="77777777" w:rsidR="00D83E95" w:rsidRPr="000B645D" w:rsidRDefault="00E55C71" w:rsidP="00D83E95">
      <w:pPr>
        <w:tabs>
          <w:tab w:val="left" w:pos="720"/>
        </w:tabs>
        <w:ind w:left="1080" w:right="-1"/>
        <w:jc w:val="both"/>
        <w:rPr>
          <w:i/>
          <w:sz w:val="22"/>
          <w:szCs w:val="22"/>
        </w:rPr>
      </w:pPr>
      <w:r w:rsidRPr="000B645D">
        <w:rPr>
          <w:i/>
          <w:sz w:val="22"/>
          <w:szCs w:val="22"/>
        </w:rPr>
        <w:t>How is compliance with the right to adequate housing structured between the nat</w:t>
      </w:r>
      <w:r w:rsidR="00D83E95" w:rsidRPr="000B645D">
        <w:rPr>
          <w:i/>
          <w:sz w:val="22"/>
          <w:szCs w:val="22"/>
        </w:rPr>
        <w:t xml:space="preserve">ional and sub-national levels? </w:t>
      </w:r>
    </w:p>
    <w:p w14:paraId="19C08743" w14:textId="77777777" w:rsidR="00D83E95" w:rsidRPr="000B645D" w:rsidRDefault="00D83E95" w:rsidP="00D83E95">
      <w:pPr>
        <w:tabs>
          <w:tab w:val="left" w:pos="720"/>
        </w:tabs>
        <w:ind w:left="1080" w:right="-1"/>
        <w:jc w:val="both"/>
        <w:rPr>
          <w:sz w:val="22"/>
          <w:szCs w:val="22"/>
        </w:rPr>
      </w:pPr>
    </w:p>
    <w:p w14:paraId="0A11D542" w14:textId="65EF2894" w:rsidR="00D83E95" w:rsidRPr="000B645D" w:rsidRDefault="00A57707" w:rsidP="00D83E95">
      <w:pPr>
        <w:tabs>
          <w:tab w:val="left" w:pos="720"/>
        </w:tabs>
        <w:ind w:left="1080" w:right="-1"/>
        <w:jc w:val="both"/>
        <w:rPr>
          <w:sz w:val="22"/>
          <w:szCs w:val="22"/>
        </w:rPr>
      </w:pPr>
      <w:r w:rsidRPr="000B645D">
        <w:rPr>
          <w:sz w:val="22"/>
          <w:szCs w:val="22"/>
        </w:rPr>
        <w:t xml:space="preserve">The right to adequate housing is not </w:t>
      </w:r>
      <w:r w:rsidR="00400751" w:rsidRPr="000B645D">
        <w:rPr>
          <w:sz w:val="22"/>
          <w:szCs w:val="22"/>
        </w:rPr>
        <w:t xml:space="preserve">expressly </w:t>
      </w:r>
      <w:r w:rsidRPr="000B645D">
        <w:rPr>
          <w:sz w:val="22"/>
          <w:szCs w:val="22"/>
        </w:rPr>
        <w:t xml:space="preserve">adopted in Federal or State law. </w:t>
      </w:r>
      <w:r w:rsidR="00625C17" w:rsidRPr="000B645D">
        <w:rPr>
          <w:sz w:val="22"/>
          <w:szCs w:val="22"/>
        </w:rPr>
        <w:t xml:space="preserve">The NAHA makes no reference to </w:t>
      </w:r>
      <w:r w:rsidR="00D91F47" w:rsidRPr="000B645D">
        <w:rPr>
          <w:sz w:val="22"/>
          <w:szCs w:val="22"/>
        </w:rPr>
        <w:t xml:space="preserve">a right to adequate housing but has instead </w:t>
      </w:r>
      <w:r w:rsidRPr="000B645D">
        <w:rPr>
          <w:sz w:val="22"/>
          <w:szCs w:val="22"/>
        </w:rPr>
        <w:t xml:space="preserve">expresses </w:t>
      </w:r>
      <w:r w:rsidR="00D91F47" w:rsidRPr="000B645D">
        <w:rPr>
          <w:sz w:val="22"/>
          <w:szCs w:val="22"/>
        </w:rPr>
        <w:t>the aspiration that “all Australians have access to affordable, safe and sustainable housing that contributes to social and economic participation.”</w:t>
      </w:r>
      <w:r w:rsidR="00400751" w:rsidRPr="000B645D">
        <w:rPr>
          <w:sz w:val="22"/>
          <w:szCs w:val="22"/>
        </w:rPr>
        <w:t xml:space="preserve"> This aspiration is not litigable.</w:t>
      </w:r>
      <w:r w:rsidRPr="000B645D">
        <w:rPr>
          <w:sz w:val="22"/>
          <w:szCs w:val="22"/>
        </w:rPr>
        <w:t xml:space="preserve"> </w:t>
      </w:r>
      <w:proofErr w:type="gramStart"/>
      <w:r w:rsidRPr="000B645D">
        <w:rPr>
          <w:sz w:val="22"/>
          <w:szCs w:val="22"/>
        </w:rPr>
        <w:t>Outcomes under the NAHA are monitored by the Council of Australian Governments</w:t>
      </w:r>
      <w:proofErr w:type="gramEnd"/>
      <w:r w:rsidRPr="000B645D">
        <w:rPr>
          <w:sz w:val="22"/>
          <w:szCs w:val="22"/>
        </w:rPr>
        <w:t>.</w:t>
      </w:r>
      <w:r w:rsidR="00A676FD" w:rsidRPr="000B645D">
        <w:rPr>
          <w:sz w:val="22"/>
          <w:szCs w:val="22"/>
        </w:rPr>
        <w:t xml:space="preserve"> The Federal Government’s Productivity Commission also reports on the performance of State and Territory social housing programs.</w:t>
      </w:r>
    </w:p>
    <w:p w14:paraId="692EF621" w14:textId="77777777" w:rsidR="00D91F47" w:rsidRPr="000B645D" w:rsidRDefault="00D91F47" w:rsidP="00D83E95">
      <w:pPr>
        <w:tabs>
          <w:tab w:val="left" w:pos="720"/>
        </w:tabs>
        <w:ind w:left="1080" w:right="-1"/>
        <w:jc w:val="both"/>
        <w:rPr>
          <w:sz w:val="22"/>
          <w:szCs w:val="22"/>
        </w:rPr>
      </w:pPr>
    </w:p>
    <w:p w14:paraId="1DD54C7F" w14:textId="77777777" w:rsidR="00400751" w:rsidRPr="000B645D" w:rsidRDefault="00A57707" w:rsidP="00D83E95">
      <w:pPr>
        <w:tabs>
          <w:tab w:val="left" w:pos="720"/>
        </w:tabs>
        <w:ind w:left="1080" w:right="-1"/>
        <w:jc w:val="both"/>
        <w:rPr>
          <w:sz w:val="22"/>
          <w:szCs w:val="22"/>
        </w:rPr>
      </w:pPr>
      <w:r w:rsidRPr="000B645D">
        <w:rPr>
          <w:sz w:val="22"/>
          <w:szCs w:val="22"/>
        </w:rPr>
        <w:t xml:space="preserve">At State level, </w:t>
      </w:r>
      <w:r w:rsidR="00400751" w:rsidRPr="000B645D">
        <w:rPr>
          <w:sz w:val="22"/>
          <w:szCs w:val="22"/>
        </w:rPr>
        <w:t xml:space="preserve">there is no express right to housing in social housing legislation. Decisions by a social housing provider about an individual person’s eligibility for social housing are subject to review by the provider and the NSW Housing Appeals Committee, but the HAC has no legislative basis and makes only recommendation, not binding determinations. </w:t>
      </w:r>
    </w:p>
    <w:p w14:paraId="4A03FA07" w14:textId="77777777" w:rsidR="00400751" w:rsidRPr="000B645D" w:rsidRDefault="00400751" w:rsidP="00D83E95">
      <w:pPr>
        <w:tabs>
          <w:tab w:val="left" w:pos="720"/>
        </w:tabs>
        <w:ind w:left="1080" w:right="-1"/>
        <w:jc w:val="both"/>
        <w:rPr>
          <w:sz w:val="22"/>
          <w:szCs w:val="22"/>
        </w:rPr>
      </w:pPr>
    </w:p>
    <w:p w14:paraId="63C65444" w14:textId="4B75B447" w:rsidR="0073491A" w:rsidRPr="000B645D" w:rsidRDefault="00400751" w:rsidP="00D83E95">
      <w:pPr>
        <w:tabs>
          <w:tab w:val="left" w:pos="720"/>
        </w:tabs>
        <w:ind w:left="1080" w:right="-1"/>
        <w:jc w:val="both"/>
        <w:rPr>
          <w:sz w:val="22"/>
          <w:szCs w:val="22"/>
        </w:rPr>
      </w:pPr>
      <w:r w:rsidRPr="000B645D">
        <w:rPr>
          <w:sz w:val="22"/>
          <w:szCs w:val="22"/>
        </w:rPr>
        <w:t xml:space="preserve">There is no express right to housing in </w:t>
      </w:r>
      <w:proofErr w:type="gramStart"/>
      <w:r w:rsidRPr="000B645D">
        <w:rPr>
          <w:sz w:val="22"/>
          <w:szCs w:val="22"/>
        </w:rPr>
        <w:t>New South Wales</w:t>
      </w:r>
      <w:proofErr w:type="gramEnd"/>
      <w:r w:rsidRPr="000B645D">
        <w:rPr>
          <w:sz w:val="22"/>
          <w:szCs w:val="22"/>
        </w:rPr>
        <w:t xml:space="preserve"> residential tenancies legislation. The Residential Tenancies Act 2010 allows landlords to commence proceedings to terminate tenancies on a number of grounds, and also without grounds. Where a landlord takes proceedings </w:t>
      </w:r>
      <w:r w:rsidR="00A676FD" w:rsidRPr="000B645D">
        <w:rPr>
          <w:sz w:val="22"/>
          <w:szCs w:val="22"/>
        </w:rPr>
        <w:t xml:space="preserve">(in the NSW Civil and Administrative Tribunal) for termination </w:t>
      </w:r>
      <w:r w:rsidRPr="000B645D">
        <w:rPr>
          <w:sz w:val="22"/>
          <w:szCs w:val="22"/>
        </w:rPr>
        <w:t xml:space="preserve">without grounds, </w:t>
      </w:r>
      <w:r w:rsidR="00A676FD" w:rsidRPr="000B645D">
        <w:rPr>
          <w:sz w:val="22"/>
          <w:szCs w:val="22"/>
        </w:rPr>
        <w:t xml:space="preserve">the Tribunal must terminate the tenancy, without regard to the circumstances of the case (with one exception: the Tribunal may refuse to terminate if </w:t>
      </w:r>
      <w:r w:rsidR="005669F6" w:rsidRPr="000B645D">
        <w:rPr>
          <w:sz w:val="22"/>
          <w:szCs w:val="22"/>
        </w:rPr>
        <w:t xml:space="preserve">it is satisfied that </w:t>
      </w:r>
      <w:r w:rsidR="00A676FD" w:rsidRPr="000B645D">
        <w:rPr>
          <w:sz w:val="22"/>
          <w:szCs w:val="22"/>
        </w:rPr>
        <w:t>the proceedings are retaliatory).</w:t>
      </w:r>
    </w:p>
    <w:p w14:paraId="50083604" w14:textId="77777777" w:rsidR="0073491A" w:rsidRPr="000B645D" w:rsidRDefault="0073491A" w:rsidP="00D83E95">
      <w:pPr>
        <w:tabs>
          <w:tab w:val="left" w:pos="720"/>
        </w:tabs>
        <w:ind w:left="1080" w:right="-1"/>
        <w:jc w:val="both"/>
        <w:rPr>
          <w:sz w:val="22"/>
          <w:szCs w:val="22"/>
        </w:rPr>
      </w:pPr>
    </w:p>
    <w:p w14:paraId="4DFF271D" w14:textId="7F390546" w:rsidR="00A57707" w:rsidRPr="000B645D" w:rsidRDefault="0073491A" w:rsidP="00D83E95">
      <w:pPr>
        <w:tabs>
          <w:tab w:val="left" w:pos="720"/>
        </w:tabs>
        <w:ind w:left="1080" w:right="-1"/>
        <w:jc w:val="both"/>
        <w:rPr>
          <w:sz w:val="22"/>
          <w:szCs w:val="22"/>
        </w:rPr>
      </w:pPr>
      <w:r w:rsidRPr="000B645D">
        <w:rPr>
          <w:sz w:val="22"/>
          <w:szCs w:val="22"/>
        </w:rPr>
        <w:t xml:space="preserve">Terminations without grounds are more common in the </w:t>
      </w:r>
      <w:r w:rsidR="007C6E86" w:rsidRPr="000B645D">
        <w:rPr>
          <w:sz w:val="22"/>
          <w:szCs w:val="22"/>
        </w:rPr>
        <w:t xml:space="preserve">private rental system than in social housing, because it is well-established that </w:t>
      </w:r>
      <w:r w:rsidR="00A676FD" w:rsidRPr="000B645D">
        <w:rPr>
          <w:sz w:val="22"/>
          <w:szCs w:val="22"/>
        </w:rPr>
        <w:t xml:space="preserve">a decision </w:t>
      </w:r>
      <w:r w:rsidR="007C6E86" w:rsidRPr="000B645D">
        <w:rPr>
          <w:sz w:val="22"/>
          <w:szCs w:val="22"/>
        </w:rPr>
        <w:t xml:space="preserve">by the State social housing provider, NSW Land and Housing Corporation, </w:t>
      </w:r>
      <w:r w:rsidR="00A676FD" w:rsidRPr="000B645D">
        <w:rPr>
          <w:sz w:val="22"/>
          <w:szCs w:val="22"/>
        </w:rPr>
        <w:t>to commence termination proceedings</w:t>
      </w:r>
      <w:r w:rsidR="007C6E86" w:rsidRPr="000B645D">
        <w:rPr>
          <w:sz w:val="22"/>
          <w:szCs w:val="22"/>
        </w:rPr>
        <w:t xml:space="preserve"> is subject to administrative law principles of procedural fairness, which require that the tenant be informed as to the reason for the decision.</w:t>
      </w:r>
      <w:r w:rsidR="005669F6" w:rsidRPr="000B645D">
        <w:rPr>
          <w:sz w:val="22"/>
          <w:szCs w:val="22"/>
        </w:rPr>
        <w:t xml:space="preserve"> The NSW Land and Housing Corporation, therefore, almost</w:t>
      </w:r>
      <w:r w:rsidR="007C6E86" w:rsidRPr="000B645D">
        <w:rPr>
          <w:sz w:val="22"/>
          <w:szCs w:val="22"/>
        </w:rPr>
        <w:t xml:space="preserve"> </w:t>
      </w:r>
      <w:r w:rsidR="005669F6" w:rsidRPr="000B645D">
        <w:rPr>
          <w:sz w:val="22"/>
          <w:szCs w:val="22"/>
        </w:rPr>
        <w:t xml:space="preserve">always takes termination proceedings with grounds (for example, non-payment of rent). </w:t>
      </w:r>
      <w:r w:rsidR="007C6E86" w:rsidRPr="000B645D">
        <w:rPr>
          <w:sz w:val="22"/>
          <w:szCs w:val="22"/>
        </w:rPr>
        <w:t xml:space="preserve">Decisions of the NSW Land and Housing Corporation are </w:t>
      </w:r>
      <w:r w:rsidR="00A676FD" w:rsidRPr="000B645D">
        <w:rPr>
          <w:sz w:val="22"/>
          <w:szCs w:val="22"/>
        </w:rPr>
        <w:t xml:space="preserve">subject to judicial review by the NSW Supreme Court, according to the administrative law principles, but this rarely happens. These principles do not apply to private tenancies, </w:t>
      </w:r>
      <w:r w:rsidR="007C6E86" w:rsidRPr="000B645D">
        <w:rPr>
          <w:sz w:val="22"/>
          <w:szCs w:val="22"/>
        </w:rPr>
        <w:t>and their application to community housing providers (non-government organisations funded by the State Government to provide social housing) is unclear</w:t>
      </w:r>
      <w:r w:rsidR="00A676FD" w:rsidRPr="000B645D">
        <w:rPr>
          <w:sz w:val="22"/>
          <w:szCs w:val="22"/>
        </w:rPr>
        <w:t>.</w:t>
      </w:r>
      <w:r w:rsidR="005669F6" w:rsidRPr="000B645D">
        <w:rPr>
          <w:sz w:val="22"/>
          <w:szCs w:val="22"/>
        </w:rPr>
        <w:t xml:space="preserve"> The use by community housing providers of termination proceedings without grounds appears to be increasing.</w:t>
      </w:r>
      <w:r w:rsidR="00A676FD" w:rsidRPr="000B645D">
        <w:rPr>
          <w:sz w:val="22"/>
          <w:szCs w:val="22"/>
        </w:rPr>
        <w:t xml:space="preserve"> </w:t>
      </w:r>
    </w:p>
    <w:p w14:paraId="63514E88" w14:textId="77777777" w:rsidR="007C6E86" w:rsidRPr="000B645D" w:rsidRDefault="007C6E86" w:rsidP="00D83E95">
      <w:pPr>
        <w:tabs>
          <w:tab w:val="left" w:pos="720"/>
        </w:tabs>
        <w:ind w:left="1080" w:right="-1"/>
        <w:jc w:val="both"/>
        <w:rPr>
          <w:sz w:val="22"/>
          <w:szCs w:val="22"/>
        </w:rPr>
      </w:pPr>
    </w:p>
    <w:p w14:paraId="413EA673" w14:textId="31D3C542" w:rsidR="007C6E86" w:rsidRPr="000B645D" w:rsidRDefault="007C6E86" w:rsidP="00D83E95">
      <w:pPr>
        <w:tabs>
          <w:tab w:val="left" w:pos="720"/>
        </w:tabs>
        <w:ind w:left="1080" w:right="-1"/>
        <w:jc w:val="both"/>
        <w:rPr>
          <w:sz w:val="22"/>
          <w:szCs w:val="22"/>
        </w:rPr>
      </w:pPr>
      <w:r w:rsidRPr="000B645D">
        <w:rPr>
          <w:sz w:val="22"/>
          <w:szCs w:val="22"/>
        </w:rPr>
        <w:t>The NSW State Government has recently indicated that it is considering amending the Residential Tenancies Act to remove the discretion of the Tribunal in proceedings to terminate social housing tenancies on the ground that the premises have been used for an illegal purpose (for example, the tenant or a household member has committed drug offences).</w:t>
      </w:r>
      <w:r w:rsidR="005669F6" w:rsidRPr="000B645D">
        <w:rPr>
          <w:sz w:val="22"/>
          <w:szCs w:val="22"/>
        </w:rPr>
        <w:t xml:space="preserve"> This would mean, amongst other things, that </w:t>
      </w:r>
      <w:r w:rsidR="00C211B1" w:rsidRPr="000B645D">
        <w:rPr>
          <w:sz w:val="22"/>
          <w:szCs w:val="22"/>
        </w:rPr>
        <w:t xml:space="preserve">the Tribunal could have no regard for circumstances such as the nature and seriousness of the offence, and whether any other innocent household members (which may include the tenant) would lose their housing. </w:t>
      </w:r>
    </w:p>
    <w:p w14:paraId="5F5EAC26" w14:textId="77777777" w:rsidR="00A57707" w:rsidRPr="000B645D" w:rsidRDefault="00A57707" w:rsidP="00D83E95">
      <w:pPr>
        <w:tabs>
          <w:tab w:val="left" w:pos="720"/>
        </w:tabs>
        <w:ind w:left="1080" w:right="-1"/>
        <w:jc w:val="both"/>
        <w:rPr>
          <w:sz w:val="22"/>
          <w:szCs w:val="22"/>
        </w:rPr>
      </w:pPr>
    </w:p>
    <w:p w14:paraId="6790FF94" w14:textId="77777777" w:rsidR="00D83E95" w:rsidRPr="000B645D" w:rsidRDefault="00E55C71" w:rsidP="00D83E95">
      <w:pPr>
        <w:tabs>
          <w:tab w:val="left" w:pos="720"/>
        </w:tabs>
        <w:ind w:left="1080" w:right="-1"/>
        <w:jc w:val="both"/>
        <w:rPr>
          <w:i/>
          <w:sz w:val="22"/>
          <w:szCs w:val="22"/>
        </w:rPr>
      </w:pPr>
      <w:r w:rsidRPr="000B645D">
        <w:rPr>
          <w:i/>
          <w:sz w:val="22"/>
          <w:szCs w:val="22"/>
        </w:rPr>
        <w:t xml:space="preserve">If possible please kindly provide concrete examples of how these roles and compliance mechanisms are operationalized. </w:t>
      </w:r>
    </w:p>
    <w:p w14:paraId="40A9BCF6" w14:textId="77777777" w:rsidR="00625C17" w:rsidRPr="000B645D" w:rsidRDefault="00625C17" w:rsidP="00D83E95">
      <w:pPr>
        <w:tabs>
          <w:tab w:val="left" w:pos="720"/>
        </w:tabs>
        <w:ind w:left="1080" w:right="-1"/>
        <w:jc w:val="both"/>
        <w:rPr>
          <w:sz w:val="22"/>
          <w:szCs w:val="22"/>
        </w:rPr>
      </w:pPr>
    </w:p>
    <w:p w14:paraId="4AC30E4C" w14:textId="77777777" w:rsidR="00625C17" w:rsidRPr="000B645D" w:rsidRDefault="00625C17" w:rsidP="00D83E95">
      <w:pPr>
        <w:tabs>
          <w:tab w:val="left" w:pos="720"/>
        </w:tabs>
        <w:ind w:left="1080" w:right="-1"/>
        <w:jc w:val="both"/>
        <w:rPr>
          <w:sz w:val="22"/>
          <w:szCs w:val="22"/>
        </w:rPr>
      </w:pPr>
    </w:p>
    <w:p w14:paraId="380846C9" w14:textId="77777777" w:rsidR="00E55C71" w:rsidRPr="000B645D" w:rsidRDefault="00E55C71" w:rsidP="00E55C71">
      <w:pPr>
        <w:tabs>
          <w:tab w:val="left" w:pos="720"/>
        </w:tabs>
        <w:ind w:left="720" w:right="-1"/>
        <w:jc w:val="both"/>
        <w:rPr>
          <w:sz w:val="22"/>
          <w:szCs w:val="22"/>
        </w:rPr>
      </w:pPr>
    </w:p>
    <w:p w14:paraId="30906A4E" w14:textId="77777777" w:rsidR="00D91F47" w:rsidRPr="000B645D" w:rsidRDefault="00E55C71" w:rsidP="00D91F47">
      <w:pPr>
        <w:numPr>
          <w:ilvl w:val="0"/>
          <w:numId w:val="3"/>
        </w:numPr>
        <w:tabs>
          <w:tab w:val="left" w:pos="720"/>
        </w:tabs>
        <w:ind w:right="-1"/>
        <w:jc w:val="both"/>
        <w:rPr>
          <w:i/>
          <w:sz w:val="22"/>
          <w:szCs w:val="22"/>
        </w:rPr>
      </w:pPr>
      <w:r w:rsidRPr="000B645D">
        <w:rPr>
          <w:i/>
          <w:sz w:val="22"/>
          <w:szCs w:val="22"/>
        </w:rPr>
        <w:t>Where sub-national governments hold key responsibilities in relation to the right to adequate housing, please describe how programs and policies are co-ordinated nationally and what responsibilities remain wi</w:t>
      </w:r>
      <w:r w:rsidR="00D91F47" w:rsidRPr="000B645D">
        <w:rPr>
          <w:i/>
          <w:sz w:val="22"/>
          <w:szCs w:val="22"/>
        </w:rPr>
        <w:t>th national level institutions.</w:t>
      </w:r>
    </w:p>
    <w:p w14:paraId="2F4B11A5" w14:textId="77777777" w:rsidR="00D91F47" w:rsidRPr="000B645D" w:rsidRDefault="00D91F47" w:rsidP="00D91F47">
      <w:pPr>
        <w:tabs>
          <w:tab w:val="left" w:pos="720"/>
        </w:tabs>
        <w:ind w:left="1080" w:right="-1"/>
        <w:jc w:val="both"/>
        <w:rPr>
          <w:sz w:val="22"/>
          <w:szCs w:val="22"/>
        </w:rPr>
      </w:pPr>
    </w:p>
    <w:p w14:paraId="09F93518" w14:textId="77777777" w:rsidR="00A676FD" w:rsidRPr="000B645D" w:rsidRDefault="00A676FD" w:rsidP="00A676FD">
      <w:pPr>
        <w:tabs>
          <w:tab w:val="left" w:pos="720"/>
        </w:tabs>
        <w:ind w:left="1080" w:right="-1"/>
        <w:jc w:val="both"/>
        <w:rPr>
          <w:sz w:val="22"/>
          <w:szCs w:val="22"/>
        </w:rPr>
      </w:pPr>
      <w:proofErr w:type="gramStart"/>
      <w:r w:rsidRPr="000B645D">
        <w:rPr>
          <w:sz w:val="22"/>
          <w:szCs w:val="22"/>
        </w:rPr>
        <w:t>Outcomes under the NAHA are monitored by the Council of Australian Governments</w:t>
      </w:r>
      <w:proofErr w:type="gramEnd"/>
      <w:r w:rsidRPr="000B645D">
        <w:rPr>
          <w:sz w:val="22"/>
          <w:szCs w:val="22"/>
        </w:rPr>
        <w:t>. The Federal Government’s Productivity Commission also reports on the performance of State and Territory social housing programs.</w:t>
      </w:r>
    </w:p>
    <w:p w14:paraId="387AD8AC" w14:textId="77777777" w:rsidR="00A676FD" w:rsidRPr="000B645D" w:rsidRDefault="00A676FD" w:rsidP="00A676FD">
      <w:pPr>
        <w:tabs>
          <w:tab w:val="left" w:pos="720"/>
        </w:tabs>
        <w:ind w:left="1080" w:right="-1"/>
        <w:jc w:val="both"/>
        <w:rPr>
          <w:sz w:val="22"/>
          <w:szCs w:val="22"/>
        </w:rPr>
      </w:pPr>
    </w:p>
    <w:p w14:paraId="4E3B456F" w14:textId="77777777" w:rsidR="00D66345" w:rsidRPr="000B645D" w:rsidRDefault="00D66345" w:rsidP="00A676FD">
      <w:pPr>
        <w:tabs>
          <w:tab w:val="left" w:pos="720"/>
        </w:tabs>
        <w:ind w:left="1080" w:right="-1"/>
        <w:jc w:val="both"/>
        <w:rPr>
          <w:sz w:val="22"/>
          <w:szCs w:val="22"/>
        </w:rPr>
      </w:pPr>
      <w:r w:rsidRPr="000B645D">
        <w:rPr>
          <w:sz w:val="22"/>
          <w:szCs w:val="22"/>
        </w:rPr>
        <w:t>The National Regulatory System for Community Housing co-ordinates the State-based regimes for community housing.</w:t>
      </w:r>
      <w:r w:rsidR="00A676FD" w:rsidRPr="000B645D">
        <w:rPr>
          <w:sz w:val="22"/>
          <w:szCs w:val="22"/>
        </w:rPr>
        <w:t xml:space="preserve"> </w:t>
      </w:r>
    </w:p>
    <w:p w14:paraId="0179F59A" w14:textId="77777777" w:rsidR="00D66345" w:rsidRPr="000B645D" w:rsidRDefault="00D66345" w:rsidP="00A676FD">
      <w:pPr>
        <w:tabs>
          <w:tab w:val="left" w:pos="720"/>
        </w:tabs>
        <w:ind w:left="1080" w:right="-1"/>
        <w:jc w:val="both"/>
        <w:rPr>
          <w:sz w:val="22"/>
          <w:szCs w:val="22"/>
        </w:rPr>
      </w:pPr>
    </w:p>
    <w:p w14:paraId="6DF0C294" w14:textId="4D72462F" w:rsidR="00D91F47" w:rsidRPr="000B645D" w:rsidRDefault="00D66345" w:rsidP="00A676FD">
      <w:pPr>
        <w:tabs>
          <w:tab w:val="left" w:pos="720"/>
        </w:tabs>
        <w:ind w:left="1080" w:right="-1"/>
        <w:jc w:val="both"/>
        <w:rPr>
          <w:sz w:val="22"/>
          <w:szCs w:val="22"/>
        </w:rPr>
      </w:pPr>
      <w:r w:rsidRPr="000B645D">
        <w:rPr>
          <w:sz w:val="22"/>
          <w:szCs w:val="22"/>
        </w:rPr>
        <w:t xml:space="preserve">There is little co-ordination of residential tenancies legislation. Each </w:t>
      </w:r>
      <w:proofErr w:type="gramStart"/>
      <w:r w:rsidRPr="000B645D">
        <w:rPr>
          <w:sz w:val="22"/>
          <w:szCs w:val="22"/>
        </w:rPr>
        <w:t>State’s</w:t>
      </w:r>
      <w:proofErr w:type="gramEnd"/>
      <w:r w:rsidRPr="000B645D">
        <w:rPr>
          <w:sz w:val="22"/>
          <w:szCs w:val="22"/>
        </w:rPr>
        <w:t xml:space="preserve"> and Territory’s legislation is roughly on the model recommended by the Federal Inquiry into Poverty in the early 1970s, but there are many differences in details between the jurisdictions. </w:t>
      </w:r>
      <w:r w:rsidR="006259D7" w:rsidRPr="000B645D">
        <w:rPr>
          <w:sz w:val="22"/>
          <w:szCs w:val="22"/>
        </w:rPr>
        <w:t>Each State and Territory periodically reviews and amends its laws, but mostly without regard to national best practice or consistency.</w:t>
      </w:r>
      <w:r w:rsidRPr="000B645D">
        <w:rPr>
          <w:sz w:val="22"/>
          <w:szCs w:val="22"/>
        </w:rPr>
        <w:t xml:space="preserve"> </w:t>
      </w:r>
    </w:p>
    <w:p w14:paraId="48658739" w14:textId="77777777" w:rsidR="00E55C71" w:rsidRPr="000B645D" w:rsidRDefault="00E55C71" w:rsidP="00E55C71">
      <w:pPr>
        <w:tabs>
          <w:tab w:val="left" w:pos="720"/>
        </w:tabs>
        <w:ind w:right="-1"/>
        <w:jc w:val="both"/>
        <w:rPr>
          <w:sz w:val="22"/>
          <w:szCs w:val="22"/>
        </w:rPr>
      </w:pPr>
    </w:p>
    <w:p w14:paraId="7A017F6D" w14:textId="77777777" w:rsidR="00E55C71" w:rsidRPr="000B645D" w:rsidRDefault="00E55C71" w:rsidP="00E55C71">
      <w:pPr>
        <w:numPr>
          <w:ilvl w:val="0"/>
          <w:numId w:val="4"/>
        </w:numPr>
        <w:tabs>
          <w:tab w:val="left" w:pos="720"/>
        </w:tabs>
        <w:ind w:right="-1"/>
        <w:jc w:val="both"/>
        <w:rPr>
          <w:i/>
          <w:sz w:val="22"/>
          <w:szCs w:val="22"/>
        </w:rPr>
      </w:pPr>
      <w:r w:rsidRPr="000B645D">
        <w:rPr>
          <w:i/>
          <w:sz w:val="22"/>
          <w:szCs w:val="22"/>
        </w:rPr>
        <w:t xml:space="preserve">Where </w:t>
      </w:r>
      <w:proofErr w:type="gramStart"/>
      <w:r w:rsidRPr="000B645D">
        <w:rPr>
          <w:i/>
          <w:sz w:val="22"/>
          <w:szCs w:val="22"/>
        </w:rPr>
        <w:t>housing and related programs are administered by sub-national level governments, by whom</w:t>
      </w:r>
      <w:proofErr w:type="gramEnd"/>
      <w:r w:rsidRPr="000B645D">
        <w:rPr>
          <w:i/>
          <w:sz w:val="22"/>
          <w:szCs w:val="22"/>
        </w:rPr>
        <w:t xml:space="preserve"> and how are these programs funded? Are conditions attached to the funding which seek to ensure the resources are spent in a way that protects the right to adequate </w:t>
      </w:r>
      <w:r w:rsidRPr="000B645D">
        <w:rPr>
          <w:i/>
          <w:sz w:val="24"/>
          <w:szCs w:val="24"/>
        </w:rPr>
        <w:t>housing</w:t>
      </w:r>
      <w:r w:rsidRPr="000B645D">
        <w:rPr>
          <w:rStyle w:val="CommentReference"/>
          <w:i/>
          <w:sz w:val="24"/>
          <w:szCs w:val="24"/>
        </w:rPr>
        <w:t>? How i</w:t>
      </w:r>
      <w:r w:rsidRPr="000B645D">
        <w:rPr>
          <w:i/>
          <w:sz w:val="22"/>
          <w:szCs w:val="22"/>
        </w:rPr>
        <w:t>s this monitored?</w:t>
      </w:r>
    </w:p>
    <w:p w14:paraId="2682841E" w14:textId="77777777" w:rsidR="00D91F47" w:rsidRPr="000B645D" w:rsidRDefault="00D91F47" w:rsidP="00D91F47">
      <w:pPr>
        <w:tabs>
          <w:tab w:val="left" w:pos="720"/>
        </w:tabs>
        <w:ind w:left="1080" w:right="-1"/>
        <w:jc w:val="both"/>
        <w:rPr>
          <w:sz w:val="22"/>
          <w:szCs w:val="22"/>
        </w:rPr>
      </w:pPr>
    </w:p>
    <w:p w14:paraId="78132EC3" w14:textId="33FB5ED4" w:rsidR="00D91F47" w:rsidRPr="000B645D" w:rsidRDefault="00D66345" w:rsidP="00D66345">
      <w:pPr>
        <w:tabs>
          <w:tab w:val="left" w:pos="720"/>
        </w:tabs>
        <w:ind w:left="1080" w:right="-1"/>
        <w:jc w:val="both"/>
        <w:rPr>
          <w:sz w:val="22"/>
          <w:szCs w:val="22"/>
        </w:rPr>
      </w:pPr>
      <w:r w:rsidRPr="000B645D">
        <w:rPr>
          <w:sz w:val="22"/>
          <w:szCs w:val="22"/>
        </w:rPr>
        <w:t xml:space="preserve">The Federal and State and Territory Governments jointly fund the housing programs administered by the State and Territory Governments under the NAHA. </w:t>
      </w:r>
      <w:proofErr w:type="gramStart"/>
      <w:r w:rsidRPr="000B645D">
        <w:rPr>
          <w:sz w:val="22"/>
          <w:szCs w:val="22"/>
        </w:rPr>
        <w:t>Outcomes under the NAHA are monitored by the Council of Australian Governments</w:t>
      </w:r>
      <w:proofErr w:type="gramEnd"/>
      <w:r w:rsidRPr="000B645D">
        <w:rPr>
          <w:sz w:val="22"/>
          <w:szCs w:val="22"/>
        </w:rPr>
        <w:t>. The Federal Government’s Productivity Commission also reports on the performance of State and Territory social housing programs</w:t>
      </w:r>
      <w:proofErr w:type="gramStart"/>
      <w:r w:rsidRPr="000B645D">
        <w:rPr>
          <w:sz w:val="22"/>
          <w:szCs w:val="22"/>
        </w:rPr>
        <w:t>.</w:t>
      </w:r>
      <w:r w:rsidR="00D91F47" w:rsidRPr="000B645D">
        <w:rPr>
          <w:sz w:val="22"/>
          <w:szCs w:val="22"/>
        </w:rPr>
        <w:t>.</w:t>
      </w:r>
      <w:proofErr w:type="gramEnd"/>
    </w:p>
    <w:p w14:paraId="12F5F411" w14:textId="77777777" w:rsidR="00E55C71" w:rsidRPr="000B645D" w:rsidRDefault="00E55C71" w:rsidP="00E55C71">
      <w:pPr>
        <w:tabs>
          <w:tab w:val="left" w:pos="720"/>
        </w:tabs>
        <w:ind w:right="-1"/>
        <w:jc w:val="both"/>
        <w:rPr>
          <w:sz w:val="22"/>
          <w:szCs w:val="22"/>
        </w:rPr>
      </w:pPr>
    </w:p>
    <w:p w14:paraId="00A0E228" w14:textId="77777777" w:rsidR="00E55C71" w:rsidRPr="000B645D" w:rsidRDefault="00E55C71" w:rsidP="00E55C71">
      <w:pPr>
        <w:tabs>
          <w:tab w:val="left" w:pos="720"/>
        </w:tabs>
        <w:ind w:right="-1"/>
        <w:jc w:val="both"/>
        <w:rPr>
          <w:sz w:val="22"/>
          <w:szCs w:val="22"/>
        </w:rPr>
      </w:pPr>
    </w:p>
    <w:p w14:paraId="3710D1ED" w14:textId="77777777" w:rsidR="00E55C71" w:rsidRPr="000B645D" w:rsidRDefault="00E55C71" w:rsidP="00E55C71">
      <w:pPr>
        <w:tabs>
          <w:tab w:val="left" w:pos="720"/>
        </w:tabs>
        <w:ind w:right="-1"/>
        <w:jc w:val="both"/>
        <w:rPr>
          <w:b/>
          <w:sz w:val="22"/>
          <w:szCs w:val="22"/>
        </w:rPr>
      </w:pPr>
      <w:r w:rsidRPr="000B645D">
        <w:rPr>
          <w:sz w:val="22"/>
          <w:szCs w:val="22"/>
        </w:rPr>
        <w:t xml:space="preserve"> </w:t>
      </w:r>
      <w:r w:rsidRPr="000B645D">
        <w:rPr>
          <w:b/>
          <w:sz w:val="22"/>
          <w:szCs w:val="22"/>
        </w:rPr>
        <w:t>B.</w:t>
      </w:r>
      <w:r w:rsidRPr="000B645D">
        <w:rPr>
          <w:b/>
          <w:sz w:val="22"/>
          <w:szCs w:val="22"/>
        </w:rPr>
        <w:tab/>
        <w:t>Accountability of Sub-National Governments</w:t>
      </w:r>
    </w:p>
    <w:p w14:paraId="1B52502F" w14:textId="77777777" w:rsidR="00E55C71" w:rsidRPr="000B645D" w:rsidRDefault="00E55C71" w:rsidP="00E55C71">
      <w:pPr>
        <w:tabs>
          <w:tab w:val="left" w:pos="720"/>
        </w:tabs>
        <w:ind w:right="-1"/>
        <w:jc w:val="both"/>
        <w:rPr>
          <w:sz w:val="22"/>
          <w:szCs w:val="22"/>
        </w:rPr>
      </w:pPr>
    </w:p>
    <w:p w14:paraId="3FDAED45" w14:textId="77777777" w:rsidR="00E55C71" w:rsidRPr="000B645D" w:rsidRDefault="00E55C71" w:rsidP="00E55C71">
      <w:pPr>
        <w:tabs>
          <w:tab w:val="left" w:pos="720"/>
        </w:tabs>
        <w:ind w:left="720" w:right="-1"/>
        <w:jc w:val="both"/>
        <w:rPr>
          <w:i/>
          <w:sz w:val="22"/>
          <w:szCs w:val="22"/>
        </w:rPr>
      </w:pPr>
      <w:r w:rsidRPr="000B645D">
        <w:rPr>
          <w:i/>
          <w:sz w:val="22"/>
          <w:szCs w:val="22"/>
        </w:rPr>
        <w:t>1.</w:t>
      </w:r>
      <w:r w:rsidRPr="000B645D">
        <w:rPr>
          <w:i/>
          <w:sz w:val="22"/>
          <w:szCs w:val="22"/>
        </w:rPr>
        <w:tab/>
        <w:t xml:space="preserve">Are sub-national governments legally accountable to the right to adequate housing on the basis of any of the following? </w:t>
      </w:r>
    </w:p>
    <w:p w14:paraId="4CCD53DF" w14:textId="77777777" w:rsidR="00E55C71" w:rsidRPr="000B645D" w:rsidRDefault="00E55C71" w:rsidP="00E55C71">
      <w:pPr>
        <w:tabs>
          <w:tab w:val="left" w:pos="720"/>
        </w:tabs>
        <w:ind w:left="720" w:right="-1"/>
        <w:jc w:val="both"/>
        <w:rPr>
          <w:sz w:val="22"/>
          <w:szCs w:val="22"/>
        </w:rPr>
      </w:pPr>
      <w:r w:rsidRPr="000B645D">
        <w:rPr>
          <w:sz w:val="22"/>
          <w:szCs w:val="22"/>
        </w:rPr>
        <w:tab/>
      </w:r>
    </w:p>
    <w:p w14:paraId="7C1769C0" w14:textId="77777777" w:rsidR="00E55C71" w:rsidRPr="000B645D" w:rsidRDefault="00E55C71" w:rsidP="00E55C71">
      <w:pPr>
        <w:tabs>
          <w:tab w:val="left" w:pos="720"/>
        </w:tabs>
        <w:ind w:left="720" w:right="-1"/>
        <w:jc w:val="both"/>
        <w:rPr>
          <w:sz w:val="22"/>
          <w:szCs w:val="22"/>
        </w:rPr>
      </w:pPr>
      <w:proofErr w:type="gramStart"/>
      <w:r w:rsidRPr="000B645D">
        <w:rPr>
          <w:sz w:val="22"/>
          <w:szCs w:val="22"/>
        </w:rPr>
        <w:t></w:t>
      </w:r>
      <w:r w:rsidRPr="000B645D">
        <w:rPr>
          <w:sz w:val="22"/>
          <w:szCs w:val="22"/>
        </w:rPr>
        <w:tab/>
        <w:t>International human rights law?</w:t>
      </w:r>
      <w:proofErr w:type="gramEnd"/>
      <w:r w:rsidRPr="000B645D">
        <w:rPr>
          <w:sz w:val="22"/>
          <w:szCs w:val="22"/>
        </w:rPr>
        <w:t xml:space="preserve"> (</w:t>
      </w:r>
      <w:r w:rsidRPr="000B645D">
        <w:rPr>
          <w:strike/>
          <w:sz w:val="22"/>
          <w:szCs w:val="22"/>
        </w:rPr>
        <w:t>Yes</w:t>
      </w:r>
      <w:r w:rsidRPr="000B645D">
        <w:rPr>
          <w:sz w:val="22"/>
          <w:szCs w:val="22"/>
        </w:rPr>
        <w:t xml:space="preserve">/No) </w:t>
      </w:r>
    </w:p>
    <w:p w14:paraId="2940DF7D" w14:textId="77777777" w:rsidR="00E55C71" w:rsidRPr="000B645D" w:rsidRDefault="00E55C71" w:rsidP="00E55C71">
      <w:pPr>
        <w:tabs>
          <w:tab w:val="left" w:pos="720"/>
        </w:tabs>
        <w:ind w:left="720" w:right="-1"/>
        <w:jc w:val="both"/>
        <w:rPr>
          <w:sz w:val="22"/>
          <w:szCs w:val="22"/>
        </w:rPr>
      </w:pPr>
    </w:p>
    <w:p w14:paraId="38CA9840" w14:textId="77777777" w:rsidR="00E55C71" w:rsidRPr="000B645D" w:rsidRDefault="00E55C71" w:rsidP="00E55C71">
      <w:pPr>
        <w:tabs>
          <w:tab w:val="left" w:pos="720"/>
        </w:tabs>
        <w:ind w:left="720" w:right="-1"/>
        <w:jc w:val="both"/>
        <w:rPr>
          <w:sz w:val="22"/>
          <w:szCs w:val="22"/>
        </w:rPr>
      </w:pPr>
      <w:r w:rsidRPr="000B645D">
        <w:rPr>
          <w:sz w:val="22"/>
          <w:szCs w:val="22"/>
        </w:rPr>
        <w:t></w:t>
      </w:r>
      <w:r w:rsidRPr="000B645D">
        <w:rPr>
          <w:sz w:val="22"/>
          <w:szCs w:val="22"/>
        </w:rPr>
        <w:tab/>
        <w:t>Constitution/National Bill of Rights (</w:t>
      </w:r>
      <w:r w:rsidRPr="000B645D">
        <w:rPr>
          <w:strike/>
          <w:sz w:val="22"/>
          <w:szCs w:val="22"/>
        </w:rPr>
        <w:t>Yes</w:t>
      </w:r>
      <w:r w:rsidRPr="000B645D">
        <w:rPr>
          <w:sz w:val="22"/>
          <w:szCs w:val="22"/>
        </w:rPr>
        <w:t xml:space="preserve">/No) </w:t>
      </w:r>
    </w:p>
    <w:p w14:paraId="4F3FA0EC" w14:textId="77777777" w:rsidR="00E55C71" w:rsidRPr="000B645D" w:rsidRDefault="00E55C71" w:rsidP="00E55C71">
      <w:pPr>
        <w:tabs>
          <w:tab w:val="left" w:pos="720"/>
        </w:tabs>
        <w:ind w:left="720" w:right="-1"/>
        <w:jc w:val="both"/>
        <w:rPr>
          <w:sz w:val="22"/>
          <w:szCs w:val="22"/>
        </w:rPr>
      </w:pPr>
    </w:p>
    <w:p w14:paraId="570D571F" w14:textId="77777777" w:rsidR="00E55C71" w:rsidRPr="000B645D" w:rsidRDefault="00E55C71" w:rsidP="00E55C71">
      <w:pPr>
        <w:tabs>
          <w:tab w:val="left" w:pos="720"/>
        </w:tabs>
        <w:ind w:left="720" w:right="-1"/>
        <w:jc w:val="both"/>
        <w:rPr>
          <w:sz w:val="22"/>
          <w:szCs w:val="22"/>
        </w:rPr>
      </w:pPr>
      <w:r w:rsidRPr="000B645D">
        <w:rPr>
          <w:sz w:val="22"/>
          <w:szCs w:val="22"/>
        </w:rPr>
        <w:t></w:t>
      </w:r>
      <w:r w:rsidRPr="000B645D">
        <w:rPr>
          <w:sz w:val="22"/>
          <w:szCs w:val="22"/>
        </w:rPr>
        <w:tab/>
        <w:t xml:space="preserve"> National or sub-national legislation (</w:t>
      </w:r>
      <w:r w:rsidRPr="000B645D">
        <w:rPr>
          <w:strike/>
          <w:sz w:val="22"/>
          <w:szCs w:val="22"/>
        </w:rPr>
        <w:t>Yes</w:t>
      </w:r>
      <w:r w:rsidRPr="000B645D">
        <w:rPr>
          <w:sz w:val="22"/>
          <w:szCs w:val="22"/>
        </w:rPr>
        <w:t xml:space="preserve">/No) </w:t>
      </w:r>
    </w:p>
    <w:p w14:paraId="35D434DA" w14:textId="77777777" w:rsidR="00E55C71" w:rsidRPr="000B645D" w:rsidRDefault="00E55C71" w:rsidP="00E55C71">
      <w:pPr>
        <w:tabs>
          <w:tab w:val="left" w:pos="720"/>
        </w:tabs>
        <w:ind w:left="720" w:right="-1"/>
        <w:jc w:val="both"/>
        <w:rPr>
          <w:sz w:val="22"/>
          <w:szCs w:val="22"/>
        </w:rPr>
      </w:pPr>
    </w:p>
    <w:p w14:paraId="28FC5AF3" w14:textId="77777777" w:rsidR="00E55C71" w:rsidRPr="000B645D" w:rsidRDefault="00E55C71" w:rsidP="00E55C71">
      <w:pPr>
        <w:tabs>
          <w:tab w:val="left" w:pos="720"/>
        </w:tabs>
        <w:ind w:left="720" w:right="-1"/>
        <w:jc w:val="both"/>
        <w:rPr>
          <w:sz w:val="22"/>
          <w:szCs w:val="22"/>
        </w:rPr>
      </w:pPr>
      <w:r w:rsidRPr="000B645D">
        <w:rPr>
          <w:sz w:val="22"/>
          <w:szCs w:val="22"/>
        </w:rPr>
        <w:t></w:t>
      </w:r>
      <w:r w:rsidRPr="000B645D">
        <w:rPr>
          <w:sz w:val="22"/>
          <w:szCs w:val="22"/>
        </w:rPr>
        <w:tab/>
        <w:t>State level or municipal level Bills of Rights/Charters (</w:t>
      </w:r>
      <w:r w:rsidRPr="000B645D">
        <w:rPr>
          <w:strike/>
          <w:sz w:val="22"/>
          <w:szCs w:val="22"/>
        </w:rPr>
        <w:t>Yes</w:t>
      </w:r>
      <w:r w:rsidRPr="000B645D">
        <w:rPr>
          <w:sz w:val="22"/>
          <w:szCs w:val="22"/>
        </w:rPr>
        <w:t xml:space="preserve">/No) </w:t>
      </w:r>
    </w:p>
    <w:p w14:paraId="7439E840" w14:textId="77777777" w:rsidR="00E55C71" w:rsidRPr="000B645D" w:rsidRDefault="00E55C71" w:rsidP="00E55C71">
      <w:pPr>
        <w:tabs>
          <w:tab w:val="left" w:pos="720"/>
        </w:tabs>
        <w:ind w:left="720" w:right="-1"/>
        <w:jc w:val="both"/>
        <w:rPr>
          <w:sz w:val="22"/>
          <w:szCs w:val="22"/>
        </w:rPr>
      </w:pPr>
    </w:p>
    <w:p w14:paraId="6C8FE67E" w14:textId="77777777" w:rsidR="00E55C71" w:rsidRPr="000B645D" w:rsidRDefault="00E55C71" w:rsidP="00E55C71">
      <w:pPr>
        <w:tabs>
          <w:tab w:val="left" w:pos="720"/>
        </w:tabs>
        <w:ind w:left="720" w:right="-1"/>
        <w:jc w:val="both"/>
        <w:rPr>
          <w:sz w:val="22"/>
          <w:szCs w:val="22"/>
        </w:rPr>
      </w:pPr>
      <w:r w:rsidRPr="000B645D">
        <w:rPr>
          <w:sz w:val="22"/>
          <w:szCs w:val="22"/>
        </w:rPr>
        <w:t></w:t>
      </w:r>
      <w:r w:rsidRPr="000B645D">
        <w:rPr>
          <w:sz w:val="22"/>
          <w:szCs w:val="22"/>
        </w:rPr>
        <w:tab/>
        <w:t>Inter-governmental agreements (</w:t>
      </w:r>
      <w:r w:rsidRPr="000B645D">
        <w:rPr>
          <w:strike/>
          <w:sz w:val="22"/>
          <w:szCs w:val="22"/>
        </w:rPr>
        <w:t>Yes</w:t>
      </w:r>
      <w:r w:rsidRPr="000B645D">
        <w:rPr>
          <w:sz w:val="22"/>
          <w:szCs w:val="22"/>
        </w:rPr>
        <w:t xml:space="preserve">/No) </w:t>
      </w:r>
    </w:p>
    <w:p w14:paraId="678A6ABB" w14:textId="77777777" w:rsidR="00E55C71" w:rsidRPr="000B645D" w:rsidRDefault="00E55C71" w:rsidP="00E55C71">
      <w:pPr>
        <w:tabs>
          <w:tab w:val="left" w:pos="720"/>
        </w:tabs>
        <w:ind w:left="720" w:right="-1"/>
        <w:jc w:val="both"/>
        <w:rPr>
          <w:sz w:val="22"/>
          <w:szCs w:val="22"/>
        </w:rPr>
      </w:pPr>
    </w:p>
    <w:p w14:paraId="442D649F" w14:textId="77777777" w:rsidR="00E55C71" w:rsidRPr="000B645D" w:rsidRDefault="00E55C71" w:rsidP="00E55C71">
      <w:pPr>
        <w:tabs>
          <w:tab w:val="left" w:pos="720"/>
        </w:tabs>
        <w:ind w:left="1440" w:right="-1" w:hanging="720"/>
        <w:jc w:val="both"/>
        <w:rPr>
          <w:sz w:val="22"/>
          <w:szCs w:val="22"/>
        </w:rPr>
      </w:pPr>
      <w:r w:rsidRPr="000B645D">
        <w:rPr>
          <w:sz w:val="22"/>
          <w:szCs w:val="22"/>
        </w:rPr>
        <w:t></w:t>
      </w:r>
      <w:r w:rsidRPr="000B645D">
        <w:rPr>
          <w:sz w:val="22"/>
          <w:szCs w:val="22"/>
        </w:rPr>
        <w:tab/>
        <w:t>Conditional financing (</w:t>
      </w:r>
      <w:proofErr w:type="spellStart"/>
      <w:r w:rsidRPr="000B645D">
        <w:rPr>
          <w:sz w:val="22"/>
          <w:szCs w:val="22"/>
        </w:rPr>
        <w:t>eg</w:t>
      </w:r>
      <w:proofErr w:type="spellEnd"/>
      <w:r w:rsidRPr="000B645D">
        <w:rPr>
          <w:sz w:val="22"/>
          <w:szCs w:val="22"/>
        </w:rPr>
        <w:t>: budget transfers from national level to sub-national) (</w:t>
      </w:r>
      <w:r w:rsidRPr="000B645D">
        <w:rPr>
          <w:strike/>
          <w:sz w:val="22"/>
          <w:szCs w:val="22"/>
        </w:rPr>
        <w:t>Yes</w:t>
      </w:r>
      <w:r w:rsidRPr="000B645D">
        <w:rPr>
          <w:sz w:val="22"/>
          <w:szCs w:val="22"/>
        </w:rPr>
        <w:t xml:space="preserve">/No) </w:t>
      </w:r>
    </w:p>
    <w:p w14:paraId="1C79F5B1" w14:textId="77777777" w:rsidR="00E55C71" w:rsidRPr="000B645D" w:rsidRDefault="00E55C71" w:rsidP="00E55C71">
      <w:pPr>
        <w:tabs>
          <w:tab w:val="left" w:pos="720"/>
        </w:tabs>
        <w:ind w:right="-1"/>
        <w:jc w:val="both"/>
        <w:rPr>
          <w:sz w:val="22"/>
          <w:szCs w:val="22"/>
        </w:rPr>
      </w:pPr>
    </w:p>
    <w:p w14:paraId="0DD3372F" w14:textId="77777777" w:rsidR="00E55C71" w:rsidRPr="000B645D" w:rsidRDefault="00E55C71" w:rsidP="00E55C71">
      <w:pPr>
        <w:tabs>
          <w:tab w:val="left" w:pos="720"/>
        </w:tabs>
        <w:ind w:left="720" w:right="-1"/>
        <w:jc w:val="both"/>
        <w:rPr>
          <w:i/>
          <w:sz w:val="22"/>
          <w:szCs w:val="22"/>
        </w:rPr>
      </w:pPr>
      <w:r w:rsidRPr="000B645D">
        <w:rPr>
          <w:i/>
          <w:sz w:val="22"/>
          <w:szCs w:val="22"/>
        </w:rPr>
        <w:t>2.</w:t>
      </w:r>
      <w:r w:rsidRPr="000B645D">
        <w:rPr>
          <w:i/>
          <w:sz w:val="22"/>
          <w:szCs w:val="22"/>
        </w:rPr>
        <w:tab/>
        <w:t xml:space="preserve">With respect to the above and where applicable, please identify: </w:t>
      </w:r>
    </w:p>
    <w:p w14:paraId="7AF8BC2B" w14:textId="77777777" w:rsidR="00E55C71" w:rsidRPr="000B645D" w:rsidRDefault="00E55C71" w:rsidP="00E55C71">
      <w:pPr>
        <w:tabs>
          <w:tab w:val="left" w:pos="720"/>
        </w:tabs>
        <w:ind w:left="720" w:right="-1"/>
        <w:jc w:val="both"/>
        <w:rPr>
          <w:i/>
          <w:sz w:val="22"/>
          <w:szCs w:val="22"/>
        </w:rPr>
      </w:pPr>
    </w:p>
    <w:p w14:paraId="3357C35F" w14:textId="77777777" w:rsidR="00E55C71" w:rsidRPr="000B645D" w:rsidRDefault="00E55C71" w:rsidP="00E55C71">
      <w:pPr>
        <w:numPr>
          <w:ilvl w:val="0"/>
          <w:numId w:val="2"/>
        </w:numPr>
        <w:tabs>
          <w:tab w:val="left" w:pos="720"/>
        </w:tabs>
        <w:ind w:left="2160" w:right="-1"/>
        <w:jc w:val="both"/>
        <w:rPr>
          <w:i/>
          <w:sz w:val="22"/>
          <w:szCs w:val="22"/>
        </w:rPr>
      </w:pPr>
      <w:proofErr w:type="gramStart"/>
      <w:r w:rsidRPr="000B645D">
        <w:rPr>
          <w:i/>
          <w:sz w:val="22"/>
          <w:szCs w:val="22"/>
        </w:rPr>
        <w:t>the</w:t>
      </w:r>
      <w:proofErr w:type="gramEnd"/>
      <w:r w:rsidRPr="000B645D">
        <w:rPr>
          <w:i/>
          <w:sz w:val="22"/>
          <w:szCs w:val="22"/>
        </w:rPr>
        <w:t xml:space="preserve"> relevant provision.</w:t>
      </w:r>
    </w:p>
    <w:p w14:paraId="48EECFD4" w14:textId="77777777" w:rsidR="00E55C71" w:rsidRPr="000B645D" w:rsidRDefault="00E55C71" w:rsidP="00E55C71">
      <w:pPr>
        <w:tabs>
          <w:tab w:val="left" w:pos="720"/>
        </w:tabs>
        <w:ind w:left="1440" w:right="-1"/>
        <w:jc w:val="both"/>
        <w:rPr>
          <w:i/>
          <w:sz w:val="22"/>
          <w:szCs w:val="22"/>
        </w:rPr>
      </w:pPr>
    </w:p>
    <w:p w14:paraId="0CA7DA53" w14:textId="77777777" w:rsidR="00E55C71" w:rsidRPr="000B645D" w:rsidRDefault="00E55C71" w:rsidP="00E55C71">
      <w:pPr>
        <w:tabs>
          <w:tab w:val="left" w:pos="720"/>
        </w:tabs>
        <w:ind w:left="1440" w:right="-1"/>
        <w:jc w:val="both"/>
        <w:rPr>
          <w:i/>
          <w:sz w:val="22"/>
          <w:szCs w:val="22"/>
        </w:rPr>
      </w:pPr>
    </w:p>
    <w:p w14:paraId="1E6F619E" w14:textId="77777777" w:rsidR="00E55C71" w:rsidRPr="000B645D" w:rsidRDefault="00E55C71" w:rsidP="00E55C71">
      <w:pPr>
        <w:numPr>
          <w:ilvl w:val="0"/>
          <w:numId w:val="2"/>
        </w:numPr>
        <w:tabs>
          <w:tab w:val="left" w:pos="720"/>
        </w:tabs>
        <w:ind w:left="2160" w:right="-1"/>
        <w:jc w:val="both"/>
        <w:rPr>
          <w:i/>
          <w:sz w:val="22"/>
          <w:szCs w:val="22"/>
        </w:rPr>
      </w:pPr>
      <w:proofErr w:type="gramStart"/>
      <w:r w:rsidRPr="000B645D">
        <w:rPr>
          <w:i/>
          <w:sz w:val="22"/>
          <w:szCs w:val="22"/>
        </w:rPr>
        <w:t>the</w:t>
      </w:r>
      <w:proofErr w:type="gramEnd"/>
      <w:r w:rsidRPr="000B645D">
        <w:rPr>
          <w:i/>
          <w:sz w:val="22"/>
          <w:szCs w:val="22"/>
        </w:rPr>
        <w:t xml:space="preserve"> sub-national levels of government to which the legal provision applies. </w:t>
      </w:r>
    </w:p>
    <w:p w14:paraId="3200BE78" w14:textId="77777777" w:rsidR="00E55C71" w:rsidRPr="000B645D" w:rsidRDefault="00E55C71" w:rsidP="00E55C71">
      <w:pPr>
        <w:tabs>
          <w:tab w:val="left" w:pos="720"/>
        </w:tabs>
        <w:ind w:left="1440" w:right="-1"/>
        <w:jc w:val="both"/>
        <w:rPr>
          <w:i/>
          <w:sz w:val="22"/>
          <w:szCs w:val="22"/>
        </w:rPr>
      </w:pPr>
    </w:p>
    <w:p w14:paraId="6197D3CA" w14:textId="77777777" w:rsidR="00E55C71" w:rsidRPr="000B645D" w:rsidRDefault="00E55C71" w:rsidP="00E55C71">
      <w:pPr>
        <w:numPr>
          <w:ilvl w:val="0"/>
          <w:numId w:val="2"/>
        </w:numPr>
        <w:tabs>
          <w:tab w:val="left" w:pos="720"/>
        </w:tabs>
        <w:ind w:left="2160" w:right="-1"/>
        <w:jc w:val="both"/>
        <w:rPr>
          <w:i/>
          <w:sz w:val="22"/>
          <w:szCs w:val="22"/>
        </w:rPr>
      </w:pPr>
      <w:proofErr w:type="gramStart"/>
      <w:r w:rsidRPr="000B645D">
        <w:rPr>
          <w:i/>
          <w:sz w:val="22"/>
          <w:szCs w:val="22"/>
        </w:rPr>
        <w:t>the</w:t>
      </w:r>
      <w:proofErr w:type="gramEnd"/>
      <w:r w:rsidRPr="000B645D">
        <w:rPr>
          <w:i/>
          <w:sz w:val="22"/>
          <w:szCs w:val="22"/>
        </w:rPr>
        <w:t xml:space="preserve"> means of enforcement (</w:t>
      </w:r>
      <w:proofErr w:type="spellStart"/>
      <w:r w:rsidRPr="000B645D">
        <w:rPr>
          <w:i/>
          <w:sz w:val="22"/>
          <w:szCs w:val="22"/>
        </w:rPr>
        <w:t>eg</w:t>
      </w:r>
      <w:proofErr w:type="spellEnd"/>
      <w:r w:rsidRPr="000B645D">
        <w:rPr>
          <w:i/>
          <w:sz w:val="22"/>
          <w:szCs w:val="22"/>
        </w:rPr>
        <w:t>: courts, tribunals, national human rights institution, including ombudsmen, administrative mechanisms, etc.) and examples of how these means have been applied.</w:t>
      </w:r>
    </w:p>
    <w:p w14:paraId="18A4D031" w14:textId="77777777" w:rsidR="00E55C71" w:rsidRPr="000B645D" w:rsidRDefault="00E55C71" w:rsidP="00E55C71">
      <w:pPr>
        <w:tabs>
          <w:tab w:val="left" w:pos="720"/>
        </w:tabs>
        <w:ind w:left="1080" w:right="-1"/>
        <w:jc w:val="both"/>
        <w:rPr>
          <w:sz w:val="22"/>
          <w:szCs w:val="22"/>
        </w:rPr>
      </w:pPr>
    </w:p>
    <w:p w14:paraId="05D3992F" w14:textId="77777777" w:rsidR="00E55C71" w:rsidRPr="000B645D" w:rsidRDefault="00E55C71" w:rsidP="00E55C71">
      <w:pPr>
        <w:tabs>
          <w:tab w:val="left" w:pos="720"/>
        </w:tabs>
        <w:ind w:right="-1"/>
        <w:jc w:val="both"/>
        <w:rPr>
          <w:sz w:val="22"/>
          <w:szCs w:val="22"/>
        </w:rPr>
      </w:pPr>
    </w:p>
    <w:p w14:paraId="21A84817" w14:textId="77777777" w:rsidR="00E55C71" w:rsidRPr="000B645D" w:rsidRDefault="00E55C71" w:rsidP="00E55C71">
      <w:pPr>
        <w:numPr>
          <w:ilvl w:val="0"/>
          <w:numId w:val="5"/>
        </w:numPr>
        <w:tabs>
          <w:tab w:val="left" w:pos="720"/>
        </w:tabs>
        <w:ind w:right="-1"/>
        <w:jc w:val="both"/>
        <w:rPr>
          <w:i/>
          <w:sz w:val="22"/>
          <w:szCs w:val="22"/>
        </w:rPr>
      </w:pPr>
      <w:r w:rsidRPr="000B645D">
        <w:rPr>
          <w:i/>
          <w:sz w:val="22"/>
          <w:szCs w:val="22"/>
        </w:rPr>
        <w:t>Are sub-national governments involved in State reporting to international human rights monitoring mechanisms and in implementing recommendations?  (</w:t>
      </w:r>
      <w:proofErr w:type="spellStart"/>
      <w:proofErr w:type="gramStart"/>
      <w:r w:rsidRPr="000B645D">
        <w:rPr>
          <w:i/>
          <w:sz w:val="22"/>
          <w:szCs w:val="22"/>
        </w:rPr>
        <w:t>eg</w:t>
      </w:r>
      <w:proofErr w:type="spellEnd"/>
      <w:proofErr w:type="gramEnd"/>
      <w:r w:rsidRPr="000B645D">
        <w:rPr>
          <w:i/>
          <w:sz w:val="22"/>
          <w:szCs w:val="22"/>
        </w:rPr>
        <w:t xml:space="preserve">, UN treaty monitoring body, Universal Periodic Review). If so, how?  Please kindly provide an example. </w:t>
      </w:r>
    </w:p>
    <w:p w14:paraId="4FE24DAE" w14:textId="77777777" w:rsidR="00D91F47" w:rsidRPr="000B645D" w:rsidRDefault="00D91F47" w:rsidP="00D91F47">
      <w:pPr>
        <w:tabs>
          <w:tab w:val="left" w:pos="720"/>
        </w:tabs>
        <w:ind w:left="1080" w:right="-1"/>
        <w:jc w:val="both"/>
        <w:rPr>
          <w:sz w:val="22"/>
          <w:szCs w:val="22"/>
        </w:rPr>
      </w:pPr>
    </w:p>
    <w:p w14:paraId="37CAF64F" w14:textId="4D71B81E" w:rsidR="00D91F47" w:rsidRPr="000B645D" w:rsidRDefault="00D66345" w:rsidP="00D91F47">
      <w:pPr>
        <w:tabs>
          <w:tab w:val="left" w:pos="720"/>
        </w:tabs>
        <w:ind w:left="1080" w:right="-1"/>
        <w:jc w:val="both"/>
        <w:rPr>
          <w:sz w:val="22"/>
          <w:szCs w:val="22"/>
        </w:rPr>
      </w:pPr>
      <w:r w:rsidRPr="000B645D">
        <w:rPr>
          <w:sz w:val="22"/>
          <w:szCs w:val="22"/>
        </w:rPr>
        <w:t>No.</w:t>
      </w:r>
    </w:p>
    <w:p w14:paraId="00581656" w14:textId="77777777" w:rsidR="00E55C71" w:rsidRPr="000B645D" w:rsidRDefault="00E55C71" w:rsidP="00E55C71">
      <w:pPr>
        <w:tabs>
          <w:tab w:val="left" w:pos="720"/>
        </w:tabs>
        <w:ind w:left="720" w:right="-1"/>
        <w:jc w:val="both"/>
        <w:rPr>
          <w:sz w:val="22"/>
          <w:szCs w:val="22"/>
        </w:rPr>
      </w:pPr>
    </w:p>
    <w:p w14:paraId="4E5D885B" w14:textId="77777777" w:rsidR="00E55C71" w:rsidRPr="000B645D" w:rsidRDefault="00E55C71" w:rsidP="00E55C71">
      <w:pPr>
        <w:numPr>
          <w:ilvl w:val="0"/>
          <w:numId w:val="5"/>
        </w:numPr>
        <w:tabs>
          <w:tab w:val="left" w:pos="720"/>
        </w:tabs>
        <w:ind w:right="-1"/>
        <w:jc w:val="both"/>
        <w:rPr>
          <w:i/>
          <w:sz w:val="22"/>
          <w:szCs w:val="22"/>
        </w:rPr>
      </w:pPr>
      <w:r w:rsidRPr="000B645D">
        <w:rPr>
          <w:i/>
          <w:sz w:val="22"/>
          <w:szCs w:val="22"/>
        </w:rPr>
        <w:t>Apart from the legal and international accountability described above, what political or institutional accountability mechanisms are in place in your country through which sub-national governments are held accountable to standards or requirements linked to the implementation of the right to adequate housing (</w:t>
      </w:r>
      <w:proofErr w:type="spellStart"/>
      <w:r w:rsidRPr="000B645D">
        <w:rPr>
          <w:i/>
          <w:sz w:val="22"/>
          <w:szCs w:val="22"/>
        </w:rPr>
        <w:t>eg</w:t>
      </w:r>
      <w:proofErr w:type="spellEnd"/>
      <w:r w:rsidRPr="000B645D">
        <w:rPr>
          <w:i/>
          <w:sz w:val="22"/>
          <w:szCs w:val="22"/>
        </w:rPr>
        <w:t>, Government review procedures, ombudsman/national human rights institutions, local human rights councils).  Please provide any useful examples of how these have been used and, if possible, assess the outcome.</w:t>
      </w:r>
    </w:p>
    <w:p w14:paraId="671042B0" w14:textId="77777777" w:rsidR="00A85F81" w:rsidRPr="000B645D" w:rsidRDefault="00A85F81" w:rsidP="00A85F81">
      <w:pPr>
        <w:tabs>
          <w:tab w:val="left" w:pos="720"/>
        </w:tabs>
        <w:ind w:left="1080" w:right="-1"/>
        <w:jc w:val="both"/>
        <w:rPr>
          <w:sz w:val="22"/>
          <w:szCs w:val="22"/>
        </w:rPr>
      </w:pPr>
    </w:p>
    <w:p w14:paraId="6D40EAB1" w14:textId="77777777" w:rsidR="0073491A" w:rsidRPr="000B645D" w:rsidRDefault="00EC28FC" w:rsidP="0073491A">
      <w:pPr>
        <w:tabs>
          <w:tab w:val="left" w:pos="720"/>
        </w:tabs>
        <w:ind w:left="1080" w:right="-1"/>
        <w:jc w:val="both"/>
        <w:rPr>
          <w:sz w:val="22"/>
          <w:szCs w:val="22"/>
        </w:rPr>
      </w:pPr>
      <w:r w:rsidRPr="000B645D">
        <w:rPr>
          <w:sz w:val="22"/>
          <w:szCs w:val="22"/>
        </w:rPr>
        <w:t>The NSW Ombudsman investigates complaints of maladministration by the State’s social housing agencies (</w:t>
      </w:r>
      <w:r w:rsidR="0073491A" w:rsidRPr="000B645D">
        <w:rPr>
          <w:sz w:val="22"/>
          <w:szCs w:val="22"/>
        </w:rPr>
        <w:t>the NSW Land and Housing Corporation and Housing NSW).</w:t>
      </w:r>
    </w:p>
    <w:p w14:paraId="21B1E7AF" w14:textId="77777777" w:rsidR="0073491A" w:rsidRPr="000B645D" w:rsidRDefault="0073491A" w:rsidP="0073491A">
      <w:pPr>
        <w:tabs>
          <w:tab w:val="left" w:pos="720"/>
        </w:tabs>
        <w:ind w:left="1080" w:right="-1"/>
        <w:jc w:val="both"/>
        <w:rPr>
          <w:sz w:val="22"/>
          <w:szCs w:val="22"/>
        </w:rPr>
      </w:pPr>
    </w:p>
    <w:p w14:paraId="32DDCE49" w14:textId="77777777" w:rsidR="00C211B1" w:rsidRPr="000B645D" w:rsidRDefault="0073491A" w:rsidP="0073491A">
      <w:pPr>
        <w:tabs>
          <w:tab w:val="left" w:pos="720"/>
        </w:tabs>
        <w:ind w:left="1080" w:right="-1"/>
        <w:jc w:val="both"/>
        <w:rPr>
          <w:sz w:val="22"/>
          <w:szCs w:val="22"/>
        </w:rPr>
      </w:pPr>
      <w:r w:rsidRPr="000B645D">
        <w:rPr>
          <w:sz w:val="22"/>
          <w:szCs w:val="22"/>
        </w:rPr>
        <w:t xml:space="preserve">The NSW Registrar of Community Housing regulates </w:t>
      </w:r>
      <w:proofErr w:type="gramStart"/>
      <w:r w:rsidRPr="000B645D">
        <w:rPr>
          <w:sz w:val="22"/>
          <w:szCs w:val="22"/>
        </w:rPr>
        <w:t>community housing</w:t>
      </w:r>
      <w:proofErr w:type="gramEnd"/>
      <w:r w:rsidRPr="000B645D">
        <w:rPr>
          <w:sz w:val="22"/>
          <w:szCs w:val="22"/>
        </w:rPr>
        <w:t xml:space="preserve"> providers, but does not review individual decisions of community housing providers. </w:t>
      </w:r>
    </w:p>
    <w:p w14:paraId="5ADB7EEA" w14:textId="77777777" w:rsidR="00C211B1" w:rsidRPr="000B645D" w:rsidRDefault="00C211B1" w:rsidP="0073491A">
      <w:pPr>
        <w:tabs>
          <w:tab w:val="left" w:pos="720"/>
        </w:tabs>
        <w:ind w:left="1080" w:right="-1"/>
        <w:jc w:val="both"/>
        <w:rPr>
          <w:sz w:val="22"/>
          <w:szCs w:val="22"/>
        </w:rPr>
      </w:pPr>
    </w:p>
    <w:p w14:paraId="271B8D81" w14:textId="4FB75930" w:rsidR="00A85F81" w:rsidRPr="000B645D" w:rsidRDefault="00C211B1" w:rsidP="0073491A">
      <w:pPr>
        <w:tabs>
          <w:tab w:val="left" w:pos="720"/>
        </w:tabs>
        <w:ind w:left="1080" w:right="-1"/>
        <w:jc w:val="both"/>
        <w:rPr>
          <w:sz w:val="22"/>
          <w:szCs w:val="22"/>
        </w:rPr>
      </w:pPr>
      <w:r w:rsidRPr="000B645D">
        <w:rPr>
          <w:sz w:val="22"/>
          <w:szCs w:val="22"/>
        </w:rPr>
        <w:t>The Tenants’ Union</w:t>
      </w:r>
      <w:r w:rsidR="000B645D">
        <w:rPr>
          <w:sz w:val="22"/>
          <w:szCs w:val="22"/>
        </w:rPr>
        <w:t xml:space="preserve"> of NSW</w:t>
      </w:r>
      <w:r w:rsidRPr="000B645D">
        <w:rPr>
          <w:sz w:val="22"/>
          <w:szCs w:val="22"/>
        </w:rPr>
        <w:t xml:space="preserve">, Tenants Advice and Advocacy Services, and Community Legal Centres advocate for the housing rights of individual persons in legal proceedings, and for vulnerable people generally in </w:t>
      </w:r>
      <w:r w:rsidR="005C6D56" w:rsidRPr="000B645D">
        <w:rPr>
          <w:sz w:val="22"/>
          <w:szCs w:val="22"/>
        </w:rPr>
        <w:t xml:space="preserve">housing </w:t>
      </w:r>
      <w:r w:rsidRPr="000B645D">
        <w:rPr>
          <w:sz w:val="22"/>
          <w:szCs w:val="22"/>
        </w:rPr>
        <w:t xml:space="preserve">policy and law reform processes. Other non-government organisations, such as Shelter NSW, the NSW Council for Social Service, and Homelessness NSW, also advocate for vulnerable people </w:t>
      </w:r>
      <w:r w:rsidR="005C6D56" w:rsidRPr="000B645D">
        <w:rPr>
          <w:sz w:val="22"/>
          <w:szCs w:val="22"/>
        </w:rPr>
        <w:t>in housing policy reform processes.</w:t>
      </w:r>
    </w:p>
    <w:p w14:paraId="7544DDDA" w14:textId="77777777" w:rsidR="00E55C71" w:rsidRPr="000B645D" w:rsidRDefault="00E55C71" w:rsidP="00E55C71">
      <w:pPr>
        <w:pStyle w:val="ListParagraph"/>
        <w:rPr>
          <w:sz w:val="22"/>
          <w:szCs w:val="22"/>
        </w:rPr>
      </w:pPr>
    </w:p>
    <w:p w14:paraId="6DFFF7C4" w14:textId="77777777" w:rsidR="00E55C71" w:rsidRPr="000B645D" w:rsidRDefault="00E55C71" w:rsidP="00E55C71">
      <w:pPr>
        <w:numPr>
          <w:ilvl w:val="0"/>
          <w:numId w:val="5"/>
        </w:numPr>
        <w:tabs>
          <w:tab w:val="left" w:pos="720"/>
        </w:tabs>
        <w:ind w:right="-1"/>
        <w:jc w:val="both"/>
        <w:rPr>
          <w:i/>
          <w:sz w:val="22"/>
          <w:szCs w:val="22"/>
        </w:rPr>
      </w:pPr>
      <w:r w:rsidRPr="000B645D">
        <w:rPr>
          <w:i/>
          <w:sz w:val="22"/>
          <w:szCs w:val="22"/>
        </w:rPr>
        <w:t xml:space="preserve">Please kindly identify what in your view may be the three most significant challenges in your country to effective accountability of sub-national governments to the right to adequate housing as guaranteed under international human rights law and identify key strategies or ideas for addressing these challenges. </w:t>
      </w:r>
    </w:p>
    <w:p w14:paraId="65DDF3E4" w14:textId="77777777" w:rsidR="00D90D6C" w:rsidRPr="000B645D" w:rsidRDefault="00D90D6C" w:rsidP="00D90D6C">
      <w:pPr>
        <w:tabs>
          <w:tab w:val="left" w:pos="720"/>
        </w:tabs>
        <w:ind w:left="1080" w:right="-1"/>
        <w:jc w:val="both"/>
        <w:rPr>
          <w:sz w:val="22"/>
          <w:szCs w:val="22"/>
        </w:rPr>
      </w:pPr>
    </w:p>
    <w:p w14:paraId="781DB186" w14:textId="77777777" w:rsidR="00EC28FC" w:rsidRPr="000B645D" w:rsidRDefault="00EC28FC" w:rsidP="00D90D6C">
      <w:pPr>
        <w:tabs>
          <w:tab w:val="left" w:pos="720"/>
        </w:tabs>
        <w:ind w:left="1080" w:right="-1"/>
        <w:jc w:val="both"/>
        <w:rPr>
          <w:sz w:val="22"/>
          <w:szCs w:val="22"/>
        </w:rPr>
      </w:pPr>
      <w:r w:rsidRPr="000B645D">
        <w:rPr>
          <w:sz w:val="22"/>
          <w:szCs w:val="22"/>
        </w:rPr>
        <w:t>Speculation in housing, encouraged by the tax system, has made housing (home purchase and rental) unaffordable for low- and moderate-income households, and made rental housing structurally insecure.</w:t>
      </w:r>
    </w:p>
    <w:p w14:paraId="2AA91B85" w14:textId="77777777" w:rsidR="00EC28FC" w:rsidRPr="000B645D" w:rsidRDefault="00EC28FC" w:rsidP="00D90D6C">
      <w:pPr>
        <w:tabs>
          <w:tab w:val="left" w:pos="720"/>
        </w:tabs>
        <w:ind w:left="1080" w:right="-1"/>
        <w:jc w:val="both"/>
        <w:rPr>
          <w:sz w:val="22"/>
          <w:szCs w:val="22"/>
        </w:rPr>
      </w:pPr>
    </w:p>
    <w:p w14:paraId="4AC0EA01" w14:textId="703199A7" w:rsidR="00D90D6C" w:rsidRPr="000B645D" w:rsidRDefault="00EC28FC" w:rsidP="00D90D6C">
      <w:pPr>
        <w:tabs>
          <w:tab w:val="left" w:pos="720"/>
        </w:tabs>
        <w:ind w:left="1080" w:right="-1"/>
        <w:jc w:val="both"/>
        <w:rPr>
          <w:sz w:val="22"/>
          <w:szCs w:val="22"/>
        </w:rPr>
      </w:pPr>
      <w:r w:rsidRPr="000B645D">
        <w:rPr>
          <w:sz w:val="22"/>
          <w:szCs w:val="22"/>
        </w:rPr>
        <w:t>There is n</w:t>
      </w:r>
      <w:r w:rsidR="00D90D6C" w:rsidRPr="000B645D">
        <w:rPr>
          <w:sz w:val="22"/>
          <w:szCs w:val="22"/>
        </w:rPr>
        <w:t>o litigable or otherwise enforceable right to adequate housing in New South Wales or Australia.</w:t>
      </w:r>
    </w:p>
    <w:p w14:paraId="525F0977" w14:textId="77777777" w:rsidR="00D90D6C" w:rsidRPr="000B645D" w:rsidRDefault="00D90D6C" w:rsidP="00D90D6C">
      <w:pPr>
        <w:tabs>
          <w:tab w:val="left" w:pos="720"/>
        </w:tabs>
        <w:ind w:left="1080" w:right="-1"/>
        <w:jc w:val="both"/>
        <w:rPr>
          <w:sz w:val="22"/>
          <w:szCs w:val="22"/>
        </w:rPr>
      </w:pPr>
    </w:p>
    <w:p w14:paraId="28C28DA6" w14:textId="2F6E4A9D" w:rsidR="00D90D6C" w:rsidRPr="000B645D" w:rsidRDefault="00EC28FC" w:rsidP="000B645D">
      <w:pPr>
        <w:tabs>
          <w:tab w:val="left" w:pos="720"/>
        </w:tabs>
        <w:ind w:left="1080" w:right="-1"/>
        <w:jc w:val="both"/>
        <w:rPr>
          <w:sz w:val="22"/>
          <w:szCs w:val="22"/>
        </w:rPr>
      </w:pPr>
      <w:r w:rsidRPr="000B645D">
        <w:rPr>
          <w:sz w:val="22"/>
          <w:szCs w:val="22"/>
        </w:rPr>
        <w:t xml:space="preserve">Under </w:t>
      </w:r>
      <w:proofErr w:type="gramStart"/>
      <w:r w:rsidRPr="000B645D">
        <w:rPr>
          <w:sz w:val="22"/>
          <w:szCs w:val="22"/>
        </w:rPr>
        <w:t>New South Wales</w:t>
      </w:r>
      <w:proofErr w:type="gramEnd"/>
      <w:r w:rsidRPr="000B645D">
        <w:rPr>
          <w:sz w:val="22"/>
          <w:szCs w:val="22"/>
        </w:rPr>
        <w:t xml:space="preserve"> residential tenancies law, t</w:t>
      </w:r>
      <w:r w:rsidR="00D90D6C" w:rsidRPr="000B645D">
        <w:rPr>
          <w:sz w:val="22"/>
          <w:szCs w:val="22"/>
        </w:rPr>
        <w:t>enancies can be terminated without grounds – landlords need not specify or justify their reason for ending a tenancy</w:t>
      </w:r>
      <w:r w:rsidRPr="000B645D">
        <w:rPr>
          <w:sz w:val="22"/>
          <w:szCs w:val="22"/>
        </w:rPr>
        <w:t xml:space="preserve"> – and in proceedings for termination without grounds the Tribunal</w:t>
      </w:r>
      <w:r w:rsidR="00D90D6C" w:rsidRPr="000B645D">
        <w:rPr>
          <w:sz w:val="22"/>
          <w:szCs w:val="22"/>
        </w:rPr>
        <w:t xml:space="preserve"> has no discretion to consider whether termination is appropriate in the circumstances of each case. </w:t>
      </w:r>
      <w:proofErr w:type="gramStart"/>
      <w:r w:rsidR="00D90D6C" w:rsidRPr="000B645D">
        <w:rPr>
          <w:sz w:val="22"/>
          <w:szCs w:val="22"/>
        </w:rPr>
        <w:t>Not only does</w:t>
      </w:r>
      <w:proofErr w:type="gramEnd"/>
      <w:r w:rsidR="00D90D6C" w:rsidRPr="000B645D">
        <w:rPr>
          <w:sz w:val="22"/>
          <w:szCs w:val="22"/>
        </w:rPr>
        <w:t xml:space="preserve"> this directly </w:t>
      </w:r>
      <w:r w:rsidRPr="000B645D">
        <w:rPr>
          <w:sz w:val="22"/>
          <w:szCs w:val="22"/>
        </w:rPr>
        <w:t>offend the right against arbitrary eviction</w:t>
      </w:r>
      <w:r w:rsidR="00D90D6C" w:rsidRPr="000B645D">
        <w:rPr>
          <w:sz w:val="22"/>
          <w:szCs w:val="22"/>
        </w:rPr>
        <w:t>, it also undermines tenants’ rights concerning the adequacy of housing – many tenants simply do not notify their landlords of problems with their housing for fear of eviction</w:t>
      </w:r>
      <w:r w:rsidRPr="000B645D">
        <w:rPr>
          <w:sz w:val="22"/>
          <w:szCs w:val="22"/>
        </w:rPr>
        <w:t>.</w:t>
      </w:r>
      <w:r w:rsidR="00C211B1" w:rsidRPr="000B645D">
        <w:rPr>
          <w:sz w:val="22"/>
          <w:szCs w:val="22"/>
        </w:rPr>
        <w:t xml:space="preserve"> </w:t>
      </w:r>
      <w:r w:rsidR="005C6D56" w:rsidRPr="000B645D">
        <w:rPr>
          <w:sz w:val="22"/>
          <w:szCs w:val="22"/>
        </w:rPr>
        <w:t>The State Government has recently indicated that it may further restrict the discretion of the Tribunal in proceedings to terminate social housing tenancies on the ground of illegal use of the premises.</w:t>
      </w:r>
    </w:p>
    <w:p w14:paraId="0FD118E9" w14:textId="77777777" w:rsidR="00176BF5" w:rsidRPr="000B645D" w:rsidRDefault="00176BF5"/>
    <w:sectPr w:rsidR="00176BF5" w:rsidRPr="000B645D" w:rsidSect="009841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A19E6" w14:textId="77777777" w:rsidR="00C211B1" w:rsidRDefault="00C211B1" w:rsidP="006259D7">
      <w:r>
        <w:separator/>
      </w:r>
    </w:p>
  </w:endnote>
  <w:endnote w:type="continuationSeparator" w:id="0">
    <w:p w14:paraId="4E1977C6" w14:textId="77777777" w:rsidR="00C211B1" w:rsidRDefault="00C211B1" w:rsidP="0062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94900" w14:textId="77777777" w:rsidR="00C211B1" w:rsidRDefault="00C211B1" w:rsidP="006259D7">
      <w:r>
        <w:separator/>
      </w:r>
    </w:p>
  </w:footnote>
  <w:footnote w:type="continuationSeparator" w:id="0">
    <w:p w14:paraId="16605459" w14:textId="77777777" w:rsidR="00C211B1" w:rsidRDefault="00C211B1" w:rsidP="006259D7">
      <w:r>
        <w:continuationSeparator/>
      </w:r>
    </w:p>
  </w:footnote>
  <w:footnote w:id="1">
    <w:p w14:paraId="114EC562" w14:textId="125764BE" w:rsidR="00C211B1" w:rsidRPr="00625C17" w:rsidRDefault="00C211B1" w:rsidP="006259D7">
      <w:pPr>
        <w:tabs>
          <w:tab w:val="left" w:pos="720"/>
        </w:tabs>
        <w:ind w:left="720" w:right="-1"/>
        <w:jc w:val="both"/>
        <w:rPr>
          <w:color w:val="FF0000"/>
          <w:sz w:val="22"/>
          <w:szCs w:val="22"/>
        </w:rPr>
      </w:pPr>
      <w:r>
        <w:rPr>
          <w:rStyle w:val="FootnoteReference"/>
        </w:rPr>
        <w:footnoteRef/>
      </w:r>
      <w:r>
        <w:t xml:space="preserve"> </w:t>
      </w:r>
      <w:r w:rsidRPr="00625C17">
        <w:rPr>
          <w:color w:val="FF0000"/>
          <w:sz w:val="22"/>
          <w:szCs w:val="22"/>
        </w:rPr>
        <w:t>http://www.federalfinancialrelations.gov.au/content/npa/housing/affordable/national-agreement.pdf</w:t>
      </w:r>
    </w:p>
    <w:p w14:paraId="5F55F6BF" w14:textId="7C3B7D9C" w:rsidR="00C211B1" w:rsidRPr="000B645D" w:rsidRDefault="00C211B1">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D6D68"/>
    <w:multiLevelType w:val="hybridMultilevel"/>
    <w:tmpl w:val="4B2A13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54F569B"/>
    <w:multiLevelType w:val="hybridMultilevel"/>
    <w:tmpl w:val="BB24C732"/>
    <w:lvl w:ilvl="0" w:tplc="A2865E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04606"/>
    <w:multiLevelType w:val="hybridMultilevel"/>
    <w:tmpl w:val="AE242A08"/>
    <w:lvl w:ilvl="0" w:tplc="4A3EAF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723D36"/>
    <w:multiLevelType w:val="hybridMultilevel"/>
    <w:tmpl w:val="AE242A08"/>
    <w:lvl w:ilvl="0" w:tplc="4A3EAF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CD2B9C"/>
    <w:multiLevelType w:val="hybridMultilevel"/>
    <w:tmpl w:val="29EC9654"/>
    <w:lvl w:ilvl="0" w:tplc="D50A6AE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71"/>
    <w:rsid w:val="0000375F"/>
    <w:rsid w:val="00005978"/>
    <w:rsid w:val="000B645D"/>
    <w:rsid w:val="00176BF5"/>
    <w:rsid w:val="00200A3A"/>
    <w:rsid w:val="002206BD"/>
    <w:rsid w:val="00227AF4"/>
    <w:rsid w:val="00280403"/>
    <w:rsid w:val="00400751"/>
    <w:rsid w:val="0045570C"/>
    <w:rsid w:val="004A412E"/>
    <w:rsid w:val="00551F0D"/>
    <w:rsid w:val="005669F6"/>
    <w:rsid w:val="005C1092"/>
    <w:rsid w:val="005C6D56"/>
    <w:rsid w:val="006259D7"/>
    <w:rsid w:val="00625C17"/>
    <w:rsid w:val="0073491A"/>
    <w:rsid w:val="007C6E86"/>
    <w:rsid w:val="0090497B"/>
    <w:rsid w:val="00984119"/>
    <w:rsid w:val="00A57707"/>
    <w:rsid w:val="00A676FD"/>
    <w:rsid w:val="00A85F81"/>
    <w:rsid w:val="00C211B1"/>
    <w:rsid w:val="00D66345"/>
    <w:rsid w:val="00D83E95"/>
    <w:rsid w:val="00D83E9D"/>
    <w:rsid w:val="00D90D6C"/>
    <w:rsid w:val="00D91F47"/>
    <w:rsid w:val="00DC7D5F"/>
    <w:rsid w:val="00E55C71"/>
    <w:rsid w:val="00EA0E6B"/>
    <w:rsid w:val="00EC28FC"/>
    <w:rsid w:val="00EC6D73"/>
    <w:rsid w:val="00F53325"/>
    <w:rsid w:val="00FB66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BAA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71"/>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55C71"/>
    <w:rPr>
      <w:sz w:val="16"/>
      <w:szCs w:val="16"/>
    </w:rPr>
  </w:style>
  <w:style w:type="paragraph" w:styleId="ListParagraph">
    <w:name w:val="List Paragraph"/>
    <w:basedOn w:val="Normal"/>
    <w:uiPriority w:val="34"/>
    <w:qFormat/>
    <w:rsid w:val="00E55C71"/>
    <w:pPr>
      <w:ind w:left="720"/>
    </w:pPr>
  </w:style>
  <w:style w:type="paragraph" w:styleId="BalloonText">
    <w:name w:val="Balloon Text"/>
    <w:basedOn w:val="Normal"/>
    <w:link w:val="BalloonTextChar"/>
    <w:uiPriority w:val="99"/>
    <w:semiHidden/>
    <w:unhideWhenUsed/>
    <w:rsid w:val="00F53325"/>
    <w:rPr>
      <w:rFonts w:ascii="Lucida Grande" w:hAnsi="Lucida Grande"/>
      <w:sz w:val="18"/>
      <w:szCs w:val="18"/>
    </w:rPr>
  </w:style>
  <w:style w:type="character" w:customStyle="1" w:styleId="BalloonTextChar">
    <w:name w:val="Balloon Text Char"/>
    <w:basedOn w:val="DefaultParagraphFont"/>
    <w:link w:val="BalloonText"/>
    <w:uiPriority w:val="99"/>
    <w:semiHidden/>
    <w:rsid w:val="00F53325"/>
    <w:rPr>
      <w:rFonts w:ascii="Lucida Grande" w:eastAsia="Times New Roman" w:hAnsi="Lucida Grande" w:cs="Times New Roman"/>
      <w:sz w:val="18"/>
      <w:szCs w:val="18"/>
      <w:lang w:val="en-GB"/>
    </w:rPr>
  </w:style>
  <w:style w:type="paragraph" w:styleId="FootnoteText">
    <w:name w:val="footnote text"/>
    <w:basedOn w:val="Normal"/>
    <w:link w:val="FootnoteTextChar"/>
    <w:uiPriority w:val="99"/>
    <w:unhideWhenUsed/>
    <w:rsid w:val="006259D7"/>
    <w:rPr>
      <w:sz w:val="24"/>
      <w:szCs w:val="24"/>
    </w:rPr>
  </w:style>
  <w:style w:type="character" w:customStyle="1" w:styleId="FootnoteTextChar">
    <w:name w:val="Footnote Text Char"/>
    <w:basedOn w:val="DefaultParagraphFont"/>
    <w:link w:val="FootnoteText"/>
    <w:uiPriority w:val="99"/>
    <w:rsid w:val="006259D7"/>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6259D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71"/>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55C71"/>
    <w:rPr>
      <w:sz w:val="16"/>
      <w:szCs w:val="16"/>
    </w:rPr>
  </w:style>
  <w:style w:type="paragraph" w:styleId="ListParagraph">
    <w:name w:val="List Paragraph"/>
    <w:basedOn w:val="Normal"/>
    <w:uiPriority w:val="34"/>
    <w:qFormat/>
    <w:rsid w:val="00E55C71"/>
    <w:pPr>
      <w:ind w:left="720"/>
    </w:pPr>
  </w:style>
  <w:style w:type="paragraph" w:styleId="BalloonText">
    <w:name w:val="Balloon Text"/>
    <w:basedOn w:val="Normal"/>
    <w:link w:val="BalloonTextChar"/>
    <w:uiPriority w:val="99"/>
    <w:semiHidden/>
    <w:unhideWhenUsed/>
    <w:rsid w:val="00F53325"/>
    <w:rPr>
      <w:rFonts w:ascii="Lucida Grande" w:hAnsi="Lucida Grande"/>
      <w:sz w:val="18"/>
      <w:szCs w:val="18"/>
    </w:rPr>
  </w:style>
  <w:style w:type="character" w:customStyle="1" w:styleId="BalloonTextChar">
    <w:name w:val="Balloon Text Char"/>
    <w:basedOn w:val="DefaultParagraphFont"/>
    <w:link w:val="BalloonText"/>
    <w:uiPriority w:val="99"/>
    <w:semiHidden/>
    <w:rsid w:val="00F53325"/>
    <w:rPr>
      <w:rFonts w:ascii="Lucida Grande" w:eastAsia="Times New Roman" w:hAnsi="Lucida Grande" w:cs="Times New Roman"/>
      <w:sz w:val="18"/>
      <w:szCs w:val="18"/>
      <w:lang w:val="en-GB"/>
    </w:rPr>
  </w:style>
  <w:style w:type="paragraph" w:styleId="FootnoteText">
    <w:name w:val="footnote text"/>
    <w:basedOn w:val="Normal"/>
    <w:link w:val="FootnoteTextChar"/>
    <w:uiPriority w:val="99"/>
    <w:unhideWhenUsed/>
    <w:rsid w:val="006259D7"/>
    <w:rPr>
      <w:sz w:val="24"/>
      <w:szCs w:val="24"/>
    </w:rPr>
  </w:style>
  <w:style w:type="character" w:customStyle="1" w:styleId="FootnoteTextChar">
    <w:name w:val="Footnote Text Char"/>
    <w:basedOn w:val="DefaultParagraphFont"/>
    <w:link w:val="FootnoteText"/>
    <w:uiPriority w:val="99"/>
    <w:rsid w:val="006259D7"/>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625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03AFBE-B450-4B7B-A7CB-202A8E6E3F80}"/>
</file>

<file path=customXml/itemProps2.xml><?xml version="1.0" encoding="utf-8"?>
<ds:datastoreItem xmlns:ds="http://schemas.openxmlformats.org/officeDocument/2006/customXml" ds:itemID="{54099375-32F2-4B21-9907-7AF454A928E4}"/>
</file>

<file path=customXml/itemProps3.xml><?xml version="1.0" encoding="utf-8"?>
<ds:datastoreItem xmlns:ds="http://schemas.openxmlformats.org/officeDocument/2006/customXml" ds:itemID="{9161C0A5-E310-4AA7-8BBF-8415E01F01AA}"/>
</file>

<file path=docProps/app.xml><?xml version="1.0" encoding="utf-8"?>
<Properties xmlns="http://schemas.openxmlformats.org/officeDocument/2006/extended-properties" xmlns:vt="http://schemas.openxmlformats.org/officeDocument/2006/docPropsVTypes">
  <Template>Normal.dotm</Template>
  <TotalTime>186</TotalTime>
  <Pages>6</Pages>
  <Words>2229</Words>
  <Characters>12707</Characters>
  <Application>Microsoft Macintosh Word</Application>
  <DocSecurity>0</DocSecurity>
  <Lines>105</Lines>
  <Paragraphs>29</Paragraphs>
  <ScaleCrop>false</ScaleCrop>
  <Company>Tenants Union of NSW</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Cutcher</dc:creator>
  <cp:keywords/>
  <dc:description/>
  <cp:lastModifiedBy>Christopher Martin</cp:lastModifiedBy>
  <cp:revision>13</cp:revision>
  <dcterms:created xsi:type="dcterms:W3CDTF">2014-10-30T01:28:00Z</dcterms:created>
  <dcterms:modified xsi:type="dcterms:W3CDTF">2014-10-31T07:16:00Z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2573500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