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8466D" w14:textId="77777777" w:rsidR="00EB5EC4" w:rsidRDefault="00EB5EC4" w:rsidP="003D692A">
      <w:pPr>
        <w:widowControl w:val="0"/>
        <w:tabs>
          <w:tab w:val="left" w:pos="0"/>
          <w:tab w:val="left" w:pos="567"/>
          <w:tab w:val="left" w:pos="1134"/>
          <w:tab w:val="left" w:pos="6379"/>
        </w:tabs>
        <w:autoSpaceDE w:val="0"/>
        <w:autoSpaceDN w:val="0"/>
        <w:adjustRightInd w:val="0"/>
        <w:spacing w:line="255" w:lineRule="exact"/>
        <w:jc w:val="center"/>
        <w:rPr>
          <w:rFonts w:ascii="Verdana" w:hAnsi="Verdana"/>
          <w:b/>
          <w:sz w:val="17"/>
          <w:szCs w:val="17"/>
          <w:lang w:val="en-GB" w:eastAsia="fr-FR"/>
        </w:rPr>
      </w:pPr>
      <w:bookmarkStart w:id="0" w:name="_GoBack"/>
      <w:bookmarkEnd w:id="0"/>
    </w:p>
    <w:p w14:paraId="249B1B9A" w14:textId="77777777" w:rsidR="00EB5EC4" w:rsidRDefault="00EB5EC4" w:rsidP="003D692A">
      <w:pPr>
        <w:widowControl w:val="0"/>
        <w:tabs>
          <w:tab w:val="left" w:pos="0"/>
          <w:tab w:val="left" w:pos="567"/>
          <w:tab w:val="left" w:pos="1134"/>
          <w:tab w:val="left" w:pos="6379"/>
        </w:tabs>
        <w:autoSpaceDE w:val="0"/>
        <w:autoSpaceDN w:val="0"/>
        <w:adjustRightInd w:val="0"/>
        <w:spacing w:line="255" w:lineRule="exact"/>
        <w:jc w:val="center"/>
        <w:rPr>
          <w:rFonts w:ascii="Verdana" w:hAnsi="Verdana"/>
          <w:b/>
          <w:sz w:val="17"/>
          <w:szCs w:val="17"/>
          <w:lang w:val="en-GB" w:eastAsia="fr-FR"/>
        </w:rPr>
      </w:pPr>
    </w:p>
    <w:p w14:paraId="6D7EAB40" w14:textId="77777777" w:rsidR="00EB5EC4" w:rsidRDefault="00EB5EC4" w:rsidP="003D692A">
      <w:pPr>
        <w:widowControl w:val="0"/>
        <w:tabs>
          <w:tab w:val="left" w:pos="0"/>
          <w:tab w:val="left" w:pos="567"/>
          <w:tab w:val="left" w:pos="1134"/>
          <w:tab w:val="left" w:pos="6379"/>
        </w:tabs>
        <w:autoSpaceDE w:val="0"/>
        <w:autoSpaceDN w:val="0"/>
        <w:adjustRightInd w:val="0"/>
        <w:spacing w:line="255" w:lineRule="exact"/>
        <w:jc w:val="center"/>
        <w:rPr>
          <w:rFonts w:ascii="Verdana" w:hAnsi="Verdana"/>
          <w:b/>
          <w:sz w:val="17"/>
          <w:szCs w:val="17"/>
          <w:lang w:val="en-GB" w:eastAsia="fr-FR"/>
        </w:rPr>
      </w:pPr>
    </w:p>
    <w:p w14:paraId="4DD2A1EF" w14:textId="77777777" w:rsidR="00EB5EC4" w:rsidRDefault="00EB5EC4" w:rsidP="003D692A">
      <w:pPr>
        <w:widowControl w:val="0"/>
        <w:tabs>
          <w:tab w:val="left" w:pos="0"/>
          <w:tab w:val="left" w:pos="567"/>
          <w:tab w:val="left" w:pos="1134"/>
          <w:tab w:val="left" w:pos="6379"/>
        </w:tabs>
        <w:autoSpaceDE w:val="0"/>
        <w:autoSpaceDN w:val="0"/>
        <w:adjustRightInd w:val="0"/>
        <w:spacing w:line="255" w:lineRule="exact"/>
        <w:jc w:val="center"/>
        <w:rPr>
          <w:rFonts w:ascii="Verdana" w:hAnsi="Verdana"/>
          <w:b/>
          <w:sz w:val="17"/>
          <w:szCs w:val="17"/>
          <w:lang w:val="en-GB" w:eastAsia="fr-FR"/>
        </w:rPr>
      </w:pPr>
    </w:p>
    <w:p w14:paraId="2A7F90F2" w14:textId="7D72525F" w:rsidR="00F476BB" w:rsidRPr="0007362F" w:rsidRDefault="00EB5EC4" w:rsidP="003D692A">
      <w:pPr>
        <w:widowControl w:val="0"/>
        <w:tabs>
          <w:tab w:val="left" w:pos="0"/>
          <w:tab w:val="left" w:pos="567"/>
          <w:tab w:val="left" w:pos="1134"/>
          <w:tab w:val="left" w:pos="6379"/>
        </w:tabs>
        <w:autoSpaceDE w:val="0"/>
        <w:autoSpaceDN w:val="0"/>
        <w:adjustRightInd w:val="0"/>
        <w:spacing w:line="255" w:lineRule="exact"/>
        <w:jc w:val="center"/>
        <w:rPr>
          <w:rFonts w:ascii="Verdana" w:hAnsi="Verdana"/>
          <w:b/>
          <w:sz w:val="22"/>
          <w:szCs w:val="22"/>
          <w:lang w:val="en-GB" w:eastAsia="fr-FR"/>
        </w:rPr>
      </w:pPr>
      <w:r w:rsidRPr="0007362F">
        <w:rPr>
          <w:rFonts w:ascii="Verdana" w:hAnsi="Verdana"/>
          <w:b/>
          <w:noProof/>
          <w:sz w:val="22"/>
          <w:szCs w:val="22"/>
          <w:lang w:val="en-GB" w:eastAsia="en-GB"/>
        </w:rPr>
        <w:drawing>
          <wp:anchor distT="0" distB="0" distL="114935" distR="114935" simplePos="0" relativeHeight="251659264" behindDoc="0" locked="1" layoutInCell="1" allowOverlap="1" wp14:anchorId="417E7DF2" wp14:editId="2CB27752">
            <wp:simplePos x="0" y="0"/>
            <wp:positionH relativeFrom="column">
              <wp:posOffset>3362960</wp:posOffset>
            </wp:positionH>
            <wp:positionV relativeFrom="page">
              <wp:posOffset>431800</wp:posOffset>
            </wp:positionV>
            <wp:extent cx="1996440" cy="762000"/>
            <wp:effectExtent l="25400" t="0" r="10160" b="0"/>
            <wp:wrapTight wrapText="bothSides">
              <wp:wrapPolygon edited="0">
                <wp:start x="-275" y="0"/>
                <wp:lineTo x="-275" y="20880"/>
                <wp:lineTo x="21710" y="20880"/>
                <wp:lineTo x="21710" y="0"/>
                <wp:lineTo x="-275" y="0"/>
              </wp:wrapPolygon>
            </wp:wrapTight>
            <wp:docPr id="3" name="Picture 3" descr="icj_logo_rgb_engli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logo_rgb_english.tif"/>
                    <pic:cNvPicPr/>
                  </pic:nvPicPr>
                  <pic:blipFill>
                    <a:blip r:embed="rId7"/>
                    <a:stretch>
                      <a:fillRect/>
                    </a:stretch>
                  </pic:blipFill>
                  <pic:spPr>
                    <a:xfrm>
                      <a:off x="0" y="0"/>
                      <a:ext cx="1996440" cy="762000"/>
                    </a:xfrm>
                    <a:prstGeom prst="rect">
                      <a:avLst/>
                    </a:prstGeom>
                  </pic:spPr>
                </pic:pic>
              </a:graphicData>
            </a:graphic>
          </wp:anchor>
        </w:drawing>
      </w:r>
      <w:r w:rsidR="00862FBC">
        <w:rPr>
          <w:rFonts w:ascii="Verdana" w:hAnsi="Verdana"/>
          <w:b/>
          <w:noProof/>
          <w:sz w:val="22"/>
          <w:szCs w:val="22"/>
          <w:lang w:val="en-US"/>
        </w:rPr>
        <w:t xml:space="preserve">Judges’ and Prosecutors’ </w:t>
      </w:r>
      <w:r w:rsidR="0007362F" w:rsidRPr="0007362F">
        <w:rPr>
          <w:rFonts w:ascii="Verdana" w:hAnsi="Verdana"/>
          <w:b/>
          <w:noProof/>
          <w:sz w:val="22"/>
          <w:szCs w:val="22"/>
          <w:lang w:val="en-US"/>
        </w:rPr>
        <w:t>Freedom</w:t>
      </w:r>
      <w:r w:rsidR="00862FBC">
        <w:rPr>
          <w:rFonts w:ascii="Verdana" w:hAnsi="Verdana"/>
          <w:b/>
          <w:noProof/>
          <w:sz w:val="22"/>
          <w:szCs w:val="22"/>
          <w:lang w:val="en-US"/>
        </w:rPr>
        <w:t>s</w:t>
      </w:r>
      <w:r w:rsidR="0007362F" w:rsidRPr="0007362F">
        <w:rPr>
          <w:rFonts w:ascii="Verdana" w:hAnsi="Verdana"/>
          <w:b/>
          <w:noProof/>
          <w:sz w:val="22"/>
          <w:szCs w:val="22"/>
          <w:lang w:val="en-US"/>
        </w:rPr>
        <w:t xml:space="preserve"> of Expression</w:t>
      </w:r>
      <w:r w:rsidR="00862FBC">
        <w:rPr>
          <w:rFonts w:ascii="Verdana" w:hAnsi="Verdana"/>
          <w:b/>
          <w:noProof/>
          <w:sz w:val="22"/>
          <w:szCs w:val="22"/>
          <w:lang w:val="en-US"/>
        </w:rPr>
        <w:t>, Association and Peaceful Assembly</w:t>
      </w:r>
      <w:r w:rsidR="0007362F" w:rsidRPr="0007362F">
        <w:rPr>
          <w:rFonts w:ascii="Verdana" w:hAnsi="Verdana"/>
          <w:b/>
          <w:noProof/>
          <w:sz w:val="22"/>
          <w:szCs w:val="22"/>
          <w:lang w:val="en-US"/>
        </w:rPr>
        <w:t xml:space="preserve"> </w:t>
      </w:r>
    </w:p>
    <w:p w14:paraId="7AE8673B" w14:textId="77777777" w:rsidR="00F476BB" w:rsidRDefault="00F476BB" w:rsidP="003D692A">
      <w:pPr>
        <w:tabs>
          <w:tab w:val="left" w:pos="0"/>
          <w:tab w:val="left" w:pos="567"/>
          <w:tab w:val="left" w:pos="1134"/>
          <w:tab w:val="left" w:pos="6379"/>
        </w:tabs>
        <w:spacing w:line="255" w:lineRule="exact"/>
        <w:rPr>
          <w:rFonts w:ascii="Verdana" w:hAnsi="Verdana"/>
          <w:sz w:val="17"/>
          <w:szCs w:val="17"/>
          <w:lang w:val="en-GB" w:eastAsia="fr-FR"/>
        </w:rPr>
      </w:pPr>
    </w:p>
    <w:p w14:paraId="189889D4" w14:textId="77777777" w:rsidR="00BE250E" w:rsidRDefault="00E0128E" w:rsidP="003D692A">
      <w:pPr>
        <w:tabs>
          <w:tab w:val="left" w:pos="0"/>
          <w:tab w:val="left" w:pos="567"/>
          <w:tab w:val="left" w:pos="1134"/>
          <w:tab w:val="left" w:pos="6379"/>
        </w:tabs>
        <w:spacing w:line="255" w:lineRule="exact"/>
        <w:jc w:val="center"/>
        <w:rPr>
          <w:rFonts w:ascii="Verdana" w:hAnsi="Verdana"/>
          <w:sz w:val="17"/>
          <w:szCs w:val="17"/>
          <w:lang w:val="en-GB" w:eastAsia="fr-FR"/>
        </w:rPr>
      </w:pPr>
      <w:r w:rsidRPr="000E083F">
        <w:rPr>
          <w:rFonts w:ascii="Verdana" w:hAnsi="Verdana"/>
          <w:sz w:val="17"/>
          <w:szCs w:val="17"/>
          <w:lang w:val="en-GB" w:eastAsia="fr-FR"/>
        </w:rPr>
        <w:t xml:space="preserve">Submission to the </w:t>
      </w:r>
      <w:r w:rsidR="00BE250E">
        <w:rPr>
          <w:rFonts w:ascii="Verdana" w:hAnsi="Verdana"/>
          <w:sz w:val="17"/>
          <w:szCs w:val="17"/>
          <w:lang w:val="en-GB" w:eastAsia="fr-FR"/>
        </w:rPr>
        <w:t xml:space="preserve">United Nations </w:t>
      </w:r>
      <w:r w:rsidRPr="000E083F">
        <w:rPr>
          <w:rFonts w:ascii="Verdana" w:hAnsi="Verdana"/>
          <w:sz w:val="17"/>
          <w:szCs w:val="17"/>
          <w:lang w:val="en-GB" w:eastAsia="fr-FR"/>
        </w:rPr>
        <w:t>Special Rapporteur on Ind</w:t>
      </w:r>
      <w:r w:rsidR="00BE250E">
        <w:rPr>
          <w:rFonts w:ascii="Verdana" w:hAnsi="Verdana"/>
          <w:sz w:val="17"/>
          <w:szCs w:val="17"/>
          <w:lang w:val="en-GB" w:eastAsia="fr-FR"/>
        </w:rPr>
        <w:t>ependence of Judges and Lawyers</w:t>
      </w:r>
    </w:p>
    <w:p w14:paraId="40CD4209" w14:textId="36DA5449" w:rsidR="00E0128E" w:rsidRPr="000E083F" w:rsidRDefault="00E0128E" w:rsidP="003D692A">
      <w:pPr>
        <w:tabs>
          <w:tab w:val="left" w:pos="0"/>
          <w:tab w:val="left" w:pos="567"/>
          <w:tab w:val="left" w:pos="1134"/>
          <w:tab w:val="left" w:pos="6379"/>
        </w:tabs>
        <w:spacing w:line="255" w:lineRule="exact"/>
        <w:jc w:val="center"/>
        <w:rPr>
          <w:rFonts w:ascii="Verdana" w:hAnsi="Verdana"/>
          <w:sz w:val="17"/>
          <w:szCs w:val="17"/>
          <w:lang w:val="en-GB" w:eastAsia="fr-FR"/>
        </w:rPr>
      </w:pPr>
      <w:r w:rsidRPr="000E083F">
        <w:rPr>
          <w:rFonts w:ascii="Verdana" w:hAnsi="Verdana"/>
          <w:sz w:val="17"/>
          <w:szCs w:val="17"/>
          <w:lang w:val="en-GB" w:eastAsia="fr-FR"/>
        </w:rPr>
        <w:t xml:space="preserve">for </w:t>
      </w:r>
      <w:r w:rsidR="00BE250E">
        <w:rPr>
          <w:rFonts w:ascii="Verdana" w:hAnsi="Verdana"/>
          <w:sz w:val="17"/>
          <w:szCs w:val="17"/>
          <w:lang w:val="en-GB" w:eastAsia="fr-FR"/>
        </w:rPr>
        <w:t>his</w:t>
      </w:r>
      <w:r w:rsidR="004938A7">
        <w:rPr>
          <w:rFonts w:ascii="Verdana" w:hAnsi="Verdana"/>
          <w:sz w:val="17"/>
          <w:szCs w:val="17"/>
          <w:lang w:val="en-GB" w:eastAsia="fr-FR"/>
        </w:rPr>
        <w:t xml:space="preserve"> </w:t>
      </w:r>
      <w:r w:rsidR="00BE250E">
        <w:rPr>
          <w:rFonts w:ascii="Verdana" w:hAnsi="Verdana"/>
          <w:sz w:val="17"/>
          <w:szCs w:val="17"/>
          <w:lang w:val="en-GB" w:eastAsia="fr-FR"/>
        </w:rPr>
        <w:t xml:space="preserve">upcoming </w:t>
      </w:r>
      <w:r w:rsidRPr="000E083F">
        <w:rPr>
          <w:rFonts w:ascii="Verdana" w:hAnsi="Verdana"/>
          <w:sz w:val="17"/>
          <w:szCs w:val="17"/>
          <w:lang w:val="en-GB" w:eastAsia="fr-FR"/>
        </w:rPr>
        <w:t>rep</w:t>
      </w:r>
      <w:r w:rsidR="004938A7">
        <w:rPr>
          <w:rFonts w:ascii="Verdana" w:hAnsi="Verdana"/>
          <w:sz w:val="17"/>
          <w:szCs w:val="17"/>
          <w:lang w:val="en-GB" w:eastAsia="fr-FR"/>
        </w:rPr>
        <w:t>ort to the Human Rights Council</w:t>
      </w:r>
    </w:p>
    <w:p w14:paraId="1D6B3A00" w14:textId="77777777" w:rsidR="00E0128E" w:rsidRPr="000E083F" w:rsidRDefault="00E0128E" w:rsidP="003D692A">
      <w:pPr>
        <w:tabs>
          <w:tab w:val="left" w:pos="0"/>
          <w:tab w:val="left" w:pos="567"/>
          <w:tab w:val="left" w:pos="1134"/>
          <w:tab w:val="left" w:pos="6379"/>
        </w:tabs>
        <w:spacing w:line="255" w:lineRule="exact"/>
        <w:jc w:val="center"/>
        <w:rPr>
          <w:rFonts w:ascii="Verdana" w:hAnsi="Verdana"/>
          <w:sz w:val="17"/>
          <w:szCs w:val="17"/>
          <w:lang w:val="en-GB" w:eastAsia="fr-FR"/>
        </w:rPr>
      </w:pPr>
    </w:p>
    <w:p w14:paraId="359CC69A" w14:textId="4F933A46" w:rsidR="00E0128E" w:rsidRPr="000E083F" w:rsidRDefault="009B1854" w:rsidP="003D692A">
      <w:pPr>
        <w:tabs>
          <w:tab w:val="left" w:pos="0"/>
          <w:tab w:val="left" w:pos="567"/>
          <w:tab w:val="left" w:pos="1134"/>
          <w:tab w:val="left" w:pos="6379"/>
        </w:tabs>
        <w:spacing w:line="255" w:lineRule="exact"/>
        <w:jc w:val="center"/>
        <w:rPr>
          <w:rFonts w:ascii="Verdana" w:hAnsi="Verdana"/>
          <w:sz w:val="17"/>
          <w:szCs w:val="17"/>
          <w:lang w:val="en-GB" w:eastAsia="fr-FR"/>
        </w:rPr>
      </w:pPr>
      <w:r>
        <w:rPr>
          <w:rFonts w:ascii="Verdana" w:hAnsi="Verdana"/>
          <w:sz w:val="17"/>
          <w:szCs w:val="17"/>
          <w:lang w:val="en-GB" w:eastAsia="fr-FR"/>
        </w:rPr>
        <w:t>February</w:t>
      </w:r>
      <w:r w:rsidR="00E0128E" w:rsidRPr="000E083F">
        <w:rPr>
          <w:rFonts w:ascii="Verdana" w:hAnsi="Verdana"/>
          <w:sz w:val="17"/>
          <w:szCs w:val="17"/>
          <w:lang w:val="en-GB" w:eastAsia="fr-FR"/>
        </w:rPr>
        <w:t xml:space="preserve"> 201</w:t>
      </w:r>
      <w:r w:rsidR="0007362F">
        <w:rPr>
          <w:rFonts w:ascii="Verdana" w:hAnsi="Verdana"/>
          <w:sz w:val="17"/>
          <w:szCs w:val="17"/>
          <w:lang w:val="en-GB" w:eastAsia="fr-FR"/>
        </w:rPr>
        <w:t>9</w:t>
      </w:r>
    </w:p>
    <w:p w14:paraId="5A7BC90D" w14:textId="77777777" w:rsidR="00E0128E" w:rsidRPr="000E083F" w:rsidRDefault="00E0128E" w:rsidP="003D692A">
      <w:pPr>
        <w:tabs>
          <w:tab w:val="left" w:pos="0"/>
          <w:tab w:val="left" w:pos="567"/>
          <w:tab w:val="left" w:pos="1134"/>
          <w:tab w:val="left" w:pos="6379"/>
        </w:tabs>
        <w:spacing w:line="255" w:lineRule="exact"/>
        <w:jc w:val="center"/>
        <w:rPr>
          <w:rFonts w:ascii="Verdana" w:hAnsi="Verdana"/>
          <w:sz w:val="17"/>
          <w:szCs w:val="17"/>
          <w:lang w:val="en-GB" w:eastAsia="fr-FR"/>
        </w:rPr>
      </w:pPr>
    </w:p>
    <w:p w14:paraId="59DCE006" w14:textId="77777777" w:rsidR="00E0128E" w:rsidRPr="000E083F" w:rsidRDefault="00E0128E" w:rsidP="003D692A">
      <w:pPr>
        <w:tabs>
          <w:tab w:val="left" w:pos="0"/>
          <w:tab w:val="left" w:pos="567"/>
          <w:tab w:val="left" w:pos="1134"/>
          <w:tab w:val="left" w:pos="6379"/>
        </w:tabs>
        <w:spacing w:line="255" w:lineRule="exact"/>
        <w:jc w:val="center"/>
        <w:rPr>
          <w:rFonts w:ascii="Verdana" w:hAnsi="Verdana"/>
          <w:sz w:val="17"/>
          <w:szCs w:val="17"/>
          <w:lang w:val="en-GB" w:eastAsia="fr-FR"/>
        </w:rPr>
      </w:pPr>
    </w:p>
    <w:p w14:paraId="2FED62A0" w14:textId="76EC342A" w:rsidR="001C4040" w:rsidRDefault="001C4040" w:rsidP="003D692A">
      <w:pPr>
        <w:tabs>
          <w:tab w:val="left" w:pos="0"/>
          <w:tab w:val="left" w:pos="567"/>
          <w:tab w:val="left" w:pos="1134"/>
          <w:tab w:val="left" w:pos="6379"/>
        </w:tabs>
        <w:spacing w:line="255" w:lineRule="exact"/>
        <w:rPr>
          <w:rFonts w:ascii="Verdana" w:hAnsi="Verdana"/>
          <w:b/>
          <w:sz w:val="17"/>
          <w:szCs w:val="17"/>
          <w:lang w:val="en-GB" w:eastAsia="fr-FR"/>
        </w:rPr>
      </w:pPr>
      <w:r>
        <w:rPr>
          <w:rFonts w:ascii="Verdana" w:hAnsi="Verdana"/>
          <w:b/>
          <w:sz w:val="17"/>
          <w:szCs w:val="17"/>
          <w:lang w:val="en-GB" w:eastAsia="fr-FR"/>
        </w:rPr>
        <w:t>Introduction</w:t>
      </w:r>
    </w:p>
    <w:p w14:paraId="6E899AF2" w14:textId="77777777" w:rsidR="001C4040" w:rsidRDefault="001C4040" w:rsidP="003D692A">
      <w:pPr>
        <w:tabs>
          <w:tab w:val="left" w:pos="0"/>
          <w:tab w:val="left" w:pos="567"/>
          <w:tab w:val="left" w:pos="1134"/>
          <w:tab w:val="left" w:pos="6379"/>
        </w:tabs>
        <w:spacing w:line="255" w:lineRule="exact"/>
        <w:rPr>
          <w:rFonts w:ascii="Verdana" w:hAnsi="Verdana"/>
          <w:b/>
          <w:sz w:val="17"/>
          <w:szCs w:val="17"/>
          <w:lang w:val="en-GB" w:eastAsia="fr-FR"/>
        </w:rPr>
      </w:pPr>
    </w:p>
    <w:p w14:paraId="4D4B7298" w14:textId="020E2A86" w:rsidR="00BE250E" w:rsidRDefault="00E0128E" w:rsidP="003D692A">
      <w:pPr>
        <w:tabs>
          <w:tab w:val="left" w:pos="0"/>
          <w:tab w:val="left" w:pos="567"/>
          <w:tab w:val="left" w:pos="1134"/>
          <w:tab w:val="left" w:pos="6379"/>
        </w:tabs>
        <w:spacing w:line="255" w:lineRule="exact"/>
        <w:rPr>
          <w:rFonts w:ascii="Verdana" w:hAnsi="Verdana"/>
          <w:sz w:val="17"/>
          <w:szCs w:val="17"/>
          <w:lang w:val="en-GB" w:eastAsia="fr-FR"/>
        </w:rPr>
      </w:pPr>
      <w:r w:rsidRPr="000E083F">
        <w:rPr>
          <w:rFonts w:ascii="Verdana" w:hAnsi="Verdana"/>
          <w:sz w:val="17"/>
          <w:szCs w:val="17"/>
          <w:lang w:val="en-GB" w:eastAsia="fr-FR"/>
        </w:rPr>
        <w:lastRenderedPageBreak/>
        <w:t xml:space="preserve">The International Commission of Jurists (ICJ) thanks the Special Rapporteur for this opportunity to provide input to </w:t>
      </w:r>
      <w:r w:rsidR="009525CB">
        <w:rPr>
          <w:rFonts w:ascii="Verdana" w:hAnsi="Verdana"/>
          <w:sz w:val="17"/>
          <w:szCs w:val="17"/>
          <w:lang w:val="en-GB" w:eastAsia="fr-FR"/>
        </w:rPr>
        <w:t>his</w:t>
      </w:r>
      <w:r w:rsidRPr="000E083F">
        <w:rPr>
          <w:rFonts w:ascii="Verdana" w:hAnsi="Verdana"/>
          <w:sz w:val="17"/>
          <w:szCs w:val="17"/>
          <w:lang w:val="en-GB" w:eastAsia="fr-FR"/>
        </w:rPr>
        <w:t xml:space="preserve"> forthcoming report </w:t>
      </w:r>
      <w:r w:rsidR="009525CB">
        <w:rPr>
          <w:rFonts w:ascii="Verdana" w:hAnsi="Verdana"/>
          <w:sz w:val="17"/>
          <w:szCs w:val="17"/>
          <w:lang w:val="en-GB" w:eastAsia="fr-FR"/>
        </w:rPr>
        <w:t xml:space="preserve">to the June 2019 session of the UN Human Rights Council, </w:t>
      </w:r>
      <w:r w:rsidRPr="000E083F">
        <w:rPr>
          <w:rFonts w:ascii="Verdana" w:hAnsi="Verdana"/>
          <w:sz w:val="17"/>
          <w:szCs w:val="17"/>
          <w:lang w:val="en-GB" w:eastAsia="fr-FR"/>
        </w:rPr>
        <w:t>on</w:t>
      </w:r>
      <w:r w:rsidR="0007362F">
        <w:rPr>
          <w:rFonts w:ascii="Verdana" w:hAnsi="Verdana"/>
          <w:sz w:val="17"/>
          <w:szCs w:val="17"/>
          <w:lang w:val="en-GB" w:eastAsia="fr-FR"/>
        </w:rPr>
        <w:t xml:space="preserve"> </w:t>
      </w:r>
      <w:r w:rsidR="004938A7" w:rsidRPr="004938A7">
        <w:rPr>
          <w:rFonts w:ascii="Verdana" w:hAnsi="Verdana"/>
          <w:sz w:val="17"/>
          <w:szCs w:val="17"/>
          <w:lang w:val="en-GB" w:eastAsia="fr-FR"/>
        </w:rPr>
        <w:t>the exercise of the right to freedom of expression, the right to freedom of association, the right to peaceful assembly and political rights by judges and prosecutors.</w:t>
      </w:r>
      <w:r w:rsidR="00BE250E">
        <w:rPr>
          <w:rFonts w:ascii="Verdana" w:hAnsi="Verdana"/>
          <w:sz w:val="17"/>
          <w:szCs w:val="17"/>
          <w:lang w:val="en-GB" w:eastAsia="fr-FR"/>
        </w:rPr>
        <w:t xml:space="preserve"> </w:t>
      </w:r>
    </w:p>
    <w:p w14:paraId="22EF3234" w14:textId="77777777" w:rsidR="00BE250E" w:rsidRDefault="00BE250E" w:rsidP="003D692A">
      <w:pPr>
        <w:tabs>
          <w:tab w:val="left" w:pos="0"/>
          <w:tab w:val="left" w:pos="567"/>
          <w:tab w:val="left" w:pos="1134"/>
          <w:tab w:val="left" w:pos="6379"/>
        </w:tabs>
        <w:spacing w:line="255" w:lineRule="exact"/>
        <w:rPr>
          <w:rFonts w:ascii="Verdana" w:hAnsi="Verdana"/>
          <w:sz w:val="17"/>
          <w:szCs w:val="17"/>
          <w:lang w:val="en-GB" w:eastAsia="fr-FR"/>
        </w:rPr>
      </w:pPr>
    </w:p>
    <w:p w14:paraId="0A6AD91C" w14:textId="499ABF31" w:rsidR="00BE250E" w:rsidRPr="00BE250E" w:rsidRDefault="00BE250E"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ICJ understands that the </w:t>
      </w:r>
      <w:r w:rsidRPr="00BE250E">
        <w:rPr>
          <w:rFonts w:ascii="Verdana" w:hAnsi="Verdana"/>
          <w:sz w:val="17"/>
          <w:szCs w:val="17"/>
          <w:lang w:val="en-GB" w:eastAsia="fr-FR"/>
        </w:rPr>
        <w:t xml:space="preserve">aim of the report </w:t>
      </w:r>
      <w:r>
        <w:rPr>
          <w:rFonts w:ascii="Verdana" w:hAnsi="Verdana"/>
          <w:sz w:val="17"/>
          <w:szCs w:val="17"/>
          <w:lang w:val="en-GB" w:eastAsia="fr-FR"/>
        </w:rPr>
        <w:t>will be</w:t>
      </w:r>
      <w:r w:rsidRPr="00BE250E">
        <w:rPr>
          <w:rFonts w:ascii="Verdana" w:hAnsi="Verdana"/>
          <w:sz w:val="17"/>
          <w:szCs w:val="17"/>
          <w:lang w:val="en-GB" w:eastAsia="fr-FR"/>
        </w:rPr>
        <w:t xml:space="preserve"> to analyse the legislation and practice existing at the national level on the exercise of these rights by judges and prosecutors, both offline and online</w:t>
      </w:r>
      <w:r w:rsidR="009525CB">
        <w:rPr>
          <w:rFonts w:ascii="Verdana" w:hAnsi="Verdana"/>
          <w:sz w:val="17"/>
          <w:szCs w:val="17"/>
          <w:lang w:val="en-GB" w:eastAsia="fr-FR"/>
        </w:rPr>
        <w:t>, and particularly to</w:t>
      </w:r>
      <w:r w:rsidRPr="00BE250E">
        <w:rPr>
          <w:rFonts w:ascii="Verdana" w:hAnsi="Verdana"/>
          <w:sz w:val="17"/>
          <w:szCs w:val="17"/>
          <w:lang w:val="en-GB" w:eastAsia="fr-FR"/>
        </w:rPr>
        <w:t xml:space="preserve"> identify restrictions specifically applicable to the exercise of fundamental freedoms by judges and prosecutors in order to preserve the dignity of their office and the impartiality and independence of the judiciary.</w:t>
      </w:r>
    </w:p>
    <w:p w14:paraId="38723BD6" w14:textId="77777777" w:rsidR="00E0128E" w:rsidRDefault="00E0128E" w:rsidP="003D692A">
      <w:pPr>
        <w:tabs>
          <w:tab w:val="left" w:pos="0"/>
          <w:tab w:val="left" w:pos="567"/>
          <w:tab w:val="left" w:pos="1134"/>
          <w:tab w:val="left" w:pos="6379"/>
        </w:tabs>
        <w:spacing w:line="255" w:lineRule="exact"/>
        <w:rPr>
          <w:rFonts w:ascii="Verdana" w:hAnsi="Verdana"/>
          <w:sz w:val="17"/>
          <w:szCs w:val="17"/>
          <w:lang w:val="en-GB" w:eastAsia="fr-FR"/>
        </w:rPr>
      </w:pPr>
    </w:p>
    <w:p w14:paraId="3ED1A662" w14:textId="7482152B" w:rsidR="001C4040" w:rsidRDefault="001C4040"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This submission does not purport to be comprehensive but highlights a range of sources that should be of potential interest to the Report. First, the submission outlines the international normative framework relevant to this topic; second, it outlines key </w:t>
      </w:r>
      <w:r>
        <w:rPr>
          <w:rFonts w:ascii="Verdana" w:hAnsi="Verdana"/>
          <w:sz w:val="17"/>
          <w:szCs w:val="17"/>
          <w:lang w:val="en-GB" w:eastAsia="fr-FR"/>
        </w:rPr>
        <w:lastRenderedPageBreak/>
        <w:t>regional jurisprudence and standards; third it notes some illustrative national cases and practice; and fourth it references some recent academic sources.</w:t>
      </w:r>
      <w:r w:rsidR="00134252">
        <w:rPr>
          <w:rFonts w:ascii="Verdana" w:hAnsi="Verdana"/>
          <w:sz w:val="17"/>
          <w:szCs w:val="17"/>
          <w:lang w:val="en-GB" w:eastAsia="fr-FR"/>
        </w:rPr>
        <w:t xml:space="preserve"> Finally it presents some summary conclusions.</w:t>
      </w:r>
    </w:p>
    <w:p w14:paraId="0BE8E621" w14:textId="77777777" w:rsidR="001C4040" w:rsidRDefault="001C4040" w:rsidP="003D692A">
      <w:pPr>
        <w:tabs>
          <w:tab w:val="left" w:pos="0"/>
          <w:tab w:val="left" w:pos="567"/>
          <w:tab w:val="left" w:pos="1134"/>
          <w:tab w:val="left" w:pos="6379"/>
        </w:tabs>
        <w:spacing w:line="255" w:lineRule="exact"/>
        <w:rPr>
          <w:rFonts w:ascii="Verdana" w:hAnsi="Verdana"/>
          <w:sz w:val="17"/>
          <w:szCs w:val="17"/>
          <w:lang w:val="en-GB" w:eastAsia="fr-FR"/>
        </w:rPr>
      </w:pPr>
    </w:p>
    <w:p w14:paraId="0F6CE4B2" w14:textId="77777777" w:rsidR="00393E7E" w:rsidRDefault="00393E7E" w:rsidP="003D692A">
      <w:pPr>
        <w:tabs>
          <w:tab w:val="left" w:pos="0"/>
          <w:tab w:val="left" w:pos="567"/>
          <w:tab w:val="left" w:pos="1134"/>
          <w:tab w:val="left" w:pos="6379"/>
        </w:tabs>
        <w:spacing w:line="255" w:lineRule="exact"/>
        <w:rPr>
          <w:rFonts w:ascii="Verdana" w:hAnsi="Verdana"/>
          <w:sz w:val="17"/>
          <w:szCs w:val="17"/>
          <w:lang w:val="en-GB" w:eastAsia="fr-FR"/>
        </w:rPr>
      </w:pPr>
    </w:p>
    <w:p w14:paraId="5F8E3317" w14:textId="20A29544" w:rsidR="00393E7E" w:rsidRPr="00393E7E" w:rsidRDefault="001C4040" w:rsidP="001C4040">
      <w:pPr>
        <w:pBdr>
          <w:top w:val="single" w:sz="4" w:space="1" w:color="auto"/>
          <w:left w:val="single" w:sz="4" w:space="4" w:color="auto"/>
          <w:bottom w:val="single" w:sz="4" w:space="1" w:color="auto"/>
          <w:right w:val="single" w:sz="4" w:space="4" w:color="auto"/>
        </w:pBdr>
        <w:tabs>
          <w:tab w:val="left" w:pos="0"/>
          <w:tab w:val="left" w:pos="567"/>
          <w:tab w:val="left" w:pos="1134"/>
          <w:tab w:val="left" w:pos="6379"/>
        </w:tabs>
        <w:spacing w:line="255" w:lineRule="exact"/>
        <w:rPr>
          <w:rFonts w:ascii="Verdana" w:hAnsi="Verdana"/>
          <w:b/>
          <w:sz w:val="17"/>
          <w:szCs w:val="17"/>
          <w:lang w:val="en-GB" w:eastAsia="fr-FR"/>
        </w:rPr>
      </w:pPr>
      <w:r>
        <w:rPr>
          <w:rFonts w:ascii="Verdana" w:hAnsi="Verdana"/>
          <w:b/>
          <w:sz w:val="17"/>
          <w:szCs w:val="17"/>
          <w:lang w:val="en-GB" w:eastAsia="fr-FR"/>
        </w:rPr>
        <w:t>1.</w:t>
      </w:r>
      <w:r w:rsidR="00F42439">
        <w:rPr>
          <w:rFonts w:ascii="Verdana" w:hAnsi="Verdana"/>
          <w:b/>
          <w:sz w:val="17"/>
          <w:szCs w:val="17"/>
          <w:lang w:val="en-GB" w:eastAsia="fr-FR"/>
        </w:rPr>
        <w:t xml:space="preserve"> </w:t>
      </w:r>
      <w:r>
        <w:rPr>
          <w:rFonts w:ascii="Verdana" w:hAnsi="Verdana"/>
          <w:b/>
          <w:sz w:val="17"/>
          <w:szCs w:val="17"/>
          <w:lang w:val="en-GB" w:eastAsia="fr-FR"/>
        </w:rPr>
        <w:t>International Normative</w:t>
      </w:r>
      <w:r w:rsidR="00393E7E">
        <w:rPr>
          <w:rFonts w:ascii="Verdana" w:hAnsi="Verdana"/>
          <w:b/>
          <w:sz w:val="17"/>
          <w:szCs w:val="17"/>
          <w:lang w:val="en-GB" w:eastAsia="fr-FR"/>
        </w:rPr>
        <w:t xml:space="preserve"> Framework</w:t>
      </w:r>
    </w:p>
    <w:p w14:paraId="6D4ADC8F" w14:textId="77777777" w:rsidR="00393E7E" w:rsidRDefault="00393E7E" w:rsidP="003D692A">
      <w:pPr>
        <w:tabs>
          <w:tab w:val="left" w:pos="0"/>
          <w:tab w:val="left" w:pos="567"/>
          <w:tab w:val="left" w:pos="1134"/>
          <w:tab w:val="left" w:pos="6379"/>
        </w:tabs>
        <w:spacing w:line="255" w:lineRule="exact"/>
        <w:rPr>
          <w:rFonts w:ascii="Verdana" w:hAnsi="Verdana"/>
          <w:sz w:val="17"/>
          <w:szCs w:val="17"/>
          <w:lang w:val="en-GB" w:eastAsia="fr-FR"/>
        </w:rPr>
      </w:pPr>
    </w:p>
    <w:p w14:paraId="6216134E" w14:textId="5D5C56A6"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w:t>
      </w:r>
      <w:r w:rsidRPr="007F18A9">
        <w:rPr>
          <w:rFonts w:ascii="Verdana" w:hAnsi="Verdana"/>
          <w:b/>
          <w:sz w:val="17"/>
          <w:szCs w:val="17"/>
          <w:lang w:val="en-GB" w:eastAsia="fr-FR"/>
        </w:rPr>
        <w:t>Universal Declaration of Human Rights</w:t>
      </w:r>
      <w:r>
        <w:rPr>
          <w:rFonts w:ascii="Verdana" w:hAnsi="Verdana"/>
          <w:sz w:val="17"/>
          <w:szCs w:val="17"/>
          <w:lang w:val="en-GB" w:eastAsia="fr-FR"/>
        </w:rPr>
        <w:t xml:space="preserve"> </w:t>
      </w:r>
      <w:r w:rsidR="009C6E84">
        <w:rPr>
          <w:rFonts w:ascii="Verdana" w:hAnsi="Verdana"/>
          <w:sz w:val="17"/>
          <w:szCs w:val="17"/>
          <w:lang w:val="en-GB" w:eastAsia="fr-FR"/>
        </w:rPr>
        <w:t xml:space="preserve">(UDHR) </w:t>
      </w:r>
      <w:r>
        <w:rPr>
          <w:rFonts w:ascii="Verdana" w:hAnsi="Verdana"/>
          <w:sz w:val="17"/>
          <w:szCs w:val="17"/>
          <w:lang w:val="en-GB" w:eastAsia="fr-FR"/>
        </w:rPr>
        <w:t>recognises, on the one hand, the freedoms of expression, association and peaceful assembly (articles 19 and 20), and on the other the need for courts and other tribunals to be independent and impartial (article 10). The Declaration provides that, “</w:t>
      </w:r>
      <w:r w:rsidRPr="00D05C3D">
        <w:rPr>
          <w:rFonts w:ascii="Verdana" w:hAnsi="Verdana"/>
          <w:sz w:val="17"/>
          <w:szCs w:val="17"/>
          <w:lang w:val="en-GB" w:eastAsia="fr-FR"/>
        </w:rPr>
        <w:t xml:space="preserve">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t>
      </w:r>
      <w:r>
        <w:rPr>
          <w:rFonts w:ascii="Verdana" w:hAnsi="Verdana"/>
          <w:sz w:val="17"/>
          <w:szCs w:val="17"/>
          <w:lang w:val="en-GB" w:eastAsia="fr-FR"/>
        </w:rPr>
        <w:t>welfare in a democratic society” (article 29(2)).</w:t>
      </w:r>
    </w:p>
    <w:p w14:paraId="15C406C7"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15A27C5C" w14:textId="53DB84EB" w:rsidR="00D05C3D" w:rsidRPr="00D05C3D" w:rsidRDefault="00D05C3D" w:rsidP="003D692A">
      <w:pPr>
        <w:tabs>
          <w:tab w:val="left" w:pos="0"/>
          <w:tab w:val="left" w:pos="567"/>
          <w:tab w:val="left" w:pos="1134"/>
          <w:tab w:val="left" w:pos="6379"/>
        </w:tabs>
        <w:spacing w:line="255" w:lineRule="exact"/>
        <w:rPr>
          <w:rFonts w:ascii="Verdana" w:hAnsi="Verdana"/>
          <w:i/>
          <w:sz w:val="17"/>
          <w:szCs w:val="17"/>
          <w:lang w:val="en-GB" w:eastAsia="fr-FR"/>
        </w:rPr>
      </w:pPr>
      <w:r>
        <w:rPr>
          <w:rFonts w:ascii="Verdana" w:hAnsi="Verdana"/>
          <w:sz w:val="17"/>
          <w:szCs w:val="17"/>
          <w:lang w:val="en-GB" w:eastAsia="fr-FR"/>
        </w:rPr>
        <w:lastRenderedPageBreak/>
        <w:t xml:space="preserve">Similar provisions are included in the </w:t>
      </w:r>
      <w:r w:rsidRPr="007F18A9">
        <w:rPr>
          <w:rFonts w:ascii="Verdana" w:hAnsi="Verdana"/>
          <w:b/>
          <w:sz w:val="17"/>
          <w:szCs w:val="17"/>
          <w:lang w:val="en-GB" w:eastAsia="fr-FR"/>
        </w:rPr>
        <w:t>International Covenant on Civil and Political Rights</w:t>
      </w:r>
      <w:r>
        <w:rPr>
          <w:rFonts w:ascii="Verdana" w:hAnsi="Verdana"/>
          <w:sz w:val="17"/>
          <w:szCs w:val="17"/>
          <w:lang w:val="en-GB" w:eastAsia="fr-FR"/>
        </w:rPr>
        <w:t xml:space="preserve"> </w:t>
      </w:r>
      <w:r w:rsidR="004574D7" w:rsidRPr="009C6E84">
        <w:rPr>
          <w:rFonts w:ascii="Verdana" w:hAnsi="Verdana"/>
          <w:sz w:val="17"/>
          <w:szCs w:val="17"/>
          <w:lang w:val="en-GB" w:eastAsia="fr-FR"/>
        </w:rPr>
        <w:t>(ICCPR)</w:t>
      </w:r>
      <w:r w:rsidR="004574D7">
        <w:rPr>
          <w:rFonts w:ascii="Verdana" w:hAnsi="Verdana"/>
          <w:sz w:val="17"/>
          <w:szCs w:val="17"/>
          <w:lang w:val="en-GB" w:eastAsia="fr-FR"/>
        </w:rPr>
        <w:t xml:space="preserve"> articles 14</w:t>
      </w:r>
      <w:r w:rsidR="00147C32">
        <w:rPr>
          <w:rFonts w:ascii="Verdana" w:hAnsi="Verdana"/>
          <w:sz w:val="17"/>
          <w:szCs w:val="17"/>
          <w:lang w:val="en-GB" w:eastAsia="fr-FR"/>
        </w:rPr>
        <w:t xml:space="preserve"> (fair trial)</w:t>
      </w:r>
      <w:r w:rsidR="004574D7">
        <w:rPr>
          <w:rFonts w:ascii="Verdana" w:hAnsi="Verdana"/>
          <w:sz w:val="17"/>
          <w:szCs w:val="17"/>
          <w:lang w:val="en-GB" w:eastAsia="fr-FR"/>
        </w:rPr>
        <w:t>, 19</w:t>
      </w:r>
      <w:r w:rsidR="00147C32">
        <w:rPr>
          <w:rFonts w:ascii="Verdana" w:hAnsi="Verdana"/>
          <w:sz w:val="17"/>
          <w:szCs w:val="17"/>
          <w:lang w:val="en-GB" w:eastAsia="fr-FR"/>
        </w:rPr>
        <w:t xml:space="preserve"> (freedom of expression and restrictions thereof)</w:t>
      </w:r>
      <w:r w:rsidR="004574D7">
        <w:rPr>
          <w:rFonts w:ascii="Verdana" w:hAnsi="Verdana"/>
          <w:sz w:val="17"/>
          <w:szCs w:val="17"/>
          <w:lang w:val="en-GB" w:eastAsia="fr-FR"/>
        </w:rPr>
        <w:t>, 21</w:t>
      </w:r>
      <w:r w:rsidR="00147C32">
        <w:rPr>
          <w:rFonts w:ascii="Verdana" w:hAnsi="Verdana"/>
          <w:sz w:val="17"/>
          <w:szCs w:val="17"/>
          <w:lang w:val="en-GB" w:eastAsia="fr-FR"/>
        </w:rPr>
        <w:t xml:space="preserve"> (right of peaceful assembly and restrictions thereof)</w:t>
      </w:r>
      <w:r w:rsidR="004574D7">
        <w:rPr>
          <w:rFonts w:ascii="Verdana" w:hAnsi="Verdana"/>
          <w:sz w:val="17"/>
          <w:szCs w:val="17"/>
          <w:lang w:val="en-GB" w:eastAsia="fr-FR"/>
        </w:rPr>
        <w:t>, 22</w:t>
      </w:r>
      <w:r w:rsidR="00147C32">
        <w:rPr>
          <w:rFonts w:ascii="Verdana" w:hAnsi="Verdana"/>
          <w:sz w:val="17"/>
          <w:szCs w:val="17"/>
          <w:lang w:val="en-GB" w:eastAsia="fr-FR"/>
        </w:rPr>
        <w:t xml:space="preserve"> (freedom of association and restrictions thereof)</w:t>
      </w:r>
      <w:r>
        <w:rPr>
          <w:rFonts w:ascii="Verdana" w:hAnsi="Verdana"/>
          <w:sz w:val="17"/>
          <w:szCs w:val="17"/>
          <w:lang w:val="en-GB" w:eastAsia="fr-FR"/>
        </w:rPr>
        <w:t>.</w:t>
      </w:r>
    </w:p>
    <w:p w14:paraId="03EF7E11"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430218E0" w14:textId="3C6A8815" w:rsidR="009C6E84" w:rsidRDefault="009C6E84" w:rsidP="009C6E84">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requirement in article 14 of the </w:t>
      </w:r>
      <w:r w:rsidRPr="009C6E84">
        <w:rPr>
          <w:rFonts w:ascii="Verdana" w:hAnsi="Verdana"/>
          <w:sz w:val="17"/>
          <w:szCs w:val="17"/>
          <w:lang w:val="en-GB" w:eastAsia="fr-FR"/>
        </w:rPr>
        <w:t>ICCPR</w:t>
      </w:r>
      <w:r>
        <w:rPr>
          <w:rFonts w:ascii="Verdana" w:hAnsi="Verdana"/>
          <w:sz w:val="17"/>
          <w:szCs w:val="17"/>
          <w:lang w:val="en-GB" w:eastAsia="fr-FR"/>
        </w:rPr>
        <w:t xml:space="preserve"> and article 10 of the UDHR that courts and certain tribunals be “independent and impartial”, means that in addition to being free of actual bias “</w:t>
      </w:r>
      <w:r w:rsidRPr="00546540">
        <w:rPr>
          <w:rFonts w:ascii="Verdana" w:hAnsi="Verdana"/>
          <w:sz w:val="17"/>
          <w:szCs w:val="17"/>
          <w:lang w:val="en-GB" w:eastAsia="fr-FR"/>
        </w:rPr>
        <w:t>the tribunal must also appear to a reasonable observer to be impartial</w:t>
      </w:r>
      <w:r>
        <w:rPr>
          <w:rFonts w:ascii="Verdana" w:hAnsi="Verdana"/>
          <w:sz w:val="17"/>
          <w:szCs w:val="17"/>
          <w:lang w:val="en-GB" w:eastAsia="fr-FR"/>
        </w:rPr>
        <w:t>”.</w:t>
      </w:r>
      <w:r>
        <w:rPr>
          <w:rStyle w:val="FootnoteReference"/>
          <w:rFonts w:ascii="Verdana" w:hAnsi="Verdana"/>
          <w:sz w:val="17"/>
          <w:szCs w:val="17"/>
          <w:lang w:val="en-GB" w:eastAsia="fr-FR"/>
        </w:rPr>
        <w:footnoteReference w:id="1"/>
      </w:r>
      <w:r>
        <w:rPr>
          <w:rFonts w:ascii="Verdana" w:hAnsi="Verdana"/>
          <w:sz w:val="17"/>
          <w:szCs w:val="17"/>
          <w:lang w:val="en-GB" w:eastAsia="fr-FR"/>
        </w:rPr>
        <w:t xml:space="preserve"> This in turn implies potential for certain special restrictions on judges’ exercise of expression, association or assembly for the purpose and to the extent necessary to guarantee these qualities. Any such restrictions would nevertheless however need to be consistent with the limitations clauses in articles 19(3), 21, </w:t>
      </w:r>
      <w:r>
        <w:rPr>
          <w:rFonts w:ascii="Verdana" w:hAnsi="Verdana"/>
          <w:sz w:val="17"/>
          <w:szCs w:val="17"/>
          <w:lang w:val="en-GB" w:eastAsia="fr-FR"/>
        </w:rPr>
        <w:lastRenderedPageBreak/>
        <w:t>and 22 of the ICCPR and article 29 of the UDHR, including particularly necessity and proportionality.</w:t>
      </w:r>
      <w:r>
        <w:rPr>
          <w:rStyle w:val="FootnoteReference"/>
          <w:rFonts w:ascii="Verdana" w:hAnsi="Verdana"/>
          <w:sz w:val="17"/>
          <w:szCs w:val="17"/>
          <w:lang w:val="en-GB" w:eastAsia="fr-FR"/>
        </w:rPr>
        <w:footnoteReference w:id="2"/>
      </w:r>
      <w:r>
        <w:rPr>
          <w:rFonts w:ascii="Verdana" w:hAnsi="Verdana"/>
          <w:sz w:val="17"/>
          <w:szCs w:val="17"/>
          <w:lang w:val="en-GB" w:eastAsia="fr-FR"/>
        </w:rPr>
        <w:t xml:space="preserve"> In principle, certain exercises by a judge or prosecutor of his or her freedom of expression, association or assembly, incompatible with his or her professional role, could be a basis for disciplinary action or even removal from office. However, any disciplinary action would itself have to comply with respect for judicial independence, including in relation to fair process and thresholds of seriousness.</w:t>
      </w:r>
      <w:r w:rsidR="00BF00F8">
        <w:rPr>
          <w:rStyle w:val="FootnoteReference"/>
          <w:rFonts w:ascii="Verdana" w:hAnsi="Verdana"/>
          <w:sz w:val="17"/>
          <w:szCs w:val="17"/>
          <w:lang w:val="en-GB" w:eastAsia="fr-FR"/>
        </w:rPr>
        <w:footnoteReference w:id="3"/>
      </w:r>
      <w:r>
        <w:rPr>
          <w:rFonts w:ascii="Verdana" w:hAnsi="Verdana"/>
          <w:sz w:val="17"/>
          <w:szCs w:val="17"/>
          <w:lang w:val="en-GB" w:eastAsia="fr-FR"/>
        </w:rPr>
        <w:t xml:space="preserve"> Furthermore, any disciplinary consequences</w:t>
      </w:r>
      <w:r w:rsidR="00E4481A">
        <w:rPr>
          <w:rFonts w:ascii="Verdana" w:hAnsi="Verdana"/>
          <w:sz w:val="17"/>
          <w:szCs w:val="17"/>
          <w:lang w:val="en-GB" w:eastAsia="fr-FR"/>
        </w:rPr>
        <w:t>,</w:t>
      </w:r>
      <w:r>
        <w:rPr>
          <w:rFonts w:ascii="Verdana" w:hAnsi="Verdana"/>
          <w:sz w:val="17"/>
          <w:szCs w:val="17"/>
          <w:lang w:val="en-GB" w:eastAsia="fr-FR"/>
        </w:rPr>
        <w:t xml:space="preserve"> including removal from </w:t>
      </w:r>
      <w:r>
        <w:rPr>
          <w:rFonts w:ascii="Verdana" w:hAnsi="Verdana"/>
          <w:sz w:val="17"/>
          <w:szCs w:val="17"/>
          <w:lang w:val="en-GB" w:eastAsia="fr-FR"/>
        </w:rPr>
        <w:lastRenderedPageBreak/>
        <w:t>office, would again need to satisfy the requirements of necessity and proportionality.</w:t>
      </w:r>
    </w:p>
    <w:p w14:paraId="5E081B2B" w14:textId="77777777" w:rsidR="009C6E84" w:rsidRDefault="009C6E84" w:rsidP="003D692A">
      <w:pPr>
        <w:tabs>
          <w:tab w:val="left" w:pos="0"/>
          <w:tab w:val="left" w:pos="567"/>
          <w:tab w:val="left" w:pos="1134"/>
          <w:tab w:val="left" w:pos="6379"/>
        </w:tabs>
        <w:spacing w:line="255" w:lineRule="exact"/>
        <w:rPr>
          <w:rFonts w:ascii="Verdana" w:hAnsi="Verdana"/>
          <w:sz w:val="17"/>
          <w:szCs w:val="17"/>
          <w:lang w:val="en-GB" w:eastAsia="fr-FR"/>
        </w:rPr>
      </w:pPr>
    </w:p>
    <w:p w14:paraId="7FF8C98C" w14:textId="7B7EBAAF" w:rsidR="009C6E84" w:rsidRDefault="009C6E84" w:rsidP="009C6E84">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A number of non-treaty standards, set out below, address these issues in more detail.</w:t>
      </w:r>
    </w:p>
    <w:p w14:paraId="780716C9" w14:textId="77777777" w:rsidR="009C6E84" w:rsidRDefault="009C6E84" w:rsidP="003D692A">
      <w:pPr>
        <w:tabs>
          <w:tab w:val="left" w:pos="0"/>
          <w:tab w:val="left" w:pos="567"/>
          <w:tab w:val="left" w:pos="1134"/>
          <w:tab w:val="left" w:pos="6379"/>
        </w:tabs>
        <w:spacing w:line="255" w:lineRule="exact"/>
        <w:rPr>
          <w:rFonts w:ascii="Verdana" w:hAnsi="Verdana"/>
          <w:sz w:val="17"/>
          <w:szCs w:val="17"/>
          <w:lang w:val="en-GB" w:eastAsia="fr-FR"/>
        </w:rPr>
      </w:pPr>
    </w:p>
    <w:p w14:paraId="2097B16C" w14:textId="66978402"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T</w:t>
      </w:r>
      <w:r w:rsidR="00E0128E" w:rsidRPr="000E083F">
        <w:rPr>
          <w:rFonts w:ascii="Verdana" w:hAnsi="Verdana"/>
          <w:sz w:val="17"/>
          <w:szCs w:val="17"/>
          <w:lang w:val="en-GB" w:eastAsia="fr-FR"/>
        </w:rPr>
        <w:t xml:space="preserve">he </w:t>
      </w:r>
      <w:r w:rsidR="00E0128E" w:rsidRPr="007F18A9">
        <w:rPr>
          <w:rFonts w:ascii="Verdana" w:hAnsi="Verdana"/>
          <w:b/>
          <w:sz w:val="17"/>
          <w:szCs w:val="17"/>
          <w:lang w:val="en-GB" w:eastAsia="fr-FR"/>
        </w:rPr>
        <w:t>UN Basic Principles on th</w:t>
      </w:r>
      <w:r w:rsidRPr="007F18A9">
        <w:rPr>
          <w:rFonts w:ascii="Verdana" w:hAnsi="Verdana"/>
          <w:b/>
          <w:sz w:val="17"/>
          <w:szCs w:val="17"/>
          <w:lang w:val="en-GB" w:eastAsia="fr-FR"/>
        </w:rPr>
        <w:t>e Independence of the Judiciary</w:t>
      </w:r>
      <w:r>
        <w:rPr>
          <w:rFonts w:ascii="Verdana" w:hAnsi="Verdana"/>
          <w:sz w:val="17"/>
          <w:szCs w:val="17"/>
          <w:lang w:val="en-GB" w:eastAsia="fr-FR"/>
        </w:rPr>
        <w:t xml:space="preserve"> provide that:</w:t>
      </w:r>
    </w:p>
    <w:p w14:paraId="5DB02FB2"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240BBB06" w14:textId="77777777" w:rsidR="00960D1A" w:rsidRPr="00E72D41" w:rsidRDefault="00960D1A" w:rsidP="003D692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8. In accordance with the Universal Declaration of Human Rights, members of the judiciary are like other citizens entitled to freedom of expression, belief, association and assembly; provided, however, that in exercising such rights, judges shall always conduct themselves in such a manner as to preserve the dignity of their office and the impartiality and independence of the judiciary.</w:t>
      </w:r>
    </w:p>
    <w:p w14:paraId="7112A38D" w14:textId="77777777" w:rsidR="00960D1A" w:rsidRPr="00E72D41" w:rsidRDefault="00960D1A" w:rsidP="003D692A">
      <w:pPr>
        <w:tabs>
          <w:tab w:val="left" w:pos="0"/>
          <w:tab w:val="left" w:pos="567"/>
          <w:tab w:val="left" w:pos="1134"/>
          <w:tab w:val="left" w:pos="6379"/>
        </w:tabs>
        <w:spacing w:line="255" w:lineRule="exact"/>
        <w:ind w:left="567"/>
        <w:rPr>
          <w:rFonts w:ascii="Verdana" w:hAnsi="Verdana"/>
          <w:sz w:val="16"/>
          <w:szCs w:val="16"/>
          <w:lang w:val="en-GB" w:eastAsia="fr-FR"/>
        </w:rPr>
      </w:pPr>
    </w:p>
    <w:p w14:paraId="4B2299E1" w14:textId="2BA7DB70" w:rsidR="00D05C3D" w:rsidRDefault="00960D1A" w:rsidP="003D692A">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lastRenderedPageBreak/>
        <w:t>9. Judges shall be free to form and join associations of judges or other organizations to represent their interests, to promote their professional training and to protect their judicial independence.</w:t>
      </w:r>
      <w:r w:rsidR="00D019E9">
        <w:rPr>
          <w:rStyle w:val="FootnoteReference"/>
          <w:rFonts w:ascii="Verdana" w:hAnsi="Verdana"/>
          <w:sz w:val="17"/>
          <w:szCs w:val="17"/>
          <w:lang w:val="en-GB" w:eastAsia="fr-FR"/>
        </w:rPr>
        <w:footnoteReference w:id="4"/>
      </w:r>
    </w:p>
    <w:p w14:paraId="6391586C"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59FA1D3F" w14:textId="5D28C69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w:t>
      </w:r>
      <w:r w:rsidRPr="007F18A9">
        <w:rPr>
          <w:rFonts w:ascii="Verdana" w:hAnsi="Verdana"/>
          <w:b/>
          <w:sz w:val="17"/>
          <w:szCs w:val="17"/>
          <w:lang w:val="en-GB" w:eastAsia="fr-FR"/>
        </w:rPr>
        <w:t>UN Guidelines on the role of Prosecutors</w:t>
      </w:r>
      <w:r w:rsidR="00960D1A">
        <w:rPr>
          <w:rFonts w:ascii="Verdana" w:hAnsi="Verdana"/>
          <w:sz w:val="17"/>
          <w:szCs w:val="17"/>
          <w:lang w:val="en-GB" w:eastAsia="fr-FR"/>
        </w:rPr>
        <w:t xml:space="preserve"> provide that</w:t>
      </w:r>
      <w:r>
        <w:rPr>
          <w:rFonts w:ascii="Verdana" w:hAnsi="Verdana"/>
          <w:sz w:val="17"/>
          <w:szCs w:val="17"/>
          <w:lang w:val="en-GB" w:eastAsia="fr-FR"/>
        </w:rPr>
        <w:t>:</w:t>
      </w:r>
    </w:p>
    <w:p w14:paraId="3182F2AF"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1AA9C5DC" w14:textId="77777777" w:rsidR="00960D1A" w:rsidRPr="00E72D41" w:rsidRDefault="00960D1A" w:rsidP="003D692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8. Prosecutors like other citizens are entitled to freedom of expression, belief, association and assembly. In particular, they shall have the right to take part in public discussion of matters concerning the law, the administration of justice and the promotion and protection of human rights and to join or form local, national or international organizations and attend their meetings, without suffering professional disadvantage by reason of their lawful action or their membership in a lawful organization. In exercising these rights, prosecutors shall always conduct themselves in accordance with the law and the recognized standards and ethics of their profession.</w:t>
      </w:r>
    </w:p>
    <w:p w14:paraId="7E183CB2" w14:textId="77777777" w:rsidR="00960D1A" w:rsidRPr="00E72D41" w:rsidRDefault="00960D1A" w:rsidP="003D692A">
      <w:pPr>
        <w:tabs>
          <w:tab w:val="left" w:pos="0"/>
          <w:tab w:val="left" w:pos="567"/>
          <w:tab w:val="left" w:pos="1134"/>
          <w:tab w:val="left" w:pos="6379"/>
        </w:tabs>
        <w:spacing w:line="255" w:lineRule="exact"/>
        <w:ind w:left="567"/>
        <w:rPr>
          <w:rFonts w:ascii="Verdana" w:hAnsi="Verdana"/>
          <w:sz w:val="16"/>
          <w:szCs w:val="16"/>
          <w:lang w:val="en-GB" w:eastAsia="fr-FR"/>
        </w:rPr>
      </w:pPr>
    </w:p>
    <w:p w14:paraId="5BFD06D2" w14:textId="13DB5916" w:rsidR="00D05C3D" w:rsidRDefault="00960D1A" w:rsidP="003D692A">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lastRenderedPageBreak/>
        <w:t>9. Prosecutors shall be free to form and join professional associations or other organizations to represent their interests, to promote their professional training and to protect their status.</w:t>
      </w:r>
      <w:r w:rsidR="00D019E9">
        <w:rPr>
          <w:rStyle w:val="FootnoteReference"/>
          <w:rFonts w:ascii="Verdana" w:hAnsi="Verdana"/>
          <w:sz w:val="17"/>
          <w:szCs w:val="17"/>
          <w:lang w:val="en-GB" w:eastAsia="fr-FR"/>
        </w:rPr>
        <w:footnoteReference w:id="5"/>
      </w:r>
    </w:p>
    <w:p w14:paraId="6B40D6F2" w14:textId="77777777" w:rsidR="00D05C3D" w:rsidRDefault="00D05C3D" w:rsidP="003D692A">
      <w:pPr>
        <w:tabs>
          <w:tab w:val="left" w:pos="0"/>
          <w:tab w:val="left" w:pos="567"/>
          <w:tab w:val="left" w:pos="1134"/>
          <w:tab w:val="left" w:pos="6379"/>
        </w:tabs>
        <w:spacing w:line="255" w:lineRule="exact"/>
        <w:rPr>
          <w:rFonts w:ascii="Verdana" w:hAnsi="Verdana"/>
          <w:sz w:val="17"/>
          <w:szCs w:val="17"/>
          <w:lang w:val="en-GB" w:eastAsia="fr-FR"/>
        </w:rPr>
      </w:pPr>
    </w:p>
    <w:p w14:paraId="4E33DF35" w14:textId="287AC88A" w:rsidR="003D692A" w:rsidRDefault="003D692A"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w:t>
      </w:r>
      <w:r w:rsidRPr="007F18A9">
        <w:rPr>
          <w:rFonts w:ascii="Verdana" w:hAnsi="Verdana"/>
          <w:b/>
          <w:sz w:val="17"/>
          <w:szCs w:val="17"/>
          <w:lang w:val="en-GB" w:eastAsia="fr-FR"/>
        </w:rPr>
        <w:t xml:space="preserve">UN Declaration on the Right and Responsibility of Individuals, Groups and Organs of Society to Promote and </w:t>
      </w:r>
      <w:r w:rsidRPr="007F18A9">
        <w:rPr>
          <w:rFonts w:ascii="Verdana" w:hAnsi="Verdana"/>
          <w:b/>
          <w:sz w:val="17"/>
          <w:szCs w:val="17"/>
          <w:lang w:val="en-GB" w:eastAsia="fr-FR"/>
        </w:rPr>
        <w:lastRenderedPageBreak/>
        <w:t>Protect Universally Recognized Human Rights and Fundamental Freedoms</w:t>
      </w:r>
      <w:r>
        <w:rPr>
          <w:rFonts w:ascii="Verdana" w:hAnsi="Verdana"/>
          <w:sz w:val="17"/>
          <w:szCs w:val="17"/>
          <w:lang w:val="en-GB" w:eastAsia="fr-FR"/>
        </w:rPr>
        <w:t>,</w:t>
      </w:r>
      <w:r w:rsidR="00C257CC">
        <w:rPr>
          <w:rStyle w:val="FootnoteReference"/>
          <w:rFonts w:ascii="Verdana" w:hAnsi="Verdana"/>
          <w:sz w:val="17"/>
          <w:szCs w:val="17"/>
          <w:lang w:val="en-GB" w:eastAsia="fr-FR"/>
        </w:rPr>
        <w:footnoteReference w:id="6"/>
      </w:r>
      <w:r>
        <w:rPr>
          <w:rFonts w:ascii="Verdana" w:hAnsi="Verdana"/>
          <w:sz w:val="17"/>
          <w:szCs w:val="17"/>
          <w:lang w:val="en-GB" w:eastAsia="fr-FR"/>
        </w:rPr>
        <w:t xml:space="preserve"> recognises the particular rights of all persons to exercise freedoms of expression, association and peaceful assembly for the </w:t>
      </w:r>
      <w:r w:rsidRPr="003D692A">
        <w:rPr>
          <w:rFonts w:ascii="Verdana" w:hAnsi="Verdana"/>
          <w:sz w:val="17"/>
          <w:szCs w:val="17"/>
          <w:lang w:val="en-GB" w:eastAsia="fr-FR"/>
        </w:rPr>
        <w:t>promoti</w:t>
      </w:r>
      <w:r>
        <w:rPr>
          <w:rFonts w:ascii="Verdana" w:hAnsi="Verdana"/>
          <w:sz w:val="17"/>
          <w:szCs w:val="17"/>
          <w:lang w:val="en-GB" w:eastAsia="fr-FR"/>
        </w:rPr>
        <w:t>o</w:t>
      </w:r>
      <w:r w:rsidRPr="003D692A">
        <w:rPr>
          <w:rFonts w:ascii="Verdana" w:hAnsi="Verdana"/>
          <w:sz w:val="17"/>
          <w:szCs w:val="17"/>
          <w:lang w:val="en-GB" w:eastAsia="fr-FR"/>
        </w:rPr>
        <w:t>n and protecti</w:t>
      </w:r>
      <w:r>
        <w:rPr>
          <w:rFonts w:ascii="Verdana" w:hAnsi="Verdana"/>
          <w:sz w:val="17"/>
          <w:szCs w:val="17"/>
          <w:lang w:val="en-GB" w:eastAsia="fr-FR"/>
        </w:rPr>
        <w:t>o</w:t>
      </w:r>
      <w:r w:rsidRPr="003D692A">
        <w:rPr>
          <w:rFonts w:ascii="Verdana" w:hAnsi="Verdana"/>
          <w:sz w:val="17"/>
          <w:szCs w:val="17"/>
          <w:lang w:val="en-GB" w:eastAsia="fr-FR"/>
        </w:rPr>
        <w:t>n</w:t>
      </w:r>
      <w:r>
        <w:rPr>
          <w:rFonts w:ascii="Verdana" w:hAnsi="Verdana"/>
          <w:sz w:val="17"/>
          <w:szCs w:val="17"/>
          <w:lang w:val="en-GB" w:eastAsia="fr-FR"/>
        </w:rPr>
        <w:t xml:space="preserve"> of</w:t>
      </w:r>
      <w:r w:rsidRPr="003D692A">
        <w:rPr>
          <w:rFonts w:ascii="Verdana" w:hAnsi="Verdana"/>
          <w:sz w:val="17"/>
          <w:szCs w:val="17"/>
          <w:lang w:val="en-GB" w:eastAsia="fr-FR"/>
        </w:rPr>
        <w:t xml:space="preserve"> human rights and fundamental freedoms</w:t>
      </w:r>
      <w:r>
        <w:rPr>
          <w:rFonts w:ascii="Verdana" w:hAnsi="Verdana"/>
          <w:sz w:val="17"/>
          <w:szCs w:val="17"/>
          <w:lang w:val="en-GB" w:eastAsia="fr-FR"/>
        </w:rPr>
        <w:t xml:space="preserve"> and against violations </w:t>
      </w:r>
      <w:r w:rsidR="00E4481A">
        <w:rPr>
          <w:rFonts w:ascii="Verdana" w:hAnsi="Verdana"/>
          <w:sz w:val="17"/>
          <w:szCs w:val="17"/>
          <w:lang w:val="en-GB" w:eastAsia="fr-FR"/>
        </w:rPr>
        <w:t xml:space="preserve">of </w:t>
      </w:r>
      <w:r>
        <w:rPr>
          <w:rFonts w:ascii="Verdana" w:hAnsi="Verdana"/>
          <w:sz w:val="17"/>
          <w:szCs w:val="17"/>
          <w:lang w:val="en-GB" w:eastAsia="fr-FR"/>
        </w:rPr>
        <w:t xml:space="preserve">such rights and freedoms. The Declaration clearly affirms this in both the professional and personal realms (see art </w:t>
      </w:r>
      <w:r w:rsidR="008406ED">
        <w:rPr>
          <w:rFonts w:ascii="Verdana" w:hAnsi="Verdana"/>
          <w:sz w:val="17"/>
          <w:szCs w:val="17"/>
          <w:lang w:val="en-GB" w:eastAsia="fr-FR"/>
        </w:rPr>
        <w:t xml:space="preserve">11 for instance). </w:t>
      </w:r>
      <w:r w:rsidR="00E4481A">
        <w:rPr>
          <w:rFonts w:ascii="Verdana" w:hAnsi="Verdana"/>
          <w:sz w:val="17"/>
          <w:szCs w:val="17"/>
          <w:lang w:val="en-GB" w:eastAsia="fr-FR"/>
        </w:rPr>
        <w:t>Article 17 states</w:t>
      </w:r>
      <w:r>
        <w:rPr>
          <w:rFonts w:ascii="Verdana" w:hAnsi="Verdana"/>
          <w:sz w:val="17"/>
          <w:szCs w:val="17"/>
          <w:lang w:val="en-GB" w:eastAsia="fr-FR"/>
        </w:rPr>
        <w:t>: “</w:t>
      </w:r>
      <w:r w:rsidRPr="003D692A">
        <w:rPr>
          <w:rFonts w:ascii="Verdana" w:hAnsi="Verdana"/>
          <w:sz w:val="17"/>
          <w:szCs w:val="17"/>
          <w:lang w:val="en-GB" w:eastAsia="fr-FR"/>
        </w:rPr>
        <w:t>In the exercise of the rights and freedoms referred to in the present Declaration, everyone, acting individually and in association with others, shall be subject only to such limitations as are in accordance with applicable international obligations and are determined by law solely for the purpose of securing due recognition and respect for the rights and freedoms of others and of meeting the just requirements of morality, public order and the general welfare in a democratic society.</w:t>
      </w:r>
      <w:r>
        <w:rPr>
          <w:rFonts w:ascii="Verdana" w:hAnsi="Verdana"/>
          <w:sz w:val="17"/>
          <w:szCs w:val="17"/>
          <w:lang w:val="en-GB" w:eastAsia="fr-FR"/>
        </w:rPr>
        <w:t>”</w:t>
      </w:r>
    </w:p>
    <w:p w14:paraId="01ADA69C" w14:textId="77777777" w:rsidR="00BA7EDF" w:rsidRDefault="00BA7EDF" w:rsidP="003D692A">
      <w:pPr>
        <w:tabs>
          <w:tab w:val="left" w:pos="0"/>
          <w:tab w:val="left" w:pos="567"/>
          <w:tab w:val="left" w:pos="1134"/>
          <w:tab w:val="left" w:pos="6379"/>
        </w:tabs>
        <w:spacing w:line="255" w:lineRule="exact"/>
        <w:rPr>
          <w:rFonts w:ascii="Verdana" w:hAnsi="Verdana"/>
          <w:sz w:val="17"/>
          <w:szCs w:val="17"/>
          <w:lang w:val="en-GB" w:eastAsia="fr-FR"/>
        </w:rPr>
      </w:pPr>
    </w:p>
    <w:p w14:paraId="7DDD521C" w14:textId="0175AE16" w:rsidR="00BA7EDF" w:rsidRPr="003D692A" w:rsidRDefault="00BA7EDF"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lastRenderedPageBreak/>
        <w:t xml:space="preserve">It is also worth noting that the UN </w:t>
      </w:r>
      <w:r w:rsidRPr="00BA7EDF">
        <w:rPr>
          <w:rFonts w:ascii="Verdana" w:hAnsi="Verdana"/>
          <w:b/>
          <w:sz w:val="17"/>
          <w:szCs w:val="17"/>
          <w:lang w:val="en-GB" w:eastAsia="fr-FR"/>
        </w:rPr>
        <w:t>Human Rights Council</w:t>
      </w:r>
      <w:r>
        <w:rPr>
          <w:rFonts w:ascii="Verdana" w:hAnsi="Verdana"/>
          <w:sz w:val="17"/>
          <w:szCs w:val="17"/>
          <w:lang w:val="en-GB" w:eastAsia="fr-FR"/>
        </w:rPr>
        <w:t>, in successive resolutions on “</w:t>
      </w:r>
      <w:r w:rsidRPr="00BA7EDF">
        <w:rPr>
          <w:rFonts w:ascii="Verdana" w:hAnsi="Verdana"/>
          <w:b/>
          <w:sz w:val="17"/>
          <w:szCs w:val="17"/>
          <w:lang w:val="en-GB" w:eastAsia="fr-FR"/>
        </w:rPr>
        <w:t>the promotion, protection and enjoyment of human rights on the Internet</w:t>
      </w:r>
      <w:r w:rsidRPr="00BA7EDF">
        <w:rPr>
          <w:rFonts w:ascii="Verdana" w:hAnsi="Verdana"/>
          <w:sz w:val="17"/>
          <w:szCs w:val="17"/>
          <w:lang w:val="en-GB" w:eastAsia="fr-FR"/>
        </w:rPr>
        <w:t>”</w:t>
      </w:r>
      <w:r w:rsidR="00F42439">
        <w:rPr>
          <w:rFonts w:ascii="Verdana" w:hAnsi="Verdana"/>
          <w:sz w:val="17"/>
          <w:szCs w:val="17"/>
          <w:lang w:val="en-GB" w:eastAsia="fr-FR"/>
        </w:rPr>
        <w:t>, has repeatedly emphasised that:</w:t>
      </w:r>
      <w:r>
        <w:rPr>
          <w:rFonts w:ascii="Verdana" w:hAnsi="Verdana"/>
          <w:sz w:val="17"/>
          <w:szCs w:val="17"/>
          <w:lang w:val="en-GB" w:eastAsia="fr-FR"/>
        </w:rPr>
        <w:t xml:space="preserve"> “</w:t>
      </w:r>
      <w:r w:rsidR="00F42439" w:rsidRPr="00F42439">
        <w:rPr>
          <w:rFonts w:ascii="Verdana" w:hAnsi="Verdana"/>
          <w:sz w:val="17"/>
          <w:szCs w:val="17"/>
          <w:lang w:val="en-GB" w:eastAsia="fr-FR"/>
        </w:rPr>
        <w:t>the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same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rights</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that</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people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have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offline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must</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also</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be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protected online, in particular</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freedom</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 expression,</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which is applicable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regardless of frontiers and through</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any</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media</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one’s</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choice,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in</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accordance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with article 19</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the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Universal Declaration</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Human</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Rights and</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of the</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International</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Covenant</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on</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Civil</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and</w:t>
      </w:r>
      <w:r w:rsidR="00F42439">
        <w:rPr>
          <w:rFonts w:ascii="Verdana" w:hAnsi="Verdana"/>
          <w:sz w:val="17"/>
          <w:szCs w:val="17"/>
          <w:lang w:val="en-GB" w:eastAsia="fr-FR"/>
        </w:rPr>
        <w:t xml:space="preserve"> </w:t>
      </w:r>
      <w:r w:rsidR="00F42439" w:rsidRPr="00F42439">
        <w:rPr>
          <w:rFonts w:ascii="Verdana" w:hAnsi="Verdana"/>
          <w:sz w:val="17"/>
          <w:szCs w:val="17"/>
          <w:lang w:val="en-GB" w:eastAsia="fr-FR"/>
        </w:rPr>
        <w:t>Political Rights</w:t>
      </w:r>
      <w:r>
        <w:rPr>
          <w:rFonts w:ascii="Verdana" w:hAnsi="Verdana"/>
          <w:sz w:val="17"/>
          <w:szCs w:val="17"/>
          <w:lang w:val="en-GB" w:eastAsia="fr-FR"/>
        </w:rPr>
        <w:t>.”</w:t>
      </w:r>
      <w:r>
        <w:rPr>
          <w:rStyle w:val="FootnoteReference"/>
          <w:rFonts w:ascii="Verdana" w:hAnsi="Verdana"/>
          <w:sz w:val="17"/>
          <w:szCs w:val="17"/>
          <w:lang w:val="en-GB" w:eastAsia="fr-FR"/>
        </w:rPr>
        <w:footnoteReference w:id="7"/>
      </w:r>
    </w:p>
    <w:p w14:paraId="3B5BE346" w14:textId="77777777" w:rsidR="00066E3F" w:rsidRDefault="00066E3F" w:rsidP="003D692A">
      <w:pPr>
        <w:tabs>
          <w:tab w:val="left" w:pos="0"/>
          <w:tab w:val="left" w:pos="567"/>
          <w:tab w:val="left" w:pos="1134"/>
          <w:tab w:val="left" w:pos="6379"/>
        </w:tabs>
        <w:spacing w:line="255" w:lineRule="exact"/>
        <w:rPr>
          <w:rFonts w:ascii="Verdana" w:hAnsi="Verdana"/>
          <w:sz w:val="17"/>
          <w:szCs w:val="17"/>
          <w:lang w:val="en-GB" w:eastAsia="fr-FR"/>
        </w:rPr>
      </w:pPr>
    </w:p>
    <w:p w14:paraId="01FF2F08" w14:textId="6B17D1F1" w:rsidR="00132396" w:rsidRDefault="004C3D76" w:rsidP="00EB7F8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The </w:t>
      </w:r>
      <w:r w:rsidR="00A11D1A" w:rsidRPr="00394DAF">
        <w:rPr>
          <w:rFonts w:ascii="Verdana" w:hAnsi="Verdana"/>
          <w:b/>
          <w:sz w:val="17"/>
          <w:szCs w:val="17"/>
          <w:lang w:val="en-GB" w:eastAsia="fr-FR"/>
        </w:rPr>
        <w:t>Bangalore Principles of Judicial Conduct</w:t>
      </w:r>
      <w:r w:rsidR="00132396">
        <w:rPr>
          <w:rFonts w:ascii="Verdana" w:hAnsi="Verdana"/>
          <w:b/>
          <w:sz w:val="17"/>
          <w:szCs w:val="17"/>
          <w:lang w:val="en-GB" w:eastAsia="fr-FR"/>
        </w:rPr>
        <w:t xml:space="preserve"> </w:t>
      </w:r>
      <w:r w:rsidR="00132396" w:rsidRPr="00EB7F80">
        <w:rPr>
          <w:rFonts w:ascii="Verdana" w:hAnsi="Verdana"/>
          <w:sz w:val="17"/>
          <w:szCs w:val="17"/>
          <w:lang w:val="en-GB" w:eastAsia="fr-FR"/>
        </w:rPr>
        <w:t>and their official</w:t>
      </w:r>
      <w:r w:rsidR="00132396">
        <w:rPr>
          <w:rFonts w:ascii="Verdana" w:hAnsi="Verdana"/>
          <w:b/>
          <w:sz w:val="17"/>
          <w:szCs w:val="17"/>
          <w:lang w:val="en-GB" w:eastAsia="fr-FR"/>
        </w:rPr>
        <w:t xml:space="preserve"> Commentary</w:t>
      </w:r>
      <w:r w:rsidR="00132396">
        <w:rPr>
          <w:rFonts w:ascii="Verdana" w:hAnsi="Verdana"/>
          <w:sz w:val="17"/>
          <w:szCs w:val="17"/>
          <w:lang w:val="en-GB" w:eastAsia="fr-FR"/>
        </w:rPr>
        <w:t xml:space="preserve"> offer extensive relevant guidance.</w:t>
      </w:r>
      <w:r w:rsidR="00EB7F80">
        <w:rPr>
          <w:rFonts w:ascii="Verdana" w:hAnsi="Verdana"/>
          <w:sz w:val="17"/>
          <w:szCs w:val="17"/>
          <w:lang w:val="en-GB" w:eastAsia="fr-FR"/>
        </w:rPr>
        <w:t xml:space="preserve"> It should be noted that, in line with the foundational principle of judicial independence, the Bangalore Principles are not designed to be implemented and enforced by the legislative or executive branches of government, but by the judiciary itself, together with such “</w:t>
      </w:r>
      <w:r w:rsidR="00EB7F80" w:rsidRPr="00EB7F80">
        <w:rPr>
          <w:rFonts w:ascii="Verdana" w:hAnsi="Verdana"/>
          <w:sz w:val="17"/>
          <w:szCs w:val="17"/>
          <w:lang w:val="en-GB" w:eastAsia="fr-FR"/>
        </w:rPr>
        <w:t>appropriate</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institutions</w:t>
      </w:r>
      <w:r w:rsidR="00EB7F80">
        <w:rPr>
          <w:rFonts w:ascii="Verdana" w:hAnsi="Verdana"/>
          <w:sz w:val="17"/>
          <w:szCs w:val="17"/>
          <w:lang w:val="en-GB" w:eastAsia="fr-FR"/>
        </w:rPr>
        <w:t>” as are “e</w:t>
      </w:r>
      <w:r w:rsidR="00EB7F80" w:rsidRPr="00EB7F80">
        <w:rPr>
          <w:rFonts w:ascii="Verdana" w:hAnsi="Verdana"/>
          <w:sz w:val="17"/>
          <w:szCs w:val="17"/>
          <w:lang w:val="en-GB" w:eastAsia="fr-FR"/>
        </w:rPr>
        <w:t>stablished</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to</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maintain</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judicial</w:t>
      </w:r>
      <w:r w:rsidR="00EB7F80">
        <w:rPr>
          <w:rFonts w:ascii="Verdana" w:hAnsi="Verdana"/>
          <w:sz w:val="17"/>
          <w:szCs w:val="17"/>
          <w:lang w:val="en-GB" w:eastAsia="fr-FR"/>
        </w:rPr>
        <w:t xml:space="preserve"> </w:t>
      </w:r>
      <w:r w:rsidR="00EB7F80">
        <w:rPr>
          <w:rFonts w:ascii="Verdana" w:hAnsi="Verdana"/>
          <w:sz w:val="17"/>
          <w:szCs w:val="17"/>
          <w:lang w:val="en-GB" w:eastAsia="fr-FR"/>
        </w:rPr>
        <w:lastRenderedPageBreak/>
        <w:t>standards” and</w:t>
      </w:r>
      <w:r w:rsidR="00EB7F80" w:rsidRPr="00EB7F80">
        <w:rPr>
          <w:rFonts w:ascii="Verdana" w:hAnsi="Verdana"/>
          <w:sz w:val="17"/>
          <w:szCs w:val="17"/>
          <w:lang w:val="en-GB" w:eastAsia="fr-FR"/>
        </w:rPr>
        <w:t xml:space="preserve"> </w:t>
      </w:r>
      <w:r w:rsidR="00EB7F80">
        <w:rPr>
          <w:rFonts w:ascii="Verdana" w:hAnsi="Verdana"/>
          <w:sz w:val="17"/>
          <w:szCs w:val="17"/>
          <w:lang w:val="en-GB" w:eastAsia="fr-FR"/>
        </w:rPr>
        <w:t>“</w:t>
      </w:r>
      <w:r w:rsidR="00EB7F80" w:rsidRPr="00EB7F80">
        <w:rPr>
          <w:rFonts w:ascii="Verdana" w:hAnsi="Verdana"/>
          <w:sz w:val="17"/>
          <w:szCs w:val="17"/>
          <w:lang w:val="en-GB" w:eastAsia="fr-FR"/>
        </w:rPr>
        <w:t>which</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are</w:t>
      </w:r>
      <w:r w:rsidR="00F8714A">
        <w:rPr>
          <w:rFonts w:ascii="Verdana" w:hAnsi="Verdana"/>
          <w:sz w:val="17"/>
          <w:szCs w:val="17"/>
          <w:lang w:val="en-GB" w:eastAsia="fr-FR"/>
        </w:rPr>
        <w:t xml:space="preserve"> </w:t>
      </w:r>
      <w:r w:rsidR="00EB7F80" w:rsidRPr="00EB7F80">
        <w:rPr>
          <w:rFonts w:ascii="Verdana" w:hAnsi="Verdana"/>
          <w:sz w:val="17"/>
          <w:szCs w:val="17"/>
          <w:lang w:val="en-GB" w:eastAsia="fr-FR"/>
        </w:rPr>
        <w:t xml:space="preserve">themselves </w:t>
      </w:r>
      <w:r w:rsidR="00EB7F80">
        <w:rPr>
          <w:rFonts w:ascii="Verdana" w:hAnsi="Verdana"/>
          <w:sz w:val="17"/>
          <w:szCs w:val="17"/>
          <w:lang w:val="en-GB" w:eastAsia="fr-FR"/>
        </w:rPr>
        <w:t>independent</w:t>
      </w:r>
      <w:r w:rsidR="00F8714A">
        <w:rPr>
          <w:rFonts w:ascii="Verdana" w:hAnsi="Verdana"/>
          <w:sz w:val="17"/>
          <w:szCs w:val="17"/>
          <w:lang w:val="en-GB" w:eastAsia="fr-FR"/>
        </w:rPr>
        <w:t xml:space="preserve"> </w:t>
      </w:r>
      <w:r w:rsidR="00EB7F80">
        <w:rPr>
          <w:rFonts w:ascii="Verdana" w:hAnsi="Verdana"/>
          <w:sz w:val="17"/>
          <w:szCs w:val="17"/>
          <w:lang w:val="en-GB" w:eastAsia="fr-FR"/>
        </w:rPr>
        <w:t>and</w:t>
      </w:r>
      <w:r w:rsidR="00F8714A">
        <w:rPr>
          <w:rFonts w:ascii="Verdana" w:hAnsi="Verdana"/>
          <w:sz w:val="17"/>
          <w:szCs w:val="17"/>
          <w:lang w:val="en-GB" w:eastAsia="fr-FR"/>
        </w:rPr>
        <w:t xml:space="preserve"> </w:t>
      </w:r>
      <w:r w:rsidR="00EB7F80">
        <w:rPr>
          <w:rFonts w:ascii="Verdana" w:hAnsi="Verdana"/>
          <w:sz w:val="17"/>
          <w:szCs w:val="17"/>
          <w:lang w:val="en-GB" w:eastAsia="fr-FR"/>
        </w:rPr>
        <w:t>impartial.”</w:t>
      </w:r>
      <w:r w:rsidR="00EB7F80">
        <w:rPr>
          <w:rStyle w:val="FootnoteReference"/>
          <w:rFonts w:ascii="Verdana" w:hAnsi="Verdana"/>
          <w:sz w:val="17"/>
          <w:szCs w:val="17"/>
          <w:lang w:val="en-GB" w:eastAsia="fr-FR"/>
        </w:rPr>
        <w:footnoteReference w:id="8"/>
      </w:r>
      <w:r w:rsidR="00645D80">
        <w:rPr>
          <w:rFonts w:ascii="Verdana" w:hAnsi="Verdana"/>
          <w:sz w:val="17"/>
          <w:szCs w:val="17"/>
          <w:lang w:val="en-GB" w:eastAsia="fr-FR"/>
        </w:rPr>
        <w:t xml:space="preserve"> Furthermore, </w:t>
      </w:r>
      <w:r w:rsidR="00866C3A">
        <w:rPr>
          <w:rFonts w:ascii="Verdana" w:hAnsi="Verdana"/>
          <w:sz w:val="17"/>
          <w:szCs w:val="17"/>
          <w:lang w:val="en-GB" w:eastAsia="fr-FR"/>
        </w:rPr>
        <w:t xml:space="preserve">not every breach of </w:t>
      </w:r>
      <w:r w:rsidR="00645D80">
        <w:rPr>
          <w:rFonts w:ascii="Verdana" w:hAnsi="Verdana"/>
          <w:sz w:val="17"/>
          <w:szCs w:val="17"/>
          <w:lang w:val="en-GB" w:eastAsia="fr-FR"/>
        </w:rPr>
        <w:t>the ethical and professional standards</w:t>
      </w:r>
      <w:r w:rsidR="00866C3A">
        <w:rPr>
          <w:rFonts w:ascii="Verdana" w:hAnsi="Verdana"/>
          <w:sz w:val="17"/>
          <w:szCs w:val="17"/>
          <w:lang w:val="en-GB" w:eastAsia="fr-FR"/>
        </w:rPr>
        <w:t xml:space="preserve"> set out in the Bangalore Principles will necessarily constitute misconduct of sufficient </w:t>
      </w:r>
      <w:r w:rsidR="00264447">
        <w:rPr>
          <w:rFonts w:ascii="Verdana" w:hAnsi="Verdana"/>
          <w:sz w:val="17"/>
          <w:szCs w:val="17"/>
          <w:lang w:val="en-GB" w:eastAsia="fr-FR"/>
        </w:rPr>
        <w:t>character or seriousness</w:t>
      </w:r>
      <w:r w:rsidR="00866C3A">
        <w:rPr>
          <w:rFonts w:ascii="Verdana" w:hAnsi="Verdana"/>
          <w:sz w:val="17"/>
          <w:szCs w:val="17"/>
          <w:lang w:val="en-GB" w:eastAsia="fr-FR"/>
        </w:rPr>
        <w:t xml:space="preserve"> to justify disciplinary proceedings or other legal restrictions affecting a judge’s rights.</w:t>
      </w:r>
      <w:r w:rsidR="00866C3A">
        <w:rPr>
          <w:rStyle w:val="FootnoteReference"/>
          <w:rFonts w:ascii="Verdana" w:hAnsi="Verdana"/>
          <w:sz w:val="17"/>
          <w:szCs w:val="17"/>
          <w:lang w:val="en-GB" w:eastAsia="fr-FR"/>
        </w:rPr>
        <w:footnoteReference w:id="9"/>
      </w:r>
    </w:p>
    <w:p w14:paraId="23172BDA" w14:textId="161688A7" w:rsidR="004C3D76" w:rsidRDefault="00132396" w:rsidP="00132396">
      <w:pPr>
        <w:pStyle w:val="ListParagraph"/>
        <w:numPr>
          <w:ilvl w:val="0"/>
          <w:numId w:val="14"/>
        </w:numPr>
        <w:tabs>
          <w:tab w:val="left" w:pos="0"/>
          <w:tab w:val="left" w:pos="567"/>
          <w:tab w:val="left" w:pos="1134"/>
          <w:tab w:val="left" w:pos="6379"/>
        </w:tabs>
        <w:spacing w:after="120" w:line="255" w:lineRule="exact"/>
        <w:ind w:left="924" w:hanging="357"/>
        <w:contextualSpacing w:val="0"/>
        <w:rPr>
          <w:rFonts w:ascii="Verdana" w:hAnsi="Verdana"/>
          <w:sz w:val="17"/>
          <w:szCs w:val="17"/>
          <w:lang w:val="en-GB" w:eastAsia="fr-FR"/>
        </w:rPr>
      </w:pPr>
      <w:r w:rsidRPr="00132396">
        <w:rPr>
          <w:rFonts w:ascii="Verdana" w:hAnsi="Verdana"/>
          <w:sz w:val="17"/>
          <w:szCs w:val="17"/>
          <w:lang w:val="en-GB" w:eastAsia="fr-FR"/>
        </w:rPr>
        <w:t>I</w:t>
      </w:r>
      <w:r w:rsidR="00A11D1A" w:rsidRPr="00132396">
        <w:rPr>
          <w:rFonts w:ascii="Verdana" w:hAnsi="Verdana"/>
          <w:sz w:val="17"/>
          <w:szCs w:val="17"/>
          <w:lang w:val="en-GB" w:eastAsia="fr-FR"/>
        </w:rPr>
        <w:t xml:space="preserve">n relation to </w:t>
      </w:r>
      <w:r w:rsidR="00A11D1A" w:rsidRPr="00132396">
        <w:rPr>
          <w:rFonts w:ascii="Verdana" w:hAnsi="Verdana"/>
          <w:sz w:val="17"/>
          <w:szCs w:val="17"/>
          <w:u w:val="single"/>
          <w:lang w:val="en-GB" w:eastAsia="fr-FR"/>
        </w:rPr>
        <w:t>independence</w:t>
      </w:r>
      <w:r w:rsidR="004C3D76" w:rsidRPr="00132396">
        <w:rPr>
          <w:rFonts w:ascii="Verdana" w:hAnsi="Verdana"/>
          <w:sz w:val="17"/>
          <w:szCs w:val="17"/>
          <w:lang w:val="en-GB" w:eastAsia="fr-FR"/>
        </w:rPr>
        <w:t xml:space="preserve">, </w:t>
      </w:r>
      <w:r>
        <w:rPr>
          <w:rFonts w:ascii="Verdana" w:hAnsi="Verdana"/>
          <w:sz w:val="17"/>
          <w:szCs w:val="17"/>
          <w:lang w:val="en-GB" w:eastAsia="fr-FR"/>
        </w:rPr>
        <w:t xml:space="preserve">the Principles </w:t>
      </w:r>
      <w:r w:rsidR="004C3D76" w:rsidRPr="00132396">
        <w:rPr>
          <w:rFonts w:ascii="Verdana" w:hAnsi="Verdana"/>
          <w:sz w:val="17"/>
          <w:szCs w:val="17"/>
          <w:lang w:val="en-GB" w:eastAsia="fr-FR"/>
        </w:rPr>
        <w:t>affirm the need for judges to be “</w:t>
      </w:r>
      <w:r w:rsidR="00E86B26" w:rsidRPr="00132396">
        <w:rPr>
          <w:rFonts w:ascii="Verdana" w:hAnsi="Verdana"/>
          <w:sz w:val="17"/>
          <w:szCs w:val="17"/>
          <w:lang w:val="en-GB" w:eastAsia="fr-FR"/>
        </w:rPr>
        <w:t xml:space="preserve">independent in relation to society in general </w:t>
      </w:r>
      <w:r w:rsidR="004C3D76" w:rsidRPr="00132396">
        <w:rPr>
          <w:rFonts w:ascii="Verdana" w:hAnsi="Verdana"/>
          <w:sz w:val="17"/>
          <w:szCs w:val="17"/>
          <w:lang w:val="en-GB" w:eastAsia="fr-FR"/>
        </w:rPr>
        <w:lastRenderedPageBreak/>
        <w:t>a</w:t>
      </w:r>
      <w:r w:rsidR="00E86B26" w:rsidRPr="00132396">
        <w:rPr>
          <w:rFonts w:ascii="Verdana" w:hAnsi="Verdana"/>
          <w:sz w:val="17"/>
          <w:szCs w:val="17"/>
          <w:lang w:val="en-GB" w:eastAsia="fr-FR"/>
        </w:rPr>
        <w:t>nd in relation to the particular parties to a dispute which the judge has to adjudicate</w:t>
      </w:r>
      <w:r w:rsidR="004C3D76" w:rsidRPr="00132396">
        <w:rPr>
          <w:rFonts w:ascii="Verdana" w:hAnsi="Verdana"/>
          <w:sz w:val="17"/>
          <w:szCs w:val="17"/>
          <w:lang w:val="en-GB" w:eastAsia="fr-FR"/>
        </w:rPr>
        <w:t>”</w:t>
      </w:r>
      <w:r w:rsidR="00C62585" w:rsidRPr="00132396">
        <w:rPr>
          <w:rFonts w:ascii="Verdana" w:hAnsi="Verdana"/>
          <w:sz w:val="17"/>
          <w:szCs w:val="17"/>
          <w:lang w:val="en-GB" w:eastAsia="fr-FR"/>
        </w:rPr>
        <w:t>, though the Commentary emphasises that the judge should not be completely isolated from the community in which he or she lives.</w:t>
      </w:r>
      <w:r w:rsidR="00C62585" w:rsidRPr="00132396">
        <w:rPr>
          <w:rStyle w:val="FootnoteReference"/>
          <w:rFonts w:ascii="Verdana" w:hAnsi="Verdana"/>
          <w:sz w:val="17"/>
          <w:szCs w:val="17"/>
          <w:lang w:val="en-GB" w:eastAsia="fr-FR"/>
        </w:rPr>
        <w:t xml:space="preserve"> </w:t>
      </w:r>
      <w:r w:rsidR="00C62585">
        <w:rPr>
          <w:rStyle w:val="FootnoteReference"/>
          <w:rFonts w:ascii="Verdana" w:hAnsi="Verdana"/>
          <w:sz w:val="17"/>
          <w:szCs w:val="17"/>
          <w:lang w:val="en-GB" w:eastAsia="fr-FR"/>
        </w:rPr>
        <w:footnoteReference w:id="10"/>
      </w:r>
      <w:r w:rsidR="00C62585" w:rsidRPr="00132396">
        <w:rPr>
          <w:rFonts w:ascii="Verdana" w:hAnsi="Verdana"/>
          <w:sz w:val="17"/>
          <w:szCs w:val="17"/>
          <w:lang w:val="en-GB" w:eastAsia="fr-FR"/>
        </w:rPr>
        <w:t xml:space="preserve"> F</w:t>
      </w:r>
      <w:r w:rsidR="004C3D76" w:rsidRPr="00132396">
        <w:rPr>
          <w:rFonts w:ascii="Verdana" w:hAnsi="Verdana"/>
          <w:sz w:val="17"/>
          <w:szCs w:val="17"/>
          <w:lang w:val="en-GB" w:eastAsia="fr-FR"/>
        </w:rPr>
        <w:t xml:space="preserve">urthermore, judges must both in reality and in appearance </w:t>
      </w:r>
      <w:r w:rsidR="00A11D1A" w:rsidRPr="00132396">
        <w:rPr>
          <w:rFonts w:ascii="Verdana" w:hAnsi="Verdana"/>
          <w:sz w:val="17"/>
          <w:szCs w:val="17"/>
          <w:lang w:val="en-GB" w:eastAsia="fr-FR"/>
        </w:rPr>
        <w:t>“be free from inappropriate connections with, and influence by, the executive and legislative branches of government</w:t>
      </w:r>
      <w:r w:rsidR="004C3D76" w:rsidRPr="00132396">
        <w:rPr>
          <w:rFonts w:ascii="Verdana" w:hAnsi="Verdana"/>
          <w:sz w:val="17"/>
          <w:szCs w:val="17"/>
          <w:lang w:val="en-GB" w:eastAsia="fr-FR"/>
        </w:rPr>
        <w:t>”</w:t>
      </w:r>
      <w:r w:rsidR="00C62585" w:rsidRPr="00132396">
        <w:rPr>
          <w:rFonts w:ascii="Verdana" w:hAnsi="Verdana"/>
          <w:sz w:val="17"/>
          <w:szCs w:val="17"/>
          <w:lang w:val="en-GB" w:eastAsia="fr-FR"/>
        </w:rPr>
        <w:t>; this implies that more onerous restrictions may be imposed on judges’ personal and professional associations with members of the executive and legislative branches of government than might be required in relation to other individuals.</w:t>
      </w:r>
      <w:r w:rsidR="00C62585">
        <w:rPr>
          <w:rStyle w:val="FootnoteReference"/>
          <w:rFonts w:ascii="Verdana" w:hAnsi="Verdana"/>
          <w:sz w:val="17"/>
          <w:szCs w:val="17"/>
          <w:lang w:val="en-GB" w:eastAsia="fr-FR"/>
        </w:rPr>
        <w:footnoteReference w:id="11"/>
      </w:r>
    </w:p>
    <w:p w14:paraId="44172C46" w14:textId="2F7BF792" w:rsidR="005E0E0E" w:rsidRPr="00132396" w:rsidRDefault="00A11D1A" w:rsidP="00132396">
      <w:pPr>
        <w:pStyle w:val="ListParagraph"/>
        <w:numPr>
          <w:ilvl w:val="0"/>
          <w:numId w:val="14"/>
        </w:numPr>
        <w:tabs>
          <w:tab w:val="left" w:pos="0"/>
          <w:tab w:val="left" w:pos="567"/>
          <w:tab w:val="left" w:pos="1134"/>
          <w:tab w:val="left" w:pos="6379"/>
        </w:tabs>
        <w:spacing w:after="120" w:line="255" w:lineRule="exact"/>
        <w:rPr>
          <w:rFonts w:ascii="Verdana" w:hAnsi="Verdana"/>
          <w:sz w:val="17"/>
          <w:szCs w:val="17"/>
          <w:lang w:val="en-GB" w:eastAsia="fr-FR"/>
        </w:rPr>
      </w:pPr>
      <w:r w:rsidRPr="00132396">
        <w:rPr>
          <w:rFonts w:ascii="Verdana" w:hAnsi="Verdana"/>
          <w:sz w:val="17"/>
          <w:szCs w:val="17"/>
          <w:lang w:val="en-GB" w:eastAsia="fr-FR"/>
        </w:rPr>
        <w:t xml:space="preserve">In relation to </w:t>
      </w:r>
      <w:r w:rsidRPr="00132396">
        <w:rPr>
          <w:rFonts w:ascii="Verdana" w:hAnsi="Verdana"/>
          <w:sz w:val="17"/>
          <w:szCs w:val="17"/>
          <w:u w:val="single"/>
          <w:lang w:val="en-GB" w:eastAsia="fr-FR"/>
        </w:rPr>
        <w:t>impartiality</w:t>
      </w:r>
      <w:r w:rsidR="00394DAF" w:rsidRPr="00132396">
        <w:rPr>
          <w:rFonts w:ascii="Verdana" w:hAnsi="Verdana"/>
          <w:sz w:val="17"/>
          <w:szCs w:val="17"/>
          <w:lang w:val="en-GB" w:eastAsia="fr-FR"/>
        </w:rPr>
        <w:t>, the Commentary to Bangalore Principles notes that “the perception that a judge is not impartial may arise in a number of ways” including among others, the judge’s “associations and activities outside the court”.</w:t>
      </w:r>
      <w:r w:rsidR="00394DAF">
        <w:rPr>
          <w:rStyle w:val="FootnoteReference"/>
          <w:rFonts w:ascii="Verdana" w:hAnsi="Verdana"/>
          <w:sz w:val="17"/>
          <w:szCs w:val="17"/>
          <w:lang w:val="en-GB" w:eastAsia="fr-FR"/>
        </w:rPr>
        <w:footnoteReference w:id="12"/>
      </w:r>
      <w:r w:rsidRPr="00132396">
        <w:rPr>
          <w:rFonts w:ascii="Verdana" w:hAnsi="Verdana"/>
          <w:sz w:val="17"/>
          <w:szCs w:val="17"/>
          <w:lang w:val="en-GB" w:eastAsia="fr-FR"/>
        </w:rPr>
        <w:t xml:space="preserve"> </w:t>
      </w:r>
      <w:r w:rsidR="00650ADC" w:rsidRPr="00132396">
        <w:rPr>
          <w:rFonts w:ascii="Verdana" w:hAnsi="Verdana"/>
          <w:sz w:val="17"/>
          <w:szCs w:val="17"/>
          <w:lang w:val="en-GB" w:eastAsia="fr-FR"/>
        </w:rPr>
        <w:t xml:space="preserve">The </w:t>
      </w:r>
      <w:r w:rsidR="00650ADC" w:rsidRPr="00132396">
        <w:rPr>
          <w:rFonts w:ascii="Verdana" w:hAnsi="Verdana"/>
          <w:sz w:val="17"/>
          <w:szCs w:val="17"/>
          <w:lang w:val="en-GB" w:eastAsia="fr-FR"/>
        </w:rPr>
        <w:lastRenderedPageBreak/>
        <w:t xml:space="preserve">Principles provide that, </w:t>
      </w:r>
      <w:r w:rsidRPr="00132396">
        <w:rPr>
          <w:rFonts w:ascii="Verdana" w:hAnsi="Verdana"/>
          <w:sz w:val="17"/>
          <w:szCs w:val="17"/>
          <w:lang w:val="en-GB" w:eastAsia="fr-FR"/>
        </w:rPr>
        <w:t>“A judge shall ensure that his or her conduct, both in and out of court, maintains and enhances the confidence of the public, the legal profession and litigants in the impartiality of t</w:t>
      </w:r>
      <w:r w:rsidR="00650ADC" w:rsidRPr="00132396">
        <w:rPr>
          <w:rFonts w:ascii="Verdana" w:hAnsi="Verdana"/>
          <w:sz w:val="17"/>
          <w:szCs w:val="17"/>
          <w:lang w:val="en-GB" w:eastAsia="fr-FR"/>
        </w:rPr>
        <w:t xml:space="preserve">he judge and of the judiciary” (2.2). The </w:t>
      </w:r>
      <w:r w:rsidR="005E0E0E" w:rsidRPr="00132396">
        <w:rPr>
          <w:rFonts w:ascii="Verdana" w:hAnsi="Verdana"/>
          <w:sz w:val="17"/>
          <w:szCs w:val="17"/>
          <w:lang w:val="en-GB" w:eastAsia="fr-FR"/>
        </w:rPr>
        <w:t>Co</w:t>
      </w:r>
      <w:r w:rsidR="00650ADC" w:rsidRPr="00132396">
        <w:rPr>
          <w:rFonts w:ascii="Verdana" w:hAnsi="Verdana"/>
          <w:sz w:val="17"/>
          <w:szCs w:val="17"/>
          <w:lang w:val="en-GB" w:eastAsia="fr-FR"/>
        </w:rPr>
        <w:t>mmentary</w:t>
      </w:r>
      <w:r w:rsidR="005E0E0E" w:rsidRPr="00132396">
        <w:rPr>
          <w:rFonts w:ascii="Verdana" w:hAnsi="Verdana"/>
          <w:sz w:val="17"/>
          <w:szCs w:val="17"/>
          <w:lang w:val="en-GB" w:eastAsia="fr-FR"/>
        </w:rPr>
        <w:t xml:space="preserve"> explains that in addition to avoiding </w:t>
      </w:r>
      <w:r w:rsidR="005E0E0E" w:rsidRPr="00132396">
        <w:rPr>
          <w:rFonts w:ascii="Verdana" w:hAnsi="Verdana"/>
          <w:i/>
          <w:sz w:val="17"/>
          <w:szCs w:val="17"/>
          <w:lang w:val="en-GB" w:eastAsia="fr-FR"/>
        </w:rPr>
        <w:t xml:space="preserve">ex parte </w:t>
      </w:r>
      <w:r w:rsidR="005E0E0E" w:rsidRPr="00132396">
        <w:rPr>
          <w:rFonts w:ascii="Verdana" w:hAnsi="Verdana"/>
          <w:sz w:val="17"/>
          <w:szCs w:val="17"/>
          <w:lang w:val="en-GB" w:eastAsia="fr-FR"/>
        </w:rPr>
        <w:t>communications with anyone involved in a case before him or her, “Out of court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too,</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judge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should</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avoid</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deliberate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use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words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conduct that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could</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reasonably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give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rise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to</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perception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absence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impartiality.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Everything -</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from a judge’s associations or business interests, to remarks that he or she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may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consider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to</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be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nothing</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more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than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harmless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banter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may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diminish</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judge’s perceived impartiality.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All partisan political activity and association should cease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upon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assumption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judicial</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office.”</w:t>
      </w:r>
      <w:r w:rsidR="005E0E0E">
        <w:rPr>
          <w:rStyle w:val="FootnoteReference"/>
          <w:rFonts w:ascii="Verdana" w:hAnsi="Verdana"/>
          <w:sz w:val="17"/>
          <w:szCs w:val="17"/>
          <w:lang w:val="en-GB" w:eastAsia="fr-FR"/>
        </w:rPr>
        <w:footnoteReference w:id="13"/>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At the same time, the Commentary notes, “There are some exceptions.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These include comments by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judge,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appropriate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occasion,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in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defence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judicial</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institution,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 xml:space="preserve">explaining particular issues of </w:t>
      </w:r>
      <w:r w:rsidR="005E0E0E" w:rsidRPr="00132396">
        <w:rPr>
          <w:rFonts w:ascii="Verdana" w:hAnsi="Verdana"/>
          <w:sz w:val="17"/>
          <w:szCs w:val="17"/>
          <w:lang w:val="en-GB" w:eastAsia="fr-FR"/>
        </w:rPr>
        <w:lastRenderedPageBreak/>
        <w:t>law or decisions to the community or to a specialized audience,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defence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fundamental</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human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rights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and</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rule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of</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law.</w:t>
      </w:r>
      <w:r w:rsidR="00F8714A">
        <w:rPr>
          <w:rFonts w:ascii="Verdana" w:hAnsi="Verdana"/>
          <w:sz w:val="17"/>
          <w:szCs w:val="17"/>
          <w:lang w:val="en-GB" w:eastAsia="fr-FR"/>
        </w:rPr>
        <w:t xml:space="preserve"> </w:t>
      </w:r>
      <w:r w:rsidR="005E0E0E" w:rsidRPr="00132396">
        <w:rPr>
          <w:rFonts w:ascii="Verdana" w:hAnsi="Verdana"/>
          <w:sz w:val="17"/>
          <w:szCs w:val="17"/>
          <w:lang w:val="en-GB" w:eastAsia="fr-FR"/>
        </w:rPr>
        <w:t>However,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even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such</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occasions,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judge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must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be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careful</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to</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avoid,</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far</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possible,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entanglements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in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current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controversies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that</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may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reasonably</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be</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seen</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as</w:t>
      </w:r>
      <w:r w:rsidR="004E0815" w:rsidRPr="00132396">
        <w:rPr>
          <w:rFonts w:ascii="Verdana" w:hAnsi="Verdana"/>
          <w:sz w:val="17"/>
          <w:szCs w:val="17"/>
          <w:lang w:val="en-GB" w:eastAsia="fr-FR"/>
        </w:rPr>
        <w:t xml:space="preserve"> </w:t>
      </w:r>
      <w:r w:rsidR="005E0E0E" w:rsidRPr="00132396">
        <w:rPr>
          <w:rFonts w:ascii="Verdana" w:hAnsi="Verdana"/>
          <w:sz w:val="17"/>
          <w:szCs w:val="17"/>
          <w:lang w:val="en-GB" w:eastAsia="fr-FR"/>
        </w:rPr>
        <w:t>politically</w:t>
      </w:r>
      <w:r w:rsidR="004E0815" w:rsidRPr="00132396">
        <w:rPr>
          <w:rFonts w:ascii="Verdana" w:hAnsi="Verdana"/>
          <w:sz w:val="17"/>
          <w:szCs w:val="17"/>
          <w:lang w:val="en-GB" w:eastAsia="fr-FR"/>
        </w:rPr>
        <w:t xml:space="preserve"> partisan.”</w:t>
      </w:r>
      <w:r w:rsidR="004E0815">
        <w:rPr>
          <w:rStyle w:val="FootnoteReference"/>
          <w:rFonts w:ascii="Verdana" w:hAnsi="Verdana"/>
          <w:sz w:val="17"/>
          <w:szCs w:val="17"/>
          <w:lang w:val="en-GB" w:eastAsia="fr-FR"/>
        </w:rPr>
        <w:footnoteReference w:id="14"/>
      </w:r>
    </w:p>
    <w:p w14:paraId="7FEBEB46" w14:textId="7E4EA81D" w:rsidR="00DB3F44" w:rsidRDefault="00E5719D" w:rsidP="00132396">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t>The Principles state</w:t>
      </w:r>
      <w:r w:rsidR="00394DAF">
        <w:rPr>
          <w:rFonts w:ascii="Verdana" w:hAnsi="Verdana"/>
          <w:sz w:val="17"/>
          <w:szCs w:val="17"/>
          <w:lang w:val="en-GB" w:eastAsia="fr-FR"/>
        </w:rPr>
        <w:t xml:space="preserve"> that a judge should not “</w:t>
      </w:r>
      <w:r w:rsidR="00A11D1A" w:rsidRPr="00A11D1A">
        <w:rPr>
          <w:rFonts w:ascii="Verdana" w:hAnsi="Verdana"/>
          <w:sz w:val="17"/>
          <w:szCs w:val="17"/>
          <w:lang w:val="en-GB" w:eastAsia="fr-FR"/>
        </w:rPr>
        <w:t>knowingly, while a proceeding is before, or could come before, the judge, make any comment that might reasonably be expected to affect the outcome of such proceeding or impair the manifest fairness of th</w:t>
      </w:r>
      <w:r w:rsidR="00394DAF">
        <w:rPr>
          <w:rFonts w:ascii="Verdana" w:hAnsi="Verdana"/>
          <w:sz w:val="17"/>
          <w:szCs w:val="17"/>
          <w:lang w:val="en-GB" w:eastAsia="fr-FR"/>
        </w:rPr>
        <w:t xml:space="preserve">e process. Nor shall the judge </w:t>
      </w:r>
      <w:r w:rsidR="00A11D1A" w:rsidRPr="00A11D1A">
        <w:rPr>
          <w:rFonts w:ascii="Verdana" w:hAnsi="Verdana"/>
          <w:sz w:val="17"/>
          <w:szCs w:val="17"/>
          <w:lang w:val="en-GB" w:eastAsia="fr-FR"/>
        </w:rPr>
        <w:t>make any comment in public or otherwise that might affect the fair trial of any person or issue.</w:t>
      </w:r>
      <w:r w:rsidR="00394DAF">
        <w:rPr>
          <w:rFonts w:ascii="Verdana" w:hAnsi="Verdana"/>
          <w:sz w:val="17"/>
          <w:szCs w:val="17"/>
          <w:lang w:val="en-GB" w:eastAsia="fr-FR"/>
        </w:rPr>
        <w:t>”</w:t>
      </w:r>
      <w:r w:rsidR="00394DAF">
        <w:rPr>
          <w:rStyle w:val="FootnoteReference"/>
          <w:rFonts w:ascii="Verdana" w:hAnsi="Verdana"/>
          <w:sz w:val="17"/>
          <w:szCs w:val="17"/>
          <w:lang w:val="en-GB" w:eastAsia="fr-FR"/>
        </w:rPr>
        <w:footnoteReference w:id="15"/>
      </w:r>
      <w:r w:rsidR="00643EE0">
        <w:rPr>
          <w:rFonts w:ascii="Verdana" w:hAnsi="Verdana"/>
          <w:sz w:val="17"/>
          <w:szCs w:val="17"/>
          <w:lang w:val="en-GB" w:eastAsia="fr-FR"/>
        </w:rPr>
        <w:t xml:space="preserve"> The Commentary adds that, “</w:t>
      </w:r>
      <w:r w:rsidR="00643EE0" w:rsidRPr="00643EE0">
        <w:rPr>
          <w:rFonts w:ascii="Verdana" w:hAnsi="Verdana"/>
          <w:sz w:val="17"/>
          <w:szCs w:val="17"/>
          <w:lang w:val="en-GB" w:eastAsia="fr-FR"/>
        </w:rPr>
        <w:t>This prohibition does not extend to public statements made in the course of the</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judge’s</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official</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duties,</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to</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the</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explanation</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of</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lastRenderedPageBreak/>
        <w:t>court</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procedures,</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or</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to</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a</w:t>
      </w:r>
      <w:r w:rsidR="00F8714A">
        <w:rPr>
          <w:rFonts w:ascii="Verdana" w:hAnsi="Verdana"/>
          <w:sz w:val="17"/>
          <w:szCs w:val="17"/>
          <w:lang w:val="en-GB" w:eastAsia="fr-FR"/>
        </w:rPr>
        <w:t xml:space="preserve"> </w:t>
      </w:r>
      <w:r w:rsidR="00643EE0" w:rsidRPr="00643EE0">
        <w:rPr>
          <w:rFonts w:ascii="Verdana" w:hAnsi="Verdana"/>
          <w:sz w:val="17"/>
          <w:szCs w:val="17"/>
          <w:lang w:val="en-GB" w:eastAsia="fr-FR"/>
        </w:rPr>
        <w:t>scholarly presentation made for the purposes of legal education</w:t>
      </w:r>
      <w:r w:rsidR="00643EE0">
        <w:rPr>
          <w:rFonts w:ascii="Verdana" w:hAnsi="Verdana"/>
          <w:sz w:val="17"/>
          <w:szCs w:val="17"/>
          <w:lang w:val="en-GB" w:eastAsia="fr-FR"/>
        </w:rPr>
        <w:t>”.</w:t>
      </w:r>
      <w:r w:rsidR="00643EE0">
        <w:rPr>
          <w:rStyle w:val="FootnoteReference"/>
          <w:rFonts w:ascii="Verdana" w:hAnsi="Verdana"/>
          <w:sz w:val="17"/>
          <w:szCs w:val="17"/>
          <w:lang w:val="en-GB" w:eastAsia="fr-FR"/>
        </w:rPr>
        <w:footnoteReference w:id="16"/>
      </w:r>
    </w:p>
    <w:p w14:paraId="1AA21522" w14:textId="6FAA4647" w:rsidR="00A11D1A" w:rsidRDefault="00643EE0" w:rsidP="00132396">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t>However, “</w:t>
      </w:r>
      <w:r w:rsidRPr="00643EE0">
        <w:rPr>
          <w:rFonts w:ascii="Verdana" w:hAnsi="Verdana"/>
          <w:sz w:val="17"/>
          <w:szCs w:val="17"/>
          <w:lang w:val="en-GB" w:eastAsia="fr-FR"/>
        </w:rPr>
        <w:t>If</w:t>
      </w:r>
      <w:r w:rsidR="00F8714A">
        <w:rPr>
          <w:rFonts w:ascii="Verdana" w:hAnsi="Verdana"/>
          <w:sz w:val="17"/>
          <w:szCs w:val="17"/>
          <w:lang w:val="en-GB" w:eastAsia="fr-FR"/>
        </w:rPr>
        <w:t xml:space="preserve"> </w:t>
      </w:r>
      <w:r w:rsidRPr="00643EE0">
        <w:rPr>
          <w:rFonts w:ascii="Verdana" w:hAnsi="Verdana"/>
          <w:sz w:val="17"/>
          <w:szCs w:val="17"/>
          <w:lang w:val="en-GB" w:eastAsia="fr-FR"/>
        </w:rPr>
        <w:t>the</w:t>
      </w:r>
      <w:r w:rsidR="00F8714A">
        <w:rPr>
          <w:rFonts w:ascii="Verdana" w:hAnsi="Verdana"/>
          <w:sz w:val="17"/>
          <w:szCs w:val="17"/>
          <w:lang w:val="en-GB" w:eastAsia="fr-FR"/>
        </w:rPr>
        <w:t xml:space="preserve"> </w:t>
      </w:r>
      <w:r w:rsidRPr="00643EE0">
        <w:rPr>
          <w:rFonts w:ascii="Verdana" w:hAnsi="Verdana"/>
          <w:sz w:val="17"/>
          <w:szCs w:val="17"/>
          <w:lang w:val="en-GB" w:eastAsia="fr-FR"/>
        </w:rPr>
        <w:t>media</w:t>
      </w:r>
      <w:r w:rsidR="00F8714A">
        <w:rPr>
          <w:rFonts w:ascii="Verdana" w:hAnsi="Verdana"/>
          <w:sz w:val="17"/>
          <w:szCs w:val="17"/>
          <w:lang w:val="en-GB" w:eastAsia="fr-FR"/>
        </w:rPr>
        <w:t xml:space="preserve"> </w:t>
      </w:r>
      <w:r w:rsidRPr="00643EE0">
        <w:rPr>
          <w:rFonts w:ascii="Verdana" w:hAnsi="Verdana"/>
          <w:sz w:val="17"/>
          <w:szCs w:val="17"/>
          <w:lang w:val="en-GB" w:eastAsia="fr-FR"/>
        </w:rPr>
        <w:t>or</w:t>
      </w:r>
      <w:r w:rsidR="00F8714A">
        <w:rPr>
          <w:rFonts w:ascii="Verdana" w:hAnsi="Verdana"/>
          <w:sz w:val="17"/>
          <w:szCs w:val="17"/>
          <w:lang w:val="en-GB" w:eastAsia="fr-FR"/>
        </w:rPr>
        <w:t xml:space="preserve"> </w:t>
      </w:r>
      <w:r w:rsidRPr="00643EE0">
        <w:rPr>
          <w:rFonts w:ascii="Verdana" w:hAnsi="Verdana"/>
          <w:sz w:val="17"/>
          <w:szCs w:val="17"/>
          <w:lang w:val="en-GB" w:eastAsia="fr-FR"/>
        </w:rPr>
        <w:t>interested</w:t>
      </w:r>
      <w:r w:rsidR="00F8714A">
        <w:rPr>
          <w:rFonts w:ascii="Verdana" w:hAnsi="Verdana"/>
          <w:sz w:val="17"/>
          <w:szCs w:val="17"/>
          <w:lang w:val="en-GB" w:eastAsia="fr-FR"/>
        </w:rPr>
        <w:t xml:space="preserve"> </w:t>
      </w:r>
      <w:r w:rsidRPr="00643EE0">
        <w:rPr>
          <w:rFonts w:ascii="Verdana" w:hAnsi="Verdana"/>
          <w:sz w:val="17"/>
          <w:szCs w:val="17"/>
          <w:lang w:val="en-GB" w:eastAsia="fr-FR"/>
        </w:rPr>
        <w:t>members of the public criticize a decision, the judge should refrain from answering such</w:t>
      </w:r>
      <w:r w:rsidR="00F8714A">
        <w:rPr>
          <w:rFonts w:ascii="Verdana" w:hAnsi="Verdana"/>
          <w:sz w:val="17"/>
          <w:szCs w:val="17"/>
          <w:lang w:val="en-GB" w:eastAsia="fr-FR"/>
        </w:rPr>
        <w:t xml:space="preserve"> </w:t>
      </w:r>
      <w:r w:rsidRPr="00643EE0">
        <w:rPr>
          <w:rFonts w:ascii="Verdana" w:hAnsi="Verdana"/>
          <w:sz w:val="17"/>
          <w:szCs w:val="17"/>
          <w:lang w:val="en-GB" w:eastAsia="fr-FR"/>
        </w:rPr>
        <w:t>criticism</w:t>
      </w:r>
      <w:r w:rsidR="00F8714A">
        <w:rPr>
          <w:rFonts w:ascii="Verdana" w:hAnsi="Verdana"/>
          <w:sz w:val="17"/>
          <w:szCs w:val="17"/>
          <w:lang w:val="en-GB" w:eastAsia="fr-FR"/>
        </w:rPr>
        <w:t xml:space="preserve"> </w:t>
      </w:r>
      <w:r w:rsidRPr="00643EE0">
        <w:rPr>
          <w:rFonts w:ascii="Verdana" w:hAnsi="Verdana"/>
          <w:sz w:val="17"/>
          <w:szCs w:val="17"/>
          <w:lang w:val="en-GB" w:eastAsia="fr-FR"/>
        </w:rPr>
        <w:t>by</w:t>
      </w:r>
      <w:r w:rsidR="00F8714A">
        <w:rPr>
          <w:rFonts w:ascii="Verdana" w:hAnsi="Verdana"/>
          <w:sz w:val="17"/>
          <w:szCs w:val="17"/>
          <w:lang w:val="en-GB" w:eastAsia="fr-FR"/>
        </w:rPr>
        <w:t xml:space="preserve"> </w:t>
      </w:r>
      <w:r w:rsidRPr="00643EE0">
        <w:rPr>
          <w:rFonts w:ascii="Verdana" w:hAnsi="Verdana"/>
          <w:sz w:val="17"/>
          <w:szCs w:val="17"/>
          <w:lang w:val="en-GB" w:eastAsia="fr-FR"/>
        </w:rPr>
        <w:t>writing</w:t>
      </w:r>
      <w:r w:rsidR="00F8714A">
        <w:rPr>
          <w:rFonts w:ascii="Verdana" w:hAnsi="Verdana"/>
          <w:sz w:val="17"/>
          <w:szCs w:val="17"/>
          <w:lang w:val="en-GB" w:eastAsia="fr-FR"/>
        </w:rPr>
        <w:t xml:space="preserve"> </w:t>
      </w:r>
      <w:r w:rsidRPr="00643EE0">
        <w:rPr>
          <w:rFonts w:ascii="Verdana" w:hAnsi="Verdana"/>
          <w:sz w:val="17"/>
          <w:szCs w:val="17"/>
          <w:lang w:val="en-GB" w:eastAsia="fr-FR"/>
        </w:rPr>
        <w:t>to</w:t>
      </w:r>
      <w:r w:rsidR="00F8714A">
        <w:rPr>
          <w:rFonts w:ascii="Verdana" w:hAnsi="Verdana"/>
          <w:sz w:val="17"/>
          <w:szCs w:val="17"/>
          <w:lang w:val="en-GB" w:eastAsia="fr-FR"/>
        </w:rPr>
        <w:t xml:space="preserve"> </w:t>
      </w:r>
      <w:r w:rsidRPr="00643EE0">
        <w:rPr>
          <w:rFonts w:ascii="Verdana" w:hAnsi="Verdana"/>
          <w:sz w:val="17"/>
          <w:szCs w:val="17"/>
          <w:lang w:val="en-GB" w:eastAsia="fr-FR"/>
        </w:rPr>
        <w:t>the</w:t>
      </w:r>
      <w:r w:rsidR="00F8714A">
        <w:rPr>
          <w:rFonts w:ascii="Verdana" w:hAnsi="Verdana"/>
          <w:sz w:val="17"/>
          <w:szCs w:val="17"/>
          <w:lang w:val="en-GB" w:eastAsia="fr-FR"/>
        </w:rPr>
        <w:t xml:space="preserve"> </w:t>
      </w:r>
      <w:r w:rsidRPr="00643EE0">
        <w:rPr>
          <w:rFonts w:ascii="Verdana" w:hAnsi="Verdana"/>
          <w:sz w:val="17"/>
          <w:szCs w:val="17"/>
          <w:lang w:val="en-GB" w:eastAsia="fr-FR"/>
        </w:rPr>
        <w:t>press</w:t>
      </w:r>
      <w:r>
        <w:rPr>
          <w:rFonts w:ascii="Verdana" w:hAnsi="Verdana"/>
          <w:sz w:val="17"/>
          <w:szCs w:val="17"/>
          <w:lang w:val="en-GB" w:eastAsia="fr-FR"/>
        </w:rPr>
        <w:t>”</w:t>
      </w:r>
      <w:r w:rsidRPr="00643EE0">
        <w:rPr>
          <w:rFonts w:ascii="Verdana" w:hAnsi="Verdana"/>
          <w:sz w:val="17"/>
          <w:szCs w:val="17"/>
          <w:lang w:val="en-GB" w:eastAsia="fr-FR"/>
        </w:rPr>
        <w:t xml:space="preserve"> </w:t>
      </w:r>
      <w:r>
        <w:rPr>
          <w:rFonts w:ascii="Verdana" w:hAnsi="Verdana"/>
          <w:sz w:val="17"/>
          <w:szCs w:val="17"/>
          <w:lang w:val="en-GB" w:eastAsia="fr-FR"/>
        </w:rPr>
        <w:t xml:space="preserve">and “It </w:t>
      </w:r>
      <w:r w:rsidRPr="00643EE0">
        <w:rPr>
          <w:rFonts w:ascii="Verdana" w:hAnsi="Verdana"/>
          <w:sz w:val="17"/>
          <w:szCs w:val="17"/>
          <w:lang w:val="en-GB" w:eastAsia="fr-FR"/>
        </w:rPr>
        <w:t>is</w:t>
      </w:r>
      <w:r w:rsidR="00F8714A">
        <w:rPr>
          <w:rFonts w:ascii="Verdana" w:hAnsi="Verdana"/>
          <w:sz w:val="17"/>
          <w:szCs w:val="17"/>
          <w:lang w:val="en-GB" w:eastAsia="fr-FR"/>
        </w:rPr>
        <w:t xml:space="preserve"> </w:t>
      </w:r>
      <w:r w:rsidRPr="00643EE0">
        <w:rPr>
          <w:rFonts w:ascii="Verdana" w:hAnsi="Verdana"/>
          <w:sz w:val="17"/>
          <w:szCs w:val="17"/>
          <w:lang w:val="en-GB" w:eastAsia="fr-FR"/>
        </w:rPr>
        <w:t>generally</w:t>
      </w:r>
      <w:r w:rsidR="00F8714A">
        <w:rPr>
          <w:rFonts w:ascii="Verdana" w:hAnsi="Verdana"/>
          <w:sz w:val="17"/>
          <w:szCs w:val="17"/>
          <w:lang w:val="en-GB" w:eastAsia="fr-FR"/>
        </w:rPr>
        <w:t xml:space="preserve"> </w:t>
      </w:r>
      <w:r w:rsidRPr="00643EE0">
        <w:rPr>
          <w:rFonts w:ascii="Verdana" w:hAnsi="Verdana"/>
          <w:sz w:val="17"/>
          <w:szCs w:val="17"/>
          <w:lang w:val="en-GB" w:eastAsia="fr-FR"/>
        </w:rPr>
        <w:t>inappropriate for a judge to defend judicial reasons publicly.</w:t>
      </w:r>
      <w:r>
        <w:rPr>
          <w:rFonts w:ascii="Verdana" w:hAnsi="Verdana"/>
          <w:sz w:val="17"/>
          <w:szCs w:val="17"/>
          <w:lang w:val="en-GB" w:eastAsia="fr-FR"/>
        </w:rPr>
        <w:t>”</w:t>
      </w:r>
      <w:r>
        <w:rPr>
          <w:rStyle w:val="FootnoteReference"/>
          <w:rFonts w:ascii="Verdana" w:hAnsi="Verdana"/>
          <w:sz w:val="17"/>
          <w:szCs w:val="17"/>
          <w:lang w:val="en-GB" w:eastAsia="fr-FR"/>
        </w:rPr>
        <w:footnoteReference w:id="17"/>
      </w:r>
      <w:r>
        <w:rPr>
          <w:rFonts w:ascii="Verdana" w:hAnsi="Verdana"/>
          <w:sz w:val="17"/>
          <w:szCs w:val="17"/>
          <w:lang w:val="en-GB" w:eastAsia="fr-FR"/>
        </w:rPr>
        <w:t xml:space="preserve"> Furthermore, the Commenta</w:t>
      </w:r>
      <w:r w:rsidR="00DB3F44">
        <w:rPr>
          <w:rFonts w:ascii="Verdana" w:hAnsi="Verdana"/>
          <w:sz w:val="17"/>
          <w:szCs w:val="17"/>
          <w:lang w:val="en-GB" w:eastAsia="fr-FR"/>
        </w:rPr>
        <w:t xml:space="preserve">ry deems it generally unacceptable either to </w:t>
      </w:r>
      <w:r w:rsidRPr="00643EE0">
        <w:rPr>
          <w:rFonts w:ascii="Verdana" w:hAnsi="Verdana"/>
          <w:sz w:val="17"/>
          <w:szCs w:val="17"/>
          <w:lang w:val="en-GB" w:eastAsia="fr-FR"/>
        </w:rPr>
        <w:t>use the</w:t>
      </w:r>
      <w:r w:rsidR="00F8714A">
        <w:rPr>
          <w:rFonts w:ascii="Verdana" w:hAnsi="Verdana"/>
          <w:sz w:val="17"/>
          <w:szCs w:val="17"/>
          <w:lang w:val="en-GB" w:eastAsia="fr-FR"/>
        </w:rPr>
        <w:t xml:space="preserve"> </w:t>
      </w:r>
      <w:r w:rsidRPr="00643EE0">
        <w:rPr>
          <w:rFonts w:ascii="Verdana" w:hAnsi="Verdana"/>
          <w:sz w:val="17"/>
          <w:szCs w:val="17"/>
          <w:lang w:val="en-GB" w:eastAsia="fr-FR"/>
        </w:rPr>
        <w:t>media</w:t>
      </w:r>
      <w:r w:rsidR="00F8714A">
        <w:rPr>
          <w:rFonts w:ascii="Verdana" w:hAnsi="Verdana"/>
          <w:sz w:val="17"/>
          <w:szCs w:val="17"/>
          <w:lang w:val="en-GB" w:eastAsia="fr-FR"/>
        </w:rPr>
        <w:t xml:space="preserve"> </w:t>
      </w:r>
      <w:r w:rsidR="00DB3F44">
        <w:rPr>
          <w:rFonts w:ascii="Verdana" w:hAnsi="Verdana"/>
          <w:sz w:val="17"/>
          <w:szCs w:val="17"/>
          <w:lang w:val="en-GB" w:eastAsia="fr-FR"/>
        </w:rPr>
        <w:t>“</w:t>
      </w:r>
      <w:r w:rsidR="00F8714A">
        <w:rPr>
          <w:rFonts w:ascii="Verdana" w:hAnsi="Verdana"/>
          <w:sz w:val="17"/>
          <w:szCs w:val="17"/>
          <w:lang w:val="en-GB" w:eastAsia="fr-FR"/>
        </w:rPr>
        <w:t xml:space="preserve"> </w:t>
      </w:r>
      <w:r w:rsidRPr="00643EE0">
        <w:rPr>
          <w:rFonts w:ascii="Verdana" w:hAnsi="Verdana"/>
          <w:sz w:val="17"/>
          <w:szCs w:val="17"/>
          <w:lang w:val="en-GB" w:eastAsia="fr-FR"/>
        </w:rPr>
        <w:t>to</w:t>
      </w:r>
      <w:r w:rsidR="00F8714A">
        <w:rPr>
          <w:rFonts w:ascii="Verdana" w:hAnsi="Verdana"/>
          <w:sz w:val="17"/>
          <w:szCs w:val="17"/>
          <w:lang w:val="en-GB" w:eastAsia="fr-FR"/>
        </w:rPr>
        <w:t xml:space="preserve"> </w:t>
      </w:r>
      <w:r w:rsidRPr="00643EE0">
        <w:rPr>
          <w:rFonts w:ascii="Verdana" w:hAnsi="Verdana"/>
          <w:sz w:val="17"/>
          <w:szCs w:val="17"/>
          <w:lang w:val="en-GB" w:eastAsia="fr-FR"/>
        </w:rPr>
        <w:t>promote</w:t>
      </w:r>
      <w:r w:rsidR="00F8714A">
        <w:rPr>
          <w:rFonts w:ascii="Verdana" w:hAnsi="Verdana"/>
          <w:sz w:val="17"/>
          <w:szCs w:val="17"/>
          <w:lang w:val="en-GB" w:eastAsia="fr-FR"/>
        </w:rPr>
        <w:t xml:space="preserve"> </w:t>
      </w:r>
      <w:r w:rsidRPr="00643EE0">
        <w:rPr>
          <w:rFonts w:ascii="Verdana" w:hAnsi="Verdana"/>
          <w:sz w:val="17"/>
          <w:szCs w:val="17"/>
          <w:lang w:val="en-GB" w:eastAsia="fr-FR"/>
        </w:rPr>
        <w:t>a</w:t>
      </w:r>
      <w:r w:rsidR="00F8714A">
        <w:rPr>
          <w:rFonts w:ascii="Verdana" w:hAnsi="Verdana"/>
          <w:sz w:val="17"/>
          <w:szCs w:val="17"/>
          <w:lang w:val="en-GB" w:eastAsia="fr-FR"/>
        </w:rPr>
        <w:t xml:space="preserve"> </w:t>
      </w:r>
      <w:r w:rsidRPr="00643EE0">
        <w:rPr>
          <w:rFonts w:ascii="Verdana" w:hAnsi="Verdana"/>
          <w:sz w:val="17"/>
          <w:szCs w:val="17"/>
          <w:lang w:val="en-GB" w:eastAsia="fr-FR"/>
        </w:rPr>
        <w:t>judge’s</w:t>
      </w:r>
      <w:r w:rsidR="00F8714A">
        <w:rPr>
          <w:rFonts w:ascii="Verdana" w:hAnsi="Verdana"/>
          <w:sz w:val="17"/>
          <w:szCs w:val="17"/>
          <w:lang w:val="en-GB" w:eastAsia="fr-FR"/>
        </w:rPr>
        <w:t xml:space="preserve"> </w:t>
      </w:r>
      <w:r w:rsidRPr="00643EE0">
        <w:rPr>
          <w:rFonts w:ascii="Verdana" w:hAnsi="Verdana"/>
          <w:sz w:val="17"/>
          <w:szCs w:val="17"/>
          <w:lang w:val="en-GB" w:eastAsia="fr-FR"/>
        </w:rPr>
        <w:t>public image and career</w:t>
      </w:r>
      <w:r>
        <w:rPr>
          <w:rFonts w:ascii="Verdana" w:hAnsi="Verdana"/>
          <w:sz w:val="17"/>
          <w:szCs w:val="17"/>
          <w:lang w:val="en-GB" w:eastAsia="fr-FR"/>
        </w:rPr>
        <w:t>”</w:t>
      </w:r>
      <w:r w:rsidR="00DB3F44">
        <w:rPr>
          <w:rFonts w:ascii="Verdana" w:hAnsi="Verdana"/>
          <w:sz w:val="17"/>
          <w:szCs w:val="17"/>
          <w:lang w:val="en-GB" w:eastAsia="fr-FR"/>
        </w:rPr>
        <w:t xml:space="preserve"> or for a judge to</w:t>
      </w:r>
      <w:r>
        <w:rPr>
          <w:rFonts w:ascii="Verdana" w:hAnsi="Verdana"/>
          <w:sz w:val="17"/>
          <w:szCs w:val="17"/>
          <w:lang w:val="en-GB" w:eastAsia="fr-FR"/>
        </w:rPr>
        <w:t xml:space="preserve"> </w:t>
      </w:r>
      <w:r w:rsidRPr="00643EE0">
        <w:rPr>
          <w:rFonts w:ascii="Verdana" w:hAnsi="Verdana"/>
          <w:sz w:val="17"/>
          <w:szCs w:val="17"/>
          <w:lang w:val="en-GB" w:eastAsia="fr-FR"/>
        </w:rPr>
        <w:t>comment outside the court on cases before him or her, or before other judges</w:t>
      </w:r>
      <w:r w:rsidR="00DB3F44">
        <w:rPr>
          <w:rFonts w:ascii="Verdana" w:hAnsi="Verdana"/>
          <w:sz w:val="17"/>
          <w:szCs w:val="17"/>
          <w:lang w:val="en-GB" w:eastAsia="fr-FR"/>
        </w:rPr>
        <w:t>.</w:t>
      </w:r>
      <w:r w:rsidR="00DB3F44">
        <w:rPr>
          <w:rStyle w:val="FootnoteReference"/>
          <w:rFonts w:ascii="Verdana" w:hAnsi="Verdana"/>
          <w:sz w:val="17"/>
          <w:szCs w:val="17"/>
          <w:lang w:val="en-GB" w:eastAsia="fr-FR"/>
        </w:rPr>
        <w:footnoteReference w:id="18"/>
      </w:r>
      <w:r w:rsidR="00F8714A">
        <w:rPr>
          <w:rFonts w:ascii="Verdana" w:hAnsi="Verdana"/>
          <w:sz w:val="17"/>
          <w:szCs w:val="17"/>
          <w:lang w:val="en-GB" w:eastAsia="fr-FR"/>
        </w:rPr>
        <w:t xml:space="preserve"> </w:t>
      </w:r>
      <w:r w:rsidR="00DB3F44">
        <w:rPr>
          <w:rFonts w:ascii="Verdana" w:hAnsi="Verdana"/>
          <w:sz w:val="17"/>
          <w:szCs w:val="17"/>
          <w:lang w:val="en-GB" w:eastAsia="fr-FR"/>
        </w:rPr>
        <w:t>The Commentary suggests that for a judge to comment</w:t>
      </w:r>
      <w:r w:rsidR="00DB3F44" w:rsidRPr="00DB3F44">
        <w:rPr>
          <w:rFonts w:ascii="Verdana" w:hAnsi="Verdana"/>
          <w:sz w:val="17"/>
          <w:szCs w:val="17"/>
          <w:lang w:val="en-GB" w:eastAsia="fr-FR"/>
        </w:rPr>
        <w:t xml:space="preserve"> on </w:t>
      </w:r>
      <w:r w:rsidR="00DB3F44">
        <w:rPr>
          <w:rFonts w:ascii="Verdana" w:hAnsi="Verdana"/>
          <w:sz w:val="17"/>
          <w:szCs w:val="17"/>
          <w:lang w:val="en-GB" w:eastAsia="fr-FR"/>
        </w:rPr>
        <w:t>his or her own or another judge’s decision, in an academic context, would “</w:t>
      </w:r>
      <w:r w:rsidR="00DB3F44" w:rsidRPr="00DB3F44">
        <w:rPr>
          <w:rFonts w:ascii="Verdana" w:hAnsi="Verdana"/>
          <w:sz w:val="17"/>
          <w:szCs w:val="17"/>
          <w:lang w:val="en-GB" w:eastAsia="fr-FR"/>
        </w:rPr>
        <w:t>usually</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be</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permissible</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only</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if</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the</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comment</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is</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on</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a</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purely</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legal</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point</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of</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general</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interest</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decided</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or</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considered</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in</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a</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particular</w:t>
      </w:r>
      <w:r w:rsidR="00F8714A">
        <w:rPr>
          <w:rFonts w:ascii="Verdana" w:hAnsi="Verdana"/>
          <w:sz w:val="17"/>
          <w:szCs w:val="17"/>
          <w:lang w:val="en-GB" w:eastAsia="fr-FR"/>
        </w:rPr>
        <w:t xml:space="preserve"> </w:t>
      </w:r>
      <w:r w:rsidR="00DB3F44" w:rsidRPr="00DB3F44">
        <w:rPr>
          <w:rFonts w:ascii="Verdana" w:hAnsi="Verdana"/>
          <w:sz w:val="17"/>
          <w:szCs w:val="17"/>
          <w:lang w:val="en-GB" w:eastAsia="fr-FR"/>
        </w:rPr>
        <w:t>case</w:t>
      </w:r>
      <w:r w:rsidR="00DB3F44">
        <w:rPr>
          <w:rFonts w:ascii="Verdana" w:hAnsi="Verdana"/>
          <w:sz w:val="17"/>
          <w:szCs w:val="17"/>
          <w:lang w:val="en-GB" w:eastAsia="fr-FR"/>
        </w:rPr>
        <w:t xml:space="preserve">”, although this appears to be an evolving </w:t>
      </w:r>
      <w:r w:rsidR="00DB3F44">
        <w:rPr>
          <w:rFonts w:ascii="Verdana" w:hAnsi="Verdana"/>
          <w:sz w:val="17"/>
          <w:szCs w:val="17"/>
          <w:lang w:val="en-GB" w:eastAsia="fr-FR"/>
        </w:rPr>
        <w:lastRenderedPageBreak/>
        <w:t>area where expectations may be growing less restrictive over time.</w:t>
      </w:r>
      <w:r w:rsidR="00DB3F44">
        <w:rPr>
          <w:rStyle w:val="FootnoteReference"/>
          <w:rFonts w:ascii="Verdana" w:hAnsi="Verdana"/>
          <w:sz w:val="17"/>
          <w:szCs w:val="17"/>
          <w:lang w:val="en-GB" w:eastAsia="fr-FR"/>
        </w:rPr>
        <w:footnoteReference w:id="19"/>
      </w:r>
    </w:p>
    <w:p w14:paraId="02A8C674" w14:textId="50F76A6D" w:rsidR="0088035F" w:rsidRDefault="0088035F" w:rsidP="00132396">
      <w:pPr>
        <w:tabs>
          <w:tab w:val="left" w:pos="0"/>
          <w:tab w:val="left" w:pos="567"/>
          <w:tab w:val="left" w:pos="1134"/>
          <w:tab w:val="left" w:pos="6379"/>
        </w:tabs>
        <w:spacing w:after="120" w:line="255" w:lineRule="exact"/>
        <w:ind w:left="927"/>
        <w:rPr>
          <w:rFonts w:ascii="Verdana" w:hAnsi="Verdana"/>
          <w:sz w:val="17"/>
          <w:szCs w:val="17"/>
          <w:lang w:val="en-GB" w:eastAsia="fr-FR"/>
        </w:rPr>
      </w:pPr>
    </w:p>
    <w:p w14:paraId="1F70DC35" w14:textId="11DBCA49" w:rsidR="00045A2F" w:rsidRPr="0016688F" w:rsidRDefault="00A11D1A" w:rsidP="0016688F">
      <w:pPr>
        <w:pStyle w:val="ListParagraph"/>
        <w:numPr>
          <w:ilvl w:val="0"/>
          <w:numId w:val="15"/>
        </w:numPr>
        <w:tabs>
          <w:tab w:val="left" w:pos="0"/>
          <w:tab w:val="left" w:pos="567"/>
          <w:tab w:val="left" w:pos="1134"/>
          <w:tab w:val="left" w:pos="6379"/>
        </w:tabs>
        <w:spacing w:after="120" w:line="255" w:lineRule="exact"/>
        <w:rPr>
          <w:rFonts w:ascii="Verdana" w:hAnsi="Verdana"/>
          <w:sz w:val="17"/>
          <w:szCs w:val="17"/>
          <w:lang w:val="en-GB" w:eastAsia="fr-FR"/>
        </w:rPr>
      </w:pPr>
      <w:r w:rsidRPr="0016688F">
        <w:rPr>
          <w:rFonts w:ascii="Verdana" w:hAnsi="Verdana"/>
          <w:sz w:val="17"/>
          <w:szCs w:val="17"/>
          <w:lang w:val="en-GB" w:eastAsia="fr-FR"/>
        </w:rPr>
        <w:t xml:space="preserve">In relation to </w:t>
      </w:r>
      <w:r w:rsidRPr="0016688F">
        <w:rPr>
          <w:rFonts w:ascii="Verdana" w:hAnsi="Verdana"/>
          <w:sz w:val="17"/>
          <w:szCs w:val="17"/>
          <w:u w:val="single"/>
          <w:lang w:val="en-GB" w:eastAsia="fr-FR"/>
        </w:rPr>
        <w:t>propriety</w:t>
      </w:r>
      <w:r w:rsidR="00132396" w:rsidRPr="0016688F">
        <w:rPr>
          <w:rFonts w:ascii="Verdana" w:hAnsi="Verdana"/>
          <w:sz w:val="17"/>
          <w:szCs w:val="17"/>
          <w:lang w:val="en-GB" w:eastAsia="fr-FR"/>
        </w:rPr>
        <w:t xml:space="preserve">, the Bangalore Principles </w:t>
      </w:r>
      <w:r w:rsidR="00EB7F80" w:rsidRPr="0016688F">
        <w:rPr>
          <w:rFonts w:ascii="Verdana" w:hAnsi="Verdana"/>
          <w:sz w:val="17"/>
          <w:szCs w:val="17"/>
          <w:lang w:val="en-GB" w:eastAsia="fr-FR"/>
        </w:rPr>
        <w:t>provide among other things</w:t>
      </w:r>
      <w:r w:rsidRPr="0016688F">
        <w:rPr>
          <w:rFonts w:ascii="Verdana" w:hAnsi="Verdana"/>
          <w:sz w:val="17"/>
          <w:szCs w:val="17"/>
          <w:lang w:val="en-GB" w:eastAsia="fr-FR"/>
        </w:rPr>
        <w:t>:</w:t>
      </w:r>
      <w:r w:rsidR="00EB7F80" w:rsidRPr="0016688F">
        <w:rPr>
          <w:rFonts w:ascii="Verdana" w:hAnsi="Verdana"/>
          <w:sz w:val="17"/>
          <w:szCs w:val="17"/>
          <w:lang w:val="en-GB" w:eastAsia="fr-FR"/>
        </w:rPr>
        <w:t xml:space="preserve"> “As</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subject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of</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constant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public</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scrutiny,</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judge</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must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accept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personal</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restrictions</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that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might</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be</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viewed</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as</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burdensome</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by</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the</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ordinary</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citizen</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and</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should</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do</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so</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freely</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and</w:t>
      </w:r>
      <w:r w:rsidR="00F8714A">
        <w:rPr>
          <w:rFonts w:ascii="Verdana" w:hAnsi="Verdana"/>
          <w:sz w:val="17"/>
          <w:szCs w:val="17"/>
          <w:lang w:val="en-GB" w:eastAsia="fr-FR"/>
        </w:rPr>
        <w:t xml:space="preserve"> </w:t>
      </w:r>
      <w:r w:rsidR="00EB7F80" w:rsidRPr="0016688F">
        <w:rPr>
          <w:rFonts w:ascii="Verdana" w:hAnsi="Verdana"/>
          <w:sz w:val="17"/>
          <w:szCs w:val="17"/>
          <w:lang w:val="en-GB" w:eastAsia="fr-FR"/>
        </w:rPr>
        <w:t xml:space="preserve">willingly.” </w:t>
      </w:r>
      <w:r w:rsidR="00E4481A">
        <w:rPr>
          <w:rFonts w:ascii="Verdana" w:hAnsi="Verdana"/>
          <w:sz w:val="17"/>
          <w:szCs w:val="17"/>
          <w:lang w:val="en-GB" w:eastAsia="fr-FR"/>
        </w:rPr>
        <w:t>For example</w:t>
      </w:r>
      <w:r w:rsidR="0016688F" w:rsidRPr="0016688F">
        <w:rPr>
          <w:rFonts w:ascii="Verdana" w:hAnsi="Verdana"/>
          <w:sz w:val="17"/>
          <w:szCs w:val="17"/>
          <w:lang w:val="en-GB" w:eastAsia="fr-FR"/>
        </w:rPr>
        <w:t>, the Commentary adds</w:t>
      </w:r>
      <w:r w:rsidR="00E4481A">
        <w:rPr>
          <w:rFonts w:ascii="Verdana" w:hAnsi="Verdana"/>
          <w:sz w:val="17"/>
          <w:szCs w:val="17"/>
          <w:lang w:val="en-GB" w:eastAsia="fr-FR"/>
        </w:rPr>
        <w:t xml:space="preserve"> that</w:t>
      </w:r>
      <w:r w:rsidR="0016688F" w:rsidRPr="0016688F">
        <w:rPr>
          <w:rFonts w:ascii="Verdana" w:hAnsi="Verdana"/>
          <w:sz w:val="17"/>
          <w:szCs w:val="17"/>
          <w:lang w:val="en-GB" w:eastAsia="fr-FR"/>
        </w:rPr>
        <w:t xml:space="preserve"> becoming a member of or frequenting certain “clubs</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and</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other</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social</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facilities”, such as those “run</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by</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or</w:t>
      </w:r>
      <w:r w:rsidR="00F8714A">
        <w:rPr>
          <w:rFonts w:ascii="Verdana" w:hAnsi="Verdana"/>
          <w:sz w:val="17"/>
          <w:szCs w:val="17"/>
          <w:lang w:val="en-GB" w:eastAsia="fr-FR"/>
        </w:rPr>
        <w:t xml:space="preserve"> </w:t>
      </w:r>
      <w:r w:rsidR="0016688F" w:rsidRPr="0016688F">
        <w:rPr>
          <w:rFonts w:ascii="Verdana" w:hAnsi="Verdana"/>
          <w:sz w:val="17"/>
          <w:szCs w:val="17"/>
          <w:lang w:val="en-GB" w:eastAsia="fr-FR"/>
        </w:rPr>
        <w:t xml:space="preserve">for members of the police force, the anti-corruption agency and the customs and excise department, whose members are likely to appear frequently before the courts” would raise issues. On the other hand “In most societies, it is normal for judges to attend venues organized by the practising legal profession </w:t>
      </w:r>
      <w:r w:rsidR="0016688F" w:rsidRPr="0016688F">
        <w:rPr>
          <w:rFonts w:ascii="Verdana" w:hAnsi="Verdana"/>
          <w:sz w:val="17"/>
          <w:szCs w:val="17"/>
          <w:lang w:val="en-GB" w:eastAsia="fr-FR"/>
        </w:rPr>
        <w:lastRenderedPageBreak/>
        <w:t>and to mix with advocates on a social basi</w:t>
      </w:r>
      <w:r w:rsidR="00FE6281">
        <w:rPr>
          <w:rFonts w:ascii="Verdana" w:hAnsi="Verdana"/>
          <w:sz w:val="17"/>
          <w:szCs w:val="17"/>
          <w:lang w:val="en-GB" w:eastAsia="fr-FR"/>
        </w:rPr>
        <w:t>s,</w:t>
      </w:r>
      <w:r w:rsidR="0016688F">
        <w:rPr>
          <w:rFonts w:ascii="Verdana" w:hAnsi="Verdana"/>
          <w:sz w:val="17"/>
          <w:szCs w:val="17"/>
          <w:lang w:val="en-GB" w:eastAsia="fr-FR"/>
        </w:rPr>
        <w:t>”</w:t>
      </w:r>
      <w:r w:rsidR="0016688F">
        <w:rPr>
          <w:rStyle w:val="FootnoteReference"/>
          <w:rFonts w:ascii="Verdana" w:hAnsi="Verdana"/>
          <w:sz w:val="17"/>
          <w:szCs w:val="17"/>
          <w:lang w:val="en-GB" w:eastAsia="fr-FR"/>
        </w:rPr>
        <w:footnoteReference w:id="20"/>
      </w:r>
      <w:r w:rsidR="00FE6281">
        <w:rPr>
          <w:rFonts w:ascii="Verdana" w:hAnsi="Verdana"/>
          <w:sz w:val="17"/>
          <w:szCs w:val="17"/>
          <w:lang w:val="en-GB" w:eastAsia="fr-FR"/>
        </w:rPr>
        <w:t xml:space="preserve"> although social relationships between judges and lawyers give rise to complicated issues to which judges and professional regulatory bodies must be </w:t>
      </w:r>
      <w:r w:rsidR="00603179">
        <w:rPr>
          <w:rFonts w:ascii="Verdana" w:hAnsi="Verdana"/>
          <w:sz w:val="17"/>
          <w:szCs w:val="17"/>
          <w:lang w:val="en-GB" w:eastAsia="fr-FR"/>
        </w:rPr>
        <w:t xml:space="preserve">particularly </w:t>
      </w:r>
      <w:r w:rsidR="00FE6281">
        <w:rPr>
          <w:rFonts w:ascii="Verdana" w:hAnsi="Verdana"/>
          <w:sz w:val="17"/>
          <w:szCs w:val="17"/>
          <w:lang w:val="en-GB" w:eastAsia="fr-FR"/>
        </w:rPr>
        <w:t>sensitive.</w:t>
      </w:r>
      <w:r w:rsidR="00603179">
        <w:rPr>
          <w:rStyle w:val="FootnoteReference"/>
          <w:rFonts w:ascii="Verdana" w:hAnsi="Verdana"/>
          <w:sz w:val="17"/>
          <w:szCs w:val="17"/>
          <w:lang w:val="en-GB" w:eastAsia="fr-FR"/>
        </w:rPr>
        <w:footnoteReference w:id="21"/>
      </w:r>
    </w:p>
    <w:p w14:paraId="55005842" w14:textId="5ED049EF" w:rsidR="00F43118" w:rsidRDefault="00527BE6" w:rsidP="00053826">
      <w:pPr>
        <w:tabs>
          <w:tab w:val="left" w:pos="0"/>
          <w:tab w:val="left" w:pos="567"/>
          <w:tab w:val="left" w:pos="1134"/>
          <w:tab w:val="left" w:pos="6379"/>
        </w:tabs>
        <w:spacing w:after="120" w:line="255" w:lineRule="exact"/>
        <w:ind w:left="927"/>
        <w:rPr>
          <w:rFonts w:ascii="Verdana" w:hAnsi="Verdana"/>
          <w:sz w:val="17"/>
          <w:szCs w:val="17"/>
          <w:lang w:val="en-GB" w:eastAsia="fr-FR"/>
        </w:rPr>
      </w:pPr>
      <w:r w:rsidRPr="00F43118">
        <w:rPr>
          <w:rFonts w:ascii="Verdana" w:hAnsi="Verdana"/>
          <w:sz w:val="17"/>
          <w:szCs w:val="17"/>
          <w:lang w:val="en-GB" w:eastAsia="fr-FR"/>
        </w:rPr>
        <w:t xml:space="preserve">The Principles further provide that, </w:t>
      </w:r>
      <w:r w:rsidR="00A11D1A" w:rsidRPr="00F43118">
        <w:rPr>
          <w:rFonts w:ascii="Verdana" w:hAnsi="Verdana"/>
          <w:sz w:val="17"/>
          <w:szCs w:val="17"/>
          <w:lang w:val="en-GB" w:eastAsia="fr-FR"/>
        </w:rPr>
        <w:t>“A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r w:rsidRPr="00F43118">
        <w:rPr>
          <w:rFonts w:ascii="Verdana" w:hAnsi="Verdana"/>
          <w:sz w:val="17"/>
          <w:szCs w:val="17"/>
          <w:lang w:val="en-GB" w:eastAsia="fr-FR"/>
        </w:rPr>
        <w:t>”</w:t>
      </w:r>
      <w:r>
        <w:rPr>
          <w:rStyle w:val="FootnoteReference"/>
          <w:rFonts w:ascii="Verdana" w:hAnsi="Verdana"/>
          <w:sz w:val="17"/>
          <w:szCs w:val="17"/>
          <w:lang w:val="en-GB" w:eastAsia="fr-FR"/>
        </w:rPr>
        <w:footnoteReference w:id="22"/>
      </w:r>
      <w:r w:rsidR="004E0815" w:rsidRPr="00F43118">
        <w:rPr>
          <w:rFonts w:ascii="Verdana" w:hAnsi="Verdana"/>
          <w:sz w:val="17"/>
          <w:szCs w:val="17"/>
          <w:lang w:val="en-GB" w:eastAsia="fr-FR"/>
        </w:rPr>
        <w:t xml:space="preserve"> </w:t>
      </w:r>
      <w:r w:rsidR="00053826">
        <w:rPr>
          <w:rFonts w:ascii="Verdana" w:hAnsi="Verdana"/>
          <w:sz w:val="17"/>
          <w:szCs w:val="17"/>
          <w:lang w:val="en-GB" w:eastAsia="fr-FR"/>
        </w:rPr>
        <w:t>The Commentary suggests that</w:t>
      </w:r>
      <w:r w:rsidR="00A312AF">
        <w:rPr>
          <w:rFonts w:ascii="Verdana" w:hAnsi="Verdana"/>
          <w:sz w:val="17"/>
          <w:szCs w:val="17"/>
          <w:lang w:val="en-GB" w:eastAsia="fr-FR"/>
        </w:rPr>
        <w:t xml:space="preserve"> as a general principle</w:t>
      </w:r>
      <w:r w:rsidR="00053826">
        <w:rPr>
          <w:rFonts w:ascii="Verdana" w:hAnsi="Verdana"/>
          <w:sz w:val="17"/>
          <w:szCs w:val="17"/>
          <w:lang w:val="en-GB" w:eastAsia="fr-FR"/>
        </w:rPr>
        <w:t>, “</w:t>
      </w:r>
      <w:r w:rsidR="00053826" w:rsidRPr="00053826">
        <w:rPr>
          <w:rFonts w:ascii="Verdana" w:hAnsi="Verdana"/>
          <w:sz w:val="17"/>
          <w:szCs w:val="17"/>
          <w:lang w:val="en-GB" w:eastAsia="fr-FR"/>
        </w:rPr>
        <w:t>A</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judge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should</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not</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involve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lastRenderedPageBreak/>
        <w:t>himself</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or</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herself</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inappropriately</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in</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public</w:t>
      </w:r>
      <w:r w:rsidR="00F8714A">
        <w:rPr>
          <w:rFonts w:ascii="Verdana" w:hAnsi="Verdana"/>
          <w:sz w:val="17"/>
          <w:szCs w:val="17"/>
          <w:lang w:val="en-GB" w:eastAsia="fr-FR"/>
        </w:rPr>
        <w:t xml:space="preserve"> </w:t>
      </w:r>
      <w:r w:rsidR="00053826">
        <w:rPr>
          <w:rFonts w:ascii="Verdana" w:hAnsi="Verdana"/>
          <w:sz w:val="17"/>
          <w:szCs w:val="17"/>
          <w:lang w:val="en-GB" w:eastAsia="fr-FR"/>
        </w:rPr>
        <w:t>c</w:t>
      </w:r>
      <w:r w:rsidR="00053826" w:rsidRPr="00053826">
        <w:rPr>
          <w:rFonts w:ascii="Verdana" w:hAnsi="Verdana"/>
          <w:sz w:val="17"/>
          <w:szCs w:val="17"/>
          <w:lang w:val="en-GB" w:eastAsia="fr-FR"/>
        </w:rPr>
        <w:t>ontroversies</w:t>
      </w:r>
      <w:r w:rsidR="00A312AF">
        <w:rPr>
          <w:rFonts w:ascii="Verdana" w:hAnsi="Verdana"/>
          <w:sz w:val="17"/>
          <w:szCs w:val="17"/>
          <w:lang w:val="en-GB" w:eastAsia="fr-FR"/>
        </w:rPr>
        <w:t>,</w:t>
      </w:r>
      <w:r w:rsidR="00053826">
        <w:rPr>
          <w:rFonts w:ascii="Verdana" w:hAnsi="Verdana"/>
          <w:sz w:val="17"/>
          <w:szCs w:val="17"/>
          <w:lang w:val="en-GB" w:eastAsia="fr-FR"/>
        </w:rPr>
        <w:t>” because “</w:t>
      </w:r>
      <w:r w:rsidR="00053826" w:rsidRPr="00053826">
        <w:rPr>
          <w:rFonts w:ascii="Verdana" w:hAnsi="Verdana"/>
          <w:sz w:val="17"/>
          <w:szCs w:val="17"/>
          <w:lang w:val="en-GB" w:eastAsia="fr-FR"/>
        </w:rPr>
        <w:t>If</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a</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judge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enters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the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political</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arena</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and</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participates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in public</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debates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either</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by</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expressing</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opinions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on</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controversial</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subjects,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entering into</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disputes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with</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public</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figures</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in</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the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community,</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or</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publicly</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criticizing</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the</w:t>
      </w:r>
      <w:r w:rsidR="00F8714A">
        <w:rPr>
          <w:rFonts w:ascii="Verdana" w:hAnsi="Verdana"/>
          <w:sz w:val="17"/>
          <w:szCs w:val="17"/>
          <w:lang w:val="en-GB" w:eastAsia="fr-FR"/>
        </w:rPr>
        <w:t xml:space="preserve"> </w:t>
      </w:r>
      <w:r w:rsidR="00053826" w:rsidRPr="00053826">
        <w:rPr>
          <w:rFonts w:ascii="Verdana" w:hAnsi="Verdana"/>
          <w:sz w:val="17"/>
          <w:szCs w:val="17"/>
          <w:lang w:val="en-GB" w:eastAsia="fr-FR"/>
        </w:rPr>
        <w:t xml:space="preserve">government – he or she will not be seen to be acting judicially when presiding as a </w:t>
      </w:r>
      <w:r w:rsidR="00053826">
        <w:rPr>
          <w:rFonts w:ascii="Verdana" w:hAnsi="Verdana"/>
          <w:sz w:val="17"/>
          <w:szCs w:val="17"/>
          <w:lang w:val="en-GB" w:eastAsia="fr-FR"/>
        </w:rPr>
        <w:t>judge in court.”</w:t>
      </w:r>
      <w:r w:rsidR="00053826">
        <w:rPr>
          <w:rStyle w:val="FootnoteReference"/>
          <w:rFonts w:ascii="Verdana" w:hAnsi="Verdana"/>
          <w:sz w:val="17"/>
          <w:szCs w:val="17"/>
          <w:lang w:val="en-GB" w:eastAsia="fr-FR"/>
        </w:rPr>
        <w:footnoteReference w:id="23"/>
      </w:r>
      <w:r w:rsidR="00A312AF">
        <w:rPr>
          <w:rFonts w:ascii="Verdana" w:hAnsi="Verdana"/>
          <w:sz w:val="17"/>
          <w:szCs w:val="17"/>
          <w:lang w:val="en-GB" w:eastAsia="fr-FR"/>
        </w:rPr>
        <w:t xml:space="preserve"> At the same time, the Commentary offers a number of situations where the rights of a judge should not be restricted, including particularly:</w:t>
      </w:r>
    </w:p>
    <w:p w14:paraId="239C37D1" w14:textId="77777777" w:rsidR="00A312AF" w:rsidRPr="00A312AF" w:rsidRDefault="00A312AF" w:rsidP="001112B2">
      <w:pPr>
        <w:pStyle w:val="ListParagraph"/>
        <w:numPr>
          <w:ilvl w:val="1"/>
          <w:numId w:val="15"/>
        </w:numPr>
        <w:tabs>
          <w:tab w:val="left" w:pos="0"/>
          <w:tab w:val="left" w:pos="567"/>
          <w:tab w:val="left" w:pos="1134"/>
          <w:tab w:val="left" w:pos="6379"/>
        </w:tabs>
        <w:spacing w:after="120" w:line="255" w:lineRule="exact"/>
        <w:rPr>
          <w:rFonts w:ascii="Verdana" w:hAnsi="Verdana"/>
          <w:sz w:val="17"/>
          <w:szCs w:val="17"/>
          <w:lang w:val="en-US" w:eastAsia="fr-FR"/>
        </w:rPr>
      </w:pPr>
      <w:r w:rsidRPr="00A312AF">
        <w:rPr>
          <w:rFonts w:ascii="Verdana" w:hAnsi="Verdana"/>
          <w:sz w:val="17"/>
          <w:szCs w:val="17"/>
          <w:lang w:val="en-US" w:eastAsia="fr-FR"/>
        </w:rPr>
        <w:t>“</w:t>
      </w:r>
      <w:r w:rsidRPr="00A312AF">
        <w:rPr>
          <w:rFonts w:ascii="Verdana" w:hAnsi="Verdana"/>
          <w:sz w:val="17"/>
          <w:szCs w:val="17"/>
          <w:u w:val="single"/>
          <w:lang w:val="en-US" w:eastAsia="fr-FR"/>
        </w:rPr>
        <w:t>A judge may speak out on matters that affect the judiciary</w:t>
      </w:r>
      <w:r>
        <w:rPr>
          <w:rFonts w:ascii="Verdana" w:hAnsi="Verdana"/>
          <w:sz w:val="17"/>
          <w:szCs w:val="17"/>
          <w:lang w:val="en-US" w:eastAsia="fr-FR"/>
        </w:rPr>
        <w:t>”</w:t>
      </w:r>
    </w:p>
    <w:p w14:paraId="4244CB5B" w14:textId="2C44B50D" w:rsidR="00A312AF" w:rsidRPr="00A312AF" w:rsidRDefault="001112B2" w:rsidP="001112B2">
      <w:pPr>
        <w:tabs>
          <w:tab w:val="left" w:pos="0"/>
          <w:tab w:val="left" w:pos="567"/>
          <w:tab w:val="left" w:pos="1134"/>
          <w:tab w:val="left" w:pos="6379"/>
        </w:tabs>
        <w:spacing w:after="120" w:line="255" w:lineRule="exact"/>
        <w:ind w:left="1287"/>
        <w:rPr>
          <w:rFonts w:ascii="Verdana" w:hAnsi="Verdana"/>
          <w:sz w:val="17"/>
          <w:szCs w:val="17"/>
          <w:lang w:val="en-US" w:eastAsia="fr-FR"/>
        </w:rPr>
      </w:pPr>
      <w:r>
        <w:rPr>
          <w:rFonts w:ascii="Verdana" w:hAnsi="Verdana"/>
          <w:sz w:val="17"/>
          <w:szCs w:val="17"/>
          <w:lang w:val="en-US" w:eastAsia="fr-FR"/>
        </w:rPr>
        <w:t>The Commentary emphasizes that, “</w:t>
      </w:r>
      <w:r w:rsidR="00A312AF" w:rsidRPr="00A312AF">
        <w:rPr>
          <w:rFonts w:ascii="Verdana" w:hAnsi="Verdana"/>
          <w:sz w:val="17"/>
          <w:szCs w:val="17"/>
          <w:lang w:val="en-US" w:eastAsia="fr-FR"/>
        </w:rPr>
        <w:t>There are limited circumstances in which a judge may properly speak out about a matter that is politically controversial, namely, when the matter directly affects the operation of the courts, the inde</w:t>
      </w:r>
      <w:r w:rsidR="00A312AF" w:rsidRPr="00A312AF">
        <w:rPr>
          <w:rFonts w:ascii="Verdana" w:hAnsi="Verdana"/>
          <w:sz w:val="17"/>
          <w:szCs w:val="17"/>
          <w:lang w:val="en-US" w:eastAsia="fr-FR"/>
        </w:rPr>
        <w:lastRenderedPageBreak/>
        <w:t>pendence of the judiciary (which may include judicial salaries and benefits), fundamental aspects of the administration of justice or the personal</w:t>
      </w:r>
      <w:r>
        <w:rPr>
          <w:rFonts w:ascii="Verdana" w:hAnsi="Verdana"/>
          <w:sz w:val="17"/>
          <w:szCs w:val="17"/>
          <w:lang w:val="en-US" w:eastAsia="fr-FR"/>
        </w:rPr>
        <w:t xml:space="preserve"> integrity of the judge”</w:t>
      </w:r>
      <w:r w:rsidR="00A312AF" w:rsidRPr="00A312AF">
        <w:rPr>
          <w:rFonts w:ascii="Verdana" w:hAnsi="Verdana"/>
          <w:sz w:val="17"/>
          <w:szCs w:val="17"/>
          <w:lang w:val="en-US" w:eastAsia="fr-FR"/>
        </w:rPr>
        <w:t>.</w:t>
      </w:r>
      <w:r>
        <w:rPr>
          <w:rStyle w:val="FootnoteReference"/>
          <w:rFonts w:ascii="Verdana" w:hAnsi="Verdana"/>
          <w:sz w:val="17"/>
          <w:szCs w:val="17"/>
          <w:lang w:val="en-US" w:eastAsia="fr-FR"/>
        </w:rPr>
        <w:footnoteReference w:id="24"/>
      </w:r>
    </w:p>
    <w:p w14:paraId="082CEC81" w14:textId="6ADF9C2F" w:rsidR="00A312AF" w:rsidRPr="00A312AF" w:rsidRDefault="00A312AF" w:rsidP="00A312AF">
      <w:pPr>
        <w:pStyle w:val="ListParagraph"/>
        <w:numPr>
          <w:ilvl w:val="1"/>
          <w:numId w:val="15"/>
        </w:numPr>
        <w:tabs>
          <w:tab w:val="left" w:pos="0"/>
          <w:tab w:val="left" w:pos="567"/>
          <w:tab w:val="left" w:pos="1134"/>
          <w:tab w:val="left" w:pos="6379"/>
        </w:tabs>
        <w:spacing w:after="120" w:line="255" w:lineRule="exact"/>
        <w:rPr>
          <w:rFonts w:ascii="Verdana" w:hAnsi="Verdana"/>
          <w:sz w:val="17"/>
          <w:szCs w:val="17"/>
          <w:lang w:val="en-US" w:eastAsia="fr-FR"/>
        </w:rPr>
      </w:pPr>
      <w:r>
        <w:rPr>
          <w:rFonts w:ascii="Verdana" w:hAnsi="Verdana"/>
          <w:sz w:val="17"/>
          <w:szCs w:val="17"/>
          <w:lang w:val="en-US" w:eastAsia="fr-FR"/>
        </w:rPr>
        <w:t>“</w:t>
      </w:r>
      <w:r w:rsidRPr="00A312AF">
        <w:rPr>
          <w:rFonts w:ascii="Verdana" w:hAnsi="Verdana"/>
          <w:sz w:val="17"/>
          <w:szCs w:val="17"/>
          <w:u w:val="single"/>
          <w:lang w:val="en-US" w:eastAsia="fr-FR"/>
        </w:rPr>
        <w:t>A judge may participate in a discussion of the law</w:t>
      </w:r>
      <w:r>
        <w:rPr>
          <w:rFonts w:ascii="Verdana" w:hAnsi="Verdana"/>
          <w:sz w:val="17"/>
          <w:szCs w:val="17"/>
          <w:lang w:val="en-US" w:eastAsia="fr-FR"/>
        </w:rPr>
        <w:t>”</w:t>
      </w:r>
    </w:p>
    <w:p w14:paraId="77943AE6" w14:textId="21235DB1" w:rsidR="00A312AF" w:rsidRPr="00A312AF" w:rsidRDefault="001112B2" w:rsidP="001112B2">
      <w:pPr>
        <w:tabs>
          <w:tab w:val="left" w:pos="0"/>
          <w:tab w:val="left" w:pos="567"/>
          <w:tab w:val="left" w:pos="1134"/>
          <w:tab w:val="left" w:pos="6379"/>
        </w:tabs>
        <w:spacing w:after="120" w:line="255" w:lineRule="exact"/>
        <w:ind w:left="1287"/>
        <w:rPr>
          <w:rFonts w:ascii="Verdana" w:hAnsi="Verdana"/>
          <w:sz w:val="17"/>
          <w:szCs w:val="17"/>
          <w:lang w:val="en-US" w:eastAsia="fr-FR"/>
        </w:rPr>
      </w:pPr>
      <w:r>
        <w:rPr>
          <w:rFonts w:ascii="Verdana" w:hAnsi="Verdana"/>
          <w:sz w:val="17"/>
          <w:szCs w:val="17"/>
          <w:lang w:val="en-US" w:eastAsia="fr-FR"/>
        </w:rPr>
        <w:t>The Commentary also notes that, “</w:t>
      </w:r>
      <w:r w:rsidR="00A312AF" w:rsidRPr="00A312AF">
        <w:rPr>
          <w:rFonts w:ascii="Verdana" w:hAnsi="Verdana"/>
          <w:sz w:val="17"/>
          <w:szCs w:val="17"/>
          <w:lang w:val="en-US" w:eastAsia="fr-FR"/>
        </w:rPr>
        <w:t xml:space="preserve">A judge may participate in discussion of the law for educational purposes or to point out weaknesses in the law. In certain special circumstances, a judge’s comments on draft legislation may be helpful and appropriate, provided that the judge avoids offering informal interpretations or controversial opinions on constitutionality. Normally, judicial commentary on proposed legislation or on other questions of government policy should relate to practical implications or drafting deficiencies and should avoid issues of political controversy. In general, such judicial commentary should be made as part of a collective </w:t>
      </w:r>
      <w:r w:rsidR="00A312AF" w:rsidRPr="00A312AF">
        <w:rPr>
          <w:rFonts w:ascii="Verdana" w:hAnsi="Verdana"/>
          <w:sz w:val="17"/>
          <w:szCs w:val="17"/>
          <w:lang w:val="en-US" w:eastAsia="fr-FR"/>
        </w:rPr>
        <w:lastRenderedPageBreak/>
        <w:t>or institutionalised effort by the judicia</w:t>
      </w:r>
      <w:r>
        <w:rPr>
          <w:rFonts w:ascii="Verdana" w:hAnsi="Verdana"/>
          <w:sz w:val="17"/>
          <w:szCs w:val="17"/>
          <w:lang w:val="en-US" w:eastAsia="fr-FR"/>
        </w:rPr>
        <w:t>ry, not of an individual judge.”</w:t>
      </w:r>
      <w:r w:rsidR="00C264F7">
        <w:rPr>
          <w:rStyle w:val="FootnoteReference"/>
          <w:rFonts w:ascii="Verdana" w:hAnsi="Verdana"/>
          <w:sz w:val="17"/>
          <w:szCs w:val="17"/>
          <w:lang w:val="en-US" w:eastAsia="fr-FR"/>
        </w:rPr>
        <w:footnoteReference w:id="25"/>
      </w:r>
    </w:p>
    <w:p w14:paraId="1D881D32" w14:textId="02C8E7B9" w:rsidR="00A312AF" w:rsidRPr="00A312AF" w:rsidRDefault="00A312AF" w:rsidP="00A312AF">
      <w:pPr>
        <w:pStyle w:val="ListParagraph"/>
        <w:numPr>
          <w:ilvl w:val="1"/>
          <w:numId w:val="15"/>
        </w:numPr>
        <w:tabs>
          <w:tab w:val="left" w:pos="0"/>
          <w:tab w:val="left" w:pos="567"/>
          <w:tab w:val="left" w:pos="1134"/>
          <w:tab w:val="left" w:pos="6379"/>
        </w:tabs>
        <w:spacing w:after="120" w:line="255" w:lineRule="exact"/>
        <w:rPr>
          <w:rFonts w:ascii="Verdana" w:hAnsi="Verdana"/>
          <w:sz w:val="17"/>
          <w:szCs w:val="17"/>
          <w:lang w:val="en-US" w:eastAsia="fr-FR"/>
        </w:rPr>
      </w:pPr>
      <w:r>
        <w:rPr>
          <w:rFonts w:ascii="Verdana" w:hAnsi="Verdana"/>
          <w:sz w:val="17"/>
          <w:szCs w:val="17"/>
          <w:lang w:val="en-US" w:eastAsia="fr-FR"/>
        </w:rPr>
        <w:t>“</w:t>
      </w:r>
      <w:r w:rsidRPr="00BB2315">
        <w:rPr>
          <w:rFonts w:ascii="Verdana" w:hAnsi="Verdana"/>
          <w:sz w:val="17"/>
          <w:szCs w:val="17"/>
          <w:u w:val="single"/>
          <w:lang w:val="en-US" w:eastAsia="fr-FR"/>
        </w:rPr>
        <w:t>When the judge may feel a moral duty to speak</w:t>
      </w:r>
      <w:r>
        <w:rPr>
          <w:rFonts w:ascii="Verdana" w:hAnsi="Verdana"/>
          <w:sz w:val="17"/>
          <w:szCs w:val="17"/>
          <w:lang w:val="en-US" w:eastAsia="fr-FR"/>
        </w:rPr>
        <w:t>”</w:t>
      </w:r>
      <w:r w:rsidRPr="00A312AF">
        <w:rPr>
          <w:rFonts w:ascii="Verdana" w:hAnsi="Verdana"/>
          <w:sz w:val="17"/>
          <w:szCs w:val="17"/>
          <w:lang w:val="en-US" w:eastAsia="fr-FR"/>
        </w:rPr>
        <w:t xml:space="preserve"> </w:t>
      </w:r>
    </w:p>
    <w:p w14:paraId="00DB0E01" w14:textId="7E980BCD" w:rsidR="00A312AF" w:rsidRPr="00A312AF" w:rsidRDefault="00C264F7" w:rsidP="00C264F7">
      <w:pPr>
        <w:tabs>
          <w:tab w:val="left" w:pos="0"/>
          <w:tab w:val="left" w:pos="567"/>
          <w:tab w:val="left" w:pos="1134"/>
          <w:tab w:val="left" w:pos="6379"/>
        </w:tabs>
        <w:spacing w:after="120" w:line="255" w:lineRule="exact"/>
        <w:ind w:left="1287"/>
        <w:rPr>
          <w:rFonts w:ascii="Verdana" w:hAnsi="Verdana"/>
          <w:sz w:val="17"/>
          <w:szCs w:val="17"/>
          <w:lang w:val="en-US" w:eastAsia="fr-FR"/>
        </w:rPr>
      </w:pPr>
      <w:r>
        <w:rPr>
          <w:rFonts w:ascii="Verdana" w:hAnsi="Verdana"/>
          <w:sz w:val="17"/>
          <w:szCs w:val="17"/>
          <w:lang w:val="en-US" w:eastAsia="fr-FR"/>
        </w:rPr>
        <w:t>The Commentary also states that:</w:t>
      </w:r>
      <w:r w:rsidR="00A312AF" w:rsidRPr="00A312AF">
        <w:rPr>
          <w:rFonts w:ascii="Verdana" w:hAnsi="Verdana"/>
          <w:sz w:val="17"/>
          <w:szCs w:val="17"/>
          <w:lang w:val="en-US" w:eastAsia="fr-FR"/>
        </w:rPr>
        <w:t xml:space="preserve"> </w:t>
      </w:r>
      <w:r>
        <w:rPr>
          <w:rFonts w:ascii="Verdana" w:hAnsi="Verdana"/>
          <w:sz w:val="17"/>
          <w:szCs w:val="17"/>
          <w:lang w:val="en-US" w:eastAsia="fr-FR"/>
        </w:rPr>
        <w:t>“</w:t>
      </w:r>
      <w:r w:rsidR="00A312AF" w:rsidRPr="00A312AF">
        <w:rPr>
          <w:rFonts w:ascii="Verdana" w:hAnsi="Verdana"/>
          <w:sz w:val="17"/>
          <w:szCs w:val="17"/>
          <w:lang w:val="en-US" w:eastAsia="fr-FR"/>
        </w:rPr>
        <w:t xml:space="preserve">Occasions may arise when a judge - as a human being with a conscience, morals, feelings and values - considers it a moral duty to speak out. For example, in the exercise of the freedom of expression, a judge might join a vigil, hold a sign or sign a petition to express opposition to war, support for energy conservation or independence, or funding for an anti-poverty agency. These are expressions of concern for the local and global community. If any of these issues were to arise in the judge’s court, and if the judge’s impartiality might reasonably be questioned, the judge must disqualify himself or </w:t>
      </w:r>
      <w:r w:rsidR="00A312AF" w:rsidRPr="00A312AF">
        <w:rPr>
          <w:rFonts w:ascii="Verdana" w:hAnsi="Verdana"/>
          <w:sz w:val="17"/>
          <w:szCs w:val="17"/>
          <w:lang w:val="en-US" w:eastAsia="fr-FR"/>
        </w:rPr>
        <w:lastRenderedPageBreak/>
        <w:t>herself from any proceedings that follow where the past actions cast doubt on the judge’s impartiality and judicial integrity</w:t>
      </w:r>
      <w:r>
        <w:rPr>
          <w:rFonts w:ascii="Verdana" w:hAnsi="Verdana"/>
          <w:sz w:val="17"/>
          <w:szCs w:val="17"/>
          <w:lang w:val="en-US" w:eastAsia="fr-FR"/>
        </w:rPr>
        <w:t>.”</w:t>
      </w:r>
      <w:r>
        <w:rPr>
          <w:rStyle w:val="FootnoteReference"/>
          <w:rFonts w:ascii="Verdana" w:hAnsi="Verdana"/>
          <w:sz w:val="17"/>
          <w:szCs w:val="17"/>
          <w:lang w:val="en-US" w:eastAsia="fr-FR"/>
        </w:rPr>
        <w:footnoteReference w:id="26"/>
      </w:r>
    </w:p>
    <w:p w14:paraId="23321D57" w14:textId="666144AF" w:rsidR="00A312AF" w:rsidRPr="00F43118" w:rsidRDefault="002D3367" w:rsidP="00053826">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t>The Commentary notes that a contribution by a judge to a publication, whether related or unrelated to the law, or appearance by a judge on commercial television or radio, can be acceptable, but that care must be taken to ensure it is presented appropriately.</w:t>
      </w:r>
      <w:r>
        <w:rPr>
          <w:rStyle w:val="FootnoteReference"/>
          <w:rFonts w:ascii="Verdana" w:hAnsi="Verdana"/>
          <w:sz w:val="17"/>
          <w:szCs w:val="17"/>
          <w:lang w:val="en-GB" w:eastAsia="fr-FR"/>
        </w:rPr>
        <w:footnoteReference w:id="27"/>
      </w:r>
    </w:p>
    <w:p w14:paraId="371485DF" w14:textId="695ED1B8" w:rsidR="00A11D1A" w:rsidRPr="00F43118" w:rsidRDefault="00E7310D" w:rsidP="00F43118">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t>The Principles further clarify that, “</w:t>
      </w:r>
      <w:r w:rsidR="00A11D1A" w:rsidRPr="00F43118">
        <w:rPr>
          <w:rFonts w:ascii="Verdana" w:hAnsi="Verdana"/>
          <w:sz w:val="17"/>
          <w:szCs w:val="17"/>
          <w:lang w:val="en-GB" w:eastAsia="fr-FR"/>
        </w:rPr>
        <w:t>Subject to the proper performance of judicial duties, a judge may</w:t>
      </w:r>
      <w:r>
        <w:rPr>
          <w:rFonts w:ascii="Verdana" w:hAnsi="Verdana"/>
          <w:sz w:val="17"/>
          <w:szCs w:val="17"/>
          <w:lang w:val="en-GB" w:eastAsia="fr-FR"/>
        </w:rPr>
        <w:t>”, among other things</w:t>
      </w:r>
      <w:r w:rsidR="00A11D1A" w:rsidRPr="00F43118">
        <w:rPr>
          <w:rFonts w:ascii="Verdana" w:hAnsi="Verdana"/>
          <w:sz w:val="17"/>
          <w:szCs w:val="17"/>
          <w:lang w:val="en-GB" w:eastAsia="fr-FR"/>
        </w:rPr>
        <w:t>:</w:t>
      </w:r>
    </w:p>
    <w:p w14:paraId="7AEE4C04" w14:textId="2F983D05" w:rsidR="00A11D1A" w:rsidRPr="00A11D1A" w:rsidRDefault="00E7310D" w:rsidP="00E7310D">
      <w:pPr>
        <w:tabs>
          <w:tab w:val="left" w:pos="0"/>
          <w:tab w:val="left" w:pos="567"/>
          <w:tab w:val="left" w:pos="1134"/>
          <w:tab w:val="left" w:pos="6379"/>
        </w:tabs>
        <w:spacing w:after="120" w:line="255" w:lineRule="exact"/>
        <w:ind w:left="1134"/>
        <w:rPr>
          <w:rFonts w:ascii="Verdana" w:hAnsi="Verdana"/>
          <w:sz w:val="17"/>
          <w:szCs w:val="17"/>
          <w:lang w:val="en-GB" w:eastAsia="fr-FR"/>
        </w:rPr>
      </w:pPr>
      <w:r>
        <w:rPr>
          <w:rFonts w:ascii="Verdana" w:hAnsi="Verdana"/>
          <w:sz w:val="17"/>
          <w:szCs w:val="17"/>
          <w:lang w:val="en-GB" w:eastAsia="fr-FR"/>
        </w:rPr>
        <w:t>“</w:t>
      </w:r>
      <w:r w:rsidR="00A11D1A" w:rsidRPr="00A11D1A">
        <w:rPr>
          <w:rFonts w:ascii="Verdana" w:hAnsi="Verdana"/>
          <w:sz w:val="17"/>
          <w:szCs w:val="17"/>
          <w:lang w:val="en-GB" w:eastAsia="fr-FR"/>
        </w:rPr>
        <w:t>write, lecture, teach and participate in activities concerning the law, the legal system, the administration of justice or related matters;</w:t>
      </w:r>
      <w:r w:rsidR="00E40DDA">
        <w:rPr>
          <w:rFonts w:ascii="Verdana" w:hAnsi="Verdana"/>
          <w:sz w:val="17"/>
          <w:szCs w:val="17"/>
          <w:lang w:val="en-GB" w:eastAsia="fr-FR"/>
        </w:rPr>
        <w:t>”</w:t>
      </w:r>
    </w:p>
    <w:p w14:paraId="6F705477" w14:textId="3D76CD0A" w:rsidR="00A11D1A" w:rsidRPr="00A11D1A" w:rsidRDefault="00E40DDA" w:rsidP="00E7310D">
      <w:pPr>
        <w:tabs>
          <w:tab w:val="left" w:pos="0"/>
          <w:tab w:val="left" w:pos="567"/>
          <w:tab w:val="left" w:pos="1134"/>
          <w:tab w:val="left" w:pos="6379"/>
        </w:tabs>
        <w:spacing w:after="120" w:line="255" w:lineRule="exact"/>
        <w:ind w:left="1134"/>
        <w:rPr>
          <w:rFonts w:ascii="Verdana" w:hAnsi="Verdana"/>
          <w:sz w:val="17"/>
          <w:szCs w:val="17"/>
          <w:lang w:val="en-GB" w:eastAsia="fr-FR"/>
        </w:rPr>
      </w:pPr>
      <w:r>
        <w:rPr>
          <w:rFonts w:ascii="Verdana" w:hAnsi="Verdana"/>
          <w:sz w:val="17"/>
          <w:szCs w:val="17"/>
          <w:lang w:val="en-GB" w:eastAsia="fr-FR"/>
        </w:rPr>
        <w:lastRenderedPageBreak/>
        <w:t>“</w:t>
      </w:r>
      <w:r w:rsidR="00A11D1A" w:rsidRPr="00A11D1A">
        <w:rPr>
          <w:rFonts w:ascii="Verdana" w:hAnsi="Verdana"/>
          <w:sz w:val="17"/>
          <w:szCs w:val="17"/>
          <w:lang w:val="en-GB" w:eastAsia="fr-FR"/>
        </w:rPr>
        <w:t>appear at a public hearing before an official body concerned with matters relating to the law, the legal system, the administration of justice or related matters;</w:t>
      </w:r>
      <w:r>
        <w:rPr>
          <w:rFonts w:ascii="Verdana" w:hAnsi="Verdana"/>
          <w:sz w:val="17"/>
          <w:szCs w:val="17"/>
          <w:lang w:val="en-GB" w:eastAsia="fr-FR"/>
        </w:rPr>
        <w:t>”</w:t>
      </w:r>
    </w:p>
    <w:p w14:paraId="6BFC3A15" w14:textId="047C11BD" w:rsidR="00A11D1A" w:rsidRPr="00A11D1A" w:rsidRDefault="00E40DDA" w:rsidP="00E7310D">
      <w:pPr>
        <w:tabs>
          <w:tab w:val="left" w:pos="0"/>
          <w:tab w:val="left" w:pos="567"/>
          <w:tab w:val="left" w:pos="1134"/>
          <w:tab w:val="left" w:pos="6379"/>
        </w:tabs>
        <w:spacing w:after="120" w:line="255" w:lineRule="exact"/>
        <w:ind w:left="1134"/>
        <w:rPr>
          <w:rFonts w:ascii="Verdana" w:hAnsi="Verdana"/>
          <w:sz w:val="17"/>
          <w:szCs w:val="17"/>
          <w:lang w:val="en-GB" w:eastAsia="fr-FR"/>
        </w:rPr>
      </w:pPr>
      <w:r>
        <w:rPr>
          <w:rFonts w:ascii="Verdana" w:hAnsi="Verdana"/>
          <w:sz w:val="17"/>
          <w:szCs w:val="17"/>
          <w:lang w:val="en-GB" w:eastAsia="fr-FR"/>
        </w:rPr>
        <w:t>“</w:t>
      </w:r>
      <w:r w:rsidR="00A11D1A" w:rsidRPr="00A11D1A">
        <w:rPr>
          <w:rFonts w:ascii="Verdana" w:hAnsi="Verdana"/>
          <w:sz w:val="17"/>
          <w:szCs w:val="17"/>
          <w:lang w:val="en-GB" w:eastAsia="fr-FR"/>
        </w:rPr>
        <w:t>serve as a member of an official body, or other government commission, committee or advisory body, if such membership is not inconsistent with the perceived impartiality and political neutrality of a judge;</w:t>
      </w:r>
      <w:r>
        <w:rPr>
          <w:rFonts w:ascii="Verdana" w:hAnsi="Verdana"/>
          <w:sz w:val="17"/>
          <w:szCs w:val="17"/>
          <w:lang w:val="en-GB" w:eastAsia="fr-FR"/>
        </w:rPr>
        <w:t>”</w:t>
      </w:r>
    </w:p>
    <w:p w14:paraId="19F9886C" w14:textId="22B10CAC" w:rsidR="00A11D1A" w:rsidRPr="00A11D1A" w:rsidRDefault="00E40DDA" w:rsidP="00C81BB6">
      <w:pPr>
        <w:tabs>
          <w:tab w:val="left" w:pos="0"/>
          <w:tab w:val="left" w:pos="567"/>
          <w:tab w:val="left" w:pos="1134"/>
          <w:tab w:val="left" w:pos="1985"/>
          <w:tab w:val="left" w:pos="6379"/>
        </w:tabs>
        <w:spacing w:after="120" w:line="255" w:lineRule="exact"/>
        <w:ind w:left="1134"/>
        <w:rPr>
          <w:rFonts w:ascii="Verdana" w:hAnsi="Verdana"/>
          <w:sz w:val="17"/>
          <w:szCs w:val="17"/>
          <w:lang w:val="en-GB" w:eastAsia="fr-FR"/>
        </w:rPr>
      </w:pPr>
      <w:r>
        <w:rPr>
          <w:rFonts w:ascii="Verdana" w:hAnsi="Verdana"/>
          <w:sz w:val="17"/>
          <w:szCs w:val="17"/>
          <w:lang w:val="en-GB" w:eastAsia="fr-FR"/>
        </w:rPr>
        <w:t>“</w:t>
      </w:r>
      <w:r w:rsidR="00A11D1A" w:rsidRPr="00A11D1A">
        <w:rPr>
          <w:rFonts w:ascii="Verdana" w:hAnsi="Verdana"/>
          <w:sz w:val="17"/>
          <w:szCs w:val="17"/>
          <w:lang w:val="en-GB" w:eastAsia="fr-FR"/>
        </w:rPr>
        <w:t xml:space="preserve">engage in other activities if such activities do not detract from the dignity of the judicial office or otherwise interfere with the </w:t>
      </w:r>
      <w:r w:rsidR="00E7310D">
        <w:rPr>
          <w:rFonts w:ascii="Verdana" w:hAnsi="Verdana"/>
          <w:sz w:val="17"/>
          <w:szCs w:val="17"/>
          <w:lang w:val="en-GB" w:eastAsia="fr-FR"/>
        </w:rPr>
        <w:t>performance of judicial duties.”</w:t>
      </w:r>
      <w:r w:rsidR="00E7310D">
        <w:rPr>
          <w:rStyle w:val="FootnoteReference"/>
          <w:rFonts w:ascii="Verdana" w:hAnsi="Verdana"/>
          <w:sz w:val="17"/>
          <w:szCs w:val="17"/>
          <w:lang w:val="en-GB" w:eastAsia="fr-FR"/>
        </w:rPr>
        <w:footnoteReference w:id="28"/>
      </w:r>
    </w:p>
    <w:p w14:paraId="5BEFACDD" w14:textId="3D5F84F7" w:rsidR="00E7310D" w:rsidRDefault="007B3479" w:rsidP="007B3479">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t>In regard to “other activities”, the Commentary adds that in principle a judge may for instance “</w:t>
      </w:r>
      <w:r w:rsidRPr="007B3479">
        <w:rPr>
          <w:rFonts w:ascii="Verdana" w:hAnsi="Verdana"/>
          <w:sz w:val="17"/>
          <w:szCs w:val="17"/>
          <w:lang w:val="en-GB" w:eastAsia="fr-FR"/>
        </w:rPr>
        <w:t>write, lecture, teach, and speak on non-legal subjects, and engage in the arts, sports, and other social and recreational activities</w:t>
      </w:r>
      <w:r>
        <w:rPr>
          <w:rFonts w:ascii="Verdana" w:hAnsi="Verdana"/>
          <w:sz w:val="17"/>
          <w:szCs w:val="17"/>
          <w:lang w:val="en-GB" w:eastAsia="fr-FR"/>
        </w:rPr>
        <w:t>”. Furthermore, a judge may, within certain limits, “p</w:t>
      </w:r>
      <w:r w:rsidRPr="007B3479">
        <w:rPr>
          <w:rFonts w:ascii="Verdana" w:hAnsi="Verdana"/>
          <w:sz w:val="17"/>
          <w:szCs w:val="17"/>
          <w:lang w:val="en-GB" w:eastAsia="fr-FR"/>
        </w:rPr>
        <w:t>articipate in community, non-profit-making organizations of various</w:t>
      </w:r>
      <w:r w:rsidR="00F8714A">
        <w:rPr>
          <w:rFonts w:ascii="Verdana" w:hAnsi="Verdana"/>
          <w:sz w:val="17"/>
          <w:szCs w:val="17"/>
          <w:lang w:val="en-GB" w:eastAsia="fr-FR"/>
        </w:rPr>
        <w:t xml:space="preserve"> </w:t>
      </w:r>
      <w:r w:rsidRPr="007B3479">
        <w:rPr>
          <w:rFonts w:ascii="Verdana" w:hAnsi="Verdana"/>
          <w:sz w:val="17"/>
          <w:szCs w:val="17"/>
          <w:lang w:val="en-GB" w:eastAsia="fr-FR"/>
        </w:rPr>
        <w:t>types</w:t>
      </w:r>
      <w:r w:rsidR="00F8714A">
        <w:rPr>
          <w:rFonts w:ascii="Verdana" w:hAnsi="Verdana"/>
          <w:sz w:val="17"/>
          <w:szCs w:val="17"/>
          <w:lang w:val="en-GB" w:eastAsia="fr-FR"/>
        </w:rPr>
        <w:t xml:space="preserve"> </w:t>
      </w:r>
      <w:r w:rsidRPr="007B3479">
        <w:rPr>
          <w:rFonts w:ascii="Verdana" w:hAnsi="Verdana"/>
          <w:sz w:val="17"/>
          <w:szCs w:val="17"/>
          <w:lang w:val="en-GB" w:eastAsia="fr-FR"/>
        </w:rPr>
        <w:t>by</w:t>
      </w:r>
      <w:r w:rsidR="00F8714A">
        <w:rPr>
          <w:rFonts w:ascii="Verdana" w:hAnsi="Verdana"/>
          <w:sz w:val="17"/>
          <w:szCs w:val="17"/>
          <w:lang w:val="en-GB" w:eastAsia="fr-FR"/>
        </w:rPr>
        <w:t xml:space="preserve"> </w:t>
      </w:r>
      <w:r w:rsidRPr="007B3479">
        <w:rPr>
          <w:rFonts w:ascii="Verdana" w:hAnsi="Verdana"/>
          <w:sz w:val="17"/>
          <w:szCs w:val="17"/>
          <w:lang w:val="en-GB" w:eastAsia="fr-FR"/>
        </w:rPr>
        <w:t>becoming</w:t>
      </w:r>
      <w:r w:rsidR="00F8714A">
        <w:rPr>
          <w:rFonts w:ascii="Verdana" w:hAnsi="Verdana"/>
          <w:sz w:val="17"/>
          <w:szCs w:val="17"/>
          <w:lang w:val="en-GB" w:eastAsia="fr-FR"/>
        </w:rPr>
        <w:t xml:space="preserve"> </w:t>
      </w:r>
      <w:r w:rsidRPr="007B3479">
        <w:rPr>
          <w:rFonts w:ascii="Verdana" w:hAnsi="Verdana"/>
          <w:sz w:val="17"/>
          <w:szCs w:val="17"/>
          <w:lang w:val="en-GB" w:eastAsia="fr-FR"/>
        </w:rPr>
        <w:t>a</w:t>
      </w:r>
      <w:r w:rsidR="00F8714A">
        <w:rPr>
          <w:rFonts w:ascii="Verdana" w:hAnsi="Verdana"/>
          <w:sz w:val="17"/>
          <w:szCs w:val="17"/>
          <w:lang w:val="en-GB" w:eastAsia="fr-FR"/>
        </w:rPr>
        <w:t xml:space="preserve"> </w:t>
      </w:r>
      <w:r w:rsidRPr="007B3479">
        <w:rPr>
          <w:rFonts w:ascii="Verdana" w:hAnsi="Verdana"/>
          <w:sz w:val="17"/>
          <w:szCs w:val="17"/>
          <w:lang w:val="en-GB" w:eastAsia="fr-FR"/>
        </w:rPr>
        <w:t>member</w:t>
      </w:r>
      <w:r w:rsidR="00F8714A">
        <w:rPr>
          <w:rFonts w:ascii="Verdana" w:hAnsi="Verdana"/>
          <w:sz w:val="17"/>
          <w:szCs w:val="17"/>
          <w:lang w:val="en-GB" w:eastAsia="fr-FR"/>
        </w:rPr>
        <w:t xml:space="preserve"> </w:t>
      </w:r>
      <w:r w:rsidRPr="007B3479">
        <w:rPr>
          <w:rFonts w:ascii="Verdana" w:hAnsi="Verdana"/>
          <w:sz w:val="17"/>
          <w:szCs w:val="17"/>
          <w:lang w:val="en-GB" w:eastAsia="fr-FR"/>
        </w:rPr>
        <w:t>of</w:t>
      </w:r>
      <w:r w:rsidR="00F8714A">
        <w:rPr>
          <w:rFonts w:ascii="Verdana" w:hAnsi="Verdana"/>
          <w:sz w:val="17"/>
          <w:szCs w:val="17"/>
          <w:lang w:val="en-GB" w:eastAsia="fr-FR"/>
        </w:rPr>
        <w:t xml:space="preserve"> </w:t>
      </w:r>
      <w:r w:rsidRPr="007B3479">
        <w:rPr>
          <w:rFonts w:ascii="Verdana" w:hAnsi="Verdana"/>
          <w:sz w:val="17"/>
          <w:szCs w:val="17"/>
          <w:lang w:val="en-GB" w:eastAsia="fr-FR"/>
        </w:rPr>
        <w:t>an</w:t>
      </w:r>
      <w:r w:rsidR="00F8714A">
        <w:rPr>
          <w:rFonts w:ascii="Verdana" w:hAnsi="Verdana"/>
          <w:sz w:val="17"/>
          <w:szCs w:val="17"/>
          <w:lang w:val="en-GB" w:eastAsia="fr-FR"/>
        </w:rPr>
        <w:t xml:space="preserve"> </w:t>
      </w:r>
      <w:r w:rsidRPr="007B3479">
        <w:rPr>
          <w:rFonts w:ascii="Verdana" w:hAnsi="Verdana"/>
          <w:sz w:val="17"/>
          <w:szCs w:val="17"/>
          <w:lang w:val="en-GB" w:eastAsia="fr-FR"/>
        </w:rPr>
        <w:t>organization</w:t>
      </w:r>
      <w:r w:rsidR="00F8714A">
        <w:rPr>
          <w:rFonts w:ascii="Verdana" w:hAnsi="Verdana"/>
          <w:sz w:val="17"/>
          <w:szCs w:val="17"/>
          <w:lang w:val="en-GB" w:eastAsia="fr-FR"/>
        </w:rPr>
        <w:t xml:space="preserve"> </w:t>
      </w:r>
      <w:r w:rsidRPr="007B3479">
        <w:rPr>
          <w:rFonts w:ascii="Verdana" w:hAnsi="Verdana"/>
          <w:sz w:val="17"/>
          <w:szCs w:val="17"/>
          <w:lang w:val="en-GB" w:eastAsia="fr-FR"/>
        </w:rPr>
        <w:t>and</w:t>
      </w:r>
      <w:r w:rsidR="00F8714A">
        <w:rPr>
          <w:rFonts w:ascii="Verdana" w:hAnsi="Verdana"/>
          <w:sz w:val="17"/>
          <w:szCs w:val="17"/>
          <w:lang w:val="en-GB" w:eastAsia="fr-FR"/>
        </w:rPr>
        <w:t xml:space="preserve"> </w:t>
      </w:r>
      <w:r w:rsidRPr="007B3479">
        <w:rPr>
          <w:rFonts w:ascii="Verdana" w:hAnsi="Verdana"/>
          <w:sz w:val="17"/>
          <w:szCs w:val="17"/>
          <w:lang w:val="en-GB" w:eastAsia="fr-FR"/>
        </w:rPr>
        <w:t>its</w:t>
      </w:r>
      <w:r w:rsidR="00F8714A">
        <w:rPr>
          <w:rFonts w:ascii="Verdana" w:hAnsi="Verdana"/>
          <w:sz w:val="17"/>
          <w:szCs w:val="17"/>
          <w:lang w:val="en-GB" w:eastAsia="fr-FR"/>
        </w:rPr>
        <w:t xml:space="preserve"> </w:t>
      </w:r>
      <w:r w:rsidRPr="007B3479">
        <w:rPr>
          <w:rFonts w:ascii="Verdana" w:hAnsi="Verdana"/>
          <w:sz w:val="17"/>
          <w:szCs w:val="17"/>
          <w:lang w:val="en-GB" w:eastAsia="fr-FR"/>
        </w:rPr>
        <w:t>governing</w:t>
      </w:r>
      <w:r w:rsidR="00F8714A">
        <w:rPr>
          <w:rFonts w:ascii="Verdana" w:hAnsi="Verdana"/>
          <w:sz w:val="17"/>
          <w:szCs w:val="17"/>
          <w:lang w:val="en-GB" w:eastAsia="fr-FR"/>
        </w:rPr>
        <w:t xml:space="preserve"> </w:t>
      </w:r>
      <w:r w:rsidRPr="007B3479">
        <w:rPr>
          <w:rFonts w:ascii="Verdana" w:hAnsi="Verdana"/>
          <w:sz w:val="17"/>
          <w:szCs w:val="17"/>
          <w:lang w:val="en-GB" w:eastAsia="fr-FR"/>
        </w:rPr>
        <w:t>body</w:t>
      </w:r>
      <w:r>
        <w:rPr>
          <w:rFonts w:ascii="Verdana" w:hAnsi="Verdana"/>
          <w:sz w:val="17"/>
          <w:szCs w:val="17"/>
          <w:lang w:val="en-GB" w:eastAsia="fr-FR"/>
        </w:rPr>
        <w:t xml:space="preserve">” </w:t>
      </w:r>
      <w:r>
        <w:rPr>
          <w:rFonts w:ascii="Verdana" w:hAnsi="Verdana"/>
          <w:sz w:val="17"/>
          <w:szCs w:val="17"/>
          <w:lang w:val="en-GB" w:eastAsia="fr-FR"/>
        </w:rPr>
        <w:lastRenderedPageBreak/>
        <w:t>such as “</w:t>
      </w:r>
      <w:r w:rsidRPr="007B3479">
        <w:rPr>
          <w:rFonts w:ascii="Verdana" w:hAnsi="Verdana"/>
          <w:sz w:val="17"/>
          <w:szCs w:val="17"/>
          <w:lang w:val="en-GB" w:eastAsia="fr-FR"/>
        </w:rPr>
        <w:t>charitable</w:t>
      </w:r>
      <w:r w:rsidR="00F8714A">
        <w:rPr>
          <w:rFonts w:ascii="Verdana" w:hAnsi="Verdana"/>
          <w:sz w:val="17"/>
          <w:szCs w:val="17"/>
          <w:lang w:val="en-GB" w:eastAsia="fr-FR"/>
        </w:rPr>
        <w:t xml:space="preserve"> </w:t>
      </w:r>
      <w:r w:rsidRPr="007B3479">
        <w:rPr>
          <w:rFonts w:ascii="Verdana" w:hAnsi="Verdana"/>
          <w:sz w:val="17"/>
          <w:szCs w:val="17"/>
          <w:lang w:val="en-GB" w:eastAsia="fr-FR"/>
        </w:rPr>
        <w:t>organizations,</w:t>
      </w:r>
      <w:r w:rsidR="00F8714A">
        <w:rPr>
          <w:rFonts w:ascii="Verdana" w:hAnsi="Verdana"/>
          <w:sz w:val="17"/>
          <w:szCs w:val="17"/>
          <w:lang w:val="en-GB" w:eastAsia="fr-FR"/>
        </w:rPr>
        <w:t xml:space="preserve"> </w:t>
      </w:r>
      <w:r w:rsidRPr="007B3479">
        <w:rPr>
          <w:rFonts w:ascii="Verdana" w:hAnsi="Verdana"/>
          <w:sz w:val="17"/>
          <w:szCs w:val="17"/>
          <w:lang w:val="en-GB" w:eastAsia="fr-FR"/>
        </w:rPr>
        <w:t>university</w:t>
      </w:r>
      <w:r w:rsidR="00F8714A">
        <w:rPr>
          <w:rFonts w:ascii="Verdana" w:hAnsi="Verdana"/>
          <w:sz w:val="17"/>
          <w:szCs w:val="17"/>
          <w:lang w:val="en-GB" w:eastAsia="fr-FR"/>
        </w:rPr>
        <w:t xml:space="preserve"> </w:t>
      </w:r>
      <w:r w:rsidRPr="007B3479">
        <w:rPr>
          <w:rFonts w:ascii="Verdana" w:hAnsi="Verdana"/>
          <w:sz w:val="17"/>
          <w:szCs w:val="17"/>
          <w:lang w:val="en-GB" w:eastAsia="fr-FR"/>
        </w:rPr>
        <w:t>and</w:t>
      </w:r>
      <w:r w:rsidR="00F8714A">
        <w:rPr>
          <w:rFonts w:ascii="Verdana" w:hAnsi="Verdana"/>
          <w:sz w:val="17"/>
          <w:szCs w:val="17"/>
          <w:lang w:val="en-GB" w:eastAsia="fr-FR"/>
        </w:rPr>
        <w:t xml:space="preserve"> </w:t>
      </w:r>
      <w:r w:rsidRPr="007B3479">
        <w:rPr>
          <w:rFonts w:ascii="Verdana" w:hAnsi="Verdana"/>
          <w:sz w:val="17"/>
          <w:szCs w:val="17"/>
          <w:lang w:val="en-GB" w:eastAsia="fr-FR"/>
        </w:rPr>
        <w:t>school</w:t>
      </w:r>
      <w:r w:rsidR="00F8714A">
        <w:rPr>
          <w:rFonts w:ascii="Verdana" w:hAnsi="Verdana"/>
          <w:sz w:val="17"/>
          <w:szCs w:val="17"/>
          <w:lang w:val="en-GB" w:eastAsia="fr-FR"/>
        </w:rPr>
        <w:t xml:space="preserve"> </w:t>
      </w:r>
      <w:r w:rsidRPr="007B3479">
        <w:rPr>
          <w:rFonts w:ascii="Verdana" w:hAnsi="Verdana"/>
          <w:sz w:val="17"/>
          <w:szCs w:val="17"/>
          <w:lang w:val="en-GB" w:eastAsia="fr-FR"/>
        </w:rPr>
        <w:t>councils,</w:t>
      </w:r>
      <w:r w:rsidR="00F8714A">
        <w:rPr>
          <w:rFonts w:ascii="Verdana" w:hAnsi="Verdana"/>
          <w:sz w:val="17"/>
          <w:szCs w:val="17"/>
          <w:lang w:val="en-GB" w:eastAsia="fr-FR"/>
        </w:rPr>
        <w:t xml:space="preserve"> </w:t>
      </w:r>
      <w:r w:rsidRPr="007B3479">
        <w:rPr>
          <w:rFonts w:ascii="Verdana" w:hAnsi="Verdana"/>
          <w:sz w:val="17"/>
          <w:szCs w:val="17"/>
          <w:lang w:val="en-GB" w:eastAsia="fr-FR"/>
        </w:rPr>
        <w:t>lay</w:t>
      </w:r>
      <w:r w:rsidR="00F8714A">
        <w:rPr>
          <w:rFonts w:ascii="Verdana" w:hAnsi="Verdana"/>
          <w:sz w:val="17"/>
          <w:szCs w:val="17"/>
          <w:lang w:val="en-GB" w:eastAsia="fr-FR"/>
        </w:rPr>
        <w:t xml:space="preserve"> </w:t>
      </w:r>
      <w:r w:rsidRPr="007B3479">
        <w:rPr>
          <w:rFonts w:ascii="Verdana" w:hAnsi="Verdana"/>
          <w:sz w:val="17"/>
          <w:szCs w:val="17"/>
          <w:lang w:val="en-GB" w:eastAsia="fr-FR"/>
        </w:rPr>
        <w:t>religious</w:t>
      </w:r>
      <w:r w:rsidR="00F8714A">
        <w:rPr>
          <w:rFonts w:ascii="Verdana" w:hAnsi="Verdana"/>
          <w:sz w:val="17"/>
          <w:szCs w:val="17"/>
          <w:lang w:val="en-GB" w:eastAsia="fr-FR"/>
        </w:rPr>
        <w:t xml:space="preserve"> </w:t>
      </w:r>
      <w:r w:rsidRPr="007B3479">
        <w:rPr>
          <w:rFonts w:ascii="Verdana" w:hAnsi="Verdana"/>
          <w:sz w:val="17"/>
          <w:szCs w:val="17"/>
          <w:lang w:val="en-GB" w:eastAsia="fr-FR"/>
        </w:rPr>
        <w:t>bodies,</w:t>
      </w:r>
      <w:r w:rsidR="00F8714A">
        <w:rPr>
          <w:rFonts w:ascii="Verdana" w:hAnsi="Verdana"/>
          <w:sz w:val="17"/>
          <w:szCs w:val="17"/>
          <w:lang w:val="en-GB" w:eastAsia="fr-FR"/>
        </w:rPr>
        <w:t xml:space="preserve"> </w:t>
      </w:r>
      <w:r w:rsidRPr="007B3479">
        <w:rPr>
          <w:rFonts w:ascii="Verdana" w:hAnsi="Verdana"/>
          <w:sz w:val="17"/>
          <w:szCs w:val="17"/>
          <w:lang w:val="en-GB" w:eastAsia="fr-FR"/>
        </w:rPr>
        <w:t>hospital</w:t>
      </w:r>
      <w:r w:rsidR="00F8714A">
        <w:rPr>
          <w:rFonts w:ascii="Verdana" w:hAnsi="Verdana"/>
          <w:sz w:val="17"/>
          <w:szCs w:val="17"/>
          <w:lang w:val="en-GB" w:eastAsia="fr-FR"/>
        </w:rPr>
        <w:t xml:space="preserve"> </w:t>
      </w:r>
      <w:r w:rsidRPr="007B3479">
        <w:rPr>
          <w:rFonts w:ascii="Verdana" w:hAnsi="Verdana"/>
          <w:sz w:val="17"/>
          <w:szCs w:val="17"/>
          <w:lang w:val="en-GB" w:eastAsia="fr-FR"/>
        </w:rPr>
        <w:t>boards,</w:t>
      </w:r>
      <w:r w:rsidR="00F8714A">
        <w:rPr>
          <w:rFonts w:ascii="Verdana" w:hAnsi="Verdana"/>
          <w:sz w:val="17"/>
          <w:szCs w:val="17"/>
          <w:lang w:val="en-GB" w:eastAsia="fr-FR"/>
        </w:rPr>
        <w:t xml:space="preserve"> </w:t>
      </w:r>
      <w:r w:rsidRPr="007B3479">
        <w:rPr>
          <w:rFonts w:ascii="Verdana" w:hAnsi="Verdana"/>
          <w:sz w:val="17"/>
          <w:szCs w:val="17"/>
          <w:lang w:val="en-GB" w:eastAsia="fr-FR"/>
        </w:rPr>
        <w:t>social</w:t>
      </w:r>
      <w:r w:rsidR="00F8714A">
        <w:rPr>
          <w:rFonts w:ascii="Verdana" w:hAnsi="Verdana"/>
          <w:sz w:val="17"/>
          <w:szCs w:val="17"/>
          <w:lang w:val="en-GB" w:eastAsia="fr-FR"/>
        </w:rPr>
        <w:t xml:space="preserve"> </w:t>
      </w:r>
      <w:r w:rsidRPr="007B3479">
        <w:rPr>
          <w:rFonts w:ascii="Verdana" w:hAnsi="Verdana"/>
          <w:sz w:val="17"/>
          <w:szCs w:val="17"/>
          <w:lang w:val="en-GB" w:eastAsia="fr-FR"/>
        </w:rPr>
        <w:t>clubs,</w:t>
      </w:r>
      <w:r w:rsidR="00F8714A">
        <w:rPr>
          <w:rFonts w:ascii="Verdana" w:hAnsi="Verdana"/>
          <w:sz w:val="17"/>
          <w:szCs w:val="17"/>
          <w:lang w:val="en-GB" w:eastAsia="fr-FR"/>
        </w:rPr>
        <w:t xml:space="preserve"> </w:t>
      </w:r>
      <w:r w:rsidRPr="007B3479">
        <w:rPr>
          <w:rFonts w:ascii="Verdana" w:hAnsi="Verdana"/>
          <w:sz w:val="17"/>
          <w:szCs w:val="17"/>
          <w:lang w:val="en-GB" w:eastAsia="fr-FR"/>
        </w:rPr>
        <w:t>sporting</w:t>
      </w:r>
      <w:r w:rsidR="00F8714A">
        <w:rPr>
          <w:rFonts w:ascii="Verdana" w:hAnsi="Verdana"/>
          <w:sz w:val="17"/>
          <w:szCs w:val="17"/>
          <w:lang w:val="en-GB" w:eastAsia="fr-FR"/>
        </w:rPr>
        <w:t xml:space="preserve"> </w:t>
      </w:r>
      <w:r w:rsidRPr="007B3479">
        <w:rPr>
          <w:rFonts w:ascii="Verdana" w:hAnsi="Verdana"/>
          <w:sz w:val="17"/>
          <w:szCs w:val="17"/>
          <w:lang w:val="en-GB" w:eastAsia="fr-FR"/>
        </w:rPr>
        <w:t>organizations,</w:t>
      </w:r>
      <w:r w:rsidR="00F8714A">
        <w:rPr>
          <w:rFonts w:ascii="Verdana" w:hAnsi="Verdana"/>
          <w:sz w:val="17"/>
          <w:szCs w:val="17"/>
          <w:lang w:val="en-GB" w:eastAsia="fr-FR"/>
        </w:rPr>
        <w:t xml:space="preserve"> </w:t>
      </w:r>
      <w:r w:rsidRPr="007B3479">
        <w:rPr>
          <w:rFonts w:ascii="Verdana" w:hAnsi="Verdana"/>
          <w:sz w:val="17"/>
          <w:szCs w:val="17"/>
          <w:lang w:val="en-GB" w:eastAsia="fr-FR"/>
        </w:rPr>
        <w:t>and</w:t>
      </w:r>
      <w:r w:rsidR="00F8714A">
        <w:rPr>
          <w:rFonts w:ascii="Verdana" w:hAnsi="Verdana"/>
          <w:sz w:val="17"/>
          <w:szCs w:val="17"/>
          <w:lang w:val="en-GB" w:eastAsia="fr-FR"/>
        </w:rPr>
        <w:t xml:space="preserve"> </w:t>
      </w:r>
      <w:r w:rsidRPr="007B3479">
        <w:rPr>
          <w:rFonts w:ascii="Verdana" w:hAnsi="Verdana"/>
          <w:sz w:val="17"/>
          <w:szCs w:val="17"/>
          <w:lang w:val="en-GB" w:eastAsia="fr-FR"/>
        </w:rPr>
        <w:t>organizations</w:t>
      </w:r>
      <w:r w:rsidR="00F8714A">
        <w:rPr>
          <w:rFonts w:ascii="Verdana" w:hAnsi="Verdana"/>
          <w:sz w:val="17"/>
          <w:szCs w:val="17"/>
          <w:lang w:val="en-GB" w:eastAsia="fr-FR"/>
        </w:rPr>
        <w:t xml:space="preserve"> </w:t>
      </w:r>
      <w:r w:rsidRPr="007B3479">
        <w:rPr>
          <w:rFonts w:ascii="Verdana" w:hAnsi="Verdana"/>
          <w:sz w:val="17"/>
          <w:szCs w:val="17"/>
          <w:lang w:val="en-GB" w:eastAsia="fr-FR"/>
        </w:rPr>
        <w:t>promoting</w:t>
      </w:r>
      <w:r w:rsidR="00F8714A">
        <w:rPr>
          <w:rFonts w:ascii="Verdana" w:hAnsi="Verdana"/>
          <w:sz w:val="17"/>
          <w:szCs w:val="17"/>
          <w:lang w:val="en-GB" w:eastAsia="fr-FR"/>
        </w:rPr>
        <w:t xml:space="preserve"> </w:t>
      </w:r>
      <w:r w:rsidRPr="007B3479">
        <w:rPr>
          <w:rFonts w:ascii="Verdana" w:hAnsi="Verdana"/>
          <w:sz w:val="17"/>
          <w:szCs w:val="17"/>
          <w:lang w:val="en-GB" w:eastAsia="fr-FR"/>
        </w:rPr>
        <w:t>cultural</w:t>
      </w:r>
      <w:r w:rsidR="00F8714A">
        <w:rPr>
          <w:rFonts w:ascii="Verdana" w:hAnsi="Verdana"/>
          <w:sz w:val="17"/>
          <w:szCs w:val="17"/>
          <w:lang w:val="en-GB" w:eastAsia="fr-FR"/>
        </w:rPr>
        <w:t xml:space="preserve"> </w:t>
      </w:r>
      <w:r w:rsidRPr="007B3479">
        <w:rPr>
          <w:rFonts w:ascii="Verdana" w:hAnsi="Verdana"/>
          <w:sz w:val="17"/>
          <w:szCs w:val="17"/>
          <w:lang w:val="en-GB" w:eastAsia="fr-FR"/>
        </w:rPr>
        <w:t>or</w:t>
      </w:r>
      <w:r w:rsidR="00F8714A">
        <w:rPr>
          <w:rFonts w:ascii="Verdana" w:hAnsi="Verdana"/>
          <w:sz w:val="17"/>
          <w:szCs w:val="17"/>
          <w:lang w:val="en-GB" w:eastAsia="fr-FR"/>
        </w:rPr>
        <w:t xml:space="preserve"> </w:t>
      </w:r>
      <w:r w:rsidRPr="007B3479">
        <w:rPr>
          <w:rFonts w:ascii="Verdana" w:hAnsi="Verdana"/>
          <w:sz w:val="17"/>
          <w:szCs w:val="17"/>
          <w:lang w:val="en-GB" w:eastAsia="fr-FR"/>
        </w:rPr>
        <w:t>artistic</w:t>
      </w:r>
      <w:r w:rsidR="00F8714A">
        <w:rPr>
          <w:rFonts w:ascii="Verdana" w:hAnsi="Verdana"/>
          <w:sz w:val="17"/>
          <w:szCs w:val="17"/>
          <w:lang w:val="en-GB" w:eastAsia="fr-FR"/>
        </w:rPr>
        <w:t xml:space="preserve"> </w:t>
      </w:r>
      <w:r w:rsidRPr="007B3479">
        <w:rPr>
          <w:rFonts w:ascii="Verdana" w:hAnsi="Verdana"/>
          <w:sz w:val="17"/>
          <w:szCs w:val="17"/>
          <w:lang w:val="en-GB" w:eastAsia="fr-FR"/>
        </w:rPr>
        <w:t>interests.</w:t>
      </w:r>
      <w:r>
        <w:rPr>
          <w:rFonts w:ascii="Verdana" w:hAnsi="Verdana"/>
          <w:sz w:val="17"/>
          <w:szCs w:val="17"/>
          <w:lang w:val="en-GB" w:eastAsia="fr-FR"/>
        </w:rPr>
        <w:t>”</w:t>
      </w:r>
      <w:r>
        <w:rPr>
          <w:rStyle w:val="FootnoteReference"/>
          <w:rFonts w:ascii="Verdana" w:hAnsi="Verdana"/>
          <w:sz w:val="17"/>
          <w:szCs w:val="17"/>
          <w:lang w:val="en-GB" w:eastAsia="fr-FR"/>
        </w:rPr>
        <w:footnoteReference w:id="29"/>
      </w:r>
      <w:r>
        <w:rPr>
          <w:rFonts w:ascii="Verdana" w:hAnsi="Verdana"/>
          <w:sz w:val="17"/>
          <w:szCs w:val="17"/>
          <w:lang w:val="en-GB" w:eastAsia="fr-FR"/>
        </w:rPr>
        <w:t xml:space="preserve"> However, participation should be avoided where the organization’s “</w:t>
      </w:r>
      <w:r w:rsidRPr="007B3479">
        <w:rPr>
          <w:rFonts w:ascii="Verdana" w:hAnsi="Verdana"/>
          <w:sz w:val="17"/>
          <w:szCs w:val="17"/>
          <w:lang w:val="en-GB" w:eastAsia="fr-FR"/>
        </w:rPr>
        <w:t>objects</w:t>
      </w:r>
      <w:r w:rsidR="00F8714A">
        <w:rPr>
          <w:rFonts w:ascii="Verdana" w:hAnsi="Verdana"/>
          <w:sz w:val="17"/>
          <w:szCs w:val="17"/>
          <w:lang w:val="en-GB" w:eastAsia="fr-FR"/>
        </w:rPr>
        <w:t xml:space="preserve"> </w:t>
      </w:r>
      <w:r w:rsidRPr="007B3479">
        <w:rPr>
          <w:rFonts w:ascii="Verdana" w:hAnsi="Verdana"/>
          <w:sz w:val="17"/>
          <w:szCs w:val="17"/>
          <w:lang w:val="en-GB" w:eastAsia="fr-FR"/>
        </w:rPr>
        <w:t>are</w:t>
      </w:r>
      <w:r w:rsidR="00F8714A">
        <w:rPr>
          <w:rFonts w:ascii="Verdana" w:hAnsi="Verdana"/>
          <w:sz w:val="17"/>
          <w:szCs w:val="17"/>
          <w:lang w:val="en-GB" w:eastAsia="fr-FR"/>
        </w:rPr>
        <w:t xml:space="preserve"> </w:t>
      </w:r>
      <w:r w:rsidRPr="007B3479">
        <w:rPr>
          <w:rFonts w:ascii="Verdana" w:hAnsi="Verdana"/>
          <w:sz w:val="17"/>
          <w:szCs w:val="17"/>
          <w:lang w:val="en-GB" w:eastAsia="fr-FR"/>
        </w:rPr>
        <w:t>political</w:t>
      </w:r>
      <w:r>
        <w:rPr>
          <w:rFonts w:ascii="Verdana" w:hAnsi="Verdana"/>
          <w:sz w:val="17"/>
          <w:szCs w:val="17"/>
          <w:lang w:val="en-GB" w:eastAsia="fr-FR"/>
        </w:rPr>
        <w:t>”</w:t>
      </w:r>
      <w:r w:rsidRPr="007B3479">
        <w:rPr>
          <w:rFonts w:ascii="Verdana" w:hAnsi="Verdana"/>
          <w:sz w:val="17"/>
          <w:szCs w:val="17"/>
          <w:lang w:val="en-GB" w:eastAsia="fr-FR"/>
        </w:rPr>
        <w:t>,</w:t>
      </w:r>
      <w:r w:rsidR="00F8714A">
        <w:rPr>
          <w:rFonts w:ascii="Verdana" w:hAnsi="Verdana"/>
          <w:sz w:val="17"/>
          <w:szCs w:val="17"/>
          <w:lang w:val="en-GB" w:eastAsia="fr-FR"/>
        </w:rPr>
        <w:t xml:space="preserve"> </w:t>
      </w:r>
      <w:r>
        <w:rPr>
          <w:rFonts w:ascii="Verdana" w:hAnsi="Verdana"/>
          <w:sz w:val="17"/>
          <w:szCs w:val="17"/>
          <w:lang w:val="en-GB" w:eastAsia="fr-FR"/>
        </w:rPr>
        <w:t>or “</w:t>
      </w:r>
      <w:r w:rsidRPr="007B3479">
        <w:rPr>
          <w:rFonts w:ascii="Verdana" w:hAnsi="Verdana"/>
          <w:sz w:val="17"/>
          <w:szCs w:val="17"/>
          <w:lang w:val="en-GB" w:eastAsia="fr-FR"/>
        </w:rPr>
        <w:t>its</w:t>
      </w:r>
      <w:r w:rsidR="00F8714A">
        <w:rPr>
          <w:rFonts w:ascii="Verdana" w:hAnsi="Verdana"/>
          <w:sz w:val="17"/>
          <w:szCs w:val="17"/>
          <w:lang w:val="en-GB" w:eastAsia="fr-FR"/>
        </w:rPr>
        <w:t xml:space="preserve"> </w:t>
      </w:r>
      <w:r w:rsidRPr="007B3479">
        <w:rPr>
          <w:rFonts w:ascii="Verdana" w:hAnsi="Verdana"/>
          <w:sz w:val="17"/>
          <w:szCs w:val="17"/>
          <w:lang w:val="en-GB" w:eastAsia="fr-FR"/>
        </w:rPr>
        <w:t>activities</w:t>
      </w:r>
      <w:r w:rsidR="00F8714A">
        <w:rPr>
          <w:rFonts w:ascii="Verdana" w:hAnsi="Verdana"/>
          <w:sz w:val="17"/>
          <w:szCs w:val="17"/>
          <w:lang w:val="en-GB" w:eastAsia="fr-FR"/>
        </w:rPr>
        <w:t xml:space="preserve"> </w:t>
      </w:r>
      <w:r w:rsidRPr="007B3479">
        <w:rPr>
          <w:rFonts w:ascii="Verdana" w:hAnsi="Verdana"/>
          <w:sz w:val="17"/>
          <w:szCs w:val="17"/>
          <w:lang w:val="en-GB" w:eastAsia="fr-FR"/>
        </w:rPr>
        <w:t>are</w:t>
      </w:r>
      <w:r w:rsidR="00F8714A">
        <w:rPr>
          <w:rFonts w:ascii="Verdana" w:hAnsi="Verdana"/>
          <w:sz w:val="17"/>
          <w:szCs w:val="17"/>
          <w:lang w:val="en-GB" w:eastAsia="fr-FR"/>
        </w:rPr>
        <w:t xml:space="preserve"> </w:t>
      </w:r>
      <w:r w:rsidRPr="007B3479">
        <w:rPr>
          <w:rFonts w:ascii="Verdana" w:hAnsi="Verdana"/>
          <w:sz w:val="17"/>
          <w:szCs w:val="17"/>
          <w:lang w:val="en-GB" w:eastAsia="fr-FR"/>
        </w:rPr>
        <w:t>likely</w:t>
      </w:r>
      <w:r w:rsidR="00F8714A">
        <w:rPr>
          <w:rFonts w:ascii="Verdana" w:hAnsi="Verdana"/>
          <w:sz w:val="17"/>
          <w:szCs w:val="17"/>
          <w:lang w:val="en-GB" w:eastAsia="fr-FR"/>
        </w:rPr>
        <w:t xml:space="preserve"> </w:t>
      </w:r>
      <w:r w:rsidRPr="007B3479">
        <w:rPr>
          <w:rFonts w:ascii="Verdana" w:hAnsi="Verdana"/>
          <w:sz w:val="17"/>
          <w:szCs w:val="17"/>
          <w:lang w:val="en-GB" w:eastAsia="fr-FR"/>
        </w:rPr>
        <w:t>to</w:t>
      </w:r>
      <w:r w:rsidR="00F8714A">
        <w:rPr>
          <w:rFonts w:ascii="Verdana" w:hAnsi="Verdana"/>
          <w:sz w:val="17"/>
          <w:szCs w:val="17"/>
          <w:lang w:val="en-GB" w:eastAsia="fr-FR"/>
        </w:rPr>
        <w:t xml:space="preserve"> </w:t>
      </w:r>
      <w:r w:rsidRPr="007B3479">
        <w:rPr>
          <w:rFonts w:ascii="Verdana" w:hAnsi="Verdana"/>
          <w:sz w:val="17"/>
          <w:szCs w:val="17"/>
          <w:lang w:val="en-GB" w:eastAsia="fr-FR"/>
        </w:rPr>
        <w:t>expose</w:t>
      </w:r>
      <w:r w:rsidR="00F8714A">
        <w:rPr>
          <w:rFonts w:ascii="Verdana" w:hAnsi="Verdana"/>
          <w:sz w:val="17"/>
          <w:szCs w:val="17"/>
          <w:lang w:val="en-GB" w:eastAsia="fr-FR"/>
        </w:rPr>
        <w:t xml:space="preserve"> </w:t>
      </w:r>
      <w:r w:rsidRPr="007B3479">
        <w:rPr>
          <w:rFonts w:ascii="Verdana" w:hAnsi="Verdana"/>
          <w:sz w:val="17"/>
          <w:szCs w:val="17"/>
          <w:lang w:val="en-GB" w:eastAsia="fr-FR"/>
        </w:rPr>
        <w:t>the</w:t>
      </w:r>
      <w:r w:rsidR="00F8714A">
        <w:rPr>
          <w:rFonts w:ascii="Verdana" w:hAnsi="Verdana"/>
          <w:sz w:val="17"/>
          <w:szCs w:val="17"/>
          <w:lang w:val="en-GB" w:eastAsia="fr-FR"/>
        </w:rPr>
        <w:t xml:space="preserve"> </w:t>
      </w:r>
      <w:r w:rsidRPr="007B3479">
        <w:rPr>
          <w:rFonts w:ascii="Verdana" w:hAnsi="Verdana"/>
          <w:sz w:val="17"/>
          <w:szCs w:val="17"/>
          <w:lang w:val="en-GB" w:eastAsia="fr-FR"/>
        </w:rPr>
        <w:t>judge</w:t>
      </w:r>
      <w:r w:rsidR="00F8714A">
        <w:rPr>
          <w:rFonts w:ascii="Verdana" w:hAnsi="Verdana"/>
          <w:sz w:val="17"/>
          <w:szCs w:val="17"/>
          <w:lang w:val="en-GB" w:eastAsia="fr-FR"/>
        </w:rPr>
        <w:t xml:space="preserve"> </w:t>
      </w:r>
      <w:r w:rsidRPr="007B3479">
        <w:rPr>
          <w:rFonts w:ascii="Verdana" w:hAnsi="Verdana"/>
          <w:sz w:val="17"/>
          <w:szCs w:val="17"/>
          <w:lang w:val="en-GB" w:eastAsia="fr-FR"/>
        </w:rPr>
        <w:t>to public</w:t>
      </w:r>
      <w:r w:rsidR="00F8714A">
        <w:rPr>
          <w:rFonts w:ascii="Verdana" w:hAnsi="Verdana"/>
          <w:sz w:val="17"/>
          <w:szCs w:val="17"/>
          <w:lang w:val="en-GB" w:eastAsia="fr-FR"/>
        </w:rPr>
        <w:t xml:space="preserve"> </w:t>
      </w:r>
      <w:r w:rsidRPr="007B3479">
        <w:rPr>
          <w:rFonts w:ascii="Verdana" w:hAnsi="Verdana"/>
          <w:sz w:val="17"/>
          <w:szCs w:val="17"/>
          <w:lang w:val="en-GB" w:eastAsia="fr-FR"/>
        </w:rPr>
        <w:t>controversy</w:t>
      </w:r>
      <w:r>
        <w:rPr>
          <w:rFonts w:ascii="Verdana" w:hAnsi="Verdana"/>
          <w:sz w:val="17"/>
          <w:szCs w:val="17"/>
          <w:lang w:val="en-GB" w:eastAsia="fr-FR"/>
        </w:rPr>
        <w:t>”</w:t>
      </w:r>
      <w:r w:rsidRPr="007B3479">
        <w:rPr>
          <w:rFonts w:ascii="Verdana" w:hAnsi="Verdana"/>
          <w:sz w:val="17"/>
          <w:szCs w:val="17"/>
          <w:lang w:val="en-GB" w:eastAsia="fr-FR"/>
        </w:rPr>
        <w:t>,</w:t>
      </w:r>
      <w:r w:rsidR="00F8714A">
        <w:rPr>
          <w:rFonts w:ascii="Verdana" w:hAnsi="Verdana"/>
          <w:sz w:val="17"/>
          <w:szCs w:val="17"/>
          <w:lang w:val="en-GB" w:eastAsia="fr-FR"/>
        </w:rPr>
        <w:t xml:space="preserve"> </w:t>
      </w:r>
      <w:r w:rsidRPr="007B3479">
        <w:rPr>
          <w:rFonts w:ascii="Verdana" w:hAnsi="Verdana"/>
          <w:sz w:val="17"/>
          <w:szCs w:val="17"/>
          <w:lang w:val="en-GB" w:eastAsia="fr-FR"/>
        </w:rPr>
        <w:t>or</w:t>
      </w:r>
      <w:r w:rsidR="00F8714A">
        <w:rPr>
          <w:rFonts w:ascii="Verdana" w:hAnsi="Verdana"/>
          <w:sz w:val="17"/>
          <w:szCs w:val="17"/>
          <w:lang w:val="en-GB" w:eastAsia="fr-FR"/>
        </w:rPr>
        <w:t xml:space="preserve"> </w:t>
      </w:r>
      <w:r>
        <w:rPr>
          <w:rFonts w:ascii="Verdana" w:hAnsi="Verdana"/>
          <w:sz w:val="17"/>
          <w:szCs w:val="17"/>
          <w:lang w:val="en-GB" w:eastAsia="fr-FR"/>
        </w:rPr>
        <w:t>it “</w:t>
      </w:r>
      <w:r w:rsidRPr="007B3479">
        <w:rPr>
          <w:rFonts w:ascii="Verdana" w:hAnsi="Verdana"/>
          <w:sz w:val="17"/>
          <w:szCs w:val="17"/>
          <w:lang w:val="en-GB" w:eastAsia="fr-FR"/>
        </w:rPr>
        <w:t>is</w:t>
      </w:r>
      <w:r w:rsidR="00F8714A">
        <w:rPr>
          <w:rFonts w:ascii="Verdana" w:hAnsi="Verdana"/>
          <w:sz w:val="17"/>
          <w:szCs w:val="17"/>
          <w:lang w:val="en-GB" w:eastAsia="fr-FR"/>
        </w:rPr>
        <w:t xml:space="preserve"> </w:t>
      </w:r>
      <w:r w:rsidRPr="007B3479">
        <w:rPr>
          <w:rFonts w:ascii="Verdana" w:hAnsi="Verdana"/>
          <w:sz w:val="17"/>
          <w:szCs w:val="17"/>
          <w:lang w:val="en-GB" w:eastAsia="fr-FR"/>
        </w:rPr>
        <w:t>likely</w:t>
      </w:r>
      <w:r w:rsidR="00F8714A">
        <w:rPr>
          <w:rFonts w:ascii="Verdana" w:hAnsi="Verdana"/>
          <w:sz w:val="17"/>
          <w:szCs w:val="17"/>
          <w:lang w:val="en-GB" w:eastAsia="fr-FR"/>
        </w:rPr>
        <w:t xml:space="preserve"> </w:t>
      </w:r>
      <w:r w:rsidRPr="007B3479">
        <w:rPr>
          <w:rFonts w:ascii="Verdana" w:hAnsi="Verdana"/>
          <w:sz w:val="17"/>
          <w:szCs w:val="17"/>
          <w:lang w:val="en-GB" w:eastAsia="fr-FR"/>
        </w:rPr>
        <w:t>to</w:t>
      </w:r>
      <w:r w:rsidR="00F8714A">
        <w:rPr>
          <w:rFonts w:ascii="Verdana" w:hAnsi="Verdana"/>
          <w:sz w:val="17"/>
          <w:szCs w:val="17"/>
          <w:lang w:val="en-GB" w:eastAsia="fr-FR"/>
        </w:rPr>
        <w:t xml:space="preserve"> </w:t>
      </w:r>
      <w:r w:rsidRPr="007B3479">
        <w:rPr>
          <w:rFonts w:ascii="Verdana" w:hAnsi="Verdana"/>
          <w:sz w:val="17"/>
          <w:szCs w:val="17"/>
          <w:lang w:val="en-GB" w:eastAsia="fr-FR"/>
        </w:rPr>
        <w:t>be</w:t>
      </w:r>
      <w:r w:rsidR="00F8714A">
        <w:rPr>
          <w:rFonts w:ascii="Verdana" w:hAnsi="Verdana"/>
          <w:sz w:val="17"/>
          <w:szCs w:val="17"/>
          <w:lang w:val="en-GB" w:eastAsia="fr-FR"/>
        </w:rPr>
        <w:t xml:space="preserve"> </w:t>
      </w:r>
      <w:r w:rsidRPr="007B3479">
        <w:rPr>
          <w:rFonts w:ascii="Verdana" w:hAnsi="Verdana"/>
          <w:sz w:val="17"/>
          <w:szCs w:val="17"/>
          <w:lang w:val="en-GB" w:eastAsia="fr-FR"/>
        </w:rPr>
        <w:t>regularly</w:t>
      </w:r>
      <w:r w:rsidR="00F8714A">
        <w:rPr>
          <w:rFonts w:ascii="Verdana" w:hAnsi="Verdana"/>
          <w:sz w:val="17"/>
          <w:szCs w:val="17"/>
          <w:lang w:val="en-GB" w:eastAsia="fr-FR"/>
        </w:rPr>
        <w:t xml:space="preserve"> </w:t>
      </w:r>
      <w:r w:rsidRPr="007B3479">
        <w:rPr>
          <w:rFonts w:ascii="Verdana" w:hAnsi="Verdana"/>
          <w:sz w:val="17"/>
          <w:szCs w:val="17"/>
          <w:lang w:val="en-GB" w:eastAsia="fr-FR"/>
        </w:rPr>
        <w:t>or</w:t>
      </w:r>
      <w:r w:rsidR="00F8714A">
        <w:rPr>
          <w:rFonts w:ascii="Verdana" w:hAnsi="Verdana"/>
          <w:sz w:val="17"/>
          <w:szCs w:val="17"/>
          <w:lang w:val="en-GB" w:eastAsia="fr-FR"/>
        </w:rPr>
        <w:t xml:space="preserve"> </w:t>
      </w:r>
      <w:r w:rsidRPr="007B3479">
        <w:rPr>
          <w:rFonts w:ascii="Verdana" w:hAnsi="Verdana"/>
          <w:sz w:val="17"/>
          <w:szCs w:val="17"/>
          <w:lang w:val="en-GB" w:eastAsia="fr-FR"/>
        </w:rPr>
        <w:t>frequently involved in litigation</w:t>
      </w:r>
      <w:r>
        <w:rPr>
          <w:rFonts w:ascii="Verdana" w:hAnsi="Verdana"/>
          <w:sz w:val="17"/>
          <w:szCs w:val="17"/>
          <w:lang w:val="en-GB" w:eastAsia="fr-FR"/>
        </w:rPr>
        <w:t>”; furthermore, “</w:t>
      </w:r>
      <w:r w:rsidRPr="007B3479">
        <w:rPr>
          <w:rFonts w:ascii="Verdana" w:hAnsi="Verdana"/>
          <w:sz w:val="17"/>
          <w:szCs w:val="17"/>
          <w:lang w:val="en-GB" w:eastAsia="fr-FR"/>
        </w:rPr>
        <w:t>A judge should not hold membership in any organization that discriminates on the basis of race, sex, religion, national origin, or other irrelevant cause contrary to</w:t>
      </w:r>
      <w:r w:rsidR="00F8714A">
        <w:rPr>
          <w:rFonts w:ascii="Verdana" w:hAnsi="Verdana"/>
          <w:sz w:val="17"/>
          <w:szCs w:val="17"/>
          <w:lang w:val="en-GB" w:eastAsia="fr-FR"/>
        </w:rPr>
        <w:t xml:space="preserve"> </w:t>
      </w:r>
      <w:r w:rsidRPr="007B3479">
        <w:rPr>
          <w:rFonts w:ascii="Verdana" w:hAnsi="Verdana"/>
          <w:sz w:val="17"/>
          <w:szCs w:val="17"/>
          <w:lang w:val="en-GB" w:eastAsia="fr-FR"/>
        </w:rPr>
        <w:t>fundamental</w:t>
      </w:r>
      <w:r w:rsidR="00F8714A">
        <w:rPr>
          <w:rFonts w:ascii="Verdana" w:hAnsi="Verdana"/>
          <w:sz w:val="17"/>
          <w:szCs w:val="17"/>
          <w:lang w:val="en-GB" w:eastAsia="fr-FR"/>
        </w:rPr>
        <w:t xml:space="preserve"> </w:t>
      </w:r>
      <w:r w:rsidRPr="007B3479">
        <w:rPr>
          <w:rFonts w:ascii="Verdana" w:hAnsi="Verdana"/>
          <w:sz w:val="17"/>
          <w:szCs w:val="17"/>
          <w:lang w:val="en-GB" w:eastAsia="fr-FR"/>
        </w:rPr>
        <w:t>human</w:t>
      </w:r>
      <w:r w:rsidR="00F8714A">
        <w:rPr>
          <w:rFonts w:ascii="Verdana" w:hAnsi="Verdana"/>
          <w:sz w:val="17"/>
          <w:szCs w:val="17"/>
          <w:lang w:val="en-GB" w:eastAsia="fr-FR"/>
        </w:rPr>
        <w:t xml:space="preserve"> </w:t>
      </w:r>
      <w:r w:rsidRPr="007B3479">
        <w:rPr>
          <w:rFonts w:ascii="Verdana" w:hAnsi="Verdana"/>
          <w:sz w:val="17"/>
          <w:szCs w:val="17"/>
          <w:lang w:val="en-GB" w:eastAsia="fr-FR"/>
        </w:rPr>
        <w:t>rights</w:t>
      </w:r>
      <w:r>
        <w:rPr>
          <w:rFonts w:ascii="Verdana" w:hAnsi="Verdana"/>
          <w:sz w:val="17"/>
          <w:szCs w:val="17"/>
          <w:lang w:val="en-GB" w:eastAsia="fr-FR"/>
        </w:rPr>
        <w:t>”.</w:t>
      </w:r>
      <w:r>
        <w:rPr>
          <w:rStyle w:val="FootnoteReference"/>
          <w:rFonts w:ascii="Verdana" w:hAnsi="Verdana"/>
          <w:sz w:val="17"/>
          <w:szCs w:val="17"/>
          <w:lang w:val="en-GB" w:eastAsia="fr-FR"/>
        </w:rPr>
        <w:footnoteReference w:id="30"/>
      </w:r>
    </w:p>
    <w:p w14:paraId="2BB6ABAE" w14:textId="1347224D" w:rsidR="00A11D1A" w:rsidRDefault="001C7780" w:rsidP="001C7780">
      <w:pPr>
        <w:tabs>
          <w:tab w:val="left" w:pos="0"/>
          <w:tab w:val="left" w:pos="567"/>
          <w:tab w:val="left" w:pos="1134"/>
          <w:tab w:val="left" w:pos="6379"/>
        </w:tabs>
        <w:spacing w:after="120" w:line="255" w:lineRule="exact"/>
        <w:ind w:left="927"/>
        <w:rPr>
          <w:rFonts w:ascii="Verdana" w:hAnsi="Verdana"/>
          <w:sz w:val="17"/>
          <w:szCs w:val="17"/>
          <w:lang w:val="en-GB" w:eastAsia="fr-FR"/>
        </w:rPr>
      </w:pPr>
      <w:r>
        <w:rPr>
          <w:rFonts w:ascii="Verdana" w:hAnsi="Verdana"/>
          <w:sz w:val="17"/>
          <w:szCs w:val="17"/>
          <w:lang w:val="en-GB" w:eastAsia="fr-FR"/>
        </w:rPr>
        <w:lastRenderedPageBreak/>
        <w:t>The Principles also provide that “A</w:t>
      </w:r>
      <w:r w:rsidR="00A11D1A" w:rsidRPr="00A11D1A">
        <w:rPr>
          <w:rFonts w:ascii="Verdana" w:hAnsi="Verdana"/>
          <w:sz w:val="17"/>
          <w:szCs w:val="17"/>
          <w:lang w:val="en-GB" w:eastAsia="fr-FR"/>
        </w:rPr>
        <w:t xml:space="preserve"> judge may form or join associations of judges or participate in other organisations representing the interests of judges.</w:t>
      </w:r>
      <w:r w:rsidR="00A11D1A">
        <w:rPr>
          <w:rFonts w:ascii="Verdana" w:hAnsi="Verdana"/>
          <w:sz w:val="17"/>
          <w:szCs w:val="17"/>
          <w:lang w:val="en-GB" w:eastAsia="fr-FR"/>
        </w:rPr>
        <w:t>”</w:t>
      </w:r>
      <w:r>
        <w:rPr>
          <w:rStyle w:val="FootnoteReference"/>
          <w:rFonts w:ascii="Verdana" w:hAnsi="Verdana"/>
          <w:sz w:val="17"/>
          <w:szCs w:val="17"/>
          <w:lang w:val="en-GB" w:eastAsia="fr-FR"/>
        </w:rPr>
        <w:footnoteReference w:id="31"/>
      </w:r>
      <w:r>
        <w:rPr>
          <w:rFonts w:ascii="Verdana" w:hAnsi="Verdana"/>
          <w:sz w:val="17"/>
          <w:szCs w:val="17"/>
          <w:lang w:val="en-GB" w:eastAsia="fr-FR"/>
        </w:rPr>
        <w:t xml:space="preserve"> The Commentary adds that, “</w:t>
      </w:r>
      <w:r w:rsidRPr="001C7780">
        <w:rPr>
          <w:rFonts w:ascii="Verdana" w:hAnsi="Verdana"/>
          <w:sz w:val="17"/>
          <w:szCs w:val="17"/>
          <w:lang w:val="en-GB" w:eastAsia="fr-FR"/>
        </w:rPr>
        <w:t>In the exercise of the freedom of association, a judge may join a trade union or</w:t>
      </w:r>
      <w:r w:rsidR="00F8714A">
        <w:rPr>
          <w:rFonts w:ascii="Verdana" w:hAnsi="Verdana"/>
          <w:sz w:val="17"/>
          <w:szCs w:val="17"/>
          <w:lang w:val="en-GB" w:eastAsia="fr-FR"/>
        </w:rPr>
        <w:t xml:space="preserve"> </w:t>
      </w:r>
      <w:r w:rsidRPr="001C7780">
        <w:rPr>
          <w:rFonts w:ascii="Verdana" w:hAnsi="Verdana"/>
          <w:sz w:val="17"/>
          <w:szCs w:val="17"/>
          <w:lang w:val="en-GB" w:eastAsia="fr-FR"/>
        </w:rPr>
        <w:t>professional</w:t>
      </w:r>
      <w:r w:rsidR="00F8714A">
        <w:rPr>
          <w:rFonts w:ascii="Verdana" w:hAnsi="Verdana"/>
          <w:sz w:val="17"/>
          <w:szCs w:val="17"/>
          <w:lang w:val="en-GB" w:eastAsia="fr-FR"/>
        </w:rPr>
        <w:t xml:space="preserve"> </w:t>
      </w:r>
      <w:r w:rsidRPr="001C7780">
        <w:rPr>
          <w:rFonts w:ascii="Verdana" w:hAnsi="Verdana"/>
          <w:sz w:val="17"/>
          <w:szCs w:val="17"/>
          <w:lang w:val="en-GB" w:eastAsia="fr-FR"/>
        </w:rPr>
        <w:t>association</w:t>
      </w:r>
      <w:r w:rsidR="00F8714A">
        <w:rPr>
          <w:rFonts w:ascii="Verdana" w:hAnsi="Verdana"/>
          <w:sz w:val="17"/>
          <w:szCs w:val="17"/>
          <w:lang w:val="en-GB" w:eastAsia="fr-FR"/>
        </w:rPr>
        <w:t xml:space="preserve"> </w:t>
      </w:r>
      <w:r w:rsidRPr="001C7780">
        <w:rPr>
          <w:rFonts w:ascii="Verdana" w:hAnsi="Verdana"/>
          <w:sz w:val="17"/>
          <w:szCs w:val="17"/>
          <w:lang w:val="en-GB" w:eastAsia="fr-FR"/>
        </w:rPr>
        <w:t>established</w:t>
      </w:r>
      <w:r w:rsidR="00F8714A">
        <w:rPr>
          <w:rFonts w:ascii="Verdana" w:hAnsi="Verdana"/>
          <w:sz w:val="17"/>
          <w:szCs w:val="17"/>
          <w:lang w:val="en-GB" w:eastAsia="fr-FR"/>
        </w:rPr>
        <w:t xml:space="preserve"> </w:t>
      </w:r>
      <w:r w:rsidRPr="001C7780">
        <w:rPr>
          <w:rFonts w:ascii="Verdana" w:hAnsi="Verdana"/>
          <w:sz w:val="17"/>
          <w:szCs w:val="17"/>
          <w:lang w:val="en-GB" w:eastAsia="fr-FR"/>
        </w:rPr>
        <w:t>to</w:t>
      </w:r>
      <w:r w:rsidR="00F8714A">
        <w:rPr>
          <w:rFonts w:ascii="Verdana" w:hAnsi="Verdana"/>
          <w:sz w:val="17"/>
          <w:szCs w:val="17"/>
          <w:lang w:val="en-GB" w:eastAsia="fr-FR"/>
        </w:rPr>
        <w:t xml:space="preserve"> </w:t>
      </w:r>
      <w:r w:rsidRPr="001C7780">
        <w:rPr>
          <w:rFonts w:ascii="Verdana" w:hAnsi="Verdana"/>
          <w:sz w:val="17"/>
          <w:szCs w:val="17"/>
          <w:lang w:val="en-GB" w:eastAsia="fr-FR"/>
        </w:rPr>
        <w:t>advance</w:t>
      </w:r>
      <w:r w:rsidR="00F8714A">
        <w:rPr>
          <w:rFonts w:ascii="Verdana" w:hAnsi="Verdana"/>
          <w:sz w:val="17"/>
          <w:szCs w:val="17"/>
          <w:lang w:val="en-GB" w:eastAsia="fr-FR"/>
        </w:rPr>
        <w:t xml:space="preserve"> </w:t>
      </w:r>
      <w:r w:rsidRPr="001C7780">
        <w:rPr>
          <w:rFonts w:ascii="Verdana" w:hAnsi="Verdana"/>
          <w:sz w:val="17"/>
          <w:szCs w:val="17"/>
          <w:lang w:val="en-GB" w:eastAsia="fr-FR"/>
        </w:rPr>
        <w:t>and</w:t>
      </w:r>
      <w:r w:rsidR="00F8714A">
        <w:rPr>
          <w:rFonts w:ascii="Verdana" w:hAnsi="Verdana"/>
          <w:sz w:val="17"/>
          <w:szCs w:val="17"/>
          <w:lang w:val="en-GB" w:eastAsia="fr-FR"/>
        </w:rPr>
        <w:t xml:space="preserve"> </w:t>
      </w:r>
      <w:r w:rsidRPr="001C7780">
        <w:rPr>
          <w:rFonts w:ascii="Verdana" w:hAnsi="Verdana"/>
          <w:sz w:val="17"/>
          <w:szCs w:val="17"/>
          <w:lang w:val="en-GB" w:eastAsia="fr-FR"/>
        </w:rPr>
        <w:t>protect</w:t>
      </w:r>
      <w:r w:rsidR="00F8714A">
        <w:rPr>
          <w:rFonts w:ascii="Verdana" w:hAnsi="Verdana"/>
          <w:sz w:val="17"/>
          <w:szCs w:val="17"/>
          <w:lang w:val="en-GB" w:eastAsia="fr-FR"/>
        </w:rPr>
        <w:t xml:space="preserve"> </w:t>
      </w:r>
      <w:r w:rsidRPr="001C7780">
        <w:rPr>
          <w:rFonts w:ascii="Verdana" w:hAnsi="Verdana"/>
          <w:sz w:val="17"/>
          <w:szCs w:val="17"/>
          <w:lang w:val="en-GB" w:eastAsia="fr-FR"/>
        </w:rPr>
        <w:t>the</w:t>
      </w:r>
      <w:r w:rsidR="00F8714A">
        <w:rPr>
          <w:rFonts w:ascii="Verdana" w:hAnsi="Verdana"/>
          <w:sz w:val="17"/>
          <w:szCs w:val="17"/>
          <w:lang w:val="en-GB" w:eastAsia="fr-FR"/>
        </w:rPr>
        <w:t xml:space="preserve"> </w:t>
      </w:r>
      <w:r w:rsidRPr="001C7780">
        <w:rPr>
          <w:rFonts w:ascii="Verdana" w:hAnsi="Verdana"/>
          <w:sz w:val="17"/>
          <w:szCs w:val="17"/>
          <w:lang w:val="en-GB" w:eastAsia="fr-FR"/>
        </w:rPr>
        <w:t>conditions</w:t>
      </w:r>
      <w:r w:rsidR="00F8714A">
        <w:rPr>
          <w:rFonts w:ascii="Verdana" w:hAnsi="Verdana"/>
          <w:sz w:val="17"/>
          <w:szCs w:val="17"/>
          <w:lang w:val="en-GB" w:eastAsia="fr-FR"/>
        </w:rPr>
        <w:t xml:space="preserve"> </w:t>
      </w:r>
      <w:r w:rsidRPr="001C7780">
        <w:rPr>
          <w:rFonts w:ascii="Verdana" w:hAnsi="Verdana"/>
          <w:sz w:val="17"/>
          <w:szCs w:val="17"/>
          <w:lang w:val="en-GB" w:eastAsia="fr-FR"/>
        </w:rPr>
        <w:t>of</w:t>
      </w:r>
      <w:r w:rsidR="00F8714A">
        <w:rPr>
          <w:rFonts w:ascii="Verdana" w:hAnsi="Verdana"/>
          <w:sz w:val="17"/>
          <w:szCs w:val="17"/>
          <w:lang w:val="en-GB" w:eastAsia="fr-FR"/>
        </w:rPr>
        <w:t xml:space="preserve"> </w:t>
      </w:r>
      <w:r w:rsidRPr="001C7780">
        <w:rPr>
          <w:rFonts w:ascii="Verdana" w:hAnsi="Verdana"/>
          <w:sz w:val="17"/>
          <w:szCs w:val="17"/>
          <w:lang w:val="en-GB" w:eastAsia="fr-FR"/>
        </w:rPr>
        <w:t>service</w:t>
      </w:r>
      <w:r w:rsidR="00F8714A">
        <w:rPr>
          <w:rFonts w:ascii="Verdana" w:hAnsi="Verdana"/>
          <w:sz w:val="17"/>
          <w:szCs w:val="17"/>
          <w:lang w:val="en-GB" w:eastAsia="fr-FR"/>
        </w:rPr>
        <w:t xml:space="preserve"> </w:t>
      </w:r>
      <w:r w:rsidRPr="001C7780">
        <w:rPr>
          <w:rFonts w:ascii="Verdana" w:hAnsi="Verdana"/>
          <w:sz w:val="17"/>
          <w:szCs w:val="17"/>
          <w:lang w:val="en-GB" w:eastAsia="fr-FR"/>
        </w:rPr>
        <w:t>and</w:t>
      </w:r>
      <w:r w:rsidR="00F8714A">
        <w:rPr>
          <w:rFonts w:ascii="Verdana" w:hAnsi="Verdana"/>
          <w:sz w:val="17"/>
          <w:szCs w:val="17"/>
          <w:lang w:val="en-GB" w:eastAsia="fr-FR"/>
        </w:rPr>
        <w:t xml:space="preserve"> </w:t>
      </w:r>
      <w:r w:rsidRPr="001C7780">
        <w:rPr>
          <w:rFonts w:ascii="Verdana" w:hAnsi="Verdana"/>
          <w:sz w:val="17"/>
          <w:szCs w:val="17"/>
          <w:lang w:val="en-GB" w:eastAsia="fr-FR"/>
        </w:rPr>
        <w:t>salaries</w:t>
      </w:r>
      <w:r w:rsidR="00F8714A">
        <w:rPr>
          <w:rFonts w:ascii="Verdana" w:hAnsi="Verdana"/>
          <w:sz w:val="17"/>
          <w:szCs w:val="17"/>
          <w:lang w:val="en-GB" w:eastAsia="fr-FR"/>
        </w:rPr>
        <w:t xml:space="preserve"> </w:t>
      </w:r>
      <w:r w:rsidRPr="001C7780">
        <w:rPr>
          <w:rFonts w:ascii="Verdana" w:hAnsi="Verdana"/>
          <w:sz w:val="17"/>
          <w:szCs w:val="17"/>
          <w:lang w:val="en-GB" w:eastAsia="fr-FR"/>
        </w:rPr>
        <w:t>of</w:t>
      </w:r>
      <w:r w:rsidR="00F8714A">
        <w:rPr>
          <w:rFonts w:ascii="Verdana" w:hAnsi="Verdana"/>
          <w:sz w:val="17"/>
          <w:szCs w:val="17"/>
          <w:lang w:val="en-GB" w:eastAsia="fr-FR"/>
        </w:rPr>
        <w:t xml:space="preserve"> </w:t>
      </w:r>
      <w:r w:rsidRPr="001C7780">
        <w:rPr>
          <w:rFonts w:ascii="Verdana" w:hAnsi="Verdana"/>
          <w:sz w:val="17"/>
          <w:szCs w:val="17"/>
          <w:lang w:val="en-GB" w:eastAsia="fr-FR"/>
        </w:rPr>
        <w:t>judges</w:t>
      </w:r>
      <w:r w:rsidR="00F8714A">
        <w:rPr>
          <w:rFonts w:ascii="Verdana" w:hAnsi="Verdana"/>
          <w:sz w:val="17"/>
          <w:szCs w:val="17"/>
          <w:lang w:val="en-GB" w:eastAsia="fr-FR"/>
        </w:rPr>
        <w:t xml:space="preserve"> </w:t>
      </w:r>
      <w:r w:rsidRPr="001C7780">
        <w:rPr>
          <w:rFonts w:ascii="Verdana" w:hAnsi="Verdana"/>
          <w:sz w:val="17"/>
          <w:szCs w:val="17"/>
          <w:lang w:val="en-GB" w:eastAsia="fr-FR"/>
        </w:rPr>
        <w:t>or,</w:t>
      </w:r>
      <w:r w:rsidR="00F8714A">
        <w:rPr>
          <w:rFonts w:ascii="Verdana" w:hAnsi="Verdana"/>
          <w:sz w:val="17"/>
          <w:szCs w:val="17"/>
          <w:lang w:val="en-GB" w:eastAsia="fr-FR"/>
        </w:rPr>
        <w:t xml:space="preserve"> </w:t>
      </w:r>
      <w:r w:rsidRPr="001C7780">
        <w:rPr>
          <w:rFonts w:ascii="Verdana" w:hAnsi="Verdana"/>
          <w:sz w:val="17"/>
          <w:szCs w:val="17"/>
          <w:lang w:val="en-GB" w:eastAsia="fr-FR"/>
        </w:rPr>
        <w:t>together</w:t>
      </w:r>
      <w:r w:rsidR="00F8714A">
        <w:rPr>
          <w:rFonts w:ascii="Verdana" w:hAnsi="Verdana"/>
          <w:sz w:val="17"/>
          <w:szCs w:val="17"/>
          <w:lang w:val="en-GB" w:eastAsia="fr-FR"/>
        </w:rPr>
        <w:t xml:space="preserve"> </w:t>
      </w:r>
      <w:r w:rsidRPr="001C7780">
        <w:rPr>
          <w:rFonts w:ascii="Verdana" w:hAnsi="Verdana"/>
          <w:sz w:val="17"/>
          <w:szCs w:val="17"/>
          <w:lang w:val="en-GB" w:eastAsia="fr-FR"/>
        </w:rPr>
        <w:t>with</w:t>
      </w:r>
      <w:r w:rsidR="00F8714A">
        <w:rPr>
          <w:rFonts w:ascii="Verdana" w:hAnsi="Verdana"/>
          <w:sz w:val="17"/>
          <w:szCs w:val="17"/>
          <w:lang w:val="en-GB" w:eastAsia="fr-FR"/>
        </w:rPr>
        <w:t xml:space="preserve"> </w:t>
      </w:r>
      <w:r w:rsidRPr="001C7780">
        <w:rPr>
          <w:rFonts w:ascii="Verdana" w:hAnsi="Verdana"/>
          <w:sz w:val="17"/>
          <w:szCs w:val="17"/>
          <w:lang w:val="en-GB" w:eastAsia="fr-FR"/>
        </w:rPr>
        <w:t>other</w:t>
      </w:r>
      <w:r w:rsidR="00F8714A">
        <w:rPr>
          <w:rFonts w:ascii="Verdana" w:hAnsi="Verdana"/>
          <w:sz w:val="17"/>
          <w:szCs w:val="17"/>
          <w:lang w:val="en-GB" w:eastAsia="fr-FR"/>
        </w:rPr>
        <w:t xml:space="preserve"> </w:t>
      </w:r>
      <w:r w:rsidRPr="001C7780">
        <w:rPr>
          <w:rFonts w:ascii="Verdana" w:hAnsi="Verdana"/>
          <w:sz w:val="17"/>
          <w:szCs w:val="17"/>
          <w:lang w:val="en-GB" w:eastAsia="fr-FR"/>
        </w:rPr>
        <w:t>judges,</w:t>
      </w:r>
      <w:r w:rsidR="00F8714A">
        <w:rPr>
          <w:rFonts w:ascii="Verdana" w:hAnsi="Verdana"/>
          <w:sz w:val="17"/>
          <w:szCs w:val="17"/>
          <w:lang w:val="en-GB" w:eastAsia="fr-FR"/>
        </w:rPr>
        <w:t xml:space="preserve"> </w:t>
      </w:r>
      <w:r w:rsidRPr="001C7780">
        <w:rPr>
          <w:rFonts w:ascii="Verdana" w:hAnsi="Verdana"/>
          <w:sz w:val="17"/>
          <w:szCs w:val="17"/>
          <w:lang w:val="en-GB" w:eastAsia="fr-FR"/>
        </w:rPr>
        <w:t>form</w:t>
      </w:r>
      <w:r w:rsidR="00F8714A">
        <w:rPr>
          <w:rFonts w:ascii="Verdana" w:hAnsi="Verdana"/>
          <w:sz w:val="17"/>
          <w:szCs w:val="17"/>
          <w:lang w:val="en-GB" w:eastAsia="fr-FR"/>
        </w:rPr>
        <w:t xml:space="preserve"> </w:t>
      </w:r>
      <w:r w:rsidRPr="001C7780">
        <w:rPr>
          <w:rFonts w:ascii="Verdana" w:hAnsi="Verdana"/>
          <w:sz w:val="17"/>
          <w:szCs w:val="17"/>
          <w:lang w:val="en-GB" w:eastAsia="fr-FR"/>
        </w:rPr>
        <w:t>a</w:t>
      </w:r>
      <w:r w:rsidR="00F8714A">
        <w:rPr>
          <w:rFonts w:ascii="Verdana" w:hAnsi="Verdana"/>
          <w:sz w:val="17"/>
          <w:szCs w:val="17"/>
          <w:lang w:val="en-GB" w:eastAsia="fr-FR"/>
        </w:rPr>
        <w:t xml:space="preserve"> </w:t>
      </w:r>
      <w:r w:rsidRPr="001C7780">
        <w:rPr>
          <w:rFonts w:ascii="Verdana" w:hAnsi="Verdana"/>
          <w:sz w:val="17"/>
          <w:szCs w:val="17"/>
          <w:lang w:val="en-GB" w:eastAsia="fr-FR"/>
        </w:rPr>
        <w:t>trade</w:t>
      </w:r>
      <w:r w:rsidR="00F8714A">
        <w:rPr>
          <w:rFonts w:ascii="Verdana" w:hAnsi="Verdana"/>
          <w:sz w:val="17"/>
          <w:szCs w:val="17"/>
          <w:lang w:val="en-GB" w:eastAsia="fr-FR"/>
        </w:rPr>
        <w:t xml:space="preserve"> </w:t>
      </w:r>
      <w:r w:rsidRPr="001C7780">
        <w:rPr>
          <w:rFonts w:ascii="Verdana" w:hAnsi="Verdana"/>
          <w:sz w:val="17"/>
          <w:szCs w:val="17"/>
          <w:lang w:val="en-GB" w:eastAsia="fr-FR"/>
        </w:rPr>
        <w:t>union</w:t>
      </w:r>
      <w:r w:rsidR="00F8714A">
        <w:rPr>
          <w:rFonts w:ascii="Verdana" w:hAnsi="Verdana"/>
          <w:sz w:val="17"/>
          <w:szCs w:val="17"/>
          <w:lang w:val="en-GB" w:eastAsia="fr-FR"/>
        </w:rPr>
        <w:t xml:space="preserve"> </w:t>
      </w:r>
      <w:r w:rsidRPr="001C7780">
        <w:rPr>
          <w:rFonts w:ascii="Verdana" w:hAnsi="Verdana"/>
          <w:sz w:val="17"/>
          <w:szCs w:val="17"/>
          <w:lang w:val="en-GB" w:eastAsia="fr-FR"/>
        </w:rPr>
        <w:t>or</w:t>
      </w:r>
      <w:r w:rsidR="00F8714A">
        <w:rPr>
          <w:rFonts w:ascii="Verdana" w:hAnsi="Verdana"/>
          <w:sz w:val="17"/>
          <w:szCs w:val="17"/>
          <w:lang w:val="en-GB" w:eastAsia="fr-FR"/>
        </w:rPr>
        <w:t xml:space="preserve"> </w:t>
      </w:r>
      <w:r w:rsidRPr="001C7780">
        <w:rPr>
          <w:rFonts w:ascii="Verdana" w:hAnsi="Verdana"/>
          <w:sz w:val="17"/>
          <w:szCs w:val="17"/>
          <w:lang w:val="en-GB" w:eastAsia="fr-FR"/>
        </w:rPr>
        <w:t>association</w:t>
      </w:r>
      <w:r w:rsidR="00F8714A">
        <w:rPr>
          <w:rFonts w:ascii="Verdana" w:hAnsi="Verdana"/>
          <w:sz w:val="17"/>
          <w:szCs w:val="17"/>
          <w:lang w:val="en-GB" w:eastAsia="fr-FR"/>
        </w:rPr>
        <w:t xml:space="preserve"> </w:t>
      </w:r>
      <w:r w:rsidRPr="001C7780">
        <w:rPr>
          <w:rFonts w:ascii="Verdana" w:hAnsi="Verdana"/>
          <w:sz w:val="17"/>
          <w:szCs w:val="17"/>
          <w:lang w:val="en-GB" w:eastAsia="fr-FR"/>
        </w:rPr>
        <w:t>of</w:t>
      </w:r>
      <w:r w:rsidR="00F8714A">
        <w:rPr>
          <w:rFonts w:ascii="Verdana" w:hAnsi="Verdana"/>
          <w:sz w:val="17"/>
          <w:szCs w:val="17"/>
          <w:lang w:val="en-GB" w:eastAsia="fr-FR"/>
        </w:rPr>
        <w:t xml:space="preserve"> </w:t>
      </w:r>
      <w:r w:rsidRPr="001C7780">
        <w:rPr>
          <w:rFonts w:ascii="Verdana" w:hAnsi="Verdana"/>
          <w:sz w:val="17"/>
          <w:szCs w:val="17"/>
          <w:lang w:val="en-GB" w:eastAsia="fr-FR"/>
        </w:rPr>
        <w:t>that</w:t>
      </w:r>
      <w:r w:rsidR="00F8714A">
        <w:rPr>
          <w:rFonts w:ascii="Verdana" w:hAnsi="Verdana"/>
          <w:sz w:val="17"/>
          <w:szCs w:val="17"/>
          <w:lang w:val="en-GB" w:eastAsia="fr-FR"/>
        </w:rPr>
        <w:t xml:space="preserve"> </w:t>
      </w:r>
      <w:r w:rsidRPr="001C7780">
        <w:rPr>
          <w:rFonts w:ascii="Verdana" w:hAnsi="Verdana"/>
          <w:sz w:val="17"/>
          <w:szCs w:val="17"/>
          <w:lang w:val="en-GB" w:eastAsia="fr-FR"/>
        </w:rPr>
        <w:t>nature.</w:t>
      </w:r>
      <w:r w:rsidR="00F8714A">
        <w:rPr>
          <w:rFonts w:ascii="Verdana" w:hAnsi="Verdana"/>
          <w:sz w:val="17"/>
          <w:szCs w:val="17"/>
          <w:lang w:val="en-GB" w:eastAsia="fr-FR"/>
        </w:rPr>
        <w:t xml:space="preserve"> </w:t>
      </w:r>
      <w:r w:rsidRPr="001C7780">
        <w:rPr>
          <w:rFonts w:ascii="Verdana" w:hAnsi="Verdana"/>
          <w:sz w:val="17"/>
          <w:szCs w:val="17"/>
          <w:lang w:val="en-GB" w:eastAsia="fr-FR"/>
        </w:rPr>
        <w:t>Given</w:t>
      </w:r>
      <w:r w:rsidR="00F8714A">
        <w:rPr>
          <w:rFonts w:ascii="Verdana" w:hAnsi="Verdana"/>
          <w:sz w:val="17"/>
          <w:szCs w:val="17"/>
          <w:lang w:val="en-GB" w:eastAsia="fr-FR"/>
        </w:rPr>
        <w:t xml:space="preserve"> </w:t>
      </w:r>
      <w:r w:rsidRPr="001C7780">
        <w:rPr>
          <w:rFonts w:ascii="Verdana" w:hAnsi="Verdana"/>
          <w:sz w:val="17"/>
          <w:szCs w:val="17"/>
          <w:lang w:val="en-GB" w:eastAsia="fr-FR"/>
        </w:rPr>
        <w:t>the</w:t>
      </w:r>
      <w:r w:rsidR="00F8714A">
        <w:rPr>
          <w:rFonts w:ascii="Verdana" w:hAnsi="Verdana"/>
          <w:sz w:val="17"/>
          <w:szCs w:val="17"/>
          <w:lang w:val="en-GB" w:eastAsia="fr-FR"/>
        </w:rPr>
        <w:t xml:space="preserve"> </w:t>
      </w:r>
      <w:r w:rsidRPr="001C7780">
        <w:rPr>
          <w:rFonts w:ascii="Verdana" w:hAnsi="Verdana"/>
          <w:sz w:val="17"/>
          <w:szCs w:val="17"/>
          <w:lang w:val="en-GB" w:eastAsia="fr-FR"/>
        </w:rPr>
        <w:t>public</w:t>
      </w:r>
      <w:r w:rsidR="00F8714A">
        <w:rPr>
          <w:rFonts w:ascii="Verdana" w:hAnsi="Verdana"/>
          <w:sz w:val="17"/>
          <w:szCs w:val="17"/>
          <w:lang w:val="en-GB" w:eastAsia="fr-FR"/>
        </w:rPr>
        <w:t xml:space="preserve"> </w:t>
      </w:r>
      <w:r w:rsidRPr="001C7780">
        <w:rPr>
          <w:rFonts w:ascii="Verdana" w:hAnsi="Verdana"/>
          <w:sz w:val="17"/>
          <w:szCs w:val="17"/>
          <w:lang w:val="en-GB" w:eastAsia="fr-FR"/>
        </w:rPr>
        <w:t>and</w:t>
      </w:r>
      <w:r w:rsidR="00F8714A">
        <w:rPr>
          <w:rFonts w:ascii="Verdana" w:hAnsi="Verdana"/>
          <w:sz w:val="17"/>
          <w:szCs w:val="17"/>
          <w:lang w:val="en-GB" w:eastAsia="fr-FR"/>
        </w:rPr>
        <w:t xml:space="preserve"> </w:t>
      </w:r>
      <w:r w:rsidRPr="001C7780">
        <w:rPr>
          <w:rFonts w:ascii="Verdana" w:hAnsi="Verdana"/>
          <w:sz w:val="17"/>
          <w:szCs w:val="17"/>
          <w:lang w:val="en-GB" w:eastAsia="fr-FR"/>
        </w:rPr>
        <w:t>constitutional</w:t>
      </w:r>
      <w:r w:rsidR="00F8714A">
        <w:rPr>
          <w:rFonts w:ascii="Verdana" w:hAnsi="Verdana"/>
          <w:sz w:val="17"/>
          <w:szCs w:val="17"/>
          <w:lang w:val="en-GB" w:eastAsia="fr-FR"/>
        </w:rPr>
        <w:t xml:space="preserve"> </w:t>
      </w:r>
      <w:r w:rsidRPr="001C7780">
        <w:rPr>
          <w:rFonts w:ascii="Verdana" w:hAnsi="Verdana"/>
          <w:sz w:val="17"/>
          <w:szCs w:val="17"/>
          <w:lang w:val="en-GB" w:eastAsia="fr-FR"/>
        </w:rPr>
        <w:t>character</w:t>
      </w:r>
      <w:r w:rsidR="00F8714A">
        <w:rPr>
          <w:rFonts w:ascii="Verdana" w:hAnsi="Verdana"/>
          <w:sz w:val="17"/>
          <w:szCs w:val="17"/>
          <w:lang w:val="en-GB" w:eastAsia="fr-FR"/>
        </w:rPr>
        <w:t xml:space="preserve"> </w:t>
      </w:r>
      <w:r w:rsidRPr="001C7780">
        <w:rPr>
          <w:rFonts w:ascii="Verdana" w:hAnsi="Verdana"/>
          <w:sz w:val="17"/>
          <w:szCs w:val="17"/>
          <w:lang w:val="en-GB" w:eastAsia="fr-FR"/>
        </w:rPr>
        <w:t>of</w:t>
      </w:r>
      <w:r w:rsidR="00F8714A">
        <w:rPr>
          <w:rFonts w:ascii="Verdana" w:hAnsi="Verdana"/>
          <w:sz w:val="17"/>
          <w:szCs w:val="17"/>
          <w:lang w:val="en-GB" w:eastAsia="fr-FR"/>
        </w:rPr>
        <w:t xml:space="preserve"> </w:t>
      </w:r>
      <w:r w:rsidRPr="001C7780">
        <w:rPr>
          <w:rFonts w:ascii="Verdana" w:hAnsi="Verdana"/>
          <w:sz w:val="17"/>
          <w:szCs w:val="17"/>
          <w:lang w:val="en-GB" w:eastAsia="fr-FR"/>
        </w:rPr>
        <w:t>the</w:t>
      </w:r>
      <w:r w:rsidR="00F8714A">
        <w:rPr>
          <w:rFonts w:ascii="Verdana" w:hAnsi="Verdana"/>
          <w:sz w:val="17"/>
          <w:szCs w:val="17"/>
          <w:lang w:val="en-GB" w:eastAsia="fr-FR"/>
        </w:rPr>
        <w:t xml:space="preserve"> </w:t>
      </w:r>
      <w:r w:rsidRPr="001C7780">
        <w:rPr>
          <w:rFonts w:ascii="Verdana" w:hAnsi="Verdana"/>
          <w:sz w:val="17"/>
          <w:szCs w:val="17"/>
          <w:lang w:val="en-GB" w:eastAsia="fr-FR"/>
        </w:rPr>
        <w:t xml:space="preserve">judge’s service, however, restrictions may be </w:t>
      </w:r>
      <w:r>
        <w:rPr>
          <w:rFonts w:ascii="Verdana" w:hAnsi="Verdana"/>
          <w:sz w:val="17"/>
          <w:szCs w:val="17"/>
          <w:lang w:val="en-GB" w:eastAsia="fr-FR"/>
        </w:rPr>
        <w:t>placed on the right to strike.”</w:t>
      </w:r>
      <w:r>
        <w:rPr>
          <w:rStyle w:val="FootnoteReference"/>
          <w:rFonts w:ascii="Verdana" w:hAnsi="Verdana"/>
          <w:sz w:val="17"/>
          <w:szCs w:val="17"/>
          <w:lang w:val="en-GB" w:eastAsia="fr-FR"/>
        </w:rPr>
        <w:footnoteReference w:id="32"/>
      </w:r>
    </w:p>
    <w:p w14:paraId="1CE7452D" w14:textId="77777777" w:rsidR="00556EE1" w:rsidRDefault="00556EE1" w:rsidP="003D692A">
      <w:pPr>
        <w:tabs>
          <w:tab w:val="left" w:pos="0"/>
          <w:tab w:val="left" w:pos="567"/>
          <w:tab w:val="left" w:pos="1134"/>
          <w:tab w:val="left" w:pos="6379"/>
        </w:tabs>
        <w:spacing w:after="120" w:line="255" w:lineRule="exact"/>
        <w:rPr>
          <w:rFonts w:ascii="Verdana" w:hAnsi="Verdana"/>
          <w:sz w:val="17"/>
          <w:szCs w:val="17"/>
          <w:lang w:val="en-GB" w:eastAsia="fr-FR"/>
        </w:rPr>
      </w:pPr>
    </w:p>
    <w:p w14:paraId="37FEB3EB" w14:textId="0212BCC7" w:rsidR="00393E7E" w:rsidRPr="00393E7E" w:rsidRDefault="001C4040" w:rsidP="001C4040">
      <w:pPr>
        <w:pBdr>
          <w:top w:val="single" w:sz="4" w:space="1" w:color="auto"/>
          <w:left w:val="single" w:sz="4" w:space="4" w:color="auto"/>
          <w:bottom w:val="single" w:sz="4" w:space="1" w:color="auto"/>
          <w:right w:val="single" w:sz="4" w:space="4" w:color="auto"/>
        </w:pBdr>
        <w:tabs>
          <w:tab w:val="left" w:pos="0"/>
          <w:tab w:val="left" w:pos="567"/>
          <w:tab w:val="left" w:pos="1134"/>
          <w:tab w:val="left" w:pos="6379"/>
        </w:tabs>
        <w:spacing w:after="120" w:line="255" w:lineRule="exact"/>
        <w:rPr>
          <w:rFonts w:ascii="Verdana" w:hAnsi="Verdana"/>
          <w:b/>
          <w:sz w:val="17"/>
          <w:szCs w:val="17"/>
          <w:lang w:val="en-GB" w:eastAsia="fr-FR"/>
        </w:rPr>
      </w:pPr>
      <w:r>
        <w:rPr>
          <w:rFonts w:ascii="Verdana" w:hAnsi="Verdana"/>
          <w:b/>
          <w:sz w:val="17"/>
          <w:szCs w:val="17"/>
          <w:lang w:val="en-GB" w:eastAsia="fr-FR"/>
        </w:rPr>
        <w:t>2.</w:t>
      </w:r>
      <w:r w:rsidR="00F42439">
        <w:rPr>
          <w:rFonts w:ascii="Verdana" w:hAnsi="Verdana"/>
          <w:b/>
          <w:sz w:val="17"/>
          <w:szCs w:val="17"/>
          <w:lang w:val="en-GB" w:eastAsia="fr-FR"/>
        </w:rPr>
        <w:t xml:space="preserve"> </w:t>
      </w:r>
      <w:r>
        <w:rPr>
          <w:rFonts w:ascii="Verdana" w:hAnsi="Verdana"/>
          <w:b/>
          <w:sz w:val="17"/>
          <w:szCs w:val="17"/>
          <w:lang w:val="en-GB" w:eastAsia="fr-FR"/>
        </w:rPr>
        <w:t>Regional</w:t>
      </w:r>
      <w:r w:rsidR="00393E7E">
        <w:rPr>
          <w:rFonts w:ascii="Verdana" w:hAnsi="Verdana"/>
          <w:b/>
          <w:sz w:val="17"/>
          <w:szCs w:val="17"/>
          <w:lang w:val="en-GB" w:eastAsia="fr-FR"/>
        </w:rPr>
        <w:t xml:space="preserve"> Jurisprudence</w:t>
      </w:r>
      <w:r>
        <w:rPr>
          <w:rFonts w:ascii="Verdana" w:hAnsi="Verdana"/>
          <w:b/>
          <w:sz w:val="17"/>
          <w:szCs w:val="17"/>
          <w:lang w:val="en-GB" w:eastAsia="fr-FR"/>
        </w:rPr>
        <w:t xml:space="preserve"> and Standards</w:t>
      </w:r>
    </w:p>
    <w:p w14:paraId="6EB93732" w14:textId="77777777" w:rsidR="005F6C79" w:rsidRDefault="005F6C79" w:rsidP="000B19DD">
      <w:pPr>
        <w:tabs>
          <w:tab w:val="left" w:pos="0"/>
          <w:tab w:val="left" w:pos="567"/>
          <w:tab w:val="left" w:pos="1134"/>
          <w:tab w:val="left" w:pos="6379"/>
        </w:tabs>
        <w:spacing w:line="255" w:lineRule="exact"/>
        <w:rPr>
          <w:rFonts w:ascii="Verdana" w:hAnsi="Verdana"/>
          <w:sz w:val="17"/>
          <w:szCs w:val="17"/>
          <w:u w:val="single"/>
          <w:lang w:val="en-GB" w:eastAsia="fr-FR"/>
        </w:rPr>
      </w:pPr>
    </w:p>
    <w:p w14:paraId="2E066DD6" w14:textId="3EDED7E2" w:rsidR="005F6C79" w:rsidRPr="005F6C79" w:rsidRDefault="005F6C79" w:rsidP="000B19DD">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As was noted earlier, a number of regional instruments include provisions similar to the relevant provisions of the UN </w:t>
      </w:r>
      <w:r w:rsidRPr="005F6C79">
        <w:rPr>
          <w:rFonts w:ascii="Verdana" w:hAnsi="Verdana"/>
          <w:sz w:val="17"/>
          <w:szCs w:val="17"/>
          <w:lang w:val="en-GB" w:eastAsia="fr-FR"/>
        </w:rPr>
        <w:t>Basic Prin</w:t>
      </w:r>
      <w:r w:rsidRPr="005F6C79">
        <w:rPr>
          <w:rFonts w:ascii="Verdana" w:hAnsi="Verdana"/>
          <w:sz w:val="17"/>
          <w:szCs w:val="17"/>
          <w:lang w:val="en-GB" w:eastAsia="fr-FR"/>
        </w:rPr>
        <w:lastRenderedPageBreak/>
        <w:t xml:space="preserve">ciples on the Independence of the Judiciary, and the UN Guidelines on the Role of Prosecutors. </w:t>
      </w:r>
      <w:r w:rsidRPr="009406EE">
        <w:rPr>
          <w:rFonts w:ascii="Verdana" w:hAnsi="Verdana"/>
          <w:sz w:val="17"/>
          <w:szCs w:val="17"/>
          <w:lang w:val="en-GB"/>
        </w:rPr>
        <w:t xml:space="preserve">Examples include the </w:t>
      </w:r>
      <w:r w:rsidRPr="009406EE">
        <w:rPr>
          <w:rFonts w:ascii="Verdana" w:hAnsi="Verdana"/>
          <w:b/>
          <w:sz w:val="17"/>
          <w:szCs w:val="17"/>
          <w:lang w:val="en-GB"/>
        </w:rPr>
        <w:t xml:space="preserve">Principles and Guidelines on the Right to a Fair Trial and Legal Assistance in Africa </w:t>
      </w:r>
      <w:r w:rsidRPr="009406EE">
        <w:rPr>
          <w:rFonts w:ascii="Verdana" w:hAnsi="Verdana"/>
          <w:sz w:val="17"/>
          <w:szCs w:val="17"/>
          <w:lang w:val="en-GB"/>
        </w:rPr>
        <w:t xml:space="preserve">(African Commission on Human and Peoples’ Rights, 2005), articles A(4)(s) and (t); and </w:t>
      </w:r>
      <w:r w:rsidRPr="009406EE">
        <w:rPr>
          <w:rFonts w:ascii="Verdana" w:hAnsi="Verdana"/>
          <w:b/>
          <w:sz w:val="17"/>
          <w:szCs w:val="17"/>
          <w:lang w:val="en-GB"/>
        </w:rPr>
        <w:t>Beijing Statement of Principles on the Independence of the Judiciary in the LAWASIA Region</w:t>
      </w:r>
      <w:r w:rsidRPr="009406EE">
        <w:rPr>
          <w:rFonts w:ascii="Verdana" w:hAnsi="Verdana"/>
          <w:sz w:val="17"/>
          <w:szCs w:val="17"/>
          <w:lang w:val="en-GB"/>
        </w:rPr>
        <w:t xml:space="preserve"> (7th Conference of the Chief Justices of Asia and the Pacific, 1997), paras 8 and 9. The most detailed regional jurisprudence and standards on the topic comes from Europe and the Inter-American system, as highlighted below.</w:t>
      </w:r>
    </w:p>
    <w:p w14:paraId="52875CF8" w14:textId="77777777" w:rsidR="005F6C79" w:rsidRPr="005F6C79" w:rsidRDefault="005F6C79" w:rsidP="000B19DD">
      <w:pPr>
        <w:tabs>
          <w:tab w:val="left" w:pos="0"/>
          <w:tab w:val="left" w:pos="567"/>
          <w:tab w:val="left" w:pos="1134"/>
          <w:tab w:val="left" w:pos="6379"/>
        </w:tabs>
        <w:spacing w:line="255" w:lineRule="exact"/>
        <w:rPr>
          <w:rFonts w:ascii="Verdana" w:hAnsi="Verdana"/>
          <w:sz w:val="17"/>
          <w:szCs w:val="17"/>
          <w:u w:val="single"/>
          <w:lang w:val="en-GB" w:eastAsia="fr-FR"/>
        </w:rPr>
      </w:pPr>
    </w:p>
    <w:p w14:paraId="1A66D62A" w14:textId="1331AD77" w:rsidR="001C4040" w:rsidRPr="001C4040" w:rsidRDefault="001C4040" w:rsidP="00BA2FFD">
      <w:pPr>
        <w:keepNext/>
        <w:tabs>
          <w:tab w:val="left" w:pos="0"/>
          <w:tab w:val="left" w:pos="567"/>
          <w:tab w:val="left" w:pos="1134"/>
          <w:tab w:val="left" w:pos="6379"/>
        </w:tabs>
        <w:spacing w:line="255" w:lineRule="exact"/>
        <w:rPr>
          <w:rFonts w:ascii="Verdana" w:hAnsi="Verdana"/>
          <w:sz w:val="17"/>
          <w:szCs w:val="17"/>
          <w:u w:val="single"/>
          <w:lang w:val="en-GB" w:eastAsia="fr-FR"/>
        </w:rPr>
      </w:pPr>
      <w:r>
        <w:rPr>
          <w:rFonts w:ascii="Verdana" w:hAnsi="Verdana"/>
          <w:sz w:val="17"/>
          <w:szCs w:val="17"/>
          <w:u w:val="single"/>
          <w:lang w:val="en-GB" w:eastAsia="fr-FR"/>
        </w:rPr>
        <w:t>Europe:</w:t>
      </w:r>
    </w:p>
    <w:p w14:paraId="7632BAB5" w14:textId="77777777" w:rsidR="001C4040" w:rsidRDefault="001C4040" w:rsidP="00BA2FFD">
      <w:pPr>
        <w:keepNext/>
        <w:tabs>
          <w:tab w:val="left" w:pos="0"/>
          <w:tab w:val="left" w:pos="567"/>
          <w:tab w:val="left" w:pos="1134"/>
          <w:tab w:val="left" w:pos="6379"/>
        </w:tabs>
        <w:spacing w:line="255" w:lineRule="exact"/>
        <w:rPr>
          <w:rFonts w:ascii="Verdana" w:hAnsi="Verdana"/>
          <w:sz w:val="17"/>
          <w:szCs w:val="17"/>
          <w:lang w:val="en-GB" w:eastAsia="fr-FR"/>
        </w:rPr>
      </w:pPr>
    </w:p>
    <w:p w14:paraId="6C2F5487" w14:textId="09320A0B" w:rsidR="000B19DD" w:rsidRDefault="000B19DD" w:rsidP="000B19DD">
      <w:pPr>
        <w:tabs>
          <w:tab w:val="left" w:pos="0"/>
          <w:tab w:val="left" w:pos="567"/>
          <w:tab w:val="left" w:pos="1134"/>
          <w:tab w:val="left" w:pos="6379"/>
        </w:tabs>
        <w:spacing w:line="255" w:lineRule="exact"/>
        <w:rPr>
          <w:rFonts w:ascii="Verdana" w:hAnsi="Verdana"/>
          <w:sz w:val="17"/>
          <w:szCs w:val="17"/>
          <w:lang w:val="en-GB" w:eastAsia="fr-FR"/>
        </w:rPr>
      </w:pPr>
      <w:r w:rsidRPr="000B19DD">
        <w:rPr>
          <w:rFonts w:ascii="Verdana" w:hAnsi="Verdana"/>
          <w:sz w:val="17"/>
          <w:szCs w:val="17"/>
          <w:lang w:val="en-GB" w:eastAsia="fr-FR"/>
        </w:rPr>
        <w:t xml:space="preserve">In 2016, the Grand Chamber of the European Court of Human Rights (ECtHR) adopted a judgment in the case of </w:t>
      </w:r>
      <w:r w:rsidRPr="00160D0C">
        <w:rPr>
          <w:rFonts w:ascii="Verdana" w:hAnsi="Verdana"/>
          <w:b/>
          <w:i/>
          <w:sz w:val="17"/>
          <w:szCs w:val="17"/>
          <w:lang w:val="en-GB" w:eastAsia="fr-FR"/>
        </w:rPr>
        <w:t>Baka v. Hungary</w:t>
      </w:r>
      <w:r w:rsidRPr="000B19DD">
        <w:rPr>
          <w:rFonts w:ascii="Verdana" w:hAnsi="Verdana"/>
          <w:sz w:val="17"/>
          <w:szCs w:val="17"/>
          <w:lang w:val="en-GB" w:eastAsia="fr-FR"/>
        </w:rPr>
        <w:t xml:space="preserve">, finding that Hungarian Supreme Court President András Baka’s pre-mature termination </w:t>
      </w:r>
      <w:r w:rsidR="008C6773">
        <w:rPr>
          <w:rFonts w:ascii="Verdana" w:hAnsi="Verdana"/>
          <w:sz w:val="17"/>
          <w:szCs w:val="17"/>
          <w:lang w:val="en-GB" w:eastAsia="fr-FR"/>
        </w:rPr>
        <w:t xml:space="preserve">as President of the Supreme Court (though remaining a judge), </w:t>
      </w:r>
      <w:r w:rsidRPr="000B19DD">
        <w:rPr>
          <w:rFonts w:ascii="Verdana" w:hAnsi="Verdana"/>
          <w:sz w:val="17"/>
          <w:szCs w:val="17"/>
          <w:lang w:val="en-GB" w:eastAsia="fr-FR"/>
        </w:rPr>
        <w:t xml:space="preserve">following his public criticism of Hungarian legal reforms that he believed undermined judicial </w:t>
      </w:r>
      <w:r w:rsidRPr="000B19DD">
        <w:rPr>
          <w:rFonts w:ascii="Verdana" w:hAnsi="Verdana"/>
          <w:sz w:val="17"/>
          <w:szCs w:val="17"/>
          <w:lang w:val="en-GB" w:eastAsia="fr-FR"/>
        </w:rPr>
        <w:lastRenderedPageBreak/>
        <w:t>independence</w:t>
      </w:r>
      <w:r w:rsidR="008C6773">
        <w:rPr>
          <w:rFonts w:ascii="Verdana" w:hAnsi="Verdana"/>
          <w:sz w:val="17"/>
          <w:szCs w:val="17"/>
          <w:lang w:val="en-GB" w:eastAsia="fr-FR"/>
        </w:rPr>
        <w:t>,</w:t>
      </w:r>
      <w:r w:rsidRPr="000B19DD">
        <w:rPr>
          <w:rFonts w:ascii="Verdana" w:hAnsi="Verdana"/>
          <w:sz w:val="17"/>
          <w:szCs w:val="17"/>
          <w:lang w:val="en-GB" w:eastAsia="fr-FR"/>
        </w:rPr>
        <w:t xml:space="preserve"> violated the European Convention on Human Rights (ECHR), includin</w:t>
      </w:r>
      <w:r>
        <w:rPr>
          <w:rFonts w:ascii="Verdana" w:hAnsi="Verdana"/>
          <w:sz w:val="17"/>
          <w:szCs w:val="17"/>
          <w:lang w:val="en-GB" w:eastAsia="fr-FR"/>
        </w:rPr>
        <w:t>g Article 10 of the Convention.</w:t>
      </w:r>
      <w:r>
        <w:rPr>
          <w:rStyle w:val="FootnoteReference"/>
          <w:rFonts w:ascii="Verdana" w:hAnsi="Verdana"/>
          <w:sz w:val="17"/>
          <w:szCs w:val="17"/>
          <w:lang w:val="en-GB" w:eastAsia="fr-FR"/>
        </w:rPr>
        <w:footnoteReference w:id="33"/>
      </w:r>
    </w:p>
    <w:p w14:paraId="42AC4A29" w14:textId="77777777" w:rsidR="007725E1" w:rsidRDefault="007725E1" w:rsidP="000B19DD">
      <w:pPr>
        <w:tabs>
          <w:tab w:val="left" w:pos="0"/>
          <w:tab w:val="left" w:pos="567"/>
          <w:tab w:val="left" w:pos="1134"/>
          <w:tab w:val="left" w:pos="6379"/>
        </w:tabs>
        <w:spacing w:line="255" w:lineRule="exact"/>
        <w:rPr>
          <w:rFonts w:ascii="Verdana" w:hAnsi="Verdana"/>
          <w:sz w:val="17"/>
          <w:szCs w:val="17"/>
          <w:lang w:val="en-GB" w:eastAsia="fr-FR"/>
        </w:rPr>
      </w:pPr>
    </w:p>
    <w:p w14:paraId="134BED5E" w14:textId="3C48A8E5" w:rsidR="004C28DA" w:rsidRDefault="007725E1" w:rsidP="004C28D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Among other aspects potentially relevant to the Special Rapporteur’s upcoming report,</w:t>
      </w:r>
      <w:r w:rsidR="0000560A">
        <w:rPr>
          <w:rStyle w:val="FootnoteReference"/>
          <w:rFonts w:ascii="Verdana" w:hAnsi="Verdana"/>
          <w:sz w:val="17"/>
          <w:szCs w:val="17"/>
          <w:lang w:val="en-GB" w:eastAsia="fr-FR"/>
        </w:rPr>
        <w:footnoteReference w:id="34"/>
      </w:r>
      <w:r>
        <w:rPr>
          <w:rFonts w:ascii="Verdana" w:hAnsi="Verdana"/>
          <w:sz w:val="17"/>
          <w:szCs w:val="17"/>
          <w:lang w:val="en-GB" w:eastAsia="fr-FR"/>
        </w:rPr>
        <w:t xml:space="preserve"> the Grand Chamber stated that</w:t>
      </w:r>
      <w:r w:rsidR="004C28DA">
        <w:rPr>
          <w:rFonts w:ascii="Verdana" w:hAnsi="Verdana"/>
          <w:sz w:val="17"/>
          <w:szCs w:val="17"/>
          <w:lang w:val="en-GB" w:eastAsia="fr-FR"/>
        </w:rPr>
        <w:t>, as a general matter</w:t>
      </w:r>
      <w:r w:rsidR="00E72D41">
        <w:rPr>
          <w:rFonts w:ascii="Verdana" w:hAnsi="Verdana"/>
          <w:sz w:val="17"/>
          <w:szCs w:val="17"/>
          <w:lang w:val="en-GB" w:eastAsia="fr-FR"/>
        </w:rPr>
        <w:t xml:space="preserve"> (paras 159-161)</w:t>
      </w:r>
      <w:r w:rsidR="004C28DA">
        <w:rPr>
          <w:rFonts w:ascii="Verdana" w:hAnsi="Verdana"/>
          <w:sz w:val="17"/>
          <w:szCs w:val="17"/>
          <w:lang w:val="en-GB" w:eastAsia="fr-FR"/>
        </w:rPr>
        <w:t>:</w:t>
      </w:r>
    </w:p>
    <w:p w14:paraId="313EFD14" w14:textId="77777777" w:rsidR="004C28DA" w:rsidRDefault="004C28DA" w:rsidP="004C28DA">
      <w:pPr>
        <w:tabs>
          <w:tab w:val="left" w:pos="0"/>
          <w:tab w:val="left" w:pos="567"/>
          <w:tab w:val="left" w:pos="1134"/>
          <w:tab w:val="left" w:pos="6379"/>
        </w:tabs>
        <w:spacing w:line="255" w:lineRule="exact"/>
        <w:rPr>
          <w:rFonts w:ascii="Verdana" w:hAnsi="Verdana"/>
          <w:sz w:val="17"/>
          <w:szCs w:val="17"/>
          <w:lang w:val="en-GB" w:eastAsia="fr-FR"/>
        </w:rPr>
      </w:pPr>
    </w:p>
    <w:p w14:paraId="7B965CB7" w14:textId="57727D80" w:rsidR="007725E1" w:rsidRPr="00E72D41" w:rsidRDefault="007725E1" w:rsidP="007725E1">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[A] high</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level</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protection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freedom</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expression,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with</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the authorities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thus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having</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a</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narrow</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margin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appreciation,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will</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normally</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be accorded</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where</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remarks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concern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a</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matter</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public</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interest,</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as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is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the case,</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in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particular,</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for</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remarks</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on</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functioning</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Pr="00E72D41">
        <w:rPr>
          <w:rFonts w:ascii="Verdana" w:hAnsi="Verdana"/>
          <w:sz w:val="16"/>
          <w:szCs w:val="16"/>
          <w:lang w:val="en-GB" w:eastAsia="fr-FR"/>
        </w:rPr>
        <w:t>judiciar</w:t>
      </w:r>
      <w:r w:rsidR="00E72D41" w:rsidRPr="00E72D41">
        <w:rPr>
          <w:rFonts w:ascii="Verdana" w:hAnsi="Verdana"/>
          <w:sz w:val="16"/>
          <w:szCs w:val="16"/>
          <w:lang w:val="en-GB" w:eastAsia="fr-FR"/>
        </w:rPr>
        <w:t>y.</w:t>
      </w:r>
    </w:p>
    <w:p w14:paraId="7BBA13C1" w14:textId="035DF03C" w:rsidR="007725E1" w:rsidRPr="00E72D41" w:rsidRDefault="00E72D41" w:rsidP="007725E1">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w:t>
      </w:r>
    </w:p>
    <w:p w14:paraId="64A6BA4E" w14:textId="4D6831DB" w:rsidR="007725E1" w:rsidRPr="00E72D41" w:rsidRDefault="00E72D41" w:rsidP="007725E1">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[T]</w:t>
      </w:r>
      <w:r w:rsidR="007725E1" w:rsidRPr="00E72D41">
        <w:rPr>
          <w:rFonts w:ascii="Verdana" w:hAnsi="Verdana"/>
          <w:sz w:val="16"/>
          <w:szCs w:val="16"/>
          <w:lang w:val="en-GB" w:eastAsia="fr-FR"/>
        </w:rPr>
        <w:t>he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nature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and</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severity</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sanctions imposed</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are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also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factors</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be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taken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into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account</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when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assessing</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the proportionality of the interference.</w:t>
      </w:r>
    </w:p>
    <w:p w14:paraId="06538EDE" w14:textId="65CCD505" w:rsidR="007725E1" w:rsidRPr="00E72D41" w:rsidRDefault="00E72D41" w:rsidP="007725E1">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w:t>
      </w:r>
    </w:p>
    <w:p w14:paraId="0E457737" w14:textId="7880C4DC" w:rsidR="007725E1" w:rsidRPr="00E72D41" w:rsidRDefault="00E72D41" w:rsidP="007725E1">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lastRenderedPageBreak/>
        <w:t>[I]</w:t>
      </w:r>
      <w:r w:rsidR="007725E1" w:rsidRPr="00E72D41">
        <w:rPr>
          <w:rFonts w:ascii="Verdana" w:hAnsi="Verdana"/>
          <w:sz w:val="16"/>
          <w:szCs w:val="16"/>
          <w:lang w:val="en-GB" w:eastAsia="fr-FR"/>
        </w:rPr>
        <w:t>n order to assess the justification of an impugned measure, it must be borne in mind that the fairness of proceedings and the procedural guarantees</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afforded</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applicant</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are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factors</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be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taken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into</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account when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assessing</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proportionality</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of</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interference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with</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the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freedom</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of expression</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guaranteed</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by</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Article</w:t>
      </w:r>
      <w:r w:rsidR="004C28DA" w:rsidRPr="00E72D41">
        <w:rPr>
          <w:rFonts w:ascii="Verdana" w:hAnsi="Verdana"/>
          <w:sz w:val="16"/>
          <w:szCs w:val="16"/>
          <w:lang w:val="en-GB" w:eastAsia="fr-FR"/>
        </w:rPr>
        <w:t xml:space="preserve"> </w:t>
      </w:r>
      <w:r w:rsidR="007725E1" w:rsidRPr="00E72D41">
        <w:rPr>
          <w:rFonts w:ascii="Verdana" w:hAnsi="Verdana"/>
          <w:sz w:val="16"/>
          <w:szCs w:val="16"/>
          <w:lang w:val="en-GB" w:eastAsia="fr-FR"/>
        </w:rPr>
        <w:t>10</w:t>
      </w:r>
      <w:r w:rsidRPr="00E72D41">
        <w:rPr>
          <w:rFonts w:ascii="Verdana" w:hAnsi="Verdana"/>
          <w:sz w:val="16"/>
          <w:szCs w:val="16"/>
          <w:lang w:val="en-GB" w:eastAsia="fr-FR"/>
        </w:rPr>
        <w:t>.</w:t>
      </w:r>
    </w:p>
    <w:p w14:paraId="7AACF130" w14:textId="77777777" w:rsidR="007725E1" w:rsidRDefault="007725E1" w:rsidP="007725E1">
      <w:pPr>
        <w:tabs>
          <w:tab w:val="left" w:pos="0"/>
          <w:tab w:val="left" w:pos="567"/>
          <w:tab w:val="left" w:pos="1134"/>
          <w:tab w:val="left" w:pos="6379"/>
        </w:tabs>
        <w:spacing w:line="255" w:lineRule="exact"/>
        <w:ind w:left="567"/>
        <w:rPr>
          <w:rFonts w:ascii="Verdana" w:hAnsi="Verdana"/>
          <w:sz w:val="17"/>
          <w:szCs w:val="17"/>
          <w:lang w:val="en-GB" w:eastAsia="fr-FR"/>
        </w:rPr>
      </w:pPr>
    </w:p>
    <w:p w14:paraId="587FB418" w14:textId="6E0E7919" w:rsidR="004C28DA" w:rsidRDefault="004C28DA" w:rsidP="004C28D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Turning specifically to the particular situation of the judiciary, the Grand Chamber stated</w:t>
      </w:r>
      <w:r w:rsidR="00E72D41">
        <w:rPr>
          <w:rFonts w:ascii="Verdana" w:hAnsi="Verdana"/>
          <w:sz w:val="17"/>
          <w:szCs w:val="17"/>
          <w:lang w:val="en-GB" w:eastAsia="fr-FR"/>
        </w:rPr>
        <w:t xml:space="preserve"> (paras 162 to 167)</w:t>
      </w:r>
      <w:r>
        <w:rPr>
          <w:rFonts w:ascii="Verdana" w:hAnsi="Verdana"/>
          <w:sz w:val="17"/>
          <w:szCs w:val="17"/>
          <w:lang w:val="en-GB" w:eastAsia="fr-FR"/>
        </w:rPr>
        <w:t>:</w:t>
      </w:r>
    </w:p>
    <w:p w14:paraId="362CCFAA" w14:textId="77777777" w:rsidR="004C28DA" w:rsidRDefault="004C28DA" w:rsidP="007725E1">
      <w:pPr>
        <w:tabs>
          <w:tab w:val="left" w:pos="0"/>
          <w:tab w:val="left" w:pos="567"/>
          <w:tab w:val="left" w:pos="1134"/>
          <w:tab w:val="left" w:pos="6379"/>
        </w:tabs>
        <w:spacing w:line="255" w:lineRule="exact"/>
        <w:ind w:left="567"/>
        <w:rPr>
          <w:rFonts w:ascii="Verdana" w:hAnsi="Verdana"/>
          <w:sz w:val="17"/>
          <w:szCs w:val="17"/>
          <w:lang w:val="en-GB" w:eastAsia="fr-FR"/>
        </w:rPr>
      </w:pPr>
    </w:p>
    <w:p w14:paraId="45FFF7B6" w14:textId="21E1C9FB" w:rsidR="004C28DA" w:rsidRPr="00E72D41" w:rsidRDefault="00E72D41" w:rsidP="004C28D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w:t>
      </w:r>
      <w:r w:rsidR="004C28DA" w:rsidRPr="00E72D41">
        <w:rPr>
          <w:rFonts w:ascii="Verdana" w:hAnsi="Verdana"/>
          <w:sz w:val="16"/>
          <w:szCs w:val="16"/>
          <w:lang w:val="en-GB" w:eastAsia="fr-FR"/>
        </w:rPr>
        <w:t>it can be expected of public officials serving in the judiciary that they should show restraint in exercising their freedom of expression in all cases where the authority and impartiality of the judiciary are likely to be called in question… The dissemination of even accurate information must be carried out with moderation and propriety… The Court has on many occasions emphasised the special role in society of the judiciary, which, as the guarantor of justice, a fundamental value in a law-governed State, must enjoy public confidence if it is to be successful in carrying out its duties … It is for this reason that judicial authorities, in so far as concerns the exercise of their adjudicatory function, are required to exercise maximum discretion with regard to the cases with which they deal in order to preserve their image as impartial judges…</w:t>
      </w:r>
    </w:p>
    <w:p w14:paraId="26147648" w14:textId="77777777" w:rsidR="004C28DA" w:rsidRPr="00E72D41" w:rsidRDefault="004C28DA" w:rsidP="004C28DA">
      <w:pPr>
        <w:tabs>
          <w:tab w:val="left" w:pos="0"/>
          <w:tab w:val="left" w:pos="567"/>
          <w:tab w:val="left" w:pos="1134"/>
          <w:tab w:val="left" w:pos="6379"/>
        </w:tabs>
        <w:spacing w:line="255" w:lineRule="exact"/>
        <w:ind w:left="567"/>
        <w:rPr>
          <w:rFonts w:ascii="Verdana" w:hAnsi="Verdana"/>
          <w:sz w:val="16"/>
          <w:szCs w:val="16"/>
          <w:lang w:val="en-GB" w:eastAsia="fr-FR"/>
        </w:rPr>
      </w:pPr>
    </w:p>
    <w:p w14:paraId="7C589147" w14:textId="2F4F2ACB" w:rsidR="004C28DA" w:rsidRPr="00E72D41" w:rsidRDefault="004C28DA" w:rsidP="004C28D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At the same time, the Court has also stressed that having regard in particular to the growing importance attached to the separation of powers and the importance of safeguarding the independence of the judiciary, any interference with the freedom of expression of a judge in a position such as the applicant’s calls for close scrutiny on the part of the Court… Furthermore, questions concerning the functioning of the justice system fall within the public interest, the debate of which generally enjoys a high degree of protection under Article 10… Even if an issue under debate has political implications, this is not in itself sufficient to prevent a judge from making a statement on the matter… Issues relating to the separation of powers can involve very important matters in a democratic society which the public has a legitimate interest in being informed about and which fall within the scope of political debate…</w:t>
      </w:r>
    </w:p>
    <w:p w14:paraId="25C93875" w14:textId="77777777" w:rsidR="004C28DA" w:rsidRPr="00E72D41" w:rsidRDefault="004C28DA" w:rsidP="004C28DA">
      <w:pPr>
        <w:tabs>
          <w:tab w:val="left" w:pos="0"/>
          <w:tab w:val="left" w:pos="567"/>
          <w:tab w:val="left" w:pos="1134"/>
          <w:tab w:val="left" w:pos="6379"/>
        </w:tabs>
        <w:spacing w:line="255" w:lineRule="exact"/>
        <w:ind w:left="567"/>
        <w:rPr>
          <w:rFonts w:ascii="Verdana" w:hAnsi="Verdana"/>
          <w:sz w:val="16"/>
          <w:szCs w:val="16"/>
          <w:lang w:val="en-GB" w:eastAsia="fr-FR"/>
        </w:rPr>
      </w:pPr>
    </w:p>
    <w:p w14:paraId="5ED2108A" w14:textId="5D3BBFDB" w:rsidR="004C28DA" w:rsidRPr="00E72D41" w:rsidRDefault="004C28DA" w:rsidP="004C28D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In the context of Article 10 of the Convention, the Court must take account of the circumstances and overall background against which the statements in question were made… It must look at the impugned interference in the light of the case as a whole …, attaching particular importance to the office held by the applicant, his statements and the context in which they were made.</w:t>
      </w:r>
    </w:p>
    <w:p w14:paraId="583C1058" w14:textId="77777777" w:rsidR="004C28DA" w:rsidRPr="00E72D41" w:rsidRDefault="004C28DA" w:rsidP="004C28DA">
      <w:pPr>
        <w:tabs>
          <w:tab w:val="left" w:pos="0"/>
          <w:tab w:val="left" w:pos="567"/>
          <w:tab w:val="left" w:pos="1134"/>
          <w:tab w:val="left" w:pos="6379"/>
        </w:tabs>
        <w:spacing w:line="255" w:lineRule="exact"/>
        <w:ind w:left="567"/>
        <w:rPr>
          <w:rFonts w:ascii="Verdana" w:hAnsi="Verdana"/>
          <w:sz w:val="16"/>
          <w:szCs w:val="16"/>
          <w:lang w:val="en-GB" w:eastAsia="fr-FR"/>
        </w:rPr>
      </w:pPr>
    </w:p>
    <w:p w14:paraId="3C864D35" w14:textId="3DA86E73" w:rsidR="007725E1" w:rsidRDefault="004C28DA" w:rsidP="004C28DA">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t>Finally, the Court reiterates the “chilling effect” that the fear of sanction has on the exercise of freedom of expression, in particular on other judges wishing to participate in the public debate on issues related to the administration of justice and the … This effect, which works to the detriment of society as a whole, is also a factor that concerns the proportionality of the sanction or punitive measure imposed…”</w:t>
      </w:r>
      <w:r>
        <w:rPr>
          <w:rFonts w:ascii="Verdana" w:hAnsi="Verdana"/>
          <w:sz w:val="17"/>
          <w:szCs w:val="17"/>
          <w:lang w:val="en-GB" w:eastAsia="fr-FR"/>
        </w:rPr>
        <w:t xml:space="preserve"> (paras 162 to 167)</w:t>
      </w:r>
    </w:p>
    <w:p w14:paraId="06F003D9" w14:textId="77777777" w:rsidR="007725E1" w:rsidRDefault="007725E1" w:rsidP="000B19DD">
      <w:pPr>
        <w:tabs>
          <w:tab w:val="left" w:pos="0"/>
          <w:tab w:val="left" w:pos="567"/>
          <w:tab w:val="left" w:pos="1134"/>
          <w:tab w:val="left" w:pos="6379"/>
        </w:tabs>
        <w:spacing w:line="255" w:lineRule="exact"/>
        <w:rPr>
          <w:rFonts w:ascii="Verdana" w:hAnsi="Verdana"/>
          <w:sz w:val="17"/>
          <w:szCs w:val="17"/>
          <w:lang w:val="en-GB" w:eastAsia="fr-FR"/>
        </w:rPr>
      </w:pPr>
    </w:p>
    <w:p w14:paraId="648234BC" w14:textId="77B05C5F" w:rsidR="008C6773" w:rsidRDefault="008C6773" w:rsidP="000B19DD">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In finding the judge’s removal from office to have constituted a violation of the judge’s freedom of expression in the particular case, the Grand Chamber stated, among other things:</w:t>
      </w:r>
    </w:p>
    <w:p w14:paraId="722DFEF7" w14:textId="77777777" w:rsidR="008C6773" w:rsidRPr="000B19DD" w:rsidRDefault="008C6773" w:rsidP="000B19DD">
      <w:pPr>
        <w:tabs>
          <w:tab w:val="left" w:pos="0"/>
          <w:tab w:val="left" w:pos="567"/>
          <w:tab w:val="left" w:pos="1134"/>
          <w:tab w:val="left" w:pos="6379"/>
        </w:tabs>
        <w:spacing w:line="255" w:lineRule="exact"/>
        <w:rPr>
          <w:rFonts w:ascii="Verdana" w:hAnsi="Verdana"/>
          <w:sz w:val="17"/>
          <w:szCs w:val="17"/>
          <w:lang w:val="en-GB" w:eastAsia="fr-FR"/>
        </w:rPr>
      </w:pPr>
    </w:p>
    <w:p w14:paraId="13C75C64" w14:textId="786EBB17" w:rsidR="008C6773" w:rsidRPr="00E72D41" w:rsidRDefault="008C6773"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168</w:t>
      </w:r>
      <w:r w:rsidR="00E72D41">
        <w:rPr>
          <w:rFonts w:ascii="Verdana" w:hAnsi="Verdana"/>
          <w:sz w:val="16"/>
          <w:szCs w:val="16"/>
          <w:lang w:val="en-GB" w:eastAsia="fr-FR"/>
        </w:rPr>
        <w:t>.</w:t>
      </w:r>
      <w:r w:rsidRPr="00E72D41">
        <w:rPr>
          <w:rFonts w:ascii="Verdana" w:hAnsi="Verdana"/>
          <w:sz w:val="16"/>
          <w:szCs w:val="16"/>
          <w:lang w:val="en-GB" w:eastAsia="fr-FR"/>
        </w:rPr>
        <w:t xml:space="preserve"> …t</w:t>
      </w:r>
      <w:r w:rsidR="0000560A" w:rsidRPr="00E72D41">
        <w:rPr>
          <w:rFonts w:ascii="Verdana" w:hAnsi="Verdana"/>
          <w:sz w:val="16"/>
          <w:szCs w:val="16"/>
          <w:lang w:val="en-GB" w:eastAsia="fr-FR"/>
        </w:rPr>
        <w:t>he impugned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interference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was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prompted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by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views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criticisms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 applicant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had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publicly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expressed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exercise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right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freedom</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 expression. It observes in this regard that the applicant expressed his views 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legislative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reforms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issue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professional</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capacity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President of the Supreme Court and of the National Council of Justice. It was not only his right but also his duty as President of the National Council of Jus</w:t>
      </w:r>
      <w:r w:rsidR="0000560A" w:rsidRPr="00E72D41">
        <w:rPr>
          <w:rFonts w:ascii="Verdana" w:hAnsi="Verdana"/>
          <w:sz w:val="16"/>
          <w:szCs w:val="16"/>
          <w:lang w:val="en-GB" w:eastAsia="fr-FR"/>
        </w:rPr>
        <w:lastRenderedPageBreak/>
        <w:t>tice to express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opinion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legislative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reforms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affecting</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after having</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gathered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summarised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opinions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lower</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courts</w:t>
      </w:r>
      <w:r w:rsidRPr="00E72D41">
        <w:rPr>
          <w:rFonts w:ascii="Verdana" w:hAnsi="Verdana"/>
          <w:sz w:val="16"/>
          <w:szCs w:val="16"/>
          <w:lang w:val="en-GB" w:eastAsia="fr-FR"/>
        </w:rPr>
        <w: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applicant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also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used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power</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challenge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some 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relevant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legislation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before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Constitutional</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Court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used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 possibility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express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opinion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directly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before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Parliament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two occasions, in acco</w:t>
      </w:r>
      <w:r w:rsidRPr="00E72D41">
        <w:rPr>
          <w:rFonts w:ascii="Verdana" w:hAnsi="Verdana"/>
          <w:sz w:val="16"/>
          <w:szCs w:val="16"/>
          <w:lang w:val="en-GB" w:eastAsia="fr-FR"/>
        </w:rPr>
        <w:t>rdance with parliamentary rules…</w:t>
      </w:r>
      <w:r w:rsidR="0000560A" w:rsidRPr="00E72D41">
        <w:rPr>
          <w:rFonts w:ascii="Verdana" w:hAnsi="Verdana"/>
          <w:sz w:val="16"/>
          <w:szCs w:val="16"/>
          <w:lang w:val="en-GB" w:eastAsia="fr-FR"/>
        </w:rPr>
        <w:t xml:space="preserve"> The Court therefore attaches</w:t>
      </w:r>
      <w:r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particular importance to the office held by the applicant, whose functions and duties included expressing his views on the legislative reforms which were likely to have an i</w:t>
      </w:r>
      <w:r w:rsidRPr="00E72D41">
        <w:rPr>
          <w:rFonts w:ascii="Verdana" w:hAnsi="Verdana"/>
          <w:sz w:val="16"/>
          <w:szCs w:val="16"/>
          <w:lang w:val="en-GB" w:eastAsia="fr-FR"/>
        </w:rPr>
        <w:t xml:space="preserve">mpact on the judiciary and its </w:t>
      </w:r>
      <w:r w:rsidR="0000560A" w:rsidRPr="00E72D41">
        <w:rPr>
          <w:rFonts w:ascii="Verdana" w:hAnsi="Verdana"/>
          <w:sz w:val="16"/>
          <w:szCs w:val="16"/>
          <w:lang w:val="en-GB" w:eastAsia="fr-FR"/>
        </w:rPr>
        <w:t>independence.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refers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connection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Council</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Europe instruments,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which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recognize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each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judge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responsible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for</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promoting 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protecting</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judicial</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independence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(see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paragraph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3</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Magna</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Carta 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Judges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paragraph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81)</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judges</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should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be consulted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involved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preparation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legislation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concerning</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their statute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more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generally,</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functioning</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judicial</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system</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(see paragraph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34</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Opinion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no.</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3</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(2002)</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CCJE</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in</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paragraph</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80</w:t>
      </w:r>
      <w:r w:rsidR="00563240" w:rsidRPr="00E72D41">
        <w:rPr>
          <w:rFonts w:ascii="Verdana" w:hAnsi="Verdana"/>
          <w:sz w:val="16"/>
          <w:szCs w:val="16"/>
          <w:lang w:val="en-GB" w:eastAsia="fr-FR"/>
        </w:rPr>
        <w:t xml:space="preserve"> </w:t>
      </w:r>
      <w:r w:rsidR="0000560A" w:rsidRPr="00E72D41">
        <w:rPr>
          <w:rFonts w:ascii="Verdana" w:hAnsi="Verdana"/>
          <w:sz w:val="16"/>
          <w:szCs w:val="16"/>
          <w:lang w:val="en-GB" w:eastAsia="fr-FR"/>
        </w:rPr>
        <w:t>above; and paragraph 9 of the Magna Carta of Judges in paragraph 81 above).</w:t>
      </w:r>
    </w:p>
    <w:p w14:paraId="693D4FCD" w14:textId="62DD2CD3" w:rsidR="008C6773" w:rsidRPr="00E72D41" w:rsidRDefault="00E72D41" w:rsidP="008C6773">
      <w:pPr>
        <w:tabs>
          <w:tab w:val="left" w:pos="0"/>
          <w:tab w:val="left" w:pos="567"/>
          <w:tab w:val="left" w:pos="1134"/>
          <w:tab w:val="left" w:pos="6379"/>
        </w:tabs>
        <w:spacing w:line="255" w:lineRule="exact"/>
        <w:ind w:left="567"/>
        <w:rPr>
          <w:rFonts w:ascii="Verdana" w:hAnsi="Verdana"/>
          <w:sz w:val="16"/>
          <w:szCs w:val="16"/>
          <w:lang w:val="en-GB" w:eastAsia="fr-FR"/>
        </w:rPr>
      </w:pPr>
      <w:r>
        <w:rPr>
          <w:rFonts w:ascii="Verdana" w:hAnsi="Verdana"/>
          <w:sz w:val="16"/>
          <w:szCs w:val="16"/>
          <w:lang w:val="en-GB" w:eastAsia="fr-FR"/>
        </w:rPr>
        <w:t>…</w:t>
      </w:r>
    </w:p>
    <w:p w14:paraId="7D2643F5" w14:textId="4B0C545F" w:rsidR="008C6773" w:rsidRPr="00E72D41" w:rsidRDefault="0000560A"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lastRenderedPageBreak/>
        <w:t>170.</w:t>
      </w:r>
      <w:r w:rsidR="008C6773" w:rsidRPr="00E72D41">
        <w:rPr>
          <w:rFonts w:ascii="Verdana" w:hAnsi="Verdana"/>
          <w:sz w:val="16"/>
          <w:szCs w:val="16"/>
          <w:lang w:val="en-GB" w:eastAsia="fr-FR"/>
        </w:rPr>
        <w:t xml:space="preserve"> </w:t>
      </w:r>
      <w:r w:rsidRPr="00E72D41">
        <w:rPr>
          <w:rFonts w:ascii="Verdana" w:hAnsi="Verdana"/>
          <w:sz w:val="16"/>
          <w:szCs w:val="16"/>
          <w:lang w:val="en-GB" w:eastAsia="fr-FR"/>
        </w:rPr>
        <w:t>The present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case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should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also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be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distinguished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from</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other</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cases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in which the issue at stake was public confidence in the judiciary and the need 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protect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such</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confidence</w:t>
      </w:r>
      <w:r w:rsidR="00563240" w:rsidRPr="00E72D41">
        <w:rPr>
          <w:rFonts w:ascii="Verdana" w:hAnsi="Verdana"/>
          <w:sz w:val="16"/>
          <w:szCs w:val="16"/>
          <w:lang w:val="en-GB" w:eastAsia="fr-FR"/>
        </w:rPr>
        <w:t xml:space="preserve"> </w:t>
      </w:r>
      <w:r w:rsidR="008C6773" w:rsidRPr="00E72D41">
        <w:rPr>
          <w:rFonts w:ascii="Verdana" w:hAnsi="Verdana"/>
          <w:sz w:val="16"/>
          <w:szCs w:val="16"/>
          <w:lang w:val="en-GB" w:eastAsia="fr-FR"/>
        </w:rPr>
        <w:t>against</w:t>
      </w:r>
      <w:r w:rsidR="00563240" w:rsidRPr="00E72D41">
        <w:rPr>
          <w:rFonts w:ascii="Verdana" w:hAnsi="Verdana"/>
          <w:sz w:val="16"/>
          <w:szCs w:val="16"/>
          <w:lang w:val="en-GB" w:eastAsia="fr-FR"/>
        </w:rPr>
        <w:t xml:space="preserve"> </w:t>
      </w:r>
      <w:r w:rsidR="008C6773" w:rsidRPr="00E72D41">
        <w:rPr>
          <w:rFonts w:ascii="Verdana" w:hAnsi="Verdana"/>
          <w:sz w:val="16"/>
          <w:szCs w:val="16"/>
          <w:lang w:val="en-GB" w:eastAsia="fr-FR"/>
        </w:rPr>
        <w:t>destructive</w:t>
      </w:r>
      <w:r w:rsidR="00563240" w:rsidRPr="00E72D41">
        <w:rPr>
          <w:rFonts w:ascii="Verdana" w:hAnsi="Verdana"/>
          <w:sz w:val="16"/>
          <w:szCs w:val="16"/>
          <w:lang w:val="en-GB" w:eastAsia="fr-FR"/>
        </w:rPr>
        <w:t xml:space="preserve"> </w:t>
      </w:r>
      <w:r w:rsidR="008C6773" w:rsidRPr="00E72D41">
        <w:rPr>
          <w:rFonts w:ascii="Verdana" w:hAnsi="Verdana"/>
          <w:sz w:val="16"/>
          <w:szCs w:val="16"/>
          <w:lang w:val="en-GB" w:eastAsia="fr-FR"/>
        </w:rPr>
        <w:t xml:space="preserve">attacks… </w:t>
      </w:r>
      <w:r w:rsidRPr="00E72D41">
        <w:rPr>
          <w:rFonts w:ascii="Verdana" w:hAnsi="Verdana"/>
          <w:sz w:val="16"/>
          <w:szCs w:val="16"/>
          <w:lang w:val="en-GB" w:eastAsia="fr-FR"/>
        </w:rPr>
        <w:t>Although</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Government relied on the need to maintain the authority and impartiality of 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views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statements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publicly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expressed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by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applicant did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not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contain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attacks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against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other</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members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judiciary</w:t>
      </w:r>
      <w:r w:rsidR="008C6773" w:rsidRPr="00E72D41">
        <w:rPr>
          <w:rFonts w:ascii="Verdana" w:hAnsi="Verdana"/>
          <w:sz w:val="16"/>
          <w:szCs w:val="16"/>
          <w:lang w:val="en-GB" w:eastAsia="fr-FR"/>
        </w:rPr>
        <w:t>…</w:t>
      </w:r>
      <w:r w:rsidRPr="00E72D41">
        <w:rPr>
          <w:rFonts w:ascii="Verdana" w:hAnsi="Verdana"/>
          <w:sz w:val="16"/>
          <w:szCs w:val="16"/>
          <w:lang w:val="en-GB" w:eastAsia="fr-FR"/>
        </w:rPr>
        <w: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nor</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did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concern criticisms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with</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regard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conduct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dealing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with</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pending proceedings</w:t>
      </w:r>
      <w:r w:rsidR="008C6773" w:rsidRPr="00E72D41">
        <w:rPr>
          <w:rFonts w:ascii="Verdana" w:hAnsi="Verdana"/>
          <w:sz w:val="16"/>
          <w:szCs w:val="16"/>
          <w:lang w:val="en-GB" w:eastAsia="fr-FR"/>
        </w:rPr>
        <w:t>…</w:t>
      </w:r>
    </w:p>
    <w:p w14:paraId="5A743428" w14:textId="77777777" w:rsidR="008C6773" w:rsidRPr="00E72D41" w:rsidRDefault="008C6773" w:rsidP="008C6773">
      <w:pPr>
        <w:tabs>
          <w:tab w:val="left" w:pos="0"/>
          <w:tab w:val="left" w:pos="567"/>
          <w:tab w:val="left" w:pos="1134"/>
          <w:tab w:val="left" w:pos="6379"/>
        </w:tabs>
        <w:spacing w:line="255" w:lineRule="exact"/>
        <w:ind w:left="567"/>
        <w:rPr>
          <w:rFonts w:ascii="Verdana" w:hAnsi="Verdana"/>
          <w:sz w:val="16"/>
          <w:szCs w:val="16"/>
          <w:lang w:val="en-GB" w:eastAsia="fr-FR"/>
        </w:rPr>
      </w:pPr>
    </w:p>
    <w:p w14:paraId="5AA29722" w14:textId="527AB500" w:rsidR="008C6773" w:rsidRPr="00E72D41" w:rsidRDefault="0000560A"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171.</w:t>
      </w:r>
      <w:r w:rsidR="008C6773" w:rsidRPr="00E72D41">
        <w:rPr>
          <w:rFonts w:ascii="Verdana" w:hAnsi="Verdana"/>
          <w:sz w:val="16"/>
          <w:szCs w:val="16"/>
          <w:lang w:val="en-GB" w:eastAsia="fr-FR"/>
        </w:rPr>
        <w:t xml:space="preserve"> </w:t>
      </w:r>
      <w:r w:rsidRPr="00E72D41">
        <w:rPr>
          <w:rFonts w:ascii="Verdana" w:hAnsi="Verdana"/>
          <w:sz w:val="16"/>
          <w:szCs w:val="16"/>
          <w:lang w:val="en-GB" w:eastAsia="fr-FR"/>
        </w:rPr>
        <w:t>On the contrary, the applicant expressed his views and criticisms on constitutional</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legislative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reforms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affecting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issues related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functioning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reform</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judicial</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system,</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independence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irremovability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judges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lowering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retirement age for judges, all of which are questions of public interest</w:t>
      </w:r>
      <w:r w:rsidR="008C6773" w:rsidRPr="00E72D41">
        <w:rPr>
          <w:rFonts w:ascii="Verdana" w:hAnsi="Verdana"/>
          <w:sz w:val="16"/>
          <w:szCs w:val="16"/>
          <w:lang w:val="en-GB" w:eastAsia="fr-FR"/>
        </w:rPr>
        <w: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statements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did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not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go beyond mere criticism from a strictly professional perspective. Accordingly, 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Court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considers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applicant’s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position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statements, which clearly fell within the context of a debate on matters of great public interest, called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for</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high</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degree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protection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for</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his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freedom</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expression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 xml:space="preserve">and strict scrutiny of any interference, with a </w:t>
      </w:r>
      <w:r w:rsidRPr="00E72D41">
        <w:rPr>
          <w:rFonts w:ascii="Verdana" w:hAnsi="Verdana"/>
          <w:sz w:val="16"/>
          <w:szCs w:val="16"/>
          <w:lang w:val="en-GB" w:eastAsia="fr-FR"/>
        </w:rPr>
        <w:lastRenderedPageBreak/>
        <w:t>correspondingly narrow margin of appreciation being afforded to the authorities of the respondent State.</w:t>
      </w:r>
    </w:p>
    <w:p w14:paraId="6577A62E" w14:textId="77777777" w:rsidR="008C6773" w:rsidRPr="00E72D41" w:rsidRDefault="008C6773"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w:t>
      </w:r>
    </w:p>
    <w:p w14:paraId="41330617" w14:textId="3748A1AA" w:rsidR="008C6773" w:rsidRPr="00E72D41" w:rsidRDefault="0000560A"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173.</w:t>
      </w:r>
      <w:r w:rsidR="00E72D41">
        <w:rPr>
          <w:rFonts w:ascii="Verdana" w:hAnsi="Verdana"/>
          <w:sz w:val="16"/>
          <w:szCs w:val="16"/>
          <w:lang w:val="en-GB" w:eastAsia="fr-FR"/>
        </w:rPr>
        <w:t xml:space="preserve"> </w:t>
      </w:r>
      <w:r w:rsidRPr="00E72D41">
        <w:rPr>
          <w:rFonts w:ascii="Verdana" w:hAnsi="Verdana"/>
          <w:sz w:val="16"/>
          <w:szCs w:val="16"/>
          <w:lang w:val="en-GB" w:eastAsia="fr-FR"/>
        </w:rPr>
        <w:t>Furthermore, the premature termination of the applicant’s mandate undoubtedly had a “chilling effect” in that it must have discouraged not only him but also other judges and court presidents in future from participating in public</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debate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legislative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reforms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affecting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judiciary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more generally on issues concerning the independence of the judiciary.</w:t>
      </w:r>
    </w:p>
    <w:p w14:paraId="33F6289E" w14:textId="77777777" w:rsidR="008C6773" w:rsidRPr="00E72D41" w:rsidRDefault="008C6773" w:rsidP="008C6773">
      <w:pPr>
        <w:tabs>
          <w:tab w:val="left" w:pos="0"/>
          <w:tab w:val="left" w:pos="567"/>
          <w:tab w:val="left" w:pos="1134"/>
          <w:tab w:val="left" w:pos="6379"/>
        </w:tabs>
        <w:spacing w:line="255" w:lineRule="exact"/>
        <w:ind w:left="567"/>
        <w:rPr>
          <w:rFonts w:ascii="Verdana" w:hAnsi="Verdana"/>
          <w:sz w:val="16"/>
          <w:szCs w:val="16"/>
          <w:lang w:val="en-GB" w:eastAsia="fr-FR"/>
        </w:rPr>
      </w:pPr>
    </w:p>
    <w:p w14:paraId="2D036FCC" w14:textId="3700DDC5" w:rsidR="008C6773" w:rsidRPr="00E72D41" w:rsidRDefault="0000560A" w:rsidP="008C677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174.</w:t>
      </w:r>
      <w:r w:rsidR="00E72D41">
        <w:rPr>
          <w:rFonts w:ascii="Verdana" w:hAnsi="Verdana"/>
          <w:sz w:val="16"/>
          <w:szCs w:val="16"/>
          <w:lang w:val="en-GB" w:eastAsia="fr-FR"/>
        </w:rPr>
        <w:t xml:space="preserve"> </w:t>
      </w:r>
      <w:r w:rsidRPr="00E72D41">
        <w:rPr>
          <w:rFonts w:ascii="Verdana" w:hAnsi="Verdana"/>
          <w:sz w:val="16"/>
          <w:szCs w:val="16"/>
          <w:lang w:val="en-GB" w:eastAsia="fr-FR"/>
        </w:rPr>
        <w:t>Finally,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due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account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should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be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taken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procedural</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aspect</w:t>
      </w:r>
      <w:r w:rsidR="008C6773" w:rsidRPr="00E72D41">
        <w:rPr>
          <w:rFonts w:ascii="Verdana" w:hAnsi="Verdana"/>
          <w:sz w:val="16"/>
          <w:szCs w:val="16"/>
          <w:lang w:val="en-GB" w:eastAsia="fr-FR"/>
        </w:rPr>
        <w:t xml:space="preserve"> of Article 10…</w:t>
      </w:r>
      <w:r w:rsidRPr="00E72D41">
        <w:rPr>
          <w:rFonts w:ascii="Verdana" w:hAnsi="Verdana"/>
          <w:sz w:val="16"/>
          <w:szCs w:val="16"/>
          <w:lang w:val="en-GB" w:eastAsia="fr-FR"/>
        </w:rPr>
        <w:t xml:space="preserve"> In the light 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considerations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led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it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find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violation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Article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6</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1</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Convention,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Court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considers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impugned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restrictions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applicant’s exercise of his right to freedom of expression under Article 10 of the Convention were not accompanied by effective and adequate safeguards against abuse.</w:t>
      </w:r>
    </w:p>
    <w:p w14:paraId="1A95C372" w14:textId="77777777" w:rsidR="008C6773" w:rsidRPr="00E72D41" w:rsidRDefault="008C6773" w:rsidP="008C6773">
      <w:pPr>
        <w:tabs>
          <w:tab w:val="left" w:pos="0"/>
          <w:tab w:val="left" w:pos="567"/>
          <w:tab w:val="left" w:pos="1134"/>
          <w:tab w:val="left" w:pos="6379"/>
        </w:tabs>
        <w:spacing w:line="255" w:lineRule="exact"/>
        <w:ind w:left="567"/>
        <w:rPr>
          <w:rFonts w:ascii="Verdana" w:hAnsi="Verdana"/>
          <w:sz w:val="16"/>
          <w:szCs w:val="16"/>
          <w:lang w:val="en-GB" w:eastAsia="fr-FR"/>
        </w:rPr>
      </w:pPr>
    </w:p>
    <w:p w14:paraId="1073415A" w14:textId="7F0D2993" w:rsidR="0000560A" w:rsidRDefault="0000560A" w:rsidP="008C6773">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t>175.</w:t>
      </w:r>
      <w:r w:rsidR="00E72D41">
        <w:rPr>
          <w:rFonts w:ascii="Verdana" w:hAnsi="Verdana"/>
          <w:sz w:val="16"/>
          <w:szCs w:val="16"/>
          <w:lang w:val="en-GB" w:eastAsia="fr-FR"/>
        </w:rPr>
        <w:t xml:space="preserve"> </w:t>
      </w:r>
      <w:r w:rsidRPr="00E72D41">
        <w:rPr>
          <w:rFonts w:ascii="Verdana" w:hAnsi="Verdana"/>
          <w:sz w:val="16"/>
          <w:szCs w:val="16"/>
          <w:lang w:val="en-GB" w:eastAsia="fr-FR"/>
        </w:rPr>
        <w:t>In sum, even assuming that the reasons relied on by the respondent State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were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relevant,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cannot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be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regarded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sufficient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show</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that</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 interference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complained</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was</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“necessary</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lastRenderedPageBreak/>
        <w:t>in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democratic</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society”, notwithstanding</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margin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of</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appreciation</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available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to</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the</w:t>
      </w:r>
      <w:r w:rsidR="00563240" w:rsidRPr="00E72D41">
        <w:rPr>
          <w:rFonts w:ascii="Verdana" w:hAnsi="Verdana"/>
          <w:sz w:val="16"/>
          <w:szCs w:val="16"/>
          <w:lang w:val="en-GB" w:eastAsia="fr-FR"/>
        </w:rPr>
        <w:t xml:space="preserve"> </w:t>
      </w:r>
      <w:r w:rsidRPr="00E72D41">
        <w:rPr>
          <w:rFonts w:ascii="Verdana" w:hAnsi="Verdana"/>
          <w:sz w:val="16"/>
          <w:szCs w:val="16"/>
          <w:lang w:val="en-GB" w:eastAsia="fr-FR"/>
        </w:rPr>
        <w:t>national authorities.</w:t>
      </w:r>
    </w:p>
    <w:p w14:paraId="309EDCFB" w14:textId="77777777" w:rsidR="0000560A" w:rsidRDefault="0000560A" w:rsidP="000B19DD">
      <w:pPr>
        <w:tabs>
          <w:tab w:val="left" w:pos="0"/>
          <w:tab w:val="left" w:pos="567"/>
          <w:tab w:val="left" w:pos="1134"/>
          <w:tab w:val="left" w:pos="6379"/>
        </w:tabs>
        <w:spacing w:line="255" w:lineRule="exact"/>
        <w:rPr>
          <w:rFonts w:ascii="Verdana" w:hAnsi="Verdana"/>
          <w:sz w:val="17"/>
          <w:szCs w:val="17"/>
          <w:lang w:val="en-GB" w:eastAsia="fr-FR"/>
        </w:rPr>
      </w:pPr>
    </w:p>
    <w:p w14:paraId="18F8ACFA" w14:textId="41984CF7" w:rsidR="000B19DD" w:rsidRPr="00753465" w:rsidRDefault="008C6773"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w:t>
      </w:r>
      <w:r>
        <w:rPr>
          <w:rFonts w:ascii="Verdana" w:hAnsi="Verdana"/>
          <w:i/>
          <w:sz w:val="17"/>
          <w:szCs w:val="17"/>
          <w:lang w:val="en-GB" w:eastAsia="fr-FR"/>
        </w:rPr>
        <w:t xml:space="preserve">Baka </w:t>
      </w:r>
      <w:r>
        <w:rPr>
          <w:rFonts w:ascii="Verdana" w:hAnsi="Verdana"/>
          <w:sz w:val="17"/>
          <w:szCs w:val="17"/>
          <w:lang w:val="en-GB" w:eastAsia="fr-FR"/>
        </w:rPr>
        <w:t xml:space="preserve">ruling also illustrates that </w:t>
      </w:r>
      <w:r w:rsidR="00753465">
        <w:rPr>
          <w:rFonts w:ascii="Verdana" w:hAnsi="Verdana"/>
          <w:sz w:val="17"/>
          <w:szCs w:val="17"/>
          <w:lang w:val="en-GB" w:eastAsia="fr-FR"/>
        </w:rPr>
        <w:t xml:space="preserve">in evaluating whether a judge’s freedom of expression has been violated, it is important to look beyond the formal grounds presented for any disciplinary sanctions or other measures adopted, to examine the actual motivation. In the </w:t>
      </w:r>
      <w:r w:rsidR="00753465">
        <w:rPr>
          <w:rFonts w:ascii="Verdana" w:hAnsi="Verdana"/>
          <w:i/>
          <w:sz w:val="17"/>
          <w:szCs w:val="17"/>
          <w:lang w:val="en-GB" w:eastAsia="fr-FR"/>
        </w:rPr>
        <w:t xml:space="preserve">Baka </w:t>
      </w:r>
      <w:r w:rsidR="00753465">
        <w:rPr>
          <w:rFonts w:ascii="Verdana" w:hAnsi="Verdana"/>
          <w:sz w:val="17"/>
          <w:szCs w:val="17"/>
          <w:lang w:val="en-GB" w:eastAsia="fr-FR"/>
        </w:rPr>
        <w:t>case the Government argued his removal as President was merely consequent to a restructuring of the courts for other reasons; the Grand Chamber did not accept this explanation, in light of the circumstances in which the events took place (see paras 143 to 152 of the judgment).</w:t>
      </w:r>
    </w:p>
    <w:p w14:paraId="64547D8E" w14:textId="77777777" w:rsidR="008C6773" w:rsidRDefault="008C6773" w:rsidP="003D692A">
      <w:pPr>
        <w:tabs>
          <w:tab w:val="left" w:pos="0"/>
          <w:tab w:val="left" w:pos="567"/>
          <w:tab w:val="left" w:pos="1134"/>
          <w:tab w:val="left" w:pos="6379"/>
        </w:tabs>
        <w:spacing w:line="255" w:lineRule="exact"/>
        <w:rPr>
          <w:rFonts w:ascii="Verdana" w:hAnsi="Verdana"/>
          <w:sz w:val="17"/>
          <w:szCs w:val="17"/>
          <w:lang w:val="en-GB" w:eastAsia="fr-FR"/>
        </w:rPr>
      </w:pPr>
    </w:p>
    <w:p w14:paraId="53E4C6A7" w14:textId="482B3FE2" w:rsidR="001C4040" w:rsidRP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The </w:t>
      </w:r>
      <w:r>
        <w:rPr>
          <w:rFonts w:ascii="Verdana" w:hAnsi="Verdana"/>
          <w:i/>
          <w:sz w:val="17"/>
          <w:szCs w:val="17"/>
          <w:lang w:val="en-GB" w:eastAsia="fr-FR"/>
        </w:rPr>
        <w:t xml:space="preserve">Baka </w:t>
      </w:r>
      <w:r>
        <w:rPr>
          <w:rFonts w:ascii="Verdana" w:hAnsi="Verdana"/>
          <w:sz w:val="17"/>
          <w:szCs w:val="17"/>
          <w:lang w:val="en-GB" w:eastAsia="fr-FR"/>
        </w:rPr>
        <w:t>ruling comes against a broader background of regional interpretation and standards in Europe, including the following:</w:t>
      </w:r>
    </w:p>
    <w:p w14:paraId="4E8835AB" w14:textId="4532FC12" w:rsidR="001C4040" w:rsidRPr="004574D7"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sidRPr="004574D7">
        <w:rPr>
          <w:rFonts w:ascii="Verdana" w:hAnsi="Verdana"/>
          <w:sz w:val="17"/>
          <w:szCs w:val="17"/>
          <w:lang w:val="en-GB" w:eastAsia="fr-FR"/>
        </w:rPr>
        <w:t xml:space="preserve">Council of Europe </w:t>
      </w:r>
      <w:r w:rsidRPr="00735D34">
        <w:rPr>
          <w:rFonts w:ascii="Verdana" w:hAnsi="Verdana"/>
          <w:b/>
          <w:i/>
          <w:sz w:val="17"/>
          <w:szCs w:val="17"/>
          <w:lang w:val="en-GB" w:eastAsia="fr-FR"/>
        </w:rPr>
        <w:t>Recommendation CM/Rec(2010)12 on judges: independence, efficiency and responsibilities</w:t>
      </w:r>
      <w:r w:rsidRPr="004574D7">
        <w:rPr>
          <w:rFonts w:ascii="Verdana" w:hAnsi="Verdana"/>
          <w:sz w:val="17"/>
          <w:szCs w:val="17"/>
          <w:lang w:val="en-GB" w:eastAsia="fr-FR"/>
        </w:rPr>
        <w:t>,</w:t>
      </w:r>
      <w:r>
        <w:rPr>
          <w:rFonts w:ascii="Verdana" w:hAnsi="Verdana"/>
          <w:sz w:val="17"/>
          <w:szCs w:val="17"/>
          <w:lang w:val="en-GB" w:eastAsia="fr-FR"/>
        </w:rPr>
        <w:t xml:space="preserve"> provides that, “J</w:t>
      </w:r>
      <w:r w:rsidRPr="00E66401">
        <w:rPr>
          <w:rFonts w:ascii="Verdana" w:hAnsi="Verdana"/>
          <w:sz w:val="17"/>
          <w:szCs w:val="17"/>
          <w:lang w:val="en-GB" w:eastAsia="fr-FR"/>
        </w:rPr>
        <w:t>udges may engage in activities outside their official functions</w:t>
      </w:r>
      <w:r>
        <w:rPr>
          <w:rFonts w:ascii="Verdana" w:hAnsi="Verdana"/>
          <w:sz w:val="17"/>
          <w:szCs w:val="17"/>
          <w:lang w:val="en-GB" w:eastAsia="fr-FR"/>
        </w:rPr>
        <w:t>” but that, “</w:t>
      </w:r>
      <w:r w:rsidRPr="00E66401">
        <w:rPr>
          <w:rFonts w:ascii="Verdana" w:hAnsi="Verdana"/>
          <w:sz w:val="17"/>
          <w:szCs w:val="17"/>
          <w:lang w:val="en-GB" w:eastAsia="fr-FR"/>
        </w:rPr>
        <w:t>To avoid actual or perceived conflicts of in</w:t>
      </w:r>
      <w:r w:rsidRPr="00E66401">
        <w:rPr>
          <w:rFonts w:ascii="Verdana" w:hAnsi="Verdana"/>
          <w:sz w:val="17"/>
          <w:szCs w:val="17"/>
          <w:lang w:val="en-GB" w:eastAsia="fr-FR"/>
        </w:rPr>
        <w:lastRenderedPageBreak/>
        <w:t>terest, their participation should be restricted to activities compatible with their impartiality and independence</w:t>
      </w:r>
      <w:r>
        <w:rPr>
          <w:rFonts w:ascii="Verdana" w:hAnsi="Verdana"/>
          <w:sz w:val="17"/>
          <w:szCs w:val="17"/>
          <w:lang w:val="en-GB" w:eastAsia="fr-FR"/>
        </w:rPr>
        <w:t>.”</w:t>
      </w:r>
      <w:r>
        <w:rPr>
          <w:rStyle w:val="FootnoteReference"/>
          <w:rFonts w:ascii="Verdana" w:hAnsi="Verdana"/>
          <w:sz w:val="17"/>
          <w:szCs w:val="17"/>
          <w:lang w:val="en-GB" w:eastAsia="fr-FR"/>
        </w:rPr>
        <w:footnoteReference w:id="35"/>
      </w:r>
      <w:r>
        <w:rPr>
          <w:rFonts w:ascii="Verdana" w:hAnsi="Verdana"/>
          <w:sz w:val="17"/>
          <w:szCs w:val="17"/>
          <w:lang w:val="en-GB" w:eastAsia="fr-FR"/>
        </w:rPr>
        <w:t xml:space="preserve"> Furthermore, it states, “J</w:t>
      </w:r>
      <w:r w:rsidRPr="00E66401">
        <w:rPr>
          <w:rFonts w:ascii="Verdana" w:hAnsi="Verdana"/>
          <w:sz w:val="17"/>
          <w:szCs w:val="17"/>
          <w:lang w:val="en-GB" w:eastAsia="fr-FR"/>
        </w:rPr>
        <w:t>udges should exercise restraint in their relations with the media</w:t>
      </w:r>
      <w:r w:rsidRPr="004574D7">
        <w:rPr>
          <w:rFonts w:ascii="Verdana" w:hAnsi="Verdana"/>
          <w:sz w:val="17"/>
          <w:szCs w:val="17"/>
          <w:lang w:val="en-GB" w:eastAsia="fr-FR"/>
        </w:rPr>
        <w:t>.</w:t>
      </w:r>
      <w:r>
        <w:rPr>
          <w:rFonts w:ascii="Verdana" w:hAnsi="Verdana"/>
          <w:sz w:val="17"/>
          <w:szCs w:val="17"/>
          <w:lang w:val="en-GB" w:eastAsia="fr-FR"/>
        </w:rPr>
        <w:t>”</w:t>
      </w:r>
      <w:r>
        <w:rPr>
          <w:rStyle w:val="FootnoteReference"/>
          <w:rFonts w:ascii="Verdana" w:hAnsi="Verdana"/>
          <w:sz w:val="17"/>
          <w:szCs w:val="17"/>
          <w:lang w:val="en-GB" w:eastAsia="fr-FR"/>
        </w:rPr>
        <w:footnoteReference w:id="36"/>
      </w:r>
      <w:r w:rsidR="005F6C79">
        <w:rPr>
          <w:rFonts w:ascii="Verdana" w:hAnsi="Verdana"/>
          <w:sz w:val="17"/>
          <w:szCs w:val="17"/>
          <w:lang w:val="en-GB" w:eastAsia="fr-FR"/>
        </w:rPr>
        <w:t xml:space="preserve"> The Recommendation also provides that, “</w:t>
      </w:r>
      <w:r w:rsidR="005F6C79" w:rsidRPr="005F6C79">
        <w:rPr>
          <w:rFonts w:ascii="Verdana" w:hAnsi="Verdana"/>
          <w:sz w:val="17"/>
          <w:szCs w:val="17"/>
          <w:lang w:val="en-GB" w:eastAsia="fr-FR"/>
        </w:rPr>
        <w:t>Judges should be free</w:t>
      </w:r>
      <w:r w:rsidR="005F6C79">
        <w:rPr>
          <w:rFonts w:ascii="Verdana" w:hAnsi="Verdana"/>
          <w:sz w:val="17"/>
          <w:szCs w:val="17"/>
          <w:lang w:val="en-GB" w:eastAsia="fr-FR"/>
        </w:rPr>
        <w:t xml:space="preserve"> </w:t>
      </w:r>
      <w:r w:rsidR="005F6C79" w:rsidRPr="005F6C79">
        <w:rPr>
          <w:rFonts w:ascii="Verdana" w:hAnsi="Verdana"/>
          <w:sz w:val="17"/>
          <w:szCs w:val="17"/>
          <w:lang w:val="en-GB" w:eastAsia="fr-FR"/>
        </w:rPr>
        <w:t>to form and join professional organisations</w:t>
      </w:r>
      <w:r w:rsidR="005F6C79">
        <w:rPr>
          <w:rFonts w:ascii="Verdana" w:hAnsi="Verdana"/>
          <w:sz w:val="17"/>
          <w:szCs w:val="17"/>
          <w:lang w:val="en-GB" w:eastAsia="fr-FR"/>
        </w:rPr>
        <w:t xml:space="preserve"> </w:t>
      </w:r>
      <w:r w:rsidR="005F6C79" w:rsidRPr="005F6C79">
        <w:rPr>
          <w:rFonts w:ascii="Verdana" w:hAnsi="Verdana"/>
          <w:sz w:val="17"/>
          <w:szCs w:val="17"/>
          <w:lang w:val="en-GB" w:eastAsia="fr-FR"/>
        </w:rPr>
        <w:t>whose objectives are</w:t>
      </w:r>
      <w:r w:rsidR="005F6C79">
        <w:rPr>
          <w:rFonts w:ascii="Verdana" w:hAnsi="Verdana"/>
          <w:sz w:val="17"/>
          <w:szCs w:val="17"/>
          <w:lang w:val="en-GB" w:eastAsia="fr-FR"/>
        </w:rPr>
        <w:t xml:space="preserve"> </w:t>
      </w:r>
      <w:r w:rsidR="005F6C79" w:rsidRPr="005F6C79">
        <w:rPr>
          <w:rFonts w:ascii="Verdana" w:hAnsi="Verdana"/>
          <w:sz w:val="17"/>
          <w:szCs w:val="17"/>
          <w:lang w:val="en-GB" w:eastAsia="fr-FR"/>
        </w:rPr>
        <w:t>to safeguard their in</w:t>
      </w:r>
      <w:r w:rsidR="005F6C79">
        <w:rPr>
          <w:rFonts w:ascii="Verdana" w:hAnsi="Verdana"/>
          <w:sz w:val="17"/>
          <w:szCs w:val="17"/>
          <w:lang w:val="en-GB" w:eastAsia="fr-FR"/>
        </w:rPr>
        <w:t>dependence, protect their inter</w:t>
      </w:r>
      <w:r w:rsidR="005F6C79" w:rsidRPr="005F6C79">
        <w:rPr>
          <w:rFonts w:ascii="Verdana" w:hAnsi="Verdana"/>
          <w:sz w:val="17"/>
          <w:szCs w:val="17"/>
          <w:lang w:val="en-GB" w:eastAsia="fr-FR"/>
        </w:rPr>
        <w:t>ests and promote the rule of law.</w:t>
      </w:r>
      <w:r w:rsidR="005F6C79">
        <w:rPr>
          <w:rFonts w:ascii="Verdana" w:hAnsi="Verdana"/>
          <w:sz w:val="17"/>
          <w:szCs w:val="17"/>
          <w:lang w:val="en-GB" w:eastAsia="fr-FR"/>
        </w:rPr>
        <w:t>”</w:t>
      </w:r>
      <w:r w:rsidR="005F6C79">
        <w:rPr>
          <w:rStyle w:val="FootnoteReference"/>
          <w:rFonts w:ascii="Verdana" w:hAnsi="Verdana"/>
          <w:sz w:val="17"/>
          <w:szCs w:val="17"/>
          <w:lang w:val="en-GB" w:eastAsia="fr-FR"/>
        </w:rPr>
        <w:footnoteReference w:id="37"/>
      </w:r>
    </w:p>
    <w:p w14:paraId="5A7FBB42" w14:textId="77777777" w:rsidR="001C4040" w:rsidRPr="0053153A"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The Council of Europe </w:t>
      </w:r>
      <w:r w:rsidRPr="0053153A">
        <w:rPr>
          <w:rFonts w:ascii="Verdana" w:hAnsi="Verdana"/>
          <w:b/>
          <w:sz w:val="17"/>
          <w:szCs w:val="17"/>
          <w:lang w:val="en-GB" w:eastAsia="fr-FR"/>
        </w:rPr>
        <w:t>European Charter on the Statute for Judges</w:t>
      </w:r>
      <w:r>
        <w:rPr>
          <w:rFonts w:ascii="Verdana" w:hAnsi="Verdana"/>
          <w:sz w:val="17"/>
          <w:szCs w:val="17"/>
          <w:lang w:val="en-GB" w:eastAsia="fr-FR"/>
        </w:rPr>
        <w:t xml:space="preserve"> (1998) provides that: </w:t>
      </w:r>
    </w:p>
    <w:p w14:paraId="713FC085"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 xml:space="preserve">4.2. Judges freely carry out activities outside their judicial mandate including those which are the embodiment of their rights as citizens. This freedom may not be limited except in so far as such </w:t>
      </w:r>
      <w:r w:rsidRPr="00E72D41">
        <w:rPr>
          <w:rFonts w:ascii="Verdana" w:hAnsi="Verdana"/>
          <w:sz w:val="16"/>
          <w:szCs w:val="16"/>
          <w:lang w:val="en-GB" w:eastAsia="fr-FR"/>
        </w:rPr>
        <w:lastRenderedPageBreak/>
        <w:t>outside activities are incompatible with confidence in, or the impartiality or the independence of a judge, or his or her required availability to deal attentively and within a reasonable period with the matters put before him or her. The exercise of an outside activity, other than literary or artistic, giving rise to remuneration, must be the object of a prior authorization on conditions laid down by the statute.</w:t>
      </w:r>
    </w:p>
    <w:p w14:paraId="35C99D96"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4.3.Judges must refrain from any behaviour, action or expression of a kind effectively to affect confidence in their impartiality and their independence.</w:t>
      </w:r>
    </w:p>
    <w:p w14:paraId="12AF534B"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and</w:t>
      </w:r>
    </w:p>
    <w:p w14:paraId="6B1B28E1"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1.7.Professional organizations set up by judges, and to which all judges may freely adhere, contribute notably to the defence of those rights which are conferred on them by their statute, in particular in relation to authorities and bodies which are involved in decisions regarding them.</w:t>
      </w:r>
    </w:p>
    <w:p w14:paraId="0BFC2844" w14:textId="77777777" w:rsidR="001C4040" w:rsidRDefault="001C4040" w:rsidP="001C4040">
      <w:pPr>
        <w:tabs>
          <w:tab w:val="left" w:pos="0"/>
          <w:tab w:val="left" w:pos="567"/>
          <w:tab w:val="left" w:pos="1134"/>
          <w:tab w:val="left" w:pos="6379"/>
        </w:tabs>
        <w:spacing w:after="120" w:line="255" w:lineRule="exact"/>
        <w:ind w:left="567"/>
        <w:rPr>
          <w:rFonts w:ascii="Verdana" w:hAnsi="Verdana"/>
          <w:sz w:val="17"/>
          <w:szCs w:val="17"/>
          <w:lang w:val="en-GB" w:eastAsia="fr-FR"/>
        </w:rPr>
      </w:pPr>
    </w:p>
    <w:p w14:paraId="63A17B2A"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The </w:t>
      </w:r>
      <w:r w:rsidRPr="0053153A">
        <w:rPr>
          <w:rFonts w:ascii="Verdana" w:hAnsi="Verdana"/>
          <w:b/>
          <w:sz w:val="17"/>
          <w:szCs w:val="17"/>
          <w:lang w:val="en-GB" w:eastAsia="fr-FR"/>
        </w:rPr>
        <w:t>Consultative Council of European Judges (CCJE)</w:t>
      </w:r>
      <w:r>
        <w:rPr>
          <w:rFonts w:ascii="Verdana" w:hAnsi="Verdana"/>
          <w:sz w:val="17"/>
          <w:szCs w:val="17"/>
          <w:lang w:val="en-GB" w:eastAsia="fr-FR"/>
        </w:rPr>
        <w:t xml:space="preserve">, in its </w:t>
      </w:r>
      <w:r w:rsidRPr="0053153A">
        <w:rPr>
          <w:rFonts w:ascii="Verdana" w:hAnsi="Verdana"/>
          <w:b/>
          <w:sz w:val="17"/>
          <w:szCs w:val="17"/>
          <w:lang w:val="en-GB" w:eastAsia="fr-FR"/>
        </w:rPr>
        <w:t xml:space="preserve">Opinion no. 3 on “the principles and rules governing </w:t>
      </w:r>
      <w:r w:rsidRPr="0053153A">
        <w:rPr>
          <w:rFonts w:ascii="Verdana" w:hAnsi="Verdana"/>
          <w:b/>
          <w:sz w:val="17"/>
          <w:szCs w:val="17"/>
          <w:lang w:val="en-GB" w:eastAsia="fr-FR"/>
        </w:rPr>
        <w:lastRenderedPageBreak/>
        <w:t>judges’ professional conduct, in particular ethics, incompatible behaviour and impartiality”</w:t>
      </w:r>
      <w:r>
        <w:rPr>
          <w:rFonts w:ascii="Verdana" w:hAnsi="Verdana"/>
          <w:sz w:val="17"/>
          <w:szCs w:val="17"/>
          <w:lang w:val="en-GB" w:eastAsia="fr-FR"/>
        </w:rPr>
        <w:t>, echoes many elements of the Bangalore Principles and Commentary. The CCJE states among other things that:</w:t>
      </w:r>
      <w:r>
        <w:rPr>
          <w:rStyle w:val="FootnoteReference"/>
          <w:rFonts w:ascii="Verdana" w:hAnsi="Verdana"/>
          <w:sz w:val="17"/>
          <w:szCs w:val="17"/>
          <w:lang w:val="en-GB" w:eastAsia="fr-FR"/>
        </w:rPr>
        <w:footnoteReference w:id="38"/>
      </w:r>
    </w:p>
    <w:p w14:paraId="44FED885"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…as citizens, judges enjoy the fundamental rights and freedoms protected, in particular, by the European Convention on Human Rights (freedom of opinion, religious freedom, etc). They should therefore remain generally free to engage in the extra-professional activities of their choice.</w:t>
      </w:r>
    </w:p>
    <w:p w14:paraId="7FC52D1F"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…However, such activities may jeopardise their impartiality or sometimes even their independence. A reasonable balance therefore needs to be struck between the degree to which judges may be involved in society and the need for them to be and to be seen as independent and impartial in the discharge of their duties. In the last analysis, the question must always be asked whether, in the particular social context and in the eyes of a reasonable, informed observer, the judge has engaged in an activity which could objectively compromise his or her independence or impartiality.</w:t>
      </w:r>
    </w:p>
    <w:p w14:paraId="4A60F10D"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lastRenderedPageBreak/>
        <w:t>…Judges' participation in political activities poses some major problems. Of course, judges remain citizens and should be allowed to exercise the political rights enjoyed by all citizens. However, in view of the right to a fair trial and legitimate public expectations, judges should show restraint in the exercise of public political activity. Some States have included this principle in their disciplinary rules and sanction any conduct which conflicts with the obligation of judges to exercise reserve. They have also expressly stated that a judge's duties are incompatible with certain political mandates (in the national parliament, European Parliament or local council), sometimes even prohibiting judges' spouses from taking up such positions.</w:t>
      </w:r>
    </w:p>
    <w:p w14:paraId="040C640E"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…More generally, it is necessary to consider the participation of judges in public debates of a political nature. In order to preserve public confidence in the judicial system, judges should not expose themselves to political attacks that are incompatible with the neutrality required by the judiciary.</w:t>
      </w:r>
    </w:p>
    <w:p w14:paraId="6A6728E0"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 xml:space="preserve">…The discussions within the CCJE have shown the need to strike a balance between the judges’ freedom of opinion and expression and the requirement of neutrality. It is therefore necessary for judges, even though their membership of a political party or their participation in public debate on the major problems of society </w:t>
      </w:r>
      <w:r w:rsidRPr="00E72D41">
        <w:rPr>
          <w:rFonts w:ascii="Verdana" w:hAnsi="Verdana"/>
          <w:sz w:val="16"/>
          <w:szCs w:val="16"/>
          <w:lang w:val="en-GB" w:eastAsia="fr-FR"/>
        </w:rPr>
        <w:lastRenderedPageBreak/>
        <w:t>cannot be proscribed, to refrain at least from any political activity liable to compromise their independence or jeopardise the appearance of impartiality.</w:t>
      </w:r>
    </w:p>
    <w:p w14:paraId="129817A2"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…However, judges should be allowed to participate in certain debates concerning national judicial policy. They should be able to be consulted and play an active part in the preparation of legislation concerning their statute and, more generally, the functioning of the judicial system. This subject also raises the question of whether judges should be allowed to join trade unions. Under their freedom of expression and opinion, judges may exercise the right to join trade unions (freedom of association), although restrictions may be placed on the right to strike.</w:t>
      </w:r>
    </w:p>
    <w:p w14:paraId="6FCF57CC" w14:textId="77777777" w:rsidR="001C4040" w:rsidRPr="00E72D41" w:rsidRDefault="001C4040" w:rsidP="001C4040">
      <w:pPr>
        <w:tabs>
          <w:tab w:val="left" w:pos="0"/>
          <w:tab w:val="left" w:pos="567"/>
          <w:tab w:val="left" w:pos="1134"/>
          <w:tab w:val="left" w:pos="6379"/>
        </w:tabs>
        <w:spacing w:after="120" w:line="255" w:lineRule="exact"/>
        <w:ind w:left="567"/>
        <w:rPr>
          <w:rFonts w:ascii="Verdana" w:hAnsi="Verdana"/>
          <w:sz w:val="16"/>
          <w:szCs w:val="16"/>
          <w:lang w:val="en-GB" w:eastAsia="fr-FR"/>
        </w:rPr>
      </w:pPr>
      <w:r w:rsidRPr="00E72D41">
        <w:rPr>
          <w:rFonts w:ascii="Verdana" w:hAnsi="Verdana"/>
          <w:sz w:val="16"/>
          <w:szCs w:val="16"/>
          <w:lang w:val="en-GB" w:eastAsia="fr-FR"/>
        </w:rPr>
        <w:t xml:space="preserve">… judges have to show circumspection in their relations with the press and be able to maintain their independence and impartiality, refraining from any personal exploitation of any relations with journalists and any unjustified comments on the cases they are dealing with. The right of the public to information is nevertheless a fundamental principle resulting from Article 10 of the European Convention on Human Rights. It implies that the judge answers the legitimate expectations of the citizens by clearly motivated decisions. Judges should also be free to prepare a summary or communiqué </w:t>
      </w:r>
      <w:r w:rsidRPr="00E72D41">
        <w:rPr>
          <w:rFonts w:ascii="Verdana" w:hAnsi="Verdana"/>
          <w:sz w:val="16"/>
          <w:szCs w:val="16"/>
          <w:lang w:val="en-GB" w:eastAsia="fr-FR"/>
        </w:rPr>
        <w:lastRenderedPageBreak/>
        <w:t>setting up the tenor or clarifying the significance of their judgements for the public. Besides, for the countries where the judges are involved in criminal investigations, it is advisable for them to reconcile the necessary restraint relating to the cases they are dealing with, with the right to information. Only under such conditions can judges freely fulfil their role, without fear of media pressure. The CCJE has noted with interest the practice in force in certain countries of appointing a judge with communication responsibilities or a spokesperson to deal with the press on subjects of interest to the public.</w:t>
      </w:r>
    </w:p>
    <w:p w14:paraId="006824ED"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p>
    <w:p w14:paraId="365D364B"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In its 2005 </w:t>
      </w:r>
      <w:r w:rsidRPr="00BB386D">
        <w:rPr>
          <w:rFonts w:ascii="Verdana" w:hAnsi="Verdana"/>
          <w:b/>
          <w:sz w:val="17"/>
          <w:szCs w:val="17"/>
          <w:lang w:val="en-GB" w:eastAsia="fr-FR"/>
        </w:rPr>
        <w:t>Opinion no. 7 on “Justice and Society”</w:t>
      </w:r>
      <w:r>
        <w:rPr>
          <w:rFonts w:ascii="Verdana" w:hAnsi="Verdana"/>
          <w:sz w:val="17"/>
          <w:szCs w:val="17"/>
          <w:lang w:val="en-GB" w:eastAsia="fr-FR"/>
        </w:rPr>
        <w:t>, the CCEJ further encouraged a range of judicial “outreach programmes” to increase communication between judiciaries and the general public, and suggested similar measures would be appropriate for prosecutors.</w:t>
      </w:r>
      <w:r>
        <w:rPr>
          <w:rStyle w:val="FootnoteReference"/>
          <w:rFonts w:ascii="Verdana" w:hAnsi="Verdana"/>
          <w:sz w:val="17"/>
          <w:szCs w:val="17"/>
          <w:lang w:val="en-GB" w:eastAsia="fr-FR"/>
        </w:rPr>
        <w:footnoteReference w:id="39"/>
      </w:r>
      <w:r>
        <w:rPr>
          <w:rFonts w:ascii="Verdana" w:hAnsi="Verdana"/>
          <w:sz w:val="17"/>
          <w:szCs w:val="17"/>
          <w:lang w:val="en-GB" w:eastAsia="fr-FR"/>
        </w:rPr>
        <w:t xml:space="preserve"> The CCJE also addressed a number of issues in </w:t>
      </w:r>
      <w:r>
        <w:rPr>
          <w:rFonts w:ascii="Verdana" w:hAnsi="Verdana"/>
          <w:sz w:val="17"/>
          <w:szCs w:val="17"/>
          <w:lang w:val="en-GB" w:eastAsia="fr-FR"/>
        </w:rPr>
        <w:lastRenderedPageBreak/>
        <w:t>the relation of courts with the media, and among many other things, commented that: “</w:t>
      </w:r>
      <w:r w:rsidRPr="00BB386D">
        <w:rPr>
          <w:rFonts w:ascii="Verdana" w:hAnsi="Verdana"/>
          <w:sz w:val="17"/>
          <w:szCs w:val="17"/>
          <w:lang w:val="en-GB" w:eastAsia="fr-FR"/>
        </w:rPr>
        <w:t>Judges express themselves above all through their decisions and should not explain them in the press or more generally make public statements in the press on cases of which they are in charge</w:t>
      </w:r>
      <w:r>
        <w:rPr>
          <w:rFonts w:ascii="Verdana" w:hAnsi="Verdana"/>
          <w:sz w:val="17"/>
          <w:szCs w:val="17"/>
          <w:lang w:val="en-GB" w:eastAsia="fr-FR"/>
        </w:rPr>
        <w:t>” (para 34). Furthermore, it said, “Wh</w:t>
      </w:r>
      <w:r w:rsidRPr="00BB386D">
        <w:rPr>
          <w:rFonts w:ascii="Verdana" w:hAnsi="Verdana"/>
          <w:sz w:val="17"/>
          <w:szCs w:val="17"/>
          <w:lang w:val="en-GB" w:eastAsia="fr-FR"/>
        </w:rPr>
        <w:t>en a judge or a court is challenged or attacked by the media (or by political or other social actors by way of the media) for reasons connected with the administration of justice, the CCJE considers that, in view of the duty of judicial self-restraint, the judge involved should refrain from reactions through the same channels</w:t>
      </w:r>
      <w:r>
        <w:rPr>
          <w:rFonts w:ascii="Verdana" w:hAnsi="Verdana"/>
          <w:sz w:val="17"/>
          <w:szCs w:val="17"/>
          <w:lang w:val="en-GB" w:eastAsia="fr-FR"/>
        </w:rPr>
        <w:t>”; at the same time, however, “</w:t>
      </w:r>
      <w:r w:rsidRPr="00BB386D">
        <w:rPr>
          <w:rFonts w:ascii="Verdana" w:hAnsi="Verdana"/>
          <w:sz w:val="17"/>
          <w:szCs w:val="17"/>
          <w:lang w:val="en-GB" w:eastAsia="fr-FR"/>
        </w:rPr>
        <w:t xml:space="preserve">it would be desirable that the national judiciaries benefit from the support of persons or a body (e.g. the Higher Council for the Judiciary or judges’ associations) able and ready to respond promptly and efficiently to such challenges </w:t>
      </w:r>
      <w:r>
        <w:rPr>
          <w:rFonts w:ascii="Verdana" w:hAnsi="Verdana"/>
          <w:sz w:val="17"/>
          <w:szCs w:val="17"/>
          <w:lang w:val="en-GB" w:eastAsia="fr-FR"/>
        </w:rPr>
        <w:t>or attacks in appropriate cases” (para 55).</w:t>
      </w:r>
    </w:p>
    <w:p w14:paraId="30F8BCCE"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p>
    <w:p w14:paraId="516FFFBB" w14:textId="37EC0B51" w:rsidR="001C4040" w:rsidRPr="00556136"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In 2015, at the request of the President of the Inter-American Court of Human Rights (apparently in connection with the </w:t>
      </w:r>
      <w:r>
        <w:rPr>
          <w:rFonts w:ascii="Verdana" w:hAnsi="Verdana"/>
          <w:i/>
          <w:sz w:val="17"/>
          <w:szCs w:val="17"/>
          <w:lang w:val="en-GB" w:eastAsia="fr-FR"/>
        </w:rPr>
        <w:t>Ló</w:t>
      </w:r>
      <w:r w:rsidRPr="00E01D73">
        <w:rPr>
          <w:rFonts w:ascii="Verdana" w:hAnsi="Verdana"/>
          <w:i/>
          <w:sz w:val="17"/>
          <w:szCs w:val="17"/>
          <w:lang w:val="en-GB" w:eastAsia="fr-FR"/>
        </w:rPr>
        <w:t>pez Lone</w:t>
      </w:r>
      <w:r>
        <w:rPr>
          <w:rFonts w:ascii="Verdana" w:hAnsi="Verdana"/>
          <w:sz w:val="17"/>
          <w:szCs w:val="17"/>
          <w:lang w:val="en-GB" w:eastAsia="fr-FR"/>
        </w:rPr>
        <w:t xml:space="preserve"> case described below), the </w:t>
      </w:r>
      <w:r w:rsidRPr="00E01D73">
        <w:rPr>
          <w:rFonts w:ascii="Verdana" w:hAnsi="Verdana"/>
          <w:b/>
          <w:sz w:val="17"/>
          <w:szCs w:val="17"/>
          <w:lang w:val="en-GB" w:eastAsia="fr-FR"/>
        </w:rPr>
        <w:t>European Commission for Democracy through Law (Venice Commission)</w:t>
      </w:r>
      <w:r w:rsidRPr="004574D7">
        <w:rPr>
          <w:rFonts w:ascii="Verdana" w:hAnsi="Verdana"/>
          <w:sz w:val="17"/>
          <w:szCs w:val="17"/>
          <w:lang w:val="en-GB" w:eastAsia="fr-FR"/>
        </w:rPr>
        <w:t xml:space="preserve"> </w:t>
      </w:r>
      <w:r>
        <w:rPr>
          <w:rFonts w:ascii="Verdana" w:hAnsi="Verdana"/>
          <w:sz w:val="17"/>
          <w:szCs w:val="17"/>
          <w:lang w:val="en-GB" w:eastAsia="fr-FR"/>
        </w:rPr>
        <w:t>published a report on “the Freedom of Expression of Judges”.</w:t>
      </w:r>
      <w:r>
        <w:rPr>
          <w:rStyle w:val="FootnoteReference"/>
          <w:rFonts w:ascii="Verdana" w:hAnsi="Verdana"/>
          <w:sz w:val="17"/>
          <w:szCs w:val="17"/>
          <w:lang w:val="en-GB" w:eastAsia="fr-FR"/>
        </w:rPr>
        <w:footnoteReference w:id="40"/>
      </w:r>
      <w:r>
        <w:rPr>
          <w:rFonts w:ascii="Verdana" w:hAnsi="Verdana"/>
          <w:sz w:val="17"/>
          <w:szCs w:val="17"/>
          <w:lang w:val="en-GB" w:eastAsia="fr-FR"/>
        </w:rPr>
        <w:t xml:space="preserve"> The report reviews some international standards, national laws and practices in a number of Council of Europe member states, and jurisprudence of the European Court of Human Rights (however, the decision pre-dates the Grand Chamber judgment in </w:t>
      </w:r>
      <w:r>
        <w:rPr>
          <w:rFonts w:ascii="Verdana" w:hAnsi="Verdana"/>
          <w:i/>
          <w:sz w:val="17"/>
          <w:szCs w:val="17"/>
          <w:lang w:val="en-GB" w:eastAsia="fr-FR"/>
        </w:rPr>
        <w:t>Baka v Hungary</w:t>
      </w:r>
      <w:r>
        <w:rPr>
          <w:rFonts w:ascii="Verdana" w:hAnsi="Verdana"/>
          <w:sz w:val="17"/>
          <w:szCs w:val="17"/>
          <w:lang w:val="en-GB" w:eastAsia="fr-FR"/>
        </w:rPr>
        <w:t>, described below). The Commission concluded (paras 80 to 84):</w:t>
      </w:r>
    </w:p>
    <w:p w14:paraId="50B27B0E" w14:textId="77777777" w:rsidR="001C4040" w:rsidRDefault="001C4040" w:rsidP="001C4040">
      <w:pPr>
        <w:pStyle w:val="ListParagraph"/>
        <w:numPr>
          <w:ilvl w:val="0"/>
          <w:numId w:val="15"/>
        </w:num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“t</w:t>
      </w:r>
      <w:r w:rsidRPr="000B4037">
        <w:rPr>
          <w:rFonts w:ascii="Verdana" w:hAnsi="Verdana"/>
          <w:sz w:val="17"/>
          <w:szCs w:val="17"/>
          <w:lang w:val="en-GB" w:eastAsia="fr-FR"/>
        </w:rPr>
        <w:t xml:space="preserve">he specificity of the duties and responsibilities which are incumbent to judges and the need to ensure impartiality and independence of the judiciary are considered as legitimate aims in order to impose specific restrictions on the freedom </w:t>
      </w:r>
      <w:r w:rsidRPr="000B4037">
        <w:rPr>
          <w:rFonts w:ascii="Verdana" w:hAnsi="Verdana"/>
          <w:sz w:val="17"/>
          <w:szCs w:val="17"/>
          <w:lang w:val="en-GB" w:eastAsia="fr-FR"/>
        </w:rPr>
        <w:lastRenderedPageBreak/>
        <w:t>of expression, association and assembly of judges including their political activities.</w:t>
      </w:r>
      <w:r>
        <w:rPr>
          <w:rFonts w:ascii="Verdana" w:hAnsi="Verdana"/>
          <w:sz w:val="17"/>
          <w:szCs w:val="17"/>
          <w:lang w:val="en-GB" w:eastAsia="fr-FR"/>
        </w:rPr>
        <w:t>”</w:t>
      </w:r>
    </w:p>
    <w:p w14:paraId="6A27A4EB" w14:textId="77777777" w:rsidR="001C4040" w:rsidRDefault="001C4040" w:rsidP="001C4040">
      <w:pPr>
        <w:pStyle w:val="ListParagraph"/>
        <w:numPr>
          <w:ilvl w:val="0"/>
          <w:numId w:val="15"/>
        </w:num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w:t>
      </w:r>
      <w:r w:rsidRPr="000B4037">
        <w:rPr>
          <w:rFonts w:ascii="Verdana" w:hAnsi="Verdana"/>
          <w:sz w:val="17"/>
          <w:szCs w:val="17"/>
          <w:lang w:val="en-GB" w:eastAsia="fr-FR"/>
        </w:rPr>
        <w:t>any interference with the freedom of expression of a judge calls for close scrutiny.</w:t>
      </w:r>
      <w:r>
        <w:rPr>
          <w:rFonts w:ascii="Verdana" w:hAnsi="Verdana"/>
          <w:sz w:val="17"/>
          <w:szCs w:val="17"/>
          <w:lang w:val="en-GB" w:eastAsia="fr-FR"/>
        </w:rPr>
        <w:t>”</w:t>
      </w:r>
    </w:p>
    <w:p w14:paraId="0DEECD9A" w14:textId="77777777" w:rsidR="001C4040" w:rsidRDefault="001C4040" w:rsidP="001C4040">
      <w:pPr>
        <w:pStyle w:val="ListParagraph"/>
        <w:numPr>
          <w:ilvl w:val="0"/>
          <w:numId w:val="15"/>
        </w:numPr>
        <w:tabs>
          <w:tab w:val="left" w:pos="0"/>
          <w:tab w:val="left" w:pos="567"/>
          <w:tab w:val="left" w:pos="1134"/>
          <w:tab w:val="left" w:pos="6379"/>
        </w:tabs>
        <w:spacing w:after="120" w:line="255" w:lineRule="exact"/>
        <w:rPr>
          <w:rFonts w:ascii="Verdana" w:hAnsi="Verdana"/>
          <w:sz w:val="17"/>
          <w:szCs w:val="17"/>
          <w:lang w:val="en-GB" w:eastAsia="fr-FR"/>
        </w:rPr>
      </w:pPr>
      <w:r w:rsidRPr="000B4037">
        <w:rPr>
          <w:rFonts w:ascii="Verdana" w:hAnsi="Verdana"/>
          <w:sz w:val="17"/>
          <w:szCs w:val="17"/>
          <w:lang w:val="en-GB" w:eastAsia="fr-FR"/>
        </w:rPr>
        <w:t>Among the considerations relevant to assessing the proportionality of an interference with the freedom of expression of a judge, is: “the office held by the applicant, the content of the impugned statement, the context in which the statement was made and the nature and severity of the penalties imposed”</w:t>
      </w:r>
      <w:r>
        <w:rPr>
          <w:rFonts w:ascii="Verdana" w:hAnsi="Verdana"/>
          <w:sz w:val="17"/>
          <w:szCs w:val="17"/>
          <w:lang w:val="en-GB" w:eastAsia="fr-FR"/>
        </w:rPr>
        <w:t>.</w:t>
      </w:r>
    </w:p>
    <w:p w14:paraId="1D523496" w14:textId="77777777" w:rsidR="001C4040" w:rsidRPr="000B4037" w:rsidRDefault="001C4040" w:rsidP="001C4040">
      <w:pPr>
        <w:pStyle w:val="ListParagraph"/>
        <w:numPr>
          <w:ilvl w:val="0"/>
          <w:numId w:val="15"/>
        </w:num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w:t>
      </w:r>
      <w:r w:rsidRPr="000B4037">
        <w:rPr>
          <w:rFonts w:ascii="Verdana" w:hAnsi="Verdana"/>
          <w:sz w:val="17"/>
          <w:szCs w:val="17"/>
          <w:lang w:val="en-GB" w:eastAsia="fr-FR"/>
        </w:rPr>
        <w:t>In the context of a political debate in which a judge participates, the domestic political background of this debate is also an important factor to be taken into consideration when assessing the permissible scope of the freedom of judges. For instance, the historical, political and legal context of the debate, whether or not the discussion includes a matter of public interest or whether the impugned statement is made in the context of an electoral campaign are of particular importance. A democratic crisis or a breakdown of constitu</w:t>
      </w:r>
      <w:r w:rsidRPr="000B4037">
        <w:rPr>
          <w:rFonts w:ascii="Verdana" w:hAnsi="Verdana"/>
          <w:sz w:val="17"/>
          <w:szCs w:val="17"/>
          <w:lang w:val="en-GB" w:eastAsia="fr-FR"/>
        </w:rPr>
        <w:lastRenderedPageBreak/>
        <w:t>tional order are naturally to be considered as important elements of the concrete context of a case, essential in determining the scope of judges’ fundamental freedoms.</w:t>
      </w:r>
      <w:r>
        <w:rPr>
          <w:rFonts w:ascii="Verdana" w:hAnsi="Verdana"/>
          <w:sz w:val="17"/>
          <w:szCs w:val="17"/>
          <w:lang w:val="en-GB" w:eastAsia="fr-FR"/>
        </w:rPr>
        <w:t>”</w:t>
      </w:r>
    </w:p>
    <w:p w14:paraId="75B81556"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p>
    <w:p w14:paraId="321782F2" w14:textId="77777777" w:rsidR="001C4040" w:rsidRDefault="001C4040" w:rsidP="001C4040">
      <w:pPr>
        <w:tabs>
          <w:tab w:val="left" w:pos="0"/>
          <w:tab w:val="left" w:pos="567"/>
          <w:tab w:val="left" w:pos="1134"/>
          <w:tab w:val="left" w:pos="6379"/>
        </w:tabs>
        <w:spacing w:after="120" w:line="255" w:lineRule="exact"/>
        <w:rPr>
          <w:rFonts w:ascii="Verdana" w:hAnsi="Verdana"/>
          <w:sz w:val="17"/>
          <w:szCs w:val="17"/>
          <w:lang w:val="en-GB" w:eastAsia="fr-FR"/>
        </w:rPr>
      </w:pPr>
      <w:r>
        <w:rPr>
          <w:rFonts w:ascii="Verdana" w:hAnsi="Verdana"/>
          <w:sz w:val="17"/>
          <w:szCs w:val="17"/>
          <w:lang w:val="en-GB" w:eastAsia="fr-FR"/>
        </w:rPr>
        <w:t xml:space="preserve">The </w:t>
      </w:r>
      <w:r w:rsidRPr="00813E85">
        <w:rPr>
          <w:rFonts w:ascii="Verdana" w:hAnsi="Verdana"/>
          <w:b/>
          <w:sz w:val="17"/>
          <w:szCs w:val="17"/>
          <w:lang w:val="en-GB" w:eastAsia="fr-FR"/>
        </w:rPr>
        <w:t>European Network of Councils for the Judiciary</w:t>
      </w:r>
      <w:r w:rsidRPr="004574D7">
        <w:rPr>
          <w:rFonts w:ascii="Verdana" w:hAnsi="Verdana"/>
          <w:sz w:val="17"/>
          <w:szCs w:val="17"/>
          <w:lang w:val="en-GB" w:eastAsia="fr-FR"/>
        </w:rPr>
        <w:t xml:space="preserve">, </w:t>
      </w:r>
      <w:r>
        <w:rPr>
          <w:rFonts w:ascii="Verdana" w:hAnsi="Verdana"/>
          <w:sz w:val="17"/>
          <w:szCs w:val="17"/>
          <w:lang w:val="en-GB" w:eastAsia="fr-FR"/>
        </w:rPr>
        <w:t>in its 2013 “Sofia Declaration on Judicial Independence and Accountability”, stated: “</w:t>
      </w:r>
      <w:r w:rsidRPr="00813E85">
        <w:rPr>
          <w:rFonts w:ascii="Verdana" w:hAnsi="Verdana"/>
          <w:sz w:val="17"/>
          <w:szCs w:val="17"/>
          <w:lang w:val="en-GB" w:eastAsia="fr-FR"/>
        </w:rPr>
        <w:t>The</w:t>
      </w:r>
      <w:r>
        <w:rPr>
          <w:rFonts w:ascii="Verdana" w:hAnsi="Verdana"/>
          <w:sz w:val="17"/>
          <w:szCs w:val="17"/>
          <w:lang w:val="en-GB" w:eastAsia="fr-FR"/>
        </w:rPr>
        <w:t xml:space="preserve"> </w:t>
      </w:r>
      <w:r w:rsidRPr="00813E85">
        <w:rPr>
          <w:rFonts w:ascii="Verdana" w:hAnsi="Verdana"/>
          <w:sz w:val="17"/>
          <w:szCs w:val="17"/>
          <w:lang w:val="en-GB" w:eastAsia="fr-FR"/>
        </w:rPr>
        <w:t>prudent</w:t>
      </w:r>
      <w:r>
        <w:rPr>
          <w:rFonts w:ascii="Verdana" w:hAnsi="Verdana"/>
          <w:sz w:val="17"/>
          <w:szCs w:val="17"/>
          <w:lang w:val="en-GB" w:eastAsia="fr-FR"/>
        </w:rPr>
        <w:t xml:space="preserve"> </w:t>
      </w:r>
      <w:r w:rsidRPr="00813E85">
        <w:rPr>
          <w:rFonts w:ascii="Verdana" w:hAnsi="Verdana"/>
          <w:sz w:val="17"/>
          <w:szCs w:val="17"/>
          <w:lang w:val="en-GB" w:eastAsia="fr-FR"/>
        </w:rPr>
        <w:t>convention</w:t>
      </w:r>
      <w:r>
        <w:rPr>
          <w:rFonts w:ascii="Verdana" w:hAnsi="Verdana"/>
          <w:sz w:val="17"/>
          <w:szCs w:val="17"/>
          <w:lang w:val="en-GB" w:eastAsia="fr-FR"/>
        </w:rPr>
        <w:t xml:space="preserve"> </w:t>
      </w:r>
      <w:r w:rsidRPr="00813E85">
        <w:rPr>
          <w:rFonts w:ascii="Verdana" w:hAnsi="Verdana"/>
          <w:sz w:val="17"/>
          <w:szCs w:val="17"/>
          <w:lang w:val="en-GB" w:eastAsia="fr-FR"/>
        </w:rPr>
        <w:t>that</w:t>
      </w:r>
      <w:r>
        <w:rPr>
          <w:rFonts w:ascii="Verdana" w:hAnsi="Verdana"/>
          <w:sz w:val="17"/>
          <w:szCs w:val="17"/>
          <w:lang w:val="en-GB" w:eastAsia="fr-FR"/>
        </w:rPr>
        <w:t xml:space="preserve"> </w:t>
      </w:r>
      <w:r w:rsidRPr="00813E85">
        <w:rPr>
          <w:rFonts w:ascii="Verdana" w:hAnsi="Verdana"/>
          <w:sz w:val="17"/>
          <w:szCs w:val="17"/>
          <w:lang w:val="en-GB" w:eastAsia="fr-FR"/>
        </w:rPr>
        <w:t>judges</w:t>
      </w:r>
      <w:r>
        <w:rPr>
          <w:rFonts w:ascii="Verdana" w:hAnsi="Verdana"/>
          <w:sz w:val="17"/>
          <w:szCs w:val="17"/>
          <w:lang w:val="en-GB" w:eastAsia="fr-FR"/>
        </w:rPr>
        <w:t xml:space="preserve"> </w:t>
      </w:r>
      <w:r w:rsidRPr="00813E85">
        <w:rPr>
          <w:rFonts w:ascii="Verdana" w:hAnsi="Verdana"/>
          <w:sz w:val="17"/>
          <w:szCs w:val="17"/>
          <w:lang w:val="en-GB" w:eastAsia="fr-FR"/>
        </w:rPr>
        <w:t>should</w:t>
      </w:r>
      <w:r>
        <w:rPr>
          <w:rFonts w:ascii="Verdana" w:hAnsi="Verdana"/>
          <w:sz w:val="17"/>
          <w:szCs w:val="17"/>
          <w:lang w:val="en-GB" w:eastAsia="fr-FR"/>
        </w:rPr>
        <w:t xml:space="preserve"> </w:t>
      </w:r>
      <w:r w:rsidRPr="00813E85">
        <w:rPr>
          <w:rFonts w:ascii="Verdana" w:hAnsi="Verdana"/>
          <w:sz w:val="17"/>
          <w:szCs w:val="17"/>
          <w:lang w:val="en-GB" w:eastAsia="fr-FR"/>
        </w:rPr>
        <w:t>remain</w:t>
      </w:r>
      <w:r>
        <w:rPr>
          <w:rFonts w:ascii="Verdana" w:hAnsi="Verdana"/>
          <w:sz w:val="17"/>
          <w:szCs w:val="17"/>
          <w:lang w:val="en-GB" w:eastAsia="fr-FR"/>
        </w:rPr>
        <w:t xml:space="preserve"> </w:t>
      </w:r>
      <w:r w:rsidRPr="00813E85">
        <w:rPr>
          <w:rFonts w:ascii="Verdana" w:hAnsi="Verdana"/>
          <w:sz w:val="17"/>
          <w:szCs w:val="17"/>
          <w:lang w:val="en-GB" w:eastAsia="fr-FR"/>
        </w:rPr>
        <w:t>silent</w:t>
      </w:r>
      <w:r>
        <w:rPr>
          <w:rFonts w:ascii="Verdana" w:hAnsi="Verdana"/>
          <w:sz w:val="17"/>
          <w:szCs w:val="17"/>
          <w:lang w:val="en-GB" w:eastAsia="fr-FR"/>
        </w:rPr>
        <w:t xml:space="preserve"> </w:t>
      </w:r>
      <w:r w:rsidRPr="00813E85">
        <w:rPr>
          <w:rFonts w:ascii="Verdana" w:hAnsi="Verdana"/>
          <w:sz w:val="17"/>
          <w:szCs w:val="17"/>
          <w:lang w:val="en-GB" w:eastAsia="fr-FR"/>
        </w:rPr>
        <w:t>on</w:t>
      </w:r>
      <w:r>
        <w:rPr>
          <w:rFonts w:ascii="Verdana" w:hAnsi="Verdana"/>
          <w:sz w:val="17"/>
          <w:szCs w:val="17"/>
          <w:lang w:val="en-GB" w:eastAsia="fr-FR"/>
        </w:rPr>
        <w:t xml:space="preserve"> </w:t>
      </w:r>
      <w:r w:rsidRPr="00813E85">
        <w:rPr>
          <w:rFonts w:ascii="Verdana" w:hAnsi="Verdana"/>
          <w:sz w:val="17"/>
          <w:szCs w:val="17"/>
          <w:lang w:val="en-GB" w:eastAsia="fr-FR"/>
        </w:rPr>
        <w:t>matters</w:t>
      </w:r>
      <w:r>
        <w:rPr>
          <w:rFonts w:ascii="Verdana" w:hAnsi="Verdana"/>
          <w:sz w:val="17"/>
          <w:szCs w:val="17"/>
          <w:lang w:val="en-GB" w:eastAsia="fr-FR"/>
        </w:rPr>
        <w:t xml:space="preserve"> </w:t>
      </w:r>
      <w:r w:rsidRPr="00813E85">
        <w:rPr>
          <w:rFonts w:ascii="Verdana" w:hAnsi="Verdana"/>
          <w:sz w:val="17"/>
          <w:szCs w:val="17"/>
          <w:lang w:val="en-GB" w:eastAsia="fr-FR"/>
        </w:rPr>
        <w:t>of political</w:t>
      </w:r>
      <w:r>
        <w:rPr>
          <w:rFonts w:ascii="Verdana" w:hAnsi="Verdana"/>
          <w:sz w:val="17"/>
          <w:szCs w:val="17"/>
          <w:lang w:val="en-GB" w:eastAsia="fr-FR"/>
        </w:rPr>
        <w:t xml:space="preserve"> </w:t>
      </w:r>
      <w:r w:rsidRPr="00813E85">
        <w:rPr>
          <w:rFonts w:ascii="Verdana" w:hAnsi="Verdana"/>
          <w:sz w:val="17"/>
          <w:szCs w:val="17"/>
          <w:lang w:val="en-GB" w:eastAsia="fr-FR"/>
        </w:rPr>
        <w:t>controversy</w:t>
      </w:r>
      <w:r>
        <w:rPr>
          <w:rFonts w:ascii="Verdana" w:hAnsi="Verdana"/>
          <w:sz w:val="17"/>
          <w:szCs w:val="17"/>
          <w:lang w:val="en-GB" w:eastAsia="fr-FR"/>
        </w:rPr>
        <w:t xml:space="preserve"> </w:t>
      </w:r>
      <w:r w:rsidRPr="00813E85">
        <w:rPr>
          <w:rFonts w:ascii="Verdana" w:hAnsi="Verdana"/>
          <w:sz w:val="17"/>
          <w:szCs w:val="17"/>
          <w:lang w:val="en-GB" w:eastAsia="fr-FR"/>
        </w:rPr>
        <w:t>should</w:t>
      </w:r>
      <w:r>
        <w:rPr>
          <w:rFonts w:ascii="Verdana" w:hAnsi="Verdana"/>
          <w:sz w:val="17"/>
          <w:szCs w:val="17"/>
          <w:lang w:val="en-GB" w:eastAsia="fr-FR"/>
        </w:rPr>
        <w:t xml:space="preserve"> </w:t>
      </w:r>
      <w:r w:rsidRPr="00813E85">
        <w:rPr>
          <w:rFonts w:ascii="Verdana" w:hAnsi="Verdana"/>
          <w:sz w:val="17"/>
          <w:szCs w:val="17"/>
          <w:lang w:val="en-GB" w:eastAsia="fr-FR"/>
        </w:rPr>
        <w:t>not</w:t>
      </w:r>
      <w:r>
        <w:rPr>
          <w:rFonts w:ascii="Verdana" w:hAnsi="Verdana"/>
          <w:sz w:val="17"/>
          <w:szCs w:val="17"/>
          <w:lang w:val="en-GB" w:eastAsia="fr-FR"/>
        </w:rPr>
        <w:t xml:space="preserve"> </w:t>
      </w:r>
      <w:r w:rsidRPr="00813E85">
        <w:rPr>
          <w:rFonts w:ascii="Verdana" w:hAnsi="Verdana"/>
          <w:sz w:val="17"/>
          <w:szCs w:val="17"/>
          <w:lang w:val="en-GB" w:eastAsia="fr-FR"/>
        </w:rPr>
        <w:t>apply</w:t>
      </w:r>
      <w:r>
        <w:rPr>
          <w:rFonts w:ascii="Verdana" w:hAnsi="Verdana"/>
          <w:sz w:val="17"/>
          <w:szCs w:val="17"/>
          <w:lang w:val="en-GB" w:eastAsia="fr-FR"/>
        </w:rPr>
        <w:t xml:space="preserve"> </w:t>
      </w:r>
      <w:r w:rsidRPr="00813E85">
        <w:rPr>
          <w:rFonts w:ascii="Verdana" w:hAnsi="Verdana"/>
          <w:sz w:val="17"/>
          <w:szCs w:val="17"/>
          <w:lang w:val="en-GB" w:eastAsia="fr-FR"/>
        </w:rPr>
        <w:t>when</w:t>
      </w:r>
      <w:r>
        <w:rPr>
          <w:rFonts w:ascii="Verdana" w:hAnsi="Verdana"/>
          <w:sz w:val="17"/>
          <w:szCs w:val="17"/>
          <w:lang w:val="en-GB" w:eastAsia="fr-FR"/>
        </w:rPr>
        <w:t xml:space="preserve"> </w:t>
      </w:r>
      <w:r w:rsidRPr="00813E85">
        <w:rPr>
          <w:rFonts w:ascii="Verdana" w:hAnsi="Verdana"/>
          <w:sz w:val="17"/>
          <w:szCs w:val="17"/>
          <w:lang w:val="en-GB" w:eastAsia="fr-FR"/>
        </w:rPr>
        <w:t>the</w:t>
      </w:r>
      <w:r>
        <w:rPr>
          <w:rFonts w:ascii="Verdana" w:hAnsi="Verdana"/>
          <w:sz w:val="17"/>
          <w:szCs w:val="17"/>
          <w:lang w:val="en-GB" w:eastAsia="fr-FR"/>
        </w:rPr>
        <w:t xml:space="preserve"> </w:t>
      </w:r>
      <w:r w:rsidRPr="00813E85">
        <w:rPr>
          <w:rFonts w:ascii="Verdana" w:hAnsi="Verdana"/>
          <w:sz w:val="17"/>
          <w:szCs w:val="17"/>
          <w:lang w:val="en-GB" w:eastAsia="fr-FR"/>
        </w:rPr>
        <w:t>integrity</w:t>
      </w:r>
      <w:r>
        <w:rPr>
          <w:rFonts w:ascii="Verdana" w:hAnsi="Verdana"/>
          <w:sz w:val="17"/>
          <w:szCs w:val="17"/>
          <w:lang w:val="en-GB" w:eastAsia="fr-FR"/>
        </w:rPr>
        <w:t xml:space="preserve"> </w:t>
      </w:r>
      <w:r w:rsidRPr="00813E85">
        <w:rPr>
          <w:rFonts w:ascii="Verdana" w:hAnsi="Verdana"/>
          <w:sz w:val="17"/>
          <w:szCs w:val="17"/>
          <w:lang w:val="en-GB" w:eastAsia="fr-FR"/>
        </w:rPr>
        <w:t>and independence</w:t>
      </w:r>
      <w:r>
        <w:rPr>
          <w:rFonts w:ascii="Verdana" w:hAnsi="Verdana"/>
          <w:sz w:val="17"/>
          <w:szCs w:val="17"/>
          <w:lang w:val="en-GB" w:eastAsia="fr-FR"/>
        </w:rPr>
        <w:t xml:space="preserve"> </w:t>
      </w:r>
      <w:r w:rsidRPr="00813E85">
        <w:rPr>
          <w:rFonts w:ascii="Verdana" w:hAnsi="Verdana"/>
          <w:sz w:val="17"/>
          <w:szCs w:val="17"/>
          <w:lang w:val="en-GB" w:eastAsia="fr-FR"/>
        </w:rPr>
        <w:t>of</w:t>
      </w:r>
      <w:r>
        <w:rPr>
          <w:rFonts w:ascii="Verdana" w:hAnsi="Verdana"/>
          <w:sz w:val="17"/>
          <w:szCs w:val="17"/>
          <w:lang w:val="en-GB" w:eastAsia="fr-FR"/>
        </w:rPr>
        <w:t xml:space="preserve"> </w:t>
      </w:r>
      <w:r w:rsidRPr="00813E85">
        <w:rPr>
          <w:rFonts w:ascii="Verdana" w:hAnsi="Verdana"/>
          <w:sz w:val="17"/>
          <w:szCs w:val="17"/>
          <w:lang w:val="en-GB" w:eastAsia="fr-FR"/>
        </w:rPr>
        <w:t>the</w:t>
      </w:r>
      <w:r>
        <w:rPr>
          <w:rFonts w:ascii="Verdana" w:hAnsi="Verdana"/>
          <w:sz w:val="17"/>
          <w:szCs w:val="17"/>
          <w:lang w:val="en-GB" w:eastAsia="fr-FR"/>
        </w:rPr>
        <w:t xml:space="preserve"> </w:t>
      </w:r>
      <w:r w:rsidRPr="00813E85">
        <w:rPr>
          <w:rFonts w:ascii="Verdana" w:hAnsi="Verdana"/>
          <w:sz w:val="17"/>
          <w:szCs w:val="17"/>
          <w:lang w:val="en-GB" w:eastAsia="fr-FR"/>
        </w:rPr>
        <w:t>judiciary</w:t>
      </w:r>
      <w:r>
        <w:rPr>
          <w:rFonts w:ascii="Verdana" w:hAnsi="Verdana"/>
          <w:sz w:val="17"/>
          <w:szCs w:val="17"/>
          <w:lang w:val="en-GB" w:eastAsia="fr-FR"/>
        </w:rPr>
        <w:t xml:space="preserve"> </w:t>
      </w:r>
      <w:r w:rsidRPr="00813E85">
        <w:rPr>
          <w:rFonts w:ascii="Verdana" w:hAnsi="Verdana"/>
          <w:sz w:val="17"/>
          <w:szCs w:val="17"/>
          <w:lang w:val="en-GB" w:eastAsia="fr-FR"/>
        </w:rPr>
        <w:t>is</w:t>
      </w:r>
      <w:r>
        <w:rPr>
          <w:rFonts w:ascii="Verdana" w:hAnsi="Verdana"/>
          <w:sz w:val="17"/>
          <w:szCs w:val="17"/>
          <w:lang w:val="en-GB" w:eastAsia="fr-FR"/>
        </w:rPr>
        <w:t xml:space="preserve"> </w:t>
      </w:r>
      <w:r w:rsidRPr="00813E85">
        <w:rPr>
          <w:rFonts w:ascii="Verdana" w:hAnsi="Verdana"/>
          <w:sz w:val="17"/>
          <w:szCs w:val="17"/>
          <w:lang w:val="en-GB" w:eastAsia="fr-FR"/>
        </w:rPr>
        <w:t>threatened.</w:t>
      </w:r>
      <w:r>
        <w:rPr>
          <w:rFonts w:ascii="Verdana" w:hAnsi="Verdana"/>
          <w:sz w:val="17"/>
          <w:szCs w:val="17"/>
          <w:lang w:val="en-GB" w:eastAsia="fr-FR"/>
        </w:rPr>
        <w:t xml:space="preserve"> </w:t>
      </w:r>
      <w:r w:rsidRPr="00813E85">
        <w:rPr>
          <w:rFonts w:ascii="Verdana" w:hAnsi="Verdana"/>
          <w:sz w:val="17"/>
          <w:szCs w:val="17"/>
          <w:lang w:val="en-GB" w:eastAsia="fr-FR"/>
        </w:rPr>
        <w:t>There</w:t>
      </w:r>
      <w:r>
        <w:rPr>
          <w:rFonts w:ascii="Verdana" w:hAnsi="Verdana"/>
          <w:sz w:val="17"/>
          <w:szCs w:val="17"/>
          <w:lang w:val="en-GB" w:eastAsia="fr-FR"/>
        </w:rPr>
        <w:t xml:space="preserve"> </w:t>
      </w:r>
      <w:r w:rsidRPr="00813E85">
        <w:rPr>
          <w:rFonts w:ascii="Verdana" w:hAnsi="Verdana"/>
          <w:sz w:val="17"/>
          <w:szCs w:val="17"/>
          <w:lang w:val="en-GB" w:eastAsia="fr-FR"/>
        </w:rPr>
        <w:t>is</w:t>
      </w:r>
      <w:r>
        <w:rPr>
          <w:rFonts w:ascii="Verdana" w:hAnsi="Verdana"/>
          <w:sz w:val="17"/>
          <w:szCs w:val="17"/>
          <w:lang w:val="en-GB" w:eastAsia="fr-FR"/>
        </w:rPr>
        <w:t xml:space="preserve"> </w:t>
      </w:r>
      <w:r w:rsidRPr="00813E85">
        <w:rPr>
          <w:rFonts w:ascii="Verdana" w:hAnsi="Verdana"/>
          <w:sz w:val="17"/>
          <w:szCs w:val="17"/>
          <w:lang w:val="en-GB" w:eastAsia="fr-FR"/>
        </w:rPr>
        <w:t>now</w:t>
      </w:r>
      <w:r>
        <w:rPr>
          <w:rFonts w:ascii="Verdana" w:hAnsi="Verdana"/>
          <w:sz w:val="17"/>
          <w:szCs w:val="17"/>
          <w:lang w:val="en-GB" w:eastAsia="fr-FR"/>
        </w:rPr>
        <w:t xml:space="preserve"> </w:t>
      </w:r>
      <w:r w:rsidRPr="00813E85">
        <w:rPr>
          <w:rFonts w:ascii="Verdana" w:hAnsi="Verdana"/>
          <w:sz w:val="17"/>
          <w:szCs w:val="17"/>
          <w:lang w:val="en-GB" w:eastAsia="fr-FR"/>
        </w:rPr>
        <w:t>a</w:t>
      </w:r>
      <w:r>
        <w:rPr>
          <w:rFonts w:ascii="Verdana" w:hAnsi="Verdana"/>
          <w:sz w:val="17"/>
          <w:szCs w:val="17"/>
          <w:lang w:val="en-GB" w:eastAsia="fr-FR"/>
        </w:rPr>
        <w:t xml:space="preserve"> </w:t>
      </w:r>
      <w:r w:rsidRPr="00813E85">
        <w:rPr>
          <w:rFonts w:ascii="Verdana" w:hAnsi="Verdana"/>
          <w:sz w:val="17"/>
          <w:szCs w:val="17"/>
          <w:lang w:val="en-GB" w:eastAsia="fr-FR"/>
        </w:rPr>
        <w:t>collective duty on the European judiciary to state clearly and cogently its opposition to</w:t>
      </w:r>
      <w:r>
        <w:rPr>
          <w:rFonts w:ascii="Verdana" w:hAnsi="Verdana"/>
          <w:sz w:val="17"/>
          <w:szCs w:val="17"/>
          <w:lang w:val="en-GB" w:eastAsia="fr-FR"/>
        </w:rPr>
        <w:t xml:space="preserve"> </w:t>
      </w:r>
      <w:r w:rsidRPr="00813E85">
        <w:rPr>
          <w:rFonts w:ascii="Verdana" w:hAnsi="Verdana"/>
          <w:sz w:val="17"/>
          <w:szCs w:val="17"/>
          <w:lang w:val="en-GB" w:eastAsia="fr-FR"/>
        </w:rPr>
        <w:t>proposals</w:t>
      </w:r>
      <w:r>
        <w:rPr>
          <w:rFonts w:ascii="Verdana" w:hAnsi="Verdana"/>
          <w:sz w:val="17"/>
          <w:szCs w:val="17"/>
          <w:lang w:val="en-GB" w:eastAsia="fr-FR"/>
        </w:rPr>
        <w:t xml:space="preserve"> </w:t>
      </w:r>
      <w:r w:rsidRPr="00813E85">
        <w:rPr>
          <w:rFonts w:ascii="Verdana" w:hAnsi="Verdana"/>
          <w:sz w:val="17"/>
          <w:szCs w:val="17"/>
          <w:lang w:val="en-GB" w:eastAsia="fr-FR"/>
        </w:rPr>
        <w:t>from</w:t>
      </w:r>
      <w:r>
        <w:rPr>
          <w:rFonts w:ascii="Verdana" w:hAnsi="Verdana"/>
          <w:sz w:val="17"/>
          <w:szCs w:val="17"/>
          <w:lang w:val="en-GB" w:eastAsia="fr-FR"/>
        </w:rPr>
        <w:t xml:space="preserve"> </w:t>
      </w:r>
      <w:r w:rsidRPr="00813E85">
        <w:rPr>
          <w:rFonts w:ascii="Verdana" w:hAnsi="Verdana"/>
          <w:sz w:val="17"/>
          <w:szCs w:val="17"/>
          <w:lang w:val="en-GB" w:eastAsia="fr-FR"/>
        </w:rPr>
        <w:t>government</w:t>
      </w:r>
      <w:r>
        <w:rPr>
          <w:rFonts w:ascii="Verdana" w:hAnsi="Verdana"/>
          <w:sz w:val="17"/>
          <w:szCs w:val="17"/>
          <w:lang w:val="en-GB" w:eastAsia="fr-FR"/>
        </w:rPr>
        <w:t xml:space="preserve"> </w:t>
      </w:r>
      <w:r w:rsidRPr="00813E85">
        <w:rPr>
          <w:rFonts w:ascii="Verdana" w:hAnsi="Verdana"/>
          <w:sz w:val="17"/>
          <w:szCs w:val="17"/>
          <w:lang w:val="en-GB" w:eastAsia="fr-FR"/>
        </w:rPr>
        <w:t>which</w:t>
      </w:r>
      <w:r>
        <w:rPr>
          <w:rFonts w:ascii="Verdana" w:hAnsi="Verdana"/>
          <w:sz w:val="17"/>
          <w:szCs w:val="17"/>
          <w:lang w:val="en-GB" w:eastAsia="fr-FR"/>
        </w:rPr>
        <w:t xml:space="preserve"> </w:t>
      </w:r>
      <w:r w:rsidRPr="00813E85">
        <w:rPr>
          <w:rFonts w:ascii="Verdana" w:hAnsi="Verdana"/>
          <w:sz w:val="17"/>
          <w:szCs w:val="17"/>
          <w:lang w:val="en-GB" w:eastAsia="fr-FR"/>
        </w:rPr>
        <w:t>tend</w:t>
      </w:r>
      <w:r>
        <w:rPr>
          <w:rFonts w:ascii="Verdana" w:hAnsi="Verdana"/>
          <w:sz w:val="17"/>
          <w:szCs w:val="17"/>
          <w:lang w:val="en-GB" w:eastAsia="fr-FR"/>
        </w:rPr>
        <w:t xml:space="preserve"> </w:t>
      </w:r>
      <w:r w:rsidRPr="00813E85">
        <w:rPr>
          <w:rFonts w:ascii="Verdana" w:hAnsi="Verdana"/>
          <w:sz w:val="17"/>
          <w:szCs w:val="17"/>
          <w:lang w:val="en-GB" w:eastAsia="fr-FR"/>
        </w:rPr>
        <w:t>to</w:t>
      </w:r>
      <w:r>
        <w:rPr>
          <w:rFonts w:ascii="Verdana" w:hAnsi="Verdana"/>
          <w:sz w:val="17"/>
          <w:szCs w:val="17"/>
          <w:lang w:val="en-GB" w:eastAsia="fr-FR"/>
        </w:rPr>
        <w:t xml:space="preserve"> </w:t>
      </w:r>
      <w:r w:rsidRPr="00813E85">
        <w:rPr>
          <w:rFonts w:ascii="Verdana" w:hAnsi="Verdana"/>
          <w:sz w:val="17"/>
          <w:szCs w:val="17"/>
          <w:lang w:val="en-GB" w:eastAsia="fr-FR"/>
        </w:rPr>
        <w:t>undermine</w:t>
      </w:r>
      <w:r>
        <w:rPr>
          <w:rFonts w:ascii="Verdana" w:hAnsi="Verdana"/>
          <w:sz w:val="17"/>
          <w:szCs w:val="17"/>
          <w:lang w:val="en-GB" w:eastAsia="fr-FR"/>
        </w:rPr>
        <w:t xml:space="preserve"> </w:t>
      </w:r>
      <w:r w:rsidRPr="00813E85">
        <w:rPr>
          <w:rFonts w:ascii="Verdana" w:hAnsi="Verdana"/>
          <w:sz w:val="17"/>
          <w:szCs w:val="17"/>
          <w:lang w:val="en-GB" w:eastAsia="fr-FR"/>
        </w:rPr>
        <w:t>the independence</w:t>
      </w:r>
      <w:r>
        <w:rPr>
          <w:rFonts w:ascii="Verdana" w:hAnsi="Verdana"/>
          <w:sz w:val="17"/>
          <w:szCs w:val="17"/>
          <w:lang w:val="en-GB" w:eastAsia="fr-FR"/>
        </w:rPr>
        <w:t xml:space="preserve"> </w:t>
      </w:r>
      <w:r w:rsidRPr="00813E85">
        <w:rPr>
          <w:rFonts w:ascii="Verdana" w:hAnsi="Verdana"/>
          <w:sz w:val="17"/>
          <w:szCs w:val="17"/>
          <w:lang w:val="en-GB" w:eastAsia="fr-FR"/>
        </w:rPr>
        <w:t>of</w:t>
      </w:r>
      <w:r>
        <w:rPr>
          <w:rFonts w:ascii="Verdana" w:hAnsi="Verdana"/>
          <w:sz w:val="17"/>
          <w:szCs w:val="17"/>
          <w:lang w:val="en-GB" w:eastAsia="fr-FR"/>
        </w:rPr>
        <w:t xml:space="preserve"> </w:t>
      </w:r>
      <w:r w:rsidRPr="00813E85">
        <w:rPr>
          <w:rFonts w:ascii="Verdana" w:hAnsi="Verdana"/>
          <w:sz w:val="17"/>
          <w:szCs w:val="17"/>
          <w:lang w:val="en-GB" w:eastAsia="fr-FR"/>
        </w:rPr>
        <w:t>individual</w:t>
      </w:r>
      <w:r>
        <w:rPr>
          <w:rFonts w:ascii="Verdana" w:hAnsi="Verdana"/>
          <w:sz w:val="17"/>
          <w:szCs w:val="17"/>
          <w:lang w:val="en-GB" w:eastAsia="fr-FR"/>
        </w:rPr>
        <w:t xml:space="preserve"> </w:t>
      </w:r>
      <w:r w:rsidRPr="00813E85">
        <w:rPr>
          <w:rFonts w:ascii="Verdana" w:hAnsi="Verdana"/>
          <w:sz w:val="17"/>
          <w:szCs w:val="17"/>
          <w:lang w:val="en-GB" w:eastAsia="fr-FR"/>
        </w:rPr>
        <w:t>judges</w:t>
      </w:r>
      <w:r>
        <w:rPr>
          <w:rFonts w:ascii="Verdana" w:hAnsi="Verdana"/>
          <w:sz w:val="17"/>
          <w:szCs w:val="17"/>
          <w:lang w:val="en-GB" w:eastAsia="fr-FR"/>
        </w:rPr>
        <w:t xml:space="preserve"> </w:t>
      </w:r>
      <w:r w:rsidRPr="00813E85">
        <w:rPr>
          <w:rFonts w:ascii="Verdana" w:hAnsi="Verdana"/>
          <w:sz w:val="17"/>
          <w:szCs w:val="17"/>
          <w:lang w:val="en-GB" w:eastAsia="fr-FR"/>
        </w:rPr>
        <w:t>or</w:t>
      </w:r>
      <w:r>
        <w:rPr>
          <w:rFonts w:ascii="Verdana" w:hAnsi="Verdana"/>
          <w:sz w:val="17"/>
          <w:szCs w:val="17"/>
          <w:lang w:val="en-GB" w:eastAsia="fr-FR"/>
        </w:rPr>
        <w:t xml:space="preserve"> </w:t>
      </w:r>
      <w:r w:rsidRPr="00813E85">
        <w:rPr>
          <w:rFonts w:ascii="Verdana" w:hAnsi="Verdana"/>
          <w:sz w:val="17"/>
          <w:szCs w:val="17"/>
          <w:lang w:val="en-GB" w:eastAsia="fr-FR"/>
        </w:rPr>
        <w:t>Councils</w:t>
      </w:r>
      <w:r>
        <w:rPr>
          <w:rFonts w:ascii="Verdana" w:hAnsi="Verdana"/>
          <w:sz w:val="17"/>
          <w:szCs w:val="17"/>
          <w:lang w:val="en-GB" w:eastAsia="fr-FR"/>
        </w:rPr>
        <w:t xml:space="preserve"> </w:t>
      </w:r>
      <w:r w:rsidRPr="00813E85">
        <w:rPr>
          <w:rFonts w:ascii="Verdana" w:hAnsi="Verdana"/>
          <w:sz w:val="17"/>
          <w:szCs w:val="17"/>
          <w:lang w:val="en-GB" w:eastAsia="fr-FR"/>
        </w:rPr>
        <w:t>for</w:t>
      </w:r>
      <w:r>
        <w:rPr>
          <w:rFonts w:ascii="Verdana" w:hAnsi="Verdana"/>
          <w:sz w:val="17"/>
          <w:szCs w:val="17"/>
          <w:lang w:val="en-GB" w:eastAsia="fr-FR"/>
        </w:rPr>
        <w:t xml:space="preserve"> </w:t>
      </w:r>
      <w:r w:rsidRPr="00813E85">
        <w:rPr>
          <w:rFonts w:ascii="Verdana" w:hAnsi="Verdana"/>
          <w:sz w:val="17"/>
          <w:szCs w:val="17"/>
          <w:lang w:val="en-GB" w:eastAsia="fr-FR"/>
        </w:rPr>
        <w:t>the</w:t>
      </w:r>
      <w:r>
        <w:rPr>
          <w:rFonts w:ascii="Verdana" w:hAnsi="Verdana"/>
          <w:sz w:val="17"/>
          <w:szCs w:val="17"/>
          <w:lang w:val="en-GB" w:eastAsia="fr-FR"/>
        </w:rPr>
        <w:t xml:space="preserve"> </w:t>
      </w:r>
      <w:r w:rsidRPr="00813E85">
        <w:rPr>
          <w:rFonts w:ascii="Verdana" w:hAnsi="Verdana"/>
          <w:sz w:val="17"/>
          <w:szCs w:val="17"/>
          <w:lang w:val="en-GB" w:eastAsia="fr-FR"/>
        </w:rPr>
        <w:t>Judiciary.</w:t>
      </w:r>
      <w:r>
        <w:rPr>
          <w:rFonts w:ascii="Verdana" w:hAnsi="Verdana"/>
          <w:sz w:val="17"/>
          <w:szCs w:val="17"/>
          <w:lang w:val="en-GB" w:eastAsia="fr-FR"/>
        </w:rPr>
        <w:t>”</w:t>
      </w:r>
      <w:r>
        <w:rPr>
          <w:rStyle w:val="FootnoteReference"/>
          <w:rFonts w:ascii="Verdana" w:hAnsi="Verdana"/>
          <w:sz w:val="17"/>
          <w:szCs w:val="17"/>
          <w:lang w:val="en-GB" w:eastAsia="fr-FR"/>
        </w:rPr>
        <w:footnoteReference w:id="41"/>
      </w:r>
    </w:p>
    <w:p w14:paraId="4CD1E023" w14:textId="77777777" w:rsidR="00125275" w:rsidRDefault="00125275" w:rsidP="003D692A">
      <w:pPr>
        <w:tabs>
          <w:tab w:val="left" w:pos="0"/>
          <w:tab w:val="left" w:pos="567"/>
          <w:tab w:val="left" w:pos="1134"/>
          <w:tab w:val="left" w:pos="6379"/>
        </w:tabs>
        <w:spacing w:line="255" w:lineRule="exact"/>
        <w:rPr>
          <w:rFonts w:ascii="Verdana" w:hAnsi="Verdana"/>
          <w:sz w:val="17"/>
          <w:szCs w:val="17"/>
          <w:lang w:val="en-GB" w:eastAsia="fr-FR"/>
        </w:rPr>
      </w:pPr>
    </w:p>
    <w:p w14:paraId="0D202454" w14:textId="77777777" w:rsidR="001C4040" w:rsidRDefault="001C4040" w:rsidP="003D692A">
      <w:pPr>
        <w:tabs>
          <w:tab w:val="left" w:pos="0"/>
          <w:tab w:val="left" w:pos="567"/>
          <w:tab w:val="left" w:pos="1134"/>
          <w:tab w:val="left" w:pos="6379"/>
        </w:tabs>
        <w:spacing w:line="255" w:lineRule="exact"/>
        <w:rPr>
          <w:rFonts w:ascii="Verdana" w:hAnsi="Verdana"/>
          <w:sz w:val="17"/>
          <w:szCs w:val="17"/>
          <w:lang w:val="en-GB" w:eastAsia="fr-FR"/>
        </w:rPr>
      </w:pPr>
    </w:p>
    <w:p w14:paraId="3E3E99D1" w14:textId="5AC2555C" w:rsidR="001C4040" w:rsidRPr="001C4040" w:rsidRDefault="001C4040" w:rsidP="003D692A">
      <w:pPr>
        <w:tabs>
          <w:tab w:val="left" w:pos="0"/>
          <w:tab w:val="left" w:pos="567"/>
          <w:tab w:val="left" w:pos="1134"/>
          <w:tab w:val="left" w:pos="6379"/>
        </w:tabs>
        <w:spacing w:line="255" w:lineRule="exact"/>
        <w:rPr>
          <w:rFonts w:ascii="Verdana" w:hAnsi="Verdana"/>
          <w:sz w:val="17"/>
          <w:szCs w:val="17"/>
          <w:u w:val="single"/>
          <w:lang w:val="en-GB" w:eastAsia="fr-FR"/>
        </w:rPr>
      </w:pPr>
      <w:r>
        <w:rPr>
          <w:rFonts w:ascii="Verdana" w:hAnsi="Verdana"/>
          <w:sz w:val="17"/>
          <w:szCs w:val="17"/>
          <w:u w:val="single"/>
          <w:lang w:val="en-GB" w:eastAsia="fr-FR"/>
        </w:rPr>
        <w:lastRenderedPageBreak/>
        <w:t>Inter-American System:</w:t>
      </w:r>
      <w:r w:rsidR="005F6C79">
        <w:rPr>
          <w:rStyle w:val="FootnoteReference"/>
          <w:rFonts w:ascii="Verdana" w:hAnsi="Verdana"/>
          <w:sz w:val="17"/>
          <w:szCs w:val="17"/>
          <w:u w:val="single"/>
          <w:lang w:val="en-GB" w:eastAsia="fr-FR"/>
        </w:rPr>
        <w:footnoteReference w:id="42"/>
      </w:r>
    </w:p>
    <w:p w14:paraId="029FC32B" w14:textId="77777777" w:rsidR="001C4040" w:rsidRDefault="001C4040" w:rsidP="003D692A">
      <w:pPr>
        <w:tabs>
          <w:tab w:val="left" w:pos="0"/>
          <w:tab w:val="left" w:pos="567"/>
          <w:tab w:val="left" w:pos="1134"/>
          <w:tab w:val="left" w:pos="6379"/>
        </w:tabs>
        <w:spacing w:line="255" w:lineRule="exact"/>
        <w:rPr>
          <w:rFonts w:ascii="Verdana" w:hAnsi="Verdana"/>
          <w:sz w:val="17"/>
          <w:szCs w:val="17"/>
          <w:lang w:val="en-GB" w:eastAsia="fr-FR"/>
        </w:rPr>
      </w:pPr>
    </w:p>
    <w:p w14:paraId="4E76EEB5" w14:textId="71D4B6CF" w:rsidR="00CC6706" w:rsidRDefault="004356FE"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w:t>
      </w:r>
      <w:r w:rsidRPr="002A1613">
        <w:rPr>
          <w:rFonts w:ascii="Verdana" w:hAnsi="Verdana"/>
          <w:b/>
          <w:sz w:val="17"/>
          <w:szCs w:val="17"/>
          <w:lang w:val="en-GB" w:eastAsia="fr-FR"/>
        </w:rPr>
        <w:t>Inter-American Court of Human Rights</w:t>
      </w:r>
      <w:r>
        <w:rPr>
          <w:rFonts w:ascii="Verdana" w:hAnsi="Verdana"/>
          <w:sz w:val="17"/>
          <w:szCs w:val="17"/>
          <w:lang w:val="en-GB" w:eastAsia="fr-FR"/>
        </w:rPr>
        <w:t xml:space="preserve">, in its 2016 judgment in the case of the </w:t>
      </w:r>
      <w:r w:rsidRPr="002A1613">
        <w:rPr>
          <w:rFonts w:ascii="Verdana" w:hAnsi="Verdana"/>
          <w:b/>
          <w:i/>
          <w:sz w:val="17"/>
          <w:szCs w:val="17"/>
          <w:lang w:val="en-GB" w:eastAsia="fr-FR"/>
        </w:rPr>
        <w:t>López Lone v Honduras</w:t>
      </w:r>
      <w:r>
        <w:rPr>
          <w:rFonts w:ascii="Verdana" w:hAnsi="Verdana"/>
          <w:i/>
          <w:sz w:val="17"/>
          <w:szCs w:val="17"/>
          <w:lang w:val="en-GB" w:eastAsia="fr-FR"/>
        </w:rPr>
        <w:t>,</w:t>
      </w:r>
      <w:r w:rsidR="0067563B">
        <w:rPr>
          <w:rStyle w:val="FootnoteReference"/>
          <w:rFonts w:ascii="Verdana" w:hAnsi="Verdana"/>
          <w:sz w:val="17"/>
          <w:szCs w:val="17"/>
          <w:lang w:val="en-GB" w:eastAsia="fr-FR"/>
        </w:rPr>
        <w:footnoteReference w:id="43"/>
      </w:r>
      <w:r>
        <w:rPr>
          <w:rFonts w:ascii="Verdana" w:hAnsi="Verdana"/>
          <w:i/>
          <w:sz w:val="17"/>
          <w:szCs w:val="17"/>
          <w:lang w:val="en-GB" w:eastAsia="fr-FR"/>
        </w:rPr>
        <w:t xml:space="preserve"> </w:t>
      </w:r>
      <w:r w:rsidR="00B03BC7">
        <w:rPr>
          <w:rFonts w:ascii="Verdana" w:hAnsi="Verdana"/>
          <w:sz w:val="17"/>
          <w:szCs w:val="17"/>
          <w:lang w:val="en-GB" w:eastAsia="fr-FR"/>
        </w:rPr>
        <w:t>held the rights</w:t>
      </w:r>
      <w:r w:rsidR="0067563B">
        <w:rPr>
          <w:rFonts w:ascii="Verdana" w:hAnsi="Verdana"/>
          <w:sz w:val="17"/>
          <w:szCs w:val="17"/>
          <w:lang w:val="en-GB" w:eastAsia="fr-FR"/>
        </w:rPr>
        <w:t xml:space="preserve"> of several judges</w:t>
      </w:r>
      <w:r w:rsidR="00B03BC7">
        <w:rPr>
          <w:rFonts w:ascii="Verdana" w:hAnsi="Verdana"/>
          <w:sz w:val="17"/>
          <w:szCs w:val="17"/>
          <w:lang w:val="en-GB" w:eastAsia="fr-FR"/>
        </w:rPr>
        <w:t xml:space="preserve"> to freedom of expression, assembly and association to have been violated, by their</w:t>
      </w:r>
      <w:r w:rsidR="0067563B">
        <w:rPr>
          <w:rFonts w:ascii="Verdana" w:hAnsi="Verdana"/>
          <w:sz w:val="17"/>
          <w:szCs w:val="17"/>
          <w:lang w:val="en-GB" w:eastAsia="fr-FR"/>
        </w:rPr>
        <w:t xml:space="preserve"> dismiss</w:t>
      </w:r>
      <w:r w:rsidR="00B03BC7">
        <w:rPr>
          <w:rFonts w:ascii="Verdana" w:hAnsi="Verdana"/>
          <w:sz w:val="17"/>
          <w:szCs w:val="17"/>
          <w:lang w:val="en-GB" w:eastAsia="fr-FR"/>
        </w:rPr>
        <w:t>al</w:t>
      </w:r>
      <w:r w:rsidR="0067563B">
        <w:rPr>
          <w:rFonts w:ascii="Verdana" w:hAnsi="Verdana"/>
          <w:sz w:val="17"/>
          <w:szCs w:val="17"/>
          <w:lang w:val="en-GB" w:eastAsia="fr-FR"/>
        </w:rPr>
        <w:t xml:space="preserve"> from their </w:t>
      </w:r>
      <w:r w:rsidR="0067563B">
        <w:rPr>
          <w:rFonts w:ascii="Verdana" w:hAnsi="Verdana"/>
          <w:sz w:val="17"/>
          <w:szCs w:val="17"/>
          <w:lang w:val="en-GB" w:eastAsia="fr-FR"/>
        </w:rPr>
        <w:lastRenderedPageBreak/>
        <w:t xml:space="preserve">positions for actions </w:t>
      </w:r>
      <w:r w:rsidR="00A74182">
        <w:rPr>
          <w:rFonts w:ascii="Verdana" w:hAnsi="Verdana"/>
          <w:sz w:val="17"/>
          <w:szCs w:val="17"/>
          <w:lang w:val="en-GB" w:eastAsia="fr-FR"/>
        </w:rPr>
        <w:t>they took to</w:t>
      </w:r>
      <w:r w:rsidR="0067563B" w:rsidRPr="0067563B">
        <w:rPr>
          <w:rFonts w:ascii="Verdana" w:hAnsi="Verdana"/>
          <w:sz w:val="17"/>
          <w:szCs w:val="17"/>
          <w:lang w:val="en-GB" w:eastAsia="fr-FR"/>
        </w:rPr>
        <w:t xml:space="preserve"> protest against </w:t>
      </w:r>
      <w:r w:rsidR="00A74182">
        <w:rPr>
          <w:rFonts w:ascii="Verdana" w:hAnsi="Verdana"/>
          <w:sz w:val="17"/>
          <w:szCs w:val="17"/>
          <w:lang w:val="en-GB" w:eastAsia="fr-FR"/>
        </w:rPr>
        <w:t>a</w:t>
      </w:r>
      <w:r w:rsidR="0067563B" w:rsidRPr="0067563B">
        <w:rPr>
          <w:rFonts w:ascii="Verdana" w:hAnsi="Verdana"/>
          <w:sz w:val="17"/>
          <w:szCs w:val="17"/>
          <w:lang w:val="en-GB" w:eastAsia="fr-FR"/>
        </w:rPr>
        <w:t xml:space="preserve"> </w:t>
      </w:r>
      <w:r w:rsidR="0067563B" w:rsidRPr="00191571">
        <w:rPr>
          <w:rFonts w:ascii="Verdana" w:hAnsi="Verdana"/>
          <w:sz w:val="17"/>
          <w:szCs w:val="17"/>
          <w:lang w:val="en-GB" w:eastAsia="fr-FR"/>
        </w:rPr>
        <w:t>coup d’état</w:t>
      </w:r>
      <w:r w:rsidR="0067563B" w:rsidRPr="0067563B">
        <w:rPr>
          <w:rFonts w:ascii="Verdana" w:hAnsi="Verdana"/>
          <w:sz w:val="17"/>
          <w:szCs w:val="17"/>
          <w:lang w:val="en-GB" w:eastAsia="fr-FR"/>
        </w:rPr>
        <w:t xml:space="preserve"> and in favo</w:t>
      </w:r>
      <w:r w:rsidR="00191571">
        <w:rPr>
          <w:rFonts w:ascii="Verdana" w:hAnsi="Verdana"/>
          <w:sz w:val="17"/>
          <w:szCs w:val="17"/>
          <w:lang w:val="en-GB" w:eastAsia="fr-FR"/>
        </w:rPr>
        <w:t>u</w:t>
      </w:r>
      <w:r w:rsidR="0067563B" w:rsidRPr="0067563B">
        <w:rPr>
          <w:rFonts w:ascii="Verdana" w:hAnsi="Verdana"/>
          <w:sz w:val="17"/>
          <w:szCs w:val="17"/>
          <w:lang w:val="en-GB" w:eastAsia="fr-FR"/>
        </w:rPr>
        <w:t>r of the re-establishment of democracy and the rule of law</w:t>
      </w:r>
      <w:r w:rsidR="00A74182">
        <w:rPr>
          <w:rFonts w:ascii="Verdana" w:hAnsi="Verdana"/>
          <w:sz w:val="17"/>
          <w:szCs w:val="17"/>
          <w:lang w:val="en-GB" w:eastAsia="fr-FR"/>
        </w:rPr>
        <w:t xml:space="preserve"> in Honduras</w:t>
      </w:r>
      <w:r w:rsidR="00B03BC7">
        <w:rPr>
          <w:rFonts w:ascii="Verdana" w:hAnsi="Verdana"/>
          <w:sz w:val="17"/>
          <w:szCs w:val="17"/>
          <w:lang w:val="en-GB" w:eastAsia="fr-FR"/>
        </w:rPr>
        <w:t>. T</w:t>
      </w:r>
      <w:r w:rsidR="00A74182">
        <w:rPr>
          <w:rFonts w:ascii="Verdana" w:hAnsi="Verdana"/>
          <w:sz w:val="17"/>
          <w:szCs w:val="17"/>
          <w:lang w:val="en-GB" w:eastAsia="fr-FR"/>
        </w:rPr>
        <w:t>he actions included:</w:t>
      </w:r>
      <w:r w:rsidR="0067563B" w:rsidRPr="0067563B">
        <w:rPr>
          <w:rFonts w:ascii="Verdana" w:hAnsi="Verdana"/>
          <w:sz w:val="17"/>
          <w:szCs w:val="17"/>
          <w:lang w:val="en-GB" w:eastAsia="fr-FR"/>
        </w:rPr>
        <w:t xml:space="preserve"> taking part in a protest, filing judicial complaints or actions, an opinion </w:t>
      </w:r>
      <w:r w:rsidR="00A74182">
        <w:rPr>
          <w:rFonts w:ascii="Verdana" w:hAnsi="Verdana"/>
          <w:sz w:val="17"/>
          <w:szCs w:val="17"/>
          <w:lang w:val="en-GB" w:eastAsia="fr-FR"/>
        </w:rPr>
        <w:t>stated</w:t>
      </w:r>
      <w:r w:rsidR="0067563B" w:rsidRPr="0067563B">
        <w:rPr>
          <w:rFonts w:ascii="Verdana" w:hAnsi="Verdana"/>
          <w:sz w:val="17"/>
          <w:szCs w:val="17"/>
          <w:lang w:val="en-GB" w:eastAsia="fr-FR"/>
        </w:rPr>
        <w:t xml:space="preserve"> in the context of a university lecture, </w:t>
      </w:r>
      <w:r w:rsidR="00A74182">
        <w:rPr>
          <w:rFonts w:ascii="Verdana" w:hAnsi="Verdana"/>
          <w:sz w:val="17"/>
          <w:szCs w:val="17"/>
          <w:lang w:val="en-GB" w:eastAsia="fr-FR"/>
        </w:rPr>
        <w:t>and</w:t>
      </w:r>
      <w:r w:rsidR="0067563B" w:rsidRPr="0067563B">
        <w:rPr>
          <w:rFonts w:ascii="Verdana" w:hAnsi="Verdana"/>
          <w:sz w:val="17"/>
          <w:szCs w:val="17"/>
          <w:lang w:val="en-GB" w:eastAsia="fr-FR"/>
        </w:rPr>
        <w:t xml:space="preserve"> in conversations with colleagues</w:t>
      </w:r>
      <w:r w:rsidR="00A74182">
        <w:rPr>
          <w:rFonts w:ascii="Verdana" w:hAnsi="Verdana"/>
          <w:sz w:val="17"/>
          <w:szCs w:val="17"/>
          <w:lang w:val="en-GB" w:eastAsia="fr-FR"/>
        </w:rPr>
        <w:t xml:space="preserve">, as well as </w:t>
      </w:r>
      <w:r w:rsidR="0067563B" w:rsidRPr="0067563B">
        <w:rPr>
          <w:rFonts w:ascii="Verdana" w:hAnsi="Verdana"/>
          <w:sz w:val="17"/>
          <w:szCs w:val="17"/>
          <w:lang w:val="en-GB" w:eastAsia="fr-FR"/>
        </w:rPr>
        <w:t>express</w:t>
      </w:r>
      <w:r w:rsidR="00A74182">
        <w:rPr>
          <w:rFonts w:ascii="Verdana" w:hAnsi="Verdana"/>
          <w:sz w:val="17"/>
          <w:szCs w:val="17"/>
          <w:lang w:val="en-GB" w:eastAsia="fr-FR"/>
        </w:rPr>
        <w:t>ing</w:t>
      </w:r>
      <w:r w:rsidR="0067563B" w:rsidRPr="0067563B">
        <w:rPr>
          <w:rFonts w:ascii="Verdana" w:hAnsi="Verdana"/>
          <w:sz w:val="17"/>
          <w:szCs w:val="17"/>
          <w:lang w:val="en-GB" w:eastAsia="fr-FR"/>
        </w:rPr>
        <w:t xml:space="preserve"> their opinions through </w:t>
      </w:r>
      <w:r w:rsidR="00A74182">
        <w:rPr>
          <w:rFonts w:ascii="Verdana" w:hAnsi="Verdana"/>
          <w:sz w:val="17"/>
          <w:szCs w:val="17"/>
          <w:lang w:val="en-GB" w:eastAsia="fr-FR"/>
        </w:rPr>
        <w:t>an association of judges</w:t>
      </w:r>
      <w:r w:rsidR="0067563B" w:rsidRPr="0067563B">
        <w:rPr>
          <w:rFonts w:ascii="Verdana" w:hAnsi="Verdana"/>
          <w:sz w:val="17"/>
          <w:szCs w:val="17"/>
          <w:lang w:val="en-GB" w:eastAsia="fr-FR"/>
        </w:rPr>
        <w:t xml:space="preserve"> of which they were all members.</w:t>
      </w:r>
      <w:r w:rsidR="00A74182">
        <w:rPr>
          <w:rFonts w:ascii="Verdana" w:hAnsi="Verdana"/>
          <w:sz w:val="17"/>
          <w:szCs w:val="17"/>
          <w:lang w:val="en-GB" w:eastAsia="fr-FR"/>
        </w:rPr>
        <w:t xml:space="preserve"> </w:t>
      </w:r>
    </w:p>
    <w:p w14:paraId="621D92BE" w14:textId="77777777" w:rsidR="00CC6706" w:rsidRDefault="00CC6706" w:rsidP="003D692A">
      <w:pPr>
        <w:tabs>
          <w:tab w:val="left" w:pos="0"/>
          <w:tab w:val="left" w:pos="567"/>
          <w:tab w:val="left" w:pos="1134"/>
          <w:tab w:val="left" w:pos="6379"/>
        </w:tabs>
        <w:spacing w:line="255" w:lineRule="exact"/>
        <w:rPr>
          <w:rFonts w:ascii="Verdana" w:hAnsi="Verdana"/>
          <w:sz w:val="17"/>
          <w:szCs w:val="17"/>
          <w:lang w:val="en-GB" w:eastAsia="fr-FR"/>
        </w:rPr>
      </w:pPr>
    </w:p>
    <w:p w14:paraId="4346E6E0" w14:textId="06A1F3FE" w:rsidR="004356FE" w:rsidRPr="004356FE" w:rsidRDefault="00CC6706"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The Court recognised that in relation to freedom of expression, assembly and association, “</w:t>
      </w:r>
      <w:r w:rsidRPr="00CC6706">
        <w:rPr>
          <w:rFonts w:ascii="Verdana" w:hAnsi="Verdana"/>
          <w:sz w:val="17"/>
          <w:szCs w:val="17"/>
          <w:lang w:val="en-GB" w:eastAsia="fr-FR"/>
        </w:rPr>
        <w:t>Owing to their functions in the administration of justice, under normal conditions of the rule of law, judges may be subject to different restrictions, and in different ways, that would not affect other individuals, including other public officials</w:t>
      </w:r>
      <w:r>
        <w:rPr>
          <w:rFonts w:ascii="Verdana" w:hAnsi="Verdana"/>
          <w:sz w:val="17"/>
          <w:szCs w:val="17"/>
          <w:lang w:val="en-GB" w:eastAsia="fr-FR"/>
        </w:rPr>
        <w:t>” (para 169)</w:t>
      </w:r>
      <w:r w:rsidRPr="00CC6706">
        <w:rPr>
          <w:rFonts w:ascii="Verdana" w:hAnsi="Verdana"/>
          <w:sz w:val="17"/>
          <w:szCs w:val="17"/>
          <w:lang w:val="en-GB" w:eastAsia="fr-FR"/>
        </w:rPr>
        <w:t>.</w:t>
      </w:r>
      <w:r>
        <w:rPr>
          <w:rFonts w:ascii="Verdana" w:hAnsi="Verdana"/>
          <w:sz w:val="17"/>
          <w:szCs w:val="17"/>
          <w:lang w:val="en-GB" w:eastAsia="fr-FR"/>
        </w:rPr>
        <w:t xml:space="preserve"> Furthermore, it held, “t</w:t>
      </w:r>
      <w:r w:rsidRPr="00CC6706">
        <w:rPr>
          <w:rFonts w:ascii="Verdana" w:hAnsi="Verdana"/>
          <w:sz w:val="17"/>
          <w:szCs w:val="17"/>
          <w:lang w:val="en-GB" w:eastAsia="fr-FR"/>
        </w:rPr>
        <w:t>he general purpose of guaranteeing independence and impartiality is, in principle, a legitimate reason for restricting certain rights of judges</w:t>
      </w:r>
      <w:r>
        <w:rPr>
          <w:rFonts w:ascii="Verdana" w:hAnsi="Verdana"/>
          <w:sz w:val="17"/>
          <w:szCs w:val="17"/>
          <w:lang w:val="en-GB" w:eastAsia="fr-FR"/>
        </w:rPr>
        <w:t>” since international human rights law obliges the State to ensure independence and impartiality of its courts and tribunals in order to respect the rights the persons judged by those tribunals (para 171).</w:t>
      </w:r>
    </w:p>
    <w:p w14:paraId="1213E97B" w14:textId="77777777" w:rsidR="004356FE" w:rsidRDefault="004356FE" w:rsidP="003D692A">
      <w:pPr>
        <w:tabs>
          <w:tab w:val="left" w:pos="0"/>
          <w:tab w:val="left" w:pos="567"/>
          <w:tab w:val="left" w:pos="1134"/>
          <w:tab w:val="left" w:pos="6379"/>
        </w:tabs>
        <w:spacing w:line="255" w:lineRule="exact"/>
        <w:rPr>
          <w:rFonts w:ascii="Verdana" w:hAnsi="Verdana"/>
          <w:sz w:val="17"/>
          <w:szCs w:val="17"/>
          <w:lang w:val="en-GB" w:eastAsia="fr-FR"/>
        </w:rPr>
      </w:pPr>
    </w:p>
    <w:p w14:paraId="5046B589" w14:textId="42BCAECB" w:rsidR="00191571" w:rsidRDefault="00191571" w:rsidP="00191571">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The Court noted that, “t</w:t>
      </w:r>
      <w:r w:rsidRPr="00191571">
        <w:rPr>
          <w:rFonts w:ascii="Verdana" w:hAnsi="Verdana"/>
          <w:sz w:val="17"/>
          <w:szCs w:val="17"/>
          <w:lang w:val="en-GB" w:eastAsia="fr-FR"/>
        </w:rPr>
        <w:t xml:space="preserve">he prohibition of judges from participating in activities of a party nature should not be interpreted </w:t>
      </w:r>
      <w:r>
        <w:rPr>
          <w:rFonts w:ascii="Verdana" w:hAnsi="Verdana"/>
          <w:sz w:val="17"/>
          <w:szCs w:val="17"/>
          <w:lang w:val="en-GB" w:eastAsia="fr-FR"/>
        </w:rPr>
        <w:t>…</w:t>
      </w:r>
      <w:r w:rsidRPr="00191571">
        <w:rPr>
          <w:rFonts w:ascii="Verdana" w:hAnsi="Verdana"/>
          <w:sz w:val="17"/>
          <w:szCs w:val="17"/>
          <w:lang w:val="en-GB" w:eastAsia="fr-FR"/>
        </w:rPr>
        <w:t xml:space="preserve"> in a way that prevents judges from taking part in any discussion of a political nature</w:t>
      </w:r>
      <w:r>
        <w:rPr>
          <w:rFonts w:ascii="Verdana" w:hAnsi="Verdana"/>
          <w:sz w:val="17"/>
          <w:szCs w:val="17"/>
          <w:lang w:val="en-GB" w:eastAsia="fr-FR"/>
        </w:rPr>
        <w:t>” (para 172) and, referring to the Commentary to the Bangalore Principles and other expert sources (including a previous UN Special Rapporteur on the Independence of Judges and Lawyers), it held that “</w:t>
      </w:r>
      <w:r w:rsidRPr="00191571">
        <w:rPr>
          <w:rFonts w:ascii="Verdana" w:hAnsi="Verdana"/>
          <w:sz w:val="17"/>
          <w:szCs w:val="17"/>
          <w:lang w:val="en-GB" w:eastAsia="fr-FR"/>
        </w:rPr>
        <w:t>there may be situation in which a judge, as a citizen who is a member of society, considers that he or she has a moral duty to speak out</w:t>
      </w:r>
      <w:r>
        <w:rPr>
          <w:rFonts w:ascii="Verdana" w:hAnsi="Verdana"/>
          <w:sz w:val="17"/>
          <w:szCs w:val="17"/>
          <w:lang w:val="en-GB" w:eastAsia="fr-FR"/>
        </w:rPr>
        <w:t xml:space="preserve">” and this </w:t>
      </w:r>
      <w:r w:rsidR="00B03BC7">
        <w:rPr>
          <w:rFonts w:ascii="Verdana" w:hAnsi="Verdana"/>
          <w:sz w:val="17"/>
          <w:szCs w:val="17"/>
          <w:lang w:val="en-GB" w:eastAsia="fr-FR"/>
        </w:rPr>
        <w:t xml:space="preserve">might </w:t>
      </w:r>
      <w:r>
        <w:rPr>
          <w:rFonts w:ascii="Verdana" w:hAnsi="Verdana"/>
          <w:sz w:val="17"/>
          <w:szCs w:val="17"/>
          <w:lang w:val="en-GB" w:eastAsia="fr-FR"/>
        </w:rPr>
        <w:t xml:space="preserve">indeed be seen </w:t>
      </w:r>
      <w:r w:rsidR="00B03BC7">
        <w:rPr>
          <w:rFonts w:ascii="Verdana" w:hAnsi="Verdana"/>
          <w:sz w:val="17"/>
          <w:szCs w:val="17"/>
          <w:lang w:val="en-GB" w:eastAsia="fr-FR"/>
        </w:rPr>
        <w:t xml:space="preserve">not only as a right but </w:t>
      </w:r>
      <w:r>
        <w:rPr>
          <w:rFonts w:ascii="Verdana" w:hAnsi="Verdana"/>
          <w:sz w:val="17"/>
          <w:szCs w:val="17"/>
          <w:lang w:val="en-GB" w:eastAsia="fr-FR"/>
        </w:rPr>
        <w:t>an obligation</w:t>
      </w:r>
      <w:r w:rsidR="00B03BC7">
        <w:rPr>
          <w:rFonts w:ascii="Verdana" w:hAnsi="Verdana"/>
          <w:sz w:val="17"/>
          <w:szCs w:val="17"/>
          <w:lang w:val="en-GB" w:eastAsia="fr-FR"/>
        </w:rPr>
        <w:t xml:space="preserve"> of judges</w:t>
      </w:r>
      <w:r>
        <w:rPr>
          <w:rFonts w:ascii="Verdana" w:hAnsi="Verdana"/>
          <w:sz w:val="17"/>
          <w:szCs w:val="17"/>
          <w:lang w:val="en-GB" w:eastAsia="fr-FR"/>
        </w:rPr>
        <w:t xml:space="preserve"> during a coup d’état or other</w:t>
      </w:r>
      <w:r w:rsidRPr="00191571">
        <w:rPr>
          <w:rFonts w:ascii="Verdana" w:hAnsi="Verdana"/>
          <w:sz w:val="17"/>
          <w:szCs w:val="17"/>
          <w:lang w:val="en-GB" w:eastAsia="fr-FR"/>
        </w:rPr>
        <w:t xml:space="preserve"> </w:t>
      </w:r>
      <w:r>
        <w:rPr>
          <w:rFonts w:ascii="Verdana" w:hAnsi="Verdana"/>
          <w:sz w:val="17"/>
          <w:szCs w:val="17"/>
          <w:lang w:val="en-GB" w:eastAsia="fr-FR"/>
        </w:rPr>
        <w:t>“</w:t>
      </w:r>
      <w:r w:rsidR="00B03BC7">
        <w:rPr>
          <w:rFonts w:ascii="Verdana" w:hAnsi="Verdana"/>
          <w:sz w:val="17"/>
          <w:szCs w:val="17"/>
          <w:lang w:val="en-GB" w:eastAsia="fr-FR"/>
        </w:rPr>
        <w:t>times of grave democratic crises</w:t>
      </w:r>
      <w:r>
        <w:rPr>
          <w:rFonts w:ascii="Verdana" w:hAnsi="Verdana"/>
          <w:sz w:val="17"/>
          <w:szCs w:val="17"/>
          <w:lang w:val="en-GB" w:eastAsia="fr-FR"/>
        </w:rPr>
        <w:t>” (para 173</w:t>
      </w:r>
      <w:r w:rsidR="00B03BC7">
        <w:rPr>
          <w:rFonts w:ascii="Verdana" w:hAnsi="Verdana"/>
          <w:sz w:val="17"/>
          <w:szCs w:val="17"/>
          <w:lang w:val="en-GB" w:eastAsia="fr-FR"/>
        </w:rPr>
        <w:t>-174</w:t>
      </w:r>
      <w:r>
        <w:rPr>
          <w:rFonts w:ascii="Verdana" w:hAnsi="Verdana"/>
          <w:sz w:val="17"/>
          <w:szCs w:val="17"/>
          <w:lang w:val="en-GB" w:eastAsia="fr-FR"/>
        </w:rPr>
        <w:t>).</w:t>
      </w:r>
    </w:p>
    <w:p w14:paraId="060CC528" w14:textId="77777777" w:rsidR="005F6C79" w:rsidRDefault="005F6C79" w:rsidP="00191571">
      <w:pPr>
        <w:tabs>
          <w:tab w:val="left" w:pos="0"/>
          <w:tab w:val="left" w:pos="567"/>
          <w:tab w:val="left" w:pos="1134"/>
          <w:tab w:val="left" w:pos="6379"/>
        </w:tabs>
        <w:spacing w:line="255" w:lineRule="exact"/>
        <w:rPr>
          <w:rFonts w:ascii="Verdana" w:hAnsi="Verdana"/>
          <w:sz w:val="17"/>
          <w:szCs w:val="17"/>
          <w:lang w:val="en-GB" w:eastAsia="fr-FR"/>
        </w:rPr>
      </w:pPr>
    </w:p>
    <w:p w14:paraId="46253988" w14:textId="3181B004" w:rsidR="00757AE8" w:rsidRDefault="00757AE8" w:rsidP="00191571">
      <w:pPr>
        <w:tabs>
          <w:tab w:val="left" w:pos="0"/>
          <w:tab w:val="left" w:pos="567"/>
          <w:tab w:val="left" w:pos="1134"/>
          <w:tab w:val="left" w:pos="6379"/>
        </w:tabs>
        <w:spacing w:line="255" w:lineRule="exact"/>
        <w:rPr>
          <w:rFonts w:ascii="Verdana" w:hAnsi="Verdana"/>
          <w:sz w:val="17"/>
          <w:szCs w:val="17"/>
          <w:lang w:val="en-GB" w:eastAsia="fr-FR"/>
        </w:rPr>
      </w:pPr>
    </w:p>
    <w:p w14:paraId="459CD745" w14:textId="77777777" w:rsidR="001C4040" w:rsidRDefault="001C4040" w:rsidP="00191571">
      <w:pPr>
        <w:tabs>
          <w:tab w:val="left" w:pos="0"/>
          <w:tab w:val="left" w:pos="567"/>
          <w:tab w:val="left" w:pos="1134"/>
          <w:tab w:val="left" w:pos="6379"/>
        </w:tabs>
        <w:spacing w:line="255" w:lineRule="exact"/>
        <w:rPr>
          <w:rFonts w:ascii="Verdana" w:hAnsi="Verdana"/>
          <w:sz w:val="17"/>
          <w:szCs w:val="17"/>
          <w:lang w:val="en-GB" w:eastAsia="fr-FR"/>
        </w:rPr>
      </w:pPr>
    </w:p>
    <w:p w14:paraId="2CFB3CEC" w14:textId="02386B9E" w:rsidR="001C4040" w:rsidRPr="001C4040" w:rsidRDefault="001C4040" w:rsidP="001C4040">
      <w:pPr>
        <w:pBdr>
          <w:top w:val="single" w:sz="4" w:space="1" w:color="auto"/>
          <w:left w:val="single" w:sz="4" w:space="4" w:color="auto"/>
          <w:bottom w:val="single" w:sz="4" w:space="1" w:color="auto"/>
          <w:right w:val="single" w:sz="4" w:space="4" w:color="auto"/>
        </w:pBdr>
        <w:tabs>
          <w:tab w:val="left" w:pos="0"/>
          <w:tab w:val="left" w:pos="567"/>
          <w:tab w:val="left" w:pos="1134"/>
          <w:tab w:val="left" w:pos="6379"/>
        </w:tabs>
        <w:spacing w:line="255" w:lineRule="exact"/>
        <w:rPr>
          <w:rFonts w:ascii="Verdana" w:hAnsi="Verdana"/>
          <w:b/>
          <w:sz w:val="17"/>
          <w:szCs w:val="17"/>
          <w:lang w:val="en-GB" w:eastAsia="fr-FR"/>
        </w:rPr>
      </w:pPr>
      <w:r>
        <w:rPr>
          <w:rFonts w:ascii="Verdana" w:hAnsi="Verdana"/>
          <w:b/>
          <w:sz w:val="17"/>
          <w:szCs w:val="17"/>
          <w:lang w:val="en-GB" w:eastAsia="fr-FR"/>
        </w:rPr>
        <w:t>3.</w:t>
      </w:r>
      <w:r w:rsidR="00F42439">
        <w:rPr>
          <w:rFonts w:ascii="Verdana" w:hAnsi="Verdana"/>
          <w:b/>
          <w:sz w:val="17"/>
          <w:szCs w:val="17"/>
          <w:lang w:val="en-GB" w:eastAsia="fr-FR"/>
        </w:rPr>
        <w:t xml:space="preserve"> </w:t>
      </w:r>
      <w:r w:rsidR="00F21B53">
        <w:rPr>
          <w:rFonts w:ascii="Verdana" w:hAnsi="Verdana"/>
          <w:b/>
          <w:sz w:val="17"/>
          <w:szCs w:val="17"/>
          <w:lang w:val="en-GB" w:eastAsia="fr-FR"/>
        </w:rPr>
        <w:t xml:space="preserve">Selected </w:t>
      </w:r>
      <w:r>
        <w:rPr>
          <w:rFonts w:ascii="Verdana" w:hAnsi="Verdana"/>
          <w:b/>
          <w:sz w:val="17"/>
          <w:szCs w:val="17"/>
          <w:lang w:val="en-GB" w:eastAsia="fr-FR"/>
        </w:rPr>
        <w:t>National Cases</w:t>
      </w:r>
      <w:r w:rsidR="00F21B53">
        <w:rPr>
          <w:rFonts w:ascii="Verdana" w:hAnsi="Verdana"/>
          <w:b/>
          <w:sz w:val="17"/>
          <w:szCs w:val="17"/>
          <w:lang w:val="en-GB" w:eastAsia="fr-FR"/>
        </w:rPr>
        <w:t xml:space="preserve"> and Practice</w:t>
      </w:r>
    </w:p>
    <w:p w14:paraId="3D5CEED2" w14:textId="77777777" w:rsidR="001C4040" w:rsidRDefault="001C4040" w:rsidP="00191571">
      <w:pPr>
        <w:tabs>
          <w:tab w:val="left" w:pos="0"/>
          <w:tab w:val="left" w:pos="567"/>
          <w:tab w:val="left" w:pos="1134"/>
          <w:tab w:val="left" w:pos="6379"/>
        </w:tabs>
        <w:spacing w:line="255" w:lineRule="exact"/>
        <w:rPr>
          <w:rFonts w:ascii="Verdana" w:hAnsi="Verdana"/>
          <w:sz w:val="17"/>
          <w:szCs w:val="17"/>
          <w:lang w:val="en-GB" w:eastAsia="fr-FR"/>
        </w:rPr>
      </w:pPr>
    </w:p>
    <w:p w14:paraId="234B1AF0" w14:textId="55AB8A5A" w:rsidR="000144B9" w:rsidRDefault="000144B9" w:rsidP="001C4040">
      <w:pPr>
        <w:spacing w:line="256" w:lineRule="exact"/>
        <w:rPr>
          <w:rFonts w:ascii="Verdana" w:hAnsi="Verdana"/>
          <w:sz w:val="18"/>
          <w:szCs w:val="18"/>
          <w:lang w:val="en-GB"/>
        </w:rPr>
      </w:pPr>
      <w:r>
        <w:rPr>
          <w:rFonts w:ascii="Verdana" w:hAnsi="Verdana"/>
          <w:sz w:val="18"/>
          <w:szCs w:val="18"/>
          <w:lang w:val="en-GB"/>
        </w:rPr>
        <w:lastRenderedPageBreak/>
        <w:t xml:space="preserve">Apart from the cases in </w:t>
      </w:r>
      <w:r w:rsidRPr="00B471C9">
        <w:rPr>
          <w:rFonts w:ascii="Verdana" w:hAnsi="Verdana"/>
          <w:b/>
          <w:sz w:val="18"/>
          <w:szCs w:val="18"/>
          <w:lang w:val="en-GB"/>
        </w:rPr>
        <w:t>Hungary</w:t>
      </w:r>
      <w:r>
        <w:rPr>
          <w:rFonts w:ascii="Verdana" w:hAnsi="Verdana"/>
          <w:sz w:val="18"/>
          <w:szCs w:val="18"/>
          <w:lang w:val="en-GB"/>
        </w:rPr>
        <w:t xml:space="preserve"> and </w:t>
      </w:r>
      <w:r w:rsidRPr="00B471C9">
        <w:rPr>
          <w:rFonts w:ascii="Verdana" w:hAnsi="Verdana"/>
          <w:b/>
          <w:sz w:val="18"/>
          <w:szCs w:val="18"/>
          <w:lang w:val="en-GB"/>
        </w:rPr>
        <w:t>Honduras</w:t>
      </w:r>
      <w:r>
        <w:rPr>
          <w:rFonts w:ascii="Verdana" w:hAnsi="Verdana"/>
          <w:sz w:val="18"/>
          <w:szCs w:val="18"/>
          <w:lang w:val="en-GB"/>
        </w:rPr>
        <w:t xml:space="preserve"> mentioned above, among national cases and practices relevant to the topic are the following:</w:t>
      </w:r>
    </w:p>
    <w:p w14:paraId="44E8A408" w14:textId="77777777" w:rsidR="000144B9" w:rsidRDefault="000144B9" w:rsidP="001C4040">
      <w:pPr>
        <w:spacing w:line="256" w:lineRule="exact"/>
        <w:rPr>
          <w:rFonts w:ascii="Verdana" w:hAnsi="Verdana"/>
          <w:sz w:val="18"/>
          <w:szCs w:val="18"/>
          <w:lang w:val="en-GB"/>
        </w:rPr>
      </w:pPr>
    </w:p>
    <w:p w14:paraId="140EBED8" w14:textId="135527E8" w:rsidR="001C4040" w:rsidRPr="00F21B53" w:rsidRDefault="001C4040" w:rsidP="001C4040">
      <w:pPr>
        <w:spacing w:line="256" w:lineRule="exact"/>
        <w:rPr>
          <w:rFonts w:ascii="Verdana" w:hAnsi="Verdana"/>
          <w:sz w:val="18"/>
          <w:szCs w:val="18"/>
          <w:lang w:val="en-GB"/>
        </w:rPr>
      </w:pPr>
      <w:r w:rsidRPr="00F21B53">
        <w:rPr>
          <w:rFonts w:ascii="Verdana" w:hAnsi="Verdana"/>
          <w:sz w:val="18"/>
          <w:szCs w:val="18"/>
          <w:lang w:val="en-GB"/>
        </w:rPr>
        <w:t xml:space="preserve">In </w:t>
      </w:r>
      <w:r w:rsidRPr="00F21B53">
        <w:rPr>
          <w:rFonts w:ascii="Verdana" w:hAnsi="Verdana"/>
          <w:b/>
          <w:sz w:val="18"/>
          <w:szCs w:val="18"/>
          <w:lang w:val="en-GB"/>
        </w:rPr>
        <w:t>Egypt</w:t>
      </w:r>
      <w:r w:rsidRPr="00F21B53">
        <w:rPr>
          <w:rFonts w:ascii="Verdana" w:hAnsi="Verdana"/>
          <w:sz w:val="18"/>
          <w:szCs w:val="18"/>
          <w:lang w:val="en-GB"/>
        </w:rPr>
        <w:t>, since 2014, dozens of judges have been forced into retirement</w:t>
      </w:r>
      <w:r w:rsidRPr="00F21B53">
        <w:rPr>
          <w:rStyle w:val="FootnoteReference"/>
          <w:rFonts w:ascii="Verdana" w:hAnsi="Verdana"/>
          <w:sz w:val="18"/>
          <w:szCs w:val="18"/>
          <w:lang w:val="en-GB"/>
        </w:rPr>
        <w:footnoteReference w:id="44"/>
      </w:r>
      <w:r w:rsidRPr="00F21B53">
        <w:rPr>
          <w:rFonts w:ascii="Verdana" w:hAnsi="Verdana"/>
          <w:sz w:val="18"/>
          <w:szCs w:val="18"/>
          <w:lang w:val="en-GB"/>
        </w:rPr>
        <w:t xml:space="preserve"> following disciplinary proceedings </w:t>
      </w:r>
      <w:r w:rsidR="00BD4B15">
        <w:rPr>
          <w:rFonts w:ascii="Verdana" w:hAnsi="Verdana"/>
          <w:sz w:val="18"/>
          <w:szCs w:val="18"/>
          <w:lang w:val="en-GB"/>
        </w:rPr>
        <w:t>that</w:t>
      </w:r>
      <w:r w:rsidRPr="00F21B53">
        <w:rPr>
          <w:rFonts w:ascii="Verdana" w:hAnsi="Verdana"/>
          <w:sz w:val="18"/>
          <w:szCs w:val="18"/>
          <w:lang w:val="en-GB"/>
        </w:rPr>
        <w:t xml:space="preserve"> resulted in arbitrary limitations to the judges’ right to freedom of expression, assembly and association. In the two cases known as the “Judges for Egypt Case” and the “July 2013 Statement Case”</w:t>
      </w:r>
      <w:r w:rsidRPr="00F21B53">
        <w:rPr>
          <w:rStyle w:val="FootnoteReference"/>
          <w:rFonts w:ascii="Verdana" w:hAnsi="Verdana"/>
          <w:sz w:val="18"/>
          <w:szCs w:val="18"/>
          <w:lang w:val="en-GB"/>
        </w:rPr>
        <w:footnoteReference w:id="45"/>
      </w:r>
      <w:r w:rsidRPr="00F21B53">
        <w:rPr>
          <w:rFonts w:ascii="Verdana" w:hAnsi="Verdana"/>
          <w:sz w:val="18"/>
          <w:szCs w:val="18"/>
          <w:lang w:val="en-GB"/>
        </w:rPr>
        <w:t>, the ICJ found that judges have been re</w:t>
      </w:r>
      <w:r w:rsidRPr="00F21B53">
        <w:rPr>
          <w:rFonts w:ascii="Verdana" w:hAnsi="Verdana"/>
          <w:sz w:val="18"/>
          <w:szCs w:val="18"/>
          <w:lang w:val="en-GB"/>
        </w:rPr>
        <w:lastRenderedPageBreak/>
        <w:t xml:space="preserve">moved from office following mass, arbitrary and unfair disciplinary proceedings. In Egypt, judges can be referred by the High Judicial Council or directly by the Minister of Justice to the Supreme Disciplinary Board, after which they are subjected to proceedings that can result in revoking their tenure, forcing them into retirement or declaring them “unfit” in accordance with article 111 and article 73 of Egypt’s Judicial Authority Law, the latter prohibiting judges from “political activity”. This vague clause has been repeatedly used to arbitrarily limit judges’ exercise of the right to freedom of expression, assembly and association, well beyond what is justified as necessary to preserve the impartiality and independence of the judiciary. </w:t>
      </w:r>
    </w:p>
    <w:p w14:paraId="14BC30D3" w14:textId="77777777" w:rsidR="001C4040" w:rsidRPr="00F21B53" w:rsidRDefault="001C4040" w:rsidP="001C4040">
      <w:pPr>
        <w:spacing w:line="256" w:lineRule="exact"/>
        <w:rPr>
          <w:rFonts w:ascii="Verdana" w:hAnsi="Verdana"/>
          <w:sz w:val="18"/>
          <w:szCs w:val="18"/>
          <w:lang w:val="en-GB"/>
        </w:rPr>
      </w:pPr>
    </w:p>
    <w:p w14:paraId="48960BB8" w14:textId="757AF020" w:rsidR="005A77A1" w:rsidRDefault="001C4040" w:rsidP="005A77A1">
      <w:pPr>
        <w:spacing w:line="256" w:lineRule="exact"/>
        <w:rPr>
          <w:rFonts w:ascii="Verdana" w:hAnsi="Verdana"/>
          <w:sz w:val="18"/>
          <w:szCs w:val="18"/>
          <w:lang w:val="en-GB"/>
        </w:rPr>
      </w:pPr>
      <w:r w:rsidRPr="00F21B53">
        <w:rPr>
          <w:rFonts w:ascii="Verdana" w:hAnsi="Verdana"/>
          <w:sz w:val="18"/>
          <w:szCs w:val="18"/>
          <w:lang w:val="en-GB"/>
        </w:rPr>
        <w:t xml:space="preserve">In a recent and still ongoing case, in March 2017, following initial investigations that lasted over a year, Judge Assem </w:t>
      </w:r>
      <w:r w:rsidRPr="00F21B53">
        <w:rPr>
          <w:rFonts w:ascii="Verdana" w:hAnsi="Verdana"/>
          <w:sz w:val="18"/>
          <w:szCs w:val="18"/>
          <w:lang w:val="en-GB"/>
        </w:rPr>
        <w:lastRenderedPageBreak/>
        <w:t>Abdel Jabar, former deputy President of the Court of Cassation, and Judge Hicham Raouf, a judge in Cairo’s Court of Appeal and former deputy Minister of Justice, were referred to the Supreme Disciplinary Board for “unfitness proceedings” after they participated, together with other leading lawyers and legal experts, in a workshop to discuss and propose new anti-torture legislation.</w:t>
      </w:r>
      <w:r w:rsidRPr="00F21B53">
        <w:rPr>
          <w:rStyle w:val="FootnoteReference"/>
          <w:rFonts w:ascii="Verdana" w:hAnsi="Verdana"/>
          <w:sz w:val="18"/>
          <w:szCs w:val="18"/>
          <w:lang w:val="en-GB"/>
        </w:rPr>
        <w:footnoteReference w:id="46"/>
      </w:r>
      <w:r w:rsidRPr="00F21B53">
        <w:rPr>
          <w:rFonts w:ascii="Verdana" w:hAnsi="Verdana"/>
          <w:sz w:val="18"/>
          <w:szCs w:val="18"/>
          <w:lang w:val="en-GB"/>
        </w:rPr>
        <w:t xml:space="preserve"> According to </w:t>
      </w:r>
      <w:r w:rsidRPr="00F21B53">
        <w:rPr>
          <w:rFonts w:ascii="Verdana" w:eastAsia="Times New Roman" w:hAnsi="Verdana"/>
          <w:sz w:val="18"/>
          <w:szCs w:val="18"/>
          <w:lang w:val="en-GB"/>
        </w:rPr>
        <w:t>article 111 of the Judicial Authority Law, if a judge is found to be “unfit” for office, the disciplinary board can either force the judge into retirement or it can transfer the judge to non-judicial functions. The proceedings against Mr Abdel Jabar and Mr Raouf</w:t>
      </w:r>
      <w:r w:rsidRPr="00F21B53">
        <w:rPr>
          <w:rFonts w:ascii="Verdana" w:hAnsi="Verdana"/>
          <w:sz w:val="18"/>
          <w:szCs w:val="18"/>
          <w:lang w:val="en-GB"/>
        </w:rPr>
        <w:t xml:space="preserve"> started in mid-March 2017 and have continued over the course of 14 sessions, during which hearings have been consistently adjourned and no decision was taken. The last session, on 5 January 2019, was adjourned to 23 March 2019, a date that </w:t>
      </w:r>
      <w:r w:rsidRPr="00F21B53">
        <w:rPr>
          <w:rFonts w:ascii="Verdana" w:hAnsi="Verdana"/>
          <w:sz w:val="18"/>
          <w:szCs w:val="18"/>
          <w:lang w:val="en-GB"/>
        </w:rPr>
        <w:lastRenderedPageBreak/>
        <w:t xml:space="preserve">would mark two years since the beginning of the “unfitness proceedings” for both judges, as a repercussion </w:t>
      </w:r>
      <w:r w:rsidR="005A77A1">
        <w:rPr>
          <w:rFonts w:ascii="Verdana" w:hAnsi="Verdana"/>
          <w:sz w:val="18"/>
          <w:szCs w:val="18"/>
          <w:lang w:val="en-GB"/>
        </w:rPr>
        <w:t>for</w:t>
      </w:r>
      <w:r w:rsidR="005A77A1" w:rsidRPr="00F21B53">
        <w:rPr>
          <w:rFonts w:ascii="Verdana" w:hAnsi="Verdana"/>
          <w:sz w:val="18"/>
          <w:szCs w:val="18"/>
          <w:lang w:val="en-GB"/>
        </w:rPr>
        <w:t xml:space="preserve"> </w:t>
      </w:r>
      <w:r w:rsidRPr="00F21B53">
        <w:rPr>
          <w:rFonts w:ascii="Verdana" w:hAnsi="Verdana"/>
          <w:sz w:val="18"/>
          <w:szCs w:val="18"/>
          <w:lang w:val="en-GB"/>
        </w:rPr>
        <w:t>their participation as legal experts in an anti-torture legislation proposal.</w:t>
      </w:r>
    </w:p>
    <w:p w14:paraId="16105796" w14:textId="77777777" w:rsidR="001C4040" w:rsidRDefault="001C4040" w:rsidP="001C4040">
      <w:pPr>
        <w:spacing w:line="256" w:lineRule="exact"/>
        <w:rPr>
          <w:rFonts w:ascii="Verdana" w:hAnsi="Verdana"/>
          <w:sz w:val="18"/>
          <w:szCs w:val="18"/>
          <w:lang w:val="en-GB"/>
        </w:rPr>
      </w:pPr>
    </w:p>
    <w:p w14:paraId="27380BB0" w14:textId="77777777" w:rsidR="005A77A1" w:rsidRPr="00383D2A" w:rsidRDefault="005A77A1" w:rsidP="005A77A1">
      <w:pPr>
        <w:spacing w:line="256" w:lineRule="exact"/>
        <w:rPr>
          <w:rFonts w:ascii="Verdana" w:eastAsia="Times New Roman" w:hAnsi="Verdana"/>
          <w:sz w:val="18"/>
          <w:szCs w:val="18"/>
          <w:lang w:val="en-GB"/>
        </w:rPr>
      </w:pPr>
      <w:r w:rsidRPr="00383D2A">
        <w:rPr>
          <w:rFonts w:ascii="Verdana" w:eastAsia="Times New Roman" w:hAnsi="Verdana"/>
          <w:color w:val="001D39"/>
          <w:sz w:val="18"/>
          <w:szCs w:val="18"/>
          <w:lang w:val="en-GB"/>
        </w:rPr>
        <w:t xml:space="preserve">In April 2018, the Cairo Military Court sentenced Hisham Geneina, a former judge and former head of Egypt’s Central Auditing Authority, </w:t>
      </w:r>
      <w:r w:rsidRPr="00383D2A">
        <w:rPr>
          <w:rFonts w:ascii="Verdana" w:eastAsia="Times New Roman" w:hAnsi="Verdana"/>
          <w:sz w:val="18"/>
          <w:szCs w:val="18"/>
          <w:lang w:val="en-GB"/>
        </w:rPr>
        <w:t xml:space="preserve">to five years’ imprisonment </w:t>
      </w:r>
      <w:r w:rsidRPr="00383D2A">
        <w:rPr>
          <w:rFonts w:ascii="Verdana" w:eastAsia="Times New Roman" w:hAnsi="Verdana"/>
          <w:color w:val="001D39"/>
          <w:sz w:val="18"/>
          <w:szCs w:val="18"/>
          <w:lang w:val="en-GB"/>
        </w:rPr>
        <w:t xml:space="preserve">for “publishing false information harmful to national security” after he criticized the Egyptian Authorities’ interference with the election process and </w:t>
      </w:r>
      <w:r>
        <w:rPr>
          <w:rFonts w:ascii="Verdana" w:eastAsia="Times New Roman" w:hAnsi="Verdana"/>
          <w:color w:val="001D39"/>
          <w:sz w:val="18"/>
          <w:szCs w:val="18"/>
          <w:lang w:val="en-GB"/>
        </w:rPr>
        <w:t>referred to the existence of</w:t>
      </w:r>
      <w:r w:rsidRPr="00383D2A">
        <w:rPr>
          <w:rFonts w:ascii="Verdana" w:eastAsia="Times New Roman" w:hAnsi="Verdana"/>
          <w:color w:val="001D39"/>
          <w:sz w:val="18"/>
          <w:szCs w:val="18"/>
          <w:lang w:val="en-GB"/>
        </w:rPr>
        <w:t xml:space="preserve"> documents incriminating military and political leaders in a media interview.</w:t>
      </w:r>
      <w:r>
        <w:rPr>
          <w:rStyle w:val="FootnoteReference"/>
          <w:rFonts w:ascii="Verdana" w:eastAsia="Times New Roman" w:hAnsi="Verdana"/>
          <w:color w:val="001D39"/>
          <w:sz w:val="18"/>
          <w:szCs w:val="18"/>
          <w:lang w:val="en-GB"/>
        </w:rPr>
        <w:footnoteReference w:id="47"/>
      </w:r>
      <w:r w:rsidRPr="00383D2A">
        <w:rPr>
          <w:rFonts w:ascii="Verdana" w:eastAsia="Times New Roman" w:hAnsi="Verdana"/>
          <w:color w:val="001D39"/>
          <w:sz w:val="18"/>
          <w:szCs w:val="18"/>
          <w:lang w:val="en-GB"/>
        </w:rPr>
        <w:t xml:space="preserve"> Hisham Geneina</w:t>
      </w:r>
      <w:r>
        <w:rPr>
          <w:rFonts w:ascii="Verdana" w:eastAsia="Times New Roman" w:hAnsi="Verdana"/>
          <w:color w:val="001D39"/>
          <w:sz w:val="18"/>
          <w:szCs w:val="18"/>
          <w:lang w:val="en-GB"/>
        </w:rPr>
        <w:t xml:space="preserve"> </w:t>
      </w:r>
      <w:r w:rsidRPr="00383D2A">
        <w:rPr>
          <w:rFonts w:ascii="Verdana" w:eastAsia="Times New Roman" w:hAnsi="Verdana"/>
          <w:color w:val="001D39"/>
          <w:sz w:val="18"/>
          <w:szCs w:val="18"/>
          <w:lang w:val="en-GB"/>
        </w:rPr>
        <w:t>appealed the verdict and a Military Misdemeanor Court of Appeal is due to issue its verdict on 3 March 2019.</w:t>
      </w:r>
      <w:r>
        <w:rPr>
          <w:rFonts w:ascii="Verdana" w:eastAsia="Times New Roman" w:hAnsi="Verdana"/>
          <w:color w:val="001D39"/>
          <w:sz w:val="18"/>
          <w:szCs w:val="18"/>
          <w:lang w:val="en-GB"/>
        </w:rPr>
        <w:t xml:space="preserve"> Based on the information available, </w:t>
      </w:r>
      <w:r w:rsidRPr="00383D2A">
        <w:rPr>
          <w:rFonts w:ascii="Verdana" w:eastAsia="Times New Roman" w:hAnsi="Verdana"/>
          <w:color w:val="001D39"/>
          <w:sz w:val="18"/>
          <w:szCs w:val="18"/>
          <w:lang w:val="en-GB"/>
        </w:rPr>
        <w:t>Hisham Geneina</w:t>
      </w:r>
      <w:r>
        <w:rPr>
          <w:rFonts w:ascii="Verdana" w:eastAsia="Times New Roman" w:hAnsi="Verdana"/>
          <w:color w:val="001D39"/>
          <w:sz w:val="18"/>
          <w:szCs w:val="18"/>
          <w:lang w:val="en-GB"/>
        </w:rPr>
        <w:t xml:space="preserve"> </w:t>
      </w:r>
      <w:r>
        <w:rPr>
          <w:rFonts w:ascii="Verdana" w:eastAsia="Times New Roman" w:hAnsi="Verdana"/>
          <w:color w:val="001D39"/>
          <w:sz w:val="18"/>
          <w:szCs w:val="18"/>
          <w:lang w:val="en-GB"/>
        </w:rPr>
        <w:lastRenderedPageBreak/>
        <w:t>has been detained since his arrest in February 2018, including in solitary confinement.</w:t>
      </w:r>
    </w:p>
    <w:p w14:paraId="37ED573A" w14:textId="77777777" w:rsidR="005A77A1" w:rsidRPr="00383D2A" w:rsidRDefault="005A77A1" w:rsidP="001C4040">
      <w:pPr>
        <w:spacing w:line="256" w:lineRule="exact"/>
        <w:rPr>
          <w:rFonts w:ascii="Verdana" w:hAnsi="Verdana"/>
          <w:sz w:val="18"/>
          <w:szCs w:val="18"/>
          <w:lang w:val="en-GB"/>
        </w:rPr>
      </w:pPr>
    </w:p>
    <w:p w14:paraId="0BFCC6A6" w14:textId="77777777" w:rsidR="001C4040" w:rsidRDefault="001C4040" w:rsidP="001C4040">
      <w:pPr>
        <w:spacing w:line="256" w:lineRule="exact"/>
        <w:rPr>
          <w:rFonts w:ascii="Verdana" w:hAnsi="Verdana"/>
          <w:sz w:val="18"/>
          <w:szCs w:val="18"/>
          <w:lang w:val="en-GB"/>
        </w:rPr>
      </w:pPr>
      <w:r w:rsidRPr="00F21B53">
        <w:rPr>
          <w:rFonts w:ascii="Verdana" w:hAnsi="Verdana"/>
          <w:sz w:val="18"/>
          <w:szCs w:val="18"/>
          <w:lang w:val="en-GB"/>
        </w:rPr>
        <w:t xml:space="preserve">In </w:t>
      </w:r>
      <w:r w:rsidRPr="00F21B53">
        <w:rPr>
          <w:rFonts w:ascii="Verdana" w:hAnsi="Verdana"/>
          <w:b/>
          <w:sz w:val="18"/>
          <w:szCs w:val="18"/>
          <w:lang w:val="en-GB"/>
        </w:rPr>
        <w:t>Morocco</w:t>
      </w:r>
      <w:r w:rsidRPr="00F21B53">
        <w:rPr>
          <w:rFonts w:ascii="Verdana" w:hAnsi="Verdana"/>
          <w:sz w:val="18"/>
          <w:szCs w:val="18"/>
          <w:lang w:val="en-GB"/>
        </w:rPr>
        <w:t>, Judge Al-Haini, together with his colleague Amal Homani, was referred in February 2016 to the High Judicial Council by the Minister of Justice on unwarranted allegations of “violating the duty of discretion” and “expressing opinions of a political nature” following social media comments and media articles written by the judges in which they criticized the government’s Draft Laws on the High Judicial Council and on the Statute for Judges.</w:t>
      </w:r>
      <w:r w:rsidRPr="00F21B53">
        <w:rPr>
          <w:rStyle w:val="FootnoteReference"/>
          <w:rFonts w:ascii="Verdana" w:hAnsi="Verdana"/>
          <w:sz w:val="18"/>
          <w:szCs w:val="18"/>
          <w:lang w:val="en-GB"/>
        </w:rPr>
        <w:footnoteReference w:id="48"/>
      </w:r>
      <w:r w:rsidRPr="00F21B53">
        <w:rPr>
          <w:rFonts w:ascii="Verdana" w:hAnsi="Verdana"/>
          <w:sz w:val="18"/>
          <w:szCs w:val="18"/>
          <w:lang w:val="en-GB"/>
        </w:rPr>
        <w:t xml:space="preserve"> The ICJ expressed </w:t>
      </w:r>
      <w:r w:rsidRPr="00F21B53">
        <w:rPr>
          <w:rFonts w:ascii="Verdana" w:hAnsi="Verdana"/>
          <w:sz w:val="18"/>
          <w:szCs w:val="18"/>
          <w:lang w:val="en-GB"/>
        </w:rPr>
        <w:lastRenderedPageBreak/>
        <w:t>its concern at the unfair and arbitrary nature of the proceedings against Judge Al-Haini which not only targeted him for the legitimate exercise of his right to freedom of expression in consonance with the dignity of the judicial office and the impartiality and independence of the judiciary but also included several flaws curtailing Judge Al-Haini’s right to defense.</w:t>
      </w:r>
    </w:p>
    <w:p w14:paraId="0D3A5647" w14:textId="77777777" w:rsidR="00E22744" w:rsidRDefault="00E22744" w:rsidP="001C4040">
      <w:pPr>
        <w:spacing w:line="256" w:lineRule="exact"/>
        <w:rPr>
          <w:rFonts w:ascii="Verdana" w:hAnsi="Verdana"/>
          <w:sz w:val="18"/>
          <w:szCs w:val="18"/>
          <w:lang w:val="en-GB"/>
        </w:rPr>
      </w:pPr>
    </w:p>
    <w:p w14:paraId="4574710B" w14:textId="2753371B" w:rsidR="00E22744" w:rsidRPr="00E22744" w:rsidRDefault="00E22744" w:rsidP="00E22744">
      <w:pPr>
        <w:spacing w:line="256" w:lineRule="exact"/>
        <w:rPr>
          <w:rFonts w:ascii="Verdana" w:hAnsi="Verdana"/>
          <w:sz w:val="18"/>
          <w:szCs w:val="18"/>
          <w:lang w:val="en-GB"/>
        </w:rPr>
      </w:pPr>
      <w:r>
        <w:rPr>
          <w:rFonts w:ascii="Verdana" w:hAnsi="Verdana"/>
          <w:sz w:val="18"/>
          <w:szCs w:val="18"/>
          <w:lang w:val="en-GB"/>
        </w:rPr>
        <w:t xml:space="preserve">The ICJ has expressed concern about allegations in </w:t>
      </w:r>
      <w:r>
        <w:rPr>
          <w:rFonts w:ascii="Verdana" w:hAnsi="Verdana"/>
          <w:b/>
          <w:sz w:val="18"/>
          <w:szCs w:val="18"/>
          <w:lang w:val="en-GB"/>
        </w:rPr>
        <w:t>South Korea</w:t>
      </w:r>
      <w:r>
        <w:rPr>
          <w:rFonts w:ascii="Verdana" w:hAnsi="Verdana"/>
          <w:sz w:val="18"/>
          <w:szCs w:val="18"/>
          <w:lang w:val="en-GB"/>
        </w:rPr>
        <w:t xml:space="preserve"> that t</w:t>
      </w:r>
      <w:r w:rsidRPr="00E22744">
        <w:rPr>
          <w:rFonts w:ascii="Verdana" w:hAnsi="Verdana"/>
          <w:sz w:val="18"/>
          <w:szCs w:val="18"/>
          <w:lang w:val="en-GB"/>
        </w:rPr>
        <w:t>he former Chief Justice and other officials infringed the freedom of expression and freedom of association of individual judges in South Korea.</w:t>
      </w:r>
      <w:r w:rsidRPr="009406EE">
        <w:rPr>
          <w:lang w:val="en-GB"/>
        </w:rPr>
        <w:t xml:space="preserve"> </w:t>
      </w:r>
      <w:r>
        <w:rPr>
          <w:rFonts w:ascii="Verdana" w:hAnsi="Verdana"/>
          <w:sz w:val="18"/>
          <w:szCs w:val="18"/>
          <w:lang w:val="en-GB"/>
        </w:rPr>
        <w:t>Judges who commented negatively on a proposal by</w:t>
      </w:r>
      <w:r w:rsidRPr="00E22744">
        <w:rPr>
          <w:rFonts w:ascii="Verdana" w:hAnsi="Verdana"/>
          <w:sz w:val="18"/>
          <w:szCs w:val="18"/>
          <w:lang w:val="en-GB"/>
        </w:rPr>
        <w:t xml:space="preserve"> the Na</w:t>
      </w:r>
      <w:r>
        <w:rPr>
          <w:rFonts w:ascii="Verdana" w:hAnsi="Verdana"/>
          <w:sz w:val="18"/>
          <w:szCs w:val="18"/>
          <w:lang w:val="en-GB"/>
        </w:rPr>
        <w:t>tional Court Administration</w:t>
      </w:r>
      <w:r w:rsidRPr="00E22744">
        <w:rPr>
          <w:rFonts w:ascii="Verdana" w:hAnsi="Verdana"/>
          <w:sz w:val="18"/>
          <w:szCs w:val="18"/>
          <w:lang w:val="en-GB"/>
        </w:rPr>
        <w:t xml:space="preserve"> </w:t>
      </w:r>
      <w:r>
        <w:rPr>
          <w:rFonts w:ascii="Verdana" w:hAnsi="Verdana"/>
          <w:sz w:val="18"/>
          <w:szCs w:val="18"/>
          <w:lang w:val="en-GB"/>
        </w:rPr>
        <w:t xml:space="preserve">(NCA) </w:t>
      </w:r>
      <w:r w:rsidRPr="00E22744">
        <w:rPr>
          <w:rFonts w:ascii="Verdana" w:hAnsi="Verdana"/>
          <w:sz w:val="18"/>
          <w:szCs w:val="18"/>
          <w:lang w:val="en-GB"/>
        </w:rPr>
        <w:t>to c</w:t>
      </w:r>
      <w:r>
        <w:rPr>
          <w:rFonts w:ascii="Verdana" w:hAnsi="Verdana"/>
          <w:sz w:val="18"/>
          <w:szCs w:val="18"/>
          <w:lang w:val="en-GB"/>
        </w:rPr>
        <w:t xml:space="preserve">reate a ‘second Supreme Court,’ </w:t>
      </w:r>
      <w:r w:rsidRPr="00E22744">
        <w:rPr>
          <w:rFonts w:ascii="Verdana" w:hAnsi="Verdana"/>
          <w:sz w:val="18"/>
          <w:szCs w:val="18"/>
          <w:lang w:val="en-GB"/>
        </w:rPr>
        <w:t xml:space="preserve">were </w:t>
      </w:r>
      <w:r>
        <w:rPr>
          <w:rFonts w:ascii="Verdana" w:hAnsi="Verdana"/>
          <w:sz w:val="18"/>
          <w:szCs w:val="18"/>
          <w:lang w:val="en-GB"/>
        </w:rPr>
        <w:t xml:space="preserve">allegedly </w:t>
      </w:r>
      <w:r w:rsidRPr="00E22744">
        <w:rPr>
          <w:rFonts w:ascii="Verdana" w:hAnsi="Verdana"/>
          <w:sz w:val="18"/>
          <w:szCs w:val="18"/>
          <w:lang w:val="en-GB"/>
        </w:rPr>
        <w:t>placed by the NCA under surveillance, both in their professional and personal dealings.</w:t>
      </w:r>
      <w:r>
        <w:rPr>
          <w:rFonts w:ascii="Verdana" w:hAnsi="Verdana"/>
          <w:sz w:val="18"/>
          <w:szCs w:val="18"/>
          <w:lang w:val="en-GB"/>
        </w:rPr>
        <w:t xml:space="preserve"> </w:t>
      </w:r>
      <w:r w:rsidRPr="00E22744">
        <w:rPr>
          <w:rFonts w:ascii="Verdana" w:hAnsi="Verdana"/>
          <w:sz w:val="18"/>
          <w:szCs w:val="18"/>
          <w:lang w:val="en-GB"/>
        </w:rPr>
        <w:t>Moreover, they were prevented from joining international conferences and national profes</w:t>
      </w:r>
      <w:r w:rsidRPr="00E22744">
        <w:rPr>
          <w:rFonts w:ascii="Verdana" w:hAnsi="Verdana"/>
          <w:sz w:val="18"/>
          <w:szCs w:val="18"/>
          <w:lang w:val="en-GB"/>
        </w:rPr>
        <w:lastRenderedPageBreak/>
        <w:t>sional organizations. Some were also either sidelined for promotions or were not given preference for educational opportunities abroad.</w:t>
      </w:r>
      <w:r>
        <w:rPr>
          <w:rStyle w:val="FootnoteReference"/>
          <w:rFonts w:ascii="Verdana" w:hAnsi="Verdana"/>
          <w:sz w:val="18"/>
          <w:szCs w:val="18"/>
          <w:lang w:val="en-GB"/>
        </w:rPr>
        <w:footnoteReference w:id="49"/>
      </w:r>
    </w:p>
    <w:p w14:paraId="251E6D47" w14:textId="77777777" w:rsidR="001C4040" w:rsidRPr="009406EE" w:rsidRDefault="001C4040" w:rsidP="001C4040">
      <w:pPr>
        <w:spacing w:line="256" w:lineRule="exact"/>
        <w:rPr>
          <w:rFonts w:ascii="Verdana" w:hAnsi="Verdana"/>
          <w:sz w:val="18"/>
          <w:szCs w:val="18"/>
          <w:lang w:val="en-GB"/>
        </w:rPr>
      </w:pPr>
    </w:p>
    <w:p w14:paraId="54567B1F" w14:textId="10174E83" w:rsidR="000144B9" w:rsidRDefault="000144B9" w:rsidP="000144B9">
      <w:pPr>
        <w:tabs>
          <w:tab w:val="left" w:pos="0"/>
          <w:tab w:val="left" w:pos="567"/>
          <w:tab w:val="left" w:pos="1134"/>
          <w:tab w:val="left" w:pos="6379"/>
        </w:tabs>
        <w:spacing w:line="255" w:lineRule="exact"/>
        <w:rPr>
          <w:rFonts w:ascii="Verdana" w:hAnsi="Verdana"/>
          <w:sz w:val="17"/>
          <w:szCs w:val="17"/>
          <w:lang w:val="en-PH" w:eastAsia="fr-FR"/>
        </w:rPr>
      </w:pPr>
      <w:r w:rsidRPr="000144B9">
        <w:rPr>
          <w:rFonts w:ascii="Verdana" w:hAnsi="Verdana"/>
          <w:sz w:val="17"/>
          <w:szCs w:val="17"/>
          <w:lang w:val="en-PH" w:eastAsia="fr-FR"/>
        </w:rPr>
        <w:t xml:space="preserve">In the </w:t>
      </w:r>
      <w:r w:rsidRPr="000144B9">
        <w:rPr>
          <w:rFonts w:ascii="Verdana" w:hAnsi="Verdana"/>
          <w:b/>
          <w:sz w:val="17"/>
          <w:szCs w:val="17"/>
          <w:lang w:val="en-PH" w:eastAsia="fr-FR"/>
        </w:rPr>
        <w:t>Philippines</w:t>
      </w:r>
      <w:r w:rsidRPr="000144B9">
        <w:rPr>
          <w:rFonts w:ascii="Verdana" w:hAnsi="Verdana"/>
          <w:sz w:val="17"/>
          <w:szCs w:val="17"/>
          <w:lang w:val="en-PH" w:eastAsia="fr-FR"/>
        </w:rPr>
        <w:t>, on 17 August 2017 the Office of the Court Administrator (OCA) of the Supreme Court issued Circular No. 173-2017 to all judges and court personnel on the proper use of social media.</w:t>
      </w:r>
      <w:r w:rsidRPr="000144B9">
        <w:rPr>
          <w:rFonts w:ascii="Verdana" w:hAnsi="Verdana"/>
          <w:sz w:val="17"/>
          <w:szCs w:val="17"/>
          <w:vertAlign w:val="superscript"/>
          <w:lang w:val="en-PH" w:eastAsia="fr-FR"/>
        </w:rPr>
        <w:footnoteReference w:id="50"/>
      </w:r>
      <w:r w:rsidRPr="000144B9">
        <w:rPr>
          <w:rFonts w:ascii="Verdana" w:hAnsi="Verdana"/>
          <w:sz w:val="17"/>
          <w:szCs w:val="17"/>
          <w:lang w:val="en-PH" w:eastAsia="fr-FR"/>
        </w:rPr>
        <w:t xml:space="preserve"> The circular does not differentiate between different kinds of information and in particular does not recognise the </w:t>
      </w:r>
      <w:r>
        <w:rPr>
          <w:rFonts w:ascii="Verdana" w:hAnsi="Verdana"/>
          <w:sz w:val="17"/>
          <w:szCs w:val="17"/>
          <w:lang w:val="en-PH" w:eastAsia="fr-FR"/>
        </w:rPr>
        <w:t>expansive scope</w:t>
      </w:r>
      <w:r w:rsidRPr="000144B9">
        <w:rPr>
          <w:rFonts w:ascii="Verdana" w:hAnsi="Verdana"/>
          <w:sz w:val="17"/>
          <w:szCs w:val="17"/>
          <w:lang w:val="en-PH" w:eastAsia="fr-FR"/>
        </w:rPr>
        <w:t xml:space="preserve"> reflected in international standards, when it comes to comments aimed at upholding independence of the judiciary and related issues. Indeed, </w:t>
      </w:r>
      <w:r>
        <w:rPr>
          <w:rFonts w:ascii="Verdana" w:hAnsi="Verdana"/>
          <w:sz w:val="17"/>
          <w:szCs w:val="17"/>
          <w:lang w:val="en-PH" w:eastAsia="fr-FR"/>
        </w:rPr>
        <w:t xml:space="preserve">to the contrary, </w:t>
      </w:r>
      <w:r w:rsidRPr="000144B9">
        <w:rPr>
          <w:rFonts w:ascii="Verdana" w:hAnsi="Verdana"/>
          <w:sz w:val="17"/>
          <w:szCs w:val="17"/>
          <w:lang w:val="en-PH" w:eastAsia="fr-FR"/>
        </w:rPr>
        <w:t xml:space="preserve">ICJ understands that the circular was invoked to warn members of the judiciary that they </w:t>
      </w:r>
      <w:r>
        <w:rPr>
          <w:rFonts w:ascii="Verdana" w:hAnsi="Verdana"/>
          <w:sz w:val="17"/>
          <w:szCs w:val="17"/>
          <w:lang w:val="en-PH" w:eastAsia="fr-FR"/>
        </w:rPr>
        <w:t>would</w:t>
      </w:r>
      <w:r w:rsidRPr="000144B9">
        <w:rPr>
          <w:rFonts w:ascii="Verdana" w:hAnsi="Verdana"/>
          <w:sz w:val="17"/>
          <w:szCs w:val="17"/>
          <w:lang w:val="en-PH" w:eastAsia="fr-FR"/>
        </w:rPr>
        <w:t xml:space="preserve"> fac</w:t>
      </w:r>
      <w:r>
        <w:rPr>
          <w:rFonts w:ascii="Verdana" w:hAnsi="Verdana"/>
          <w:sz w:val="17"/>
          <w:szCs w:val="17"/>
          <w:lang w:val="en-PH" w:eastAsia="fr-FR"/>
        </w:rPr>
        <w:t>e</w:t>
      </w:r>
      <w:r w:rsidRPr="000144B9">
        <w:rPr>
          <w:rFonts w:ascii="Verdana" w:hAnsi="Verdana"/>
          <w:sz w:val="17"/>
          <w:szCs w:val="17"/>
          <w:lang w:val="en-PH" w:eastAsia="fr-FR"/>
        </w:rPr>
        <w:t xml:space="preserve"> disciplinary action if they express</w:t>
      </w:r>
      <w:r>
        <w:rPr>
          <w:rFonts w:ascii="Verdana" w:hAnsi="Verdana"/>
          <w:sz w:val="17"/>
          <w:szCs w:val="17"/>
          <w:lang w:val="en-PH" w:eastAsia="fr-FR"/>
        </w:rPr>
        <w:t>ed</w:t>
      </w:r>
      <w:r w:rsidRPr="000144B9">
        <w:rPr>
          <w:rFonts w:ascii="Verdana" w:hAnsi="Verdana"/>
          <w:sz w:val="17"/>
          <w:szCs w:val="17"/>
          <w:lang w:val="en-PH" w:eastAsia="fr-FR"/>
        </w:rPr>
        <w:t xml:space="preserve"> opinions on social media on the ouster of Maria Lourdes Sereno </w:t>
      </w:r>
      <w:r w:rsidRPr="000144B9">
        <w:rPr>
          <w:rFonts w:ascii="Verdana" w:hAnsi="Verdana"/>
          <w:sz w:val="17"/>
          <w:szCs w:val="17"/>
          <w:lang w:val="en-PH" w:eastAsia="fr-FR"/>
        </w:rPr>
        <w:lastRenderedPageBreak/>
        <w:t>as Chief Justice of the Supreme Court.</w:t>
      </w:r>
      <w:r>
        <w:rPr>
          <w:rStyle w:val="FootnoteReference"/>
          <w:rFonts w:ascii="Verdana" w:hAnsi="Verdana"/>
          <w:sz w:val="17"/>
          <w:szCs w:val="17"/>
          <w:lang w:val="en-PH" w:eastAsia="fr-FR"/>
        </w:rPr>
        <w:footnoteReference w:id="51"/>
      </w:r>
      <w:r w:rsidRPr="000144B9">
        <w:rPr>
          <w:rFonts w:ascii="Verdana" w:hAnsi="Verdana"/>
          <w:sz w:val="17"/>
          <w:szCs w:val="17"/>
          <w:lang w:val="en-PH" w:eastAsia="fr-FR"/>
        </w:rPr>
        <w:t xml:space="preserve"> This cast a chilling effect on the right to freedom of expression of the members of the judiciary.</w:t>
      </w:r>
    </w:p>
    <w:p w14:paraId="4E75591F" w14:textId="77777777" w:rsidR="000144B9" w:rsidRPr="000144B9" w:rsidRDefault="000144B9" w:rsidP="000144B9">
      <w:pPr>
        <w:tabs>
          <w:tab w:val="left" w:pos="0"/>
          <w:tab w:val="left" w:pos="567"/>
          <w:tab w:val="left" w:pos="1134"/>
          <w:tab w:val="left" w:pos="6379"/>
        </w:tabs>
        <w:spacing w:line="255" w:lineRule="exact"/>
        <w:rPr>
          <w:rFonts w:ascii="Verdana" w:hAnsi="Verdana"/>
          <w:sz w:val="17"/>
          <w:szCs w:val="17"/>
          <w:lang w:val="en-PH" w:eastAsia="fr-FR"/>
        </w:rPr>
      </w:pPr>
    </w:p>
    <w:p w14:paraId="5CAF40FF" w14:textId="77777777" w:rsidR="001C4040" w:rsidRDefault="001C4040" w:rsidP="001C4040">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ICJ, together with Judges for Judges, has also followed the case of </w:t>
      </w:r>
      <w:r w:rsidRPr="00B471C9">
        <w:rPr>
          <w:rFonts w:ascii="Verdana" w:hAnsi="Verdana"/>
          <w:sz w:val="17"/>
          <w:szCs w:val="17"/>
          <w:lang w:val="en-GB" w:eastAsia="fr-FR"/>
        </w:rPr>
        <w:t>Miroslava Todorova</w:t>
      </w:r>
      <w:r>
        <w:rPr>
          <w:rFonts w:ascii="Verdana" w:hAnsi="Verdana"/>
          <w:sz w:val="17"/>
          <w:szCs w:val="17"/>
          <w:lang w:val="en-GB" w:eastAsia="fr-FR"/>
        </w:rPr>
        <w:t xml:space="preserve"> a judge from </w:t>
      </w:r>
      <w:r w:rsidRPr="00B471C9">
        <w:rPr>
          <w:rFonts w:ascii="Verdana" w:hAnsi="Verdana"/>
          <w:b/>
          <w:sz w:val="17"/>
          <w:szCs w:val="17"/>
          <w:lang w:val="en-GB" w:eastAsia="fr-FR"/>
        </w:rPr>
        <w:t>Bulgaria</w:t>
      </w:r>
      <w:r>
        <w:rPr>
          <w:rFonts w:ascii="Verdana" w:hAnsi="Verdana"/>
          <w:sz w:val="17"/>
          <w:szCs w:val="17"/>
          <w:lang w:val="en-GB" w:eastAsia="fr-FR"/>
        </w:rPr>
        <w:t xml:space="preserve">. In that case, following public statements by a judge including in her role as head of an association of judges, the judge was subjected to disciplinary proceedings based on alleged inefficiency and performance issues. </w:t>
      </w:r>
      <w:r w:rsidRPr="00125275">
        <w:rPr>
          <w:rFonts w:ascii="Verdana" w:hAnsi="Verdana"/>
          <w:sz w:val="17"/>
          <w:szCs w:val="17"/>
          <w:lang w:val="en-GB" w:eastAsia="fr-FR"/>
        </w:rPr>
        <w:t>The ICJ and Judges for</w:t>
      </w:r>
      <w:r>
        <w:rPr>
          <w:rFonts w:ascii="Verdana" w:hAnsi="Verdana"/>
          <w:sz w:val="17"/>
          <w:szCs w:val="17"/>
          <w:lang w:val="en-GB" w:eastAsia="fr-FR"/>
        </w:rPr>
        <w:t xml:space="preserve"> Judges concluded that, u</w:t>
      </w:r>
      <w:r w:rsidRPr="00125275">
        <w:rPr>
          <w:rFonts w:ascii="Verdana" w:hAnsi="Verdana"/>
          <w:sz w:val="17"/>
          <w:szCs w:val="17"/>
          <w:lang w:val="en-GB" w:eastAsia="fr-FR"/>
        </w:rPr>
        <w:t xml:space="preserve">nder the circumstances, there </w:t>
      </w:r>
      <w:r>
        <w:rPr>
          <w:rFonts w:ascii="Verdana" w:hAnsi="Verdana"/>
          <w:sz w:val="17"/>
          <w:szCs w:val="17"/>
          <w:lang w:val="en-GB" w:eastAsia="fr-FR"/>
        </w:rPr>
        <w:t>wa</w:t>
      </w:r>
      <w:r w:rsidRPr="00125275">
        <w:rPr>
          <w:rFonts w:ascii="Verdana" w:hAnsi="Verdana"/>
          <w:sz w:val="17"/>
          <w:szCs w:val="17"/>
          <w:lang w:val="en-GB" w:eastAsia="fr-FR"/>
        </w:rPr>
        <w:t xml:space="preserve">s an appearance that the disciplinary proceedings against Todorova were instituted and pursued selectively, and </w:t>
      </w:r>
      <w:r>
        <w:rPr>
          <w:rFonts w:ascii="Verdana" w:hAnsi="Verdana"/>
          <w:sz w:val="17"/>
          <w:szCs w:val="17"/>
          <w:lang w:val="en-GB" w:eastAsia="fr-FR"/>
        </w:rPr>
        <w:t xml:space="preserve">that the system of the disciplinary </w:t>
      </w:r>
      <w:r w:rsidRPr="00125275">
        <w:rPr>
          <w:rFonts w:ascii="Verdana" w:hAnsi="Verdana"/>
          <w:sz w:val="17"/>
          <w:szCs w:val="17"/>
          <w:lang w:val="en-GB" w:eastAsia="fr-FR"/>
        </w:rPr>
        <w:t>proceedings</w:t>
      </w:r>
      <w:r>
        <w:rPr>
          <w:rFonts w:ascii="Verdana" w:hAnsi="Verdana"/>
          <w:sz w:val="17"/>
          <w:szCs w:val="17"/>
          <w:lang w:val="en-GB" w:eastAsia="fr-FR"/>
        </w:rPr>
        <w:t xml:space="preserve"> </w:t>
      </w:r>
      <w:r w:rsidRPr="00125275">
        <w:rPr>
          <w:rFonts w:ascii="Verdana" w:hAnsi="Verdana"/>
          <w:sz w:val="17"/>
          <w:szCs w:val="17"/>
          <w:lang w:val="en-GB" w:eastAsia="fr-FR"/>
        </w:rPr>
        <w:t>in</w:t>
      </w:r>
      <w:r>
        <w:rPr>
          <w:rFonts w:ascii="Verdana" w:hAnsi="Verdana"/>
          <w:sz w:val="17"/>
          <w:szCs w:val="17"/>
          <w:lang w:val="en-GB" w:eastAsia="fr-FR"/>
        </w:rPr>
        <w:t xml:space="preserve"> </w:t>
      </w:r>
      <w:r w:rsidRPr="00125275">
        <w:rPr>
          <w:rFonts w:ascii="Verdana" w:hAnsi="Verdana"/>
          <w:sz w:val="17"/>
          <w:szCs w:val="17"/>
          <w:lang w:val="en-GB" w:eastAsia="fr-FR"/>
        </w:rPr>
        <w:lastRenderedPageBreak/>
        <w:t xml:space="preserve">Bulgaria </w:t>
      </w:r>
      <w:r>
        <w:rPr>
          <w:rFonts w:ascii="Verdana" w:hAnsi="Verdana"/>
          <w:sz w:val="17"/>
          <w:szCs w:val="17"/>
          <w:lang w:val="en-GB" w:eastAsia="fr-FR"/>
        </w:rPr>
        <w:t xml:space="preserve">did </w:t>
      </w:r>
      <w:r w:rsidRPr="00125275">
        <w:rPr>
          <w:rFonts w:ascii="Verdana" w:hAnsi="Verdana"/>
          <w:sz w:val="17"/>
          <w:szCs w:val="17"/>
          <w:lang w:val="en-GB" w:eastAsia="fr-FR"/>
        </w:rPr>
        <w:t>not</w:t>
      </w:r>
      <w:r>
        <w:rPr>
          <w:rFonts w:ascii="Verdana" w:hAnsi="Verdana"/>
          <w:sz w:val="17"/>
          <w:szCs w:val="17"/>
          <w:lang w:val="en-GB" w:eastAsia="fr-FR"/>
        </w:rPr>
        <w:t xml:space="preserve"> </w:t>
      </w:r>
      <w:r w:rsidRPr="00125275">
        <w:rPr>
          <w:rFonts w:ascii="Verdana" w:hAnsi="Verdana"/>
          <w:sz w:val="17"/>
          <w:szCs w:val="17"/>
          <w:lang w:val="en-GB" w:eastAsia="fr-FR"/>
        </w:rPr>
        <w:t>provide</w:t>
      </w:r>
      <w:r>
        <w:rPr>
          <w:rFonts w:ascii="Verdana" w:hAnsi="Verdana"/>
          <w:sz w:val="17"/>
          <w:szCs w:val="17"/>
          <w:lang w:val="en-GB" w:eastAsia="fr-FR"/>
        </w:rPr>
        <w:t xml:space="preserve"> </w:t>
      </w:r>
      <w:r w:rsidRPr="00125275">
        <w:rPr>
          <w:rFonts w:ascii="Verdana" w:hAnsi="Verdana"/>
          <w:sz w:val="17"/>
          <w:szCs w:val="17"/>
          <w:lang w:val="en-GB" w:eastAsia="fr-FR"/>
        </w:rPr>
        <w:t>sufficient</w:t>
      </w:r>
      <w:r>
        <w:rPr>
          <w:rFonts w:ascii="Verdana" w:hAnsi="Verdana"/>
          <w:sz w:val="17"/>
          <w:szCs w:val="17"/>
          <w:lang w:val="en-GB" w:eastAsia="fr-FR"/>
        </w:rPr>
        <w:t xml:space="preserve"> </w:t>
      </w:r>
      <w:r w:rsidRPr="00125275">
        <w:rPr>
          <w:rFonts w:ascii="Verdana" w:hAnsi="Verdana"/>
          <w:sz w:val="17"/>
          <w:szCs w:val="17"/>
          <w:lang w:val="en-GB" w:eastAsia="fr-FR"/>
        </w:rPr>
        <w:t>safeguards</w:t>
      </w:r>
      <w:r>
        <w:rPr>
          <w:rFonts w:ascii="Verdana" w:hAnsi="Verdana"/>
          <w:sz w:val="17"/>
          <w:szCs w:val="17"/>
          <w:lang w:val="en-GB" w:eastAsia="fr-FR"/>
        </w:rPr>
        <w:t xml:space="preserve"> </w:t>
      </w:r>
      <w:r w:rsidRPr="00125275">
        <w:rPr>
          <w:rFonts w:ascii="Verdana" w:hAnsi="Verdana"/>
          <w:sz w:val="17"/>
          <w:szCs w:val="17"/>
          <w:lang w:val="en-GB" w:eastAsia="fr-FR"/>
        </w:rPr>
        <w:t>to dispel</w:t>
      </w:r>
      <w:r>
        <w:rPr>
          <w:rFonts w:ascii="Verdana" w:hAnsi="Verdana"/>
          <w:sz w:val="17"/>
          <w:szCs w:val="17"/>
          <w:lang w:val="en-GB" w:eastAsia="fr-FR"/>
        </w:rPr>
        <w:t xml:space="preserve"> </w:t>
      </w:r>
      <w:r w:rsidRPr="00125275">
        <w:rPr>
          <w:rFonts w:ascii="Verdana" w:hAnsi="Verdana"/>
          <w:sz w:val="17"/>
          <w:szCs w:val="17"/>
          <w:lang w:val="en-GB" w:eastAsia="fr-FR"/>
        </w:rPr>
        <w:t>this</w:t>
      </w:r>
      <w:r>
        <w:rPr>
          <w:rFonts w:ascii="Verdana" w:hAnsi="Verdana"/>
          <w:sz w:val="17"/>
          <w:szCs w:val="17"/>
          <w:lang w:val="en-GB" w:eastAsia="fr-FR"/>
        </w:rPr>
        <w:t xml:space="preserve"> appearance.</w:t>
      </w:r>
      <w:r>
        <w:rPr>
          <w:rStyle w:val="FootnoteReference"/>
          <w:rFonts w:ascii="Verdana" w:hAnsi="Verdana"/>
          <w:sz w:val="17"/>
          <w:szCs w:val="17"/>
          <w:lang w:val="en-GB" w:eastAsia="fr-FR"/>
        </w:rPr>
        <w:footnoteReference w:id="52"/>
      </w:r>
    </w:p>
    <w:p w14:paraId="1B531091" w14:textId="77777777" w:rsidR="001C4040" w:rsidRDefault="001C4040" w:rsidP="001C4040">
      <w:pPr>
        <w:spacing w:line="256" w:lineRule="exact"/>
        <w:rPr>
          <w:rFonts w:ascii="Verdana" w:hAnsi="Verdana"/>
          <w:sz w:val="18"/>
          <w:szCs w:val="18"/>
        </w:rPr>
      </w:pPr>
    </w:p>
    <w:p w14:paraId="53F4F520" w14:textId="77777777" w:rsidR="00F21B53" w:rsidRDefault="00F21B53" w:rsidP="00F21B53">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current approach in Canada is reflected in the </w:t>
      </w:r>
      <w:r w:rsidRPr="001C4040">
        <w:rPr>
          <w:rFonts w:ascii="Verdana" w:hAnsi="Verdana"/>
          <w:b/>
          <w:sz w:val="17"/>
          <w:szCs w:val="17"/>
          <w:lang w:val="en-GB" w:eastAsia="fr-FR"/>
        </w:rPr>
        <w:t>Canadian Judicial Council’s “Ethical Principles for Judges”</w:t>
      </w:r>
      <w:r>
        <w:rPr>
          <w:rFonts w:ascii="Verdana" w:hAnsi="Verdana"/>
          <w:sz w:val="17"/>
          <w:szCs w:val="17"/>
          <w:lang w:val="en-GB" w:eastAsia="fr-FR"/>
        </w:rPr>
        <w:t>,</w:t>
      </w:r>
      <w:r>
        <w:rPr>
          <w:rStyle w:val="FootnoteReference"/>
          <w:rFonts w:ascii="Verdana" w:hAnsi="Verdana"/>
          <w:sz w:val="17"/>
          <w:szCs w:val="17"/>
          <w:lang w:val="en-GB" w:eastAsia="fr-FR"/>
        </w:rPr>
        <w:footnoteReference w:id="53"/>
      </w:r>
      <w:r>
        <w:rPr>
          <w:rFonts w:ascii="Verdana" w:hAnsi="Verdana"/>
          <w:sz w:val="17"/>
          <w:szCs w:val="17"/>
          <w:lang w:val="en-GB" w:eastAsia="fr-FR"/>
        </w:rPr>
        <w:t xml:space="preserve"> which provide among other things that: “</w:t>
      </w:r>
      <w:r w:rsidRPr="00484C50">
        <w:rPr>
          <w:rFonts w:ascii="Verdana" w:hAnsi="Verdana"/>
          <w:sz w:val="17"/>
          <w:szCs w:val="17"/>
          <w:lang w:val="en-GB" w:eastAsia="fr-FR"/>
        </w:rPr>
        <w:t>Judges should refrain from conduct such as membership in</w:t>
      </w:r>
      <w:r>
        <w:rPr>
          <w:rFonts w:ascii="Verdana" w:hAnsi="Verdana"/>
          <w:sz w:val="17"/>
          <w:szCs w:val="17"/>
          <w:lang w:val="en-GB" w:eastAsia="fr-FR"/>
        </w:rPr>
        <w:t xml:space="preserve"> </w:t>
      </w:r>
      <w:r w:rsidRPr="00484C50">
        <w:rPr>
          <w:rFonts w:ascii="Verdana" w:hAnsi="Verdana"/>
          <w:sz w:val="17"/>
          <w:szCs w:val="17"/>
          <w:lang w:val="en-GB" w:eastAsia="fr-FR"/>
        </w:rPr>
        <w:t>groups or organizations or participation in public discussion</w:t>
      </w:r>
      <w:r>
        <w:rPr>
          <w:rFonts w:ascii="Verdana" w:hAnsi="Verdana"/>
          <w:sz w:val="17"/>
          <w:szCs w:val="17"/>
          <w:lang w:val="en-GB" w:eastAsia="fr-FR"/>
        </w:rPr>
        <w:t xml:space="preserve"> </w:t>
      </w:r>
      <w:r w:rsidRPr="00484C50">
        <w:rPr>
          <w:rFonts w:ascii="Verdana" w:hAnsi="Verdana"/>
          <w:sz w:val="17"/>
          <w:szCs w:val="17"/>
          <w:lang w:val="en-GB" w:eastAsia="fr-FR"/>
        </w:rPr>
        <w:t>which, in the mind of a reasonable, fair minded and informed</w:t>
      </w:r>
      <w:r>
        <w:rPr>
          <w:rFonts w:ascii="Verdana" w:hAnsi="Verdana"/>
          <w:sz w:val="17"/>
          <w:szCs w:val="17"/>
          <w:lang w:val="en-GB" w:eastAsia="fr-FR"/>
        </w:rPr>
        <w:t xml:space="preserve"> </w:t>
      </w:r>
      <w:r w:rsidRPr="00484C50">
        <w:rPr>
          <w:rFonts w:ascii="Verdana" w:hAnsi="Verdana"/>
          <w:sz w:val="17"/>
          <w:szCs w:val="17"/>
          <w:lang w:val="en-GB" w:eastAsia="fr-FR"/>
        </w:rPr>
        <w:t>person, would undermine confidence in a judge’s impartiality</w:t>
      </w:r>
      <w:r>
        <w:rPr>
          <w:rFonts w:ascii="Verdana" w:hAnsi="Verdana"/>
          <w:sz w:val="17"/>
          <w:szCs w:val="17"/>
          <w:lang w:val="en-GB" w:eastAsia="fr-FR"/>
        </w:rPr>
        <w:t xml:space="preserve"> </w:t>
      </w:r>
      <w:r w:rsidRPr="00484C50">
        <w:rPr>
          <w:rFonts w:ascii="Verdana" w:hAnsi="Verdana"/>
          <w:sz w:val="17"/>
          <w:szCs w:val="17"/>
          <w:lang w:val="en-GB" w:eastAsia="fr-FR"/>
        </w:rPr>
        <w:t>with respect to issues that could come before the courts</w:t>
      </w:r>
      <w:r>
        <w:rPr>
          <w:rFonts w:ascii="Verdana" w:hAnsi="Verdana"/>
          <w:sz w:val="17"/>
          <w:szCs w:val="17"/>
          <w:lang w:val="en-GB" w:eastAsia="fr-FR"/>
        </w:rPr>
        <w:t>;”</w:t>
      </w:r>
      <w:r>
        <w:rPr>
          <w:rStyle w:val="FootnoteReference"/>
          <w:rFonts w:ascii="Verdana" w:hAnsi="Verdana"/>
          <w:sz w:val="17"/>
          <w:szCs w:val="17"/>
          <w:lang w:val="en-GB" w:eastAsia="fr-FR"/>
        </w:rPr>
        <w:footnoteReference w:id="54"/>
      </w:r>
      <w:r>
        <w:rPr>
          <w:rFonts w:ascii="Verdana" w:hAnsi="Verdana"/>
          <w:sz w:val="17"/>
          <w:szCs w:val="17"/>
          <w:lang w:val="en-GB" w:eastAsia="fr-FR"/>
        </w:rPr>
        <w:t xml:space="preserve"> and that “</w:t>
      </w:r>
      <w:r w:rsidRPr="00484C50">
        <w:rPr>
          <w:rFonts w:ascii="Verdana" w:hAnsi="Verdana"/>
          <w:sz w:val="17"/>
          <w:szCs w:val="17"/>
          <w:lang w:val="en-GB" w:eastAsia="fr-FR"/>
        </w:rPr>
        <w:t xml:space="preserve">Judges should </w:t>
      </w:r>
      <w:r>
        <w:rPr>
          <w:rFonts w:ascii="Verdana" w:hAnsi="Verdana"/>
          <w:sz w:val="17"/>
          <w:szCs w:val="17"/>
          <w:lang w:val="en-GB" w:eastAsia="fr-FR"/>
        </w:rPr>
        <w:t>refrain from…</w:t>
      </w:r>
      <w:r w:rsidRPr="00484C50">
        <w:rPr>
          <w:rFonts w:ascii="Verdana" w:hAnsi="Verdana"/>
          <w:sz w:val="17"/>
          <w:szCs w:val="17"/>
          <w:lang w:val="en-GB" w:eastAsia="fr-FR"/>
        </w:rPr>
        <w:t xml:space="preserve"> taking part </w:t>
      </w:r>
      <w:r w:rsidRPr="00484C50">
        <w:rPr>
          <w:rFonts w:ascii="Verdana" w:hAnsi="Verdana"/>
          <w:sz w:val="17"/>
          <w:szCs w:val="17"/>
          <w:lang w:val="en-GB" w:eastAsia="fr-FR"/>
        </w:rPr>
        <w:lastRenderedPageBreak/>
        <w:t>publicly in controversial political discussions</w:t>
      </w:r>
      <w:r>
        <w:rPr>
          <w:rFonts w:ascii="Verdana" w:hAnsi="Verdana"/>
          <w:sz w:val="17"/>
          <w:szCs w:val="17"/>
          <w:lang w:val="en-GB" w:eastAsia="fr-FR"/>
        </w:rPr>
        <w:t xml:space="preserve"> </w:t>
      </w:r>
      <w:r w:rsidRPr="00484C50">
        <w:rPr>
          <w:rFonts w:ascii="Verdana" w:hAnsi="Verdana"/>
          <w:sz w:val="17"/>
          <w:szCs w:val="17"/>
          <w:lang w:val="en-GB" w:eastAsia="fr-FR"/>
        </w:rPr>
        <w:t>except in respect of matters directly affecting the operation</w:t>
      </w:r>
      <w:r>
        <w:rPr>
          <w:rFonts w:ascii="Verdana" w:hAnsi="Verdana"/>
          <w:sz w:val="17"/>
          <w:szCs w:val="17"/>
          <w:lang w:val="en-GB" w:eastAsia="fr-FR"/>
        </w:rPr>
        <w:t xml:space="preserve"> </w:t>
      </w:r>
      <w:r w:rsidRPr="00484C50">
        <w:rPr>
          <w:rFonts w:ascii="Verdana" w:hAnsi="Verdana"/>
          <w:sz w:val="17"/>
          <w:szCs w:val="17"/>
          <w:lang w:val="en-GB" w:eastAsia="fr-FR"/>
        </w:rPr>
        <w:t>of the courts, the independence of the judiciary or fundamental aspects of the administration of justic</w:t>
      </w:r>
      <w:r>
        <w:rPr>
          <w:rFonts w:ascii="Verdana" w:hAnsi="Verdana"/>
          <w:sz w:val="17"/>
          <w:szCs w:val="17"/>
          <w:lang w:val="en-GB" w:eastAsia="fr-FR"/>
        </w:rPr>
        <w:t>e.”</w:t>
      </w:r>
      <w:r>
        <w:rPr>
          <w:rStyle w:val="FootnoteReference"/>
          <w:rFonts w:ascii="Verdana" w:hAnsi="Verdana"/>
          <w:sz w:val="17"/>
          <w:szCs w:val="17"/>
          <w:lang w:val="en-GB" w:eastAsia="fr-FR"/>
        </w:rPr>
        <w:footnoteReference w:id="55"/>
      </w:r>
      <w:r>
        <w:rPr>
          <w:rFonts w:ascii="Verdana" w:hAnsi="Verdana"/>
          <w:sz w:val="17"/>
          <w:szCs w:val="17"/>
          <w:lang w:val="en-GB" w:eastAsia="fr-FR"/>
        </w:rPr>
        <w:t xml:space="preserve"> The Commentary to the Principles counsels as follows:</w:t>
      </w:r>
    </w:p>
    <w:p w14:paraId="776C9F58" w14:textId="77777777" w:rsidR="00F21B53" w:rsidRDefault="00F21B53" w:rsidP="00F21B53">
      <w:pPr>
        <w:tabs>
          <w:tab w:val="left" w:pos="0"/>
          <w:tab w:val="left" w:pos="567"/>
          <w:tab w:val="left" w:pos="1134"/>
          <w:tab w:val="left" w:pos="6379"/>
        </w:tabs>
        <w:spacing w:line="255" w:lineRule="exact"/>
        <w:rPr>
          <w:rFonts w:ascii="Verdana" w:hAnsi="Verdana"/>
          <w:sz w:val="17"/>
          <w:szCs w:val="17"/>
          <w:lang w:val="en-GB" w:eastAsia="fr-FR"/>
        </w:rPr>
      </w:pPr>
    </w:p>
    <w:p w14:paraId="1D29E131" w14:textId="77777777" w:rsidR="00F21B53" w:rsidRPr="00E72D41" w:rsidRDefault="00F21B53" w:rsidP="00F21B5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 xml:space="preserve">The application of Principle D.3(d), which counsels avoidance of public participation in controversial political discussions, is more open to debate and problems of application than the other principles in this section. Judges on appointment do not surrender all of the rights to freedom of expression enjoyed by everyone else in Canada. But, the office of judge imposes restraints that are necessary to maintain public confidence in the impartiality and independence of the judiciary. In defining the appropriate degree of involvement of the judiciary in public debate, there are two fundamental considerations. The first is whether the judge’s involvement could reasonably undermine confidence in his or her impartiality. The second is whether such involvement may unnecessarily </w:t>
      </w:r>
      <w:r w:rsidRPr="00E72D41">
        <w:rPr>
          <w:rFonts w:ascii="Verdana" w:hAnsi="Verdana"/>
          <w:sz w:val="16"/>
          <w:szCs w:val="16"/>
          <w:lang w:val="en-GB" w:eastAsia="fr-FR"/>
        </w:rPr>
        <w:lastRenderedPageBreak/>
        <w:t>expose the judge to political attack or be inconsistent with the dignity of judicial office. If either is the case the judge should avoid such involvement.</w:t>
      </w:r>
    </w:p>
    <w:p w14:paraId="6AB0CFC4" w14:textId="77777777" w:rsidR="00F21B53" w:rsidRPr="00E72D41" w:rsidRDefault="00F21B53" w:rsidP="00F21B53">
      <w:pPr>
        <w:tabs>
          <w:tab w:val="left" w:pos="0"/>
          <w:tab w:val="left" w:pos="567"/>
          <w:tab w:val="left" w:pos="1134"/>
          <w:tab w:val="left" w:pos="6379"/>
        </w:tabs>
        <w:spacing w:line="255" w:lineRule="exact"/>
        <w:ind w:left="567"/>
        <w:rPr>
          <w:rFonts w:ascii="Verdana" w:hAnsi="Verdana"/>
          <w:sz w:val="16"/>
          <w:szCs w:val="16"/>
          <w:lang w:val="en-GB" w:eastAsia="fr-FR"/>
        </w:rPr>
      </w:pPr>
    </w:p>
    <w:p w14:paraId="1C1F9089" w14:textId="77777777" w:rsidR="00F21B53" w:rsidRPr="00E72D41" w:rsidRDefault="00F21B53" w:rsidP="00F21B53">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Principle D.3(d) recognizes that, while restraint is the watchword, there are limited circumstances in which a judge may properly speak out about a matter that is politically controversial, namely, when the matter directly affects the operation of the courts, the independence of the judiciary (which may include judicial salaries and benefits), fundamental aspects of the administration of justice, or the personal integrity of the judge. Even with respect to these matters, however, a judge should act with great restraint. Judges must remember that their public comments may be taken as reflective of the views of the judiciary; it is difficult for a judge to express opinions that will be taken as purely personal and not those of the judiciary generally. There are usually alternatives to public discussion. For example, the chief justice of the court may raise the matter formally with the appropriate official or officials. Except for statutory and constitutional duties and matters affecting the operation of the courts or the proper administration of justice, chief justices are in no different position than their colleagues.</w:t>
      </w:r>
    </w:p>
    <w:p w14:paraId="01F894B1" w14:textId="77777777" w:rsidR="00F21B53" w:rsidRPr="00E72D41" w:rsidRDefault="00F21B53" w:rsidP="00F21B53">
      <w:pPr>
        <w:tabs>
          <w:tab w:val="left" w:pos="0"/>
          <w:tab w:val="left" w:pos="567"/>
          <w:tab w:val="left" w:pos="1134"/>
          <w:tab w:val="left" w:pos="6379"/>
        </w:tabs>
        <w:spacing w:line="255" w:lineRule="exact"/>
        <w:ind w:left="567"/>
        <w:rPr>
          <w:rFonts w:ascii="Verdana" w:hAnsi="Verdana"/>
          <w:sz w:val="16"/>
          <w:szCs w:val="16"/>
          <w:lang w:val="en-GB" w:eastAsia="fr-FR"/>
        </w:rPr>
      </w:pPr>
    </w:p>
    <w:p w14:paraId="386CF144" w14:textId="77777777" w:rsidR="00F21B53" w:rsidRDefault="00F21B53" w:rsidP="00F21B53">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lastRenderedPageBreak/>
        <w:t xml:space="preserve">…Nothing in these Principles prevents or indeed discourages judicial participation in law reform or other scholarly or educational activities of a nonpartisan nature directed to the improvement of the law and the administration of justice. Judges seconded to law reform commissions may exercise greater latitude with respect to matters under consideration by the Commission. …However, when engaging in such activities, the judge must not be seen as “lobbying” government or as indicating how he or she would rule if particular situations were to come before the judge in court. This, of course, does not prevent judges from making representations to government concerning judicial independence or, through the appropriate mechanisms, with respect to salaries and benefits. Discussion of the law for educational purposes or pointing out weaknesses in the law in appropriate settings is in no way discouraged. For example, in certain special circumstances, judicial commentary on draft legislation may be helpful and appropriate, so long as the judge avoids giving informal interpretations or opinions on constitutionality. Normally, judicial commentary on proposed legislation or on other questions of government policy should relate to practical implications or legislative drafting and should avoid issues of political controversy. In general, such judicial commentary should </w:t>
      </w:r>
      <w:r w:rsidRPr="00E72D41">
        <w:rPr>
          <w:rFonts w:ascii="Verdana" w:hAnsi="Verdana"/>
          <w:sz w:val="16"/>
          <w:szCs w:val="16"/>
          <w:lang w:val="en-GB" w:eastAsia="fr-FR"/>
        </w:rPr>
        <w:lastRenderedPageBreak/>
        <w:t>be made as part of a collective or institutionalized effort by the judiciary, not that of an individual judge.</w:t>
      </w:r>
      <w:r>
        <w:rPr>
          <w:rStyle w:val="FootnoteReference"/>
          <w:rFonts w:ascii="Verdana" w:hAnsi="Verdana"/>
          <w:sz w:val="17"/>
          <w:szCs w:val="17"/>
          <w:lang w:val="en-GB" w:eastAsia="fr-FR"/>
        </w:rPr>
        <w:footnoteReference w:id="56"/>
      </w:r>
    </w:p>
    <w:p w14:paraId="68244EEE" w14:textId="77777777" w:rsidR="00F21B53" w:rsidRPr="00235B01" w:rsidRDefault="00F21B53" w:rsidP="001C4040">
      <w:pPr>
        <w:spacing w:line="256" w:lineRule="exact"/>
        <w:rPr>
          <w:rFonts w:ascii="Verdana" w:hAnsi="Verdana"/>
          <w:sz w:val="18"/>
          <w:szCs w:val="18"/>
        </w:rPr>
      </w:pPr>
    </w:p>
    <w:p w14:paraId="312372FA" w14:textId="77777777" w:rsidR="00393E7E" w:rsidRDefault="00393E7E" w:rsidP="00191571">
      <w:pPr>
        <w:tabs>
          <w:tab w:val="left" w:pos="0"/>
          <w:tab w:val="left" w:pos="567"/>
          <w:tab w:val="left" w:pos="1134"/>
          <w:tab w:val="left" w:pos="6379"/>
        </w:tabs>
        <w:spacing w:line="255" w:lineRule="exact"/>
        <w:rPr>
          <w:rFonts w:ascii="Verdana" w:hAnsi="Verdana"/>
          <w:sz w:val="17"/>
          <w:szCs w:val="17"/>
          <w:lang w:val="en-GB" w:eastAsia="fr-FR"/>
        </w:rPr>
      </w:pPr>
    </w:p>
    <w:p w14:paraId="7E1807C1" w14:textId="1646D931" w:rsidR="00393E7E" w:rsidRPr="00393E7E" w:rsidRDefault="001C4040" w:rsidP="001C4040">
      <w:pPr>
        <w:pBdr>
          <w:top w:val="single" w:sz="4" w:space="1" w:color="auto"/>
          <w:left w:val="single" w:sz="4" w:space="4" w:color="auto"/>
          <w:bottom w:val="single" w:sz="4" w:space="1" w:color="auto"/>
          <w:right w:val="single" w:sz="4" w:space="4" w:color="auto"/>
        </w:pBdr>
        <w:tabs>
          <w:tab w:val="left" w:pos="0"/>
          <w:tab w:val="left" w:pos="567"/>
          <w:tab w:val="left" w:pos="1134"/>
          <w:tab w:val="left" w:pos="6379"/>
        </w:tabs>
        <w:spacing w:line="255" w:lineRule="exact"/>
        <w:rPr>
          <w:rFonts w:ascii="Verdana" w:hAnsi="Verdana"/>
          <w:b/>
          <w:sz w:val="17"/>
          <w:szCs w:val="17"/>
          <w:lang w:val="en-GB" w:eastAsia="fr-FR"/>
        </w:rPr>
      </w:pPr>
      <w:r>
        <w:rPr>
          <w:rFonts w:ascii="Verdana" w:hAnsi="Verdana"/>
          <w:b/>
          <w:sz w:val="17"/>
          <w:szCs w:val="17"/>
          <w:lang w:val="en-GB" w:eastAsia="fr-FR"/>
        </w:rPr>
        <w:t>4.</w:t>
      </w:r>
      <w:r w:rsidR="00F42439">
        <w:rPr>
          <w:rFonts w:ascii="Verdana" w:hAnsi="Verdana"/>
          <w:b/>
          <w:sz w:val="17"/>
          <w:szCs w:val="17"/>
          <w:lang w:val="en-GB" w:eastAsia="fr-FR"/>
        </w:rPr>
        <w:t xml:space="preserve"> </w:t>
      </w:r>
      <w:r w:rsidR="00F21B53">
        <w:rPr>
          <w:rFonts w:ascii="Verdana" w:hAnsi="Verdana"/>
          <w:b/>
          <w:sz w:val="17"/>
          <w:szCs w:val="17"/>
          <w:lang w:val="en-GB" w:eastAsia="fr-FR"/>
        </w:rPr>
        <w:t>Academic Sources</w:t>
      </w:r>
    </w:p>
    <w:p w14:paraId="7AEE7D9B" w14:textId="77777777" w:rsidR="00393E7E" w:rsidRDefault="00393E7E" w:rsidP="00191571">
      <w:pPr>
        <w:tabs>
          <w:tab w:val="left" w:pos="0"/>
          <w:tab w:val="left" w:pos="567"/>
          <w:tab w:val="left" w:pos="1134"/>
          <w:tab w:val="left" w:pos="6379"/>
        </w:tabs>
        <w:spacing w:line="255" w:lineRule="exact"/>
        <w:rPr>
          <w:rFonts w:ascii="Verdana" w:hAnsi="Verdana"/>
          <w:sz w:val="17"/>
          <w:szCs w:val="17"/>
          <w:lang w:val="en-GB" w:eastAsia="fr-FR"/>
        </w:rPr>
      </w:pPr>
    </w:p>
    <w:p w14:paraId="32B3A73C" w14:textId="181508DD" w:rsidR="00393E7E" w:rsidRDefault="00393E7E" w:rsidP="00191571">
      <w:pPr>
        <w:tabs>
          <w:tab w:val="left" w:pos="0"/>
          <w:tab w:val="left" w:pos="567"/>
          <w:tab w:val="left" w:pos="1134"/>
          <w:tab w:val="left" w:pos="6379"/>
        </w:tabs>
        <w:spacing w:line="255" w:lineRule="exact"/>
        <w:rPr>
          <w:rFonts w:ascii="Verdana" w:hAnsi="Verdana"/>
          <w:sz w:val="17"/>
          <w:szCs w:val="17"/>
          <w:lang w:val="en-GB" w:eastAsia="fr-FR"/>
        </w:rPr>
      </w:pPr>
      <w:r w:rsidRPr="001C4040">
        <w:rPr>
          <w:rFonts w:ascii="Verdana" w:hAnsi="Verdana"/>
          <w:b/>
          <w:sz w:val="17"/>
          <w:szCs w:val="17"/>
          <w:lang w:val="en-GB" w:eastAsia="fr-FR"/>
        </w:rPr>
        <w:t>Jasmin Moran, “Courting Controversy: The Problems Caused by Extrajudicial Speech and Writing” (2015)</w:t>
      </w:r>
      <w:r w:rsidRPr="00393E7E">
        <w:rPr>
          <w:rFonts w:ascii="Verdana" w:hAnsi="Verdana"/>
          <w:sz w:val="17"/>
          <w:szCs w:val="17"/>
          <w:lang w:val="en-GB" w:eastAsia="fr-FR"/>
        </w:rPr>
        <w:t>,</w:t>
      </w:r>
      <w:r>
        <w:rPr>
          <w:rStyle w:val="FootnoteReference"/>
          <w:rFonts w:ascii="Verdana" w:hAnsi="Verdana"/>
          <w:sz w:val="17"/>
          <w:szCs w:val="17"/>
          <w:lang w:val="en-GB" w:eastAsia="fr-FR"/>
        </w:rPr>
        <w:footnoteReference w:id="57"/>
      </w:r>
      <w:r w:rsidRPr="00393E7E">
        <w:rPr>
          <w:rFonts w:ascii="Verdana" w:hAnsi="Verdana"/>
          <w:sz w:val="17"/>
          <w:szCs w:val="17"/>
          <w:lang w:val="en-GB" w:eastAsia="fr-FR"/>
        </w:rPr>
        <w:t xml:space="preserve"> </w:t>
      </w:r>
      <w:r>
        <w:rPr>
          <w:rFonts w:ascii="Verdana" w:hAnsi="Verdana"/>
          <w:sz w:val="17"/>
          <w:szCs w:val="17"/>
          <w:lang w:val="en-GB" w:eastAsia="fr-FR"/>
        </w:rPr>
        <w:t xml:space="preserve">discusses a number of cases of out-of-court statements by judges, in a number of common law jurisdictions (in particular, New Zealand, </w:t>
      </w:r>
      <w:r w:rsidRPr="00393E7E">
        <w:rPr>
          <w:rFonts w:ascii="Verdana" w:hAnsi="Verdana"/>
          <w:sz w:val="17"/>
          <w:szCs w:val="17"/>
          <w:lang w:val="en-GB" w:eastAsia="fr-FR"/>
        </w:rPr>
        <w:t>England, Scotland and the United States</w:t>
      </w:r>
      <w:r>
        <w:rPr>
          <w:rFonts w:ascii="Verdana" w:hAnsi="Verdana"/>
          <w:sz w:val="17"/>
          <w:szCs w:val="17"/>
          <w:lang w:val="en-GB" w:eastAsia="fr-FR"/>
        </w:rPr>
        <w:t>), and examines legal, ethical and policy questions about the correct balance between judicial freedom of expression and the need to safeguard impartiality of the courts</w:t>
      </w:r>
      <w:r w:rsidRPr="00393E7E">
        <w:rPr>
          <w:rFonts w:ascii="Verdana" w:hAnsi="Verdana"/>
          <w:sz w:val="17"/>
          <w:szCs w:val="17"/>
          <w:lang w:val="en-GB" w:eastAsia="fr-FR"/>
        </w:rPr>
        <w:t>.</w:t>
      </w:r>
      <w:r w:rsidR="00237547">
        <w:rPr>
          <w:rFonts w:ascii="Verdana" w:hAnsi="Verdana"/>
          <w:sz w:val="17"/>
          <w:szCs w:val="17"/>
          <w:lang w:val="en-GB" w:eastAsia="fr-FR"/>
        </w:rPr>
        <w:t xml:space="preserve"> She concludes</w:t>
      </w:r>
      <w:r w:rsidR="0050490A">
        <w:rPr>
          <w:rFonts w:ascii="Verdana" w:hAnsi="Verdana"/>
          <w:sz w:val="17"/>
          <w:szCs w:val="17"/>
          <w:lang w:val="en-GB" w:eastAsia="fr-FR"/>
        </w:rPr>
        <w:t xml:space="preserve"> (p. 488-489)</w:t>
      </w:r>
      <w:r w:rsidR="00237547">
        <w:rPr>
          <w:rFonts w:ascii="Verdana" w:hAnsi="Verdana"/>
          <w:sz w:val="17"/>
          <w:szCs w:val="17"/>
          <w:lang w:val="en-GB" w:eastAsia="fr-FR"/>
        </w:rPr>
        <w:t>:</w:t>
      </w:r>
    </w:p>
    <w:p w14:paraId="774FA9E0" w14:textId="77777777" w:rsidR="00237547" w:rsidRDefault="00237547" w:rsidP="00191571">
      <w:pPr>
        <w:tabs>
          <w:tab w:val="left" w:pos="0"/>
          <w:tab w:val="left" w:pos="567"/>
          <w:tab w:val="left" w:pos="1134"/>
          <w:tab w:val="left" w:pos="6379"/>
        </w:tabs>
        <w:spacing w:line="255" w:lineRule="exact"/>
        <w:rPr>
          <w:rFonts w:ascii="Verdana" w:hAnsi="Verdana"/>
          <w:sz w:val="17"/>
          <w:szCs w:val="17"/>
          <w:lang w:val="en-GB" w:eastAsia="fr-FR"/>
        </w:rPr>
      </w:pPr>
    </w:p>
    <w:p w14:paraId="6D6B33D0" w14:textId="206CF00E" w:rsidR="00237547" w:rsidRPr="00E72D41" w:rsidRDefault="00237547" w:rsidP="0050490A">
      <w:pPr>
        <w:tabs>
          <w:tab w:val="left" w:pos="0"/>
          <w:tab w:val="left" w:pos="567"/>
          <w:tab w:val="left" w:pos="1134"/>
          <w:tab w:val="left" w:pos="6379"/>
        </w:tabs>
        <w:spacing w:line="255" w:lineRule="exact"/>
        <w:ind w:left="567"/>
        <w:rPr>
          <w:rFonts w:ascii="Verdana" w:hAnsi="Verdana"/>
          <w:sz w:val="16"/>
          <w:szCs w:val="16"/>
          <w:lang w:val="en-GB" w:eastAsia="fr-FR"/>
        </w:rPr>
      </w:pPr>
      <w:r w:rsidRPr="00E72D41">
        <w:rPr>
          <w:rFonts w:ascii="Verdana" w:hAnsi="Verdana"/>
          <w:sz w:val="16"/>
          <w:szCs w:val="16"/>
          <w:lang w:val="en-GB" w:eastAsia="fr-FR"/>
        </w:rPr>
        <w:t xml:space="preserve">The current approach to this problem, found in judicial conduct codes and case law, is that judges are free to express opinions on </w:t>
      </w:r>
      <w:r w:rsidRPr="00E72D41">
        <w:rPr>
          <w:rFonts w:ascii="Verdana" w:hAnsi="Verdana"/>
          <w:sz w:val="16"/>
          <w:szCs w:val="16"/>
          <w:lang w:val="en-GB" w:eastAsia="fr-FR"/>
        </w:rPr>
        <w:lastRenderedPageBreak/>
        <w:t>legal issues outside of judgments in written publications and speeches.</w:t>
      </w:r>
      <w:r w:rsidR="0050490A" w:rsidRPr="00E72D41">
        <w:rPr>
          <w:rFonts w:ascii="Verdana" w:hAnsi="Verdana"/>
          <w:sz w:val="16"/>
          <w:szCs w:val="16"/>
          <w:lang w:val="en-GB" w:eastAsia="fr-FR"/>
        </w:rPr>
        <w:t xml:space="preserve"> </w:t>
      </w:r>
      <w:r w:rsidRPr="00E72D41">
        <w:rPr>
          <w:rFonts w:ascii="Verdana" w:hAnsi="Verdana"/>
          <w:sz w:val="16"/>
          <w:szCs w:val="16"/>
          <w:lang w:val="en-GB" w:eastAsia="fr-FR"/>
        </w:rPr>
        <w:t xml:space="preserve">However, if the tone and language used are intemperate, the </w:t>
      </w:r>
      <w:r w:rsidRPr="00E72D41">
        <w:rPr>
          <w:rFonts w:ascii="Verdana" w:hAnsi="Verdana"/>
          <w:i/>
          <w:sz w:val="16"/>
          <w:szCs w:val="16"/>
          <w:lang w:val="en-GB" w:eastAsia="fr-FR"/>
        </w:rPr>
        <w:t>Saxmere</w:t>
      </w:r>
      <w:r w:rsidRPr="00E72D41">
        <w:rPr>
          <w:rFonts w:ascii="Verdana" w:hAnsi="Verdana"/>
          <w:sz w:val="16"/>
          <w:szCs w:val="16"/>
          <w:lang w:val="en-GB" w:eastAsia="fr-FR"/>
        </w:rPr>
        <w:t xml:space="preserve"> test</w:t>
      </w:r>
      <w:r w:rsidRPr="00E72D41">
        <w:rPr>
          <w:rStyle w:val="FootnoteReference"/>
          <w:rFonts w:ascii="Verdana" w:hAnsi="Verdana"/>
          <w:sz w:val="16"/>
          <w:szCs w:val="16"/>
          <w:lang w:val="en-GB" w:eastAsia="fr-FR"/>
        </w:rPr>
        <w:footnoteReference w:id="58"/>
      </w:r>
      <w:r w:rsidRPr="00E72D41">
        <w:rPr>
          <w:rFonts w:ascii="Verdana" w:hAnsi="Verdana"/>
          <w:sz w:val="16"/>
          <w:szCs w:val="16"/>
          <w:lang w:val="en-GB" w:eastAsia="fr-FR"/>
        </w:rPr>
        <w:t xml:space="preserve"> for apparent bias may be satisfied and the judge will need to recuse him or herself.</w:t>
      </w:r>
    </w:p>
    <w:p w14:paraId="5AF6BBBA" w14:textId="77777777" w:rsidR="0050490A" w:rsidRPr="00E72D41" w:rsidRDefault="0050490A" w:rsidP="00237547">
      <w:pPr>
        <w:tabs>
          <w:tab w:val="left" w:pos="0"/>
          <w:tab w:val="left" w:pos="567"/>
          <w:tab w:val="left" w:pos="1134"/>
          <w:tab w:val="left" w:pos="6379"/>
        </w:tabs>
        <w:spacing w:line="255" w:lineRule="exact"/>
        <w:ind w:left="567"/>
        <w:rPr>
          <w:rFonts w:ascii="Verdana" w:hAnsi="Verdana"/>
          <w:sz w:val="16"/>
          <w:szCs w:val="16"/>
          <w:lang w:val="en-GB" w:eastAsia="fr-FR"/>
        </w:rPr>
      </w:pPr>
    </w:p>
    <w:p w14:paraId="44AF9E29" w14:textId="77777777" w:rsidR="00237547" w:rsidRPr="00237547" w:rsidRDefault="00237547" w:rsidP="00237547">
      <w:pPr>
        <w:tabs>
          <w:tab w:val="left" w:pos="0"/>
          <w:tab w:val="left" w:pos="567"/>
          <w:tab w:val="left" w:pos="1134"/>
          <w:tab w:val="left" w:pos="6379"/>
        </w:tabs>
        <w:spacing w:line="255" w:lineRule="exact"/>
        <w:ind w:left="567"/>
        <w:rPr>
          <w:rFonts w:ascii="Verdana" w:hAnsi="Verdana"/>
          <w:sz w:val="17"/>
          <w:szCs w:val="17"/>
          <w:lang w:val="en-GB" w:eastAsia="fr-FR"/>
        </w:rPr>
      </w:pPr>
      <w:r w:rsidRPr="00E72D41">
        <w:rPr>
          <w:rFonts w:ascii="Verdana" w:hAnsi="Verdana"/>
          <w:sz w:val="16"/>
          <w:szCs w:val="16"/>
          <w:lang w:val="en-GB" w:eastAsia="fr-FR"/>
        </w:rPr>
        <w:t xml:space="preserve">The remainder of the article analysed whether this is the correct approach. Any approach must navigate between two concerns: protecting judicial free speech, and ensuring the effective and efficient functioning of the legal system. These goals are at odds with each other and the line must be drawn somewhere between them. The status quo achieves an appropriate balance, recognising free speech but also upholding the integrity of the justice system by protecting judicial impartiality. The threshold for recusal is high enough to preclude problems such as litigants bringing hollow bias </w:t>
      </w:r>
      <w:r w:rsidRPr="00E72D41">
        <w:rPr>
          <w:rFonts w:ascii="Verdana" w:hAnsi="Verdana"/>
          <w:sz w:val="16"/>
          <w:szCs w:val="16"/>
          <w:lang w:val="en-GB" w:eastAsia="fr-FR"/>
        </w:rPr>
        <w:lastRenderedPageBreak/>
        <w:t>claims. In this context, a policy of judicial silence is not only unnecessary, but also undesirable. It denies judges the right to express their opinions and robs society of an invaluable educative resource.</w:t>
      </w:r>
    </w:p>
    <w:p w14:paraId="159EAD05" w14:textId="77777777" w:rsidR="00393E7E" w:rsidRDefault="00393E7E" w:rsidP="00191571">
      <w:pPr>
        <w:tabs>
          <w:tab w:val="left" w:pos="0"/>
          <w:tab w:val="left" w:pos="567"/>
          <w:tab w:val="left" w:pos="1134"/>
          <w:tab w:val="left" w:pos="6379"/>
        </w:tabs>
        <w:spacing w:line="255" w:lineRule="exact"/>
        <w:rPr>
          <w:rFonts w:ascii="Verdana" w:hAnsi="Verdana"/>
          <w:sz w:val="17"/>
          <w:szCs w:val="17"/>
          <w:lang w:val="en-GB" w:eastAsia="fr-FR"/>
        </w:rPr>
      </w:pPr>
    </w:p>
    <w:p w14:paraId="0360646C" w14:textId="75E58F7F" w:rsidR="00393E7E" w:rsidRPr="00032C5B" w:rsidRDefault="00393E7E" w:rsidP="00191571">
      <w:pPr>
        <w:tabs>
          <w:tab w:val="left" w:pos="0"/>
          <w:tab w:val="left" w:pos="567"/>
          <w:tab w:val="left" w:pos="1134"/>
          <w:tab w:val="left" w:pos="6379"/>
        </w:tabs>
        <w:spacing w:line="255" w:lineRule="exact"/>
        <w:rPr>
          <w:rFonts w:ascii="Verdana" w:hAnsi="Verdana"/>
          <w:sz w:val="17"/>
          <w:szCs w:val="17"/>
          <w:lang w:val="en-GB" w:eastAsia="fr-FR"/>
        </w:rPr>
      </w:pPr>
      <w:r w:rsidRPr="001C4040">
        <w:rPr>
          <w:rFonts w:ascii="Verdana" w:hAnsi="Verdana"/>
          <w:b/>
          <w:sz w:val="17"/>
          <w:szCs w:val="17"/>
          <w:lang w:val="en-GB" w:eastAsia="fr-FR"/>
        </w:rPr>
        <w:t>Sietske Dijkstra,</w:t>
      </w:r>
      <w:r w:rsidR="00831799" w:rsidRPr="001C4040">
        <w:rPr>
          <w:rFonts w:ascii="Verdana" w:hAnsi="Verdana"/>
          <w:b/>
          <w:sz w:val="17"/>
          <w:szCs w:val="17"/>
          <w:lang w:val="en-GB" w:eastAsia="fr-FR"/>
        </w:rPr>
        <w:t xml:space="preserve"> in</w:t>
      </w:r>
      <w:r w:rsidRPr="001C4040">
        <w:rPr>
          <w:rFonts w:ascii="Verdana" w:hAnsi="Verdana"/>
          <w:b/>
          <w:sz w:val="17"/>
          <w:szCs w:val="17"/>
          <w:lang w:val="en-GB" w:eastAsia="fr-FR"/>
        </w:rPr>
        <w:t xml:space="preserve"> “The Freedom of the Judge to Express his Personal Opinions and Convictions under the ECHR</w:t>
      </w:r>
      <w:r w:rsidR="00237547" w:rsidRPr="001C4040">
        <w:rPr>
          <w:rFonts w:ascii="Verdana" w:hAnsi="Verdana"/>
          <w:b/>
          <w:sz w:val="17"/>
          <w:szCs w:val="17"/>
          <w:lang w:val="en-GB" w:eastAsia="fr-FR"/>
        </w:rPr>
        <w:t>” (2017)</w:t>
      </w:r>
      <w:r w:rsidR="00237547">
        <w:rPr>
          <w:rFonts w:ascii="Verdana" w:hAnsi="Verdana"/>
          <w:sz w:val="17"/>
          <w:szCs w:val="17"/>
          <w:lang w:val="en-GB" w:eastAsia="fr-FR"/>
        </w:rPr>
        <w:t>,</w:t>
      </w:r>
      <w:r w:rsidR="00237547">
        <w:rPr>
          <w:rStyle w:val="FootnoteReference"/>
          <w:rFonts w:ascii="Verdana" w:hAnsi="Verdana"/>
          <w:sz w:val="17"/>
          <w:szCs w:val="17"/>
          <w:lang w:val="en-GB" w:eastAsia="fr-FR"/>
        </w:rPr>
        <w:footnoteReference w:id="59"/>
      </w:r>
      <w:r w:rsidR="00BD74C1">
        <w:rPr>
          <w:rFonts w:ascii="Verdana" w:hAnsi="Verdana"/>
          <w:sz w:val="17"/>
          <w:szCs w:val="17"/>
          <w:lang w:val="en-GB" w:eastAsia="fr-FR"/>
        </w:rPr>
        <w:t xml:space="preserve"> </w:t>
      </w:r>
      <w:r w:rsidR="00032C5B">
        <w:rPr>
          <w:rFonts w:ascii="Verdana" w:hAnsi="Verdana"/>
          <w:sz w:val="17"/>
          <w:szCs w:val="17"/>
          <w:lang w:val="en-GB" w:eastAsia="fr-FR"/>
        </w:rPr>
        <w:t xml:space="preserve">reviews European Court jurisprudence, up to and including the Grand Chamber judgment in </w:t>
      </w:r>
      <w:r w:rsidR="00032C5B">
        <w:rPr>
          <w:rFonts w:ascii="Verdana" w:hAnsi="Verdana"/>
          <w:i/>
          <w:sz w:val="17"/>
          <w:szCs w:val="17"/>
          <w:lang w:val="en-GB" w:eastAsia="fr-FR"/>
        </w:rPr>
        <w:t>Baka</w:t>
      </w:r>
      <w:r w:rsidR="00032C5B">
        <w:rPr>
          <w:rFonts w:ascii="Verdana" w:hAnsi="Verdana"/>
          <w:sz w:val="17"/>
          <w:szCs w:val="17"/>
          <w:lang w:val="en-GB" w:eastAsia="fr-FR"/>
        </w:rPr>
        <w:t xml:space="preserve">, </w:t>
      </w:r>
      <w:r w:rsidR="00831799">
        <w:rPr>
          <w:rFonts w:ascii="Verdana" w:hAnsi="Verdana"/>
          <w:sz w:val="17"/>
          <w:szCs w:val="17"/>
          <w:lang w:val="en-GB" w:eastAsia="fr-FR"/>
        </w:rPr>
        <w:t xml:space="preserve">considering </w:t>
      </w:r>
      <w:r w:rsidR="00032C5B">
        <w:rPr>
          <w:rFonts w:ascii="Verdana" w:hAnsi="Verdana"/>
          <w:sz w:val="17"/>
          <w:szCs w:val="17"/>
          <w:lang w:val="en-GB" w:eastAsia="fr-FR"/>
        </w:rPr>
        <w:t xml:space="preserve">on the one hand cases examining judges’ freedom of expression under article 10 of the European Convention, and on the other hand cases examining complaints from litigants alleging lack of impartiality as required by article 6 as a result of statements by judges. She concludes among other things that under the European Convention the starting point is that judges are entitled to exercise right to freedom of expression and related rights, but at the same time, the Europe Court accords national authorities a </w:t>
      </w:r>
      <w:r w:rsidR="00032C5B">
        <w:rPr>
          <w:rFonts w:ascii="Verdana" w:hAnsi="Verdana"/>
          <w:sz w:val="17"/>
          <w:szCs w:val="17"/>
          <w:lang w:val="en-GB" w:eastAsia="fr-FR"/>
        </w:rPr>
        <w:lastRenderedPageBreak/>
        <w:t>certain “margin of appreciation” in evaluating the validity of restrictions on those rights, arising from the special situation of judges. It also appears however that the “margin of appreciation” is replaced by “close scrutiny” when it comes for instance to restrictions on judges’ participation in public debates about judicial independence</w:t>
      </w:r>
      <w:r w:rsidR="001C1C5C">
        <w:rPr>
          <w:rFonts w:ascii="Verdana" w:hAnsi="Verdana"/>
          <w:sz w:val="17"/>
          <w:szCs w:val="17"/>
          <w:lang w:val="en-GB" w:eastAsia="fr-FR"/>
        </w:rPr>
        <w:t xml:space="preserve"> itself</w:t>
      </w:r>
      <w:r w:rsidR="00032C5B">
        <w:rPr>
          <w:rFonts w:ascii="Verdana" w:hAnsi="Verdana"/>
          <w:sz w:val="17"/>
          <w:szCs w:val="17"/>
          <w:lang w:val="en-GB" w:eastAsia="fr-FR"/>
        </w:rPr>
        <w:t>.</w:t>
      </w:r>
      <w:r w:rsidR="001C1C5C">
        <w:rPr>
          <w:rFonts w:ascii="Verdana" w:hAnsi="Verdana"/>
          <w:sz w:val="17"/>
          <w:szCs w:val="17"/>
          <w:lang w:val="en-GB" w:eastAsia="fr-FR"/>
        </w:rPr>
        <w:t xml:space="preserve"> A certain amount of unpredictability arises from the variable accordance of a “margin of appreciation” and the many situation-specific factors and differing interests involved. From the point of view of fair trial rights, she notes that the focus in article 6 on independence and impartiality means that an exercise of expression or association that might not necessarily result in a violation of article 6 in a case presided over by a judge, might nevertheless be subject to valid restrictions without violating the judge’s personal rights of expression or association. So although “the perspective of Article 6(1) ECHR adds to an understanding of the limits of judicial freedom,” at the same time, “because of its narrow scope, its meaning is limited.”</w:t>
      </w:r>
    </w:p>
    <w:p w14:paraId="2E434AE5" w14:textId="77777777" w:rsidR="0050490A" w:rsidRDefault="0050490A" w:rsidP="00191571">
      <w:pPr>
        <w:tabs>
          <w:tab w:val="left" w:pos="0"/>
          <w:tab w:val="left" w:pos="567"/>
          <w:tab w:val="left" w:pos="1134"/>
          <w:tab w:val="left" w:pos="6379"/>
        </w:tabs>
        <w:spacing w:line="255" w:lineRule="exact"/>
        <w:rPr>
          <w:rFonts w:ascii="Verdana" w:hAnsi="Verdana"/>
          <w:sz w:val="17"/>
          <w:szCs w:val="17"/>
          <w:lang w:val="en-GB" w:eastAsia="fr-FR"/>
        </w:rPr>
      </w:pPr>
    </w:p>
    <w:p w14:paraId="20F0DFD0" w14:textId="77777777" w:rsidR="004356FE" w:rsidRDefault="004356FE" w:rsidP="003D692A">
      <w:pPr>
        <w:tabs>
          <w:tab w:val="left" w:pos="0"/>
          <w:tab w:val="left" w:pos="567"/>
          <w:tab w:val="left" w:pos="1134"/>
          <w:tab w:val="left" w:pos="6379"/>
        </w:tabs>
        <w:spacing w:line="255" w:lineRule="exact"/>
        <w:rPr>
          <w:rFonts w:ascii="Verdana" w:hAnsi="Verdana"/>
          <w:sz w:val="17"/>
          <w:szCs w:val="17"/>
          <w:lang w:val="en-GB" w:eastAsia="fr-FR"/>
        </w:rPr>
      </w:pPr>
    </w:p>
    <w:p w14:paraId="2C81BBBA" w14:textId="77777777" w:rsidR="009525CB" w:rsidRDefault="009525CB" w:rsidP="00BA2FFD">
      <w:pPr>
        <w:pBdr>
          <w:top w:val="single" w:sz="4" w:space="1" w:color="auto"/>
          <w:left w:val="single" w:sz="4" w:space="4" w:color="auto"/>
          <w:bottom w:val="single" w:sz="4" w:space="1" w:color="auto"/>
          <w:right w:val="single" w:sz="4" w:space="4" w:color="auto"/>
        </w:pBdr>
        <w:tabs>
          <w:tab w:val="left" w:pos="0"/>
          <w:tab w:val="left" w:pos="567"/>
          <w:tab w:val="left" w:pos="1134"/>
          <w:tab w:val="left" w:pos="6379"/>
        </w:tabs>
        <w:spacing w:line="255" w:lineRule="exact"/>
        <w:rPr>
          <w:rFonts w:ascii="Verdana" w:hAnsi="Verdana"/>
          <w:b/>
          <w:sz w:val="17"/>
          <w:szCs w:val="17"/>
          <w:lang w:val="en-GB" w:eastAsia="fr-FR"/>
        </w:rPr>
      </w:pPr>
      <w:r>
        <w:rPr>
          <w:rFonts w:ascii="Verdana" w:hAnsi="Verdana"/>
          <w:b/>
          <w:sz w:val="17"/>
          <w:szCs w:val="17"/>
          <w:lang w:val="en-GB" w:eastAsia="fr-FR"/>
        </w:rPr>
        <w:t>Conclusions:</w:t>
      </w:r>
    </w:p>
    <w:p w14:paraId="41B8DC48" w14:textId="77777777" w:rsidR="009525CB" w:rsidRDefault="009525CB" w:rsidP="003D692A">
      <w:pPr>
        <w:tabs>
          <w:tab w:val="left" w:pos="0"/>
          <w:tab w:val="left" w:pos="567"/>
          <w:tab w:val="left" w:pos="1134"/>
          <w:tab w:val="left" w:pos="6379"/>
        </w:tabs>
        <w:spacing w:line="255" w:lineRule="exact"/>
        <w:rPr>
          <w:rFonts w:ascii="Verdana" w:hAnsi="Verdana"/>
          <w:sz w:val="17"/>
          <w:szCs w:val="17"/>
          <w:lang w:val="en-GB" w:eastAsia="fr-FR"/>
        </w:rPr>
      </w:pPr>
    </w:p>
    <w:p w14:paraId="2B3F313C" w14:textId="4E5727C0" w:rsidR="00556EE1" w:rsidRDefault="00556EE1" w:rsidP="003D692A">
      <w:p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Based on the above sources, as well as </w:t>
      </w:r>
      <w:r w:rsidRPr="000E083F">
        <w:rPr>
          <w:rFonts w:ascii="Verdana" w:hAnsi="Verdana"/>
          <w:sz w:val="17"/>
          <w:szCs w:val="17"/>
          <w:lang w:val="en-GB" w:eastAsia="fr-FR"/>
        </w:rPr>
        <w:t>the ICJ’s global experience with States and judiciaries from around the world over some six decades</w:t>
      </w:r>
      <w:r>
        <w:rPr>
          <w:rFonts w:ascii="Verdana" w:hAnsi="Verdana"/>
          <w:sz w:val="17"/>
          <w:szCs w:val="17"/>
          <w:lang w:val="en-GB" w:eastAsia="fr-FR"/>
        </w:rPr>
        <w:t xml:space="preserve">, the ICJ </w:t>
      </w:r>
      <w:r w:rsidR="00DB2AF7">
        <w:rPr>
          <w:rFonts w:ascii="Verdana" w:hAnsi="Verdana"/>
          <w:sz w:val="17"/>
          <w:szCs w:val="17"/>
          <w:lang w:val="en-GB" w:eastAsia="fr-FR"/>
        </w:rPr>
        <w:t xml:space="preserve">states the following </w:t>
      </w:r>
      <w:r w:rsidR="00322E06">
        <w:rPr>
          <w:rFonts w:ascii="Verdana" w:hAnsi="Verdana"/>
          <w:sz w:val="17"/>
          <w:szCs w:val="17"/>
          <w:lang w:val="en-GB" w:eastAsia="fr-FR"/>
        </w:rPr>
        <w:t xml:space="preserve">summary </w:t>
      </w:r>
      <w:r w:rsidR="00DB2AF7">
        <w:rPr>
          <w:rFonts w:ascii="Verdana" w:hAnsi="Verdana"/>
          <w:sz w:val="17"/>
          <w:szCs w:val="17"/>
          <w:lang w:val="en-GB" w:eastAsia="fr-FR"/>
        </w:rPr>
        <w:t>conclusions</w:t>
      </w:r>
      <w:r>
        <w:rPr>
          <w:rFonts w:ascii="Verdana" w:hAnsi="Verdana"/>
          <w:sz w:val="17"/>
          <w:szCs w:val="17"/>
          <w:lang w:val="en-GB" w:eastAsia="fr-FR"/>
        </w:rPr>
        <w:t>:</w:t>
      </w:r>
    </w:p>
    <w:p w14:paraId="255086A7" w14:textId="77777777" w:rsidR="00322E06" w:rsidRDefault="00322E06" w:rsidP="003D692A">
      <w:pPr>
        <w:tabs>
          <w:tab w:val="left" w:pos="0"/>
          <w:tab w:val="left" w:pos="567"/>
          <w:tab w:val="left" w:pos="1134"/>
          <w:tab w:val="left" w:pos="6379"/>
        </w:tabs>
        <w:spacing w:line="255" w:lineRule="exact"/>
        <w:rPr>
          <w:rFonts w:ascii="Verdana" w:hAnsi="Verdana"/>
          <w:sz w:val="17"/>
          <w:szCs w:val="17"/>
          <w:lang w:val="en-GB" w:eastAsia="fr-FR"/>
        </w:rPr>
      </w:pPr>
    </w:p>
    <w:p w14:paraId="0B13435F" w14:textId="4AA12414" w:rsidR="00556EE1" w:rsidRDefault="00322E0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Judges and prosecutors are like other citizens entitled to freedom of expression, belief, association and assembly.</w:t>
      </w:r>
    </w:p>
    <w:p w14:paraId="1479AA14" w14:textId="77777777" w:rsidR="00322E06" w:rsidRPr="00322E06" w:rsidRDefault="00322E06" w:rsidP="00322E06">
      <w:pPr>
        <w:tabs>
          <w:tab w:val="left" w:pos="0"/>
          <w:tab w:val="left" w:pos="567"/>
          <w:tab w:val="left" w:pos="1134"/>
          <w:tab w:val="left" w:pos="6379"/>
        </w:tabs>
        <w:spacing w:line="255" w:lineRule="exact"/>
        <w:ind w:left="207"/>
        <w:rPr>
          <w:rFonts w:ascii="Verdana" w:hAnsi="Verdana"/>
          <w:sz w:val="17"/>
          <w:szCs w:val="17"/>
          <w:lang w:val="en-GB" w:eastAsia="fr-FR"/>
        </w:rPr>
      </w:pPr>
    </w:p>
    <w:p w14:paraId="1D4A68BF" w14:textId="077E760D" w:rsidR="00322E06" w:rsidRDefault="00322E0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Any limitation by a State of the exercise of these rights by judges and prosecutors is subject to the general criteria under international law for such restrictions, including as regards necessity and proportionality.</w:t>
      </w:r>
    </w:p>
    <w:p w14:paraId="3F3FC521" w14:textId="77777777" w:rsidR="003D019D" w:rsidRPr="003D019D" w:rsidRDefault="003D019D" w:rsidP="003D019D">
      <w:pPr>
        <w:tabs>
          <w:tab w:val="left" w:pos="0"/>
          <w:tab w:val="left" w:pos="567"/>
          <w:tab w:val="left" w:pos="1134"/>
          <w:tab w:val="left" w:pos="6379"/>
        </w:tabs>
        <w:spacing w:line="255" w:lineRule="exact"/>
        <w:rPr>
          <w:rFonts w:ascii="Verdana" w:hAnsi="Verdana"/>
          <w:sz w:val="17"/>
          <w:szCs w:val="17"/>
          <w:lang w:val="en-GB" w:eastAsia="fr-FR"/>
        </w:rPr>
      </w:pPr>
    </w:p>
    <w:p w14:paraId="070E00C2" w14:textId="40449603" w:rsidR="003D019D" w:rsidRDefault="003D019D"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Given the fundamental importance of the independence of the judiciary, for the right to fair trial, effective remedy for human rights violations, and the rule of law more generally, in principle any restrictions on the exercise of these freedoms that are specifically related to their judicial functions, should </w:t>
      </w:r>
      <w:r>
        <w:rPr>
          <w:rFonts w:ascii="Verdana" w:hAnsi="Verdana"/>
          <w:sz w:val="17"/>
          <w:szCs w:val="17"/>
          <w:lang w:val="en-GB" w:eastAsia="fr-FR"/>
        </w:rPr>
        <w:lastRenderedPageBreak/>
        <w:t xml:space="preserve">be established by the judiciary itself or another independent body </w:t>
      </w:r>
      <w:r w:rsidR="005D4126">
        <w:rPr>
          <w:rFonts w:ascii="Verdana" w:hAnsi="Verdana"/>
          <w:sz w:val="17"/>
          <w:szCs w:val="17"/>
          <w:lang w:val="en-GB" w:eastAsia="fr-FR"/>
        </w:rPr>
        <w:t>with majority membership of judges.</w:t>
      </w:r>
    </w:p>
    <w:p w14:paraId="223BC9F5" w14:textId="77777777" w:rsidR="005D4126" w:rsidRPr="005D4126" w:rsidRDefault="005D4126" w:rsidP="005D4126">
      <w:pPr>
        <w:tabs>
          <w:tab w:val="left" w:pos="0"/>
          <w:tab w:val="left" w:pos="567"/>
          <w:tab w:val="left" w:pos="1134"/>
          <w:tab w:val="left" w:pos="6379"/>
        </w:tabs>
        <w:spacing w:line="255" w:lineRule="exact"/>
        <w:rPr>
          <w:rFonts w:ascii="Verdana" w:hAnsi="Verdana"/>
          <w:sz w:val="17"/>
          <w:szCs w:val="17"/>
          <w:lang w:val="en-GB" w:eastAsia="fr-FR"/>
        </w:rPr>
      </w:pPr>
    </w:p>
    <w:p w14:paraId="122F6BBB" w14:textId="79C142D3" w:rsidR="005D4126" w:rsidRDefault="005D412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Any proceedings against a judge or prosecutor that are related to their exercise of these freedoms, including allegations that they violated validly imposed restrictions, should comply fully with international human rights law and standards in terms of the grounds and procedures used. In particular, the thresholds of seriousness, standards of procedural fairness, and need for independence, as set out in the UN Basic Principles on the Independence of the Judiciary and other relevant standards, apply to any process for discipline or removal of a judge on grounds related to the exercise of these freedoms.</w:t>
      </w:r>
    </w:p>
    <w:p w14:paraId="645F769D" w14:textId="77777777" w:rsidR="00322E06" w:rsidRPr="00322E06" w:rsidRDefault="00322E06" w:rsidP="00322E06">
      <w:pPr>
        <w:tabs>
          <w:tab w:val="left" w:pos="0"/>
          <w:tab w:val="left" w:pos="567"/>
          <w:tab w:val="left" w:pos="1134"/>
          <w:tab w:val="left" w:pos="6379"/>
        </w:tabs>
        <w:spacing w:line="255" w:lineRule="exact"/>
        <w:rPr>
          <w:rFonts w:ascii="Verdana" w:hAnsi="Verdana"/>
          <w:sz w:val="17"/>
          <w:szCs w:val="17"/>
          <w:lang w:val="en-GB" w:eastAsia="fr-FR"/>
        </w:rPr>
      </w:pPr>
    </w:p>
    <w:p w14:paraId="19837D02" w14:textId="76137EE0" w:rsidR="00322E06" w:rsidRDefault="00322E0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Judges and prosecutors play special roles as organs of the State that are subject to requirements of impartiality and independence in order to respect and give effect to the human rights of others. Consequently, restrictions to their exercise </w:t>
      </w:r>
      <w:r>
        <w:rPr>
          <w:rFonts w:ascii="Verdana" w:hAnsi="Verdana"/>
          <w:sz w:val="17"/>
          <w:szCs w:val="17"/>
          <w:lang w:val="en-GB" w:eastAsia="fr-FR"/>
        </w:rPr>
        <w:lastRenderedPageBreak/>
        <w:t xml:space="preserve">of these freedoms that are </w:t>
      </w:r>
      <w:r w:rsidR="003D019D">
        <w:rPr>
          <w:rFonts w:ascii="Verdana" w:hAnsi="Verdana"/>
          <w:sz w:val="17"/>
          <w:szCs w:val="17"/>
          <w:lang w:val="en-GB" w:eastAsia="fr-FR"/>
        </w:rPr>
        <w:t xml:space="preserve">demonstrably </w:t>
      </w:r>
      <w:r>
        <w:rPr>
          <w:rFonts w:ascii="Verdana" w:hAnsi="Verdana"/>
          <w:sz w:val="17"/>
          <w:szCs w:val="17"/>
          <w:lang w:val="en-GB" w:eastAsia="fr-FR"/>
        </w:rPr>
        <w:t>necessary and appropriate to guarantee their im</w:t>
      </w:r>
      <w:r w:rsidR="00BA7EDF">
        <w:rPr>
          <w:rFonts w:ascii="Verdana" w:hAnsi="Verdana"/>
          <w:sz w:val="17"/>
          <w:szCs w:val="17"/>
          <w:lang w:val="en-GB" w:eastAsia="fr-FR"/>
        </w:rPr>
        <w:t xml:space="preserve">partiality and independence can in principle </w:t>
      </w:r>
      <w:r>
        <w:rPr>
          <w:rFonts w:ascii="Verdana" w:hAnsi="Verdana"/>
          <w:sz w:val="17"/>
          <w:szCs w:val="17"/>
          <w:lang w:val="en-GB" w:eastAsia="fr-FR"/>
        </w:rPr>
        <w:t>be justified.</w:t>
      </w:r>
    </w:p>
    <w:p w14:paraId="327B4B70" w14:textId="77777777" w:rsidR="00322E06" w:rsidRPr="00322E06" w:rsidRDefault="00322E06" w:rsidP="00322E06">
      <w:pPr>
        <w:tabs>
          <w:tab w:val="left" w:pos="0"/>
          <w:tab w:val="left" w:pos="567"/>
          <w:tab w:val="left" w:pos="1134"/>
          <w:tab w:val="left" w:pos="6379"/>
        </w:tabs>
        <w:spacing w:line="255" w:lineRule="exact"/>
        <w:rPr>
          <w:rFonts w:ascii="Verdana" w:hAnsi="Verdana"/>
          <w:sz w:val="17"/>
          <w:szCs w:val="17"/>
          <w:lang w:val="en-GB" w:eastAsia="fr-FR"/>
        </w:rPr>
      </w:pPr>
    </w:p>
    <w:p w14:paraId="1B4EA0CB" w14:textId="062D93B0" w:rsidR="00322E06" w:rsidRDefault="003D019D"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At minimum, if a judge or prosecutor has previously exercised these freedoms in a way that would give rise to a reasonable apprehension of bias in their subsequent adjudication of a case, rules should be in place to ensure the judge or prosecutor recuses themselves from the matter, and judges and prosecutors should </w:t>
      </w:r>
      <w:r w:rsidR="005D4126">
        <w:rPr>
          <w:rFonts w:ascii="Verdana" w:hAnsi="Verdana"/>
          <w:sz w:val="17"/>
          <w:szCs w:val="17"/>
          <w:lang w:val="en-GB" w:eastAsia="fr-FR"/>
        </w:rPr>
        <w:t>respect those rules and recuse themselves in practice where necessary to ensure that justice is both independent and impartial, and seen to be independent and impartial.</w:t>
      </w:r>
    </w:p>
    <w:p w14:paraId="1587256D" w14:textId="77777777" w:rsidR="005D4126" w:rsidRPr="005D4126" w:rsidRDefault="005D4126" w:rsidP="005D4126">
      <w:pPr>
        <w:tabs>
          <w:tab w:val="left" w:pos="0"/>
          <w:tab w:val="left" w:pos="567"/>
          <w:tab w:val="left" w:pos="1134"/>
          <w:tab w:val="left" w:pos="6379"/>
        </w:tabs>
        <w:spacing w:line="255" w:lineRule="exact"/>
        <w:rPr>
          <w:rFonts w:ascii="Verdana" w:hAnsi="Verdana"/>
          <w:sz w:val="17"/>
          <w:szCs w:val="17"/>
          <w:lang w:val="en-GB" w:eastAsia="fr-FR"/>
        </w:rPr>
      </w:pPr>
    </w:p>
    <w:p w14:paraId="5C431B9C" w14:textId="6B8D2A01" w:rsidR="005D4126" w:rsidRDefault="005D412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The duty to recuse can arise either from statements about or relationships with parties to a dispute before a court, or from statements about particular issues that subsequently fall to be determined by a court, or relationships to persons or organisations that have taken particularly forceful positions on such issues.</w:t>
      </w:r>
    </w:p>
    <w:p w14:paraId="72EB751B" w14:textId="77777777" w:rsidR="005D4126" w:rsidRPr="005D4126" w:rsidRDefault="005D4126" w:rsidP="005D4126">
      <w:pPr>
        <w:tabs>
          <w:tab w:val="left" w:pos="0"/>
          <w:tab w:val="left" w:pos="567"/>
          <w:tab w:val="left" w:pos="1134"/>
          <w:tab w:val="left" w:pos="6379"/>
        </w:tabs>
        <w:spacing w:line="255" w:lineRule="exact"/>
        <w:rPr>
          <w:rFonts w:ascii="Verdana" w:hAnsi="Verdana"/>
          <w:sz w:val="17"/>
          <w:szCs w:val="17"/>
          <w:lang w:val="en-GB" w:eastAsia="fr-FR"/>
        </w:rPr>
      </w:pPr>
    </w:p>
    <w:p w14:paraId="1D87844E" w14:textId="5FA2343C" w:rsidR="005D4126" w:rsidRDefault="005D412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Exercise of these freedoms can lead to a requirement to recuse, regardless whether the activity occurred in their public professional or private life. As such judges and prosecutors should consider in all their activities, the possible future consequences and perceptions likely to arise from their exercise of these freedoms, and should seek to minimize the situations in which they may eventually be called upon to recuse themselves.</w:t>
      </w:r>
    </w:p>
    <w:p w14:paraId="6CBAD27D" w14:textId="77777777" w:rsidR="005D4126" w:rsidRPr="005D4126" w:rsidRDefault="005D4126" w:rsidP="005D4126">
      <w:pPr>
        <w:tabs>
          <w:tab w:val="left" w:pos="0"/>
          <w:tab w:val="left" w:pos="567"/>
          <w:tab w:val="left" w:pos="1134"/>
          <w:tab w:val="left" w:pos="6379"/>
        </w:tabs>
        <w:spacing w:line="255" w:lineRule="exact"/>
        <w:rPr>
          <w:rFonts w:ascii="Verdana" w:hAnsi="Verdana"/>
          <w:sz w:val="17"/>
          <w:szCs w:val="17"/>
          <w:lang w:val="en-GB" w:eastAsia="fr-FR"/>
        </w:rPr>
      </w:pPr>
    </w:p>
    <w:p w14:paraId="21915623" w14:textId="4F375CA0" w:rsidR="005D4126" w:rsidRDefault="005D412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At the same time, the above considerations do not mean that a judge or prosecutor can never engage in expression, association or assemblies that touch on issues or parties that could speculatively come before the courts at some future point. Total isolation from the community and society is neither realistic nor required of judges and prosecutors</w:t>
      </w:r>
      <w:r w:rsidR="00A717D6">
        <w:rPr>
          <w:rFonts w:ascii="Verdana" w:hAnsi="Verdana"/>
          <w:sz w:val="17"/>
          <w:szCs w:val="17"/>
          <w:lang w:val="en-GB" w:eastAsia="fr-FR"/>
        </w:rPr>
        <w:t>,</w:t>
      </w:r>
      <w:r>
        <w:rPr>
          <w:rFonts w:ascii="Verdana" w:hAnsi="Verdana"/>
          <w:sz w:val="17"/>
          <w:szCs w:val="17"/>
          <w:lang w:val="en-GB" w:eastAsia="fr-FR"/>
        </w:rPr>
        <w:t xml:space="preserve"> nor would it be desirable </w:t>
      </w:r>
      <w:r w:rsidR="00A717D6">
        <w:rPr>
          <w:rFonts w:ascii="Verdana" w:hAnsi="Verdana"/>
          <w:sz w:val="17"/>
          <w:szCs w:val="17"/>
          <w:lang w:val="en-GB" w:eastAsia="fr-FR"/>
        </w:rPr>
        <w:t>in any event since</w:t>
      </w:r>
      <w:r>
        <w:rPr>
          <w:rFonts w:ascii="Verdana" w:hAnsi="Verdana"/>
          <w:sz w:val="17"/>
          <w:szCs w:val="17"/>
          <w:lang w:val="en-GB" w:eastAsia="fr-FR"/>
        </w:rPr>
        <w:t xml:space="preserve"> the administration of justice</w:t>
      </w:r>
      <w:r w:rsidR="00A717D6">
        <w:rPr>
          <w:rFonts w:ascii="Verdana" w:hAnsi="Verdana"/>
          <w:sz w:val="17"/>
          <w:szCs w:val="17"/>
          <w:lang w:val="en-GB" w:eastAsia="fr-FR"/>
        </w:rPr>
        <w:t>, while based on the law and the evidence before a judicial decision-maker,</w:t>
      </w:r>
      <w:r>
        <w:rPr>
          <w:rFonts w:ascii="Verdana" w:hAnsi="Verdana"/>
          <w:sz w:val="17"/>
          <w:szCs w:val="17"/>
          <w:lang w:val="en-GB" w:eastAsia="fr-FR"/>
        </w:rPr>
        <w:t xml:space="preserve"> should</w:t>
      </w:r>
      <w:r w:rsidR="00A717D6">
        <w:rPr>
          <w:rFonts w:ascii="Verdana" w:hAnsi="Verdana"/>
          <w:sz w:val="17"/>
          <w:szCs w:val="17"/>
          <w:lang w:val="en-GB" w:eastAsia="fr-FR"/>
        </w:rPr>
        <w:t xml:space="preserve"> nevertheless</w:t>
      </w:r>
      <w:r>
        <w:rPr>
          <w:rFonts w:ascii="Verdana" w:hAnsi="Verdana"/>
          <w:sz w:val="17"/>
          <w:szCs w:val="17"/>
          <w:lang w:val="en-GB" w:eastAsia="fr-FR"/>
        </w:rPr>
        <w:t xml:space="preserve"> be </w:t>
      </w:r>
      <w:r w:rsidR="00A717D6">
        <w:rPr>
          <w:rFonts w:ascii="Verdana" w:hAnsi="Verdana"/>
          <w:sz w:val="17"/>
          <w:szCs w:val="17"/>
          <w:lang w:val="en-GB" w:eastAsia="fr-FR"/>
        </w:rPr>
        <w:t>informed by</w:t>
      </w:r>
      <w:r>
        <w:rPr>
          <w:rFonts w:ascii="Verdana" w:hAnsi="Verdana"/>
          <w:sz w:val="17"/>
          <w:szCs w:val="17"/>
          <w:lang w:val="en-GB" w:eastAsia="fr-FR"/>
        </w:rPr>
        <w:t xml:space="preserve"> awareness and engagement with the community and society.</w:t>
      </w:r>
    </w:p>
    <w:p w14:paraId="70C51579" w14:textId="77777777" w:rsidR="00A717D6" w:rsidRPr="00A717D6" w:rsidRDefault="00A717D6" w:rsidP="00A717D6">
      <w:pPr>
        <w:tabs>
          <w:tab w:val="left" w:pos="0"/>
          <w:tab w:val="left" w:pos="567"/>
          <w:tab w:val="left" w:pos="1134"/>
          <w:tab w:val="left" w:pos="6379"/>
        </w:tabs>
        <w:spacing w:line="255" w:lineRule="exact"/>
        <w:rPr>
          <w:rFonts w:ascii="Verdana" w:hAnsi="Verdana"/>
          <w:sz w:val="17"/>
          <w:szCs w:val="17"/>
          <w:lang w:val="en-GB" w:eastAsia="fr-FR"/>
        </w:rPr>
      </w:pPr>
    </w:p>
    <w:p w14:paraId="6B95E6D3" w14:textId="3E7FC7C9" w:rsidR="00A717D6" w:rsidRDefault="00A717D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In general, involvement in or comment on matters of party politics carry particularly high risks of giving rise to perceptions of lack of independence in relation to the government and other political organs of society, and perceptions of lack of impartiality in matters in which the government is a party or the lawfulness of its legislation, policies or practices otherwise fall to be determined. As such, judges and prosecutors must be particularly cautious in exercising these freedoms in relation to party political matters, and judiciaries and professional bodies have relatively wide scope to enact restrictions on this ground.</w:t>
      </w:r>
    </w:p>
    <w:p w14:paraId="4720352C" w14:textId="77777777" w:rsidR="00A717D6" w:rsidRPr="00A717D6" w:rsidRDefault="00A717D6" w:rsidP="00A717D6">
      <w:pPr>
        <w:tabs>
          <w:tab w:val="left" w:pos="0"/>
          <w:tab w:val="left" w:pos="567"/>
          <w:tab w:val="left" w:pos="1134"/>
          <w:tab w:val="left" w:pos="6379"/>
        </w:tabs>
        <w:spacing w:line="255" w:lineRule="exact"/>
        <w:rPr>
          <w:rFonts w:ascii="Verdana" w:hAnsi="Verdana"/>
          <w:sz w:val="17"/>
          <w:szCs w:val="17"/>
          <w:lang w:val="en-GB" w:eastAsia="fr-FR"/>
        </w:rPr>
      </w:pPr>
    </w:p>
    <w:p w14:paraId="48D8C163" w14:textId="3135B33D" w:rsidR="00A717D6" w:rsidRDefault="00A717D6"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On the other hand, international law and standards recognise the particular importance for judges </w:t>
      </w:r>
      <w:r w:rsidR="009D0FBE">
        <w:rPr>
          <w:rFonts w:ascii="Verdana" w:hAnsi="Verdana"/>
          <w:sz w:val="17"/>
          <w:szCs w:val="17"/>
          <w:lang w:val="en-GB" w:eastAsia="fr-FR"/>
        </w:rPr>
        <w:t xml:space="preserve">(and prosecutors) </w:t>
      </w:r>
      <w:r>
        <w:rPr>
          <w:rFonts w:ascii="Verdana" w:hAnsi="Verdana"/>
          <w:sz w:val="17"/>
          <w:szCs w:val="17"/>
          <w:lang w:val="en-GB" w:eastAsia="fr-FR"/>
        </w:rPr>
        <w:t>to be able to exercise their freedoms of expression, association and assembly in order to address</w:t>
      </w:r>
      <w:r w:rsidR="005917BB">
        <w:rPr>
          <w:rFonts w:ascii="Verdana" w:hAnsi="Verdana"/>
          <w:sz w:val="17"/>
          <w:szCs w:val="17"/>
          <w:lang w:val="en-GB" w:eastAsia="fr-FR"/>
        </w:rPr>
        <w:t>:</w:t>
      </w:r>
      <w:r>
        <w:rPr>
          <w:rFonts w:ascii="Verdana" w:hAnsi="Verdana"/>
          <w:sz w:val="17"/>
          <w:szCs w:val="17"/>
          <w:lang w:val="en-GB" w:eastAsia="fr-FR"/>
        </w:rPr>
        <w:t xml:space="preserve"> threats to the independence of the judiciary</w:t>
      </w:r>
      <w:r w:rsidR="005917BB">
        <w:rPr>
          <w:rFonts w:ascii="Verdana" w:hAnsi="Verdana"/>
          <w:sz w:val="17"/>
          <w:szCs w:val="17"/>
          <w:lang w:val="en-GB" w:eastAsia="fr-FR"/>
        </w:rPr>
        <w:t>;</w:t>
      </w:r>
      <w:r>
        <w:rPr>
          <w:rFonts w:ascii="Verdana" w:hAnsi="Verdana"/>
          <w:sz w:val="17"/>
          <w:szCs w:val="17"/>
          <w:lang w:val="en-GB" w:eastAsia="fr-FR"/>
        </w:rPr>
        <w:t xml:space="preserve"> </w:t>
      </w:r>
      <w:r w:rsidR="00D75AC9">
        <w:rPr>
          <w:rFonts w:ascii="Verdana" w:hAnsi="Verdana"/>
          <w:sz w:val="17"/>
          <w:szCs w:val="17"/>
          <w:lang w:val="en-GB" w:eastAsia="fr-FR"/>
        </w:rPr>
        <w:t xml:space="preserve">threats to </w:t>
      </w:r>
      <w:r>
        <w:rPr>
          <w:rFonts w:ascii="Verdana" w:hAnsi="Verdana"/>
          <w:sz w:val="17"/>
          <w:szCs w:val="17"/>
          <w:lang w:val="en-GB" w:eastAsia="fr-FR"/>
        </w:rPr>
        <w:t>judicial integrity</w:t>
      </w:r>
      <w:r w:rsidR="005917BB">
        <w:rPr>
          <w:rFonts w:ascii="Verdana" w:hAnsi="Verdana"/>
          <w:sz w:val="17"/>
          <w:szCs w:val="17"/>
          <w:lang w:val="en-GB" w:eastAsia="fr-FR"/>
        </w:rPr>
        <w:t>;</w:t>
      </w:r>
      <w:r>
        <w:rPr>
          <w:rFonts w:ascii="Verdana" w:hAnsi="Verdana"/>
          <w:sz w:val="17"/>
          <w:szCs w:val="17"/>
          <w:lang w:val="en-GB" w:eastAsia="fr-FR"/>
        </w:rPr>
        <w:t xml:space="preserve"> fundamental aspects of the administration of </w:t>
      </w:r>
      <w:r>
        <w:rPr>
          <w:rFonts w:ascii="Verdana" w:hAnsi="Verdana"/>
          <w:sz w:val="17"/>
          <w:szCs w:val="17"/>
          <w:lang w:val="en-GB" w:eastAsia="fr-FR"/>
        </w:rPr>
        <w:lastRenderedPageBreak/>
        <w:t>justice</w:t>
      </w:r>
      <w:r w:rsidR="005917BB">
        <w:rPr>
          <w:rFonts w:ascii="Verdana" w:hAnsi="Verdana"/>
          <w:sz w:val="17"/>
          <w:szCs w:val="17"/>
          <w:lang w:val="en-GB" w:eastAsia="fr-FR"/>
        </w:rPr>
        <w:t>; or to otherwise promote and protect universally recognized human rights and fundamental freedoms and the rule of law</w:t>
      </w:r>
      <w:r>
        <w:rPr>
          <w:rFonts w:ascii="Verdana" w:hAnsi="Verdana"/>
          <w:sz w:val="17"/>
          <w:szCs w:val="17"/>
          <w:lang w:val="en-GB" w:eastAsia="fr-FR"/>
        </w:rPr>
        <w:t>. As such, there is very limited scope for any authority to restrict exercise of these freedoms for these purposes, or to impose disciplinary or other consequences for having done so. This is true whether or not the matter is otherwise seen as politically controversial.</w:t>
      </w:r>
    </w:p>
    <w:p w14:paraId="7E832A8C" w14:textId="77777777" w:rsidR="00BA7EDF" w:rsidRPr="00BA7EDF" w:rsidRDefault="00BA7EDF" w:rsidP="00BA7EDF">
      <w:pPr>
        <w:tabs>
          <w:tab w:val="left" w:pos="0"/>
          <w:tab w:val="left" w:pos="567"/>
          <w:tab w:val="left" w:pos="1134"/>
          <w:tab w:val="left" w:pos="6379"/>
        </w:tabs>
        <w:spacing w:line="255" w:lineRule="exact"/>
        <w:rPr>
          <w:rFonts w:ascii="Verdana" w:hAnsi="Verdana"/>
          <w:sz w:val="17"/>
          <w:szCs w:val="17"/>
          <w:lang w:val="en-GB" w:eastAsia="fr-FR"/>
        </w:rPr>
      </w:pPr>
    </w:p>
    <w:p w14:paraId="64F74E49" w14:textId="6D5C5058" w:rsidR="00BA7EDF" w:rsidRPr="00322E06" w:rsidRDefault="00F04465" w:rsidP="00322E06">
      <w:pPr>
        <w:pStyle w:val="ListParagraph"/>
        <w:numPr>
          <w:ilvl w:val="0"/>
          <w:numId w:val="18"/>
        </w:numPr>
        <w:tabs>
          <w:tab w:val="left" w:pos="0"/>
          <w:tab w:val="left" w:pos="567"/>
          <w:tab w:val="left" w:pos="1134"/>
          <w:tab w:val="left" w:pos="6379"/>
        </w:tabs>
        <w:spacing w:line="255" w:lineRule="exact"/>
        <w:rPr>
          <w:rFonts w:ascii="Verdana" w:hAnsi="Verdana"/>
          <w:sz w:val="17"/>
          <w:szCs w:val="17"/>
          <w:lang w:val="en-GB" w:eastAsia="fr-FR"/>
        </w:rPr>
      </w:pPr>
      <w:r>
        <w:rPr>
          <w:rFonts w:ascii="Verdana" w:hAnsi="Verdana"/>
          <w:sz w:val="17"/>
          <w:szCs w:val="17"/>
          <w:lang w:val="en-GB" w:eastAsia="fr-FR"/>
        </w:rPr>
        <w:t xml:space="preserve">The above standards and principles apply to online forms of expression and association (including social media) in an equal or analogous manner to their application to offline forms. However, judges and prosecutors should </w:t>
      </w:r>
      <w:r w:rsidR="00191E0F">
        <w:rPr>
          <w:rFonts w:ascii="Verdana" w:hAnsi="Verdana"/>
          <w:sz w:val="17"/>
          <w:szCs w:val="17"/>
          <w:lang w:val="en-GB" w:eastAsia="fr-FR"/>
        </w:rPr>
        <w:t xml:space="preserve">be aware of and </w:t>
      </w:r>
      <w:r>
        <w:rPr>
          <w:rFonts w:ascii="Verdana" w:hAnsi="Verdana"/>
          <w:sz w:val="17"/>
          <w:szCs w:val="17"/>
          <w:lang w:val="en-GB" w:eastAsia="fr-FR"/>
        </w:rPr>
        <w:t>take into account practical aspects of online forms of expression and association, such as their potentially greater reach in terms of publicity or amplification to larger networks, and greater permanence of statements, as well as the potentially very significant implications of relatively small and casual actions of simply “liking” or otherwise relaying information presented by others.</w:t>
      </w:r>
    </w:p>
    <w:sectPr w:rsidR="00BA7EDF" w:rsidRPr="00322E06" w:rsidSect="00F476BB">
      <w:footerReference w:type="even" r:id="rId8"/>
      <w:footerReference w:type="default" r:id="rId9"/>
      <w:pgSz w:w="11900" w:h="16840"/>
      <w:pgMar w:top="2041" w:right="1134" w:bottom="2041" w:left="2041" w:header="709"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94BF8" w14:textId="77777777" w:rsidR="00E62C3A" w:rsidRDefault="00E62C3A">
      <w:r>
        <w:separator/>
      </w:r>
    </w:p>
  </w:endnote>
  <w:endnote w:type="continuationSeparator" w:id="0">
    <w:p w14:paraId="1ED2E115" w14:textId="77777777" w:rsidR="00E62C3A" w:rsidRDefault="00E6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03E00" w14:textId="77777777" w:rsidR="00E62C3A" w:rsidRDefault="00E62C3A" w:rsidP="00282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3A51C8" w14:textId="77777777" w:rsidR="00E62C3A" w:rsidRDefault="00E62C3A" w:rsidP="002821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6D07" w14:textId="77777777" w:rsidR="00E62C3A" w:rsidRDefault="00E62C3A" w:rsidP="002821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6EE">
      <w:rPr>
        <w:rStyle w:val="PageNumber"/>
        <w:noProof/>
      </w:rPr>
      <w:t>1</w:t>
    </w:r>
    <w:r>
      <w:rPr>
        <w:rStyle w:val="PageNumber"/>
      </w:rPr>
      <w:fldChar w:fldCharType="end"/>
    </w:r>
  </w:p>
  <w:p w14:paraId="4787E4C6" w14:textId="77777777" w:rsidR="00E62C3A" w:rsidRDefault="00E62C3A" w:rsidP="002821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3990" w14:textId="77777777" w:rsidR="00E62C3A" w:rsidRDefault="00E62C3A">
      <w:r>
        <w:separator/>
      </w:r>
    </w:p>
  </w:footnote>
  <w:footnote w:type="continuationSeparator" w:id="0">
    <w:p w14:paraId="6D29DA0E" w14:textId="77777777" w:rsidR="00E62C3A" w:rsidRDefault="00E62C3A">
      <w:r>
        <w:continuationSeparator/>
      </w:r>
    </w:p>
  </w:footnote>
  <w:footnote w:id="1">
    <w:p w14:paraId="42812CF4" w14:textId="1A176018" w:rsidR="00E62C3A" w:rsidRDefault="00E62C3A" w:rsidP="009C6E84">
      <w:pPr>
        <w:pStyle w:val="FootnoteText"/>
      </w:pPr>
      <w:r>
        <w:rPr>
          <w:rStyle w:val="FootnoteReference"/>
        </w:rPr>
        <w:footnoteRef/>
      </w:r>
      <w:r>
        <w:t xml:space="preserve"> Human Rights Committee, </w:t>
      </w:r>
      <w:r w:rsidRPr="00C257CC">
        <w:rPr>
          <w:lang w:val="en-GB" w:eastAsia="fr-FR"/>
        </w:rPr>
        <w:t xml:space="preserve">General Comment </w:t>
      </w:r>
      <w:r>
        <w:rPr>
          <w:lang w:val="en-GB" w:eastAsia="fr-FR"/>
        </w:rPr>
        <w:t xml:space="preserve">no. </w:t>
      </w:r>
      <w:r w:rsidRPr="00C257CC">
        <w:rPr>
          <w:lang w:val="en-GB" w:eastAsia="fr-FR"/>
        </w:rPr>
        <w:t>32</w:t>
      </w:r>
      <w:r>
        <w:rPr>
          <w:lang w:val="en-GB" w:eastAsia="fr-FR"/>
        </w:rPr>
        <w:t xml:space="preserve"> (article 14: </w:t>
      </w:r>
      <w:r w:rsidRPr="009B1854">
        <w:rPr>
          <w:lang w:val="en-GB" w:eastAsia="fr-FR"/>
        </w:rPr>
        <w:t>Right to equality before courts an</w:t>
      </w:r>
      <w:r>
        <w:rPr>
          <w:lang w:val="en-GB" w:eastAsia="fr-FR"/>
        </w:rPr>
        <w:t xml:space="preserve">d tribunals and to a fair trial), UN Doc </w:t>
      </w:r>
      <w:r w:rsidRPr="009B1854">
        <w:rPr>
          <w:lang w:val="en-GB" w:eastAsia="fr-FR"/>
        </w:rPr>
        <w:t xml:space="preserve">CCPR/C/GC/32 </w:t>
      </w:r>
      <w:r>
        <w:rPr>
          <w:lang w:val="en-GB" w:eastAsia="fr-FR"/>
        </w:rPr>
        <w:t>(2007)</w:t>
      </w:r>
      <w:r w:rsidRPr="00C257CC">
        <w:rPr>
          <w:lang w:val="en-GB" w:eastAsia="fr-FR"/>
        </w:rPr>
        <w:t>, para 21.</w:t>
      </w:r>
    </w:p>
  </w:footnote>
  <w:footnote w:id="2">
    <w:p w14:paraId="70A675D6" w14:textId="1B272A15" w:rsidR="00E62C3A" w:rsidRDefault="00E62C3A" w:rsidP="009C6E84">
      <w:pPr>
        <w:pStyle w:val="FootnoteText"/>
      </w:pPr>
      <w:r>
        <w:rPr>
          <w:rStyle w:val="FootnoteReference"/>
        </w:rPr>
        <w:footnoteRef/>
      </w:r>
      <w:r>
        <w:t xml:space="preserve"> See Human Rights Committee, General Comment no. 34 (article 19: freedom of opinion and expression), UN Doc </w:t>
      </w:r>
      <w:r w:rsidRPr="009B1854">
        <w:t xml:space="preserve">CCPR/C/GC/34 </w:t>
      </w:r>
      <w:r>
        <w:t xml:space="preserve">(2011), paras 22, 33-34. See also </w:t>
      </w:r>
      <w:r w:rsidRPr="004574D7">
        <w:rPr>
          <w:i/>
        </w:rPr>
        <w:t>Practitioners Guide no. 1 on the Independence and Accountability of Judges, Lawyers and Prosecutors</w:t>
      </w:r>
      <w:r>
        <w:t xml:space="preserve"> (ICJ, 2005), pp 37-39.</w:t>
      </w:r>
    </w:p>
  </w:footnote>
  <w:footnote w:id="3">
    <w:p w14:paraId="5DF3546F" w14:textId="25C13062" w:rsidR="00E62C3A" w:rsidRDefault="00E62C3A">
      <w:pPr>
        <w:pStyle w:val="FootnoteText"/>
      </w:pPr>
      <w:r>
        <w:rPr>
          <w:rStyle w:val="FootnoteReference"/>
        </w:rPr>
        <w:footnoteRef/>
      </w:r>
      <w:r>
        <w:t xml:space="preserve"> </w:t>
      </w:r>
      <w:r w:rsidRPr="00BF00F8">
        <w:rPr>
          <w:szCs w:val="16"/>
        </w:rPr>
        <w:t xml:space="preserve">See for instance Human Rights Committee, General Comment no. 32, para 20; </w:t>
      </w:r>
      <w:r w:rsidRPr="00BF00F8">
        <w:rPr>
          <w:szCs w:val="16"/>
          <w:lang w:val="en-GB" w:eastAsia="fr-FR"/>
        </w:rPr>
        <w:t xml:space="preserve">UN Basic Principles on the Independence of the Judiciary, </w:t>
      </w:r>
      <w:r w:rsidRPr="00D019E9">
        <w:t>endorsed by General Assembly resolutions 40/32 and 40/146</w:t>
      </w:r>
      <w:r>
        <w:t xml:space="preserve"> (</w:t>
      </w:r>
      <w:r w:rsidRPr="00D019E9">
        <w:t>1985</w:t>
      </w:r>
      <w:r>
        <w:t xml:space="preserve">), </w:t>
      </w:r>
      <w:r w:rsidRPr="00BF00F8">
        <w:rPr>
          <w:szCs w:val="16"/>
          <w:lang w:val="en-GB" w:eastAsia="fr-FR"/>
        </w:rPr>
        <w:t>paras 17 to 20.</w:t>
      </w:r>
    </w:p>
  </w:footnote>
  <w:footnote w:id="4">
    <w:p w14:paraId="619A167A" w14:textId="7897C9E3" w:rsidR="00E62C3A" w:rsidRDefault="00E62C3A" w:rsidP="0053153A">
      <w:pPr>
        <w:pStyle w:val="FootnoteText"/>
      </w:pPr>
      <w:r>
        <w:rPr>
          <w:rStyle w:val="FootnoteReference"/>
        </w:rPr>
        <w:footnoteRef/>
      </w:r>
      <w:r>
        <w:t xml:space="preserve"> UN Basic Principles on the Independence of the Judiciary, </w:t>
      </w:r>
      <w:r w:rsidRPr="00D019E9">
        <w:t>endorsed by General Assembly resolutions 40/32 and 40/146</w:t>
      </w:r>
      <w:r>
        <w:t xml:space="preserve"> (</w:t>
      </w:r>
      <w:r w:rsidRPr="00D019E9">
        <w:t>1985</w:t>
      </w:r>
      <w:r>
        <w:t xml:space="preserve">), articles 8 and 9; see similar provisions in the </w:t>
      </w:r>
      <w:r w:rsidRPr="00955E62">
        <w:rPr>
          <w:b/>
        </w:rPr>
        <w:t>Universal Charter of the Judge</w:t>
      </w:r>
      <w:r>
        <w:t xml:space="preserve"> (International Association of Judges, updated 2017), Article 3-5 ; the </w:t>
      </w:r>
      <w:r w:rsidRPr="00955E62">
        <w:rPr>
          <w:b/>
        </w:rPr>
        <w:t xml:space="preserve">Principles and Guidelines on the Right to a Fair Trial and Legal Assistance in Africa </w:t>
      </w:r>
      <w:r w:rsidRPr="00955E62">
        <w:t>(African Commission on Human and Peoples’ Rights</w:t>
      </w:r>
      <w:r w:rsidRPr="00D019E9">
        <w:t>, 2005)</w:t>
      </w:r>
      <w:r>
        <w:t xml:space="preserve">, articles A(4)(s) and (t) ; and </w:t>
      </w:r>
      <w:r w:rsidRPr="006D59EF">
        <w:rPr>
          <w:b/>
        </w:rPr>
        <w:t>Beijing Statement of Principles on the Independence of the Judiciary in the LAWASIA Region</w:t>
      </w:r>
      <w:r w:rsidRPr="006D59EF">
        <w:t xml:space="preserve"> (7th Conference of the Chief Justices of Asia </w:t>
      </w:r>
      <w:r>
        <w:t xml:space="preserve">and the Pacific, 1997), paras 8 and 9. </w:t>
      </w:r>
      <w:r w:rsidRPr="00160731">
        <w:rPr>
          <w:b/>
        </w:rPr>
        <w:t>Council of Europe Recommendation CM/Rec(2010)12 of the Committee of Ministers to member states on judges: independence, efficiency and responsibilities</w:t>
      </w:r>
      <w:r w:rsidRPr="00160731">
        <w:t xml:space="preserve">, </w:t>
      </w:r>
      <w:r>
        <w:t xml:space="preserve">includes a similar provision regarding associations (article 25), as does article 12 of the </w:t>
      </w:r>
      <w:r w:rsidRPr="00512F94">
        <w:rPr>
          <w:b/>
        </w:rPr>
        <w:t>Magna Carta of Judges</w:t>
      </w:r>
      <w:r w:rsidRPr="00512F94">
        <w:t xml:space="preserve"> (Consultative Council of European Judges, 2010)</w:t>
      </w:r>
      <w:r>
        <w:t>.</w:t>
      </w:r>
      <w:r w:rsidRPr="00160731">
        <w:t xml:space="preserve"> </w:t>
      </w:r>
      <w:r>
        <w:t xml:space="preserve">See also </w:t>
      </w:r>
      <w:r w:rsidRPr="00955E62">
        <w:rPr>
          <w:b/>
        </w:rPr>
        <w:t>Guarantees for the Independence of Justice Operators</w:t>
      </w:r>
      <w:r w:rsidRPr="00955E62">
        <w:t xml:space="preserve"> (Inter-American Commission of Human Rights, 2013),</w:t>
      </w:r>
      <w:r>
        <w:t xml:space="preserve"> paras 168-183. </w:t>
      </w:r>
    </w:p>
  </w:footnote>
  <w:footnote w:id="5">
    <w:p w14:paraId="60F55152" w14:textId="3DC3A019" w:rsidR="00E62C3A" w:rsidRDefault="00E62C3A" w:rsidP="0053153A">
      <w:pPr>
        <w:pStyle w:val="FootnoteText"/>
      </w:pPr>
      <w:r>
        <w:rPr>
          <w:rStyle w:val="FootnoteReference"/>
        </w:rPr>
        <w:footnoteRef/>
      </w:r>
      <w:r>
        <w:t xml:space="preserve"> UN Guidelines on the Role of Prosecutors, </w:t>
      </w:r>
      <w:r w:rsidRPr="00D019E9">
        <w:t>welcomed by General Assembly resolution 45/166</w:t>
      </w:r>
      <w:r>
        <w:t xml:space="preserve"> (</w:t>
      </w:r>
      <w:r w:rsidRPr="00D019E9">
        <w:t>1990)</w:t>
      </w:r>
      <w:r>
        <w:t>;</w:t>
      </w:r>
      <w:r w:rsidRPr="00032A17">
        <w:t xml:space="preserve"> see similar provision in the Principles and Guidelines on the Right to a Fair Trial and Legal Assistance in Africa, articles </w:t>
      </w:r>
      <w:r>
        <w:t>F(d) and (e); and regarding association, t</w:t>
      </w:r>
      <w:r w:rsidRPr="00955E62">
        <w:t xml:space="preserve">he </w:t>
      </w:r>
      <w:r w:rsidRPr="00955E62">
        <w:rPr>
          <w:b/>
        </w:rPr>
        <w:t>Standards of professional responsibility and statement of the essential duties and rights of the prosecutor</w:t>
      </w:r>
      <w:r w:rsidRPr="00955E62">
        <w:t>, (International Association of Prosecutors, 1999; UN Commission on Crime Prevention and Criminal Justice, resolution 17/2, Annex)</w:t>
      </w:r>
      <w:r>
        <w:t>,</w:t>
      </w:r>
      <w:r w:rsidRPr="00955E62">
        <w:t xml:space="preserve"> article 6</w:t>
      </w:r>
      <w:r w:rsidRPr="00032A17">
        <w:t>.</w:t>
      </w:r>
      <w:r>
        <w:t xml:space="preserve"> See also </w:t>
      </w:r>
      <w:r w:rsidRPr="00955E62">
        <w:rPr>
          <w:b/>
        </w:rPr>
        <w:t>Guarantees for the Independence of Justice Operators</w:t>
      </w:r>
      <w:r w:rsidRPr="00955E62">
        <w:t xml:space="preserve"> (Inter-American Commission of Human Rights, 2013),</w:t>
      </w:r>
      <w:r>
        <w:t xml:space="preserve"> paras 168-183.</w:t>
      </w:r>
    </w:p>
  </w:footnote>
  <w:footnote w:id="6">
    <w:p w14:paraId="750602D9" w14:textId="0DFDED8C" w:rsidR="00E62C3A" w:rsidRDefault="00E62C3A" w:rsidP="0053153A">
      <w:pPr>
        <w:pStyle w:val="FootnoteText"/>
      </w:pPr>
      <w:r>
        <w:rPr>
          <w:rStyle w:val="FootnoteReference"/>
        </w:rPr>
        <w:footnoteRef/>
      </w:r>
      <w:r>
        <w:t xml:space="preserve"> </w:t>
      </w:r>
      <w:r w:rsidRPr="00C257CC">
        <w:t>Adopted by General Assembly resolution 53/144 of 9 December 1998.</w:t>
      </w:r>
    </w:p>
  </w:footnote>
  <w:footnote w:id="7">
    <w:p w14:paraId="0B206F82" w14:textId="7EF74078" w:rsidR="00BA7EDF" w:rsidRDefault="00BA7EDF">
      <w:pPr>
        <w:pStyle w:val="FootnoteText"/>
      </w:pPr>
      <w:r>
        <w:rPr>
          <w:rStyle w:val="FootnoteReference"/>
        </w:rPr>
        <w:footnoteRef/>
      </w:r>
      <w:r>
        <w:t xml:space="preserve"> </w:t>
      </w:r>
      <w:r w:rsidR="00F42439">
        <w:t>Most recently: Human Rights Council, resolution 38/7 (2018), article 1.</w:t>
      </w:r>
    </w:p>
  </w:footnote>
  <w:footnote w:id="8">
    <w:p w14:paraId="41EAE5A4" w14:textId="1B2E9700" w:rsidR="00E62C3A" w:rsidRDefault="00E62C3A" w:rsidP="0053153A">
      <w:pPr>
        <w:pStyle w:val="FootnoteText"/>
      </w:pPr>
      <w:r>
        <w:rPr>
          <w:rStyle w:val="FootnoteReference"/>
        </w:rPr>
        <w:footnoteRef/>
      </w:r>
      <w:r>
        <w:t xml:space="preserve"> Bangalore Principles of Judicial Conduct, 2002 (adopted by the Judicial Integrity Group and recognised by among others UN ECOSOC resolutions 2006/23 and 2007/22, Human Rights Council resolution 35/12 (2007)), Preamble and Implementation clause; Commentary on the Bangalore Principles of Judicial Conduct (UNODC/Judicial Integrity Group, 2007), pp. 36-37 and 143; and see </w:t>
      </w:r>
      <w:r w:rsidRPr="00000B6F">
        <w:t>Measures for the effective implementation of the Bangalore Principles of Judicial Conduct (Judicial Group on Strengthening Judicial Integrity, 2010)</w:t>
      </w:r>
      <w:r>
        <w:t>.</w:t>
      </w:r>
    </w:p>
  </w:footnote>
  <w:footnote w:id="9">
    <w:p w14:paraId="2164868F" w14:textId="498A88CD" w:rsidR="00E62C3A" w:rsidRDefault="00E62C3A" w:rsidP="0053153A">
      <w:pPr>
        <w:pStyle w:val="FootnoteText"/>
      </w:pPr>
      <w:r>
        <w:rPr>
          <w:rStyle w:val="FootnoteReference"/>
        </w:rPr>
        <w:footnoteRef/>
      </w:r>
      <w:r>
        <w:t xml:space="preserve"> See Implementation Measures, paragraph 15.1 and footnote ; UN Basic Principles on the Independence of the Judiciary, articles 17 to 20.</w:t>
      </w:r>
    </w:p>
  </w:footnote>
  <w:footnote w:id="10">
    <w:p w14:paraId="1705EE5F" w14:textId="36ABD10E" w:rsidR="00E62C3A" w:rsidRDefault="00E62C3A" w:rsidP="0053153A">
      <w:pPr>
        <w:pStyle w:val="FootnoteText"/>
      </w:pPr>
      <w:r>
        <w:rPr>
          <w:rStyle w:val="FootnoteReference"/>
        </w:rPr>
        <w:footnoteRef/>
      </w:r>
      <w:r>
        <w:t xml:space="preserve"> Bangalore Principles, paragraph 1.2 and Commentary pp. 44-46.</w:t>
      </w:r>
    </w:p>
  </w:footnote>
  <w:footnote w:id="11">
    <w:p w14:paraId="746742EA" w14:textId="332F7685" w:rsidR="00E62C3A" w:rsidRDefault="00E62C3A" w:rsidP="0053153A">
      <w:pPr>
        <w:pStyle w:val="FootnoteText"/>
      </w:pPr>
      <w:r>
        <w:rPr>
          <w:rStyle w:val="FootnoteReference"/>
        </w:rPr>
        <w:footnoteRef/>
      </w:r>
      <w:r>
        <w:t xml:space="preserve"> Bangalore Principles, paragraph 1.3; Commentary pp 47-49.</w:t>
      </w:r>
    </w:p>
  </w:footnote>
  <w:footnote w:id="12">
    <w:p w14:paraId="0FA8E816" w14:textId="0D22E030" w:rsidR="00E62C3A" w:rsidRDefault="00E62C3A" w:rsidP="0053153A">
      <w:pPr>
        <w:pStyle w:val="FootnoteText"/>
      </w:pPr>
      <w:r>
        <w:rPr>
          <w:rStyle w:val="FootnoteReference"/>
        </w:rPr>
        <w:footnoteRef/>
      </w:r>
      <w:r>
        <w:t xml:space="preserve"> Commentary p. 57.</w:t>
      </w:r>
    </w:p>
  </w:footnote>
  <w:footnote w:id="13">
    <w:p w14:paraId="193A172B" w14:textId="028F25D1" w:rsidR="00E62C3A" w:rsidRDefault="00E62C3A" w:rsidP="0053153A">
      <w:pPr>
        <w:pStyle w:val="FootnoteText"/>
      </w:pPr>
      <w:r>
        <w:rPr>
          <w:rStyle w:val="FootnoteReference"/>
        </w:rPr>
        <w:footnoteRef/>
      </w:r>
      <w:r>
        <w:t xml:space="preserve"> Commentary p. 62.</w:t>
      </w:r>
    </w:p>
  </w:footnote>
  <w:footnote w:id="14">
    <w:p w14:paraId="66AEEE16" w14:textId="0C24F60B" w:rsidR="00E62C3A" w:rsidRDefault="00E62C3A" w:rsidP="0053153A">
      <w:pPr>
        <w:pStyle w:val="FootnoteText"/>
      </w:pPr>
      <w:r>
        <w:rPr>
          <w:rStyle w:val="FootnoteReference"/>
        </w:rPr>
        <w:footnoteRef/>
      </w:r>
      <w:r>
        <w:t xml:space="preserve"> Commentary p. 62.</w:t>
      </w:r>
    </w:p>
  </w:footnote>
  <w:footnote w:id="15">
    <w:p w14:paraId="106DE39E" w14:textId="0A309853" w:rsidR="00E62C3A" w:rsidRDefault="00E62C3A" w:rsidP="0053153A">
      <w:pPr>
        <w:pStyle w:val="FootnoteText"/>
      </w:pPr>
      <w:r>
        <w:rPr>
          <w:rStyle w:val="FootnoteReference"/>
        </w:rPr>
        <w:footnoteRef/>
      </w:r>
      <w:r>
        <w:t xml:space="preserve"> Bangalore Principles, paragraphs </w:t>
      </w:r>
    </w:p>
  </w:footnote>
  <w:footnote w:id="16">
    <w:p w14:paraId="10819F7B" w14:textId="2FAEFB0B" w:rsidR="00E62C3A" w:rsidRDefault="00E62C3A" w:rsidP="0053153A">
      <w:pPr>
        <w:pStyle w:val="FootnoteText"/>
      </w:pPr>
      <w:r>
        <w:rPr>
          <w:rStyle w:val="FootnoteReference"/>
        </w:rPr>
        <w:footnoteRef/>
      </w:r>
      <w:r>
        <w:t xml:space="preserve"> Commentary p. 65.</w:t>
      </w:r>
    </w:p>
  </w:footnote>
  <w:footnote w:id="17">
    <w:p w14:paraId="074FD5DC" w14:textId="1E18D377" w:rsidR="00E62C3A" w:rsidRDefault="00E62C3A" w:rsidP="0053153A">
      <w:pPr>
        <w:pStyle w:val="FootnoteText"/>
      </w:pPr>
      <w:r>
        <w:rPr>
          <w:rStyle w:val="FootnoteReference"/>
        </w:rPr>
        <w:footnoteRef/>
      </w:r>
      <w:r>
        <w:t xml:space="preserve"> Commentary p. 66.</w:t>
      </w:r>
    </w:p>
  </w:footnote>
  <w:footnote w:id="18">
    <w:p w14:paraId="3BA8FA86" w14:textId="2872BCCA" w:rsidR="00E62C3A" w:rsidRDefault="00E62C3A" w:rsidP="0053153A">
      <w:pPr>
        <w:pStyle w:val="FootnoteText"/>
      </w:pPr>
      <w:r>
        <w:rPr>
          <w:rStyle w:val="FootnoteReference"/>
        </w:rPr>
        <w:footnoteRef/>
      </w:r>
      <w:r>
        <w:t xml:space="preserve"> Commentary p. 67.</w:t>
      </w:r>
    </w:p>
  </w:footnote>
  <w:footnote w:id="19">
    <w:p w14:paraId="5A4F1386" w14:textId="5982395E" w:rsidR="00E62C3A" w:rsidRDefault="00E62C3A" w:rsidP="0053153A">
      <w:pPr>
        <w:pStyle w:val="FootnoteText"/>
      </w:pPr>
      <w:r>
        <w:rPr>
          <w:rStyle w:val="FootnoteReference"/>
        </w:rPr>
        <w:footnoteRef/>
      </w:r>
      <w:r>
        <w:t xml:space="preserve"> Commentary p. 67.</w:t>
      </w:r>
    </w:p>
  </w:footnote>
  <w:footnote w:id="20">
    <w:p w14:paraId="0A46C6A1" w14:textId="0A409F36" w:rsidR="00E62C3A" w:rsidRDefault="00E62C3A" w:rsidP="0053153A">
      <w:pPr>
        <w:pStyle w:val="FootnoteText"/>
      </w:pPr>
      <w:r>
        <w:rPr>
          <w:rStyle w:val="FootnoteReference"/>
        </w:rPr>
        <w:footnoteRef/>
      </w:r>
      <w:r>
        <w:t xml:space="preserve"> Commentary p. 88. Apart from specific examples of this sort of association, earlier at p. 72 the Commentary suggests more generally that «a judge’s membership of social, sporting or charitable bodies» should not in itself be the basis for inferring lack of impartiality.</w:t>
      </w:r>
    </w:p>
  </w:footnote>
  <w:footnote w:id="21">
    <w:p w14:paraId="3DE68187" w14:textId="0B7195AF" w:rsidR="00E62C3A" w:rsidRDefault="00E62C3A" w:rsidP="0053153A">
      <w:pPr>
        <w:pStyle w:val="FootnoteText"/>
      </w:pPr>
      <w:r>
        <w:rPr>
          <w:rStyle w:val="FootnoteReference"/>
        </w:rPr>
        <w:footnoteRef/>
      </w:r>
      <w:r>
        <w:t xml:space="preserve"> Commentary pp. 89-91. See also Consultative Council of European Judges (CCJE), Opinion No. 16 (2013), on the Relations between Judges and lawyers, paras 24 and 25.</w:t>
      </w:r>
    </w:p>
  </w:footnote>
  <w:footnote w:id="22">
    <w:p w14:paraId="746F03A6" w14:textId="0104224E" w:rsidR="00E62C3A" w:rsidRDefault="00E62C3A" w:rsidP="0053153A">
      <w:pPr>
        <w:pStyle w:val="FootnoteText"/>
      </w:pPr>
      <w:r>
        <w:rPr>
          <w:rStyle w:val="FootnoteReference"/>
        </w:rPr>
        <w:footnoteRef/>
      </w:r>
      <w:r>
        <w:t xml:space="preserve"> Principles paragraph 4.6.</w:t>
      </w:r>
    </w:p>
  </w:footnote>
  <w:footnote w:id="23">
    <w:p w14:paraId="44EFC594" w14:textId="07DD0E24" w:rsidR="00E62C3A" w:rsidRDefault="00E62C3A" w:rsidP="0053153A">
      <w:pPr>
        <w:pStyle w:val="FootnoteText"/>
      </w:pPr>
      <w:r>
        <w:rPr>
          <w:rStyle w:val="FootnoteReference"/>
        </w:rPr>
        <w:footnoteRef/>
      </w:r>
      <w:r>
        <w:t xml:space="preserve"> Commentary p. 95.</w:t>
      </w:r>
    </w:p>
  </w:footnote>
  <w:footnote w:id="24">
    <w:p w14:paraId="62E28F0F" w14:textId="00CFA4A5" w:rsidR="00E62C3A" w:rsidRDefault="00E62C3A" w:rsidP="0053153A">
      <w:pPr>
        <w:pStyle w:val="FootnoteText"/>
      </w:pPr>
      <w:r>
        <w:rPr>
          <w:rStyle w:val="FootnoteReference"/>
        </w:rPr>
        <w:footnoteRef/>
      </w:r>
      <w:r>
        <w:t xml:space="preserve"> Commentary p. 96.</w:t>
      </w:r>
    </w:p>
  </w:footnote>
  <w:footnote w:id="25">
    <w:p w14:paraId="64CE1847" w14:textId="22541711" w:rsidR="00E62C3A" w:rsidRDefault="00E62C3A" w:rsidP="0053153A">
      <w:pPr>
        <w:pStyle w:val="FootnoteText"/>
      </w:pPr>
      <w:r>
        <w:rPr>
          <w:rStyle w:val="FootnoteReference"/>
        </w:rPr>
        <w:footnoteRef/>
      </w:r>
      <w:r>
        <w:t xml:space="preserve"> Commentary, pp. 96-97.</w:t>
      </w:r>
    </w:p>
  </w:footnote>
  <w:footnote w:id="26">
    <w:p w14:paraId="2A09B5BA" w14:textId="57FA3E99" w:rsidR="00E62C3A" w:rsidRDefault="00E62C3A" w:rsidP="0053153A">
      <w:pPr>
        <w:pStyle w:val="FootnoteText"/>
      </w:pPr>
      <w:r>
        <w:rPr>
          <w:rStyle w:val="FootnoteReference"/>
        </w:rPr>
        <w:footnoteRef/>
      </w:r>
      <w:r>
        <w:t xml:space="preserve"> Commentary, p. 97.</w:t>
      </w:r>
    </w:p>
  </w:footnote>
  <w:footnote w:id="27">
    <w:p w14:paraId="3C94D593" w14:textId="6905C2FA" w:rsidR="00E62C3A" w:rsidRDefault="00E62C3A" w:rsidP="0053153A">
      <w:pPr>
        <w:pStyle w:val="FootnoteText"/>
      </w:pPr>
      <w:r>
        <w:rPr>
          <w:rStyle w:val="FootnoteReference"/>
        </w:rPr>
        <w:footnoteRef/>
      </w:r>
      <w:r>
        <w:t xml:space="preserve"> Commentary, p. 102.</w:t>
      </w:r>
    </w:p>
  </w:footnote>
  <w:footnote w:id="28">
    <w:p w14:paraId="66981923" w14:textId="4DB33421" w:rsidR="00E62C3A" w:rsidRDefault="00E62C3A" w:rsidP="0053153A">
      <w:pPr>
        <w:pStyle w:val="FootnoteText"/>
      </w:pPr>
      <w:r>
        <w:rPr>
          <w:rStyle w:val="FootnoteReference"/>
        </w:rPr>
        <w:footnoteRef/>
      </w:r>
      <w:r>
        <w:t xml:space="preserve"> Principles paragraph 4.11 and Commentary pp. 105-113.</w:t>
      </w:r>
    </w:p>
  </w:footnote>
  <w:footnote w:id="29">
    <w:p w14:paraId="1609EF02" w14:textId="0FA1351D" w:rsidR="00E62C3A" w:rsidRDefault="00E62C3A" w:rsidP="0053153A">
      <w:pPr>
        <w:pStyle w:val="FootnoteText"/>
      </w:pPr>
      <w:r>
        <w:rPr>
          <w:rStyle w:val="FootnoteReference"/>
        </w:rPr>
        <w:footnoteRef/>
      </w:r>
      <w:r>
        <w:t xml:space="preserve"> Commentary, p. 111.</w:t>
      </w:r>
    </w:p>
  </w:footnote>
  <w:footnote w:id="30">
    <w:p w14:paraId="4804AA1F" w14:textId="6636D626" w:rsidR="00E62C3A" w:rsidRDefault="00E62C3A" w:rsidP="0053153A">
      <w:pPr>
        <w:pStyle w:val="FootnoteText"/>
      </w:pPr>
      <w:r>
        <w:rPr>
          <w:rStyle w:val="FootnoteReference"/>
        </w:rPr>
        <w:footnoteRef/>
      </w:r>
      <w:r>
        <w:t xml:space="preserve"> Commentary, p. 111-112. « Irrelevant cause » appears to be a reference to the term « irrelevant grounds » which is defined in the Principles as follows : « race, colour, sex, religion, national origin, caste, disability, age, marital status, sexual orientation, social and economic status and other like causes ».</w:t>
      </w:r>
    </w:p>
  </w:footnote>
  <w:footnote w:id="31">
    <w:p w14:paraId="1DFA941B" w14:textId="149F2633" w:rsidR="00E62C3A" w:rsidRDefault="00E62C3A" w:rsidP="0053153A">
      <w:pPr>
        <w:pStyle w:val="FootnoteText"/>
      </w:pPr>
      <w:r>
        <w:rPr>
          <w:rStyle w:val="FootnoteReference"/>
        </w:rPr>
        <w:footnoteRef/>
      </w:r>
      <w:r>
        <w:t xml:space="preserve"> Principles para 4.13.</w:t>
      </w:r>
    </w:p>
  </w:footnote>
  <w:footnote w:id="32">
    <w:p w14:paraId="651A9605" w14:textId="12043A20" w:rsidR="00E62C3A" w:rsidRDefault="00E62C3A" w:rsidP="0053153A">
      <w:pPr>
        <w:pStyle w:val="FootnoteText"/>
      </w:pPr>
      <w:r>
        <w:rPr>
          <w:rStyle w:val="FootnoteReference"/>
        </w:rPr>
        <w:footnoteRef/>
      </w:r>
      <w:r>
        <w:t xml:space="preserve"> Commenatry, p. 116.</w:t>
      </w:r>
    </w:p>
  </w:footnote>
  <w:footnote w:id="33">
    <w:p w14:paraId="2DBEA662" w14:textId="1CB206C5" w:rsidR="00E62C3A" w:rsidRDefault="00E62C3A">
      <w:pPr>
        <w:pStyle w:val="FootnoteText"/>
      </w:pPr>
      <w:r>
        <w:rPr>
          <w:rStyle w:val="FootnoteReference"/>
        </w:rPr>
        <w:footnoteRef/>
      </w:r>
      <w:r>
        <w:t xml:space="preserve"> </w:t>
      </w:r>
      <w:r w:rsidRPr="000B19DD">
        <w:t>Application no. 20261/12</w:t>
      </w:r>
      <w:r>
        <w:t xml:space="preserve"> (2</w:t>
      </w:r>
      <w:r w:rsidRPr="000B19DD">
        <w:t>3 June</w:t>
      </w:r>
      <w:r>
        <w:t xml:space="preserve"> </w:t>
      </w:r>
      <w:r w:rsidRPr="000B19DD">
        <w:t>2016</w:t>
      </w:r>
      <w:r>
        <w:t xml:space="preserve">). </w:t>
      </w:r>
      <w:r w:rsidRPr="000B19DD">
        <w:t xml:space="preserve">The ICJ intervened as a third party, arguing in part that the ECHR precludes restrictions of judicial freedom of expression that hinder the right and duty of the judiciary to speak </w:t>
      </w:r>
      <w:r>
        <w:t xml:space="preserve">out about judicial independence: </w:t>
      </w:r>
      <w:hyperlink r:id="rId1" w:history="1">
        <w:r w:rsidRPr="00287537">
          <w:rPr>
            <w:rStyle w:val="Hyperlink"/>
          </w:rPr>
          <w:t>https://www.icj.org/wp-content/uploads/2015/04/ECtHR-AmicusBrief-Baka-v-Hungary-Advocacy-Legal-Submission-2015-ENG.pdf</w:t>
        </w:r>
      </w:hyperlink>
      <w:r>
        <w:t>.</w:t>
      </w:r>
    </w:p>
  </w:footnote>
  <w:footnote w:id="34">
    <w:p w14:paraId="4FFBFDF7" w14:textId="15824378" w:rsidR="00E62C3A" w:rsidRDefault="00E62C3A">
      <w:pPr>
        <w:pStyle w:val="FootnoteText"/>
      </w:pPr>
      <w:r>
        <w:rPr>
          <w:rStyle w:val="FootnoteReference"/>
        </w:rPr>
        <w:footnoteRef/>
      </w:r>
      <w:r>
        <w:t xml:space="preserve"> The Grand Chamber cited extensively several other prior European Court judgments, not further summarized here but also relevant to the upcoming Special Rapporteur’s Rapport, including </w:t>
      </w:r>
      <w:r w:rsidRPr="002249D5">
        <w:rPr>
          <w:i/>
        </w:rPr>
        <w:t>Wille</w:t>
      </w:r>
      <w:r>
        <w:rPr>
          <w:i/>
        </w:rPr>
        <w:t xml:space="preserve"> </w:t>
      </w:r>
      <w:r w:rsidRPr="002249D5">
        <w:rPr>
          <w:i/>
        </w:rPr>
        <w:t>v.</w:t>
      </w:r>
      <w:r>
        <w:rPr>
          <w:i/>
        </w:rPr>
        <w:t xml:space="preserve"> </w:t>
      </w:r>
      <w:r w:rsidRPr="002249D5">
        <w:rPr>
          <w:i/>
        </w:rPr>
        <w:t>Liechtenstein</w:t>
      </w:r>
      <w:r w:rsidRPr="002249D5">
        <w:t xml:space="preserve"> [Grand chamber], no. 28396/95</w:t>
      </w:r>
      <w:r>
        <w:t xml:space="preserve"> (28 October 1999) and </w:t>
      </w:r>
      <w:r>
        <w:rPr>
          <w:i/>
        </w:rPr>
        <w:t>Kudeshkina v. the Russian Federation</w:t>
      </w:r>
      <w:r>
        <w:t>, n</w:t>
      </w:r>
      <w:r w:rsidRPr="002249D5">
        <w:t xml:space="preserve">o.29492/05, </w:t>
      </w:r>
      <w:r>
        <w:t>(</w:t>
      </w:r>
      <w:r w:rsidRPr="002249D5">
        <w:t>26</w:t>
      </w:r>
      <w:r>
        <w:t xml:space="preserve"> </w:t>
      </w:r>
      <w:r w:rsidRPr="002249D5">
        <w:t>February 2009</w:t>
      </w:r>
      <w:r>
        <w:t>. (</w:t>
      </w:r>
      <w:r w:rsidRPr="000B19DD">
        <w:t xml:space="preserve">Kudeshkina </w:t>
      </w:r>
      <w:r>
        <w:t xml:space="preserve">later </w:t>
      </w:r>
      <w:r w:rsidRPr="000B19DD">
        <w:t xml:space="preserve">argued in </w:t>
      </w:r>
      <w:r w:rsidRPr="000B19DD">
        <w:rPr>
          <w:i/>
        </w:rPr>
        <w:t>Kudeshkina v. the Russian Federation (No. 2)</w:t>
      </w:r>
      <w:r>
        <w:t xml:space="preserve">, </w:t>
      </w:r>
      <w:r>
        <w:rPr>
          <w:rStyle w:val="sb8d990e2"/>
          <w:rFonts w:eastAsia="Times New Roman"/>
        </w:rPr>
        <w:t xml:space="preserve">Application no. </w:t>
      </w:r>
      <w:r w:rsidRPr="000B19DD">
        <w:rPr>
          <w:rStyle w:val="sb8d990e2"/>
          <w:rFonts w:eastAsia="Times New Roman"/>
        </w:rPr>
        <w:t>28727/11</w:t>
      </w:r>
      <w:r>
        <w:rPr>
          <w:rStyle w:val="sb8d990e2"/>
          <w:rFonts w:eastAsia="Times New Roman"/>
        </w:rPr>
        <w:t>,</w:t>
      </w:r>
      <w:r w:rsidRPr="000B19DD">
        <w:t xml:space="preserve"> that the domestic courts had subsequently refused to reopen the proceedings concerning her dismissal, and thus committed a new Article 10 violation. The ICJ intervened as a third party in that case (</w:t>
      </w:r>
      <w:hyperlink r:id="rId2" w:history="1">
        <w:r w:rsidRPr="00287537">
          <w:rPr>
            <w:rStyle w:val="Hyperlink"/>
          </w:rPr>
          <w:t>https://www.icj.org/wp-content/uploads/2012/06/Russian-Federation-Written-submission-legal-submission-2012.pdf</w:t>
        </w:r>
      </w:hyperlink>
      <w:r w:rsidRPr="000B19DD">
        <w:t xml:space="preserve">). </w:t>
      </w:r>
      <w:r>
        <w:t>Kudeshkina’s application was however ruled inadmissible on the basis that the Committee of Ministers, and not the European Court, was responsible for reviewing execution of the European Court’s judgments (decision of 17 February 2015)).</w:t>
      </w:r>
    </w:p>
  </w:footnote>
  <w:footnote w:id="35">
    <w:p w14:paraId="4B075DBF" w14:textId="77777777" w:rsidR="00E62C3A" w:rsidRDefault="00E62C3A" w:rsidP="001C4040">
      <w:pPr>
        <w:pStyle w:val="FootnoteText"/>
      </w:pPr>
      <w:r>
        <w:rPr>
          <w:rStyle w:val="FootnoteReference"/>
        </w:rPr>
        <w:footnoteRef/>
      </w:r>
      <w:r>
        <w:t xml:space="preserve"> </w:t>
      </w:r>
      <w:r w:rsidRPr="00735D34">
        <w:t>Council of Europe Recommendation CM/Rec(2010)12 of the Committee of Ministers to member states on judges: independence, efficiency and responsibilities</w:t>
      </w:r>
      <w:r>
        <w:t>,</w:t>
      </w:r>
      <w:r w:rsidRPr="00735D34">
        <w:t xml:space="preserve"> </w:t>
      </w:r>
      <w:r>
        <w:t>Para 21.</w:t>
      </w:r>
    </w:p>
  </w:footnote>
  <w:footnote w:id="36">
    <w:p w14:paraId="74A44E70" w14:textId="78B1B30D" w:rsidR="00E62C3A" w:rsidRDefault="00E62C3A" w:rsidP="001C4040">
      <w:pPr>
        <w:pStyle w:val="FootnoteText"/>
      </w:pPr>
      <w:r>
        <w:rPr>
          <w:rStyle w:val="FootnoteReference"/>
        </w:rPr>
        <w:footnoteRef/>
      </w:r>
      <w:r>
        <w:t xml:space="preserve"> Para 19.</w:t>
      </w:r>
    </w:p>
  </w:footnote>
  <w:footnote w:id="37">
    <w:p w14:paraId="1ED5F5DE" w14:textId="2831368A" w:rsidR="00E62C3A" w:rsidRPr="005F6C79" w:rsidRDefault="00E62C3A" w:rsidP="005F6C79">
      <w:pPr>
        <w:tabs>
          <w:tab w:val="left" w:pos="0"/>
          <w:tab w:val="left" w:pos="567"/>
          <w:tab w:val="left" w:pos="1134"/>
          <w:tab w:val="left" w:pos="6379"/>
        </w:tabs>
        <w:spacing w:line="255" w:lineRule="exact"/>
        <w:rPr>
          <w:rFonts w:ascii="Verdana" w:hAnsi="Verdana"/>
          <w:sz w:val="16"/>
          <w:szCs w:val="16"/>
          <w:lang w:val="en-GB" w:eastAsia="fr-FR"/>
        </w:rPr>
      </w:pPr>
      <w:r w:rsidRPr="005F6C79">
        <w:rPr>
          <w:rStyle w:val="FootnoteReference"/>
          <w:rFonts w:ascii="Verdana" w:hAnsi="Verdana"/>
          <w:sz w:val="16"/>
          <w:szCs w:val="16"/>
        </w:rPr>
        <w:footnoteRef/>
      </w:r>
      <w:r w:rsidRPr="005F6C79">
        <w:rPr>
          <w:rFonts w:ascii="Verdana" w:hAnsi="Verdana"/>
          <w:sz w:val="16"/>
          <w:szCs w:val="16"/>
        </w:rPr>
        <w:t xml:space="preserve"> </w:t>
      </w:r>
      <w:r>
        <w:rPr>
          <w:rFonts w:ascii="Verdana" w:hAnsi="Verdana"/>
          <w:sz w:val="16"/>
          <w:szCs w:val="16"/>
        </w:rPr>
        <w:t>Para</w:t>
      </w:r>
      <w:r w:rsidRPr="005F6C79">
        <w:rPr>
          <w:rFonts w:ascii="Verdana" w:hAnsi="Verdana"/>
          <w:sz w:val="16"/>
          <w:szCs w:val="16"/>
        </w:rPr>
        <w:t xml:space="preserve"> 25. See similarly article 12 of the </w:t>
      </w:r>
      <w:r w:rsidRPr="005F6C79">
        <w:rPr>
          <w:rFonts w:ascii="Verdana" w:hAnsi="Verdana"/>
          <w:b/>
          <w:sz w:val="16"/>
          <w:szCs w:val="16"/>
        </w:rPr>
        <w:t>Magna Carta of Judges</w:t>
      </w:r>
      <w:r w:rsidRPr="005F6C79">
        <w:rPr>
          <w:rFonts w:ascii="Verdana" w:hAnsi="Verdana"/>
          <w:sz w:val="16"/>
          <w:szCs w:val="16"/>
        </w:rPr>
        <w:t xml:space="preserve"> (Consultative Council of European Judges, 2010). </w:t>
      </w:r>
    </w:p>
    <w:p w14:paraId="02A4E7F4" w14:textId="7441E408" w:rsidR="00E62C3A" w:rsidRDefault="00E62C3A">
      <w:pPr>
        <w:pStyle w:val="FootnoteText"/>
      </w:pPr>
    </w:p>
  </w:footnote>
  <w:footnote w:id="38">
    <w:p w14:paraId="5E6207A9" w14:textId="77777777" w:rsidR="00E62C3A" w:rsidRDefault="00E62C3A" w:rsidP="001C4040">
      <w:pPr>
        <w:pStyle w:val="FootnoteText"/>
      </w:pPr>
      <w:r>
        <w:rPr>
          <w:rStyle w:val="FootnoteReference"/>
        </w:rPr>
        <w:footnoteRef/>
      </w:r>
      <w:r>
        <w:t xml:space="preserve"> Paragraphs 27 to 40.</w:t>
      </w:r>
    </w:p>
  </w:footnote>
  <w:footnote w:id="39">
    <w:p w14:paraId="71CCCAAA" w14:textId="77777777" w:rsidR="00E62C3A" w:rsidRDefault="00E62C3A" w:rsidP="001C4040">
      <w:pPr>
        <w:pStyle w:val="FootnoteText"/>
      </w:pPr>
      <w:r>
        <w:rPr>
          <w:rStyle w:val="FootnoteReference"/>
        </w:rPr>
        <w:footnoteRef/>
      </w:r>
      <w:r>
        <w:t xml:space="preserve"> paras 15 to 23. See also t</w:t>
      </w:r>
      <w:r w:rsidRPr="005E39D0">
        <w:t xml:space="preserve">he </w:t>
      </w:r>
      <w:r w:rsidRPr="005E39D0">
        <w:rPr>
          <w:b/>
        </w:rPr>
        <w:t>Istanbul Declaration on Transparency in the Judicial Process</w:t>
      </w:r>
      <w:r w:rsidRPr="005E39D0">
        <w:t>, (Adopted by the Conference of Chief Justices and Senior Justices of the Asian Region, 2013), Principle 10, which encourages “outreach programmes designed to educate the public on the role of the justice system” involving “proactive measures by judges and direct interaction with the communities they serve” which may include “town hall meetings” and “the production of radio and television programmes”.</w:t>
      </w:r>
    </w:p>
  </w:footnote>
  <w:footnote w:id="40">
    <w:p w14:paraId="5887C7A7" w14:textId="77777777" w:rsidR="00E62C3A" w:rsidRDefault="00E62C3A" w:rsidP="001C4040">
      <w:pPr>
        <w:pStyle w:val="FootnoteText"/>
      </w:pPr>
      <w:r>
        <w:rPr>
          <w:rStyle w:val="FootnoteReference"/>
        </w:rPr>
        <w:footnoteRef/>
      </w:r>
      <w:r>
        <w:t xml:space="preserve"> Opinion no 806/2015, </w:t>
      </w:r>
      <w:r w:rsidRPr="00E01D73">
        <w:t>CDL-AD(2015)018</w:t>
      </w:r>
      <w:r>
        <w:t xml:space="preserve"> (23 June 2015). </w:t>
      </w:r>
      <w:hyperlink r:id="rId3" w:history="1">
        <w:r w:rsidRPr="00287537">
          <w:rPr>
            <w:rStyle w:val="Hyperlink"/>
          </w:rPr>
          <w:t>https://www.venice.coe.int/webforms/documents/?pdf=CDL-AD(2015)018-e</w:t>
        </w:r>
      </w:hyperlink>
      <w:r>
        <w:t xml:space="preserve"> </w:t>
      </w:r>
    </w:p>
  </w:footnote>
  <w:footnote w:id="41">
    <w:p w14:paraId="6C034115" w14:textId="77777777" w:rsidR="00E62C3A" w:rsidRDefault="00E62C3A" w:rsidP="001C4040">
      <w:pPr>
        <w:pStyle w:val="FootnoteText"/>
      </w:pPr>
      <w:r>
        <w:rPr>
          <w:rStyle w:val="FootnoteReference"/>
        </w:rPr>
        <w:footnoteRef/>
      </w:r>
      <w:r>
        <w:t xml:space="preserve"> </w:t>
      </w:r>
      <w:hyperlink r:id="rId4" w:history="1">
        <w:r w:rsidRPr="00287537">
          <w:rPr>
            <w:rStyle w:val="Hyperlink"/>
          </w:rPr>
          <w:t>https://www.encj.eu/images/stories/pdf/GA/Sofia/encj_sofia_declaration_7_june_2013.pdf</w:t>
        </w:r>
      </w:hyperlink>
      <w:r>
        <w:t xml:space="preserve"> </w:t>
      </w:r>
    </w:p>
  </w:footnote>
  <w:footnote w:id="42">
    <w:p w14:paraId="6C519052" w14:textId="5D53796C" w:rsidR="00E62C3A" w:rsidRDefault="00E62C3A">
      <w:pPr>
        <w:pStyle w:val="FootnoteText"/>
      </w:pPr>
      <w:r>
        <w:rPr>
          <w:rStyle w:val="FootnoteReference"/>
        </w:rPr>
        <w:footnoteRef/>
      </w:r>
      <w:r>
        <w:t xml:space="preserve"> </w:t>
      </w:r>
      <w:r w:rsidRPr="005F6C79">
        <w:rPr>
          <w:szCs w:val="16"/>
        </w:rPr>
        <w:t xml:space="preserve">See also </w:t>
      </w:r>
      <w:r w:rsidRPr="005F6C79">
        <w:rPr>
          <w:b/>
          <w:szCs w:val="16"/>
        </w:rPr>
        <w:t>Guarantees for the Independence of Justice Operators</w:t>
      </w:r>
      <w:r w:rsidRPr="005F6C79">
        <w:rPr>
          <w:szCs w:val="16"/>
        </w:rPr>
        <w:t xml:space="preserve"> (Inter-American Commission of Human Rights, 2013), paras 168-183.</w:t>
      </w:r>
    </w:p>
  </w:footnote>
  <w:footnote w:id="43">
    <w:p w14:paraId="4462A255" w14:textId="00FF9EA8" w:rsidR="00E62C3A" w:rsidRDefault="00E62C3A" w:rsidP="0067563B">
      <w:pPr>
        <w:pStyle w:val="FootnoteText"/>
      </w:pPr>
      <w:r>
        <w:rPr>
          <w:rStyle w:val="FootnoteReference"/>
        </w:rPr>
        <w:footnoteRef/>
      </w:r>
      <w:r>
        <w:t xml:space="preserve"> </w:t>
      </w:r>
      <w:r w:rsidRPr="00E31DC3">
        <w:t xml:space="preserve">Case of </w:t>
      </w:r>
      <w:r w:rsidRPr="00E31DC3">
        <w:rPr>
          <w:i/>
        </w:rPr>
        <w:t>López Lone et al. v. Honduras</w:t>
      </w:r>
      <w:r>
        <w:t>, Series C No. 302, j</w:t>
      </w:r>
      <w:r w:rsidRPr="00E31DC3">
        <w:t xml:space="preserve">udgment of </w:t>
      </w:r>
      <w:r>
        <w:t xml:space="preserve">5 </w:t>
      </w:r>
      <w:r w:rsidRPr="00E31DC3">
        <w:t xml:space="preserve">October </w:t>
      </w:r>
      <w:r>
        <w:t xml:space="preserve">2015. We note that the current UN Special Rapporteur on the Independence of Judges and Lawyers was, at the time, among the judges of the Inter-American Court and thus will already be well aware of it, but nevertheless include the reference here for completeness. </w:t>
      </w:r>
      <w:r w:rsidRPr="00D83F17">
        <w:t xml:space="preserve">See also the Inter-American Commission on Human Rights, </w:t>
      </w:r>
      <w:r w:rsidRPr="00D83F17">
        <w:rPr>
          <w:i/>
        </w:rPr>
        <w:t>Adriana Beatriz Gallo v. Argentina</w:t>
      </w:r>
      <w:r>
        <w:t>,</w:t>
      </w:r>
      <w:r w:rsidRPr="00D83F17">
        <w:t xml:space="preserve"> case No. 43/15 (28 July 2015)</w:t>
      </w:r>
      <w:r>
        <w:t xml:space="preserve">; </w:t>
      </w:r>
      <w:hyperlink r:id="rId5" w:history="1">
        <w:r w:rsidRPr="00446488">
          <w:rPr>
            <w:rStyle w:val="Hyperlink"/>
          </w:rPr>
          <w:t>https://www.oas.org/es/cidh/decisiones/2015/ARPU12632ES.pdf</w:t>
        </w:r>
      </w:hyperlink>
      <w:r>
        <w:t xml:space="preserve"> (Spanish); </w:t>
      </w:r>
      <w:hyperlink r:id="rId6" w:history="1">
        <w:r w:rsidRPr="00446488">
          <w:rPr>
            <w:rStyle w:val="Hyperlink"/>
          </w:rPr>
          <w:t>http://www.oas.org/en/iachr/decisions/2015/arPU12632gEN.pdf</w:t>
        </w:r>
      </w:hyperlink>
      <w:r>
        <w:t xml:space="preserve"> (English)</w:t>
      </w:r>
      <w:r w:rsidR="00BA7EDF">
        <w:t>.</w:t>
      </w:r>
    </w:p>
  </w:footnote>
  <w:footnote w:id="44">
    <w:p w14:paraId="7B5D87C5" w14:textId="77777777" w:rsidR="00E62C3A" w:rsidRPr="00C3781D" w:rsidRDefault="00E62C3A" w:rsidP="001C4040">
      <w:pPr>
        <w:pStyle w:val="FootnoteText"/>
        <w:rPr>
          <w:b/>
          <w:bCs/>
          <w:szCs w:val="16"/>
        </w:rPr>
      </w:pPr>
      <w:r w:rsidRPr="00847C7E">
        <w:rPr>
          <w:rStyle w:val="FootnoteReference"/>
          <w:szCs w:val="16"/>
        </w:rPr>
        <w:footnoteRef/>
      </w:r>
      <w:r w:rsidRPr="00847C7E">
        <w:rPr>
          <w:szCs w:val="16"/>
        </w:rPr>
        <w:t xml:space="preserve"> </w:t>
      </w:r>
      <w:r>
        <w:rPr>
          <w:szCs w:val="16"/>
        </w:rPr>
        <w:t>ICJ, “</w:t>
      </w:r>
      <w:r w:rsidRPr="00C3781D">
        <w:rPr>
          <w:bCs/>
          <w:szCs w:val="16"/>
        </w:rPr>
        <w:t>Egypt: arbitrary and unfair removal of judges must be reversed”</w:t>
      </w:r>
      <w:r>
        <w:rPr>
          <w:szCs w:val="16"/>
        </w:rPr>
        <w:t xml:space="preserve">, 28 March 2016, available at </w:t>
      </w:r>
      <w:hyperlink r:id="rId7" w:history="1">
        <w:r w:rsidRPr="00847C7E">
          <w:rPr>
            <w:rStyle w:val="Hyperlink"/>
            <w:rFonts w:cs="Lucida Grande"/>
            <w:szCs w:val="16"/>
          </w:rPr>
          <w:t>https://www.icj.org/egypt-arbitrary-and-unfair-removal-of-judges-must-be-reversed/</w:t>
        </w:r>
      </w:hyperlink>
      <w:r>
        <w:rPr>
          <w:rFonts w:cs="Lucida Grande"/>
          <w:szCs w:val="16"/>
        </w:rPr>
        <w:t xml:space="preserve">. </w:t>
      </w:r>
    </w:p>
  </w:footnote>
  <w:footnote w:id="45">
    <w:p w14:paraId="4E2E9CFB" w14:textId="77777777" w:rsidR="00E62C3A" w:rsidRPr="00C3781D" w:rsidRDefault="00E62C3A" w:rsidP="001C4040">
      <w:pPr>
        <w:pStyle w:val="FootnoteText"/>
        <w:rPr>
          <w:bCs/>
          <w:szCs w:val="16"/>
        </w:rPr>
      </w:pPr>
      <w:r w:rsidRPr="00847C7E">
        <w:rPr>
          <w:rStyle w:val="FootnoteReference"/>
          <w:szCs w:val="16"/>
        </w:rPr>
        <w:footnoteRef/>
      </w:r>
      <w:r w:rsidRPr="00847C7E">
        <w:rPr>
          <w:szCs w:val="16"/>
        </w:rPr>
        <w:t xml:space="preserve"> </w:t>
      </w:r>
      <w:r>
        <w:rPr>
          <w:szCs w:val="16"/>
        </w:rPr>
        <w:t>ICJ, “</w:t>
      </w:r>
      <w:r w:rsidRPr="00C3781D">
        <w:rPr>
          <w:bCs/>
          <w:szCs w:val="16"/>
        </w:rPr>
        <w:t>Egypt: sustained attacks against judges must stop”</w:t>
      </w:r>
      <w:r>
        <w:rPr>
          <w:szCs w:val="16"/>
        </w:rPr>
        <w:t xml:space="preserve">, 24 February 2016, available at </w:t>
      </w:r>
      <w:hyperlink r:id="rId8" w:history="1">
        <w:r w:rsidRPr="00847C7E">
          <w:rPr>
            <w:rStyle w:val="Hyperlink"/>
            <w:szCs w:val="16"/>
          </w:rPr>
          <w:t>https://www.icj.org/egypt-sustained-attacks-against-judges-must-stop/</w:t>
        </w:r>
      </w:hyperlink>
      <w:r>
        <w:rPr>
          <w:szCs w:val="16"/>
        </w:rPr>
        <w:t>;</w:t>
      </w:r>
      <w:r w:rsidRPr="00847C7E">
        <w:rPr>
          <w:szCs w:val="16"/>
        </w:rPr>
        <w:t xml:space="preserve"> </w:t>
      </w:r>
      <w:r>
        <w:rPr>
          <w:szCs w:val="16"/>
        </w:rPr>
        <w:t>and ICJ, “</w:t>
      </w:r>
      <w:r w:rsidRPr="00C3781D">
        <w:rPr>
          <w:bCs/>
          <w:szCs w:val="16"/>
        </w:rPr>
        <w:t xml:space="preserve">Attacks </w:t>
      </w:r>
      <w:r>
        <w:rPr>
          <w:bCs/>
          <w:szCs w:val="16"/>
        </w:rPr>
        <w:t>o</w:t>
      </w:r>
      <w:r w:rsidRPr="00C3781D">
        <w:rPr>
          <w:bCs/>
          <w:szCs w:val="16"/>
        </w:rPr>
        <w:t xml:space="preserve">n Judges </w:t>
      </w:r>
      <w:r>
        <w:rPr>
          <w:bCs/>
          <w:szCs w:val="16"/>
        </w:rPr>
        <w:t>i</w:t>
      </w:r>
      <w:r w:rsidRPr="00C3781D">
        <w:rPr>
          <w:bCs/>
          <w:szCs w:val="16"/>
        </w:rPr>
        <w:t>n Egypt: July 2013 Statement Case”</w:t>
      </w:r>
      <w:r>
        <w:rPr>
          <w:szCs w:val="16"/>
        </w:rPr>
        <w:t xml:space="preserve">, January 2017, available at </w:t>
      </w:r>
      <w:hyperlink r:id="rId9" w:history="1">
        <w:r w:rsidRPr="00847C7E">
          <w:rPr>
            <w:rStyle w:val="Hyperlink"/>
            <w:rFonts w:cs="Lucida Grande"/>
            <w:szCs w:val="16"/>
          </w:rPr>
          <w:t>https://www.icj.org/wp-content/uploads/2017/01/Egypt-attacks-on-judges-Advocacy-Analysis-brief-2017-ENG.pdf</w:t>
        </w:r>
      </w:hyperlink>
      <w:r>
        <w:rPr>
          <w:rFonts w:cs="Lucida Grande"/>
          <w:szCs w:val="16"/>
        </w:rPr>
        <w:t xml:space="preserve">. </w:t>
      </w:r>
    </w:p>
  </w:footnote>
  <w:footnote w:id="46">
    <w:p w14:paraId="6D49324E" w14:textId="77777777" w:rsidR="00E62C3A" w:rsidRPr="00847C7E" w:rsidRDefault="00E62C3A" w:rsidP="001C4040">
      <w:pPr>
        <w:pStyle w:val="FootnoteText"/>
        <w:rPr>
          <w:szCs w:val="16"/>
        </w:rPr>
      </w:pPr>
      <w:r w:rsidRPr="00847C7E">
        <w:rPr>
          <w:rStyle w:val="FootnoteReference"/>
          <w:szCs w:val="16"/>
        </w:rPr>
        <w:footnoteRef/>
      </w:r>
      <w:r w:rsidRPr="00847C7E">
        <w:rPr>
          <w:szCs w:val="16"/>
        </w:rPr>
        <w:t xml:space="preserve"> </w:t>
      </w:r>
      <w:r>
        <w:rPr>
          <w:szCs w:val="16"/>
        </w:rPr>
        <w:t>ICJ, “</w:t>
      </w:r>
      <w:r w:rsidRPr="00C3781D">
        <w:rPr>
          <w:bCs/>
          <w:szCs w:val="16"/>
        </w:rPr>
        <w:t>Egypt: authorities must end actions against independent judges”</w:t>
      </w:r>
      <w:r>
        <w:rPr>
          <w:szCs w:val="16"/>
        </w:rPr>
        <w:t xml:space="preserve">, 14 April 2015, available at </w:t>
      </w:r>
      <w:hyperlink r:id="rId10" w:history="1">
        <w:r w:rsidRPr="00847C7E">
          <w:rPr>
            <w:rStyle w:val="Hyperlink"/>
            <w:szCs w:val="16"/>
          </w:rPr>
          <w:t>https://www.icj.org/egypt-authorities-must-end-actions-against-independent-judges/</w:t>
        </w:r>
      </w:hyperlink>
      <w:r>
        <w:rPr>
          <w:szCs w:val="16"/>
        </w:rPr>
        <w:t>.</w:t>
      </w:r>
      <w:r w:rsidRPr="00847C7E">
        <w:rPr>
          <w:szCs w:val="16"/>
        </w:rPr>
        <w:t xml:space="preserve"> </w:t>
      </w:r>
    </w:p>
  </w:footnote>
  <w:footnote w:id="47">
    <w:p w14:paraId="2C251A95" w14:textId="77777777" w:rsidR="00E62C3A" w:rsidRPr="005A77A1" w:rsidRDefault="00E62C3A" w:rsidP="005A77A1">
      <w:pPr>
        <w:pStyle w:val="FootnoteText"/>
        <w:rPr>
          <w:lang w:val="en-US"/>
        </w:rPr>
      </w:pPr>
      <w:r>
        <w:rPr>
          <w:rStyle w:val="FootnoteReference"/>
        </w:rPr>
        <w:footnoteRef/>
      </w:r>
      <w:r>
        <w:t xml:space="preserve"> </w:t>
      </w:r>
      <w:r>
        <w:rPr>
          <w:lang w:val="en-US"/>
        </w:rPr>
        <w:t xml:space="preserve">ICJ, “Egypt: immediately release Hisham Geneina, quash his conviction”, 25 April 2018, available at </w:t>
      </w:r>
      <w:hyperlink r:id="rId11" w:history="1">
        <w:r w:rsidRPr="00C752D4">
          <w:rPr>
            <w:rStyle w:val="Hyperlink"/>
            <w:lang w:val="en-US"/>
          </w:rPr>
          <w:t>https://www.icj.org/egypt-immediately-release-hisham-geneina-quash-his-conviction/</w:t>
        </w:r>
      </w:hyperlink>
      <w:r>
        <w:rPr>
          <w:lang w:val="en-US"/>
        </w:rPr>
        <w:t xml:space="preserve">. </w:t>
      </w:r>
    </w:p>
  </w:footnote>
  <w:footnote w:id="48">
    <w:p w14:paraId="2C1BD478" w14:textId="77777777" w:rsidR="00E62C3A" w:rsidRPr="00847C7E" w:rsidRDefault="00E62C3A" w:rsidP="001C4040">
      <w:pPr>
        <w:pStyle w:val="FootnoteText"/>
        <w:rPr>
          <w:szCs w:val="16"/>
        </w:rPr>
      </w:pPr>
      <w:r w:rsidRPr="00847C7E">
        <w:rPr>
          <w:rStyle w:val="FootnoteReference"/>
          <w:szCs w:val="16"/>
        </w:rPr>
        <w:footnoteRef/>
      </w:r>
      <w:r w:rsidRPr="00847C7E">
        <w:rPr>
          <w:szCs w:val="16"/>
        </w:rPr>
        <w:t xml:space="preserve"> </w:t>
      </w:r>
      <w:r>
        <w:rPr>
          <w:szCs w:val="16"/>
        </w:rPr>
        <w:t>ICJ, “</w:t>
      </w:r>
      <w:r w:rsidRPr="00C3781D">
        <w:rPr>
          <w:bCs/>
          <w:szCs w:val="16"/>
        </w:rPr>
        <w:t>Morocco: end disciplinary proceedings against judges</w:t>
      </w:r>
      <w:r>
        <w:rPr>
          <w:bCs/>
          <w:szCs w:val="16"/>
        </w:rPr>
        <w:t xml:space="preserve">”, 7 December 2018, available at </w:t>
      </w:r>
      <w:hyperlink r:id="rId12" w:history="1">
        <w:r w:rsidRPr="00847C7E">
          <w:rPr>
            <w:rStyle w:val="Hyperlink"/>
            <w:szCs w:val="16"/>
          </w:rPr>
          <w:t>https://www.icj.org/morocco-end-disciplinary-proceedings-against-judges/</w:t>
        </w:r>
      </w:hyperlink>
      <w:r>
        <w:rPr>
          <w:szCs w:val="16"/>
        </w:rPr>
        <w:t>; and ICJ, “</w:t>
      </w:r>
      <w:r w:rsidRPr="00C3781D">
        <w:rPr>
          <w:bCs/>
          <w:szCs w:val="16"/>
        </w:rPr>
        <w:t>Morocco: Arbitrary dismissal of Judge Al-Haini must be reversed”</w:t>
      </w:r>
      <w:r>
        <w:rPr>
          <w:bCs/>
          <w:szCs w:val="16"/>
        </w:rPr>
        <w:t xml:space="preserve">, 13 February 2016, available at </w:t>
      </w:r>
      <w:hyperlink r:id="rId13" w:history="1">
        <w:r w:rsidRPr="00847C7E">
          <w:rPr>
            <w:rStyle w:val="Hyperlink"/>
            <w:szCs w:val="16"/>
          </w:rPr>
          <w:t>https://www.icj.org/morocco-arbitrary-dismissal-of-judge-al-haini-must-be-reversed/</w:t>
        </w:r>
      </w:hyperlink>
      <w:r>
        <w:rPr>
          <w:szCs w:val="16"/>
        </w:rPr>
        <w:t xml:space="preserve">. </w:t>
      </w:r>
    </w:p>
  </w:footnote>
  <w:footnote w:id="49">
    <w:p w14:paraId="3E75C84C" w14:textId="513F5E2D" w:rsidR="00E62C3A" w:rsidRDefault="00E62C3A">
      <w:pPr>
        <w:pStyle w:val="FootnoteText"/>
      </w:pPr>
      <w:r>
        <w:rPr>
          <w:rStyle w:val="FootnoteReference"/>
        </w:rPr>
        <w:footnoteRef/>
      </w:r>
      <w:r>
        <w:t xml:space="preserve"> </w:t>
      </w:r>
      <w:hyperlink r:id="rId14" w:history="1">
        <w:r w:rsidRPr="00C27807">
          <w:rPr>
            <w:rStyle w:val="Hyperlink"/>
          </w:rPr>
          <w:t>https://www.icj.org/south-korea-individual-independence-of-judges-must-be-upheld-and-protected/</w:t>
        </w:r>
      </w:hyperlink>
      <w:r>
        <w:t xml:space="preserve"> (28 June 2018).</w:t>
      </w:r>
    </w:p>
  </w:footnote>
  <w:footnote w:id="50">
    <w:p w14:paraId="14BE43FC" w14:textId="77777777" w:rsidR="00E62C3A" w:rsidRPr="0044121E" w:rsidRDefault="00E62C3A" w:rsidP="000144B9">
      <w:pPr>
        <w:pStyle w:val="FootnoteText"/>
      </w:pPr>
      <w:r>
        <w:rPr>
          <w:rStyle w:val="FootnoteReference"/>
        </w:rPr>
        <w:footnoteRef/>
      </w:r>
      <w:r>
        <w:t xml:space="preserve"> </w:t>
      </w:r>
      <w:hyperlink r:id="rId15" w:history="1">
        <w:r w:rsidRPr="00662514">
          <w:rPr>
            <w:rStyle w:val="Hyperlink"/>
          </w:rPr>
          <w:t>http://oca.judiciary.gov.ph/wp-content/uploads/2017/08/OCA-Circular-No.-173-2017.pdf</w:t>
        </w:r>
      </w:hyperlink>
      <w:r>
        <w:t xml:space="preserve"> </w:t>
      </w:r>
    </w:p>
  </w:footnote>
  <w:footnote w:id="51">
    <w:p w14:paraId="7905E4D4" w14:textId="3D1D25FA" w:rsidR="00E62C3A" w:rsidRDefault="00E62C3A">
      <w:pPr>
        <w:pStyle w:val="FootnoteText"/>
      </w:pPr>
      <w:r>
        <w:rPr>
          <w:rStyle w:val="FootnoteReference"/>
        </w:rPr>
        <w:footnoteRef/>
      </w:r>
      <w:r>
        <w:t xml:space="preserve"> See </w:t>
      </w:r>
      <w:r>
        <w:rPr>
          <w:lang w:val="en-GB"/>
        </w:rPr>
        <w:t>“</w:t>
      </w:r>
      <w:r w:rsidRPr="00B471C9">
        <w:rPr>
          <w:lang w:val="en-GB"/>
        </w:rPr>
        <w:t>Philippines: Supreme Court decision removing its Chief Justice contributes to deterioration of the rule of law</w:t>
      </w:r>
      <w:r>
        <w:rPr>
          <w:lang w:val="en-GB"/>
        </w:rPr>
        <w:t>” (30 May 2018),</w:t>
      </w:r>
      <w:r>
        <w:t xml:space="preserve"> </w:t>
      </w:r>
      <w:hyperlink r:id="rId16" w:history="1">
        <w:r w:rsidRPr="00D93F97">
          <w:rPr>
            <w:rStyle w:val="Hyperlink"/>
          </w:rPr>
          <w:t>https://www.icj.org/philippines-supreme-court-decision-removing-its-chief-justice-contributes-to-deterioration-of-the-rule-of-law/</w:t>
        </w:r>
      </w:hyperlink>
      <w:r>
        <w:t>.</w:t>
      </w:r>
    </w:p>
  </w:footnote>
  <w:footnote w:id="52">
    <w:p w14:paraId="4A5D6AED" w14:textId="58766E3D" w:rsidR="00E62C3A" w:rsidRDefault="00E62C3A" w:rsidP="001C4040">
      <w:pPr>
        <w:pStyle w:val="FootnoteText"/>
      </w:pPr>
      <w:r>
        <w:rPr>
          <w:rStyle w:val="FootnoteReference"/>
        </w:rPr>
        <w:footnoteRef/>
      </w:r>
      <w:r>
        <w:t xml:space="preserve"> See ICJ and Judges for Judges, </w:t>
      </w:r>
      <w:r w:rsidRPr="005B635E">
        <w:rPr>
          <w:i/>
        </w:rPr>
        <w:t>Judicial Independence and Accountability in Bulgaria</w:t>
      </w:r>
      <w:r>
        <w:rPr>
          <w:i/>
        </w:rPr>
        <w:t> :</w:t>
      </w:r>
      <w:r w:rsidRPr="005B635E">
        <w:rPr>
          <w:i/>
        </w:rPr>
        <w:t xml:space="preserve"> The Case of Judge Miroslava Todorova</w:t>
      </w:r>
      <w:r w:rsidRPr="005B635E">
        <w:t xml:space="preserve"> </w:t>
      </w:r>
      <w:r>
        <w:t xml:space="preserve">(2017), pp. 2-3 and 16; </w:t>
      </w:r>
      <w:r>
        <w:rPr>
          <w:lang w:val="en-GB"/>
        </w:rPr>
        <w:t>“</w:t>
      </w:r>
      <w:r>
        <w:t>Bulgaria: ICJ raises concern at dismissal of Judge Todorova</w:t>
      </w:r>
      <w:r>
        <w:rPr>
          <w:lang w:val="en-GB"/>
        </w:rPr>
        <w:t>”</w:t>
      </w:r>
      <w:r>
        <w:t xml:space="preserve"> (August 27, 2012), </w:t>
      </w:r>
      <w:hyperlink r:id="rId17" w:history="1">
        <w:r w:rsidRPr="00287537">
          <w:rPr>
            <w:rStyle w:val="Hyperlink"/>
          </w:rPr>
          <w:t>https://www.icj.org/bulgaria-icj-raises-concern-at-dismissal-of-judge-todorova/</w:t>
        </w:r>
      </w:hyperlink>
      <w:r>
        <w:t xml:space="preserve"> </w:t>
      </w:r>
    </w:p>
  </w:footnote>
  <w:footnote w:id="53">
    <w:p w14:paraId="46708291" w14:textId="77777777" w:rsidR="00E62C3A" w:rsidRDefault="00E62C3A" w:rsidP="00F21B53">
      <w:pPr>
        <w:pStyle w:val="FootnoteText"/>
      </w:pPr>
      <w:r>
        <w:rPr>
          <w:rStyle w:val="FootnoteReference"/>
        </w:rPr>
        <w:footnoteRef/>
      </w:r>
      <w:r>
        <w:t xml:space="preserve"> </w:t>
      </w:r>
      <w:hyperlink r:id="rId18" w:history="1">
        <w:r w:rsidRPr="00446488">
          <w:rPr>
            <w:rStyle w:val="Hyperlink"/>
          </w:rPr>
          <w:t>https://www.cjc-ccm.gc.ca/cmslib/general/news_pub_judicialconduct_Principles_en.pdf</w:t>
        </w:r>
      </w:hyperlink>
      <w:r>
        <w:t xml:space="preserve"> </w:t>
      </w:r>
    </w:p>
  </w:footnote>
  <w:footnote w:id="54">
    <w:p w14:paraId="654DBC61" w14:textId="77777777" w:rsidR="00E62C3A" w:rsidRDefault="00E62C3A" w:rsidP="00F21B53">
      <w:pPr>
        <w:pStyle w:val="FootnoteText"/>
      </w:pPr>
      <w:r>
        <w:rPr>
          <w:rStyle w:val="FootnoteReference"/>
        </w:rPr>
        <w:footnoteRef/>
      </w:r>
      <w:r>
        <w:t xml:space="preserve"> Principle 6D.1.</w:t>
      </w:r>
    </w:p>
  </w:footnote>
  <w:footnote w:id="55">
    <w:p w14:paraId="7240CEEB" w14:textId="77777777" w:rsidR="00E62C3A" w:rsidRDefault="00E62C3A" w:rsidP="00F21B53">
      <w:pPr>
        <w:pStyle w:val="FootnoteText"/>
      </w:pPr>
      <w:r>
        <w:rPr>
          <w:rStyle w:val="FootnoteReference"/>
        </w:rPr>
        <w:footnoteRef/>
      </w:r>
      <w:r>
        <w:t xml:space="preserve"> Principle 6D.3(d).</w:t>
      </w:r>
    </w:p>
  </w:footnote>
  <w:footnote w:id="56">
    <w:p w14:paraId="3B4F0CF9" w14:textId="77777777" w:rsidR="00E62C3A" w:rsidRDefault="00E62C3A" w:rsidP="00F21B53">
      <w:pPr>
        <w:pStyle w:val="FootnoteText"/>
      </w:pPr>
      <w:r>
        <w:rPr>
          <w:rStyle w:val="FootnoteReference"/>
        </w:rPr>
        <w:footnoteRef/>
      </w:r>
      <w:r>
        <w:t xml:space="preserve"> Canadian Judicial Council, Ethical Principles for Judges, pp. 41-43.</w:t>
      </w:r>
    </w:p>
  </w:footnote>
  <w:footnote w:id="57">
    <w:p w14:paraId="2ABB7EF3" w14:textId="16FE85A9" w:rsidR="00E62C3A" w:rsidRDefault="00E62C3A">
      <w:pPr>
        <w:pStyle w:val="FootnoteText"/>
      </w:pPr>
      <w:r>
        <w:rPr>
          <w:rStyle w:val="FootnoteReference"/>
        </w:rPr>
        <w:footnoteRef/>
      </w:r>
      <w:r>
        <w:t xml:space="preserve"> </w:t>
      </w:r>
      <w:r w:rsidRPr="00393E7E">
        <w:t>46 Victoria U. Wellington L. Rev. 453 (2015)</w:t>
      </w:r>
      <w:r>
        <w:t>.</w:t>
      </w:r>
    </w:p>
  </w:footnote>
  <w:footnote w:id="58">
    <w:p w14:paraId="6DD6B1AA" w14:textId="07B572D5" w:rsidR="00E62C3A" w:rsidRPr="009B1854" w:rsidRDefault="00E62C3A" w:rsidP="00237547">
      <w:pPr>
        <w:pStyle w:val="FootnoteText"/>
        <w:rPr>
          <w:lang w:val="en-GB"/>
        </w:rPr>
      </w:pPr>
      <w:r w:rsidRPr="009B1854">
        <w:rPr>
          <w:rStyle w:val="FootnoteReference"/>
          <w:lang w:val="en-GB"/>
        </w:rPr>
        <w:footnoteRef/>
      </w:r>
      <w:r w:rsidRPr="009B1854">
        <w:rPr>
          <w:lang w:val="en-GB"/>
        </w:rPr>
        <w:t xml:space="preserve"> Moran quotes the following test from the New Zealand case of </w:t>
      </w:r>
      <w:r w:rsidRPr="009B1854">
        <w:rPr>
          <w:i/>
          <w:lang w:val="en-GB"/>
        </w:rPr>
        <w:t>Saxmere</w:t>
      </w:r>
      <w:r>
        <w:rPr>
          <w:lang w:val="en-GB"/>
        </w:rPr>
        <w:t>: “</w:t>
      </w:r>
      <w:r w:rsidRPr="009B1854">
        <w:rPr>
          <w:lang w:val="en-GB"/>
        </w:rPr>
        <w:t>Apparent bias is established if A fair-minded lay observer might reasonably apprehend the judge might not bring an impartial mind to the resolution of the question th</w:t>
      </w:r>
      <w:r>
        <w:rPr>
          <w:lang w:val="en-GB"/>
        </w:rPr>
        <w:t>e judge is required to decide.”</w:t>
      </w:r>
    </w:p>
  </w:footnote>
  <w:footnote w:id="59">
    <w:p w14:paraId="5FFA9620" w14:textId="6A869BA0" w:rsidR="00E62C3A" w:rsidRDefault="00E62C3A">
      <w:pPr>
        <w:pStyle w:val="FootnoteText"/>
      </w:pPr>
      <w:r>
        <w:rPr>
          <w:rStyle w:val="FootnoteReference"/>
        </w:rPr>
        <w:footnoteRef/>
      </w:r>
      <w:r>
        <w:t xml:space="preserve"> 13(1) Utrecht Law Review 1-17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D9E8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C2C896"/>
    <w:lvl w:ilvl="0">
      <w:start w:val="1"/>
      <w:numFmt w:val="decimal"/>
      <w:lvlText w:val="%1."/>
      <w:lvlJc w:val="left"/>
      <w:pPr>
        <w:tabs>
          <w:tab w:val="num" w:pos="1492"/>
        </w:tabs>
        <w:ind w:left="1492" w:hanging="360"/>
      </w:pPr>
    </w:lvl>
  </w:abstractNum>
  <w:abstractNum w:abstractNumId="2">
    <w:nsid w:val="FFFFFF7D"/>
    <w:multiLevelType w:val="singleLevel"/>
    <w:tmpl w:val="A6E2D062"/>
    <w:lvl w:ilvl="0">
      <w:start w:val="1"/>
      <w:numFmt w:val="decimal"/>
      <w:lvlText w:val="%1."/>
      <w:lvlJc w:val="left"/>
      <w:pPr>
        <w:tabs>
          <w:tab w:val="num" w:pos="1209"/>
        </w:tabs>
        <w:ind w:left="1209" w:hanging="360"/>
      </w:pPr>
    </w:lvl>
  </w:abstractNum>
  <w:abstractNum w:abstractNumId="3">
    <w:nsid w:val="FFFFFF7E"/>
    <w:multiLevelType w:val="singleLevel"/>
    <w:tmpl w:val="22DE29D2"/>
    <w:lvl w:ilvl="0">
      <w:start w:val="1"/>
      <w:numFmt w:val="decimal"/>
      <w:lvlText w:val="%1."/>
      <w:lvlJc w:val="left"/>
      <w:pPr>
        <w:tabs>
          <w:tab w:val="num" w:pos="926"/>
        </w:tabs>
        <w:ind w:left="926" w:hanging="360"/>
      </w:pPr>
    </w:lvl>
  </w:abstractNum>
  <w:abstractNum w:abstractNumId="4">
    <w:nsid w:val="FFFFFF7F"/>
    <w:multiLevelType w:val="singleLevel"/>
    <w:tmpl w:val="3338660A"/>
    <w:lvl w:ilvl="0">
      <w:start w:val="1"/>
      <w:numFmt w:val="decimal"/>
      <w:lvlText w:val="%1."/>
      <w:lvlJc w:val="left"/>
      <w:pPr>
        <w:tabs>
          <w:tab w:val="num" w:pos="643"/>
        </w:tabs>
        <w:ind w:left="643" w:hanging="360"/>
      </w:pPr>
    </w:lvl>
  </w:abstractNum>
  <w:abstractNum w:abstractNumId="5">
    <w:nsid w:val="FFFFFF80"/>
    <w:multiLevelType w:val="singleLevel"/>
    <w:tmpl w:val="F9B2E74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A60849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580EB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B2269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D1A3E0E"/>
    <w:lvl w:ilvl="0">
      <w:start w:val="1"/>
      <w:numFmt w:val="decimal"/>
      <w:lvlText w:val="%1."/>
      <w:lvlJc w:val="left"/>
      <w:pPr>
        <w:tabs>
          <w:tab w:val="num" w:pos="360"/>
        </w:tabs>
        <w:ind w:left="360" w:hanging="360"/>
      </w:pPr>
    </w:lvl>
  </w:abstractNum>
  <w:abstractNum w:abstractNumId="10">
    <w:nsid w:val="FFFFFF89"/>
    <w:multiLevelType w:val="singleLevel"/>
    <w:tmpl w:val="DA44F826"/>
    <w:lvl w:ilvl="0">
      <w:start w:val="1"/>
      <w:numFmt w:val="bullet"/>
      <w:lvlText w:val=""/>
      <w:lvlJc w:val="left"/>
      <w:pPr>
        <w:tabs>
          <w:tab w:val="num" w:pos="360"/>
        </w:tabs>
        <w:ind w:left="360" w:hanging="360"/>
      </w:pPr>
      <w:rPr>
        <w:rFonts w:ascii="Symbol" w:hAnsi="Symbol" w:hint="default"/>
      </w:rPr>
    </w:lvl>
  </w:abstractNum>
  <w:abstractNum w:abstractNumId="11">
    <w:nsid w:val="02A516BA"/>
    <w:multiLevelType w:val="hybridMultilevel"/>
    <w:tmpl w:val="3884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45202"/>
    <w:multiLevelType w:val="hybridMultilevel"/>
    <w:tmpl w:val="0C404FE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9B52D15"/>
    <w:multiLevelType w:val="hybridMultilevel"/>
    <w:tmpl w:val="56B4A01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AAF4EC3"/>
    <w:multiLevelType w:val="hybridMultilevel"/>
    <w:tmpl w:val="A4B09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D33A83"/>
    <w:multiLevelType w:val="hybridMultilevel"/>
    <w:tmpl w:val="26E4627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631563C1"/>
    <w:multiLevelType w:val="hybridMultilevel"/>
    <w:tmpl w:val="70DABE4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6DA4EDA"/>
    <w:multiLevelType w:val="hybridMultilevel"/>
    <w:tmpl w:val="7EF29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 w:numId="13">
    <w:abstractNumId w:val="14"/>
  </w:num>
  <w:num w:numId="14">
    <w:abstractNumId w:val="12"/>
  </w:num>
  <w:num w:numId="15">
    <w:abstractNumId w:val="15"/>
  </w:num>
  <w:num w:numId="16">
    <w:abstractNumId w:val="17"/>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356"/>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4097" style="mso-position-vertical-relative:page" o:allowoverlap="f" fill="f" fillcolor="white" stroke="f">
      <v:fill color="white" on="f"/>
      <v:stroke on="f"/>
      <v:textbox inset="3.5mm,5.5mm,0,2mm"/>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49"/>
    <w:rsid w:val="00000B6F"/>
    <w:rsid w:val="0000560A"/>
    <w:rsid w:val="000144B9"/>
    <w:rsid w:val="000206A2"/>
    <w:rsid w:val="00032A17"/>
    <w:rsid w:val="00032C5B"/>
    <w:rsid w:val="00035410"/>
    <w:rsid w:val="00045A2F"/>
    <w:rsid w:val="00053826"/>
    <w:rsid w:val="00066E3F"/>
    <w:rsid w:val="0007362F"/>
    <w:rsid w:val="000B19DD"/>
    <w:rsid w:val="000B2DC3"/>
    <w:rsid w:val="000B4037"/>
    <w:rsid w:val="000E083F"/>
    <w:rsid w:val="001112B2"/>
    <w:rsid w:val="0011401A"/>
    <w:rsid w:val="00125275"/>
    <w:rsid w:val="00125589"/>
    <w:rsid w:val="00132396"/>
    <w:rsid w:val="00134252"/>
    <w:rsid w:val="00147C32"/>
    <w:rsid w:val="00154FBA"/>
    <w:rsid w:val="00160731"/>
    <w:rsid w:val="00160D0C"/>
    <w:rsid w:val="0016688F"/>
    <w:rsid w:val="00191571"/>
    <w:rsid w:val="00191E0F"/>
    <w:rsid w:val="001B5552"/>
    <w:rsid w:val="001C1C5C"/>
    <w:rsid w:val="001C4040"/>
    <w:rsid w:val="001C7780"/>
    <w:rsid w:val="002249D5"/>
    <w:rsid w:val="00233754"/>
    <w:rsid w:val="00237547"/>
    <w:rsid w:val="00264447"/>
    <w:rsid w:val="002821D0"/>
    <w:rsid w:val="002A1613"/>
    <w:rsid w:val="002B0643"/>
    <w:rsid w:val="002B20B3"/>
    <w:rsid w:val="002D3367"/>
    <w:rsid w:val="002F2ADE"/>
    <w:rsid w:val="00322E06"/>
    <w:rsid w:val="003254C4"/>
    <w:rsid w:val="003469A1"/>
    <w:rsid w:val="003778A7"/>
    <w:rsid w:val="00383D2A"/>
    <w:rsid w:val="00393E7E"/>
    <w:rsid w:val="00394DAF"/>
    <w:rsid w:val="003D019D"/>
    <w:rsid w:val="003D692A"/>
    <w:rsid w:val="004356FE"/>
    <w:rsid w:val="004574D7"/>
    <w:rsid w:val="00460195"/>
    <w:rsid w:val="00484C50"/>
    <w:rsid w:val="004938A7"/>
    <w:rsid w:val="004A1354"/>
    <w:rsid w:val="004C28DA"/>
    <w:rsid w:val="004C3D76"/>
    <w:rsid w:val="004C51F2"/>
    <w:rsid w:val="004E0815"/>
    <w:rsid w:val="004E3930"/>
    <w:rsid w:val="0050490A"/>
    <w:rsid w:val="00512F94"/>
    <w:rsid w:val="00527BE6"/>
    <w:rsid w:val="0053153A"/>
    <w:rsid w:val="00545A21"/>
    <w:rsid w:val="005463A5"/>
    <w:rsid w:val="00546540"/>
    <w:rsid w:val="00556136"/>
    <w:rsid w:val="00556EE1"/>
    <w:rsid w:val="00563240"/>
    <w:rsid w:val="005917BB"/>
    <w:rsid w:val="005A77A1"/>
    <w:rsid w:val="005B635E"/>
    <w:rsid w:val="005C40BF"/>
    <w:rsid w:val="005D4126"/>
    <w:rsid w:val="005D5CC1"/>
    <w:rsid w:val="005E0E0E"/>
    <w:rsid w:val="005E39D0"/>
    <w:rsid w:val="005F6C79"/>
    <w:rsid w:val="00603179"/>
    <w:rsid w:val="00630449"/>
    <w:rsid w:val="00643EE0"/>
    <w:rsid w:val="00645D80"/>
    <w:rsid w:val="00650ADC"/>
    <w:rsid w:val="0067563B"/>
    <w:rsid w:val="00691501"/>
    <w:rsid w:val="006B23A3"/>
    <w:rsid w:val="006D59EF"/>
    <w:rsid w:val="006E1FF2"/>
    <w:rsid w:val="00717443"/>
    <w:rsid w:val="0072340E"/>
    <w:rsid w:val="00735D34"/>
    <w:rsid w:val="00753465"/>
    <w:rsid w:val="00757AE8"/>
    <w:rsid w:val="007725E1"/>
    <w:rsid w:val="007962A6"/>
    <w:rsid w:val="007A246A"/>
    <w:rsid w:val="007B3479"/>
    <w:rsid w:val="007F18A9"/>
    <w:rsid w:val="00813E85"/>
    <w:rsid w:val="00831799"/>
    <w:rsid w:val="008406ED"/>
    <w:rsid w:val="00862FBC"/>
    <w:rsid w:val="00866C3A"/>
    <w:rsid w:val="00877DC1"/>
    <w:rsid w:val="0088035F"/>
    <w:rsid w:val="00890013"/>
    <w:rsid w:val="008966DD"/>
    <w:rsid w:val="008C6773"/>
    <w:rsid w:val="008E29E3"/>
    <w:rsid w:val="009406EE"/>
    <w:rsid w:val="00952047"/>
    <w:rsid w:val="009525CB"/>
    <w:rsid w:val="00955E62"/>
    <w:rsid w:val="00960D1A"/>
    <w:rsid w:val="0097424B"/>
    <w:rsid w:val="009B1854"/>
    <w:rsid w:val="009B65A1"/>
    <w:rsid w:val="009C3BA6"/>
    <w:rsid w:val="009C6E84"/>
    <w:rsid w:val="009D0FBE"/>
    <w:rsid w:val="009F1D90"/>
    <w:rsid w:val="00A03CC4"/>
    <w:rsid w:val="00A11D1A"/>
    <w:rsid w:val="00A159AD"/>
    <w:rsid w:val="00A312AF"/>
    <w:rsid w:val="00A717D6"/>
    <w:rsid w:val="00A74182"/>
    <w:rsid w:val="00A77EE0"/>
    <w:rsid w:val="00AA7D25"/>
    <w:rsid w:val="00AB704B"/>
    <w:rsid w:val="00B03BC7"/>
    <w:rsid w:val="00B31B4F"/>
    <w:rsid w:val="00B471C9"/>
    <w:rsid w:val="00B97187"/>
    <w:rsid w:val="00B975D3"/>
    <w:rsid w:val="00BA2FFD"/>
    <w:rsid w:val="00BA5B83"/>
    <w:rsid w:val="00BA7EDF"/>
    <w:rsid w:val="00BB2315"/>
    <w:rsid w:val="00BB386D"/>
    <w:rsid w:val="00BB4A0B"/>
    <w:rsid w:val="00BD4B15"/>
    <w:rsid w:val="00BD74C1"/>
    <w:rsid w:val="00BE250E"/>
    <w:rsid w:val="00BF00F8"/>
    <w:rsid w:val="00BF24ED"/>
    <w:rsid w:val="00BF76CC"/>
    <w:rsid w:val="00C257CC"/>
    <w:rsid w:val="00C264F7"/>
    <w:rsid w:val="00C62585"/>
    <w:rsid w:val="00C81BB6"/>
    <w:rsid w:val="00C95812"/>
    <w:rsid w:val="00CA3B71"/>
    <w:rsid w:val="00CA7523"/>
    <w:rsid w:val="00CC45BD"/>
    <w:rsid w:val="00CC6706"/>
    <w:rsid w:val="00D019E9"/>
    <w:rsid w:val="00D05C3D"/>
    <w:rsid w:val="00D3648B"/>
    <w:rsid w:val="00D373B7"/>
    <w:rsid w:val="00D6799D"/>
    <w:rsid w:val="00D75AC9"/>
    <w:rsid w:val="00D83F17"/>
    <w:rsid w:val="00DB2AF7"/>
    <w:rsid w:val="00DB3F44"/>
    <w:rsid w:val="00DC1EFD"/>
    <w:rsid w:val="00DD5E09"/>
    <w:rsid w:val="00E0128E"/>
    <w:rsid w:val="00E01D73"/>
    <w:rsid w:val="00E10151"/>
    <w:rsid w:val="00E126F8"/>
    <w:rsid w:val="00E22744"/>
    <w:rsid w:val="00E31DC3"/>
    <w:rsid w:val="00E37679"/>
    <w:rsid w:val="00E40DDA"/>
    <w:rsid w:val="00E4481A"/>
    <w:rsid w:val="00E5719D"/>
    <w:rsid w:val="00E62C3A"/>
    <w:rsid w:val="00E66401"/>
    <w:rsid w:val="00E72628"/>
    <w:rsid w:val="00E72D41"/>
    <w:rsid w:val="00E7310D"/>
    <w:rsid w:val="00E804BC"/>
    <w:rsid w:val="00E86B26"/>
    <w:rsid w:val="00EB5EC4"/>
    <w:rsid w:val="00EB7F80"/>
    <w:rsid w:val="00EE2F76"/>
    <w:rsid w:val="00F0347C"/>
    <w:rsid w:val="00F04465"/>
    <w:rsid w:val="00F21B53"/>
    <w:rsid w:val="00F42439"/>
    <w:rsid w:val="00F43118"/>
    <w:rsid w:val="00F476BB"/>
    <w:rsid w:val="00F53884"/>
    <w:rsid w:val="00F8714A"/>
    <w:rsid w:val="00FA2244"/>
    <w:rsid w:val="00FB1936"/>
    <w:rsid w:val="00FC2180"/>
    <w:rsid w:val="00FD5263"/>
    <w:rsid w:val="00FE36A5"/>
    <w:rsid w:val="00FE6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 o:allowoverlap="f" fill="f" fillcolor="white" stroke="f">
      <v:fill color="white" on="f"/>
      <v:stroke on="f"/>
      <v:textbox inset="3.5mm,5.5mm,0,2mm"/>
    </o:shapedefaults>
    <o:shapelayout v:ext="edit">
      <o:idmap v:ext="edit" data="1"/>
    </o:shapelayout>
  </w:shapeDefaults>
  <w:decimalSymbol w:val="."/>
  <w:listSeparator w:val=","/>
  <w14:docId w14:val="58E63BDC"/>
  <w14:defaultImageDpi w14:val="300"/>
  <w15:docId w15:val="{C2147A96-9EE9-495C-9EC6-41E22D70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5F"/>
    <w:rPr>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09A0"/>
    <w:pPr>
      <w:tabs>
        <w:tab w:val="center" w:pos="4536"/>
        <w:tab w:val="right" w:pos="9072"/>
      </w:tabs>
    </w:pPr>
  </w:style>
  <w:style w:type="character" w:customStyle="1" w:styleId="HeaderChar">
    <w:name w:val="Header Char"/>
    <w:basedOn w:val="DefaultParagraphFont"/>
    <w:link w:val="Header"/>
    <w:rsid w:val="001309A0"/>
    <w:rPr>
      <w:sz w:val="24"/>
      <w:szCs w:val="24"/>
      <w:lang w:eastAsia="en-US"/>
    </w:rPr>
  </w:style>
  <w:style w:type="paragraph" w:styleId="Footer">
    <w:name w:val="footer"/>
    <w:basedOn w:val="Normal"/>
    <w:link w:val="FooterChar"/>
    <w:rsid w:val="001309A0"/>
    <w:pPr>
      <w:tabs>
        <w:tab w:val="center" w:pos="4536"/>
        <w:tab w:val="right" w:pos="9072"/>
      </w:tabs>
    </w:pPr>
  </w:style>
  <w:style w:type="character" w:customStyle="1" w:styleId="FooterChar">
    <w:name w:val="Footer Char"/>
    <w:basedOn w:val="DefaultParagraphFont"/>
    <w:link w:val="Footer"/>
    <w:rsid w:val="001309A0"/>
    <w:rPr>
      <w:sz w:val="24"/>
      <w:szCs w:val="24"/>
      <w:lang w:eastAsia="en-US"/>
    </w:rPr>
  </w:style>
  <w:style w:type="paragraph" w:styleId="ListParagraph">
    <w:name w:val="List Paragraph"/>
    <w:basedOn w:val="Normal"/>
    <w:rsid w:val="00E0128E"/>
    <w:pPr>
      <w:ind w:left="720"/>
      <w:contextualSpacing/>
    </w:pPr>
  </w:style>
  <w:style w:type="paragraph" w:styleId="FootnoteText">
    <w:name w:val="footnote text"/>
    <w:basedOn w:val="Normal"/>
    <w:link w:val="FootnoteTextChar"/>
    <w:autoRedefine/>
    <w:uiPriority w:val="99"/>
    <w:rsid w:val="0053153A"/>
    <w:pPr>
      <w:spacing w:after="120"/>
    </w:pPr>
    <w:rPr>
      <w:rFonts w:ascii="Verdana" w:hAnsi="Verdana"/>
      <w:sz w:val="16"/>
    </w:rPr>
  </w:style>
  <w:style w:type="character" w:customStyle="1" w:styleId="FootnoteTextChar">
    <w:name w:val="Footnote Text Char"/>
    <w:basedOn w:val="DefaultParagraphFont"/>
    <w:link w:val="FootnoteText"/>
    <w:uiPriority w:val="99"/>
    <w:rsid w:val="0053153A"/>
    <w:rPr>
      <w:rFonts w:ascii="Verdana" w:hAnsi="Verdana"/>
      <w:sz w:val="16"/>
      <w:szCs w:val="24"/>
      <w:lang w:val="fr-FR"/>
    </w:rPr>
  </w:style>
  <w:style w:type="character" w:styleId="FootnoteReference">
    <w:name w:val="footnote reference"/>
    <w:basedOn w:val="DefaultParagraphFont"/>
    <w:uiPriority w:val="99"/>
    <w:rsid w:val="00E0128E"/>
    <w:rPr>
      <w:vertAlign w:val="superscript"/>
    </w:rPr>
  </w:style>
  <w:style w:type="character" w:styleId="Hyperlink">
    <w:name w:val="Hyperlink"/>
    <w:basedOn w:val="DefaultParagraphFont"/>
    <w:uiPriority w:val="99"/>
    <w:rsid w:val="00E0128E"/>
    <w:rPr>
      <w:color w:val="0000FF" w:themeColor="hyperlink"/>
      <w:u w:val="single"/>
    </w:rPr>
  </w:style>
  <w:style w:type="character" w:styleId="PageNumber">
    <w:name w:val="page number"/>
    <w:basedOn w:val="DefaultParagraphFont"/>
    <w:rsid w:val="002821D0"/>
  </w:style>
  <w:style w:type="character" w:styleId="FollowedHyperlink">
    <w:name w:val="FollowedHyperlink"/>
    <w:basedOn w:val="DefaultParagraphFont"/>
    <w:rsid w:val="00556EE1"/>
    <w:rPr>
      <w:color w:val="800080" w:themeColor="followedHyperlink"/>
      <w:u w:val="single"/>
    </w:rPr>
  </w:style>
  <w:style w:type="character" w:customStyle="1" w:styleId="sb8d990e2">
    <w:name w:val="sb8d990e2"/>
    <w:basedOn w:val="DefaultParagraphFont"/>
    <w:rsid w:val="000B19DD"/>
  </w:style>
  <w:style w:type="character" w:customStyle="1" w:styleId="apple-converted-space">
    <w:name w:val="apple-converted-space"/>
    <w:basedOn w:val="DefaultParagraphFont"/>
    <w:rsid w:val="00383D2A"/>
  </w:style>
  <w:style w:type="paragraph" w:styleId="BalloonText">
    <w:name w:val="Balloon Text"/>
    <w:basedOn w:val="Normal"/>
    <w:link w:val="BalloonTextChar"/>
    <w:rsid w:val="005A77A1"/>
    <w:rPr>
      <w:rFonts w:ascii="Lucida Grande" w:hAnsi="Lucida Grande" w:cs="Lucida Grande"/>
      <w:sz w:val="18"/>
      <w:szCs w:val="18"/>
    </w:rPr>
  </w:style>
  <w:style w:type="character" w:customStyle="1" w:styleId="BalloonTextChar">
    <w:name w:val="Balloon Text Char"/>
    <w:basedOn w:val="DefaultParagraphFont"/>
    <w:link w:val="BalloonText"/>
    <w:rsid w:val="005A77A1"/>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79766">
      <w:bodyDiv w:val="1"/>
      <w:marLeft w:val="0"/>
      <w:marRight w:val="0"/>
      <w:marTop w:val="0"/>
      <w:marBottom w:val="0"/>
      <w:divBdr>
        <w:top w:val="none" w:sz="0" w:space="0" w:color="auto"/>
        <w:left w:val="none" w:sz="0" w:space="0" w:color="auto"/>
        <w:bottom w:val="none" w:sz="0" w:space="0" w:color="auto"/>
        <w:right w:val="none" w:sz="0" w:space="0" w:color="auto"/>
      </w:divBdr>
      <w:divsChild>
        <w:div w:id="1239898969">
          <w:marLeft w:val="0"/>
          <w:marRight w:val="0"/>
          <w:marTop w:val="0"/>
          <w:marBottom w:val="0"/>
          <w:divBdr>
            <w:top w:val="none" w:sz="0" w:space="0" w:color="auto"/>
            <w:left w:val="none" w:sz="0" w:space="0" w:color="auto"/>
            <w:bottom w:val="none" w:sz="0" w:space="0" w:color="auto"/>
            <w:right w:val="none" w:sz="0" w:space="0" w:color="auto"/>
          </w:divBdr>
        </w:div>
        <w:div w:id="224611878">
          <w:marLeft w:val="0"/>
          <w:marRight w:val="0"/>
          <w:marTop w:val="0"/>
          <w:marBottom w:val="0"/>
          <w:divBdr>
            <w:top w:val="none" w:sz="0" w:space="0" w:color="auto"/>
            <w:left w:val="none" w:sz="0" w:space="0" w:color="auto"/>
            <w:bottom w:val="none" w:sz="0" w:space="0" w:color="auto"/>
            <w:right w:val="none" w:sz="0" w:space="0" w:color="auto"/>
          </w:divBdr>
        </w:div>
        <w:div w:id="841362016">
          <w:marLeft w:val="0"/>
          <w:marRight w:val="0"/>
          <w:marTop w:val="0"/>
          <w:marBottom w:val="0"/>
          <w:divBdr>
            <w:top w:val="none" w:sz="0" w:space="0" w:color="auto"/>
            <w:left w:val="none" w:sz="0" w:space="0" w:color="auto"/>
            <w:bottom w:val="none" w:sz="0" w:space="0" w:color="auto"/>
            <w:right w:val="none" w:sz="0" w:space="0" w:color="auto"/>
          </w:divBdr>
        </w:div>
        <w:div w:id="1087460629">
          <w:marLeft w:val="0"/>
          <w:marRight w:val="0"/>
          <w:marTop w:val="0"/>
          <w:marBottom w:val="0"/>
          <w:divBdr>
            <w:top w:val="none" w:sz="0" w:space="0" w:color="auto"/>
            <w:left w:val="none" w:sz="0" w:space="0" w:color="auto"/>
            <w:bottom w:val="none" w:sz="0" w:space="0" w:color="auto"/>
            <w:right w:val="none" w:sz="0" w:space="0" w:color="auto"/>
          </w:divBdr>
        </w:div>
        <w:div w:id="585311547">
          <w:marLeft w:val="0"/>
          <w:marRight w:val="0"/>
          <w:marTop w:val="0"/>
          <w:marBottom w:val="0"/>
          <w:divBdr>
            <w:top w:val="none" w:sz="0" w:space="0" w:color="auto"/>
            <w:left w:val="none" w:sz="0" w:space="0" w:color="auto"/>
            <w:bottom w:val="none" w:sz="0" w:space="0" w:color="auto"/>
            <w:right w:val="none" w:sz="0" w:space="0" w:color="auto"/>
          </w:divBdr>
        </w:div>
        <w:div w:id="1549030666">
          <w:marLeft w:val="0"/>
          <w:marRight w:val="0"/>
          <w:marTop w:val="0"/>
          <w:marBottom w:val="0"/>
          <w:divBdr>
            <w:top w:val="none" w:sz="0" w:space="0" w:color="auto"/>
            <w:left w:val="none" w:sz="0" w:space="0" w:color="auto"/>
            <w:bottom w:val="none" w:sz="0" w:space="0" w:color="auto"/>
            <w:right w:val="none" w:sz="0" w:space="0" w:color="auto"/>
          </w:divBdr>
        </w:div>
        <w:div w:id="178861328">
          <w:marLeft w:val="0"/>
          <w:marRight w:val="0"/>
          <w:marTop w:val="0"/>
          <w:marBottom w:val="0"/>
          <w:divBdr>
            <w:top w:val="none" w:sz="0" w:space="0" w:color="auto"/>
            <w:left w:val="none" w:sz="0" w:space="0" w:color="auto"/>
            <w:bottom w:val="none" w:sz="0" w:space="0" w:color="auto"/>
            <w:right w:val="none" w:sz="0" w:space="0" w:color="auto"/>
          </w:divBdr>
        </w:div>
        <w:div w:id="782842955">
          <w:marLeft w:val="0"/>
          <w:marRight w:val="0"/>
          <w:marTop w:val="0"/>
          <w:marBottom w:val="0"/>
          <w:divBdr>
            <w:top w:val="none" w:sz="0" w:space="0" w:color="auto"/>
            <w:left w:val="none" w:sz="0" w:space="0" w:color="auto"/>
            <w:bottom w:val="none" w:sz="0" w:space="0" w:color="auto"/>
            <w:right w:val="none" w:sz="0" w:space="0" w:color="auto"/>
          </w:divBdr>
        </w:div>
        <w:div w:id="790981451">
          <w:marLeft w:val="0"/>
          <w:marRight w:val="0"/>
          <w:marTop w:val="0"/>
          <w:marBottom w:val="0"/>
          <w:divBdr>
            <w:top w:val="none" w:sz="0" w:space="0" w:color="auto"/>
            <w:left w:val="none" w:sz="0" w:space="0" w:color="auto"/>
            <w:bottom w:val="none" w:sz="0" w:space="0" w:color="auto"/>
            <w:right w:val="none" w:sz="0" w:space="0" w:color="auto"/>
          </w:divBdr>
        </w:div>
        <w:div w:id="1431773038">
          <w:marLeft w:val="0"/>
          <w:marRight w:val="0"/>
          <w:marTop w:val="0"/>
          <w:marBottom w:val="0"/>
          <w:divBdr>
            <w:top w:val="none" w:sz="0" w:space="0" w:color="auto"/>
            <w:left w:val="none" w:sz="0" w:space="0" w:color="auto"/>
            <w:bottom w:val="none" w:sz="0" w:space="0" w:color="auto"/>
            <w:right w:val="none" w:sz="0" w:space="0" w:color="auto"/>
          </w:divBdr>
        </w:div>
        <w:div w:id="1557470553">
          <w:marLeft w:val="0"/>
          <w:marRight w:val="0"/>
          <w:marTop w:val="0"/>
          <w:marBottom w:val="0"/>
          <w:divBdr>
            <w:top w:val="none" w:sz="0" w:space="0" w:color="auto"/>
            <w:left w:val="none" w:sz="0" w:space="0" w:color="auto"/>
            <w:bottom w:val="none" w:sz="0" w:space="0" w:color="auto"/>
            <w:right w:val="none" w:sz="0" w:space="0" w:color="auto"/>
          </w:divBdr>
        </w:div>
        <w:div w:id="1981306530">
          <w:marLeft w:val="0"/>
          <w:marRight w:val="0"/>
          <w:marTop w:val="0"/>
          <w:marBottom w:val="0"/>
          <w:divBdr>
            <w:top w:val="none" w:sz="0" w:space="0" w:color="auto"/>
            <w:left w:val="none" w:sz="0" w:space="0" w:color="auto"/>
            <w:bottom w:val="none" w:sz="0" w:space="0" w:color="auto"/>
            <w:right w:val="none" w:sz="0" w:space="0" w:color="auto"/>
          </w:divBdr>
        </w:div>
      </w:divsChild>
    </w:div>
    <w:div w:id="417403790">
      <w:bodyDiv w:val="1"/>
      <w:marLeft w:val="0"/>
      <w:marRight w:val="0"/>
      <w:marTop w:val="0"/>
      <w:marBottom w:val="0"/>
      <w:divBdr>
        <w:top w:val="none" w:sz="0" w:space="0" w:color="auto"/>
        <w:left w:val="none" w:sz="0" w:space="0" w:color="auto"/>
        <w:bottom w:val="none" w:sz="0" w:space="0" w:color="auto"/>
        <w:right w:val="none" w:sz="0" w:space="0" w:color="auto"/>
      </w:divBdr>
    </w:div>
    <w:div w:id="429618273">
      <w:bodyDiv w:val="1"/>
      <w:marLeft w:val="0"/>
      <w:marRight w:val="0"/>
      <w:marTop w:val="0"/>
      <w:marBottom w:val="0"/>
      <w:divBdr>
        <w:top w:val="none" w:sz="0" w:space="0" w:color="auto"/>
        <w:left w:val="none" w:sz="0" w:space="0" w:color="auto"/>
        <w:bottom w:val="none" w:sz="0" w:space="0" w:color="auto"/>
        <w:right w:val="none" w:sz="0" w:space="0" w:color="auto"/>
      </w:divBdr>
    </w:div>
    <w:div w:id="886337700">
      <w:bodyDiv w:val="1"/>
      <w:marLeft w:val="0"/>
      <w:marRight w:val="0"/>
      <w:marTop w:val="0"/>
      <w:marBottom w:val="0"/>
      <w:divBdr>
        <w:top w:val="none" w:sz="0" w:space="0" w:color="auto"/>
        <w:left w:val="none" w:sz="0" w:space="0" w:color="auto"/>
        <w:bottom w:val="none" w:sz="0" w:space="0" w:color="auto"/>
        <w:right w:val="none" w:sz="0" w:space="0" w:color="auto"/>
      </w:divBdr>
    </w:div>
    <w:div w:id="1362512911">
      <w:bodyDiv w:val="1"/>
      <w:marLeft w:val="0"/>
      <w:marRight w:val="0"/>
      <w:marTop w:val="0"/>
      <w:marBottom w:val="0"/>
      <w:divBdr>
        <w:top w:val="none" w:sz="0" w:space="0" w:color="auto"/>
        <w:left w:val="none" w:sz="0" w:space="0" w:color="auto"/>
        <w:bottom w:val="none" w:sz="0" w:space="0" w:color="auto"/>
        <w:right w:val="none" w:sz="0" w:space="0" w:color="auto"/>
      </w:divBdr>
    </w:div>
    <w:div w:id="1446923696">
      <w:bodyDiv w:val="1"/>
      <w:marLeft w:val="0"/>
      <w:marRight w:val="0"/>
      <w:marTop w:val="0"/>
      <w:marBottom w:val="0"/>
      <w:divBdr>
        <w:top w:val="none" w:sz="0" w:space="0" w:color="auto"/>
        <w:left w:val="none" w:sz="0" w:space="0" w:color="auto"/>
        <w:bottom w:val="none" w:sz="0" w:space="0" w:color="auto"/>
        <w:right w:val="none" w:sz="0" w:space="0" w:color="auto"/>
      </w:divBdr>
    </w:div>
    <w:div w:id="1689210922">
      <w:bodyDiv w:val="1"/>
      <w:marLeft w:val="0"/>
      <w:marRight w:val="0"/>
      <w:marTop w:val="0"/>
      <w:marBottom w:val="0"/>
      <w:divBdr>
        <w:top w:val="none" w:sz="0" w:space="0" w:color="auto"/>
        <w:left w:val="none" w:sz="0" w:space="0" w:color="auto"/>
        <w:bottom w:val="none" w:sz="0" w:space="0" w:color="auto"/>
        <w:right w:val="none" w:sz="0" w:space="0" w:color="auto"/>
      </w:divBdr>
      <w:divsChild>
        <w:div w:id="662900553">
          <w:marLeft w:val="0"/>
          <w:marRight w:val="0"/>
          <w:marTop w:val="0"/>
          <w:marBottom w:val="0"/>
          <w:divBdr>
            <w:top w:val="none" w:sz="0" w:space="0" w:color="auto"/>
            <w:left w:val="none" w:sz="0" w:space="0" w:color="auto"/>
            <w:bottom w:val="none" w:sz="0" w:space="0" w:color="auto"/>
            <w:right w:val="none" w:sz="0" w:space="0" w:color="auto"/>
          </w:divBdr>
        </w:div>
        <w:div w:id="2136942747">
          <w:marLeft w:val="0"/>
          <w:marRight w:val="0"/>
          <w:marTop w:val="0"/>
          <w:marBottom w:val="0"/>
          <w:divBdr>
            <w:top w:val="none" w:sz="0" w:space="0" w:color="auto"/>
            <w:left w:val="none" w:sz="0" w:space="0" w:color="auto"/>
            <w:bottom w:val="none" w:sz="0" w:space="0" w:color="auto"/>
            <w:right w:val="none" w:sz="0" w:space="0" w:color="auto"/>
          </w:divBdr>
        </w:div>
        <w:div w:id="1622422517">
          <w:marLeft w:val="0"/>
          <w:marRight w:val="0"/>
          <w:marTop w:val="0"/>
          <w:marBottom w:val="0"/>
          <w:divBdr>
            <w:top w:val="none" w:sz="0" w:space="0" w:color="auto"/>
            <w:left w:val="none" w:sz="0" w:space="0" w:color="auto"/>
            <w:bottom w:val="none" w:sz="0" w:space="0" w:color="auto"/>
            <w:right w:val="none" w:sz="0" w:space="0" w:color="auto"/>
          </w:divBdr>
        </w:div>
      </w:divsChild>
    </w:div>
    <w:div w:id="1712876296">
      <w:bodyDiv w:val="1"/>
      <w:marLeft w:val="0"/>
      <w:marRight w:val="0"/>
      <w:marTop w:val="0"/>
      <w:marBottom w:val="0"/>
      <w:divBdr>
        <w:top w:val="none" w:sz="0" w:space="0" w:color="auto"/>
        <w:left w:val="none" w:sz="0" w:space="0" w:color="auto"/>
        <w:bottom w:val="none" w:sz="0" w:space="0" w:color="auto"/>
        <w:right w:val="none" w:sz="0" w:space="0" w:color="auto"/>
      </w:divBdr>
    </w:div>
    <w:div w:id="1881431167">
      <w:bodyDiv w:val="1"/>
      <w:marLeft w:val="0"/>
      <w:marRight w:val="0"/>
      <w:marTop w:val="0"/>
      <w:marBottom w:val="0"/>
      <w:divBdr>
        <w:top w:val="none" w:sz="0" w:space="0" w:color="auto"/>
        <w:left w:val="none" w:sz="0" w:space="0" w:color="auto"/>
        <w:bottom w:val="none" w:sz="0" w:space="0" w:color="auto"/>
        <w:right w:val="none" w:sz="0" w:space="0" w:color="auto"/>
      </w:divBdr>
      <w:divsChild>
        <w:div w:id="2123067596">
          <w:marLeft w:val="0"/>
          <w:marRight w:val="0"/>
          <w:marTop w:val="0"/>
          <w:marBottom w:val="0"/>
          <w:divBdr>
            <w:top w:val="none" w:sz="0" w:space="0" w:color="auto"/>
            <w:left w:val="none" w:sz="0" w:space="0" w:color="auto"/>
            <w:bottom w:val="none" w:sz="0" w:space="0" w:color="auto"/>
            <w:right w:val="none" w:sz="0" w:space="0" w:color="auto"/>
          </w:divBdr>
        </w:div>
        <w:div w:id="1678849521">
          <w:marLeft w:val="0"/>
          <w:marRight w:val="0"/>
          <w:marTop w:val="0"/>
          <w:marBottom w:val="0"/>
          <w:divBdr>
            <w:top w:val="none" w:sz="0" w:space="0" w:color="auto"/>
            <w:left w:val="none" w:sz="0" w:space="0" w:color="auto"/>
            <w:bottom w:val="none" w:sz="0" w:space="0" w:color="auto"/>
            <w:right w:val="none" w:sz="0" w:space="0" w:color="auto"/>
          </w:divBdr>
        </w:div>
        <w:div w:id="157624275">
          <w:marLeft w:val="0"/>
          <w:marRight w:val="0"/>
          <w:marTop w:val="0"/>
          <w:marBottom w:val="0"/>
          <w:divBdr>
            <w:top w:val="none" w:sz="0" w:space="0" w:color="auto"/>
            <w:left w:val="none" w:sz="0" w:space="0" w:color="auto"/>
            <w:bottom w:val="none" w:sz="0" w:space="0" w:color="auto"/>
            <w:right w:val="none" w:sz="0" w:space="0" w:color="auto"/>
          </w:divBdr>
        </w:div>
        <w:div w:id="1606111875">
          <w:marLeft w:val="0"/>
          <w:marRight w:val="0"/>
          <w:marTop w:val="0"/>
          <w:marBottom w:val="0"/>
          <w:divBdr>
            <w:top w:val="none" w:sz="0" w:space="0" w:color="auto"/>
            <w:left w:val="none" w:sz="0" w:space="0" w:color="auto"/>
            <w:bottom w:val="none" w:sz="0" w:space="0" w:color="auto"/>
            <w:right w:val="none" w:sz="0" w:space="0" w:color="auto"/>
          </w:divBdr>
        </w:div>
        <w:div w:id="488903552">
          <w:marLeft w:val="0"/>
          <w:marRight w:val="0"/>
          <w:marTop w:val="0"/>
          <w:marBottom w:val="0"/>
          <w:divBdr>
            <w:top w:val="none" w:sz="0" w:space="0" w:color="auto"/>
            <w:left w:val="none" w:sz="0" w:space="0" w:color="auto"/>
            <w:bottom w:val="none" w:sz="0" w:space="0" w:color="auto"/>
            <w:right w:val="none" w:sz="0" w:space="0" w:color="auto"/>
          </w:divBdr>
        </w:div>
        <w:div w:id="839154790">
          <w:marLeft w:val="0"/>
          <w:marRight w:val="0"/>
          <w:marTop w:val="0"/>
          <w:marBottom w:val="0"/>
          <w:divBdr>
            <w:top w:val="none" w:sz="0" w:space="0" w:color="auto"/>
            <w:left w:val="none" w:sz="0" w:space="0" w:color="auto"/>
            <w:bottom w:val="none" w:sz="0" w:space="0" w:color="auto"/>
            <w:right w:val="none" w:sz="0" w:space="0" w:color="auto"/>
          </w:divBdr>
        </w:div>
        <w:div w:id="2134710150">
          <w:marLeft w:val="0"/>
          <w:marRight w:val="0"/>
          <w:marTop w:val="0"/>
          <w:marBottom w:val="0"/>
          <w:divBdr>
            <w:top w:val="none" w:sz="0" w:space="0" w:color="auto"/>
            <w:left w:val="none" w:sz="0" w:space="0" w:color="auto"/>
            <w:bottom w:val="none" w:sz="0" w:space="0" w:color="auto"/>
            <w:right w:val="none" w:sz="0" w:space="0" w:color="auto"/>
          </w:divBdr>
        </w:div>
        <w:div w:id="73208477">
          <w:marLeft w:val="0"/>
          <w:marRight w:val="0"/>
          <w:marTop w:val="0"/>
          <w:marBottom w:val="0"/>
          <w:divBdr>
            <w:top w:val="none" w:sz="0" w:space="0" w:color="auto"/>
            <w:left w:val="none" w:sz="0" w:space="0" w:color="auto"/>
            <w:bottom w:val="none" w:sz="0" w:space="0" w:color="auto"/>
            <w:right w:val="none" w:sz="0" w:space="0" w:color="auto"/>
          </w:divBdr>
        </w:div>
        <w:div w:id="479272298">
          <w:marLeft w:val="0"/>
          <w:marRight w:val="0"/>
          <w:marTop w:val="0"/>
          <w:marBottom w:val="0"/>
          <w:divBdr>
            <w:top w:val="none" w:sz="0" w:space="0" w:color="auto"/>
            <w:left w:val="none" w:sz="0" w:space="0" w:color="auto"/>
            <w:bottom w:val="none" w:sz="0" w:space="0" w:color="auto"/>
            <w:right w:val="none" w:sz="0" w:space="0" w:color="auto"/>
          </w:divBdr>
        </w:div>
        <w:div w:id="107820841">
          <w:marLeft w:val="0"/>
          <w:marRight w:val="0"/>
          <w:marTop w:val="0"/>
          <w:marBottom w:val="0"/>
          <w:divBdr>
            <w:top w:val="none" w:sz="0" w:space="0" w:color="auto"/>
            <w:left w:val="none" w:sz="0" w:space="0" w:color="auto"/>
            <w:bottom w:val="none" w:sz="0" w:space="0" w:color="auto"/>
            <w:right w:val="none" w:sz="0" w:space="0" w:color="auto"/>
          </w:divBdr>
        </w:div>
        <w:div w:id="1113673598">
          <w:marLeft w:val="0"/>
          <w:marRight w:val="0"/>
          <w:marTop w:val="0"/>
          <w:marBottom w:val="0"/>
          <w:divBdr>
            <w:top w:val="none" w:sz="0" w:space="0" w:color="auto"/>
            <w:left w:val="none" w:sz="0" w:space="0" w:color="auto"/>
            <w:bottom w:val="none" w:sz="0" w:space="0" w:color="auto"/>
            <w:right w:val="none" w:sz="0" w:space="0" w:color="auto"/>
          </w:divBdr>
        </w:div>
        <w:div w:id="1175613279">
          <w:marLeft w:val="0"/>
          <w:marRight w:val="0"/>
          <w:marTop w:val="0"/>
          <w:marBottom w:val="0"/>
          <w:divBdr>
            <w:top w:val="none" w:sz="0" w:space="0" w:color="auto"/>
            <w:left w:val="none" w:sz="0" w:space="0" w:color="auto"/>
            <w:bottom w:val="none" w:sz="0" w:space="0" w:color="auto"/>
            <w:right w:val="none" w:sz="0" w:space="0" w:color="auto"/>
          </w:divBdr>
        </w:div>
        <w:div w:id="868446009">
          <w:marLeft w:val="0"/>
          <w:marRight w:val="0"/>
          <w:marTop w:val="0"/>
          <w:marBottom w:val="0"/>
          <w:divBdr>
            <w:top w:val="none" w:sz="0" w:space="0" w:color="auto"/>
            <w:left w:val="none" w:sz="0" w:space="0" w:color="auto"/>
            <w:bottom w:val="none" w:sz="0" w:space="0" w:color="auto"/>
            <w:right w:val="none" w:sz="0" w:space="0" w:color="auto"/>
          </w:divBdr>
        </w:div>
        <w:div w:id="26176560">
          <w:marLeft w:val="0"/>
          <w:marRight w:val="0"/>
          <w:marTop w:val="0"/>
          <w:marBottom w:val="0"/>
          <w:divBdr>
            <w:top w:val="none" w:sz="0" w:space="0" w:color="auto"/>
            <w:left w:val="none" w:sz="0" w:space="0" w:color="auto"/>
            <w:bottom w:val="none" w:sz="0" w:space="0" w:color="auto"/>
            <w:right w:val="none" w:sz="0" w:space="0" w:color="auto"/>
          </w:divBdr>
        </w:div>
        <w:div w:id="169420017">
          <w:marLeft w:val="0"/>
          <w:marRight w:val="0"/>
          <w:marTop w:val="0"/>
          <w:marBottom w:val="0"/>
          <w:divBdr>
            <w:top w:val="none" w:sz="0" w:space="0" w:color="auto"/>
            <w:left w:val="none" w:sz="0" w:space="0" w:color="auto"/>
            <w:bottom w:val="none" w:sz="0" w:space="0" w:color="auto"/>
            <w:right w:val="none" w:sz="0" w:space="0" w:color="auto"/>
          </w:divBdr>
        </w:div>
        <w:div w:id="1180125486">
          <w:marLeft w:val="0"/>
          <w:marRight w:val="0"/>
          <w:marTop w:val="0"/>
          <w:marBottom w:val="0"/>
          <w:divBdr>
            <w:top w:val="none" w:sz="0" w:space="0" w:color="auto"/>
            <w:left w:val="none" w:sz="0" w:space="0" w:color="auto"/>
            <w:bottom w:val="none" w:sz="0" w:space="0" w:color="auto"/>
            <w:right w:val="none" w:sz="0" w:space="0" w:color="auto"/>
          </w:divBdr>
        </w:div>
        <w:div w:id="437219687">
          <w:marLeft w:val="0"/>
          <w:marRight w:val="0"/>
          <w:marTop w:val="0"/>
          <w:marBottom w:val="0"/>
          <w:divBdr>
            <w:top w:val="none" w:sz="0" w:space="0" w:color="auto"/>
            <w:left w:val="none" w:sz="0" w:space="0" w:color="auto"/>
            <w:bottom w:val="none" w:sz="0" w:space="0" w:color="auto"/>
            <w:right w:val="none" w:sz="0" w:space="0" w:color="auto"/>
          </w:divBdr>
        </w:div>
        <w:div w:id="523203628">
          <w:marLeft w:val="0"/>
          <w:marRight w:val="0"/>
          <w:marTop w:val="0"/>
          <w:marBottom w:val="0"/>
          <w:divBdr>
            <w:top w:val="none" w:sz="0" w:space="0" w:color="auto"/>
            <w:left w:val="none" w:sz="0" w:space="0" w:color="auto"/>
            <w:bottom w:val="none" w:sz="0" w:space="0" w:color="auto"/>
            <w:right w:val="none" w:sz="0" w:space="0" w:color="auto"/>
          </w:divBdr>
        </w:div>
        <w:div w:id="1718040426">
          <w:marLeft w:val="0"/>
          <w:marRight w:val="0"/>
          <w:marTop w:val="0"/>
          <w:marBottom w:val="0"/>
          <w:divBdr>
            <w:top w:val="none" w:sz="0" w:space="0" w:color="auto"/>
            <w:left w:val="none" w:sz="0" w:space="0" w:color="auto"/>
            <w:bottom w:val="none" w:sz="0" w:space="0" w:color="auto"/>
            <w:right w:val="none" w:sz="0" w:space="0" w:color="auto"/>
          </w:divBdr>
        </w:div>
      </w:divsChild>
    </w:div>
    <w:div w:id="1909608727">
      <w:bodyDiv w:val="1"/>
      <w:marLeft w:val="0"/>
      <w:marRight w:val="0"/>
      <w:marTop w:val="0"/>
      <w:marBottom w:val="0"/>
      <w:divBdr>
        <w:top w:val="none" w:sz="0" w:space="0" w:color="auto"/>
        <w:left w:val="none" w:sz="0" w:space="0" w:color="auto"/>
        <w:bottom w:val="none" w:sz="0" w:space="0" w:color="auto"/>
        <w:right w:val="none" w:sz="0" w:space="0" w:color="auto"/>
      </w:divBdr>
      <w:divsChild>
        <w:div w:id="784081481">
          <w:marLeft w:val="0"/>
          <w:marRight w:val="0"/>
          <w:marTop w:val="0"/>
          <w:marBottom w:val="0"/>
          <w:divBdr>
            <w:top w:val="none" w:sz="0" w:space="0" w:color="auto"/>
            <w:left w:val="none" w:sz="0" w:space="0" w:color="auto"/>
            <w:bottom w:val="none" w:sz="0" w:space="0" w:color="auto"/>
            <w:right w:val="none" w:sz="0" w:space="0" w:color="auto"/>
          </w:divBdr>
        </w:div>
        <w:div w:id="1395935358">
          <w:marLeft w:val="0"/>
          <w:marRight w:val="0"/>
          <w:marTop w:val="0"/>
          <w:marBottom w:val="0"/>
          <w:divBdr>
            <w:top w:val="none" w:sz="0" w:space="0" w:color="auto"/>
            <w:left w:val="none" w:sz="0" w:space="0" w:color="auto"/>
            <w:bottom w:val="none" w:sz="0" w:space="0" w:color="auto"/>
            <w:right w:val="none" w:sz="0" w:space="0" w:color="auto"/>
          </w:divBdr>
        </w:div>
        <w:div w:id="497815890">
          <w:marLeft w:val="0"/>
          <w:marRight w:val="0"/>
          <w:marTop w:val="0"/>
          <w:marBottom w:val="0"/>
          <w:divBdr>
            <w:top w:val="none" w:sz="0" w:space="0" w:color="auto"/>
            <w:left w:val="none" w:sz="0" w:space="0" w:color="auto"/>
            <w:bottom w:val="none" w:sz="0" w:space="0" w:color="auto"/>
            <w:right w:val="none" w:sz="0" w:space="0" w:color="auto"/>
          </w:divBdr>
        </w:div>
      </w:divsChild>
    </w:div>
    <w:div w:id="2074623965">
      <w:bodyDiv w:val="1"/>
      <w:marLeft w:val="0"/>
      <w:marRight w:val="0"/>
      <w:marTop w:val="0"/>
      <w:marBottom w:val="0"/>
      <w:divBdr>
        <w:top w:val="none" w:sz="0" w:space="0" w:color="auto"/>
        <w:left w:val="none" w:sz="0" w:space="0" w:color="auto"/>
        <w:bottom w:val="none" w:sz="0" w:space="0" w:color="auto"/>
        <w:right w:val="none" w:sz="0" w:space="0" w:color="auto"/>
      </w:divBdr>
      <w:divsChild>
        <w:div w:id="2013027071">
          <w:marLeft w:val="0"/>
          <w:marRight w:val="0"/>
          <w:marTop w:val="0"/>
          <w:marBottom w:val="0"/>
          <w:divBdr>
            <w:top w:val="none" w:sz="0" w:space="0" w:color="auto"/>
            <w:left w:val="none" w:sz="0" w:space="0" w:color="auto"/>
            <w:bottom w:val="none" w:sz="0" w:space="0" w:color="auto"/>
            <w:right w:val="none" w:sz="0" w:space="0" w:color="auto"/>
          </w:divBdr>
        </w:div>
        <w:div w:id="290671569">
          <w:marLeft w:val="0"/>
          <w:marRight w:val="0"/>
          <w:marTop w:val="0"/>
          <w:marBottom w:val="0"/>
          <w:divBdr>
            <w:top w:val="none" w:sz="0" w:space="0" w:color="auto"/>
            <w:left w:val="none" w:sz="0" w:space="0" w:color="auto"/>
            <w:bottom w:val="none" w:sz="0" w:space="0" w:color="auto"/>
            <w:right w:val="none" w:sz="0" w:space="0" w:color="auto"/>
          </w:divBdr>
        </w:div>
        <w:div w:id="918514893">
          <w:marLeft w:val="0"/>
          <w:marRight w:val="0"/>
          <w:marTop w:val="0"/>
          <w:marBottom w:val="0"/>
          <w:divBdr>
            <w:top w:val="none" w:sz="0" w:space="0" w:color="auto"/>
            <w:left w:val="none" w:sz="0" w:space="0" w:color="auto"/>
            <w:bottom w:val="none" w:sz="0" w:space="0" w:color="auto"/>
            <w:right w:val="none" w:sz="0" w:space="0" w:color="auto"/>
          </w:divBdr>
        </w:div>
        <w:div w:id="181672071">
          <w:marLeft w:val="0"/>
          <w:marRight w:val="0"/>
          <w:marTop w:val="0"/>
          <w:marBottom w:val="0"/>
          <w:divBdr>
            <w:top w:val="none" w:sz="0" w:space="0" w:color="auto"/>
            <w:left w:val="none" w:sz="0" w:space="0" w:color="auto"/>
            <w:bottom w:val="none" w:sz="0" w:space="0" w:color="auto"/>
            <w:right w:val="none" w:sz="0" w:space="0" w:color="auto"/>
          </w:divBdr>
        </w:div>
        <w:div w:id="74938946">
          <w:marLeft w:val="0"/>
          <w:marRight w:val="0"/>
          <w:marTop w:val="0"/>
          <w:marBottom w:val="0"/>
          <w:divBdr>
            <w:top w:val="none" w:sz="0" w:space="0" w:color="auto"/>
            <w:left w:val="none" w:sz="0" w:space="0" w:color="auto"/>
            <w:bottom w:val="none" w:sz="0" w:space="0" w:color="auto"/>
            <w:right w:val="none" w:sz="0" w:space="0" w:color="auto"/>
          </w:divBdr>
        </w:div>
        <w:div w:id="1891918649">
          <w:marLeft w:val="0"/>
          <w:marRight w:val="0"/>
          <w:marTop w:val="0"/>
          <w:marBottom w:val="0"/>
          <w:divBdr>
            <w:top w:val="none" w:sz="0" w:space="0" w:color="auto"/>
            <w:left w:val="none" w:sz="0" w:space="0" w:color="auto"/>
            <w:bottom w:val="none" w:sz="0" w:space="0" w:color="auto"/>
            <w:right w:val="none" w:sz="0" w:space="0" w:color="auto"/>
          </w:divBdr>
        </w:div>
        <w:div w:id="941184830">
          <w:marLeft w:val="0"/>
          <w:marRight w:val="0"/>
          <w:marTop w:val="0"/>
          <w:marBottom w:val="0"/>
          <w:divBdr>
            <w:top w:val="none" w:sz="0" w:space="0" w:color="auto"/>
            <w:left w:val="none" w:sz="0" w:space="0" w:color="auto"/>
            <w:bottom w:val="none" w:sz="0" w:space="0" w:color="auto"/>
            <w:right w:val="none" w:sz="0" w:space="0" w:color="auto"/>
          </w:divBdr>
        </w:div>
        <w:div w:id="1965311500">
          <w:marLeft w:val="0"/>
          <w:marRight w:val="0"/>
          <w:marTop w:val="0"/>
          <w:marBottom w:val="0"/>
          <w:divBdr>
            <w:top w:val="none" w:sz="0" w:space="0" w:color="auto"/>
            <w:left w:val="none" w:sz="0" w:space="0" w:color="auto"/>
            <w:bottom w:val="none" w:sz="0" w:space="0" w:color="auto"/>
            <w:right w:val="none" w:sz="0" w:space="0" w:color="auto"/>
          </w:divBdr>
        </w:div>
        <w:div w:id="1594119928">
          <w:marLeft w:val="0"/>
          <w:marRight w:val="0"/>
          <w:marTop w:val="0"/>
          <w:marBottom w:val="0"/>
          <w:divBdr>
            <w:top w:val="none" w:sz="0" w:space="0" w:color="auto"/>
            <w:left w:val="none" w:sz="0" w:space="0" w:color="auto"/>
            <w:bottom w:val="none" w:sz="0" w:space="0" w:color="auto"/>
            <w:right w:val="none" w:sz="0" w:space="0" w:color="auto"/>
          </w:divBdr>
        </w:div>
        <w:div w:id="358244382">
          <w:marLeft w:val="0"/>
          <w:marRight w:val="0"/>
          <w:marTop w:val="0"/>
          <w:marBottom w:val="0"/>
          <w:divBdr>
            <w:top w:val="none" w:sz="0" w:space="0" w:color="auto"/>
            <w:left w:val="none" w:sz="0" w:space="0" w:color="auto"/>
            <w:bottom w:val="none" w:sz="0" w:space="0" w:color="auto"/>
            <w:right w:val="none" w:sz="0" w:space="0" w:color="auto"/>
          </w:divBdr>
        </w:div>
        <w:div w:id="44766062">
          <w:marLeft w:val="0"/>
          <w:marRight w:val="0"/>
          <w:marTop w:val="0"/>
          <w:marBottom w:val="0"/>
          <w:divBdr>
            <w:top w:val="none" w:sz="0" w:space="0" w:color="auto"/>
            <w:left w:val="none" w:sz="0" w:space="0" w:color="auto"/>
            <w:bottom w:val="none" w:sz="0" w:space="0" w:color="auto"/>
            <w:right w:val="none" w:sz="0" w:space="0" w:color="auto"/>
          </w:divBdr>
        </w:div>
        <w:div w:id="2004694715">
          <w:marLeft w:val="0"/>
          <w:marRight w:val="0"/>
          <w:marTop w:val="0"/>
          <w:marBottom w:val="0"/>
          <w:divBdr>
            <w:top w:val="none" w:sz="0" w:space="0" w:color="auto"/>
            <w:left w:val="none" w:sz="0" w:space="0" w:color="auto"/>
            <w:bottom w:val="none" w:sz="0" w:space="0" w:color="auto"/>
            <w:right w:val="none" w:sz="0" w:space="0" w:color="auto"/>
          </w:divBdr>
        </w:div>
        <w:div w:id="1177764694">
          <w:marLeft w:val="0"/>
          <w:marRight w:val="0"/>
          <w:marTop w:val="0"/>
          <w:marBottom w:val="0"/>
          <w:divBdr>
            <w:top w:val="none" w:sz="0" w:space="0" w:color="auto"/>
            <w:left w:val="none" w:sz="0" w:space="0" w:color="auto"/>
            <w:bottom w:val="none" w:sz="0" w:space="0" w:color="auto"/>
            <w:right w:val="none" w:sz="0" w:space="0" w:color="auto"/>
          </w:divBdr>
        </w:div>
        <w:div w:id="1572890053">
          <w:marLeft w:val="0"/>
          <w:marRight w:val="0"/>
          <w:marTop w:val="0"/>
          <w:marBottom w:val="0"/>
          <w:divBdr>
            <w:top w:val="none" w:sz="0" w:space="0" w:color="auto"/>
            <w:left w:val="none" w:sz="0" w:space="0" w:color="auto"/>
            <w:bottom w:val="none" w:sz="0" w:space="0" w:color="auto"/>
            <w:right w:val="none" w:sz="0" w:space="0" w:color="auto"/>
          </w:divBdr>
        </w:div>
        <w:div w:id="1616984020">
          <w:marLeft w:val="0"/>
          <w:marRight w:val="0"/>
          <w:marTop w:val="0"/>
          <w:marBottom w:val="0"/>
          <w:divBdr>
            <w:top w:val="none" w:sz="0" w:space="0" w:color="auto"/>
            <w:left w:val="none" w:sz="0" w:space="0" w:color="auto"/>
            <w:bottom w:val="none" w:sz="0" w:space="0" w:color="auto"/>
            <w:right w:val="none" w:sz="0" w:space="0" w:color="auto"/>
          </w:divBdr>
        </w:div>
        <w:div w:id="1371952511">
          <w:marLeft w:val="0"/>
          <w:marRight w:val="0"/>
          <w:marTop w:val="0"/>
          <w:marBottom w:val="0"/>
          <w:divBdr>
            <w:top w:val="none" w:sz="0" w:space="0" w:color="auto"/>
            <w:left w:val="none" w:sz="0" w:space="0" w:color="auto"/>
            <w:bottom w:val="none" w:sz="0" w:space="0" w:color="auto"/>
            <w:right w:val="none" w:sz="0" w:space="0" w:color="auto"/>
          </w:divBdr>
        </w:div>
        <w:div w:id="68819203">
          <w:marLeft w:val="0"/>
          <w:marRight w:val="0"/>
          <w:marTop w:val="0"/>
          <w:marBottom w:val="0"/>
          <w:divBdr>
            <w:top w:val="none" w:sz="0" w:space="0" w:color="auto"/>
            <w:left w:val="none" w:sz="0" w:space="0" w:color="auto"/>
            <w:bottom w:val="none" w:sz="0" w:space="0" w:color="auto"/>
            <w:right w:val="none" w:sz="0" w:space="0" w:color="auto"/>
          </w:divBdr>
        </w:div>
        <w:div w:id="230360080">
          <w:marLeft w:val="0"/>
          <w:marRight w:val="0"/>
          <w:marTop w:val="0"/>
          <w:marBottom w:val="0"/>
          <w:divBdr>
            <w:top w:val="none" w:sz="0" w:space="0" w:color="auto"/>
            <w:left w:val="none" w:sz="0" w:space="0" w:color="auto"/>
            <w:bottom w:val="none" w:sz="0" w:space="0" w:color="auto"/>
            <w:right w:val="none" w:sz="0" w:space="0" w:color="auto"/>
          </w:divBdr>
        </w:div>
        <w:div w:id="1413627351">
          <w:marLeft w:val="0"/>
          <w:marRight w:val="0"/>
          <w:marTop w:val="0"/>
          <w:marBottom w:val="0"/>
          <w:divBdr>
            <w:top w:val="none" w:sz="0" w:space="0" w:color="auto"/>
            <w:left w:val="none" w:sz="0" w:space="0" w:color="auto"/>
            <w:bottom w:val="none" w:sz="0" w:space="0" w:color="auto"/>
            <w:right w:val="none" w:sz="0" w:space="0" w:color="auto"/>
          </w:divBdr>
        </w:div>
        <w:div w:id="1986205787">
          <w:marLeft w:val="0"/>
          <w:marRight w:val="0"/>
          <w:marTop w:val="0"/>
          <w:marBottom w:val="0"/>
          <w:divBdr>
            <w:top w:val="none" w:sz="0" w:space="0" w:color="auto"/>
            <w:left w:val="none" w:sz="0" w:space="0" w:color="auto"/>
            <w:bottom w:val="none" w:sz="0" w:space="0" w:color="auto"/>
            <w:right w:val="none" w:sz="0" w:space="0" w:color="auto"/>
          </w:divBdr>
        </w:div>
        <w:div w:id="1568538788">
          <w:marLeft w:val="0"/>
          <w:marRight w:val="0"/>
          <w:marTop w:val="0"/>
          <w:marBottom w:val="0"/>
          <w:divBdr>
            <w:top w:val="none" w:sz="0" w:space="0" w:color="auto"/>
            <w:left w:val="none" w:sz="0" w:space="0" w:color="auto"/>
            <w:bottom w:val="none" w:sz="0" w:space="0" w:color="auto"/>
            <w:right w:val="none" w:sz="0" w:space="0" w:color="auto"/>
          </w:divBdr>
        </w:div>
        <w:div w:id="582226785">
          <w:marLeft w:val="0"/>
          <w:marRight w:val="0"/>
          <w:marTop w:val="0"/>
          <w:marBottom w:val="0"/>
          <w:divBdr>
            <w:top w:val="none" w:sz="0" w:space="0" w:color="auto"/>
            <w:left w:val="none" w:sz="0" w:space="0" w:color="auto"/>
            <w:bottom w:val="none" w:sz="0" w:space="0" w:color="auto"/>
            <w:right w:val="none" w:sz="0" w:space="0" w:color="auto"/>
          </w:divBdr>
        </w:div>
        <w:div w:id="2121097429">
          <w:marLeft w:val="0"/>
          <w:marRight w:val="0"/>
          <w:marTop w:val="0"/>
          <w:marBottom w:val="0"/>
          <w:divBdr>
            <w:top w:val="none" w:sz="0" w:space="0" w:color="auto"/>
            <w:left w:val="none" w:sz="0" w:space="0" w:color="auto"/>
            <w:bottom w:val="none" w:sz="0" w:space="0" w:color="auto"/>
            <w:right w:val="none" w:sz="0" w:space="0" w:color="auto"/>
          </w:divBdr>
        </w:div>
        <w:div w:id="40794120">
          <w:marLeft w:val="0"/>
          <w:marRight w:val="0"/>
          <w:marTop w:val="0"/>
          <w:marBottom w:val="0"/>
          <w:divBdr>
            <w:top w:val="none" w:sz="0" w:space="0" w:color="auto"/>
            <w:left w:val="none" w:sz="0" w:space="0" w:color="auto"/>
            <w:bottom w:val="none" w:sz="0" w:space="0" w:color="auto"/>
            <w:right w:val="none" w:sz="0" w:space="0" w:color="auto"/>
          </w:divBdr>
        </w:div>
        <w:div w:id="156966175">
          <w:marLeft w:val="0"/>
          <w:marRight w:val="0"/>
          <w:marTop w:val="0"/>
          <w:marBottom w:val="0"/>
          <w:divBdr>
            <w:top w:val="none" w:sz="0" w:space="0" w:color="auto"/>
            <w:left w:val="none" w:sz="0" w:space="0" w:color="auto"/>
            <w:bottom w:val="none" w:sz="0" w:space="0" w:color="auto"/>
            <w:right w:val="none" w:sz="0" w:space="0" w:color="auto"/>
          </w:divBdr>
        </w:div>
        <w:div w:id="787814205">
          <w:marLeft w:val="0"/>
          <w:marRight w:val="0"/>
          <w:marTop w:val="0"/>
          <w:marBottom w:val="0"/>
          <w:divBdr>
            <w:top w:val="none" w:sz="0" w:space="0" w:color="auto"/>
            <w:left w:val="none" w:sz="0" w:space="0" w:color="auto"/>
            <w:bottom w:val="none" w:sz="0" w:space="0" w:color="auto"/>
            <w:right w:val="none" w:sz="0" w:space="0" w:color="auto"/>
          </w:divBdr>
        </w:div>
        <w:div w:id="340086898">
          <w:marLeft w:val="0"/>
          <w:marRight w:val="0"/>
          <w:marTop w:val="0"/>
          <w:marBottom w:val="0"/>
          <w:divBdr>
            <w:top w:val="none" w:sz="0" w:space="0" w:color="auto"/>
            <w:left w:val="none" w:sz="0" w:space="0" w:color="auto"/>
            <w:bottom w:val="none" w:sz="0" w:space="0" w:color="auto"/>
            <w:right w:val="none" w:sz="0" w:space="0" w:color="auto"/>
          </w:divBdr>
        </w:div>
        <w:div w:id="1108695701">
          <w:marLeft w:val="0"/>
          <w:marRight w:val="0"/>
          <w:marTop w:val="0"/>
          <w:marBottom w:val="0"/>
          <w:divBdr>
            <w:top w:val="none" w:sz="0" w:space="0" w:color="auto"/>
            <w:left w:val="none" w:sz="0" w:space="0" w:color="auto"/>
            <w:bottom w:val="none" w:sz="0" w:space="0" w:color="auto"/>
            <w:right w:val="none" w:sz="0" w:space="0" w:color="auto"/>
          </w:divBdr>
        </w:div>
        <w:div w:id="389622585">
          <w:marLeft w:val="0"/>
          <w:marRight w:val="0"/>
          <w:marTop w:val="0"/>
          <w:marBottom w:val="0"/>
          <w:divBdr>
            <w:top w:val="none" w:sz="0" w:space="0" w:color="auto"/>
            <w:left w:val="none" w:sz="0" w:space="0" w:color="auto"/>
            <w:bottom w:val="none" w:sz="0" w:space="0" w:color="auto"/>
            <w:right w:val="none" w:sz="0" w:space="0" w:color="auto"/>
          </w:divBdr>
        </w:div>
        <w:div w:id="1243220947">
          <w:marLeft w:val="0"/>
          <w:marRight w:val="0"/>
          <w:marTop w:val="0"/>
          <w:marBottom w:val="0"/>
          <w:divBdr>
            <w:top w:val="none" w:sz="0" w:space="0" w:color="auto"/>
            <w:left w:val="none" w:sz="0" w:space="0" w:color="auto"/>
            <w:bottom w:val="none" w:sz="0" w:space="0" w:color="auto"/>
            <w:right w:val="none" w:sz="0" w:space="0" w:color="auto"/>
          </w:divBdr>
        </w:div>
        <w:div w:id="447357195">
          <w:marLeft w:val="0"/>
          <w:marRight w:val="0"/>
          <w:marTop w:val="0"/>
          <w:marBottom w:val="0"/>
          <w:divBdr>
            <w:top w:val="none" w:sz="0" w:space="0" w:color="auto"/>
            <w:left w:val="none" w:sz="0" w:space="0" w:color="auto"/>
            <w:bottom w:val="none" w:sz="0" w:space="0" w:color="auto"/>
            <w:right w:val="none" w:sz="0" w:space="0" w:color="auto"/>
          </w:divBdr>
        </w:div>
        <w:div w:id="855310830">
          <w:marLeft w:val="0"/>
          <w:marRight w:val="0"/>
          <w:marTop w:val="0"/>
          <w:marBottom w:val="0"/>
          <w:divBdr>
            <w:top w:val="none" w:sz="0" w:space="0" w:color="auto"/>
            <w:left w:val="none" w:sz="0" w:space="0" w:color="auto"/>
            <w:bottom w:val="none" w:sz="0" w:space="0" w:color="auto"/>
            <w:right w:val="none" w:sz="0" w:space="0" w:color="auto"/>
          </w:divBdr>
        </w:div>
        <w:div w:id="2119331467">
          <w:marLeft w:val="0"/>
          <w:marRight w:val="0"/>
          <w:marTop w:val="0"/>
          <w:marBottom w:val="0"/>
          <w:divBdr>
            <w:top w:val="none" w:sz="0" w:space="0" w:color="auto"/>
            <w:left w:val="none" w:sz="0" w:space="0" w:color="auto"/>
            <w:bottom w:val="none" w:sz="0" w:space="0" w:color="auto"/>
            <w:right w:val="none" w:sz="0" w:space="0" w:color="auto"/>
          </w:divBdr>
        </w:div>
        <w:div w:id="63571570">
          <w:marLeft w:val="0"/>
          <w:marRight w:val="0"/>
          <w:marTop w:val="0"/>
          <w:marBottom w:val="0"/>
          <w:divBdr>
            <w:top w:val="none" w:sz="0" w:space="0" w:color="auto"/>
            <w:left w:val="none" w:sz="0" w:space="0" w:color="auto"/>
            <w:bottom w:val="none" w:sz="0" w:space="0" w:color="auto"/>
            <w:right w:val="none" w:sz="0" w:space="0" w:color="auto"/>
          </w:divBdr>
        </w:div>
        <w:div w:id="1283655051">
          <w:marLeft w:val="0"/>
          <w:marRight w:val="0"/>
          <w:marTop w:val="0"/>
          <w:marBottom w:val="0"/>
          <w:divBdr>
            <w:top w:val="none" w:sz="0" w:space="0" w:color="auto"/>
            <w:left w:val="none" w:sz="0" w:space="0" w:color="auto"/>
            <w:bottom w:val="none" w:sz="0" w:space="0" w:color="auto"/>
            <w:right w:val="none" w:sz="0" w:space="0" w:color="auto"/>
          </w:divBdr>
        </w:div>
        <w:div w:id="852643131">
          <w:marLeft w:val="0"/>
          <w:marRight w:val="0"/>
          <w:marTop w:val="0"/>
          <w:marBottom w:val="0"/>
          <w:divBdr>
            <w:top w:val="none" w:sz="0" w:space="0" w:color="auto"/>
            <w:left w:val="none" w:sz="0" w:space="0" w:color="auto"/>
            <w:bottom w:val="none" w:sz="0" w:space="0" w:color="auto"/>
            <w:right w:val="none" w:sz="0" w:space="0" w:color="auto"/>
          </w:divBdr>
        </w:div>
        <w:div w:id="1912959912">
          <w:marLeft w:val="0"/>
          <w:marRight w:val="0"/>
          <w:marTop w:val="0"/>
          <w:marBottom w:val="0"/>
          <w:divBdr>
            <w:top w:val="none" w:sz="0" w:space="0" w:color="auto"/>
            <w:left w:val="none" w:sz="0" w:space="0" w:color="auto"/>
            <w:bottom w:val="none" w:sz="0" w:space="0" w:color="auto"/>
            <w:right w:val="none" w:sz="0" w:space="0" w:color="auto"/>
          </w:divBdr>
        </w:div>
        <w:div w:id="763040663">
          <w:marLeft w:val="0"/>
          <w:marRight w:val="0"/>
          <w:marTop w:val="0"/>
          <w:marBottom w:val="0"/>
          <w:divBdr>
            <w:top w:val="none" w:sz="0" w:space="0" w:color="auto"/>
            <w:left w:val="none" w:sz="0" w:space="0" w:color="auto"/>
            <w:bottom w:val="none" w:sz="0" w:space="0" w:color="auto"/>
            <w:right w:val="none" w:sz="0" w:space="0" w:color="auto"/>
          </w:divBdr>
        </w:div>
        <w:div w:id="83385615">
          <w:marLeft w:val="0"/>
          <w:marRight w:val="0"/>
          <w:marTop w:val="0"/>
          <w:marBottom w:val="0"/>
          <w:divBdr>
            <w:top w:val="none" w:sz="0" w:space="0" w:color="auto"/>
            <w:left w:val="none" w:sz="0" w:space="0" w:color="auto"/>
            <w:bottom w:val="none" w:sz="0" w:space="0" w:color="auto"/>
            <w:right w:val="none" w:sz="0" w:space="0" w:color="auto"/>
          </w:divBdr>
        </w:div>
        <w:div w:id="1013923997">
          <w:marLeft w:val="0"/>
          <w:marRight w:val="0"/>
          <w:marTop w:val="0"/>
          <w:marBottom w:val="0"/>
          <w:divBdr>
            <w:top w:val="none" w:sz="0" w:space="0" w:color="auto"/>
            <w:left w:val="none" w:sz="0" w:space="0" w:color="auto"/>
            <w:bottom w:val="none" w:sz="0" w:space="0" w:color="auto"/>
            <w:right w:val="none" w:sz="0" w:space="0" w:color="auto"/>
          </w:divBdr>
        </w:div>
        <w:div w:id="1950963125">
          <w:marLeft w:val="0"/>
          <w:marRight w:val="0"/>
          <w:marTop w:val="0"/>
          <w:marBottom w:val="0"/>
          <w:divBdr>
            <w:top w:val="none" w:sz="0" w:space="0" w:color="auto"/>
            <w:left w:val="none" w:sz="0" w:space="0" w:color="auto"/>
            <w:bottom w:val="none" w:sz="0" w:space="0" w:color="auto"/>
            <w:right w:val="none" w:sz="0" w:space="0" w:color="auto"/>
          </w:divBdr>
        </w:div>
        <w:div w:id="858932082">
          <w:marLeft w:val="0"/>
          <w:marRight w:val="0"/>
          <w:marTop w:val="0"/>
          <w:marBottom w:val="0"/>
          <w:divBdr>
            <w:top w:val="none" w:sz="0" w:space="0" w:color="auto"/>
            <w:left w:val="none" w:sz="0" w:space="0" w:color="auto"/>
            <w:bottom w:val="none" w:sz="0" w:space="0" w:color="auto"/>
            <w:right w:val="none" w:sz="0" w:space="0" w:color="auto"/>
          </w:divBdr>
        </w:div>
        <w:div w:id="458493364">
          <w:marLeft w:val="0"/>
          <w:marRight w:val="0"/>
          <w:marTop w:val="0"/>
          <w:marBottom w:val="0"/>
          <w:divBdr>
            <w:top w:val="none" w:sz="0" w:space="0" w:color="auto"/>
            <w:left w:val="none" w:sz="0" w:space="0" w:color="auto"/>
            <w:bottom w:val="none" w:sz="0" w:space="0" w:color="auto"/>
            <w:right w:val="none" w:sz="0" w:space="0" w:color="auto"/>
          </w:divBdr>
        </w:div>
        <w:div w:id="1193424875">
          <w:marLeft w:val="0"/>
          <w:marRight w:val="0"/>
          <w:marTop w:val="0"/>
          <w:marBottom w:val="0"/>
          <w:divBdr>
            <w:top w:val="none" w:sz="0" w:space="0" w:color="auto"/>
            <w:left w:val="none" w:sz="0" w:space="0" w:color="auto"/>
            <w:bottom w:val="none" w:sz="0" w:space="0" w:color="auto"/>
            <w:right w:val="none" w:sz="0" w:space="0" w:color="auto"/>
          </w:divBdr>
        </w:div>
        <w:div w:id="1142892581">
          <w:marLeft w:val="0"/>
          <w:marRight w:val="0"/>
          <w:marTop w:val="0"/>
          <w:marBottom w:val="0"/>
          <w:divBdr>
            <w:top w:val="none" w:sz="0" w:space="0" w:color="auto"/>
            <w:left w:val="none" w:sz="0" w:space="0" w:color="auto"/>
            <w:bottom w:val="none" w:sz="0" w:space="0" w:color="auto"/>
            <w:right w:val="none" w:sz="0" w:space="0" w:color="auto"/>
          </w:divBdr>
        </w:div>
        <w:div w:id="700016659">
          <w:marLeft w:val="0"/>
          <w:marRight w:val="0"/>
          <w:marTop w:val="0"/>
          <w:marBottom w:val="0"/>
          <w:divBdr>
            <w:top w:val="none" w:sz="0" w:space="0" w:color="auto"/>
            <w:left w:val="none" w:sz="0" w:space="0" w:color="auto"/>
            <w:bottom w:val="none" w:sz="0" w:space="0" w:color="auto"/>
            <w:right w:val="none" w:sz="0" w:space="0" w:color="auto"/>
          </w:divBdr>
        </w:div>
        <w:div w:id="1454245971">
          <w:marLeft w:val="0"/>
          <w:marRight w:val="0"/>
          <w:marTop w:val="0"/>
          <w:marBottom w:val="0"/>
          <w:divBdr>
            <w:top w:val="none" w:sz="0" w:space="0" w:color="auto"/>
            <w:left w:val="none" w:sz="0" w:space="0" w:color="auto"/>
            <w:bottom w:val="none" w:sz="0" w:space="0" w:color="auto"/>
            <w:right w:val="none" w:sz="0" w:space="0" w:color="auto"/>
          </w:divBdr>
        </w:div>
        <w:div w:id="1669164998">
          <w:marLeft w:val="0"/>
          <w:marRight w:val="0"/>
          <w:marTop w:val="0"/>
          <w:marBottom w:val="0"/>
          <w:divBdr>
            <w:top w:val="none" w:sz="0" w:space="0" w:color="auto"/>
            <w:left w:val="none" w:sz="0" w:space="0" w:color="auto"/>
            <w:bottom w:val="none" w:sz="0" w:space="0" w:color="auto"/>
            <w:right w:val="none" w:sz="0" w:space="0" w:color="auto"/>
          </w:divBdr>
        </w:div>
        <w:div w:id="434785896">
          <w:marLeft w:val="0"/>
          <w:marRight w:val="0"/>
          <w:marTop w:val="0"/>
          <w:marBottom w:val="0"/>
          <w:divBdr>
            <w:top w:val="none" w:sz="0" w:space="0" w:color="auto"/>
            <w:left w:val="none" w:sz="0" w:space="0" w:color="auto"/>
            <w:bottom w:val="none" w:sz="0" w:space="0" w:color="auto"/>
            <w:right w:val="none" w:sz="0" w:space="0" w:color="auto"/>
          </w:divBdr>
        </w:div>
        <w:div w:id="342784190">
          <w:marLeft w:val="0"/>
          <w:marRight w:val="0"/>
          <w:marTop w:val="0"/>
          <w:marBottom w:val="0"/>
          <w:divBdr>
            <w:top w:val="none" w:sz="0" w:space="0" w:color="auto"/>
            <w:left w:val="none" w:sz="0" w:space="0" w:color="auto"/>
            <w:bottom w:val="none" w:sz="0" w:space="0" w:color="auto"/>
            <w:right w:val="none" w:sz="0" w:space="0" w:color="auto"/>
          </w:divBdr>
        </w:div>
        <w:div w:id="874927428">
          <w:marLeft w:val="0"/>
          <w:marRight w:val="0"/>
          <w:marTop w:val="0"/>
          <w:marBottom w:val="0"/>
          <w:divBdr>
            <w:top w:val="none" w:sz="0" w:space="0" w:color="auto"/>
            <w:left w:val="none" w:sz="0" w:space="0" w:color="auto"/>
            <w:bottom w:val="none" w:sz="0" w:space="0" w:color="auto"/>
            <w:right w:val="none" w:sz="0" w:space="0" w:color="auto"/>
          </w:divBdr>
        </w:div>
        <w:div w:id="890731979">
          <w:marLeft w:val="0"/>
          <w:marRight w:val="0"/>
          <w:marTop w:val="0"/>
          <w:marBottom w:val="0"/>
          <w:divBdr>
            <w:top w:val="none" w:sz="0" w:space="0" w:color="auto"/>
            <w:left w:val="none" w:sz="0" w:space="0" w:color="auto"/>
            <w:bottom w:val="none" w:sz="0" w:space="0" w:color="auto"/>
            <w:right w:val="none" w:sz="0" w:space="0" w:color="auto"/>
          </w:divBdr>
        </w:div>
        <w:div w:id="263465249">
          <w:marLeft w:val="0"/>
          <w:marRight w:val="0"/>
          <w:marTop w:val="0"/>
          <w:marBottom w:val="0"/>
          <w:divBdr>
            <w:top w:val="none" w:sz="0" w:space="0" w:color="auto"/>
            <w:left w:val="none" w:sz="0" w:space="0" w:color="auto"/>
            <w:bottom w:val="none" w:sz="0" w:space="0" w:color="auto"/>
            <w:right w:val="none" w:sz="0" w:space="0" w:color="auto"/>
          </w:divBdr>
        </w:div>
        <w:div w:id="1618827701">
          <w:marLeft w:val="0"/>
          <w:marRight w:val="0"/>
          <w:marTop w:val="0"/>
          <w:marBottom w:val="0"/>
          <w:divBdr>
            <w:top w:val="none" w:sz="0" w:space="0" w:color="auto"/>
            <w:left w:val="none" w:sz="0" w:space="0" w:color="auto"/>
            <w:bottom w:val="none" w:sz="0" w:space="0" w:color="auto"/>
            <w:right w:val="none" w:sz="0" w:space="0" w:color="auto"/>
          </w:divBdr>
        </w:div>
        <w:div w:id="296692911">
          <w:marLeft w:val="0"/>
          <w:marRight w:val="0"/>
          <w:marTop w:val="0"/>
          <w:marBottom w:val="0"/>
          <w:divBdr>
            <w:top w:val="none" w:sz="0" w:space="0" w:color="auto"/>
            <w:left w:val="none" w:sz="0" w:space="0" w:color="auto"/>
            <w:bottom w:val="none" w:sz="0" w:space="0" w:color="auto"/>
            <w:right w:val="none" w:sz="0" w:space="0" w:color="auto"/>
          </w:divBdr>
        </w:div>
        <w:div w:id="1575820448">
          <w:marLeft w:val="0"/>
          <w:marRight w:val="0"/>
          <w:marTop w:val="0"/>
          <w:marBottom w:val="0"/>
          <w:divBdr>
            <w:top w:val="none" w:sz="0" w:space="0" w:color="auto"/>
            <w:left w:val="none" w:sz="0" w:space="0" w:color="auto"/>
            <w:bottom w:val="none" w:sz="0" w:space="0" w:color="auto"/>
            <w:right w:val="none" w:sz="0" w:space="0" w:color="auto"/>
          </w:divBdr>
        </w:div>
        <w:div w:id="100520377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icj.org/egypt-sustained-attacks-against-judges-must-stop/" TargetMode="External"/><Relationship Id="rId13" Type="http://schemas.openxmlformats.org/officeDocument/2006/relationships/hyperlink" Target="https://www.icj.org/morocco-arbitrary-dismissal-of-judge-al-haini-must-be-reversed/" TargetMode="External"/><Relationship Id="rId18" Type="http://schemas.openxmlformats.org/officeDocument/2006/relationships/hyperlink" Target="https://www.cjc-ccm.gc.ca/cmslib/general/news_pub_judicialconduct_Principles_en.pdf" TargetMode="External"/><Relationship Id="rId3" Type="http://schemas.openxmlformats.org/officeDocument/2006/relationships/hyperlink" Target="https://www.venice.coe.int/webforms/documents/?pdf=CDL-AD(2015)018-e" TargetMode="External"/><Relationship Id="rId7" Type="http://schemas.openxmlformats.org/officeDocument/2006/relationships/hyperlink" Target="https://www.icj.org/egypt-arbitrary-and-unfair-removal-of-judges-must-be-reversed/" TargetMode="External"/><Relationship Id="rId12" Type="http://schemas.openxmlformats.org/officeDocument/2006/relationships/hyperlink" Target="https://www.icj.org/morocco-end-disciplinary-proceedings-against-judges/" TargetMode="External"/><Relationship Id="rId17" Type="http://schemas.openxmlformats.org/officeDocument/2006/relationships/hyperlink" Target="https://www.icj.org/bulgaria-icj-raises-concern-at-dismissal-of-judge-todorova/" TargetMode="External"/><Relationship Id="rId2" Type="http://schemas.openxmlformats.org/officeDocument/2006/relationships/hyperlink" Target="https://www.icj.org/wp-content/uploads/2012/06/Russian-Federation-Written-submission-legal-submission-2012.pdf" TargetMode="External"/><Relationship Id="rId16" Type="http://schemas.openxmlformats.org/officeDocument/2006/relationships/hyperlink" Target="https://www.icj.org/philippines-supreme-court-decision-removing-its-chief-justice-contributes-to-deterioration-of-the-rule-of-law/" TargetMode="External"/><Relationship Id="rId1" Type="http://schemas.openxmlformats.org/officeDocument/2006/relationships/hyperlink" Target="https://www.icj.org/wp-content/uploads/2015/04/ECtHR-AmicusBrief-Baka-v-Hungary-Advocacy-Legal-Submission-2015-ENG.pdf" TargetMode="External"/><Relationship Id="rId6" Type="http://schemas.openxmlformats.org/officeDocument/2006/relationships/hyperlink" Target="http://www.oas.org/en/iachr/decisions/2015/arPU12632gEN.pdf" TargetMode="External"/><Relationship Id="rId11" Type="http://schemas.openxmlformats.org/officeDocument/2006/relationships/hyperlink" Target="https://www.icj.org/egypt-immediately-release-hisham-geneina-quash-his-conviction/" TargetMode="External"/><Relationship Id="rId5" Type="http://schemas.openxmlformats.org/officeDocument/2006/relationships/hyperlink" Target="https://www.oas.org/es/cidh/decisiones/2015/ARPU12632ES.pdf" TargetMode="External"/><Relationship Id="rId15" Type="http://schemas.openxmlformats.org/officeDocument/2006/relationships/hyperlink" Target="http://oca.judiciary.gov.ph/wp-content/uploads/2017/08/OCA-Circular-No.-173-2017.pdf" TargetMode="External"/><Relationship Id="rId10" Type="http://schemas.openxmlformats.org/officeDocument/2006/relationships/hyperlink" Target="https://www.icj.org/egypt-authorities-must-end-actions-against-independent-judges/" TargetMode="External"/><Relationship Id="rId4" Type="http://schemas.openxmlformats.org/officeDocument/2006/relationships/hyperlink" Target="https://www.encj.eu/images/stories/pdf/GA/Sofia/encj_sofia_declaration_7_june_2013.pdf" TargetMode="External"/><Relationship Id="rId9" Type="http://schemas.openxmlformats.org/officeDocument/2006/relationships/hyperlink" Target="https://www.icj.org/wp-content/uploads/2017/01/Egypt-attacks-on-judges-Advocacy-Analysis-brief-2017-ENG.pdf" TargetMode="External"/><Relationship Id="rId14" Type="http://schemas.openxmlformats.org/officeDocument/2006/relationships/hyperlink" Target="https://www.icj.org/south-korea-individual-independence-of-judges-must-be-upheld-and-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558E5-8A5C-47A2-B410-AAEAC5AFB852}"/>
</file>

<file path=customXml/itemProps2.xml><?xml version="1.0" encoding="utf-8"?>
<ds:datastoreItem xmlns:ds="http://schemas.openxmlformats.org/officeDocument/2006/customXml" ds:itemID="{0D020FB0-AD88-46FA-A5AD-D447FD51EACC}"/>
</file>

<file path=customXml/itemProps3.xml><?xml version="1.0" encoding="utf-8"?>
<ds:datastoreItem xmlns:ds="http://schemas.openxmlformats.org/officeDocument/2006/customXml" ds:itemID="{0811382B-E249-4ED7-8CB5-062BEC3A8575}"/>
</file>

<file path=docProps/app.xml><?xml version="1.0" encoding="utf-8"?>
<Properties xmlns="http://schemas.openxmlformats.org/officeDocument/2006/extended-properties" xmlns:vt="http://schemas.openxmlformats.org/officeDocument/2006/docPropsVTypes">
  <Template>Normal.dotm</Template>
  <TotalTime>0</TotalTime>
  <Pages>20</Pages>
  <Words>9003</Words>
  <Characters>51321</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Atelier Roger Pfund</Company>
  <LinksUpToDate>false</LinksUpToDate>
  <CharactersWithSpaces>60204</CharactersWithSpaces>
  <SharedDoc>false</SharedDoc>
  <HLinks>
    <vt:vector size="6" baseType="variant">
      <vt:variant>
        <vt:i4>851987</vt:i4>
      </vt:variant>
      <vt:variant>
        <vt:i4>-1</vt:i4>
      </vt:variant>
      <vt:variant>
        <vt:i4>1054</vt:i4>
      </vt:variant>
      <vt:variant>
        <vt:i4>1</vt:i4>
      </vt:variant>
      <vt:variant>
        <vt:lpwstr>Macintosh HD:Users:a:Desktop:Travaux G4 MD:EnCours:IJC:papeterie:icj_word_templates_03:imports_icj:icj_lettre.tif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ICJ</dc:creator>
  <cp:keywords/>
  <cp:lastModifiedBy>Stefano SENSI</cp:lastModifiedBy>
  <cp:revision>2</cp:revision>
  <cp:lastPrinted>2019-02-15T14:42:00Z</cp:lastPrinted>
  <dcterms:created xsi:type="dcterms:W3CDTF">2019-03-08T13:50:00Z</dcterms:created>
  <dcterms:modified xsi:type="dcterms:W3CDTF">2019-03-08T13:50:00Z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