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9D" w:rsidRPr="00B16937" w:rsidRDefault="00084C9D" w:rsidP="00B16937">
      <w:bookmarkStart w:id="0" w:name="_GoBack"/>
      <w:bookmarkEnd w:id="0"/>
      <w:r w:rsidRPr="00084C9D">
        <w:rPr>
          <w:noProof/>
          <w:lang w:val="en-GB" w:eastAsia="en-GB"/>
        </w:rPr>
        <w:drawing>
          <wp:inline distT="0" distB="0" distL="0" distR="0">
            <wp:extent cx="5190371" cy="101747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0934" cy="1023465"/>
                    </a:xfrm>
                    <a:prstGeom prst="rect">
                      <a:avLst/>
                    </a:prstGeom>
                    <a:noFill/>
                    <a:ln>
                      <a:noFill/>
                    </a:ln>
                  </pic:spPr>
                </pic:pic>
              </a:graphicData>
            </a:graphic>
          </wp:inline>
        </w:drawing>
      </w:r>
    </w:p>
    <w:p w:rsidR="00F544E7" w:rsidRDefault="00F544E7" w:rsidP="00084C9D">
      <w:pPr>
        <w:spacing w:after="0" w:line="240" w:lineRule="auto"/>
        <w:rPr>
          <w:lang w:val="en-US"/>
        </w:rPr>
      </w:pPr>
      <w:r>
        <w:rPr>
          <w:lang w:val="en-US"/>
        </w:rPr>
        <w:t xml:space="preserve">Firstly, the fundamental freedoms as protected by the Constitution of the Netherlands such as the exercise of the right to freedom of expression, the rights to freedom of association, the right to peaceful assembly and the political freedom also apply to judges as they are Dutch citizens. </w:t>
      </w:r>
      <w:r>
        <w:rPr>
          <w:lang w:val="en-US"/>
        </w:rPr>
        <w:br/>
        <w:t xml:space="preserve">However, in the exercise of their work as a judge some differences are applicable. </w:t>
      </w:r>
    </w:p>
    <w:p w:rsidR="00084C9D" w:rsidRDefault="00C32CF3" w:rsidP="00084C9D">
      <w:pPr>
        <w:spacing w:after="0" w:line="240" w:lineRule="auto"/>
        <w:rPr>
          <w:lang w:val="en-US"/>
        </w:rPr>
      </w:pPr>
      <w:r w:rsidRPr="00C32CF3">
        <w:rPr>
          <w:lang w:val="en-US"/>
        </w:rPr>
        <w:t>The judicial position of the judges is regulated in the</w:t>
      </w:r>
      <w:r w:rsidR="00F544E7">
        <w:rPr>
          <w:lang w:val="en-US"/>
        </w:rPr>
        <w:t xml:space="preserve"> law on the position of judges: “Wet </w:t>
      </w:r>
      <w:proofErr w:type="spellStart"/>
      <w:r w:rsidR="00F544E7">
        <w:rPr>
          <w:lang w:val="en-US"/>
        </w:rPr>
        <w:t>Rechtspositie</w:t>
      </w:r>
      <w:proofErr w:type="spellEnd"/>
      <w:r w:rsidR="00F544E7">
        <w:rPr>
          <w:lang w:val="en-US"/>
        </w:rPr>
        <w:t xml:space="preserve"> </w:t>
      </w:r>
      <w:proofErr w:type="spellStart"/>
      <w:r w:rsidR="00F544E7">
        <w:rPr>
          <w:lang w:val="en-US"/>
        </w:rPr>
        <w:t>rechterlijke</w:t>
      </w:r>
      <w:proofErr w:type="spellEnd"/>
      <w:r w:rsidR="00F544E7">
        <w:rPr>
          <w:lang w:val="en-US"/>
        </w:rPr>
        <w:t xml:space="preserve"> </w:t>
      </w:r>
      <w:proofErr w:type="spellStart"/>
      <w:r w:rsidR="00F544E7">
        <w:rPr>
          <w:lang w:val="en-US"/>
        </w:rPr>
        <w:t>ambtenaren</w:t>
      </w:r>
      <w:proofErr w:type="spellEnd"/>
      <w:r w:rsidR="00F544E7">
        <w:rPr>
          <w:lang w:val="en-US"/>
        </w:rPr>
        <w:t xml:space="preserve">, </w:t>
      </w:r>
      <w:proofErr w:type="spellStart"/>
      <w:r w:rsidR="00F544E7">
        <w:rPr>
          <w:lang w:val="en-US"/>
        </w:rPr>
        <w:t>Wrra</w:t>
      </w:r>
      <w:proofErr w:type="spellEnd"/>
      <w:r w:rsidR="00F544E7">
        <w:rPr>
          <w:lang w:val="en-US"/>
        </w:rPr>
        <w:t xml:space="preserve"> (1996)”. In this law a distinction is made between trainee judges and judges. </w:t>
      </w:r>
    </w:p>
    <w:p w:rsidR="00F544E7" w:rsidRDefault="00F544E7" w:rsidP="00084C9D">
      <w:pPr>
        <w:spacing w:after="0" w:line="240" w:lineRule="auto"/>
        <w:rPr>
          <w:lang w:val="en-US"/>
        </w:rPr>
      </w:pPr>
      <w:r>
        <w:rPr>
          <w:lang w:val="en-US"/>
        </w:rPr>
        <w:t xml:space="preserve">In art 43 </w:t>
      </w:r>
      <w:proofErr w:type="spellStart"/>
      <w:r>
        <w:rPr>
          <w:lang w:val="en-US"/>
        </w:rPr>
        <w:t>Wrra</w:t>
      </w:r>
      <w:proofErr w:type="spellEnd"/>
      <w:r>
        <w:rPr>
          <w:lang w:val="en-US"/>
        </w:rPr>
        <w:t xml:space="preserve"> trainee judges (and judges that are not appointed for life) will not express their thoughts or feelings, or </w:t>
      </w:r>
      <w:r>
        <w:rPr>
          <w:lang w:val="en-US"/>
        </w:rPr>
        <w:lastRenderedPageBreak/>
        <w:t xml:space="preserve">exercise their right to freedom of association, the right to assembly and to manifestation when by exercising these rights the functionality of the judiciary is at stake. However, trainee judges are allowed to be a member of a political party or a judges association. These restrictions do not, however, apply to judges who have been appointed for life. </w:t>
      </w:r>
    </w:p>
    <w:p w:rsidR="00F544E7" w:rsidRDefault="00F544E7" w:rsidP="00084C9D">
      <w:pPr>
        <w:spacing w:after="0" w:line="240" w:lineRule="auto"/>
        <w:rPr>
          <w:lang w:val="en-US"/>
        </w:rPr>
      </w:pPr>
      <w:r>
        <w:rPr>
          <w:lang w:val="en-US"/>
        </w:rPr>
        <w:t xml:space="preserve">No distinction is made in the law regarding on- or offline activities. </w:t>
      </w:r>
    </w:p>
    <w:p w:rsidR="00F544E7" w:rsidRDefault="00F544E7" w:rsidP="00084C9D">
      <w:pPr>
        <w:spacing w:after="0" w:line="240" w:lineRule="auto"/>
        <w:rPr>
          <w:lang w:val="en-US"/>
        </w:rPr>
      </w:pPr>
    </w:p>
    <w:p w:rsidR="00F544E7" w:rsidRDefault="00F544E7" w:rsidP="00084C9D">
      <w:pPr>
        <w:spacing w:after="0" w:line="240" w:lineRule="auto"/>
        <w:rPr>
          <w:lang w:val="en-US"/>
        </w:rPr>
      </w:pPr>
      <w:r w:rsidRPr="00F544E7">
        <w:rPr>
          <w:noProof/>
          <w:lang w:val="en-GB" w:eastAsia="en-GB"/>
        </w:rPr>
        <w:drawing>
          <wp:inline distT="0" distB="0" distL="0" distR="0">
            <wp:extent cx="5700199" cy="126112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1807" cy="1305727"/>
                    </a:xfrm>
                    <a:prstGeom prst="rect">
                      <a:avLst/>
                    </a:prstGeom>
                    <a:noFill/>
                    <a:ln>
                      <a:noFill/>
                    </a:ln>
                  </pic:spPr>
                </pic:pic>
              </a:graphicData>
            </a:graphic>
          </wp:inline>
        </w:drawing>
      </w:r>
    </w:p>
    <w:p w:rsidR="00046E2F" w:rsidRDefault="00046E2F" w:rsidP="00F544E7">
      <w:pPr>
        <w:rPr>
          <w:lang w:val="en-US"/>
        </w:rPr>
      </w:pPr>
      <w:r>
        <w:rPr>
          <w:lang w:val="en-US"/>
        </w:rPr>
        <w:t>Recently, there is one example wherein a judge was given a written warning by the President of the Court (a disciplinary measure). In reaction to the nomination of a rightwing politi</w:t>
      </w:r>
      <w:r>
        <w:rPr>
          <w:lang w:val="en-US"/>
        </w:rPr>
        <w:lastRenderedPageBreak/>
        <w:t xml:space="preserve">cian to ‘Dutch politician of the year’, a judge tweeted “completely crazy”. The judge then deleted her Twitter account upon her own initiative. </w:t>
      </w:r>
      <w:r w:rsidR="00803352">
        <w:rPr>
          <w:lang w:val="en-US"/>
        </w:rPr>
        <w:t>After criticism on the decision of the court to restrict the judge in her expression of opinion</w:t>
      </w:r>
      <w:r w:rsidR="000B029A">
        <w:rPr>
          <w:lang w:val="en-US"/>
        </w:rPr>
        <w:t xml:space="preserve"> the Court replied t</w:t>
      </w:r>
      <w:r w:rsidR="00B16937">
        <w:rPr>
          <w:lang w:val="en-US"/>
        </w:rPr>
        <w:t>hat there cannot be any doubt on</w:t>
      </w:r>
      <w:r w:rsidR="000B029A">
        <w:rPr>
          <w:lang w:val="en-US"/>
        </w:rPr>
        <w:t xml:space="preserve"> the impartiality of a </w:t>
      </w:r>
      <w:proofErr w:type="gramStart"/>
      <w:r w:rsidR="000B029A">
        <w:rPr>
          <w:lang w:val="en-US"/>
        </w:rPr>
        <w:t>judge .</w:t>
      </w:r>
      <w:proofErr w:type="gramEnd"/>
      <w:r w:rsidR="000B029A">
        <w:rPr>
          <w:lang w:val="en-US"/>
        </w:rPr>
        <w:t xml:space="preserve"> </w:t>
      </w:r>
    </w:p>
    <w:p w:rsidR="00046E2F" w:rsidRDefault="00046E2F" w:rsidP="00F544E7">
      <w:pPr>
        <w:rPr>
          <w:lang w:val="en-US"/>
        </w:rPr>
      </w:pPr>
      <w:r>
        <w:rPr>
          <w:lang w:val="en-US"/>
        </w:rPr>
        <w:t xml:space="preserve"> </w:t>
      </w:r>
      <w:r w:rsidRPr="00046E2F">
        <w:rPr>
          <w:noProof/>
          <w:lang w:val="en-GB" w:eastAsia="en-GB"/>
        </w:rPr>
        <w:drawing>
          <wp:inline distT="0" distB="0" distL="0" distR="0">
            <wp:extent cx="5547600" cy="1004095"/>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7311" cy="1007663"/>
                    </a:xfrm>
                    <a:prstGeom prst="rect">
                      <a:avLst/>
                    </a:prstGeom>
                    <a:noFill/>
                    <a:ln>
                      <a:noFill/>
                    </a:ln>
                  </pic:spPr>
                </pic:pic>
              </a:graphicData>
            </a:graphic>
          </wp:inline>
        </w:drawing>
      </w:r>
    </w:p>
    <w:p w:rsidR="00803352" w:rsidRDefault="00803352" w:rsidP="00803352">
      <w:pPr>
        <w:rPr>
          <w:lang w:val="en-US"/>
        </w:rPr>
      </w:pPr>
      <w:r>
        <w:rPr>
          <w:lang w:val="en-US"/>
        </w:rPr>
        <w:t xml:space="preserve">In the Guidelines for impartiality and ancillary positions in the judiciary (2014) principles are defined on the exercise of fundamental freedoms. These Guidelines were set up by the </w:t>
      </w:r>
      <w:proofErr w:type="spellStart"/>
      <w:r>
        <w:rPr>
          <w:lang w:val="en-US"/>
        </w:rPr>
        <w:t>NVvR</w:t>
      </w:r>
      <w:proofErr w:type="spellEnd"/>
      <w:r>
        <w:rPr>
          <w:lang w:val="en-US"/>
        </w:rPr>
        <w:t xml:space="preserve"> (the Dutch Association for the Judiciary). No distinction is made between the on- or offline activities. </w:t>
      </w:r>
    </w:p>
    <w:p w:rsidR="00803352" w:rsidRDefault="00803352" w:rsidP="00803352">
      <w:pPr>
        <w:spacing w:after="0" w:line="240" w:lineRule="auto"/>
        <w:rPr>
          <w:b/>
          <w:lang w:val="en-US"/>
        </w:rPr>
      </w:pPr>
      <w:r w:rsidRPr="00803352">
        <w:rPr>
          <w:b/>
          <w:lang w:val="en-US"/>
        </w:rPr>
        <w:t>Principles</w:t>
      </w:r>
    </w:p>
    <w:p w:rsidR="00803352" w:rsidRPr="00803352" w:rsidRDefault="00803352" w:rsidP="00803352">
      <w:pPr>
        <w:rPr>
          <w:lang w:val="en-US"/>
        </w:rPr>
      </w:pPr>
      <w:r w:rsidRPr="00803352">
        <w:rPr>
          <w:lang w:val="en-US"/>
        </w:rPr>
        <w:lastRenderedPageBreak/>
        <w:t>Like anyone else, the judge has certain views regarding</w:t>
      </w:r>
      <w:r>
        <w:rPr>
          <w:lang w:val="en-US"/>
        </w:rPr>
        <w:t xml:space="preserve"> </w:t>
      </w:r>
      <w:r w:rsidRPr="00803352">
        <w:rPr>
          <w:lang w:val="en-US"/>
        </w:rPr>
        <w:t>social, political, and ethical matters, which may influence</w:t>
      </w:r>
      <w:r>
        <w:rPr>
          <w:lang w:val="en-US"/>
        </w:rPr>
        <w:t xml:space="preserve"> </w:t>
      </w:r>
      <w:r w:rsidRPr="00803352">
        <w:rPr>
          <w:lang w:val="en-US"/>
        </w:rPr>
        <w:t>his further judgments. In part, these concep</w:t>
      </w:r>
      <w:r>
        <w:rPr>
          <w:lang w:val="en-US"/>
        </w:rPr>
        <w:t xml:space="preserve">tions can be </w:t>
      </w:r>
      <w:r w:rsidRPr="00803352">
        <w:rPr>
          <w:lang w:val="en-US"/>
        </w:rPr>
        <w:t xml:space="preserve">related to sex, race, </w:t>
      </w:r>
      <w:r w:rsidR="00B16937" w:rsidRPr="00803352">
        <w:rPr>
          <w:lang w:val="en-US"/>
        </w:rPr>
        <w:t>color</w:t>
      </w:r>
      <w:r w:rsidRPr="00803352">
        <w:rPr>
          <w:lang w:val="en-US"/>
        </w:rPr>
        <w:t>, language, religion, political</w:t>
      </w:r>
      <w:r>
        <w:rPr>
          <w:lang w:val="en-US"/>
        </w:rPr>
        <w:t xml:space="preserve"> </w:t>
      </w:r>
      <w:r w:rsidRPr="00803352">
        <w:rPr>
          <w:lang w:val="en-US"/>
        </w:rPr>
        <w:t>or other opinion, natio</w:t>
      </w:r>
      <w:r>
        <w:rPr>
          <w:lang w:val="en-US"/>
        </w:rPr>
        <w:t xml:space="preserve">nal or social origin, belonging to a national </w:t>
      </w:r>
      <w:r w:rsidRPr="00803352">
        <w:rPr>
          <w:lang w:val="en-US"/>
        </w:rPr>
        <w:t>minority, property, birth, or other status</w:t>
      </w:r>
      <w:r>
        <w:rPr>
          <w:lang w:val="en-US"/>
        </w:rPr>
        <w:t xml:space="preserve"> </w:t>
      </w:r>
      <w:r w:rsidRPr="00803352">
        <w:rPr>
          <w:lang w:val="en-US"/>
        </w:rPr>
        <w:t>(compare Article 1</w:t>
      </w:r>
      <w:r>
        <w:rPr>
          <w:lang w:val="en-US"/>
        </w:rPr>
        <w:t xml:space="preserve">4 ECHR). The existence of these </w:t>
      </w:r>
      <w:r w:rsidRPr="00803352">
        <w:rPr>
          <w:lang w:val="en-US"/>
        </w:rPr>
        <w:t>conceptions is unavoidabl</w:t>
      </w:r>
      <w:r>
        <w:rPr>
          <w:lang w:val="en-US"/>
        </w:rPr>
        <w:t xml:space="preserve">e and is closely related to the </w:t>
      </w:r>
      <w:r w:rsidRPr="00803352">
        <w:rPr>
          <w:lang w:val="en-US"/>
        </w:rPr>
        <w:t>social e</w:t>
      </w:r>
      <w:r>
        <w:rPr>
          <w:lang w:val="en-US"/>
        </w:rPr>
        <w:t xml:space="preserve">ngagement and interest that are necessary to be </w:t>
      </w:r>
      <w:r w:rsidRPr="00803352">
        <w:rPr>
          <w:lang w:val="en-US"/>
        </w:rPr>
        <w:t>able to function as a judge.</w:t>
      </w:r>
    </w:p>
    <w:p w:rsidR="00803352" w:rsidRPr="00803352" w:rsidRDefault="00803352" w:rsidP="00803352">
      <w:pPr>
        <w:spacing w:after="0" w:line="240" w:lineRule="auto"/>
        <w:rPr>
          <w:lang w:val="en-US"/>
        </w:rPr>
      </w:pPr>
      <w:r w:rsidRPr="00803352">
        <w:rPr>
          <w:lang w:val="en-US"/>
        </w:rPr>
        <w:t>Like any other citizen, a judge is entitled to exercise</w:t>
      </w:r>
      <w:r>
        <w:rPr>
          <w:lang w:val="en-US"/>
        </w:rPr>
        <w:t xml:space="preserve"> </w:t>
      </w:r>
      <w:r w:rsidRPr="00803352">
        <w:rPr>
          <w:lang w:val="en-US"/>
        </w:rPr>
        <w:t>freedom of speech, religion, association, and assembly,</w:t>
      </w:r>
      <w:r>
        <w:rPr>
          <w:lang w:val="en-US"/>
        </w:rPr>
        <w:t xml:space="preserve"> </w:t>
      </w:r>
      <w:r w:rsidRPr="00803352">
        <w:rPr>
          <w:lang w:val="en-US"/>
        </w:rPr>
        <w:t>but a judge must always conduct himself in such a way</w:t>
      </w:r>
      <w:r>
        <w:rPr>
          <w:lang w:val="en-US"/>
        </w:rPr>
        <w:t xml:space="preserve"> </w:t>
      </w:r>
      <w:r w:rsidRPr="00803352">
        <w:rPr>
          <w:lang w:val="en-US"/>
        </w:rPr>
        <w:t>when exercising these</w:t>
      </w:r>
      <w:r>
        <w:rPr>
          <w:lang w:val="en-US"/>
        </w:rPr>
        <w:t xml:space="preserve"> </w:t>
      </w:r>
      <w:r w:rsidRPr="00803352">
        <w:rPr>
          <w:lang w:val="en-US"/>
        </w:rPr>
        <w:t>constitutional rights that he</w:t>
      </w:r>
      <w:r>
        <w:rPr>
          <w:lang w:val="en-US"/>
        </w:rPr>
        <w:t xml:space="preserve"> </w:t>
      </w:r>
      <w:r w:rsidRPr="00803352">
        <w:rPr>
          <w:lang w:val="en-US"/>
        </w:rPr>
        <w:t>does not prejudice his functioning as a judge or the</w:t>
      </w:r>
      <w:r>
        <w:rPr>
          <w:lang w:val="en-US"/>
        </w:rPr>
        <w:t xml:space="preserve"> </w:t>
      </w:r>
      <w:r w:rsidRPr="00803352">
        <w:rPr>
          <w:lang w:val="en-US"/>
        </w:rPr>
        <w:t xml:space="preserve">functioning of the judiciary (cf. The </w:t>
      </w:r>
      <w:r w:rsidRPr="00803352">
        <w:rPr>
          <w:lang w:val="en-US"/>
        </w:rPr>
        <w:lastRenderedPageBreak/>
        <w:t>Bangalore Principles</w:t>
      </w:r>
      <w:r>
        <w:rPr>
          <w:lang w:val="en-US"/>
        </w:rPr>
        <w:t xml:space="preserve"> </w:t>
      </w:r>
      <w:r w:rsidRPr="00803352">
        <w:rPr>
          <w:lang w:val="en-US"/>
        </w:rPr>
        <w:t>of Judicial Conduct, No. 4.6). The fol</w:t>
      </w:r>
      <w:r>
        <w:rPr>
          <w:lang w:val="en-US"/>
        </w:rPr>
        <w:t xml:space="preserve">lowing illustrates </w:t>
      </w:r>
      <w:r w:rsidRPr="00803352">
        <w:rPr>
          <w:lang w:val="en-US"/>
        </w:rPr>
        <w:t>how this could cause tensions. There are judges and</w:t>
      </w:r>
      <w:r>
        <w:rPr>
          <w:lang w:val="en-US"/>
        </w:rPr>
        <w:t xml:space="preserve"> </w:t>
      </w:r>
      <w:r w:rsidRPr="00803352">
        <w:rPr>
          <w:lang w:val="en-US"/>
        </w:rPr>
        <w:t>substitute judges who publish and write annotations. Yet</w:t>
      </w:r>
    </w:p>
    <w:p w:rsidR="00046E2F" w:rsidRDefault="00803352" w:rsidP="00803352">
      <w:pPr>
        <w:spacing w:after="0" w:line="240" w:lineRule="auto"/>
        <w:rPr>
          <w:lang w:val="en-US"/>
        </w:rPr>
      </w:pPr>
      <w:proofErr w:type="gramStart"/>
      <w:r w:rsidRPr="00803352">
        <w:rPr>
          <w:lang w:val="en-US"/>
        </w:rPr>
        <w:t>it</w:t>
      </w:r>
      <w:proofErr w:type="gramEnd"/>
      <w:r w:rsidRPr="00803352">
        <w:rPr>
          <w:lang w:val="en-US"/>
        </w:rPr>
        <w:t xml:space="preserve"> does not seem desirable </w:t>
      </w:r>
      <w:r>
        <w:rPr>
          <w:lang w:val="en-US"/>
        </w:rPr>
        <w:t xml:space="preserve">that a judge or substitute write </w:t>
      </w:r>
      <w:r w:rsidRPr="00803352">
        <w:rPr>
          <w:lang w:val="en-US"/>
        </w:rPr>
        <w:t>articles about, or annotate judgments of, his own court,</w:t>
      </w:r>
      <w:r>
        <w:rPr>
          <w:lang w:val="en-US"/>
        </w:rPr>
        <w:t xml:space="preserve"> </w:t>
      </w:r>
      <w:r w:rsidRPr="00803352">
        <w:rPr>
          <w:lang w:val="en-US"/>
        </w:rPr>
        <w:t>or that he advise or giv</w:t>
      </w:r>
      <w:r>
        <w:rPr>
          <w:lang w:val="en-US"/>
        </w:rPr>
        <w:t xml:space="preserve">e public comments in respect of </w:t>
      </w:r>
      <w:r w:rsidRPr="00803352">
        <w:rPr>
          <w:lang w:val="en-US"/>
        </w:rPr>
        <w:t>those judgments. In the case of appellate judges, the</w:t>
      </w:r>
      <w:r>
        <w:rPr>
          <w:lang w:val="en-US"/>
        </w:rPr>
        <w:t xml:space="preserve"> </w:t>
      </w:r>
      <w:r w:rsidRPr="00803352">
        <w:rPr>
          <w:lang w:val="en-US"/>
        </w:rPr>
        <w:t>foregoing also applies t</w:t>
      </w:r>
      <w:r>
        <w:rPr>
          <w:lang w:val="en-US"/>
        </w:rPr>
        <w:t>o judgments in a lower instance that may be submitted to their own court.</w:t>
      </w:r>
    </w:p>
    <w:p w:rsidR="00803352" w:rsidRPr="00803352" w:rsidRDefault="00803352" w:rsidP="00803352">
      <w:pPr>
        <w:spacing w:after="0" w:line="240" w:lineRule="auto"/>
        <w:rPr>
          <w:lang w:val="en-US"/>
        </w:rPr>
      </w:pPr>
      <w:r w:rsidRPr="00803352">
        <w:rPr>
          <w:lang w:val="en-US"/>
        </w:rPr>
        <w:t>A judge who is aware of his personal views must generally</w:t>
      </w:r>
      <w:r>
        <w:rPr>
          <w:lang w:val="en-US"/>
        </w:rPr>
        <w:t xml:space="preserve"> </w:t>
      </w:r>
      <w:r w:rsidRPr="00803352">
        <w:rPr>
          <w:lang w:val="en-US"/>
        </w:rPr>
        <w:t>be able to distance himself from them in such a way</w:t>
      </w:r>
      <w:r>
        <w:rPr>
          <w:lang w:val="en-US"/>
        </w:rPr>
        <w:t xml:space="preserve"> </w:t>
      </w:r>
      <w:r w:rsidRPr="00803352">
        <w:rPr>
          <w:lang w:val="en-US"/>
        </w:rPr>
        <w:t xml:space="preserve">that these views do </w:t>
      </w:r>
      <w:r>
        <w:rPr>
          <w:lang w:val="en-US"/>
        </w:rPr>
        <w:t xml:space="preserve">not impede his independence and </w:t>
      </w:r>
      <w:r w:rsidRPr="00803352">
        <w:rPr>
          <w:lang w:val="en-US"/>
        </w:rPr>
        <w:t>impartiality, which are the essence of a fair proceeding.</w:t>
      </w:r>
    </w:p>
    <w:p w:rsidR="00803352" w:rsidRPr="00803352" w:rsidRDefault="00803352" w:rsidP="00803352">
      <w:pPr>
        <w:spacing w:after="0" w:line="240" w:lineRule="auto"/>
        <w:rPr>
          <w:lang w:val="en-US"/>
        </w:rPr>
      </w:pPr>
      <w:r w:rsidRPr="00803352">
        <w:rPr>
          <w:lang w:val="en-US"/>
        </w:rPr>
        <w:t>It is the judge himself who will be vigilant of his</w:t>
      </w:r>
      <w:r>
        <w:rPr>
          <w:lang w:val="en-US"/>
        </w:rPr>
        <w:t xml:space="preserve"> </w:t>
      </w:r>
      <w:r w:rsidRPr="00803352">
        <w:rPr>
          <w:lang w:val="en-US"/>
        </w:rPr>
        <w:t>impartiality in any case that he hears. Additionally, the</w:t>
      </w:r>
      <w:r>
        <w:rPr>
          <w:lang w:val="en-US"/>
        </w:rPr>
        <w:t xml:space="preserve"> </w:t>
      </w:r>
      <w:r w:rsidRPr="00803352">
        <w:rPr>
          <w:lang w:val="en-US"/>
        </w:rPr>
        <w:t xml:space="preserve">courts have means at </w:t>
      </w:r>
      <w:r w:rsidRPr="00803352">
        <w:rPr>
          <w:lang w:val="en-US"/>
        </w:rPr>
        <w:lastRenderedPageBreak/>
        <w:t>thei</w:t>
      </w:r>
      <w:r>
        <w:rPr>
          <w:lang w:val="en-US"/>
        </w:rPr>
        <w:t xml:space="preserve">r disposal to promote impartial </w:t>
      </w:r>
      <w:r w:rsidRPr="00803352">
        <w:rPr>
          <w:lang w:val="en-US"/>
        </w:rPr>
        <w:t>justice, such as division in sections and assigning cases.</w:t>
      </w:r>
      <w:r>
        <w:rPr>
          <w:lang w:val="en-US"/>
        </w:rPr>
        <w:t xml:space="preserve"> </w:t>
      </w:r>
      <w:r w:rsidRPr="00803352">
        <w:rPr>
          <w:lang w:val="en-US"/>
        </w:rPr>
        <w:t>The judge will see to it that he evidences an impartial</w:t>
      </w:r>
    </w:p>
    <w:p w:rsidR="00803352" w:rsidRDefault="00803352" w:rsidP="00803352">
      <w:pPr>
        <w:spacing w:after="0" w:line="240" w:lineRule="auto"/>
        <w:rPr>
          <w:lang w:val="en-US"/>
        </w:rPr>
      </w:pPr>
      <w:proofErr w:type="gramStart"/>
      <w:r>
        <w:rPr>
          <w:lang w:val="en-US"/>
        </w:rPr>
        <w:t>attitude</w:t>
      </w:r>
      <w:proofErr w:type="gramEnd"/>
      <w:r>
        <w:rPr>
          <w:lang w:val="en-US"/>
        </w:rPr>
        <w:t xml:space="preserve"> during sessions. </w:t>
      </w:r>
    </w:p>
    <w:p w:rsidR="00803352" w:rsidRDefault="00803352" w:rsidP="00803352">
      <w:pPr>
        <w:spacing w:after="0" w:line="240" w:lineRule="auto"/>
        <w:rPr>
          <w:lang w:val="en-US"/>
        </w:rPr>
      </w:pPr>
    </w:p>
    <w:p w:rsidR="000B029A" w:rsidRDefault="000B029A" w:rsidP="00803352">
      <w:pPr>
        <w:spacing w:after="0" w:line="240" w:lineRule="auto"/>
        <w:rPr>
          <w:lang w:val="en-US"/>
        </w:rPr>
      </w:pPr>
      <w:r w:rsidRPr="000B029A">
        <w:rPr>
          <w:noProof/>
          <w:lang w:val="en-GB" w:eastAsia="en-GB"/>
        </w:rPr>
        <w:drawing>
          <wp:inline distT="0" distB="0" distL="0" distR="0">
            <wp:extent cx="5756400" cy="1082195"/>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636" cy="1084871"/>
                    </a:xfrm>
                    <a:prstGeom prst="rect">
                      <a:avLst/>
                    </a:prstGeom>
                    <a:noFill/>
                    <a:ln>
                      <a:noFill/>
                    </a:ln>
                  </pic:spPr>
                </pic:pic>
              </a:graphicData>
            </a:graphic>
          </wp:inline>
        </w:drawing>
      </w:r>
    </w:p>
    <w:p w:rsidR="000B029A" w:rsidRDefault="000B029A" w:rsidP="00046E2F">
      <w:pPr>
        <w:rPr>
          <w:rFonts w:ascii="Arial" w:hAnsi="Arial" w:cs="Arial"/>
          <w:bCs/>
          <w:color w:val="000000"/>
          <w:sz w:val="20"/>
          <w:szCs w:val="20"/>
          <w:lang w:val="en-US"/>
        </w:rPr>
      </w:pPr>
      <w:r>
        <w:rPr>
          <w:rFonts w:ascii="Arial" w:hAnsi="Arial" w:cs="Arial"/>
          <w:bCs/>
          <w:color w:val="000000"/>
          <w:sz w:val="20"/>
          <w:szCs w:val="20"/>
          <w:lang w:val="en-US"/>
        </w:rPr>
        <w:t xml:space="preserve">See the answer under question 1. </w:t>
      </w:r>
    </w:p>
    <w:p w:rsidR="000B029A" w:rsidRPr="000B029A" w:rsidRDefault="000B029A" w:rsidP="00046E2F">
      <w:pPr>
        <w:rPr>
          <w:rFonts w:ascii="Arial" w:hAnsi="Arial" w:cs="Arial"/>
          <w:bCs/>
          <w:color w:val="000000"/>
          <w:sz w:val="20"/>
          <w:szCs w:val="20"/>
          <w:lang w:val="en-US"/>
        </w:rPr>
      </w:pPr>
      <w:r w:rsidRPr="000B029A">
        <w:rPr>
          <w:rFonts w:ascii="Arial" w:hAnsi="Arial" w:cs="Arial"/>
          <w:bCs/>
          <w:noProof/>
          <w:color w:val="000000"/>
          <w:sz w:val="20"/>
          <w:szCs w:val="20"/>
          <w:lang w:val="en-GB" w:eastAsia="en-GB"/>
        </w:rPr>
        <w:drawing>
          <wp:inline distT="0" distB="0" distL="0" distR="0">
            <wp:extent cx="5619600" cy="1700830"/>
            <wp:effectExtent l="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984" cy="1703367"/>
                    </a:xfrm>
                    <a:prstGeom prst="rect">
                      <a:avLst/>
                    </a:prstGeom>
                    <a:noFill/>
                    <a:ln>
                      <a:noFill/>
                    </a:ln>
                  </pic:spPr>
                </pic:pic>
              </a:graphicData>
            </a:graphic>
          </wp:inline>
        </w:drawing>
      </w:r>
    </w:p>
    <w:p w:rsidR="000B029A" w:rsidRDefault="000B029A" w:rsidP="00046E2F">
      <w:pPr>
        <w:rPr>
          <w:rFonts w:ascii="Arial" w:hAnsi="Arial" w:cs="Arial"/>
          <w:b/>
          <w:bCs/>
          <w:color w:val="000000"/>
          <w:sz w:val="20"/>
          <w:szCs w:val="20"/>
          <w:lang w:val="en-US"/>
        </w:rPr>
      </w:pPr>
      <w:r w:rsidRPr="000B029A">
        <w:rPr>
          <w:rFonts w:ascii="Arial" w:hAnsi="Arial" w:cs="Arial"/>
          <w:b/>
          <w:bCs/>
          <w:noProof/>
          <w:color w:val="000000"/>
          <w:sz w:val="20"/>
          <w:szCs w:val="20"/>
          <w:lang w:val="en-GB" w:eastAsia="en-GB"/>
        </w:rPr>
        <w:drawing>
          <wp:inline distT="0" distB="0" distL="0" distR="0" wp14:anchorId="16DCD272" wp14:editId="30821331">
            <wp:extent cx="5565600" cy="773521"/>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993" cy="780247"/>
                    </a:xfrm>
                    <a:prstGeom prst="rect">
                      <a:avLst/>
                    </a:prstGeom>
                    <a:noFill/>
                    <a:ln>
                      <a:noFill/>
                    </a:ln>
                  </pic:spPr>
                </pic:pic>
              </a:graphicData>
            </a:graphic>
          </wp:inline>
        </w:drawing>
      </w:r>
    </w:p>
    <w:p w:rsidR="000B029A" w:rsidRDefault="000B029A" w:rsidP="00046E2F">
      <w:pPr>
        <w:rPr>
          <w:rFonts w:ascii="Arial" w:hAnsi="Arial" w:cs="Arial"/>
          <w:b/>
          <w:bCs/>
          <w:color w:val="000000"/>
          <w:sz w:val="20"/>
          <w:szCs w:val="20"/>
          <w:lang w:val="en-US"/>
        </w:rPr>
      </w:pPr>
      <w:r>
        <w:rPr>
          <w:rFonts w:ascii="Arial" w:hAnsi="Arial" w:cs="Arial"/>
          <w:b/>
          <w:bCs/>
          <w:color w:val="000000"/>
          <w:sz w:val="20"/>
          <w:szCs w:val="20"/>
          <w:lang w:val="en-US"/>
        </w:rPr>
        <w:t xml:space="preserve">See the answer under 3. </w:t>
      </w:r>
    </w:p>
    <w:p w:rsidR="000B029A" w:rsidRPr="000B029A" w:rsidRDefault="000B029A" w:rsidP="00046E2F">
      <w:pPr>
        <w:rPr>
          <w:rFonts w:ascii="Arial" w:hAnsi="Arial" w:cs="Arial"/>
          <w:bCs/>
          <w:color w:val="000000"/>
          <w:sz w:val="20"/>
          <w:szCs w:val="20"/>
          <w:lang w:val="en-US"/>
        </w:rPr>
      </w:pPr>
      <w:r w:rsidRPr="000B029A">
        <w:rPr>
          <w:rFonts w:ascii="Arial" w:hAnsi="Arial" w:cs="Arial"/>
          <w:bCs/>
          <w:color w:val="000000"/>
          <w:sz w:val="20"/>
          <w:szCs w:val="20"/>
          <w:lang w:val="en-US"/>
        </w:rPr>
        <w:lastRenderedPageBreak/>
        <w:t xml:space="preserve">In general it is difficult to make a distinction between the venue and capacity in which opinions are given. </w:t>
      </w:r>
      <w:r>
        <w:rPr>
          <w:rFonts w:ascii="Arial" w:hAnsi="Arial" w:cs="Arial"/>
          <w:bCs/>
          <w:color w:val="000000"/>
          <w:sz w:val="20"/>
          <w:szCs w:val="20"/>
          <w:lang w:val="en-US"/>
        </w:rPr>
        <w:t xml:space="preserve">The context will not be relevant. </w:t>
      </w:r>
    </w:p>
    <w:p w:rsidR="000B029A" w:rsidRDefault="000B029A" w:rsidP="00046E2F">
      <w:pPr>
        <w:rPr>
          <w:rFonts w:ascii="Arial" w:hAnsi="Arial" w:cs="Arial"/>
          <w:b/>
          <w:bCs/>
          <w:color w:val="000000"/>
          <w:sz w:val="20"/>
          <w:szCs w:val="20"/>
          <w:lang w:val="en-US"/>
        </w:rPr>
      </w:pPr>
      <w:r w:rsidRPr="000B029A">
        <w:rPr>
          <w:rFonts w:ascii="Arial" w:hAnsi="Arial" w:cs="Arial"/>
          <w:b/>
          <w:bCs/>
          <w:noProof/>
          <w:color w:val="000000"/>
          <w:sz w:val="20"/>
          <w:szCs w:val="20"/>
          <w:lang w:val="en-GB" w:eastAsia="en-GB"/>
        </w:rPr>
        <w:drawing>
          <wp:inline distT="0" distB="0" distL="0" distR="0">
            <wp:extent cx="5734800" cy="1051076"/>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789" cy="1055473"/>
                    </a:xfrm>
                    <a:prstGeom prst="rect">
                      <a:avLst/>
                    </a:prstGeom>
                    <a:noFill/>
                    <a:ln>
                      <a:noFill/>
                    </a:ln>
                  </pic:spPr>
                </pic:pic>
              </a:graphicData>
            </a:graphic>
          </wp:inline>
        </w:drawing>
      </w:r>
    </w:p>
    <w:p w:rsidR="00B16937" w:rsidRDefault="00B16937" w:rsidP="00046E2F">
      <w:pPr>
        <w:rPr>
          <w:rFonts w:ascii="Arial" w:hAnsi="Arial" w:cs="Arial"/>
          <w:b/>
          <w:bCs/>
          <w:noProof/>
          <w:color w:val="000000"/>
          <w:sz w:val="20"/>
          <w:szCs w:val="20"/>
          <w:lang w:eastAsia="nl-NL"/>
        </w:rPr>
      </w:pPr>
      <w:r>
        <w:rPr>
          <w:rFonts w:ascii="Arial" w:hAnsi="Arial" w:cs="Arial"/>
          <w:b/>
          <w:bCs/>
          <w:noProof/>
          <w:color w:val="000000"/>
          <w:sz w:val="20"/>
          <w:szCs w:val="20"/>
          <w:lang w:eastAsia="nl-NL"/>
        </w:rPr>
        <w:t xml:space="preserve">N/a. </w:t>
      </w:r>
    </w:p>
    <w:p w:rsidR="000B029A" w:rsidRDefault="000B029A" w:rsidP="00046E2F">
      <w:pPr>
        <w:rPr>
          <w:rFonts w:ascii="Arial" w:hAnsi="Arial" w:cs="Arial"/>
          <w:b/>
          <w:bCs/>
          <w:color w:val="000000"/>
          <w:sz w:val="20"/>
          <w:szCs w:val="20"/>
          <w:lang w:val="en-US"/>
        </w:rPr>
      </w:pPr>
      <w:r w:rsidRPr="000B029A">
        <w:rPr>
          <w:rFonts w:ascii="Arial" w:hAnsi="Arial" w:cs="Arial"/>
          <w:b/>
          <w:bCs/>
          <w:noProof/>
          <w:color w:val="000000"/>
          <w:sz w:val="20"/>
          <w:szCs w:val="20"/>
          <w:lang w:val="en-GB" w:eastAsia="en-GB"/>
        </w:rPr>
        <w:drawing>
          <wp:inline distT="0" distB="0" distL="0" distR="0">
            <wp:extent cx="5450400" cy="88534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212" cy="888725"/>
                    </a:xfrm>
                    <a:prstGeom prst="rect">
                      <a:avLst/>
                    </a:prstGeom>
                    <a:noFill/>
                    <a:ln>
                      <a:noFill/>
                    </a:ln>
                  </pic:spPr>
                </pic:pic>
              </a:graphicData>
            </a:graphic>
          </wp:inline>
        </w:drawing>
      </w:r>
    </w:p>
    <w:p w:rsidR="000B029A" w:rsidRPr="00B16937" w:rsidRDefault="000B029A" w:rsidP="00046E2F">
      <w:pPr>
        <w:rPr>
          <w:rFonts w:ascii="Arial" w:hAnsi="Arial" w:cs="Arial"/>
          <w:bCs/>
          <w:color w:val="000000"/>
          <w:sz w:val="20"/>
          <w:szCs w:val="20"/>
          <w:lang w:val="en-GB"/>
        </w:rPr>
      </w:pPr>
      <w:r>
        <w:rPr>
          <w:rFonts w:ascii="Arial" w:hAnsi="Arial" w:cs="Arial"/>
          <w:bCs/>
          <w:color w:val="000000"/>
          <w:sz w:val="20"/>
          <w:szCs w:val="20"/>
          <w:lang w:val="en-US"/>
        </w:rPr>
        <w:t xml:space="preserve">No such initiatives were undertaken by </w:t>
      </w:r>
      <w:proofErr w:type="spellStart"/>
      <w:r>
        <w:rPr>
          <w:rFonts w:ascii="Arial" w:hAnsi="Arial" w:cs="Arial"/>
          <w:bCs/>
          <w:color w:val="000000"/>
          <w:sz w:val="20"/>
          <w:szCs w:val="20"/>
          <w:lang w:val="en-US"/>
        </w:rPr>
        <w:t>NVvR</w:t>
      </w:r>
      <w:proofErr w:type="spellEnd"/>
      <w:r>
        <w:rPr>
          <w:rFonts w:ascii="Arial" w:hAnsi="Arial" w:cs="Arial"/>
          <w:bCs/>
          <w:color w:val="000000"/>
          <w:sz w:val="20"/>
          <w:szCs w:val="20"/>
          <w:lang w:val="en-US"/>
        </w:rPr>
        <w:t xml:space="preserve">. </w:t>
      </w:r>
      <w:r w:rsidRPr="00B16937">
        <w:rPr>
          <w:rFonts w:ascii="Arial" w:hAnsi="Arial" w:cs="Arial"/>
          <w:bCs/>
          <w:color w:val="000000"/>
          <w:sz w:val="20"/>
          <w:szCs w:val="20"/>
          <w:lang w:val="en-GB"/>
        </w:rPr>
        <w:t xml:space="preserve">However, </w:t>
      </w:r>
      <w:r w:rsidR="00B16937" w:rsidRPr="00B16937">
        <w:rPr>
          <w:rFonts w:ascii="Arial" w:hAnsi="Arial" w:cs="Arial"/>
          <w:bCs/>
          <w:color w:val="000000"/>
          <w:sz w:val="20"/>
          <w:szCs w:val="20"/>
          <w:lang w:val="en-GB"/>
        </w:rPr>
        <w:t xml:space="preserve">some courts have made internal regulations on the use of social media. </w:t>
      </w:r>
    </w:p>
    <w:p w:rsidR="000B029A" w:rsidRPr="00B16937" w:rsidRDefault="000B029A" w:rsidP="00046E2F">
      <w:pPr>
        <w:rPr>
          <w:rFonts w:ascii="Arial" w:hAnsi="Arial" w:cs="Arial"/>
          <w:b/>
          <w:bCs/>
          <w:color w:val="000000"/>
          <w:sz w:val="20"/>
          <w:szCs w:val="20"/>
          <w:lang w:val="en-GB"/>
        </w:rPr>
      </w:pPr>
    </w:p>
    <w:sectPr w:rsidR="000B029A" w:rsidRPr="00B16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2FC"/>
    <w:multiLevelType w:val="multilevel"/>
    <w:tmpl w:val="DC9E5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D114DE"/>
    <w:multiLevelType w:val="multilevel"/>
    <w:tmpl w:val="6532B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B83667"/>
    <w:multiLevelType w:val="multilevel"/>
    <w:tmpl w:val="AF62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E42B76"/>
    <w:multiLevelType w:val="multilevel"/>
    <w:tmpl w:val="11D0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4464D5"/>
    <w:multiLevelType w:val="multilevel"/>
    <w:tmpl w:val="39A03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624B2B"/>
    <w:multiLevelType w:val="multilevel"/>
    <w:tmpl w:val="DF5A3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A302559"/>
    <w:multiLevelType w:val="multilevel"/>
    <w:tmpl w:val="EEF0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C4A342D"/>
    <w:multiLevelType w:val="multilevel"/>
    <w:tmpl w:val="DC42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ED06B2B"/>
    <w:multiLevelType w:val="multilevel"/>
    <w:tmpl w:val="5CFA3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0570EE4"/>
    <w:multiLevelType w:val="multilevel"/>
    <w:tmpl w:val="C3BC9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3761A71"/>
    <w:multiLevelType w:val="multilevel"/>
    <w:tmpl w:val="1F3A6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CE56968"/>
    <w:multiLevelType w:val="multilevel"/>
    <w:tmpl w:val="1F76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5021DC5"/>
    <w:multiLevelType w:val="multilevel"/>
    <w:tmpl w:val="80FA9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EB0784E"/>
    <w:multiLevelType w:val="multilevel"/>
    <w:tmpl w:val="2682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2"/>
  </w:num>
  <w:num w:numId="4">
    <w:abstractNumId w:val="4"/>
  </w:num>
  <w:num w:numId="5">
    <w:abstractNumId w:val="3"/>
  </w:num>
  <w:num w:numId="6">
    <w:abstractNumId w:val="2"/>
  </w:num>
  <w:num w:numId="7">
    <w:abstractNumId w:val="0"/>
  </w:num>
  <w:num w:numId="8">
    <w:abstractNumId w:val="11"/>
  </w:num>
  <w:num w:numId="9">
    <w:abstractNumId w:val="10"/>
  </w:num>
  <w:num w:numId="10">
    <w:abstractNumId w:val="1"/>
  </w:num>
  <w:num w:numId="11">
    <w:abstractNumId w:val="6"/>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9D"/>
    <w:rsid w:val="00046E2F"/>
    <w:rsid w:val="00084C9D"/>
    <w:rsid w:val="000B029A"/>
    <w:rsid w:val="004A6C6A"/>
    <w:rsid w:val="00614181"/>
    <w:rsid w:val="00773B31"/>
    <w:rsid w:val="00803352"/>
    <w:rsid w:val="009F3858"/>
    <w:rsid w:val="00B16937"/>
    <w:rsid w:val="00C32CF3"/>
    <w:rsid w:val="00F544E7"/>
    <w:rsid w:val="00FD5DB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A5CE9-86CB-4336-BD48-CF3A29C0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4E7"/>
    <w:rPr>
      <w:color w:val="0563C1"/>
      <w:u w:val="single"/>
    </w:rPr>
  </w:style>
  <w:style w:type="character" w:styleId="FollowedHyperlink">
    <w:name w:val="FollowedHyperlink"/>
    <w:basedOn w:val="DefaultParagraphFont"/>
    <w:uiPriority w:val="99"/>
    <w:semiHidden/>
    <w:unhideWhenUsed/>
    <w:rsid w:val="00F544E7"/>
    <w:rPr>
      <w:color w:val="954F72" w:themeColor="followedHyperlink"/>
      <w:u w:val="single"/>
    </w:rPr>
  </w:style>
  <w:style w:type="paragraph" w:styleId="BalloonText">
    <w:name w:val="Balloon Text"/>
    <w:basedOn w:val="Normal"/>
    <w:link w:val="BalloonTextChar"/>
    <w:uiPriority w:val="99"/>
    <w:semiHidden/>
    <w:unhideWhenUsed/>
    <w:rsid w:val="0077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09722">
      <w:bodyDiv w:val="1"/>
      <w:marLeft w:val="0"/>
      <w:marRight w:val="0"/>
      <w:marTop w:val="0"/>
      <w:marBottom w:val="0"/>
      <w:divBdr>
        <w:top w:val="none" w:sz="0" w:space="0" w:color="auto"/>
        <w:left w:val="none" w:sz="0" w:space="0" w:color="auto"/>
        <w:bottom w:val="none" w:sz="0" w:space="0" w:color="auto"/>
        <w:right w:val="none" w:sz="0" w:space="0" w:color="auto"/>
      </w:divBdr>
    </w:div>
    <w:div w:id="677345717">
      <w:bodyDiv w:val="1"/>
      <w:marLeft w:val="0"/>
      <w:marRight w:val="0"/>
      <w:marTop w:val="0"/>
      <w:marBottom w:val="0"/>
      <w:divBdr>
        <w:top w:val="none" w:sz="0" w:space="0" w:color="auto"/>
        <w:left w:val="none" w:sz="0" w:space="0" w:color="auto"/>
        <w:bottom w:val="none" w:sz="0" w:space="0" w:color="auto"/>
        <w:right w:val="none" w:sz="0" w:space="0" w:color="auto"/>
      </w:divBdr>
    </w:div>
    <w:div w:id="16150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customXml" Target="../customXml/item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1B1F2D-6E6A-408F-82EF-8BFFF13A796A}"/>
</file>

<file path=customXml/itemProps2.xml><?xml version="1.0" encoding="utf-8"?>
<ds:datastoreItem xmlns:ds="http://schemas.openxmlformats.org/officeDocument/2006/customXml" ds:itemID="{CFCBEFC2-28BD-4442-A970-33615AE4F92D}"/>
</file>

<file path=customXml/itemProps3.xml><?xml version="1.0" encoding="utf-8"?>
<ds:datastoreItem xmlns:ds="http://schemas.openxmlformats.org/officeDocument/2006/customXml" ds:itemID="{37B027F8-AF86-46B3-8A46-50A3BB57E29B}"/>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3566</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Veiligheid en Justitie</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Breeuwsma, J. (Rvdr 's-Gravenhage)</dc:creator>
  <cp:lastModifiedBy>Stefano SENSI</cp:lastModifiedBy>
  <cp:revision>2</cp:revision>
  <dcterms:created xsi:type="dcterms:W3CDTF">2019-02-06T16:22:00Z</dcterms:created>
  <dcterms:modified xsi:type="dcterms:W3CDTF">2019-02-06T16:22:00Z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