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93" w:rsidRDefault="00F85893" w:rsidP="00F44CEA">
      <w:pPr>
        <w:rPr>
          <w:b/>
        </w:rPr>
      </w:pPr>
    </w:p>
    <w:p w:rsidR="00F44CEA" w:rsidRPr="00F44CEA" w:rsidRDefault="00F44CEA" w:rsidP="00F44CEA">
      <w:pPr>
        <w:rPr>
          <w:b/>
        </w:rPr>
      </w:pPr>
      <w:r w:rsidRPr="00F44CEA">
        <w:rPr>
          <w:b/>
        </w:rPr>
        <w:t>LE SECRETAIRE GENERAL</w:t>
      </w:r>
    </w:p>
    <w:p w:rsidR="00F44CEA" w:rsidRPr="00F44CEA" w:rsidRDefault="00F44CEA" w:rsidP="00F44CEA">
      <w:pPr>
        <w:rPr>
          <w:b/>
        </w:rPr>
      </w:pPr>
    </w:p>
    <w:p w:rsidR="00D407CF" w:rsidRDefault="00D407CF" w:rsidP="00D407CF"/>
    <w:p w:rsidR="00D407CF" w:rsidRDefault="00D407CF" w:rsidP="00D407CF">
      <w:r>
        <w:t xml:space="preserve">                                                                                                          </w:t>
      </w:r>
    </w:p>
    <w:p w:rsidR="00D407CF" w:rsidRDefault="00D407CF" w:rsidP="00D407CF">
      <w:pPr>
        <w:jc w:val="both"/>
      </w:pPr>
    </w:p>
    <w:p w:rsidR="00D407CF" w:rsidRPr="00135DE1" w:rsidRDefault="00D407CF" w:rsidP="00D407CF">
      <w:pPr>
        <w:jc w:val="both"/>
        <w:rPr>
          <w:b/>
          <w:sz w:val="28"/>
          <w:szCs w:val="28"/>
        </w:rPr>
      </w:pPr>
      <w:r w:rsidRPr="00135DE1">
        <w:rPr>
          <w:b/>
          <w:sz w:val="28"/>
          <w:szCs w:val="28"/>
        </w:rPr>
        <w:t xml:space="preserve">                                                        </w:t>
      </w:r>
      <w:r>
        <w:rPr>
          <w:b/>
          <w:sz w:val="28"/>
          <w:szCs w:val="28"/>
        </w:rPr>
        <w:t xml:space="preserve">                                                       </w:t>
      </w:r>
      <w:r w:rsidRPr="00135DE1">
        <w:rPr>
          <w:b/>
          <w:sz w:val="28"/>
          <w:szCs w:val="28"/>
        </w:rPr>
        <w:t>A</w:t>
      </w:r>
    </w:p>
    <w:p w:rsidR="00F65F2B" w:rsidRDefault="00D407CF" w:rsidP="00D407CF">
      <w:pPr>
        <w:spacing w:line="240" w:lineRule="auto"/>
        <w:contextualSpacing/>
        <w:jc w:val="both"/>
        <w:rPr>
          <w:b/>
          <w:sz w:val="28"/>
          <w:szCs w:val="28"/>
        </w:rPr>
      </w:pPr>
      <w:r>
        <w:rPr>
          <w:b/>
          <w:sz w:val="28"/>
          <w:szCs w:val="28"/>
        </w:rPr>
        <w:t xml:space="preserve">                                                                                    </w:t>
      </w:r>
      <w:r w:rsidR="000C155F">
        <w:rPr>
          <w:b/>
          <w:sz w:val="28"/>
          <w:szCs w:val="28"/>
        </w:rPr>
        <w:t xml:space="preserve">Monsieur </w:t>
      </w:r>
      <w:r w:rsidR="00F65F2B">
        <w:rPr>
          <w:b/>
          <w:sz w:val="28"/>
          <w:szCs w:val="28"/>
        </w:rPr>
        <w:t xml:space="preserve"> le </w:t>
      </w:r>
      <w:r w:rsidR="005F18A5">
        <w:rPr>
          <w:b/>
          <w:sz w:val="28"/>
          <w:szCs w:val="28"/>
        </w:rPr>
        <w:t>Haut-Commissaire</w:t>
      </w:r>
      <w:r w:rsidR="00F65F2B">
        <w:rPr>
          <w:b/>
          <w:sz w:val="28"/>
          <w:szCs w:val="28"/>
        </w:rPr>
        <w:t xml:space="preserve">  des Nations Unies aux Droits de l’homme </w:t>
      </w:r>
    </w:p>
    <w:p w:rsidR="005F18A5" w:rsidRDefault="005F18A5" w:rsidP="00D407CF">
      <w:pPr>
        <w:spacing w:line="240" w:lineRule="auto"/>
        <w:contextualSpacing/>
        <w:jc w:val="both"/>
        <w:rPr>
          <w:b/>
          <w:sz w:val="28"/>
          <w:szCs w:val="28"/>
        </w:rPr>
      </w:pPr>
    </w:p>
    <w:p w:rsidR="00F44CEA" w:rsidRDefault="00F65F2B" w:rsidP="00D407CF">
      <w:pPr>
        <w:spacing w:line="240" w:lineRule="auto"/>
        <w:contextualSpacing/>
        <w:jc w:val="both"/>
        <w:rPr>
          <w:b/>
          <w:sz w:val="28"/>
          <w:szCs w:val="28"/>
        </w:rPr>
      </w:pPr>
      <w:r>
        <w:rPr>
          <w:b/>
          <w:sz w:val="28"/>
          <w:szCs w:val="28"/>
        </w:rPr>
        <w:t xml:space="preserve">S/C </w:t>
      </w:r>
      <w:r w:rsidR="00F44CEA">
        <w:rPr>
          <w:b/>
          <w:sz w:val="28"/>
          <w:szCs w:val="28"/>
        </w:rPr>
        <w:t>Ministère des Affaires Etrangères et de la Coopération Régionale</w:t>
      </w:r>
    </w:p>
    <w:p w:rsidR="00D407CF" w:rsidRDefault="00D407CF" w:rsidP="00D407CF">
      <w:pPr>
        <w:spacing w:line="240" w:lineRule="auto"/>
        <w:contextualSpacing/>
        <w:jc w:val="both"/>
        <w:rPr>
          <w:b/>
          <w:sz w:val="28"/>
          <w:szCs w:val="28"/>
        </w:rPr>
      </w:pPr>
      <w:r>
        <w:rPr>
          <w:b/>
          <w:sz w:val="28"/>
          <w:szCs w:val="28"/>
        </w:rPr>
        <w:t xml:space="preserve"> </w:t>
      </w:r>
    </w:p>
    <w:p w:rsidR="00F65F2B" w:rsidRDefault="00D407CF" w:rsidP="00D407CF">
      <w:pPr>
        <w:jc w:val="both"/>
        <w:rPr>
          <w:rFonts w:ascii="Bookman Old Style" w:hAnsi="Bookman Old Style"/>
          <w:sz w:val="28"/>
          <w:szCs w:val="28"/>
        </w:rPr>
      </w:pPr>
      <w:r w:rsidRPr="00135DE1">
        <w:rPr>
          <w:b/>
          <w:sz w:val="28"/>
          <w:szCs w:val="28"/>
        </w:rPr>
        <w:t>Objet </w:t>
      </w:r>
      <w:r w:rsidR="006F1E36">
        <w:rPr>
          <w:sz w:val="28"/>
          <w:szCs w:val="28"/>
        </w:rPr>
        <w:t>:</w:t>
      </w:r>
      <w:r w:rsidR="006F1E36" w:rsidRPr="0047087D">
        <w:rPr>
          <w:sz w:val="24"/>
          <w:szCs w:val="24"/>
        </w:rPr>
        <w:t xml:space="preserve"> </w:t>
      </w:r>
      <w:r w:rsidR="00F65F2B">
        <w:rPr>
          <w:sz w:val="24"/>
          <w:szCs w:val="24"/>
        </w:rPr>
        <w:t>contribution à l’élaboration du rapport de la Rapporteuse Spéciale sur l’Indépendance des Juges et des Avocats</w:t>
      </w:r>
    </w:p>
    <w:p w:rsidR="00F65F2B" w:rsidRDefault="00F65F2B" w:rsidP="00D407CF">
      <w:pPr>
        <w:jc w:val="both"/>
        <w:rPr>
          <w:rFonts w:ascii="Bookman Old Style" w:hAnsi="Bookman Old Style"/>
          <w:sz w:val="28"/>
          <w:szCs w:val="28"/>
        </w:rPr>
      </w:pPr>
      <w:r>
        <w:rPr>
          <w:rFonts w:ascii="Bookman Old Style" w:hAnsi="Bookman Old Style"/>
          <w:sz w:val="28"/>
          <w:szCs w:val="28"/>
        </w:rPr>
        <w:t xml:space="preserve">Comme suite à votre </w:t>
      </w:r>
      <w:r w:rsidR="00D407CF" w:rsidRPr="00A4742F">
        <w:rPr>
          <w:rFonts w:ascii="Bookman Old Style" w:hAnsi="Bookman Old Style"/>
          <w:sz w:val="28"/>
          <w:szCs w:val="28"/>
        </w:rPr>
        <w:t xml:space="preserve">correspondance </w:t>
      </w:r>
      <w:r w:rsidR="00D407CF">
        <w:rPr>
          <w:rFonts w:ascii="Bookman Old Style" w:hAnsi="Bookman Old Style"/>
          <w:sz w:val="28"/>
          <w:szCs w:val="28"/>
        </w:rPr>
        <w:t>n</w:t>
      </w:r>
      <w:r w:rsidR="00990E94">
        <w:rPr>
          <w:rFonts w:ascii="Bookman Old Style" w:hAnsi="Bookman Old Style"/>
          <w:sz w:val="28"/>
          <w:szCs w:val="28"/>
        </w:rPr>
        <w:t>°20</w:t>
      </w:r>
      <w:r w:rsidR="00D407CF">
        <w:rPr>
          <w:rFonts w:ascii="Bookman Old Style" w:hAnsi="Bookman Old Style"/>
          <w:sz w:val="28"/>
          <w:szCs w:val="28"/>
        </w:rPr>
        <w:t>13-</w:t>
      </w:r>
      <w:r>
        <w:rPr>
          <w:rFonts w:ascii="Bookman Old Style" w:hAnsi="Bookman Old Style"/>
          <w:sz w:val="28"/>
          <w:szCs w:val="28"/>
        </w:rPr>
        <w:t>19</w:t>
      </w:r>
      <w:r w:rsidR="00D407CF">
        <w:rPr>
          <w:rFonts w:ascii="Bookman Old Style" w:hAnsi="Bookman Old Style"/>
          <w:sz w:val="28"/>
          <w:szCs w:val="28"/>
        </w:rPr>
        <w:t>08</w:t>
      </w:r>
      <w:r>
        <w:rPr>
          <w:rFonts w:ascii="Bookman Old Style" w:hAnsi="Bookman Old Style"/>
          <w:sz w:val="28"/>
          <w:szCs w:val="28"/>
        </w:rPr>
        <w:t xml:space="preserve"> en date du 03 juin 2013, relative à l’indépendance des juges et des avocats, je réponds aux questions posées</w:t>
      </w:r>
      <w:r w:rsidR="0037264C">
        <w:rPr>
          <w:rFonts w:ascii="Bookman Old Style" w:hAnsi="Bookman Old Style"/>
          <w:sz w:val="28"/>
          <w:szCs w:val="28"/>
        </w:rPr>
        <w:t xml:space="preserve"> dans l’ordre.</w:t>
      </w:r>
    </w:p>
    <w:p w:rsidR="005D4F1C" w:rsidRPr="005D4F1C" w:rsidRDefault="005D4F1C" w:rsidP="00D407CF">
      <w:pPr>
        <w:jc w:val="both"/>
        <w:rPr>
          <w:rFonts w:ascii="Bookman Old Style" w:hAnsi="Bookman Old Style"/>
          <w:b/>
          <w:sz w:val="28"/>
          <w:szCs w:val="28"/>
        </w:rPr>
      </w:pPr>
      <w:r w:rsidRPr="005D4F1C">
        <w:rPr>
          <w:rFonts w:ascii="Bookman Old Style" w:hAnsi="Bookman Old Style"/>
          <w:b/>
          <w:sz w:val="28"/>
          <w:szCs w:val="28"/>
        </w:rPr>
        <w:t>Renseignements généraux sur notre système juridique national, y compris la compétence personnelle et matérielle du système de justice mil</w:t>
      </w:r>
      <w:r>
        <w:rPr>
          <w:rFonts w:ascii="Bookman Old Style" w:hAnsi="Bookman Old Style"/>
          <w:b/>
          <w:sz w:val="28"/>
          <w:szCs w:val="28"/>
        </w:rPr>
        <w:t>i</w:t>
      </w:r>
      <w:r w:rsidRPr="005D4F1C">
        <w:rPr>
          <w:rFonts w:ascii="Bookman Old Style" w:hAnsi="Bookman Old Style"/>
          <w:b/>
          <w:sz w:val="28"/>
          <w:szCs w:val="28"/>
        </w:rPr>
        <w:t>taire</w:t>
      </w:r>
    </w:p>
    <w:p w:rsidR="0037264C" w:rsidRDefault="0037264C" w:rsidP="00D407CF">
      <w:pPr>
        <w:jc w:val="both"/>
        <w:rPr>
          <w:rFonts w:ascii="Bookman Old Style" w:hAnsi="Bookman Old Style"/>
          <w:sz w:val="28"/>
          <w:szCs w:val="28"/>
        </w:rPr>
      </w:pPr>
      <w:r>
        <w:rPr>
          <w:rFonts w:ascii="Bookman Old Style" w:hAnsi="Bookman Old Style"/>
          <w:sz w:val="28"/>
          <w:szCs w:val="28"/>
        </w:rPr>
        <w:t>1-Le système judiciaire Burkinabè dispose d’une justice militaire instituée par la loi n°24/94/ADP du 24 mai 1994 portant code de justice militaire.</w:t>
      </w:r>
    </w:p>
    <w:p w:rsidR="0060338B" w:rsidRDefault="0037264C" w:rsidP="00D407CF">
      <w:pPr>
        <w:jc w:val="both"/>
        <w:rPr>
          <w:rFonts w:ascii="Bookman Old Style" w:hAnsi="Bookman Old Style"/>
          <w:sz w:val="28"/>
          <w:szCs w:val="28"/>
        </w:rPr>
      </w:pPr>
      <w:r>
        <w:rPr>
          <w:rFonts w:ascii="Bookman Old Style" w:hAnsi="Bookman Old Style"/>
          <w:sz w:val="28"/>
          <w:szCs w:val="28"/>
        </w:rPr>
        <w:t>2-Le tribunal militaire est une juridiction d’exception du système judiciaire  ordinaire.</w:t>
      </w:r>
      <w:r w:rsidR="005D4F1C">
        <w:rPr>
          <w:rFonts w:ascii="Bookman Old Style" w:hAnsi="Bookman Old Style"/>
          <w:sz w:val="28"/>
          <w:szCs w:val="28"/>
        </w:rPr>
        <w:t xml:space="preserve"> De ce fait, il</w:t>
      </w:r>
      <w:r w:rsidR="009E73C1">
        <w:rPr>
          <w:rFonts w:ascii="Bookman Old Style" w:hAnsi="Bookman Old Style"/>
          <w:sz w:val="28"/>
          <w:szCs w:val="28"/>
        </w:rPr>
        <w:t xml:space="preserve"> n’est pas rattaché au pouvoir exécutif mais</w:t>
      </w:r>
      <w:r w:rsidR="005D4F1C">
        <w:rPr>
          <w:rFonts w:ascii="Bookman Old Style" w:hAnsi="Bookman Old Style"/>
          <w:sz w:val="28"/>
          <w:szCs w:val="28"/>
        </w:rPr>
        <w:t xml:space="preserve"> fait partie du pouvoir judiciaire.</w:t>
      </w:r>
    </w:p>
    <w:p w:rsidR="0060338B" w:rsidRDefault="0060338B" w:rsidP="00D407CF">
      <w:pPr>
        <w:jc w:val="both"/>
        <w:rPr>
          <w:rFonts w:ascii="Bookman Old Style" w:hAnsi="Bookman Old Style"/>
          <w:sz w:val="28"/>
          <w:szCs w:val="28"/>
        </w:rPr>
      </w:pPr>
      <w:r>
        <w:rPr>
          <w:rFonts w:ascii="Bookman Old Style" w:hAnsi="Bookman Old Style"/>
          <w:sz w:val="28"/>
          <w:szCs w:val="28"/>
        </w:rPr>
        <w:t>3-Le tribunal mili</w:t>
      </w:r>
      <w:r w:rsidR="00D16904">
        <w:rPr>
          <w:rFonts w:ascii="Bookman Old Style" w:hAnsi="Bookman Old Style"/>
          <w:sz w:val="28"/>
          <w:szCs w:val="28"/>
        </w:rPr>
        <w:t>t</w:t>
      </w:r>
      <w:r>
        <w:rPr>
          <w:rFonts w:ascii="Bookman Old Style" w:hAnsi="Bookman Old Style"/>
          <w:sz w:val="28"/>
          <w:szCs w:val="28"/>
        </w:rPr>
        <w:t xml:space="preserve">aire se compose de cinq membres  dont un </w:t>
      </w:r>
      <w:r w:rsidR="00672F20">
        <w:rPr>
          <w:rFonts w:ascii="Bookman Old Style" w:hAnsi="Bookman Old Style"/>
          <w:sz w:val="28"/>
          <w:szCs w:val="28"/>
        </w:rPr>
        <w:t>président,</w:t>
      </w:r>
      <w:r>
        <w:rPr>
          <w:rFonts w:ascii="Bookman Old Style" w:hAnsi="Bookman Old Style"/>
          <w:sz w:val="28"/>
          <w:szCs w:val="28"/>
        </w:rPr>
        <w:t xml:space="preserve"> magistrat militaire ou de l’ordre judiciaire, trois juges </w:t>
      </w:r>
      <w:r w:rsidR="00672F20">
        <w:rPr>
          <w:rFonts w:ascii="Bookman Old Style" w:hAnsi="Bookman Old Style"/>
          <w:sz w:val="28"/>
          <w:szCs w:val="28"/>
        </w:rPr>
        <w:t>mili</w:t>
      </w:r>
      <w:r w:rsidR="00D16904">
        <w:rPr>
          <w:rFonts w:ascii="Bookman Old Style" w:hAnsi="Bookman Old Style"/>
          <w:sz w:val="28"/>
          <w:szCs w:val="28"/>
        </w:rPr>
        <w:t>t</w:t>
      </w:r>
      <w:r w:rsidR="00672F20">
        <w:rPr>
          <w:rFonts w:ascii="Bookman Old Style" w:hAnsi="Bookman Old Style"/>
          <w:sz w:val="28"/>
          <w:szCs w:val="28"/>
        </w:rPr>
        <w:t>aires,</w:t>
      </w:r>
      <w:r>
        <w:rPr>
          <w:rFonts w:ascii="Bookman Old Style" w:hAnsi="Bookman Old Style"/>
          <w:sz w:val="28"/>
          <w:szCs w:val="28"/>
        </w:rPr>
        <w:t xml:space="preserve"> un juge, magistrat de l’ordre judiciaire. Un commissaire du </w:t>
      </w:r>
      <w:r w:rsidR="00672F20">
        <w:rPr>
          <w:rFonts w:ascii="Bookman Old Style" w:hAnsi="Bookman Old Style"/>
          <w:sz w:val="28"/>
          <w:szCs w:val="28"/>
        </w:rPr>
        <w:t>gouvernement,</w:t>
      </w:r>
      <w:r>
        <w:rPr>
          <w:rFonts w:ascii="Bookman Old Style" w:hAnsi="Bookman Old Style"/>
          <w:sz w:val="28"/>
          <w:szCs w:val="28"/>
        </w:rPr>
        <w:t xml:space="preserve"> un greffier et un sous-officier appariteur sont nommés près le tribunal.</w:t>
      </w:r>
    </w:p>
    <w:p w:rsidR="00672F20" w:rsidRDefault="0060338B" w:rsidP="00D407CF">
      <w:pPr>
        <w:jc w:val="both"/>
        <w:rPr>
          <w:rFonts w:ascii="Bookman Old Style" w:hAnsi="Bookman Old Style"/>
          <w:sz w:val="28"/>
          <w:szCs w:val="28"/>
        </w:rPr>
      </w:pPr>
      <w:r>
        <w:rPr>
          <w:rFonts w:ascii="Bookman Old Style" w:hAnsi="Bookman Old Style"/>
          <w:sz w:val="28"/>
          <w:szCs w:val="28"/>
        </w:rPr>
        <w:lastRenderedPageBreak/>
        <w:t>Les magistrats militaires reçoivent la même formation juridique  que le</w:t>
      </w:r>
      <w:r w:rsidR="00943853">
        <w:rPr>
          <w:rFonts w:ascii="Bookman Old Style" w:hAnsi="Bookman Old Style"/>
          <w:sz w:val="28"/>
          <w:szCs w:val="28"/>
        </w:rPr>
        <w:t>s</w:t>
      </w:r>
      <w:r>
        <w:rPr>
          <w:rFonts w:ascii="Bookman Old Style" w:hAnsi="Bookman Old Style"/>
          <w:sz w:val="28"/>
          <w:szCs w:val="28"/>
        </w:rPr>
        <w:t xml:space="preserve"> magistrat</w:t>
      </w:r>
      <w:r w:rsidR="00943853">
        <w:rPr>
          <w:rFonts w:ascii="Bookman Old Style" w:hAnsi="Bookman Old Style"/>
          <w:sz w:val="28"/>
          <w:szCs w:val="28"/>
        </w:rPr>
        <w:t>s</w:t>
      </w:r>
      <w:r>
        <w:rPr>
          <w:rFonts w:ascii="Bookman Old Style" w:hAnsi="Bookman Old Style"/>
          <w:sz w:val="28"/>
          <w:szCs w:val="28"/>
        </w:rPr>
        <w:t xml:space="preserve"> de </w:t>
      </w:r>
      <w:r w:rsidR="00672F20">
        <w:rPr>
          <w:rFonts w:ascii="Bookman Old Style" w:hAnsi="Bookman Old Style"/>
          <w:sz w:val="28"/>
          <w:szCs w:val="28"/>
        </w:rPr>
        <w:t>l’ordre judiciaire civil. Ils sont donc titulaires de la maîtrise en droit et du diplôme professionnel de magistrat.</w:t>
      </w:r>
    </w:p>
    <w:p w:rsidR="00672F20" w:rsidRDefault="00672F20" w:rsidP="00D407CF">
      <w:pPr>
        <w:jc w:val="both"/>
        <w:rPr>
          <w:rFonts w:ascii="Bookman Old Style" w:hAnsi="Bookman Old Style"/>
          <w:sz w:val="28"/>
          <w:szCs w:val="28"/>
        </w:rPr>
      </w:pPr>
      <w:r>
        <w:rPr>
          <w:rFonts w:ascii="Bookman Old Style" w:hAnsi="Bookman Old Style"/>
          <w:sz w:val="28"/>
          <w:szCs w:val="28"/>
        </w:rPr>
        <w:t xml:space="preserve">La défense devant les tribunaux militaires est assurée par les avocats civils </w:t>
      </w:r>
      <w:r w:rsidR="00B765BF">
        <w:rPr>
          <w:rFonts w:ascii="Bookman Old Style" w:hAnsi="Bookman Old Style"/>
          <w:sz w:val="28"/>
          <w:szCs w:val="28"/>
        </w:rPr>
        <w:t xml:space="preserve">inscrits </w:t>
      </w:r>
      <w:r>
        <w:rPr>
          <w:rFonts w:ascii="Bookman Old Style" w:hAnsi="Bookman Old Style"/>
          <w:sz w:val="28"/>
          <w:szCs w:val="28"/>
        </w:rPr>
        <w:t>au barreau ou admis en stage, ou par les officiers ou sous-officiers militaires agrées par le ministère de la défense.</w:t>
      </w:r>
    </w:p>
    <w:p w:rsidR="00672F20" w:rsidRDefault="00672F20" w:rsidP="00D407CF">
      <w:pPr>
        <w:jc w:val="both"/>
        <w:rPr>
          <w:rFonts w:ascii="Bookman Old Style" w:hAnsi="Bookman Old Style"/>
          <w:sz w:val="28"/>
          <w:szCs w:val="28"/>
        </w:rPr>
      </w:pPr>
      <w:r>
        <w:rPr>
          <w:rFonts w:ascii="Bookman Old Style" w:hAnsi="Bookman Old Style"/>
          <w:sz w:val="28"/>
          <w:szCs w:val="28"/>
        </w:rPr>
        <w:t>4-</w:t>
      </w:r>
      <w:r w:rsidR="00073C0C">
        <w:rPr>
          <w:rFonts w:ascii="Bookman Old Style" w:hAnsi="Bookman Old Style"/>
          <w:sz w:val="28"/>
          <w:szCs w:val="28"/>
        </w:rPr>
        <w:t xml:space="preserve">Outre les militaires, sont également justiciables des tribunaux militaires, ceux qui, sans </w:t>
      </w:r>
      <w:r w:rsidR="00932642">
        <w:rPr>
          <w:rFonts w:ascii="Bookman Old Style" w:hAnsi="Bookman Old Style"/>
          <w:sz w:val="28"/>
          <w:szCs w:val="28"/>
        </w:rPr>
        <w:t>être</w:t>
      </w:r>
      <w:r w:rsidR="00073C0C">
        <w:rPr>
          <w:rFonts w:ascii="Bookman Old Style" w:hAnsi="Bookman Old Style"/>
          <w:sz w:val="28"/>
          <w:szCs w:val="28"/>
        </w:rPr>
        <w:t xml:space="preserve"> liés légalement ou contractuellement aux forces armées, sont portés sur les </w:t>
      </w:r>
      <w:r w:rsidR="00932642">
        <w:rPr>
          <w:rFonts w:ascii="Bookman Old Style" w:hAnsi="Bookman Old Style"/>
          <w:sz w:val="28"/>
          <w:szCs w:val="28"/>
        </w:rPr>
        <w:t>contrôles</w:t>
      </w:r>
      <w:r w:rsidR="00943853">
        <w:rPr>
          <w:rFonts w:ascii="Bookman Old Style" w:hAnsi="Bookman Old Style"/>
          <w:sz w:val="28"/>
          <w:szCs w:val="28"/>
        </w:rPr>
        <w:t xml:space="preserve"> et accomplissent du service</w:t>
      </w:r>
      <w:r w:rsidR="00073C0C">
        <w:rPr>
          <w:rFonts w:ascii="Bookman Old Style" w:hAnsi="Bookman Old Style"/>
          <w:sz w:val="28"/>
          <w:szCs w:val="28"/>
        </w:rPr>
        <w:t xml:space="preserve">; les personnels civils employés dans les services et établissements militaires et les exclus des forces armées qui n’ont pas </w:t>
      </w:r>
      <w:r w:rsidR="00D16904">
        <w:rPr>
          <w:rFonts w:ascii="Bookman Old Style" w:hAnsi="Bookman Old Style"/>
          <w:sz w:val="28"/>
          <w:szCs w:val="28"/>
        </w:rPr>
        <w:t>encore rejoint</w:t>
      </w:r>
      <w:r w:rsidR="00073C0C">
        <w:rPr>
          <w:rFonts w:ascii="Bookman Old Style" w:hAnsi="Bookman Old Style"/>
          <w:sz w:val="28"/>
          <w:szCs w:val="28"/>
        </w:rPr>
        <w:t xml:space="preserve"> leurs foyers ai</w:t>
      </w:r>
      <w:r w:rsidR="00932642">
        <w:rPr>
          <w:rFonts w:ascii="Bookman Old Style" w:hAnsi="Bookman Old Style"/>
          <w:sz w:val="28"/>
          <w:szCs w:val="28"/>
        </w:rPr>
        <w:t xml:space="preserve">nsi que les civils </w:t>
      </w:r>
      <w:r w:rsidR="00073C0C">
        <w:rPr>
          <w:rFonts w:ascii="Bookman Old Style" w:hAnsi="Bookman Old Style"/>
          <w:sz w:val="28"/>
          <w:szCs w:val="28"/>
        </w:rPr>
        <w:t xml:space="preserve"> </w:t>
      </w:r>
      <w:r w:rsidR="00932642">
        <w:rPr>
          <w:rFonts w:ascii="Bookman Old Style" w:hAnsi="Bookman Old Style"/>
          <w:sz w:val="28"/>
          <w:szCs w:val="28"/>
        </w:rPr>
        <w:t>complices ou co-auteurs d’infractions relevant de la compétence des juridictions militaires.</w:t>
      </w:r>
    </w:p>
    <w:p w:rsidR="00932642" w:rsidRDefault="00932642" w:rsidP="00D407CF">
      <w:pPr>
        <w:jc w:val="both"/>
        <w:rPr>
          <w:rFonts w:ascii="Bookman Old Style" w:hAnsi="Bookman Old Style"/>
          <w:sz w:val="28"/>
          <w:szCs w:val="28"/>
        </w:rPr>
      </w:pPr>
      <w:r>
        <w:rPr>
          <w:rFonts w:ascii="Bookman Old Style" w:hAnsi="Bookman Old Style"/>
          <w:sz w:val="28"/>
          <w:szCs w:val="28"/>
        </w:rPr>
        <w:t>5-Le tribunal militaire juge les civils conformément aux</w:t>
      </w:r>
      <w:r w:rsidR="00D16904">
        <w:rPr>
          <w:rFonts w:ascii="Bookman Old Style" w:hAnsi="Bookman Old Style"/>
          <w:sz w:val="28"/>
          <w:szCs w:val="28"/>
        </w:rPr>
        <w:t xml:space="preserve"> conventions de Genève du 12 aoû</w:t>
      </w:r>
      <w:r>
        <w:rPr>
          <w:rFonts w:ascii="Bookman Old Style" w:hAnsi="Bookman Old Style"/>
          <w:sz w:val="28"/>
          <w:szCs w:val="28"/>
        </w:rPr>
        <w:t>t 1949</w:t>
      </w:r>
      <w:r w:rsidR="00FB01BD">
        <w:rPr>
          <w:rFonts w:ascii="Bookman Old Style" w:hAnsi="Bookman Old Style"/>
          <w:sz w:val="28"/>
          <w:szCs w:val="28"/>
        </w:rPr>
        <w:t xml:space="preserve"> pour l’amélioration du sort des blessés et des malades dans les forces armées en campagne, pour l’amélioration du sort des blessés et des malades et des forces armées sur mer, relative au traitement des prisonniers de guerre et relative à la protection des personnes civiles en temps de guerre.</w:t>
      </w:r>
    </w:p>
    <w:p w:rsidR="00FB01BD" w:rsidRDefault="00FB01BD" w:rsidP="00D407CF">
      <w:pPr>
        <w:jc w:val="both"/>
        <w:rPr>
          <w:rFonts w:ascii="Bookman Old Style" w:hAnsi="Bookman Old Style"/>
          <w:sz w:val="28"/>
          <w:szCs w:val="28"/>
        </w:rPr>
      </w:pPr>
      <w:r>
        <w:rPr>
          <w:rFonts w:ascii="Bookman Old Style" w:hAnsi="Bookman Old Style"/>
          <w:sz w:val="28"/>
          <w:szCs w:val="28"/>
        </w:rPr>
        <w:t>Les règles de procédures et de compétence diffèrent selon le temps de paix et le temps de guerre.</w:t>
      </w:r>
    </w:p>
    <w:p w:rsidR="00FB01BD" w:rsidRDefault="00FB01BD" w:rsidP="00D407CF">
      <w:pPr>
        <w:jc w:val="both"/>
        <w:rPr>
          <w:rFonts w:ascii="Bookman Old Style" w:hAnsi="Bookman Old Style"/>
          <w:sz w:val="28"/>
          <w:szCs w:val="28"/>
        </w:rPr>
      </w:pPr>
      <w:r>
        <w:rPr>
          <w:rFonts w:ascii="Bookman Old Style" w:hAnsi="Bookman Old Style"/>
          <w:sz w:val="28"/>
          <w:szCs w:val="28"/>
        </w:rPr>
        <w:t xml:space="preserve">6-Le tribunal militaire est compétent pour </w:t>
      </w:r>
      <w:r w:rsidR="00E05F5E">
        <w:rPr>
          <w:rFonts w:ascii="Bookman Old Style" w:hAnsi="Bookman Old Style"/>
          <w:sz w:val="28"/>
          <w:szCs w:val="28"/>
        </w:rPr>
        <w:t>connaitre de tout crime défini</w:t>
      </w:r>
      <w:r>
        <w:rPr>
          <w:rFonts w:ascii="Bookman Old Style" w:hAnsi="Bookman Old Style"/>
          <w:sz w:val="28"/>
          <w:szCs w:val="28"/>
        </w:rPr>
        <w:t xml:space="preserve"> dans le code de justice militaire</w:t>
      </w:r>
      <w:r w:rsidR="009E73C1">
        <w:rPr>
          <w:rFonts w:ascii="Bookman Old Style" w:hAnsi="Bookman Old Style"/>
          <w:sz w:val="28"/>
          <w:szCs w:val="28"/>
        </w:rPr>
        <w:t xml:space="preserve"> commis</w:t>
      </w:r>
      <w:r w:rsidR="00E05F5E">
        <w:rPr>
          <w:rFonts w:ascii="Bookman Old Style" w:hAnsi="Bookman Old Style"/>
          <w:sz w:val="28"/>
          <w:szCs w:val="28"/>
        </w:rPr>
        <w:t xml:space="preserve"> par un militaire ou assimilé</w:t>
      </w:r>
      <w:r>
        <w:rPr>
          <w:rFonts w:ascii="Bookman Old Style" w:hAnsi="Bookman Old Style"/>
          <w:sz w:val="28"/>
          <w:szCs w:val="28"/>
        </w:rPr>
        <w:t>. En outre, il peut</w:t>
      </w:r>
      <w:r w:rsidR="00E05F5E">
        <w:rPr>
          <w:rFonts w:ascii="Bookman Old Style" w:hAnsi="Bookman Old Style"/>
          <w:sz w:val="28"/>
          <w:szCs w:val="28"/>
        </w:rPr>
        <w:t xml:space="preserve"> connaitre de tout crime défini</w:t>
      </w:r>
      <w:r>
        <w:rPr>
          <w:rFonts w:ascii="Bookman Old Style" w:hAnsi="Bookman Old Style"/>
          <w:sz w:val="28"/>
          <w:szCs w:val="28"/>
        </w:rPr>
        <w:t xml:space="preserve"> dans le code pénal</w:t>
      </w:r>
      <w:r w:rsidR="00E05F5E">
        <w:rPr>
          <w:rFonts w:ascii="Bookman Old Style" w:hAnsi="Bookman Old Style"/>
          <w:sz w:val="28"/>
          <w:szCs w:val="28"/>
        </w:rPr>
        <w:t xml:space="preserve"> commis par un mili</w:t>
      </w:r>
      <w:r w:rsidR="00943853">
        <w:rPr>
          <w:rFonts w:ascii="Bookman Old Style" w:hAnsi="Bookman Old Style"/>
          <w:sz w:val="28"/>
          <w:szCs w:val="28"/>
        </w:rPr>
        <w:t>t</w:t>
      </w:r>
      <w:r w:rsidR="00E05F5E">
        <w:rPr>
          <w:rFonts w:ascii="Bookman Old Style" w:hAnsi="Bookman Old Style"/>
          <w:sz w:val="28"/>
          <w:szCs w:val="28"/>
        </w:rPr>
        <w:t>aire ou assimilé</w:t>
      </w:r>
      <w:r>
        <w:rPr>
          <w:rFonts w:ascii="Bookman Old Style" w:hAnsi="Bookman Old Style"/>
          <w:sz w:val="28"/>
          <w:szCs w:val="28"/>
        </w:rPr>
        <w:t xml:space="preserve"> </w:t>
      </w:r>
      <w:r w:rsidR="00E05F5E">
        <w:rPr>
          <w:rFonts w:ascii="Bookman Old Style" w:hAnsi="Bookman Old Style"/>
          <w:sz w:val="28"/>
          <w:szCs w:val="28"/>
        </w:rPr>
        <w:t>lorsque l’infraction commise constitue un manquement à la probité, aux bonnes mœurs, à l’honneur ou à la discipline et pouvant nuire au bon renom des forces armées ou susceptibles de troubler l’ordre public.</w:t>
      </w:r>
    </w:p>
    <w:p w:rsidR="00E05F5E" w:rsidRDefault="00C676A9" w:rsidP="00D407CF">
      <w:pPr>
        <w:jc w:val="both"/>
        <w:rPr>
          <w:rFonts w:ascii="Bookman Old Style" w:hAnsi="Bookman Old Style"/>
          <w:sz w:val="28"/>
          <w:szCs w:val="28"/>
        </w:rPr>
      </w:pPr>
      <w:r>
        <w:rPr>
          <w:rFonts w:ascii="Bookman Old Style" w:hAnsi="Bookman Old Style"/>
          <w:sz w:val="28"/>
          <w:szCs w:val="28"/>
        </w:rPr>
        <w:lastRenderedPageBreak/>
        <w:t>7-Le tribunal militaire est compétent pour connaitre d’un crime ayant causé préjudice à une victime civile.</w:t>
      </w:r>
    </w:p>
    <w:p w:rsidR="005D4F1C" w:rsidRPr="005D4F1C" w:rsidRDefault="005D4F1C" w:rsidP="00D407CF">
      <w:pPr>
        <w:jc w:val="both"/>
        <w:rPr>
          <w:rFonts w:ascii="Bookman Old Style" w:hAnsi="Bookman Old Style"/>
          <w:b/>
          <w:sz w:val="28"/>
          <w:szCs w:val="28"/>
        </w:rPr>
      </w:pPr>
      <w:r w:rsidRPr="005D4F1C">
        <w:rPr>
          <w:rFonts w:ascii="Bookman Old Style" w:hAnsi="Bookman Old Style"/>
          <w:b/>
          <w:sz w:val="28"/>
          <w:szCs w:val="28"/>
        </w:rPr>
        <w:t>L’indépendance des procédures de justice militaire et le respect des garanties des droits de l’homme contenues dans le Pacte international relatif aux droits civils et politiques.</w:t>
      </w:r>
    </w:p>
    <w:p w:rsidR="00C676A9" w:rsidRDefault="009E73C1" w:rsidP="00D407CF">
      <w:pPr>
        <w:jc w:val="both"/>
        <w:rPr>
          <w:rFonts w:ascii="Bookman Old Style" w:hAnsi="Bookman Old Style"/>
          <w:sz w:val="28"/>
          <w:szCs w:val="28"/>
        </w:rPr>
      </w:pPr>
      <w:r>
        <w:rPr>
          <w:rFonts w:ascii="Bookman Old Style" w:hAnsi="Bookman Old Style"/>
          <w:sz w:val="28"/>
          <w:szCs w:val="28"/>
        </w:rPr>
        <w:t xml:space="preserve">8-Les règles relatives </w:t>
      </w:r>
      <w:r w:rsidR="00C676A9">
        <w:rPr>
          <w:rFonts w:ascii="Bookman Old Style" w:hAnsi="Bookman Old Style"/>
          <w:sz w:val="28"/>
          <w:szCs w:val="28"/>
        </w:rPr>
        <w:t xml:space="preserve"> à l’indépendance du pouvoir judiciaire sont applicables aux juridictions militaires. En outre, en vue de garantir l’indépendance des juridictions mili</w:t>
      </w:r>
      <w:r w:rsidR="00D16904">
        <w:rPr>
          <w:rFonts w:ascii="Bookman Old Style" w:hAnsi="Bookman Old Style"/>
          <w:sz w:val="28"/>
          <w:szCs w:val="28"/>
        </w:rPr>
        <w:t>t</w:t>
      </w:r>
      <w:r w:rsidR="00C676A9">
        <w:rPr>
          <w:rFonts w:ascii="Bookman Old Style" w:hAnsi="Bookman Old Style"/>
          <w:sz w:val="28"/>
          <w:szCs w:val="28"/>
        </w:rPr>
        <w:t>aires, il a été voté la loi 013/</w:t>
      </w:r>
      <w:r w:rsidR="00287F3F">
        <w:rPr>
          <w:rFonts w:ascii="Bookman Old Style" w:hAnsi="Bookman Old Style"/>
          <w:sz w:val="28"/>
          <w:szCs w:val="28"/>
        </w:rPr>
        <w:t>AN du 07 avril 199</w:t>
      </w:r>
      <w:r w:rsidR="00D16904">
        <w:rPr>
          <w:rFonts w:ascii="Bookman Old Style" w:hAnsi="Bookman Old Style"/>
          <w:sz w:val="28"/>
          <w:szCs w:val="28"/>
        </w:rPr>
        <w:t>9</w:t>
      </w:r>
      <w:r w:rsidR="00287F3F">
        <w:rPr>
          <w:rFonts w:ascii="Bookman Old Style" w:hAnsi="Bookman Old Style"/>
          <w:sz w:val="28"/>
          <w:szCs w:val="28"/>
        </w:rPr>
        <w:t xml:space="preserve"> </w:t>
      </w:r>
      <w:r w:rsidR="00B765BF">
        <w:rPr>
          <w:rFonts w:ascii="Bookman Old Style" w:hAnsi="Bookman Old Style"/>
          <w:sz w:val="28"/>
          <w:szCs w:val="28"/>
        </w:rPr>
        <w:t>portant</w:t>
      </w:r>
      <w:r w:rsidR="00943853">
        <w:rPr>
          <w:rFonts w:ascii="Bookman Old Style" w:hAnsi="Bookman Old Style"/>
          <w:sz w:val="28"/>
          <w:szCs w:val="28"/>
        </w:rPr>
        <w:t xml:space="preserve"> </w:t>
      </w:r>
      <w:r w:rsidR="00287F3F">
        <w:rPr>
          <w:rFonts w:ascii="Bookman Old Style" w:hAnsi="Bookman Old Style"/>
          <w:sz w:val="28"/>
          <w:szCs w:val="28"/>
        </w:rPr>
        <w:t>statut des personnels de la justi</w:t>
      </w:r>
      <w:r w:rsidR="00B765BF">
        <w:rPr>
          <w:rFonts w:ascii="Bookman Old Style" w:hAnsi="Bookman Old Style"/>
          <w:sz w:val="28"/>
          <w:szCs w:val="28"/>
        </w:rPr>
        <w:t>ce mili</w:t>
      </w:r>
      <w:r w:rsidR="00D16904">
        <w:rPr>
          <w:rFonts w:ascii="Bookman Old Style" w:hAnsi="Bookman Old Style"/>
          <w:sz w:val="28"/>
          <w:szCs w:val="28"/>
        </w:rPr>
        <w:t>t</w:t>
      </w:r>
      <w:r w:rsidR="00B765BF">
        <w:rPr>
          <w:rFonts w:ascii="Bookman Old Style" w:hAnsi="Bookman Old Style"/>
          <w:sz w:val="28"/>
          <w:szCs w:val="28"/>
        </w:rPr>
        <w:t xml:space="preserve">aire. Cette loi énonce que </w:t>
      </w:r>
      <w:r w:rsidR="00287F3F">
        <w:rPr>
          <w:rFonts w:ascii="Bookman Old Style" w:hAnsi="Bookman Old Style"/>
          <w:sz w:val="28"/>
          <w:szCs w:val="28"/>
        </w:rPr>
        <w:t>les magistrats militaires sont indépendants. Aucun compte ne peut être demandé aux juges des décisions qu’ils renden</w:t>
      </w:r>
      <w:r w:rsidR="00B765BF">
        <w:rPr>
          <w:rFonts w:ascii="Bookman Old Style" w:hAnsi="Bookman Old Style"/>
          <w:sz w:val="28"/>
          <w:szCs w:val="28"/>
        </w:rPr>
        <w:t>t ou auxquelles ils participent</w:t>
      </w:r>
      <w:r w:rsidR="00287F3F">
        <w:rPr>
          <w:rFonts w:ascii="Bookman Old Style" w:hAnsi="Bookman Old Style"/>
          <w:sz w:val="28"/>
          <w:szCs w:val="28"/>
        </w:rPr>
        <w:t>.</w:t>
      </w:r>
    </w:p>
    <w:p w:rsidR="00516F7F" w:rsidRDefault="00516F7F" w:rsidP="00D407CF">
      <w:pPr>
        <w:jc w:val="both"/>
        <w:rPr>
          <w:rFonts w:ascii="Bookman Old Style" w:hAnsi="Bookman Old Style"/>
          <w:sz w:val="28"/>
          <w:szCs w:val="28"/>
        </w:rPr>
      </w:pPr>
      <w:r>
        <w:rPr>
          <w:rFonts w:ascii="Bookman Old Style" w:hAnsi="Bookman Old Style"/>
          <w:sz w:val="28"/>
          <w:szCs w:val="28"/>
        </w:rPr>
        <w:t>Les magistrats militaires sont recrutés par voie de concours parmi les capitaines titulaires de la maitrise en droit ou de tout autre diplôme reconnu équivalent, le cas échéant parmi les Anciens Enfants de Troupes titulaires du Baccalauréat et ayant obtenu la maitrise en droit. Ils sont nommés après leur formation de magistrat par décret pris en conseil des ministres.</w:t>
      </w:r>
    </w:p>
    <w:p w:rsidR="00516F7F" w:rsidRDefault="00516F7F" w:rsidP="00D407CF">
      <w:pPr>
        <w:jc w:val="both"/>
        <w:rPr>
          <w:rFonts w:ascii="Bookman Old Style" w:hAnsi="Bookman Old Style"/>
          <w:sz w:val="28"/>
          <w:szCs w:val="28"/>
        </w:rPr>
      </w:pPr>
      <w:r>
        <w:rPr>
          <w:rFonts w:ascii="Bookman Old Style" w:hAnsi="Bookman Old Style"/>
          <w:sz w:val="28"/>
          <w:szCs w:val="28"/>
        </w:rPr>
        <w:t>Les magistrats militaires du siège sont inamovibles</w:t>
      </w:r>
      <w:r w:rsidR="00E07DD2">
        <w:rPr>
          <w:rFonts w:ascii="Bookman Old Style" w:hAnsi="Bookman Old Style"/>
          <w:sz w:val="28"/>
          <w:szCs w:val="28"/>
        </w:rPr>
        <w:t>.</w:t>
      </w:r>
      <w:r>
        <w:rPr>
          <w:rFonts w:ascii="Bookman Old Style" w:hAnsi="Bookman Old Style"/>
          <w:sz w:val="28"/>
          <w:szCs w:val="28"/>
        </w:rPr>
        <w:t xml:space="preserve"> </w:t>
      </w:r>
    </w:p>
    <w:p w:rsidR="00287F3F" w:rsidRDefault="00B765BF" w:rsidP="00D407CF">
      <w:pPr>
        <w:jc w:val="both"/>
        <w:rPr>
          <w:rFonts w:ascii="Bookman Old Style" w:hAnsi="Bookman Old Style"/>
          <w:sz w:val="28"/>
          <w:szCs w:val="28"/>
        </w:rPr>
      </w:pPr>
      <w:r>
        <w:rPr>
          <w:rFonts w:ascii="Bookman Old Style" w:hAnsi="Bookman Old Style"/>
          <w:sz w:val="28"/>
          <w:szCs w:val="28"/>
        </w:rPr>
        <w:t>Suivant le statut suscité</w:t>
      </w:r>
      <w:r w:rsidR="00287F3F">
        <w:rPr>
          <w:rFonts w:ascii="Bookman Old Style" w:hAnsi="Bookman Old Style"/>
          <w:sz w:val="28"/>
          <w:szCs w:val="28"/>
        </w:rPr>
        <w:t>, l’avancement des magistrats militaires au grade immédiatement supérieur  a lieu au choix, ou à titre exceptionnel après inscription au tableau d’avancement, les travaux d’avancement devant être assurés par une commission et non uniquement par la hiérarchie militaire.</w:t>
      </w:r>
    </w:p>
    <w:p w:rsidR="00340B27" w:rsidRDefault="00340B27" w:rsidP="00D407CF">
      <w:pPr>
        <w:jc w:val="both"/>
        <w:rPr>
          <w:rFonts w:ascii="Bookman Old Style" w:hAnsi="Bookman Old Style"/>
          <w:sz w:val="28"/>
          <w:szCs w:val="28"/>
        </w:rPr>
      </w:pPr>
      <w:r>
        <w:rPr>
          <w:rFonts w:ascii="Bookman Old Style" w:hAnsi="Bookman Old Style"/>
          <w:sz w:val="28"/>
          <w:szCs w:val="28"/>
        </w:rPr>
        <w:t xml:space="preserve">Leurs responsabilités professionnelles </w:t>
      </w:r>
      <w:r w:rsidR="00B765BF">
        <w:rPr>
          <w:rFonts w:ascii="Bookman Old Style" w:hAnsi="Bookman Old Style"/>
          <w:sz w:val="28"/>
          <w:szCs w:val="28"/>
        </w:rPr>
        <w:t>peuvent</w:t>
      </w:r>
      <w:r>
        <w:rPr>
          <w:rFonts w:ascii="Bookman Old Style" w:hAnsi="Bookman Old Style"/>
          <w:sz w:val="28"/>
          <w:szCs w:val="28"/>
        </w:rPr>
        <w:t xml:space="preserve"> être </w:t>
      </w:r>
      <w:r w:rsidR="00B765BF">
        <w:rPr>
          <w:rFonts w:ascii="Bookman Old Style" w:hAnsi="Bookman Old Style"/>
          <w:sz w:val="28"/>
          <w:szCs w:val="28"/>
        </w:rPr>
        <w:t>engagées</w:t>
      </w:r>
      <w:r>
        <w:rPr>
          <w:rFonts w:ascii="Bookman Old Style" w:hAnsi="Bookman Old Style"/>
          <w:sz w:val="28"/>
          <w:szCs w:val="28"/>
        </w:rPr>
        <w:t xml:space="preserve"> en cas de faute</w:t>
      </w:r>
      <w:r w:rsidR="00B765BF">
        <w:rPr>
          <w:rFonts w:ascii="Bookman Old Style" w:hAnsi="Bookman Old Style"/>
          <w:sz w:val="28"/>
          <w:szCs w:val="28"/>
        </w:rPr>
        <w:t>. Ce faisant</w:t>
      </w:r>
      <w:r>
        <w:rPr>
          <w:rFonts w:ascii="Bookman Old Style" w:hAnsi="Bookman Old Style"/>
          <w:sz w:val="28"/>
          <w:szCs w:val="28"/>
        </w:rPr>
        <w:t>, ils peuvent encourir des sanctions disciplinaires.</w:t>
      </w:r>
    </w:p>
    <w:p w:rsidR="00BA73C6" w:rsidRDefault="00BA73C6" w:rsidP="00D407CF">
      <w:pPr>
        <w:jc w:val="both"/>
        <w:rPr>
          <w:rFonts w:ascii="Bookman Old Style" w:hAnsi="Bookman Old Style"/>
          <w:sz w:val="28"/>
          <w:szCs w:val="28"/>
        </w:rPr>
      </w:pPr>
      <w:r>
        <w:rPr>
          <w:rFonts w:ascii="Bookman Old Style" w:hAnsi="Bookman Old Style"/>
          <w:sz w:val="28"/>
          <w:szCs w:val="28"/>
        </w:rPr>
        <w:t>Par ailleurs, les magistrats mili</w:t>
      </w:r>
      <w:r w:rsidR="00E07DD2">
        <w:rPr>
          <w:rFonts w:ascii="Bookman Old Style" w:hAnsi="Bookman Old Style"/>
          <w:sz w:val="28"/>
          <w:szCs w:val="28"/>
        </w:rPr>
        <w:t>t</w:t>
      </w:r>
      <w:r>
        <w:rPr>
          <w:rFonts w:ascii="Bookman Old Style" w:hAnsi="Bookman Old Style"/>
          <w:sz w:val="28"/>
          <w:szCs w:val="28"/>
        </w:rPr>
        <w:t>aires bénéficient de  toutes les indemnités perçues par  les magistrats civils et du traitement des mili</w:t>
      </w:r>
      <w:r w:rsidR="00E07DD2">
        <w:rPr>
          <w:rFonts w:ascii="Bookman Old Style" w:hAnsi="Bookman Old Style"/>
          <w:sz w:val="28"/>
          <w:szCs w:val="28"/>
        </w:rPr>
        <w:t>t</w:t>
      </w:r>
      <w:r>
        <w:rPr>
          <w:rFonts w:ascii="Bookman Old Style" w:hAnsi="Bookman Old Style"/>
          <w:sz w:val="28"/>
          <w:szCs w:val="28"/>
        </w:rPr>
        <w:t>aires de leurs rangs.</w:t>
      </w:r>
    </w:p>
    <w:p w:rsidR="00340B27" w:rsidRDefault="00340B27" w:rsidP="00D407CF">
      <w:pPr>
        <w:jc w:val="both"/>
        <w:rPr>
          <w:rFonts w:ascii="Bookman Old Style" w:hAnsi="Bookman Old Style"/>
          <w:sz w:val="28"/>
          <w:szCs w:val="28"/>
        </w:rPr>
      </w:pPr>
      <w:r>
        <w:rPr>
          <w:rFonts w:ascii="Bookman Old Style" w:hAnsi="Bookman Old Style"/>
          <w:sz w:val="28"/>
          <w:szCs w:val="28"/>
        </w:rPr>
        <w:t xml:space="preserve">9-L’action publique est mise en mouvement devant le tribunal militaire par le commissaire du gouvernement sur ordre de </w:t>
      </w:r>
      <w:r>
        <w:rPr>
          <w:rFonts w:ascii="Bookman Old Style" w:hAnsi="Bookman Old Style"/>
          <w:sz w:val="28"/>
          <w:szCs w:val="28"/>
        </w:rPr>
        <w:lastRenderedPageBreak/>
        <w:t>poursuite à lui adressé par le ministre de la défense. Il s’ensuit donc que le commissaire du gouvernement n’a pas l’opportunité des poursuites. Celui-ci exécute les instructions de ses supérieurs hiérarchiques</w:t>
      </w:r>
      <w:r w:rsidR="00E07DD2">
        <w:rPr>
          <w:rFonts w:ascii="Bookman Old Style" w:hAnsi="Bookman Old Style"/>
          <w:sz w:val="28"/>
          <w:szCs w:val="28"/>
        </w:rPr>
        <w:t>.</w:t>
      </w:r>
      <w:r w:rsidR="008F370F">
        <w:rPr>
          <w:rFonts w:ascii="Bookman Old Style" w:hAnsi="Bookman Old Style"/>
          <w:sz w:val="28"/>
          <w:szCs w:val="28"/>
        </w:rPr>
        <w:t xml:space="preserve"> </w:t>
      </w:r>
    </w:p>
    <w:p w:rsidR="00340B27" w:rsidRDefault="00340B27" w:rsidP="00D407CF">
      <w:pPr>
        <w:jc w:val="both"/>
        <w:rPr>
          <w:rFonts w:ascii="Bookman Old Style" w:hAnsi="Bookman Old Style"/>
          <w:sz w:val="28"/>
          <w:szCs w:val="28"/>
        </w:rPr>
      </w:pPr>
      <w:r>
        <w:rPr>
          <w:rFonts w:ascii="Bookman Old Style" w:hAnsi="Bookman Old Style"/>
          <w:sz w:val="28"/>
          <w:szCs w:val="28"/>
        </w:rPr>
        <w:t>10-Toute personne</w:t>
      </w:r>
      <w:r w:rsidR="00DA2382">
        <w:rPr>
          <w:rFonts w:ascii="Bookman Old Style" w:hAnsi="Bookman Old Style"/>
          <w:sz w:val="28"/>
          <w:szCs w:val="28"/>
        </w:rPr>
        <w:t xml:space="preserve"> accusée peut être assistée par un avocat civil. L’accusé ne peut être assisté par son avocat que pendant la phase de jugement ou pendant les interrogatoires au fond du juge d’instruction. Il peut à toute étape de la procédure invoquer le droit de garder le silence.</w:t>
      </w:r>
    </w:p>
    <w:p w:rsidR="00987AFD" w:rsidRDefault="00987AFD" w:rsidP="00D407CF">
      <w:pPr>
        <w:jc w:val="both"/>
        <w:rPr>
          <w:rFonts w:ascii="Bookman Old Style" w:hAnsi="Bookman Old Style"/>
          <w:sz w:val="28"/>
          <w:szCs w:val="28"/>
        </w:rPr>
      </w:pPr>
      <w:r>
        <w:rPr>
          <w:rFonts w:ascii="Bookman Old Style" w:hAnsi="Bookman Old Style"/>
          <w:sz w:val="28"/>
          <w:szCs w:val="28"/>
        </w:rPr>
        <w:t>11-Les actes et procès-</w:t>
      </w:r>
      <w:r w:rsidR="00DA2382">
        <w:rPr>
          <w:rFonts w:ascii="Bookman Old Style" w:hAnsi="Bookman Old Style"/>
          <w:sz w:val="28"/>
          <w:szCs w:val="28"/>
        </w:rPr>
        <w:t>verbaux dressés par les officiers de police judiciaire militaires sont reçus par le commissaire du gouvernement qui les transmet sans délai, avec les pièces</w:t>
      </w:r>
      <w:r>
        <w:rPr>
          <w:rFonts w:ascii="Bookman Old Style" w:hAnsi="Bookman Old Style"/>
          <w:sz w:val="28"/>
          <w:szCs w:val="28"/>
        </w:rPr>
        <w:t xml:space="preserve"> et documents au ministre chargé de la défense qui apprécie de l’opportunité des poursuites. Il en résulte que tous les actes de police judic</w:t>
      </w:r>
      <w:r w:rsidR="008F370F">
        <w:rPr>
          <w:rFonts w:ascii="Bookman Old Style" w:hAnsi="Bookman Old Style"/>
          <w:sz w:val="28"/>
          <w:szCs w:val="28"/>
        </w:rPr>
        <w:t>i</w:t>
      </w:r>
      <w:r>
        <w:rPr>
          <w:rFonts w:ascii="Bookman Old Style" w:hAnsi="Bookman Old Style"/>
          <w:sz w:val="28"/>
          <w:szCs w:val="28"/>
        </w:rPr>
        <w:t>aire sont transmis à la hiérarchie militaire en l’occurrence le ministre de la défense qui apprécie l’opportunité de mettre en mouvement l’action publique.</w:t>
      </w:r>
    </w:p>
    <w:p w:rsidR="00987AFD" w:rsidRDefault="00987AFD" w:rsidP="00D407CF">
      <w:pPr>
        <w:jc w:val="both"/>
        <w:rPr>
          <w:rFonts w:ascii="Bookman Old Style" w:hAnsi="Bookman Old Style"/>
          <w:sz w:val="28"/>
          <w:szCs w:val="28"/>
        </w:rPr>
      </w:pPr>
      <w:r>
        <w:rPr>
          <w:rFonts w:ascii="Bookman Old Style" w:hAnsi="Bookman Old Style"/>
          <w:sz w:val="28"/>
          <w:szCs w:val="28"/>
        </w:rPr>
        <w:t>12-Les juridictions militair</w:t>
      </w:r>
      <w:r w:rsidR="001342F6">
        <w:rPr>
          <w:rFonts w:ascii="Bookman Old Style" w:hAnsi="Bookman Old Style"/>
          <w:sz w:val="28"/>
          <w:szCs w:val="28"/>
        </w:rPr>
        <w:t>es appliquent le droit positif  b</w:t>
      </w:r>
      <w:r>
        <w:rPr>
          <w:rFonts w:ascii="Bookman Old Style" w:hAnsi="Bookman Old Style"/>
          <w:sz w:val="28"/>
          <w:szCs w:val="28"/>
        </w:rPr>
        <w:t>urkinabè. Toutes les parties à un  procès devant le tribunal militaire bénéficie</w:t>
      </w:r>
      <w:r w:rsidR="001342F6">
        <w:rPr>
          <w:rFonts w:ascii="Bookman Old Style" w:hAnsi="Bookman Old Style"/>
          <w:sz w:val="28"/>
          <w:szCs w:val="28"/>
        </w:rPr>
        <w:t>nt</w:t>
      </w:r>
      <w:bookmarkStart w:id="0" w:name="_GoBack"/>
      <w:bookmarkEnd w:id="0"/>
      <w:r>
        <w:rPr>
          <w:rFonts w:ascii="Bookman Old Style" w:hAnsi="Bookman Old Style"/>
          <w:sz w:val="28"/>
          <w:szCs w:val="28"/>
        </w:rPr>
        <w:t xml:space="preserve"> d’un procès équitable tel que prescrit par le Pacte international relatif aux droits civils et politiques adopté le 16 décembre 1966 à New York</w:t>
      </w:r>
      <w:r w:rsidR="004C727A">
        <w:rPr>
          <w:rFonts w:ascii="Bookman Old Style" w:hAnsi="Bookman Old Style"/>
          <w:sz w:val="28"/>
          <w:szCs w:val="28"/>
        </w:rPr>
        <w:t xml:space="preserve"> et ratifié par décret n°98-360 du 10 septembre 1998.</w:t>
      </w:r>
    </w:p>
    <w:p w:rsidR="004C727A" w:rsidRDefault="004C727A" w:rsidP="00D407CF">
      <w:pPr>
        <w:jc w:val="both"/>
        <w:rPr>
          <w:rFonts w:ascii="Bookman Old Style" w:hAnsi="Bookman Old Style"/>
          <w:sz w:val="28"/>
          <w:szCs w:val="28"/>
        </w:rPr>
      </w:pPr>
      <w:r>
        <w:rPr>
          <w:rFonts w:ascii="Bookman Old Style" w:hAnsi="Bookman Old Style"/>
          <w:sz w:val="28"/>
          <w:szCs w:val="28"/>
        </w:rPr>
        <w:t>13-Le tribunal militaire statue tant sur l’action publique que sur l’action civile tendant à obtenir des dommages intérêts en réparation du préjudice subi.</w:t>
      </w:r>
    </w:p>
    <w:p w:rsidR="004C727A" w:rsidRDefault="004C727A" w:rsidP="00D407CF">
      <w:pPr>
        <w:jc w:val="both"/>
        <w:rPr>
          <w:rFonts w:ascii="Bookman Old Style" w:hAnsi="Bookman Old Style"/>
          <w:sz w:val="28"/>
          <w:szCs w:val="28"/>
        </w:rPr>
      </w:pPr>
      <w:r>
        <w:rPr>
          <w:rFonts w:ascii="Bookman Old Style" w:hAnsi="Bookman Old Style"/>
          <w:sz w:val="28"/>
          <w:szCs w:val="28"/>
        </w:rPr>
        <w:t xml:space="preserve">L’action civile peut </w:t>
      </w:r>
      <w:r w:rsidR="00C37DF0">
        <w:rPr>
          <w:rFonts w:ascii="Bookman Old Style" w:hAnsi="Bookman Old Style"/>
          <w:sz w:val="28"/>
          <w:szCs w:val="28"/>
        </w:rPr>
        <w:t>également</w:t>
      </w:r>
      <w:r>
        <w:rPr>
          <w:rFonts w:ascii="Bookman Old Style" w:hAnsi="Bookman Old Style"/>
          <w:sz w:val="28"/>
          <w:szCs w:val="28"/>
        </w:rPr>
        <w:t xml:space="preserve"> être </w:t>
      </w:r>
      <w:r w:rsidR="00C37DF0">
        <w:rPr>
          <w:rFonts w:ascii="Bookman Old Style" w:hAnsi="Bookman Old Style"/>
          <w:sz w:val="28"/>
          <w:szCs w:val="28"/>
        </w:rPr>
        <w:t>exercée séparément de l’action pu</w:t>
      </w:r>
      <w:r w:rsidR="00F54DF5">
        <w:rPr>
          <w:rFonts w:ascii="Bookman Old Style" w:hAnsi="Bookman Old Style"/>
          <w:sz w:val="28"/>
          <w:szCs w:val="28"/>
        </w:rPr>
        <w:t>blique. Toutefois, il est sursis</w:t>
      </w:r>
      <w:r w:rsidR="00C37DF0">
        <w:rPr>
          <w:rFonts w:ascii="Bookman Old Style" w:hAnsi="Bookman Old Style"/>
          <w:sz w:val="28"/>
          <w:szCs w:val="28"/>
        </w:rPr>
        <w:t xml:space="preserve"> au jugement de cette action exercée devant la juridiction civile tant qu’il n’a pas été prononcé définitivement sur l’action publique lorsque celle-ci a été mise en mouvement.</w:t>
      </w:r>
    </w:p>
    <w:p w:rsidR="00C37DF0" w:rsidRDefault="00C37DF0" w:rsidP="00D407CF">
      <w:pPr>
        <w:jc w:val="both"/>
        <w:rPr>
          <w:rFonts w:ascii="Bookman Old Style" w:hAnsi="Bookman Old Style"/>
          <w:sz w:val="28"/>
          <w:szCs w:val="28"/>
        </w:rPr>
      </w:pPr>
      <w:r>
        <w:rPr>
          <w:rFonts w:ascii="Bookman Old Style" w:hAnsi="Bookman Old Style"/>
          <w:sz w:val="28"/>
          <w:szCs w:val="28"/>
        </w:rPr>
        <w:t>14-Les décisions du tribunal mili</w:t>
      </w:r>
      <w:r w:rsidR="008F370F">
        <w:rPr>
          <w:rFonts w:ascii="Bookman Old Style" w:hAnsi="Bookman Old Style"/>
          <w:sz w:val="28"/>
          <w:szCs w:val="28"/>
        </w:rPr>
        <w:t>t</w:t>
      </w:r>
      <w:r>
        <w:rPr>
          <w:rFonts w:ascii="Bookman Old Style" w:hAnsi="Bookman Old Style"/>
          <w:sz w:val="28"/>
          <w:szCs w:val="28"/>
        </w:rPr>
        <w:t>aire sont insusceptibles d’appel. La cassation est la seule voie offerte contre lesdites décisions.</w:t>
      </w:r>
      <w:r w:rsidR="00756E30">
        <w:rPr>
          <w:rFonts w:ascii="Bookman Old Style" w:hAnsi="Bookman Old Style"/>
          <w:sz w:val="28"/>
          <w:szCs w:val="28"/>
        </w:rPr>
        <w:t xml:space="preserve"> La </w:t>
      </w:r>
      <w:r w:rsidR="00756E30">
        <w:rPr>
          <w:rFonts w:ascii="Bookman Old Style" w:hAnsi="Bookman Old Style"/>
          <w:sz w:val="28"/>
          <w:szCs w:val="28"/>
        </w:rPr>
        <w:lastRenderedPageBreak/>
        <w:t>justice militaire est rendue sous le contrôle de la Cour de Cassation qui est une juridiction civile.</w:t>
      </w:r>
    </w:p>
    <w:p w:rsidR="00D407CF" w:rsidRDefault="00F44CEA" w:rsidP="00D407CF">
      <w:pPr>
        <w:jc w:val="both"/>
        <w:rPr>
          <w:rFonts w:ascii="Bookman Old Style" w:hAnsi="Bookman Old Style"/>
          <w:sz w:val="28"/>
          <w:szCs w:val="28"/>
        </w:rPr>
      </w:pPr>
      <w:r>
        <w:rPr>
          <w:rFonts w:ascii="Bookman Old Style" w:hAnsi="Bookman Old Style"/>
          <w:sz w:val="28"/>
          <w:szCs w:val="28"/>
        </w:rPr>
        <w:t>Mon département reste disponible pour toute information complémentaire</w:t>
      </w:r>
      <w:r w:rsidR="00D477AC">
        <w:rPr>
          <w:rFonts w:ascii="Bookman Old Style" w:hAnsi="Bookman Old Style"/>
          <w:sz w:val="28"/>
          <w:szCs w:val="28"/>
        </w:rPr>
        <w:t>.</w:t>
      </w:r>
    </w:p>
    <w:p w:rsidR="00D16904" w:rsidRDefault="00D16904" w:rsidP="00D407CF">
      <w:pPr>
        <w:jc w:val="both"/>
        <w:rPr>
          <w:rFonts w:ascii="Bookman Old Style" w:hAnsi="Bookman Old Style"/>
          <w:sz w:val="28"/>
          <w:szCs w:val="28"/>
        </w:rPr>
      </w:pPr>
    </w:p>
    <w:p w:rsidR="00D16904" w:rsidRPr="00A4742F" w:rsidRDefault="00D16904" w:rsidP="00D407CF">
      <w:pPr>
        <w:jc w:val="both"/>
        <w:rPr>
          <w:rFonts w:ascii="Bookman Old Style" w:hAnsi="Bookman Old Style"/>
          <w:sz w:val="28"/>
          <w:szCs w:val="28"/>
        </w:rPr>
      </w:pPr>
    </w:p>
    <w:p w:rsidR="00D407CF" w:rsidRPr="00D610C0" w:rsidRDefault="00D407CF" w:rsidP="00D407CF">
      <w:pPr>
        <w:spacing w:line="240" w:lineRule="auto"/>
        <w:contextualSpacing/>
        <w:jc w:val="both"/>
        <w:rPr>
          <w:b/>
          <w:sz w:val="28"/>
          <w:szCs w:val="28"/>
          <w:u w:val="single"/>
        </w:rPr>
      </w:pPr>
      <w:r w:rsidRPr="00A4742F">
        <w:rPr>
          <w:rFonts w:ascii="Bookman Old Style" w:hAnsi="Bookman Old Style"/>
          <w:sz w:val="28"/>
          <w:szCs w:val="28"/>
        </w:rPr>
        <w:t xml:space="preserve">                               </w:t>
      </w:r>
      <w:r>
        <w:rPr>
          <w:rFonts w:ascii="Bookman Old Style" w:hAnsi="Bookman Old Style"/>
          <w:sz w:val="28"/>
          <w:szCs w:val="28"/>
        </w:rPr>
        <w:t xml:space="preserve">                     </w:t>
      </w:r>
      <w:r w:rsidR="004720C8">
        <w:rPr>
          <w:rFonts w:ascii="Bookman Old Style" w:hAnsi="Bookman Old Style"/>
          <w:sz w:val="28"/>
          <w:szCs w:val="28"/>
        </w:rPr>
        <w:t xml:space="preserve">         </w:t>
      </w:r>
      <w:r>
        <w:rPr>
          <w:rFonts w:ascii="Bookman Old Style" w:hAnsi="Bookman Old Style"/>
          <w:sz w:val="28"/>
          <w:szCs w:val="28"/>
        </w:rPr>
        <w:t xml:space="preserve">  </w:t>
      </w:r>
      <w:r>
        <w:rPr>
          <w:sz w:val="28"/>
          <w:szCs w:val="28"/>
        </w:rPr>
        <w:t xml:space="preserve"> </w:t>
      </w:r>
      <w:proofErr w:type="spellStart"/>
      <w:r w:rsidR="00833DBE">
        <w:rPr>
          <w:b/>
          <w:sz w:val="28"/>
          <w:szCs w:val="28"/>
          <w:u w:val="single"/>
        </w:rPr>
        <w:t>Wendyam</w:t>
      </w:r>
      <w:proofErr w:type="spellEnd"/>
      <w:r w:rsidR="00833DBE">
        <w:rPr>
          <w:b/>
          <w:sz w:val="28"/>
          <w:szCs w:val="28"/>
          <w:u w:val="single"/>
        </w:rPr>
        <w:t xml:space="preserve">     KABORE</w:t>
      </w:r>
      <w:r w:rsidRPr="00D610C0">
        <w:rPr>
          <w:b/>
          <w:sz w:val="28"/>
          <w:szCs w:val="28"/>
          <w:u w:val="single"/>
        </w:rPr>
        <w:t xml:space="preserve"> </w:t>
      </w:r>
    </w:p>
    <w:p w:rsidR="00D407CF" w:rsidRDefault="00D407CF" w:rsidP="00D407CF">
      <w:pPr>
        <w:spacing w:line="240" w:lineRule="auto"/>
        <w:contextualSpacing/>
        <w:jc w:val="both"/>
        <w:rPr>
          <w:sz w:val="28"/>
          <w:szCs w:val="28"/>
        </w:rPr>
      </w:pPr>
      <w:r>
        <w:rPr>
          <w:sz w:val="28"/>
          <w:szCs w:val="28"/>
        </w:rPr>
        <w:t xml:space="preserve">                                                               </w:t>
      </w:r>
      <w:r w:rsidR="00833DBE">
        <w:rPr>
          <w:sz w:val="28"/>
          <w:szCs w:val="28"/>
        </w:rPr>
        <w:t xml:space="preserve">                        Chevalier</w:t>
      </w:r>
      <w:r>
        <w:rPr>
          <w:sz w:val="28"/>
          <w:szCs w:val="28"/>
        </w:rPr>
        <w:t xml:space="preserve"> de l’Ordre National</w:t>
      </w:r>
    </w:p>
    <w:p w:rsidR="00D407CF" w:rsidRDefault="00D407CF" w:rsidP="00D407CF">
      <w:pPr>
        <w:jc w:val="both"/>
        <w:rPr>
          <w:sz w:val="28"/>
          <w:szCs w:val="28"/>
        </w:rPr>
      </w:pPr>
    </w:p>
    <w:p w:rsidR="00F072B1" w:rsidRDefault="00F072B1"/>
    <w:sectPr w:rsidR="00F07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CF"/>
    <w:rsid w:val="00073C0C"/>
    <w:rsid w:val="000C155F"/>
    <w:rsid w:val="001342F6"/>
    <w:rsid w:val="00287F3F"/>
    <w:rsid w:val="002D1357"/>
    <w:rsid w:val="00340B27"/>
    <w:rsid w:val="0037264C"/>
    <w:rsid w:val="003C4793"/>
    <w:rsid w:val="00445185"/>
    <w:rsid w:val="0047087D"/>
    <w:rsid w:val="004720C8"/>
    <w:rsid w:val="00484FB1"/>
    <w:rsid w:val="004C727A"/>
    <w:rsid w:val="00516F7F"/>
    <w:rsid w:val="00592B8F"/>
    <w:rsid w:val="005A0244"/>
    <w:rsid w:val="005D4F1C"/>
    <w:rsid w:val="005F18A5"/>
    <w:rsid w:val="0060338B"/>
    <w:rsid w:val="00672F20"/>
    <w:rsid w:val="006F1E36"/>
    <w:rsid w:val="00756E30"/>
    <w:rsid w:val="007E5ECB"/>
    <w:rsid w:val="008133C7"/>
    <w:rsid w:val="00833DBE"/>
    <w:rsid w:val="008A61A5"/>
    <w:rsid w:val="008F370F"/>
    <w:rsid w:val="00913D54"/>
    <w:rsid w:val="00932642"/>
    <w:rsid w:val="00943853"/>
    <w:rsid w:val="0098178F"/>
    <w:rsid w:val="00987AFD"/>
    <w:rsid w:val="00990E94"/>
    <w:rsid w:val="009E73C1"/>
    <w:rsid w:val="00A11BB6"/>
    <w:rsid w:val="00B765BF"/>
    <w:rsid w:val="00BA73C6"/>
    <w:rsid w:val="00BE05C5"/>
    <w:rsid w:val="00C37DF0"/>
    <w:rsid w:val="00C676A9"/>
    <w:rsid w:val="00D16904"/>
    <w:rsid w:val="00D407CF"/>
    <w:rsid w:val="00D477AC"/>
    <w:rsid w:val="00D838B0"/>
    <w:rsid w:val="00D9164E"/>
    <w:rsid w:val="00DA2382"/>
    <w:rsid w:val="00E05F5E"/>
    <w:rsid w:val="00E07DD2"/>
    <w:rsid w:val="00E422A0"/>
    <w:rsid w:val="00F072B1"/>
    <w:rsid w:val="00F44CEA"/>
    <w:rsid w:val="00F54DF5"/>
    <w:rsid w:val="00F65F2B"/>
    <w:rsid w:val="00F85893"/>
    <w:rsid w:val="00FB0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98E13-8FA4-4331-B163-74F92B6F4266}"/>
</file>

<file path=customXml/itemProps2.xml><?xml version="1.0" encoding="utf-8"?>
<ds:datastoreItem xmlns:ds="http://schemas.openxmlformats.org/officeDocument/2006/customXml" ds:itemID="{11A1E975-DF24-43C0-A29B-E505B358BBC8}"/>
</file>

<file path=customXml/itemProps3.xml><?xml version="1.0" encoding="utf-8"?>
<ds:datastoreItem xmlns:ds="http://schemas.openxmlformats.org/officeDocument/2006/customXml" ds:itemID="{EEEFD8AF-8490-4A2A-8A47-611EADBF1281}"/>
</file>

<file path=customXml/itemProps4.xml><?xml version="1.0" encoding="utf-8"?>
<ds:datastoreItem xmlns:ds="http://schemas.openxmlformats.org/officeDocument/2006/customXml" ds:itemID="{3FFBAA74-1E06-4EB8-850B-D23C10A42612}"/>
</file>

<file path=docProps/app.xml><?xml version="1.0" encoding="utf-8"?>
<Properties xmlns="http://schemas.openxmlformats.org/officeDocument/2006/extended-properties" xmlns:vt="http://schemas.openxmlformats.org/officeDocument/2006/docPropsVTypes">
  <Template>Normal</Template>
  <TotalTime>306</TotalTime>
  <Pages>5</Pages>
  <Words>1155</Words>
  <Characters>6354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2013-06-07T13:45:00Z</cp:lastPrinted>
  <dcterms:created xsi:type="dcterms:W3CDTF">2013-06-07T07:51:00Z</dcterms:created>
  <dcterms:modified xsi:type="dcterms:W3CDTF">2013-06-10T08:37:00Z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1803800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