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46573" w14:textId="614C8CA1" w:rsidR="00C23C6B" w:rsidRDefault="00C23C6B" w:rsidP="00E674B8">
      <w:pPr>
        <w:jc w:val="center"/>
        <w:rPr>
          <w:rFonts w:cs="Arial"/>
          <w:b/>
          <w:szCs w:val="24"/>
        </w:rPr>
      </w:pPr>
      <w:bookmarkStart w:id="0" w:name="_GoBack"/>
      <w:bookmarkEnd w:id="0"/>
      <w:r>
        <w:rPr>
          <w:rFonts w:cs="Arial"/>
          <w:b/>
          <w:szCs w:val="24"/>
        </w:rPr>
        <w:t>DEFENSOR DEL PUEBLO DE LA NACIÓN</w:t>
      </w:r>
    </w:p>
    <w:p w14:paraId="50BBDA39" w14:textId="18011DE0" w:rsidR="00C23C6B" w:rsidRDefault="00C23C6B" w:rsidP="00E674B8">
      <w:pPr>
        <w:jc w:val="center"/>
        <w:rPr>
          <w:rFonts w:cs="Arial"/>
          <w:b/>
          <w:szCs w:val="24"/>
        </w:rPr>
      </w:pPr>
      <w:r>
        <w:rPr>
          <w:rFonts w:cs="Arial"/>
          <w:b/>
          <w:szCs w:val="24"/>
        </w:rPr>
        <w:t>REPÚBLICA ARGENTINA</w:t>
      </w:r>
    </w:p>
    <w:p w14:paraId="7DE3DF88" w14:textId="6474A050" w:rsidR="00E674B8" w:rsidRDefault="00E674B8" w:rsidP="00E674B8">
      <w:pPr>
        <w:jc w:val="center"/>
        <w:rPr>
          <w:rFonts w:cs="Arial"/>
          <w:b/>
          <w:szCs w:val="24"/>
        </w:rPr>
      </w:pPr>
      <w:r>
        <w:rPr>
          <w:rFonts w:cs="Arial"/>
          <w:b/>
          <w:szCs w:val="24"/>
        </w:rPr>
        <w:t>INSTITUCIÓN NACIONAL DE DERECHOS HUMANOS</w:t>
      </w:r>
    </w:p>
    <w:p w14:paraId="6936FA45" w14:textId="3AEE4CCC" w:rsidR="00E674B8" w:rsidRDefault="00E674B8" w:rsidP="00E674B8">
      <w:pPr>
        <w:jc w:val="center"/>
        <w:rPr>
          <w:rFonts w:cs="Arial"/>
          <w:b/>
          <w:szCs w:val="24"/>
        </w:rPr>
      </w:pPr>
      <w:r>
        <w:rPr>
          <w:rFonts w:cs="Arial"/>
          <w:b/>
          <w:szCs w:val="24"/>
          <w:lang w:val="es-PA"/>
        </w:rPr>
        <w:t>S</w:t>
      </w:r>
      <w:r w:rsidRPr="00E674B8">
        <w:rPr>
          <w:rFonts w:cs="Arial"/>
          <w:b/>
          <w:szCs w:val="24"/>
          <w:lang w:val="es-PA"/>
        </w:rPr>
        <w:t>ituación de los derechos de los pueblos indígenas en relación con el logro de los fines de la Declaración sobre los Derechos de los Pueblos Indígenas</w:t>
      </w:r>
    </w:p>
    <w:p w14:paraId="20D3E97A" w14:textId="21FE9054" w:rsidR="007C3DD9" w:rsidRPr="007C3DD9" w:rsidRDefault="007C3DD9" w:rsidP="007C3DD9">
      <w:pPr>
        <w:jc w:val="both"/>
        <w:rPr>
          <w:rFonts w:cs="Arial"/>
          <w:b/>
          <w:szCs w:val="24"/>
        </w:rPr>
      </w:pPr>
      <w:r w:rsidRPr="007C3DD9">
        <w:rPr>
          <w:rFonts w:cs="Arial"/>
          <w:b/>
          <w:szCs w:val="24"/>
        </w:rPr>
        <w:t xml:space="preserve">Reconocimiento </w:t>
      </w:r>
      <w:r w:rsidR="00E674B8">
        <w:rPr>
          <w:rFonts w:cs="Arial"/>
          <w:b/>
          <w:szCs w:val="24"/>
        </w:rPr>
        <w:t>d</w:t>
      </w:r>
      <w:r w:rsidRPr="007C3DD9">
        <w:rPr>
          <w:rFonts w:cs="Arial"/>
          <w:b/>
          <w:szCs w:val="24"/>
        </w:rPr>
        <w:t>el derecho a la tierra/establecimiento de procesos para adjudicar los derechos a la tierra//participación de los pueblos indígenas /</w:t>
      </w:r>
      <w:proofErr w:type="spellStart"/>
      <w:r w:rsidRPr="007C3DD9">
        <w:rPr>
          <w:rFonts w:cs="Arial"/>
          <w:b/>
          <w:szCs w:val="24"/>
        </w:rPr>
        <w:t>articuloos</w:t>
      </w:r>
      <w:proofErr w:type="spellEnd"/>
      <w:r w:rsidRPr="007C3DD9">
        <w:rPr>
          <w:rFonts w:cs="Arial"/>
          <w:b/>
          <w:szCs w:val="24"/>
        </w:rPr>
        <w:t xml:space="preserve"> 25,26, 27, 30, 32 de la DNUDPI</w:t>
      </w:r>
    </w:p>
    <w:p w14:paraId="7CB0ADAE" w14:textId="77777777" w:rsidR="00E767F2" w:rsidRPr="00AA2AA3" w:rsidRDefault="00E767F2" w:rsidP="00453C40">
      <w:pPr>
        <w:autoSpaceDE w:val="0"/>
        <w:autoSpaceDN w:val="0"/>
        <w:adjustRightInd w:val="0"/>
        <w:spacing w:after="0" w:line="240" w:lineRule="auto"/>
        <w:jc w:val="both"/>
        <w:rPr>
          <w:rFonts w:cs="Arial"/>
          <w:sz w:val="20"/>
          <w:szCs w:val="20"/>
        </w:rPr>
      </w:pPr>
    </w:p>
    <w:p w14:paraId="2103ED8A" w14:textId="77777777" w:rsidR="00C308BC" w:rsidRDefault="00C308BC" w:rsidP="00453C40">
      <w:pPr>
        <w:autoSpaceDE w:val="0"/>
        <w:autoSpaceDN w:val="0"/>
        <w:adjustRightInd w:val="0"/>
        <w:spacing w:after="0" w:line="240" w:lineRule="auto"/>
        <w:jc w:val="both"/>
        <w:rPr>
          <w:rFonts w:cs="Arial"/>
          <w:szCs w:val="24"/>
        </w:rPr>
      </w:pPr>
      <w:r>
        <w:rPr>
          <w:rFonts w:cs="Arial"/>
          <w:szCs w:val="24"/>
        </w:rPr>
        <w:tab/>
      </w:r>
      <w:r w:rsidR="000404FF">
        <w:rPr>
          <w:rFonts w:cs="Arial"/>
          <w:szCs w:val="24"/>
        </w:rPr>
        <w:t>Para el presente informe se seleccionaron los siguientes ejes:</w:t>
      </w:r>
    </w:p>
    <w:p w14:paraId="2EBC8E64" w14:textId="77777777" w:rsidR="000404FF" w:rsidRPr="00110783" w:rsidRDefault="000404FF" w:rsidP="00453C40">
      <w:pPr>
        <w:autoSpaceDE w:val="0"/>
        <w:autoSpaceDN w:val="0"/>
        <w:adjustRightInd w:val="0"/>
        <w:spacing w:after="0" w:line="240" w:lineRule="auto"/>
        <w:jc w:val="both"/>
        <w:rPr>
          <w:rFonts w:cs="Arial"/>
          <w:szCs w:val="24"/>
        </w:rPr>
      </w:pPr>
    </w:p>
    <w:p w14:paraId="12AF6234" w14:textId="77777777" w:rsidR="00C308BC" w:rsidRPr="007C3DD9" w:rsidRDefault="00F95393" w:rsidP="007C3DD9">
      <w:pPr>
        <w:autoSpaceDE w:val="0"/>
        <w:autoSpaceDN w:val="0"/>
        <w:adjustRightInd w:val="0"/>
        <w:spacing w:after="0" w:line="240" w:lineRule="auto"/>
        <w:jc w:val="both"/>
        <w:rPr>
          <w:rFonts w:cs="Arial"/>
          <w:i/>
          <w:szCs w:val="24"/>
        </w:rPr>
      </w:pPr>
      <w:r w:rsidRPr="007C3DD9">
        <w:rPr>
          <w:rFonts w:cs="Arial"/>
          <w:i/>
          <w:szCs w:val="24"/>
        </w:rPr>
        <w:t xml:space="preserve">Eje 1: </w:t>
      </w:r>
      <w:r w:rsidR="00E849DD" w:rsidRPr="007C3DD9">
        <w:rPr>
          <w:rFonts w:cs="Arial"/>
          <w:i/>
          <w:szCs w:val="24"/>
        </w:rPr>
        <w:t>La medida en que las leyes, políticas o prácticas nacionales relacionadas con el reconocimiento y la protección del derecho de los pueblos indígenas a poseer, vivir y usar sus tierras, territorios y recursos se ajustan a la UNDRIP.</w:t>
      </w:r>
    </w:p>
    <w:p w14:paraId="6D57307E" w14:textId="77777777" w:rsidR="0074282F" w:rsidRPr="00C308BC" w:rsidRDefault="00C308BC" w:rsidP="007C3DD9">
      <w:pPr>
        <w:spacing w:before="240" w:line="360" w:lineRule="auto"/>
        <w:jc w:val="both"/>
        <w:rPr>
          <w:rFonts w:cs="Arial"/>
          <w:b/>
          <w:szCs w:val="24"/>
        </w:rPr>
      </w:pPr>
      <w:r>
        <w:rPr>
          <w:rFonts w:cs="Arial"/>
          <w:b/>
          <w:szCs w:val="24"/>
        </w:rPr>
        <w:tab/>
      </w:r>
      <w:r w:rsidR="0074282F" w:rsidRPr="00C308BC">
        <w:t>Argentina se ha adherido a normas del derecho internacional y promulgado leyes a nivel interno</w:t>
      </w:r>
      <w:r w:rsidR="00210AF9" w:rsidRPr="00C308BC">
        <w:t xml:space="preserve"> que amparan </w:t>
      </w:r>
      <w:r w:rsidR="004844A2">
        <w:t xml:space="preserve">este derecho fundamental. </w:t>
      </w:r>
      <w:r w:rsidR="00F95393">
        <w:t xml:space="preserve">Tal es </w:t>
      </w:r>
      <w:r w:rsidR="000404FF">
        <w:t>así</w:t>
      </w:r>
      <w:r w:rsidR="00F95393">
        <w:t xml:space="preserve">, que </w:t>
      </w:r>
      <w:r w:rsidR="007C3DD9">
        <w:t xml:space="preserve">en </w:t>
      </w:r>
      <w:r w:rsidR="00210AF9" w:rsidRPr="00C308BC">
        <w:t>la</w:t>
      </w:r>
      <w:r w:rsidR="00AD6067" w:rsidRPr="00C308BC">
        <w:t xml:space="preserve"> </w:t>
      </w:r>
      <w:r w:rsidR="00210AF9" w:rsidRPr="00C308BC">
        <w:t>Constitución Nacional –art.75 inc. 17</w:t>
      </w:r>
      <w:r w:rsidR="000404FF" w:rsidRPr="00C308BC">
        <w:t>,</w:t>
      </w:r>
      <w:r w:rsidR="000404FF">
        <w:t xml:space="preserve"> rerconoce</w:t>
      </w:r>
      <w:r w:rsidR="00F95393">
        <w:t xml:space="preserve"> el derecho</w:t>
      </w:r>
      <w:r w:rsidR="000404FF">
        <w:t xml:space="preserve"> a la tierra y territorios, </w:t>
      </w:r>
      <w:r w:rsidR="007C3DD9">
        <w:t>asimismo ha</w:t>
      </w:r>
      <w:r w:rsidR="00F95393">
        <w:t xml:space="preserve"> adhe</w:t>
      </w:r>
      <w:r w:rsidR="007C3DD9">
        <w:t>rido</w:t>
      </w:r>
      <w:r w:rsidR="00577556" w:rsidRPr="00C308BC">
        <w:t xml:space="preserve"> </w:t>
      </w:r>
      <w:r w:rsidR="00F95393">
        <w:t xml:space="preserve">al </w:t>
      </w:r>
      <w:r w:rsidR="00AD6067" w:rsidRPr="00C308BC">
        <w:t xml:space="preserve">Convenio 169 de la OIT sobre </w:t>
      </w:r>
      <w:r w:rsidR="00210AF9" w:rsidRPr="00C308BC">
        <w:t>Pueblos</w:t>
      </w:r>
      <w:r w:rsidR="00AD6067" w:rsidRPr="00C308BC">
        <w:t xml:space="preserve"> </w:t>
      </w:r>
      <w:r w:rsidR="00210AF9" w:rsidRPr="00C308BC">
        <w:t>Indígenas y Tribales en Países Independientes</w:t>
      </w:r>
      <w:r w:rsidR="007D6371" w:rsidRPr="00C308BC">
        <w:t>,</w:t>
      </w:r>
      <w:r w:rsidR="0038001E">
        <w:t xml:space="preserve"> ha promulgado</w:t>
      </w:r>
      <w:r w:rsidR="007D6371" w:rsidRPr="00C308BC">
        <w:t xml:space="preserve"> la Ley Nº 23</w:t>
      </w:r>
      <w:r w:rsidR="00F95393">
        <w:t>.</w:t>
      </w:r>
      <w:r w:rsidR="007D6371" w:rsidRPr="00C308BC">
        <w:t>302 sobr</w:t>
      </w:r>
      <w:r w:rsidR="0074282F" w:rsidRPr="00C308BC">
        <w:t>e Política Indígena</w:t>
      </w:r>
      <w:r w:rsidR="00577556" w:rsidRPr="00C308BC">
        <w:t>,</w:t>
      </w:r>
      <w:r w:rsidR="007D6371" w:rsidRPr="00C308BC">
        <w:t xml:space="preserve"> la Ley Nº 26.160 de Emergencia en materia de Posesión y</w:t>
      </w:r>
      <w:r w:rsidR="0074282F" w:rsidRPr="00C308BC">
        <w:t xml:space="preserve"> Propiedad Comunitaria Indígena</w:t>
      </w:r>
      <w:r w:rsidR="0038001E">
        <w:t>.</w:t>
      </w:r>
    </w:p>
    <w:p w14:paraId="44EC362D" w14:textId="77777777" w:rsidR="00210AF9" w:rsidRPr="004844A2" w:rsidRDefault="004844A2" w:rsidP="004844A2">
      <w:pPr>
        <w:pStyle w:val="ListParagraph"/>
        <w:spacing w:line="360" w:lineRule="auto"/>
        <w:ind w:left="0"/>
        <w:jc w:val="both"/>
      </w:pPr>
      <w:r>
        <w:tab/>
      </w:r>
      <w:r w:rsidR="0038001E">
        <w:t xml:space="preserve">De la normativa mencionada </w:t>
      </w:r>
      <w:r>
        <w:t xml:space="preserve">se desprende </w:t>
      </w:r>
      <w:r w:rsidR="007D6371" w:rsidRPr="00C308BC">
        <w:t>la</w:t>
      </w:r>
      <w:r w:rsidR="00210AF9" w:rsidRPr="00C308BC">
        <w:t xml:space="preserve"> Ley Nacional Nº 23.302 </w:t>
      </w:r>
      <w:r>
        <w:t xml:space="preserve">que </w:t>
      </w:r>
      <w:r w:rsidR="00210AF9" w:rsidRPr="00C308BC">
        <w:t>fijó los primeros lineamientos</w:t>
      </w:r>
      <w:r>
        <w:t xml:space="preserve"> a nivel </w:t>
      </w:r>
      <w:r w:rsidR="00F95393">
        <w:t>país</w:t>
      </w:r>
      <w:r w:rsidR="00210AF9" w:rsidRPr="00C308BC">
        <w:t xml:space="preserve"> en materia de derechos de los pueblos </w:t>
      </w:r>
      <w:r>
        <w:t>indígenas. Dispone</w:t>
      </w:r>
      <w:r w:rsidR="0038001E">
        <w:t>,</w:t>
      </w:r>
      <w:r w:rsidR="007D6371" w:rsidRPr="00C308BC">
        <w:t xml:space="preserve"> </w:t>
      </w:r>
      <w:r w:rsidR="0038001E">
        <w:t>además</w:t>
      </w:r>
      <w:r w:rsidR="00BD309E" w:rsidRPr="00F95393">
        <w:t>, el</w:t>
      </w:r>
      <w:r w:rsidR="00BD309E" w:rsidRPr="004844A2">
        <w:t xml:space="preserve"> funcionamiento del Instituto Nacional de Asuntos Indígenas</w:t>
      </w:r>
      <w:r w:rsidR="007D6371" w:rsidRPr="004844A2">
        <w:t xml:space="preserve"> como organismo descentralizado en</w:t>
      </w:r>
      <w:r w:rsidRPr="004844A2">
        <w:t xml:space="preserve"> materia de derechos colectivos, el cual </w:t>
      </w:r>
      <w:r w:rsidR="00812D5E" w:rsidRPr="004844A2">
        <w:t>se encuentra organizado en áreas</w:t>
      </w:r>
      <w:r w:rsidR="00BD309E" w:rsidRPr="004844A2">
        <w:t xml:space="preserve"> de </w:t>
      </w:r>
      <w:r w:rsidR="00812D5E" w:rsidRPr="004844A2">
        <w:t>abordaje</w:t>
      </w:r>
      <w:r w:rsidR="00BD309E" w:rsidRPr="004844A2">
        <w:t xml:space="preserve"> </w:t>
      </w:r>
      <w:r w:rsidR="00812D5E" w:rsidRPr="004844A2">
        <w:t>específicas</w:t>
      </w:r>
      <w:r w:rsidRPr="004844A2">
        <w:t xml:space="preserve"> </w:t>
      </w:r>
      <w:r w:rsidR="0038001E">
        <w:t>t</w:t>
      </w:r>
      <w:r w:rsidRPr="004844A2">
        <w:t>ales como</w:t>
      </w:r>
      <w:r w:rsidR="0038001E">
        <w:t>:</w:t>
      </w:r>
      <w:r w:rsidR="00BD309E" w:rsidRPr="004844A2">
        <w:t xml:space="preserve"> </w:t>
      </w:r>
      <w:r w:rsidR="00812D5E" w:rsidRPr="004844A2">
        <w:t>Dirección</w:t>
      </w:r>
      <w:r w:rsidR="00BD309E" w:rsidRPr="004844A2">
        <w:t xml:space="preserve"> de </w:t>
      </w:r>
      <w:r w:rsidR="00812D5E" w:rsidRPr="004844A2">
        <w:t>Afirmación</w:t>
      </w:r>
      <w:r w:rsidR="00BD309E" w:rsidRPr="004844A2">
        <w:t xml:space="preserve"> de </w:t>
      </w:r>
      <w:r w:rsidR="00812D5E" w:rsidRPr="004844A2">
        <w:t>Derechos</w:t>
      </w:r>
      <w:r w:rsidR="00BD309E" w:rsidRPr="004844A2">
        <w:t xml:space="preserve"> de los Pueblos </w:t>
      </w:r>
      <w:r w:rsidR="00812D5E" w:rsidRPr="004844A2">
        <w:t>Indígenas</w:t>
      </w:r>
      <w:r w:rsidR="00BD309E" w:rsidRPr="004844A2">
        <w:t xml:space="preserve">, </w:t>
      </w:r>
      <w:r w:rsidR="00812D5E" w:rsidRPr="004844A2">
        <w:rPr>
          <w:b/>
        </w:rPr>
        <w:t>Dirección</w:t>
      </w:r>
      <w:r w:rsidR="00BD309E" w:rsidRPr="004844A2">
        <w:rPr>
          <w:b/>
        </w:rPr>
        <w:t xml:space="preserve"> de Tierras y Registro de Comunidades </w:t>
      </w:r>
      <w:r w:rsidR="00812D5E" w:rsidRPr="004844A2">
        <w:rPr>
          <w:b/>
        </w:rPr>
        <w:t>Indígenas</w:t>
      </w:r>
      <w:r w:rsidR="00BD309E" w:rsidRPr="004844A2">
        <w:rPr>
          <w:b/>
        </w:rPr>
        <w:t xml:space="preserve"> </w:t>
      </w:r>
      <w:r w:rsidR="00BD309E" w:rsidRPr="004844A2">
        <w:t>y</w:t>
      </w:r>
      <w:r w:rsidR="00812D5E" w:rsidRPr="004844A2">
        <w:t>,</w:t>
      </w:r>
      <w:r w:rsidR="00BD309E" w:rsidRPr="004844A2">
        <w:t xml:space="preserve"> </w:t>
      </w:r>
      <w:r w:rsidR="00812D5E" w:rsidRPr="004844A2">
        <w:t>Dirección</w:t>
      </w:r>
      <w:r w:rsidR="00BD309E" w:rsidRPr="004844A2">
        <w:t xml:space="preserve"> </w:t>
      </w:r>
      <w:r w:rsidR="00812D5E" w:rsidRPr="004844A2">
        <w:t>de</w:t>
      </w:r>
      <w:r w:rsidR="00BD309E" w:rsidRPr="004844A2">
        <w:t xml:space="preserve"> Desarrollo de Comunidades </w:t>
      </w:r>
      <w:r w:rsidR="00812D5E" w:rsidRPr="004844A2">
        <w:t>Indígenas</w:t>
      </w:r>
      <w:r w:rsidR="00BD309E" w:rsidRPr="004844A2">
        <w:t>.</w:t>
      </w:r>
    </w:p>
    <w:p w14:paraId="34E74579" w14:textId="77777777" w:rsidR="0038001E" w:rsidRDefault="004844A2" w:rsidP="00F95393">
      <w:pPr>
        <w:pStyle w:val="ListParagraph"/>
        <w:spacing w:after="0" w:line="360" w:lineRule="auto"/>
        <w:ind w:left="0"/>
        <w:jc w:val="both"/>
        <w:rPr>
          <w:b/>
          <w:i/>
          <w:szCs w:val="24"/>
        </w:rPr>
      </w:pPr>
      <w:r>
        <w:rPr>
          <w:color w:val="1F497D" w:themeColor="text2"/>
        </w:rPr>
        <w:tab/>
      </w:r>
      <w:r w:rsidRPr="00737887">
        <w:t xml:space="preserve">Ahora, si nos centramos en la </w:t>
      </w:r>
      <w:r w:rsidR="007D6371" w:rsidRPr="00737887">
        <w:t>legislación</w:t>
      </w:r>
      <w:r w:rsidRPr="00737887">
        <w:t xml:space="preserve"> nacional</w:t>
      </w:r>
      <w:r w:rsidR="007D6371" w:rsidRPr="00737887">
        <w:t xml:space="preserve"> que </w:t>
      </w:r>
      <w:r w:rsidRPr="00737887">
        <w:t>permita otorgar</w:t>
      </w:r>
      <w:r w:rsidR="007D6371" w:rsidRPr="00737887">
        <w:t xml:space="preserve"> seguridad jurídica a la</w:t>
      </w:r>
      <w:r w:rsidRPr="00737887">
        <w:t xml:space="preserve"> propiedad comunitaria indígena </w:t>
      </w:r>
      <w:r w:rsidR="00F95393">
        <w:t xml:space="preserve">se encuentra el </w:t>
      </w:r>
      <w:r w:rsidR="00F95393">
        <w:lastRenderedPageBreak/>
        <w:t>antecedente referido al</w:t>
      </w:r>
      <w:r w:rsidR="00F95393" w:rsidRPr="001A0EB9">
        <w:rPr>
          <w:szCs w:val="24"/>
        </w:rPr>
        <w:t xml:space="preserve"> </w:t>
      </w:r>
      <w:r w:rsidR="00F95393" w:rsidRPr="001A0EB9">
        <w:rPr>
          <w:b/>
          <w:szCs w:val="24"/>
        </w:rPr>
        <w:t>Decreto 700/2010</w:t>
      </w:r>
      <w:r w:rsidR="00F95393" w:rsidRPr="001A0EB9">
        <w:rPr>
          <w:rStyle w:val="FootnoteReference"/>
          <w:b/>
          <w:szCs w:val="24"/>
        </w:rPr>
        <w:footnoteReference w:id="1"/>
      </w:r>
      <w:r w:rsidR="00F95393" w:rsidRPr="001A0EB9">
        <w:rPr>
          <w:b/>
          <w:szCs w:val="24"/>
        </w:rPr>
        <w:t xml:space="preserve"> </w:t>
      </w:r>
      <w:r w:rsidR="00F95393" w:rsidRPr="001A0EB9">
        <w:rPr>
          <w:szCs w:val="24"/>
        </w:rPr>
        <w:t>que</w:t>
      </w:r>
      <w:r w:rsidR="00F95393" w:rsidRPr="001A0EB9">
        <w:rPr>
          <w:b/>
          <w:szCs w:val="24"/>
        </w:rPr>
        <w:t xml:space="preserve"> </w:t>
      </w:r>
      <w:r w:rsidR="00F95393" w:rsidRPr="001A0EB9">
        <w:rPr>
          <w:szCs w:val="24"/>
        </w:rPr>
        <w:t xml:space="preserve">dispuso la creación de una Comisión de Análisis en el ámbito del INAI que tenía como objetivo elevar ante el Poder Ejecutivo Nacional </w:t>
      </w:r>
      <w:r w:rsidR="00F95393" w:rsidRPr="001A0EB9">
        <w:rPr>
          <w:i/>
          <w:szCs w:val="24"/>
        </w:rPr>
        <w:t xml:space="preserve">“…una propuesta normativa para instrumentar un procedimiento que efectivice la garantía constitucional del reconocimiento de la posesión y propiedad comunitaria indígena…”. </w:t>
      </w:r>
      <w:r w:rsidR="00F95393" w:rsidRPr="001A0EB9">
        <w:rPr>
          <w:szCs w:val="24"/>
        </w:rPr>
        <w:t xml:space="preserve">En los fundamentos de </w:t>
      </w:r>
      <w:r w:rsidR="000404FF">
        <w:rPr>
          <w:szCs w:val="24"/>
        </w:rPr>
        <w:t>este decreto</w:t>
      </w:r>
      <w:r w:rsidR="00F95393" w:rsidRPr="001A0EB9">
        <w:rPr>
          <w:szCs w:val="24"/>
        </w:rPr>
        <w:t xml:space="preserve">, el Estado reconoce que a pesar de que la cláusula constitucional (art.75 inc. 17 CN) </w:t>
      </w:r>
      <w:r w:rsidR="00F95393" w:rsidRPr="0038001E">
        <w:rPr>
          <w:szCs w:val="24"/>
        </w:rPr>
        <w:t>es directamente operativa,</w:t>
      </w:r>
      <w:r w:rsidR="00F95393" w:rsidRPr="001A0EB9">
        <w:rPr>
          <w:szCs w:val="24"/>
        </w:rPr>
        <w:t xml:space="preserve"> </w:t>
      </w:r>
      <w:r w:rsidR="00F95393" w:rsidRPr="0038001E">
        <w:rPr>
          <w:szCs w:val="24"/>
        </w:rPr>
        <w:t>“… la ausencia de procedimientos legales tendien</w:t>
      </w:r>
      <w:r w:rsidR="00F95393" w:rsidRPr="001A0EB9">
        <w:rPr>
          <w:i/>
          <w:szCs w:val="24"/>
        </w:rPr>
        <w:t>tes a facilitar la concreción de la afirmación constitucional en los hechos, pone en riesgo la efectividad de la garantía consagrada…</w:t>
      </w:r>
      <w:r w:rsidR="00F95393" w:rsidRPr="001A0EB9">
        <w:rPr>
          <w:szCs w:val="24"/>
        </w:rPr>
        <w:t xml:space="preserve">”. Como resultado, en octubre de </w:t>
      </w:r>
      <w:r w:rsidR="0038001E">
        <w:rPr>
          <w:szCs w:val="24"/>
        </w:rPr>
        <w:t>ese</w:t>
      </w:r>
      <w:r w:rsidR="00F95393" w:rsidRPr="001A0EB9">
        <w:rPr>
          <w:szCs w:val="24"/>
        </w:rPr>
        <w:t xml:space="preserve"> año, la comisión presentó ante el entonces Ministerio de Desarrollo Social de la Nación un </w:t>
      </w:r>
      <w:r w:rsidR="00F95393" w:rsidRPr="0038001E">
        <w:rPr>
          <w:szCs w:val="24"/>
        </w:rPr>
        <w:t>anteproyecto de Ley</w:t>
      </w:r>
      <w:r w:rsidR="00F95393" w:rsidRPr="001A0EB9">
        <w:rPr>
          <w:b/>
          <w:i/>
          <w:szCs w:val="24"/>
        </w:rPr>
        <w:t xml:space="preserve">. </w:t>
      </w:r>
    </w:p>
    <w:p w14:paraId="276106BB" w14:textId="77777777" w:rsidR="00E55545" w:rsidRDefault="00F95393" w:rsidP="00F95393">
      <w:pPr>
        <w:pStyle w:val="ListParagraph"/>
        <w:spacing w:after="0" w:line="360" w:lineRule="auto"/>
        <w:ind w:left="0"/>
        <w:jc w:val="both"/>
        <w:rPr>
          <w:szCs w:val="24"/>
        </w:rPr>
      </w:pPr>
      <w:r w:rsidRPr="001A0EB9">
        <w:rPr>
          <w:szCs w:val="24"/>
        </w:rPr>
        <w:t>Sobre el</w:t>
      </w:r>
      <w:r w:rsidR="0038001E">
        <w:rPr>
          <w:szCs w:val="24"/>
        </w:rPr>
        <w:t xml:space="preserve"> particular</w:t>
      </w:r>
      <w:r w:rsidRPr="001A0EB9">
        <w:rPr>
          <w:szCs w:val="24"/>
        </w:rPr>
        <w:t xml:space="preserve">, la Auditoría General de la Nación (2017), comunicó que el proceso de elaboración del anteproyecto cursa desde el año 2010, advirtiendo insuficiencias vinculadas al grado de participación otorgado a los representantes de los pueblos indígenas, así como también, de comunicación y coordinación entre los diferentes sectores. </w:t>
      </w:r>
    </w:p>
    <w:p w14:paraId="504BEA42" w14:textId="77777777" w:rsidR="0038001E" w:rsidRDefault="00E55545" w:rsidP="00AB39CC">
      <w:pPr>
        <w:pStyle w:val="ListParagraph"/>
        <w:spacing w:after="0" w:line="360" w:lineRule="auto"/>
        <w:ind w:left="0"/>
        <w:jc w:val="both"/>
        <w:rPr>
          <w:szCs w:val="24"/>
        </w:rPr>
      </w:pPr>
      <w:r>
        <w:tab/>
        <w:t>E</w:t>
      </w:r>
      <w:r w:rsidRPr="00737887">
        <w:t>n el año 2014 la Ley Nº 26.994, de aprobación del Código Civil y Comercial de la Nación, dispuso que: “</w:t>
      </w:r>
      <w:r w:rsidRPr="0038001E">
        <w:rPr>
          <w:i/>
          <w:szCs w:val="24"/>
        </w:rPr>
        <w:t>Los derechos de los pueblos indígenas, en particular la propiedad comunitaria de las tierras que tradicionalmente ocupan y de aquellas otras aptas y suficientes para el desarrollo humano, serán objeto de una ley especial”</w:t>
      </w:r>
      <w:r w:rsidRPr="0038001E">
        <w:rPr>
          <w:szCs w:val="24"/>
        </w:rPr>
        <w:t xml:space="preserve"> (art. 9º)”.</w:t>
      </w:r>
      <w:r w:rsidR="00AB39CC" w:rsidRPr="0038001E">
        <w:rPr>
          <w:szCs w:val="24"/>
        </w:rPr>
        <w:t xml:space="preserve"> Recién a mediados del año 2015 se conformó una comisión de elaboración final del Anteproyecto de Ley de Propiedad Comunitaria que, a pesar de no haber tenido el apoyo de todos los sectores, finalmente acordaron presentar la “Versión 2bis-2015”. </w:t>
      </w:r>
    </w:p>
    <w:p w14:paraId="0B66B3E8" w14:textId="77777777" w:rsidR="00F95393" w:rsidRPr="0038001E" w:rsidRDefault="00AB39CC" w:rsidP="0038001E">
      <w:pPr>
        <w:pStyle w:val="ListParagraph"/>
        <w:spacing w:after="0" w:line="360" w:lineRule="auto"/>
        <w:ind w:left="0" w:firstLine="708"/>
        <w:jc w:val="both"/>
        <w:rPr>
          <w:rFonts w:cs="Arial"/>
          <w:szCs w:val="24"/>
        </w:rPr>
      </w:pPr>
      <w:r w:rsidRPr="0038001E">
        <w:rPr>
          <w:szCs w:val="24"/>
        </w:rPr>
        <w:t>Asimismo, por parte del poder legislativo nacional</w:t>
      </w:r>
      <w:r>
        <w:t xml:space="preserve"> se registra </w:t>
      </w:r>
      <w:r w:rsidRPr="001A0EB9">
        <w:t>el impuls</w:t>
      </w:r>
      <w:r>
        <w:t>o de</w:t>
      </w:r>
      <w:r w:rsidRPr="001A0EB9">
        <w:t xml:space="preserve"> dos proyectos de ley</w:t>
      </w:r>
      <w:r>
        <w:t xml:space="preserve"> </w:t>
      </w:r>
      <w:r w:rsidR="00EF3677">
        <w:t xml:space="preserve">presentados </w:t>
      </w:r>
      <w:r w:rsidR="00EF3677" w:rsidRPr="0038001E">
        <w:rPr>
          <w:szCs w:val="24"/>
        </w:rPr>
        <w:t>por legisladores</w:t>
      </w:r>
      <w:r w:rsidRPr="0038001E">
        <w:rPr>
          <w:szCs w:val="24"/>
        </w:rPr>
        <w:t xml:space="preserve"> del Honorable Senado de la Nación Argentina</w:t>
      </w:r>
      <w:r w:rsidR="00EF3677" w:rsidRPr="0038001E">
        <w:rPr>
          <w:szCs w:val="24"/>
        </w:rPr>
        <w:t xml:space="preserve"> denominados:</w:t>
      </w:r>
      <w:r w:rsidRPr="0038001E">
        <w:rPr>
          <w:szCs w:val="24"/>
        </w:rPr>
        <w:t xml:space="preserve"> </w:t>
      </w:r>
      <w:r w:rsidR="00EF3677" w:rsidRPr="0038001E">
        <w:rPr>
          <w:szCs w:val="24"/>
        </w:rPr>
        <w:t>proyecto S-</w:t>
      </w:r>
      <w:r w:rsidRPr="0038001E">
        <w:rPr>
          <w:szCs w:val="24"/>
        </w:rPr>
        <w:t>1984/19 (Ex S 691/17)</w:t>
      </w:r>
      <w:r w:rsidRPr="0038001E">
        <w:rPr>
          <w:szCs w:val="24"/>
        </w:rPr>
        <w:footnoteReference w:id="2"/>
      </w:r>
      <w:r w:rsidRPr="0038001E">
        <w:rPr>
          <w:szCs w:val="24"/>
        </w:rPr>
        <w:t xml:space="preserve"> y el EXPEDIENTE 2280/19</w:t>
      </w:r>
      <w:r w:rsidRPr="0038001E">
        <w:rPr>
          <w:szCs w:val="24"/>
        </w:rPr>
        <w:footnoteReference w:id="3"/>
      </w:r>
      <w:r w:rsidR="00EF3677" w:rsidRPr="0038001E">
        <w:rPr>
          <w:szCs w:val="24"/>
        </w:rPr>
        <w:t xml:space="preserve">. </w:t>
      </w:r>
      <w:r w:rsidR="0038001E">
        <w:rPr>
          <w:szCs w:val="24"/>
        </w:rPr>
        <w:t>S</w:t>
      </w:r>
      <w:r w:rsidR="00EF3677" w:rsidRPr="0038001E">
        <w:rPr>
          <w:szCs w:val="24"/>
        </w:rPr>
        <w:t>egún se</w:t>
      </w:r>
      <w:r w:rsidR="00EF3677">
        <w:rPr>
          <w:rFonts w:cs="Arial"/>
          <w:szCs w:val="24"/>
        </w:rPr>
        <w:t xml:space="preserve"> observa, la tramitación legislativa de los mismos no ha supera la etapa de presentación ante mesa de entradas en términos administrativos</w:t>
      </w:r>
      <w:r w:rsidR="0038001E">
        <w:rPr>
          <w:rFonts w:cs="Arial"/>
          <w:szCs w:val="24"/>
        </w:rPr>
        <w:t xml:space="preserve">, </w:t>
      </w:r>
      <w:r w:rsidR="00E55545" w:rsidRPr="00737887">
        <w:rPr>
          <w:szCs w:val="24"/>
        </w:rPr>
        <w:t xml:space="preserve">como consecuencia de ello, no se ha promulgado una </w:t>
      </w:r>
      <w:r w:rsidR="00E55545" w:rsidRPr="00737887">
        <w:rPr>
          <w:szCs w:val="24"/>
        </w:rPr>
        <w:lastRenderedPageBreak/>
        <w:t>Ley Nacional de Propiedad Comunitaria Indigena</w:t>
      </w:r>
      <w:r>
        <w:rPr>
          <w:szCs w:val="24"/>
        </w:rPr>
        <w:t xml:space="preserve"> </w:t>
      </w:r>
      <w:r>
        <w:t>que constituya el marco jurídico de pisos mínimos bajo los cuales</w:t>
      </w:r>
      <w:r w:rsidR="00E55545" w:rsidRPr="00AF578A">
        <w:t xml:space="preserve"> cada </w:t>
      </w:r>
      <w:r>
        <w:t>provincia pueda regirse. Esta situación c</w:t>
      </w:r>
      <w:r w:rsidRPr="00AF578A">
        <w:t>ontinúa</w:t>
      </w:r>
      <w:r w:rsidR="00E55545" w:rsidRPr="00AF578A">
        <w:t xml:space="preserve"> siendo una deuda pendiente </w:t>
      </w:r>
      <w:r w:rsidR="00AD6860">
        <w:t xml:space="preserve">a </w:t>
      </w:r>
      <w:r w:rsidR="00AD6860" w:rsidRPr="00AF578A">
        <w:t>doce años de vigencia de la Declaración Universal sobre los Derechos de l</w:t>
      </w:r>
      <w:r w:rsidR="00AD6860">
        <w:t>os Pueblos Indígenas</w:t>
      </w:r>
      <w:r w:rsidR="00F95393" w:rsidRPr="001A0EB9">
        <w:rPr>
          <w:rStyle w:val="FootnoteReference"/>
          <w:szCs w:val="24"/>
        </w:rPr>
        <w:footnoteReference w:id="4"/>
      </w:r>
      <w:r w:rsidR="00F95393" w:rsidRPr="001A0EB9">
        <w:rPr>
          <w:szCs w:val="24"/>
        </w:rPr>
        <w:t xml:space="preserve"> </w:t>
      </w:r>
      <w:r>
        <w:rPr>
          <w:szCs w:val="24"/>
        </w:rPr>
        <w:t>.</w:t>
      </w:r>
    </w:p>
    <w:p w14:paraId="7E107B28" w14:textId="77777777" w:rsidR="00EA2496" w:rsidRPr="001A0EB9" w:rsidRDefault="005E79E8" w:rsidP="00EA2496">
      <w:pPr>
        <w:pStyle w:val="ListParagraph"/>
        <w:spacing w:after="0" w:line="360" w:lineRule="auto"/>
        <w:ind w:left="0"/>
        <w:jc w:val="both"/>
        <w:rPr>
          <w:szCs w:val="24"/>
        </w:rPr>
      </w:pPr>
      <w:r w:rsidRPr="00AF578A">
        <w:rPr>
          <w:szCs w:val="24"/>
        </w:rPr>
        <w:tab/>
      </w:r>
      <w:r w:rsidR="00AB39CC">
        <w:rPr>
          <w:szCs w:val="24"/>
        </w:rPr>
        <w:t>Como corolario de</w:t>
      </w:r>
      <w:r w:rsidRPr="00AF578A">
        <w:rPr>
          <w:szCs w:val="24"/>
        </w:rPr>
        <w:t xml:space="preserve"> </w:t>
      </w:r>
      <w:r w:rsidR="00F95393">
        <w:rPr>
          <w:szCs w:val="24"/>
        </w:rPr>
        <w:t>ello</w:t>
      </w:r>
      <w:r w:rsidRPr="00AF578A">
        <w:rPr>
          <w:szCs w:val="24"/>
        </w:rPr>
        <w:t>,</w:t>
      </w:r>
      <w:r w:rsidR="00AB39CC">
        <w:rPr>
          <w:szCs w:val="24"/>
        </w:rPr>
        <w:t xml:space="preserve"> </w:t>
      </w:r>
      <w:r w:rsidR="00E55545">
        <w:rPr>
          <w:szCs w:val="24"/>
        </w:rPr>
        <w:t xml:space="preserve">en la actualidad </w:t>
      </w:r>
      <w:r w:rsidRPr="00AF578A">
        <w:rPr>
          <w:szCs w:val="24"/>
        </w:rPr>
        <w:t xml:space="preserve">no se han </w:t>
      </w:r>
      <w:r w:rsidR="00AB39CC">
        <w:rPr>
          <w:szCs w:val="24"/>
        </w:rPr>
        <w:t xml:space="preserve">formulado </w:t>
      </w:r>
      <w:r w:rsidR="00AD6860">
        <w:rPr>
          <w:szCs w:val="24"/>
        </w:rPr>
        <w:t xml:space="preserve">políticas públicas que posibiliten un ejercicio real del derecho a la tierra, </w:t>
      </w:r>
      <w:r w:rsidR="00AB39CC">
        <w:rPr>
          <w:szCs w:val="24"/>
        </w:rPr>
        <w:t>aquellas</w:t>
      </w:r>
      <w:r w:rsidR="004E341E" w:rsidRPr="00AF578A">
        <w:rPr>
          <w:szCs w:val="24"/>
        </w:rPr>
        <w:t xml:space="preserve"> que </w:t>
      </w:r>
      <w:r w:rsidR="0074282F" w:rsidRPr="00AF578A">
        <w:rPr>
          <w:szCs w:val="24"/>
        </w:rPr>
        <w:t xml:space="preserve">permitan </w:t>
      </w:r>
      <w:r w:rsidRPr="00AF578A">
        <w:rPr>
          <w:szCs w:val="24"/>
        </w:rPr>
        <w:t>establecer la modalidad de instrumentación de la propiedad comunitaria</w:t>
      </w:r>
      <w:r w:rsidR="0074282F" w:rsidRPr="00AF578A">
        <w:rPr>
          <w:szCs w:val="24"/>
        </w:rPr>
        <w:t xml:space="preserve"> en </w:t>
      </w:r>
      <w:r w:rsidR="00F832B6" w:rsidRPr="00AF578A">
        <w:rPr>
          <w:szCs w:val="24"/>
        </w:rPr>
        <w:t>materia</w:t>
      </w:r>
      <w:r w:rsidR="0074282F" w:rsidRPr="00AF578A">
        <w:rPr>
          <w:szCs w:val="24"/>
        </w:rPr>
        <w:t xml:space="preserve"> de </w:t>
      </w:r>
      <w:r w:rsidR="00F832B6" w:rsidRPr="00AF578A">
        <w:rPr>
          <w:szCs w:val="24"/>
        </w:rPr>
        <w:t>regulación del sistema de tenencia de la tierra en pueblos indígenas</w:t>
      </w:r>
      <w:r w:rsidR="00AD6860">
        <w:rPr>
          <w:szCs w:val="24"/>
        </w:rPr>
        <w:t>.</w:t>
      </w:r>
    </w:p>
    <w:p w14:paraId="5951B05B" w14:textId="77777777" w:rsidR="000D6E8B" w:rsidRPr="00AD6860" w:rsidRDefault="00AF578A" w:rsidP="0093422E">
      <w:pPr>
        <w:pStyle w:val="ListParagraph"/>
        <w:spacing w:after="0" w:line="360" w:lineRule="auto"/>
        <w:ind w:left="0"/>
        <w:jc w:val="both"/>
        <w:rPr>
          <w:rFonts w:cs="Arial"/>
          <w:i/>
          <w:szCs w:val="24"/>
        </w:rPr>
      </w:pPr>
      <w:r w:rsidRPr="00AD6860">
        <w:rPr>
          <w:i/>
        </w:rPr>
        <w:tab/>
      </w:r>
    </w:p>
    <w:p w14:paraId="2DE77298" w14:textId="77777777" w:rsidR="003B6E8E" w:rsidRPr="00AD6860" w:rsidRDefault="00E55545" w:rsidP="003B6E8E">
      <w:pPr>
        <w:jc w:val="both"/>
        <w:rPr>
          <w:rFonts w:cs="Arial"/>
          <w:i/>
          <w:szCs w:val="24"/>
        </w:rPr>
      </w:pPr>
      <w:r w:rsidRPr="00AD6860">
        <w:rPr>
          <w:rFonts w:cs="Arial"/>
          <w:i/>
          <w:szCs w:val="24"/>
        </w:rPr>
        <w:t xml:space="preserve">Eje 2: </w:t>
      </w:r>
      <w:r w:rsidR="003B6E8E" w:rsidRPr="00AD6860">
        <w:rPr>
          <w:rFonts w:cs="Arial"/>
          <w:i/>
          <w:szCs w:val="24"/>
        </w:rPr>
        <w:t>Ejemplos positivos de procesos establecidos por los Estados para reconocer y adjudicar los derechos de los pueblos indígenas a sus tierras, territorios y recursos y la medida en que los pueblos indígenas están involucrados en este proceso.</w:t>
      </w:r>
      <w:r w:rsidR="001A0EB9" w:rsidRPr="00AD6860">
        <w:rPr>
          <w:rFonts w:cs="Arial"/>
          <w:i/>
          <w:szCs w:val="24"/>
        </w:rPr>
        <w:t xml:space="preserve"> </w:t>
      </w:r>
      <w:r w:rsidR="003B6E8E" w:rsidRPr="00AD6860">
        <w:rPr>
          <w:rFonts w:cs="Arial"/>
          <w:i/>
          <w:szCs w:val="24"/>
        </w:rPr>
        <w:t xml:space="preserve">Buenas prácticas de demarcación, incluida la auto demarcación de los pueblos indígenas y la titulación. </w:t>
      </w:r>
    </w:p>
    <w:p w14:paraId="2323FB66" w14:textId="77777777" w:rsidR="00E118FC" w:rsidRPr="002F567E" w:rsidRDefault="004E341E" w:rsidP="002C258A">
      <w:pPr>
        <w:jc w:val="both"/>
        <w:rPr>
          <w:rFonts w:cs="Arial"/>
          <w:szCs w:val="24"/>
        </w:rPr>
      </w:pPr>
      <w:r>
        <w:rPr>
          <w:color w:val="1F497D" w:themeColor="text2"/>
          <w:szCs w:val="24"/>
        </w:rPr>
        <w:tab/>
      </w:r>
      <w:r w:rsidR="002C258A" w:rsidRPr="002F567E">
        <w:rPr>
          <w:szCs w:val="24"/>
        </w:rPr>
        <w:t>En cuanto a p</w:t>
      </w:r>
      <w:r w:rsidR="002C258A" w:rsidRPr="002F567E">
        <w:rPr>
          <w:rFonts w:cs="Arial"/>
          <w:szCs w:val="24"/>
        </w:rPr>
        <w:t xml:space="preserve">rocesos </w:t>
      </w:r>
      <w:r w:rsidR="00E55545">
        <w:rPr>
          <w:rFonts w:cs="Arial"/>
          <w:szCs w:val="24"/>
        </w:rPr>
        <w:t xml:space="preserve">y buenas prácticas </w:t>
      </w:r>
      <w:r w:rsidR="002C258A" w:rsidRPr="002F567E">
        <w:rPr>
          <w:rFonts w:cs="Arial"/>
          <w:szCs w:val="24"/>
        </w:rPr>
        <w:t xml:space="preserve">para reconocer y adjudicar tierras, </w:t>
      </w:r>
      <w:r w:rsidRPr="002F567E">
        <w:rPr>
          <w:szCs w:val="24"/>
        </w:rPr>
        <w:t>algunas provincias de</w:t>
      </w:r>
      <w:r w:rsidR="0099065A" w:rsidRPr="002F567E">
        <w:rPr>
          <w:szCs w:val="24"/>
        </w:rPr>
        <w:t xml:space="preserve"> Argentina</w:t>
      </w:r>
      <w:r w:rsidRPr="002F567E">
        <w:rPr>
          <w:szCs w:val="24"/>
        </w:rPr>
        <w:t xml:space="preserve"> han otorgado títulos comunitarios de tierras </w:t>
      </w:r>
      <w:r w:rsidR="00222735" w:rsidRPr="002F567E">
        <w:rPr>
          <w:szCs w:val="24"/>
        </w:rPr>
        <w:t>fiscales</w:t>
      </w:r>
      <w:r w:rsidRPr="002F567E">
        <w:rPr>
          <w:rStyle w:val="FootnoteReference"/>
          <w:szCs w:val="24"/>
        </w:rPr>
        <w:footnoteReference w:id="5"/>
      </w:r>
      <w:r w:rsidRPr="002F567E">
        <w:rPr>
          <w:szCs w:val="24"/>
        </w:rPr>
        <w:t xml:space="preserve"> por lo </w:t>
      </w:r>
      <w:r w:rsidR="002C258A" w:rsidRPr="002F567E">
        <w:rPr>
          <w:szCs w:val="24"/>
        </w:rPr>
        <w:t>que</w:t>
      </w:r>
      <w:r w:rsidRPr="002F567E">
        <w:rPr>
          <w:szCs w:val="24"/>
        </w:rPr>
        <w:t xml:space="preserve"> </w:t>
      </w:r>
      <w:r w:rsidR="00EF3677">
        <w:rPr>
          <w:szCs w:val="24"/>
        </w:rPr>
        <w:t>en principio podría decirse</w:t>
      </w:r>
      <w:r w:rsidRPr="002F567E">
        <w:rPr>
          <w:szCs w:val="24"/>
        </w:rPr>
        <w:t xml:space="preserve"> que sí </w:t>
      </w:r>
      <w:r w:rsidR="002C258A" w:rsidRPr="002F567E">
        <w:rPr>
          <w:szCs w:val="24"/>
        </w:rPr>
        <w:t>se registran proceso</w:t>
      </w:r>
      <w:r w:rsidR="000D6E8B">
        <w:rPr>
          <w:szCs w:val="24"/>
        </w:rPr>
        <w:t>s</w:t>
      </w:r>
      <w:r w:rsidRPr="002F567E">
        <w:rPr>
          <w:szCs w:val="24"/>
        </w:rPr>
        <w:t xml:space="preserve"> </w:t>
      </w:r>
      <w:r w:rsidR="00AD1367" w:rsidRPr="002F567E">
        <w:rPr>
          <w:rFonts w:cs="Arial"/>
          <w:szCs w:val="24"/>
        </w:rPr>
        <w:t xml:space="preserve">de </w:t>
      </w:r>
      <w:r w:rsidR="0093422E" w:rsidRPr="002F567E">
        <w:rPr>
          <w:rFonts w:cs="Arial"/>
          <w:szCs w:val="24"/>
        </w:rPr>
        <w:t>titulación</w:t>
      </w:r>
      <w:r w:rsidR="00AD1367" w:rsidRPr="002F567E">
        <w:rPr>
          <w:rFonts w:cs="Arial"/>
          <w:szCs w:val="24"/>
        </w:rPr>
        <w:t xml:space="preserve"> </w:t>
      </w:r>
      <w:r w:rsidRPr="002F567E">
        <w:rPr>
          <w:rFonts w:cs="Arial"/>
          <w:szCs w:val="24"/>
        </w:rPr>
        <w:t>desarrollados</w:t>
      </w:r>
      <w:r w:rsidR="00EF3677">
        <w:rPr>
          <w:rFonts w:cs="Arial"/>
          <w:szCs w:val="24"/>
        </w:rPr>
        <w:t xml:space="preserve"> en el país</w:t>
      </w:r>
      <w:r w:rsidRPr="002F567E">
        <w:rPr>
          <w:rFonts w:cs="Arial"/>
          <w:szCs w:val="24"/>
        </w:rPr>
        <w:t xml:space="preserve">. Sin </w:t>
      </w:r>
      <w:r w:rsidR="00222735" w:rsidRPr="002F567E">
        <w:rPr>
          <w:rFonts w:cs="Arial"/>
          <w:szCs w:val="24"/>
        </w:rPr>
        <w:t>embargo</w:t>
      </w:r>
      <w:r w:rsidRPr="002F567E">
        <w:rPr>
          <w:rFonts w:cs="Arial"/>
          <w:szCs w:val="24"/>
        </w:rPr>
        <w:t xml:space="preserve">, los mismos </w:t>
      </w:r>
      <w:r w:rsidR="002C258A" w:rsidRPr="002F567E">
        <w:rPr>
          <w:rFonts w:cs="Arial"/>
          <w:szCs w:val="24"/>
        </w:rPr>
        <w:t xml:space="preserve">históricamente no han respondido </w:t>
      </w:r>
      <w:r w:rsidRPr="002F567E">
        <w:rPr>
          <w:rFonts w:cs="Arial"/>
          <w:szCs w:val="24"/>
        </w:rPr>
        <w:t>a una política universal</w:t>
      </w:r>
      <w:r w:rsidR="002C258A" w:rsidRPr="002F567E">
        <w:rPr>
          <w:rFonts w:cs="Arial"/>
          <w:szCs w:val="24"/>
        </w:rPr>
        <w:t xml:space="preserve"> de regularización </w:t>
      </w:r>
      <w:proofErr w:type="spellStart"/>
      <w:r w:rsidR="002C258A" w:rsidRPr="002F567E">
        <w:rPr>
          <w:rFonts w:cs="Arial"/>
          <w:szCs w:val="24"/>
        </w:rPr>
        <w:t>dominial</w:t>
      </w:r>
      <w:proofErr w:type="spellEnd"/>
      <w:r w:rsidRPr="002F567E">
        <w:rPr>
          <w:rFonts w:cs="Arial"/>
          <w:szCs w:val="24"/>
        </w:rPr>
        <w:t xml:space="preserve">, sino </w:t>
      </w:r>
      <w:r w:rsidR="00E118FC" w:rsidRPr="002F567E">
        <w:rPr>
          <w:rFonts w:cs="Arial"/>
          <w:szCs w:val="24"/>
        </w:rPr>
        <w:t>más</w:t>
      </w:r>
      <w:r w:rsidRPr="002F567E">
        <w:rPr>
          <w:rFonts w:cs="Arial"/>
          <w:szCs w:val="24"/>
        </w:rPr>
        <w:t xml:space="preserve"> bien, a </w:t>
      </w:r>
      <w:r w:rsidR="00222735" w:rsidRPr="002F567E">
        <w:rPr>
          <w:rFonts w:cs="Arial"/>
          <w:szCs w:val="24"/>
        </w:rPr>
        <w:t xml:space="preserve">la voluntad </w:t>
      </w:r>
      <w:r w:rsidR="001A0EB9" w:rsidRPr="002F567E">
        <w:rPr>
          <w:rFonts w:cs="Arial"/>
          <w:szCs w:val="24"/>
        </w:rPr>
        <w:t xml:space="preserve">del </w:t>
      </w:r>
      <w:r w:rsidR="00AD6860">
        <w:rPr>
          <w:rFonts w:cs="Arial"/>
          <w:szCs w:val="24"/>
        </w:rPr>
        <w:t>gobierno local</w:t>
      </w:r>
      <w:r w:rsidR="002C258A" w:rsidRPr="002F567E">
        <w:rPr>
          <w:rFonts w:cs="Arial"/>
          <w:szCs w:val="24"/>
        </w:rPr>
        <w:t xml:space="preserve"> </w:t>
      </w:r>
      <w:r w:rsidR="001A0EB9" w:rsidRPr="002F567E">
        <w:rPr>
          <w:rFonts w:cs="Arial"/>
          <w:szCs w:val="24"/>
        </w:rPr>
        <w:t xml:space="preserve">y a las </w:t>
      </w:r>
      <w:r w:rsidR="002C258A" w:rsidRPr="002F567E">
        <w:rPr>
          <w:rFonts w:cs="Arial"/>
          <w:szCs w:val="24"/>
        </w:rPr>
        <w:t xml:space="preserve">luchas por el </w:t>
      </w:r>
      <w:r w:rsidR="00EF3677">
        <w:rPr>
          <w:rFonts w:cs="Arial"/>
          <w:szCs w:val="24"/>
        </w:rPr>
        <w:t xml:space="preserve">derecho al </w:t>
      </w:r>
      <w:r w:rsidR="001A0EB9" w:rsidRPr="002F567E">
        <w:rPr>
          <w:rFonts w:cs="Arial"/>
          <w:szCs w:val="24"/>
        </w:rPr>
        <w:t>territorio de las comunidades</w:t>
      </w:r>
      <w:r w:rsidR="00EF3677">
        <w:rPr>
          <w:rFonts w:cs="Arial"/>
          <w:szCs w:val="24"/>
        </w:rPr>
        <w:t xml:space="preserve"> indígenas</w:t>
      </w:r>
      <w:r w:rsidR="001A0EB9" w:rsidRPr="002F567E">
        <w:rPr>
          <w:rFonts w:cs="Arial"/>
          <w:szCs w:val="24"/>
        </w:rPr>
        <w:t xml:space="preserve">. </w:t>
      </w:r>
    </w:p>
    <w:p w14:paraId="36704B27" w14:textId="77777777" w:rsidR="00F7567C" w:rsidRDefault="002F567E" w:rsidP="00F7567C">
      <w:pPr>
        <w:pStyle w:val="ListParagraph"/>
        <w:spacing w:after="0"/>
        <w:ind w:left="0"/>
        <w:jc w:val="both"/>
      </w:pPr>
      <w:r>
        <w:rPr>
          <w:rFonts w:cs="Arial"/>
          <w:szCs w:val="24"/>
        </w:rPr>
        <w:tab/>
      </w:r>
      <w:r w:rsidR="00AD6860">
        <w:rPr>
          <w:rFonts w:cs="Arial"/>
          <w:szCs w:val="24"/>
        </w:rPr>
        <w:t>En la actualidad</w:t>
      </w:r>
      <w:r w:rsidR="00C26BBD" w:rsidRPr="002F567E">
        <w:rPr>
          <w:rFonts w:cs="Arial"/>
          <w:szCs w:val="24"/>
        </w:rPr>
        <w:t xml:space="preserve">, </w:t>
      </w:r>
      <w:r w:rsidR="00B250AA" w:rsidRPr="002F567E">
        <w:rPr>
          <w:rFonts w:cs="Arial"/>
          <w:szCs w:val="24"/>
        </w:rPr>
        <w:t>es</w:t>
      </w:r>
      <w:r w:rsidR="00C26BBD" w:rsidRPr="002F567E">
        <w:rPr>
          <w:rFonts w:cs="Arial"/>
          <w:szCs w:val="24"/>
        </w:rPr>
        <w:t xml:space="preserve"> </w:t>
      </w:r>
      <w:r w:rsidR="00401BDE" w:rsidRPr="002F567E">
        <w:rPr>
          <w:rFonts w:cs="Arial"/>
          <w:szCs w:val="24"/>
        </w:rPr>
        <w:t>constante</w:t>
      </w:r>
      <w:r w:rsidR="0099065A" w:rsidRPr="002F567E">
        <w:rPr>
          <w:rFonts w:cs="Arial"/>
          <w:szCs w:val="24"/>
        </w:rPr>
        <w:t xml:space="preserve"> la </w:t>
      </w:r>
      <w:r w:rsidR="001349C2" w:rsidRPr="002F567E">
        <w:rPr>
          <w:rFonts w:cs="Arial"/>
          <w:szCs w:val="24"/>
        </w:rPr>
        <w:t>existencia</w:t>
      </w:r>
      <w:r w:rsidR="0099065A" w:rsidRPr="002F567E">
        <w:rPr>
          <w:rFonts w:cs="Arial"/>
          <w:szCs w:val="24"/>
        </w:rPr>
        <w:t xml:space="preserve"> de conflictos por y en el </w:t>
      </w:r>
      <w:r w:rsidR="001349C2" w:rsidRPr="002F567E">
        <w:rPr>
          <w:rFonts w:cs="Arial"/>
          <w:szCs w:val="24"/>
        </w:rPr>
        <w:t>territorio</w:t>
      </w:r>
      <w:r w:rsidR="0099065A" w:rsidRPr="002F567E">
        <w:rPr>
          <w:rFonts w:cs="Arial"/>
          <w:szCs w:val="24"/>
        </w:rPr>
        <w:t xml:space="preserve"> vinculados a injerencias de empresas</w:t>
      </w:r>
      <w:r>
        <w:rPr>
          <w:rFonts w:cs="Arial"/>
          <w:szCs w:val="24"/>
        </w:rPr>
        <w:t>, pequeños productores o</w:t>
      </w:r>
      <w:r w:rsidR="001349C2" w:rsidRPr="002F567E">
        <w:rPr>
          <w:rFonts w:cs="Arial"/>
          <w:szCs w:val="24"/>
        </w:rPr>
        <w:t xml:space="preserve"> sujetos externos</w:t>
      </w:r>
      <w:r w:rsidR="00C26BBD" w:rsidRPr="002F567E">
        <w:rPr>
          <w:rFonts w:cs="Arial"/>
          <w:szCs w:val="24"/>
        </w:rPr>
        <w:t xml:space="preserve"> a una comunidad</w:t>
      </w:r>
      <w:r w:rsidR="001349C2" w:rsidRPr="002F567E">
        <w:rPr>
          <w:rFonts w:cs="Arial"/>
          <w:szCs w:val="24"/>
        </w:rPr>
        <w:t>, que participan en proceso</w:t>
      </w:r>
      <w:r w:rsidR="00C26BBD" w:rsidRPr="002F567E">
        <w:rPr>
          <w:rFonts w:cs="Arial"/>
          <w:szCs w:val="24"/>
        </w:rPr>
        <w:t>s</w:t>
      </w:r>
      <w:r w:rsidR="001349C2" w:rsidRPr="002F567E">
        <w:rPr>
          <w:rFonts w:cs="Arial"/>
          <w:szCs w:val="24"/>
        </w:rPr>
        <w:t xml:space="preserve"> de expropiación</w:t>
      </w:r>
      <w:r w:rsidR="00C26BBD" w:rsidRPr="002F567E">
        <w:rPr>
          <w:rFonts w:cs="Arial"/>
          <w:szCs w:val="24"/>
        </w:rPr>
        <w:t>/</w:t>
      </w:r>
      <w:r w:rsidR="00EF3677">
        <w:rPr>
          <w:rFonts w:cs="Arial"/>
          <w:szCs w:val="24"/>
        </w:rPr>
        <w:t>usurpación</w:t>
      </w:r>
      <w:r w:rsidR="00757C62">
        <w:rPr>
          <w:rFonts w:cs="Arial"/>
          <w:szCs w:val="24"/>
        </w:rPr>
        <w:t xml:space="preserve"> de tierras indígenas.</w:t>
      </w:r>
      <w:r w:rsidR="00AD6860">
        <w:rPr>
          <w:rStyle w:val="FootnoteReference"/>
          <w:rFonts w:cs="Arial"/>
          <w:szCs w:val="24"/>
        </w:rPr>
        <w:footnoteReference w:id="6"/>
      </w:r>
      <w:r w:rsidR="00757C62">
        <w:rPr>
          <w:rFonts w:cs="Arial"/>
          <w:szCs w:val="24"/>
        </w:rPr>
        <w:t xml:space="preserve"> </w:t>
      </w:r>
      <w:r w:rsidR="00F7567C" w:rsidRPr="00F7567C">
        <w:rPr>
          <w:rFonts w:cs="Arial"/>
          <w:szCs w:val="24"/>
        </w:rPr>
        <w:t xml:space="preserve">En </w:t>
      </w:r>
      <w:proofErr w:type="spellStart"/>
      <w:r w:rsidR="00F7567C" w:rsidRPr="00F7567C">
        <w:rPr>
          <w:rFonts w:cs="Arial"/>
          <w:szCs w:val="24"/>
        </w:rPr>
        <w:t>conclusion</w:t>
      </w:r>
      <w:proofErr w:type="spellEnd"/>
      <w:r w:rsidR="00B74A15" w:rsidRPr="00B62D0B">
        <w:rPr>
          <w:rFonts w:cs="Arial"/>
          <w:szCs w:val="24"/>
        </w:rPr>
        <w:t xml:space="preserve">, puede afirmarse que en Argentina </w:t>
      </w:r>
      <w:r w:rsidR="00F7567C">
        <w:rPr>
          <w:rFonts w:cs="Arial"/>
          <w:szCs w:val="24"/>
        </w:rPr>
        <w:t xml:space="preserve">aún </w:t>
      </w:r>
      <w:r w:rsidR="00B74A15" w:rsidRPr="00B62D0B">
        <w:rPr>
          <w:rFonts w:cs="Arial"/>
          <w:szCs w:val="24"/>
        </w:rPr>
        <w:t>persisten</w:t>
      </w:r>
      <w:r w:rsidR="001349C2" w:rsidRPr="00B62D0B">
        <w:rPr>
          <w:rFonts w:cs="Arial"/>
          <w:szCs w:val="24"/>
        </w:rPr>
        <w:t xml:space="preserve"> las brechas entre </w:t>
      </w:r>
      <w:r w:rsidR="00D3342F" w:rsidRPr="00B62D0B">
        <w:t>los distintos niveles</w:t>
      </w:r>
      <w:r w:rsidR="00B250AA" w:rsidRPr="00B62D0B">
        <w:t xml:space="preserve"> de normas vigentes y, entre é</w:t>
      </w:r>
      <w:r w:rsidR="00D3342F" w:rsidRPr="00B62D0B">
        <w:t xml:space="preserve">stas y el dictado de regulaciones que posibiliten formular políticas </w:t>
      </w:r>
      <w:r w:rsidR="003B6E8E" w:rsidRPr="00B62D0B">
        <w:t>públicas</w:t>
      </w:r>
      <w:r w:rsidR="00D3342F" w:rsidRPr="00B62D0B">
        <w:t xml:space="preserve"> en tal sentido</w:t>
      </w:r>
      <w:r w:rsidR="00802723">
        <w:t>.</w:t>
      </w:r>
    </w:p>
    <w:p w14:paraId="0CFFDB82" w14:textId="77777777" w:rsidR="00311A87" w:rsidRPr="00F7567C" w:rsidRDefault="00B62D0B" w:rsidP="00F7567C">
      <w:pPr>
        <w:pStyle w:val="ListParagraph"/>
        <w:spacing w:after="0"/>
        <w:ind w:left="0"/>
        <w:jc w:val="both"/>
      </w:pPr>
      <w:r>
        <w:rPr>
          <w:rFonts w:cs="Arial"/>
          <w:color w:val="365F91" w:themeColor="accent1" w:themeShade="BF"/>
          <w:szCs w:val="24"/>
        </w:rPr>
        <w:tab/>
      </w:r>
      <w:r w:rsidRPr="00A82CF8">
        <w:rPr>
          <w:rFonts w:cs="Arial"/>
          <w:szCs w:val="24"/>
        </w:rPr>
        <w:t xml:space="preserve">Por otra parte, </w:t>
      </w:r>
      <w:r w:rsidR="00FB7120">
        <w:rPr>
          <w:rFonts w:cs="Arial"/>
          <w:szCs w:val="24"/>
        </w:rPr>
        <w:t xml:space="preserve">en cuanto a prácticas de demarcación de tierras, </w:t>
      </w:r>
      <w:r w:rsidR="00A82CF8">
        <w:rPr>
          <w:rFonts w:cs="Arial"/>
          <w:szCs w:val="24"/>
        </w:rPr>
        <w:t>si bien</w:t>
      </w:r>
      <w:r w:rsidRPr="00A82CF8">
        <w:rPr>
          <w:rFonts w:cs="Arial"/>
          <w:szCs w:val="24"/>
        </w:rPr>
        <w:t xml:space="preserve"> </w:t>
      </w:r>
      <w:r w:rsidR="00401BDE" w:rsidRPr="00A82CF8">
        <w:rPr>
          <w:rFonts w:cs="Arial"/>
          <w:szCs w:val="24"/>
        </w:rPr>
        <w:t>la Ley Nacional Nº 26160</w:t>
      </w:r>
      <w:r w:rsidR="00DB4799" w:rsidRPr="00A82CF8">
        <w:rPr>
          <w:rStyle w:val="FootnoteReference"/>
          <w:rFonts w:cs="Arial"/>
          <w:szCs w:val="24"/>
        </w:rPr>
        <w:footnoteReference w:id="7"/>
      </w:r>
      <w:r w:rsidR="00A82CF8">
        <w:rPr>
          <w:rFonts w:cs="Arial"/>
          <w:szCs w:val="24"/>
        </w:rPr>
        <w:t>,</w:t>
      </w:r>
      <w:r w:rsidR="00FB7120">
        <w:rPr>
          <w:rFonts w:cs="Arial"/>
          <w:szCs w:val="24"/>
        </w:rPr>
        <w:t xml:space="preserve"> </w:t>
      </w:r>
      <w:r w:rsidRPr="00A82CF8">
        <w:rPr>
          <w:rFonts w:cs="Arial"/>
          <w:szCs w:val="24"/>
        </w:rPr>
        <w:t xml:space="preserve">prevé la </w:t>
      </w:r>
      <w:r w:rsidR="00A82CF8" w:rsidRPr="000D6E8B">
        <w:rPr>
          <w:rFonts w:cs="Arial"/>
          <w:b/>
          <w:szCs w:val="24"/>
        </w:rPr>
        <w:t>participación</w:t>
      </w:r>
      <w:r w:rsidRPr="000D6E8B">
        <w:rPr>
          <w:rFonts w:cs="Arial"/>
          <w:b/>
          <w:szCs w:val="24"/>
        </w:rPr>
        <w:t xml:space="preserve"> </w:t>
      </w:r>
      <w:r w:rsidR="00A82CF8">
        <w:rPr>
          <w:rFonts w:cs="Arial"/>
          <w:szCs w:val="24"/>
        </w:rPr>
        <w:t xml:space="preserve">de la comunidad en su proceso de </w:t>
      </w:r>
      <w:r w:rsidR="00FB7120">
        <w:rPr>
          <w:rFonts w:cs="Arial"/>
          <w:szCs w:val="24"/>
        </w:rPr>
        <w:t>implementación</w:t>
      </w:r>
      <w:r w:rsidR="000D6E8B">
        <w:rPr>
          <w:rFonts w:cs="Arial"/>
          <w:szCs w:val="24"/>
        </w:rPr>
        <w:t>, s</w:t>
      </w:r>
      <w:r w:rsidR="00A82CF8">
        <w:rPr>
          <w:rFonts w:cs="Arial"/>
          <w:szCs w:val="24"/>
        </w:rPr>
        <w:t>e regi</w:t>
      </w:r>
      <w:r w:rsidR="00D469E1">
        <w:rPr>
          <w:rFonts w:cs="Arial"/>
          <w:szCs w:val="24"/>
        </w:rPr>
        <w:t>st</w:t>
      </w:r>
      <w:r w:rsidR="00A82CF8">
        <w:rPr>
          <w:rFonts w:cs="Arial"/>
          <w:szCs w:val="24"/>
        </w:rPr>
        <w:t xml:space="preserve">ran </w:t>
      </w:r>
      <w:r w:rsidR="001D5191">
        <w:rPr>
          <w:rFonts w:cs="Arial"/>
          <w:szCs w:val="24"/>
        </w:rPr>
        <w:t>reclamaciones</w:t>
      </w:r>
      <w:r w:rsidR="00A82CF8">
        <w:rPr>
          <w:rFonts w:cs="Arial"/>
          <w:szCs w:val="24"/>
        </w:rPr>
        <w:t xml:space="preserve"> que </w:t>
      </w:r>
      <w:r w:rsidR="001D5191">
        <w:rPr>
          <w:rFonts w:cs="Arial"/>
          <w:szCs w:val="24"/>
        </w:rPr>
        <w:t>plantean</w:t>
      </w:r>
      <w:r w:rsidR="00FB7120">
        <w:rPr>
          <w:rFonts w:cs="Arial"/>
          <w:szCs w:val="24"/>
        </w:rPr>
        <w:t xml:space="preserve"> los</w:t>
      </w:r>
      <w:r w:rsidR="00A82CF8">
        <w:rPr>
          <w:rFonts w:cs="Arial"/>
          <w:szCs w:val="24"/>
        </w:rPr>
        <w:t xml:space="preserve"> procesos</w:t>
      </w:r>
      <w:r w:rsidR="001D5191">
        <w:rPr>
          <w:rFonts w:cs="Arial"/>
          <w:szCs w:val="24"/>
        </w:rPr>
        <w:t xml:space="preserve"> participativos </w:t>
      </w:r>
      <w:r w:rsidR="00FB7120">
        <w:rPr>
          <w:rFonts w:cs="Arial"/>
          <w:szCs w:val="24"/>
        </w:rPr>
        <w:t xml:space="preserve">son </w:t>
      </w:r>
      <w:r w:rsidR="001D5191">
        <w:rPr>
          <w:rFonts w:cs="Arial"/>
          <w:szCs w:val="24"/>
        </w:rPr>
        <w:t>deficitarios</w:t>
      </w:r>
      <w:r w:rsidR="00FB7120">
        <w:rPr>
          <w:rFonts w:cs="Arial"/>
          <w:szCs w:val="24"/>
        </w:rPr>
        <w:t xml:space="preserve"> o no se han adecuado </w:t>
      </w:r>
      <w:r w:rsidR="001D5191">
        <w:rPr>
          <w:rFonts w:cs="Arial"/>
          <w:szCs w:val="24"/>
        </w:rPr>
        <w:t xml:space="preserve">a las pautas o modos culturales propios de </w:t>
      </w:r>
      <w:r w:rsidR="00D469E1">
        <w:rPr>
          <w:rFonts w:cs="Arial"/>
          <w:szCs w:val="24"/>
        </w:rPr>
        <w:t xml:space="preserve">cada </w:t>
      </w:r>
      <w:r w:rsidR="001D5191">
        <w:rPr>
          <w:rFonts w:cs="Arial"/>
          <w:szCs w:val="24"/>
        </w:rPr>
        <w:t>pueblo</w:t>
      </w:r>
      <w:r w:rsidR="00D469E1">
        <w:rPr>
          <w:rFonts w:cs="Arial"/>
          <w:szCs w:val="24"/>
        </w:rPr>
        <w:t>.</w:t>
      </w:r>
    </w:p>
    <w:p w14:paraId="4E94B084" w14:textId="77777777" w:rsidR="00B307CD" w:rsidRDefault="000D6E8B" w:rsidP="00B62D0B">
      <w:pPr>
        <w:pStyle w:val="ListParagraph"/>
        <w:ind w:left="0"/>
        <w:jc w:val="both"/>
        <w:rPr>
          <w:rFonts w:cs="Arial"/>
          <w:szCs w:val="24"/>
        </w:rPr>
      </w:pPr>
      <w:r>
        <w:rPr>
          <w:rFonts w:cs="Arial"/>
          <w:szCs w:val="24"/>
        </w:rPr>
        <w:tab/>
        <w:t xml:space="preserve">El espíritu de esta normativa consistió en determinar las tierras ocupadas en forma </w:t>
      </w:r>
      <w:r w:rsidR="00F7567C" w:rsidRPr="00F7567C">
        <w:rPr>
          <w:rFonts w:cs="Arial"/>
          <w:i/>
          <w:szCs w:val="24"/>
        </w:rPr>
        <w:t>A</w:t>
      </w:r>
      <w:r w:rsidRPr="00F7567C">
        <w:rPr>
          <w:rFonts w:cs="Arial"/>
          <w:i/>
          <w:szCs w:val="24"/>
        </w:rPr>
        <w:t xml:space="preserve">ctual, </w:t>
      </w:r>
      <w:r w:rsidR="00F7567C" w:rsidRPr="00F7567C">
        <w:rPr>
          <w:rFonts w:cs="Arial"/>
          <w:i/>
          <w:szCs w:val="24"/>
        </w:rPr>
        <w:t>T</w:t>
      </w:r>
      <w:r w:rsidRPr="00F7567C">
        <w:rPr>
          <w:rFonts w:cs="Arial"/>
          <w:i/>
          <w:szCs w:val="24"/>
        </w:rPr>
        <w:t xml:space="preserve">radicional y </w:t>
      </w:r>
      <w:r w:rsidR="00F7567C" w:rsidRPr="00F7567C">
        <w:rPr>
          <w:rFonts w:cs="Arial"/>
          <w:i/>
          <w:szCs w:val="24"/>
        </w:rPr>
        <w:t>P</w:t>
      </w:r>
      <w:r w:rsidRPr="00F7567C">
        <w:rPr>
          <w:rFonts w:cs="Arial"/>
          <w:i/>
          <w:szCs w:val="24"/>
        </w:rPr>
        <w:t>ública</w:t>
      </w:r>
      <w:r>
        <w:rPr>
          <w:rFonts w:cs="Arial"/>
          <w:szCs w:val="24"/>
        </w:rPr>
        <w:t xml:space="preserve"> por comunidades indígenas del país en pos de propender a la efectiva titulación de las mismas. Sin embargo, tal como ha publicado la Organización Amnistía Internacional en su informe 2019</w:t>
      </w:r>
      <w:r>
        <w:rPr>
          <w:rStyle w:val="FootnoteReference"/>
          <w:rFonts w:cs="Arial"/>
          <w:szCs w:val="24"/>
        </w:rPr>
        <w:footnoteReference w:id="8"/>
      </w:r>
      <w:r>
        <w:rPr>
          <w:rFonts w:cs="Arial"/>
          <w:szCs w:val="24"/>
        </w:rPr>
        <w:t xml:space="preserve"> a TRECE (13) años de su sanción y, luego de tres prorrogas legislativas, continúan sin releva</w:t>
      </w:r>
      <w:r w:rsidR="00B307CD">
        <w:rPr>
          <w:rFonts w:cs="Arial"/>
          <w:szCs w:val="24"/>
        </w:rPr>
        <w:t>rse 720 comunidades registradas,</w:t>
      </w:r>
      <w:r w:rsidR="00F7567C">
        <w:rPr>
          <w:rFonts w:cs="Arial"/>
          <w:szCs w:val="24"/>
        </w:rPr>
        <w:t xml:space="preserve"> solo se iniciaron</w:t>
      </w:r>
      <w:r w:rsidR="002B2B05">
        <w:rPr>
          <w:rFonts w:cs="Arial"/>
          <w:szCs w:val="24"/>
        </w:rPr>
        <w:t xml:space="preserve"> </w:t>
      </w:r>
      <w:r w:rsidR="00F7567C">
        <w:rPr>
          <w:rFonts w:cs="Arial"/>
          <w:szCs w:val="24"/>
        </w:rPr>
        <w:t xml:space="preserve">el 57%  de </w:t>
      </w:r>
      <w:r w:rsidR="002B2B05">
        <w:rPr>
          <w:rFonts w:cs="Arial"/>
          <w:szCs w:val="24"/>
        </w:rPr>
        <w:t xml:space="preserve">relevamientos </w:t>
      </w:r>
      <w:r w:rsidR="00B307CD">
        <w:rPr>
          <w:rFonts w:cs="Arial"/>
          <w:szCs w:val="24"/>
        </w:rPr>
        <w:t xml:space="preserve">previstos. </w:t>
      </w:r>
    </w:p>
    <w:p w14:paraId="39448AD3" w14:textId="77777777" w:rsidR="00B307CD" w:rsidRPr="00A82CF8" w:rsidRDefault="002B2B05" w:rsidP="00B62D0B">
      <w:pPr>
        <w:pStyle w:val="ListParagraph"/>
        <w:ind w:left="0"/>
        <w:jc w:val="both"/>
        <w:rPr>
          <w:rFonts w:cs="Arial"/>
          <w:szCs w:val="24"/>
        </w:rPr>
      </w:pPr>
      <w:r>
        <w:rPr>
          <w:rFonts w:cs="Arial"/>
          <w:szCs w:val="24"/>
        </w:rPr>
        <w:tab/>
        <w:t xml:space="preserve">Por otra parte, es preciso destacar que </w:t>
      </w:r>
      <w:r w:rsidR="00B307CD">
        <w:rPr>
          <w:rFonts w:cs="Arial"/>
          <w:szCs w:val="24"/>
        </w:rPr>
        <w:t>la Ley</w:t>
      </w:r>
      <w:r>
        <w:rPr>
          <w:rFonts w:cs="Arial"/>
          <w:szCs w:val="24"/>
        </w:rPr>
        <w:t xml:space="preserve"> Nº 26</w:t>
      </w:r>
      <w:r w:rsidR="00FB7120">
        <w:rPr>
          <w:rFonts w:cs="Arial"/>
          <w:szCs w:val="24"/>
        </w:rPr>
        <w:t>.</w:t>
      </w:r>
      <w:r>
        <w:rPr>
          <w:rFonts w:cs="Arial"/>
          <w:szCs w:val="24"/>
        </w:rPr>
        <w:t>160</w:t>
      </w:r>
      <w:r w:rsidR="00B307CD">
        <w:rPr>
          <w:rFonts w:cs="Arial"/>
          <w:szCs w:val="24"/>
        </w:rPr>
        <w:t xml:space="preserve"> se encuentra vigente hasta el 2</w:t>
      </w:r>
      <w:r>
        <w:rPr>
          <w:rFonts w:cs="Arial"/>
          <w:szCs w:val="24"/>
        </w:rPr>
        <w:t>3</w:t>
      </w:r>
      <w:r w:rsidR="00B307CD">
        <w:rPr>
          <w:rFonts w:cs="Arial"/>
          <w:szCs w:val="24"/>
        </w:rPr>
        <w:t xml:space="preserve"> de noviembre del año 2021, </w:t>
      </w:r>
      <w:r w:rsidR="00F7567C">
        <w:rPr>
          <w:rFonts w:cs="Arial"/>
          <w:szCs w:val="24"/>
        </w:rPr>
        <w:t xml:space="preserve">tiempo en el que </w:t>
      </w:r>
      <w:r>
        <w:rPr>
          <w:rFonts w:cs="Arial"/>
          <w:szCs w:val="24"/>
        </w:rPr>
        <w:t>debería completarse el 43</w:t>
      </w:r>
      <w:r w:rsidR="00B307CD">
        <w:rPr>
          <w:rFonts w:cs="Arial"/>
          <w:szCs w:val="24"/>
        </w:rPr>
        <w:t xml:space="preserve">% de los relevamientos restantes. </w:t>
      </w:r>
      <w:r w:rsidR="00FB7120">
        <w:rPr>
          <w:rFonts w:cs="Arial"/>
          <w:szCs w:val="24"/>
        </w:rPr>
        <w:t xml:space="preserve"> A ello se suma la situación de </w:t>
      </w:r>
      <w:r w:rsidR="00B307CD">
        <w:rPr>
          <w:rFonts w:cs="Arial"/>
          <w:szCs w:val="24"/>
        </w:rPr>
        <w:t xml:space="preserve">a aquellos relevamientos </w:t>
      </w:r>
      <w:r w:rsidR="00FB7120">
        <w:rPr>
          <w:rFonts w:cs="Arial"/>
          <w:szCs w:val="24"/>
        </w:rPr>
        <w:t xml:space="preserve">territoriales </w:t>
      </w:r>
      <w:r w:rsidR="00B307CD">
        <w:rPr>
          <w:rFonts w:cs="Arial"/>
          <w:szCs w:val="24"/>
        </w:rPr>
        <w:t xml:space="preserve">iniciados pero </w:t>
      </w:r>
      <w:r w:rsidR="00FB7120">
        <w:rPr>
          <w:rFonts w:cs="Arial"/>
          <w:szCs w:val="24"/>
        </w:rPr>
        <w:t xml:space="preserve">que no han </w:t>
      </w:r>
      <w:r w:rsidR="00B307CD">
        <w:rPr>
          <w:rFonts w:cs="Arial"/>
          <w:szCs w:val="24"/>
        </w:rPr>
        <w:t>concluido</w:t>
      </w:r>
      <w:r w:rsidR="00FB7120">
        <w:rPr>
          <w:rFonts w:cs="Arial"/>
          <w:szCs w:val="24"/>
        </w:rPr>
        <w:t>,</w:t>
      </w:r>
      <w:r w:rsidR="00B307CD">
        <w:rPr>
          <w:rFonts w:cs="Arial"/>
          <w:szCs w:val="24"/>
        </w:rPr>
        <w:t xml:space="preserve"> por lo que en términos reales</w:t>
      </w:r>
      <w:r w:rsidR="00FB7120">
        <w:rPr>
          <w:rFonts w:cs="Arial"/>
          <w:szCs w:val="24"/>
        </w:rPr>
        <w:t xml:space="preserve">, los relevamientos territoriales </w:t>
      </w:r>
      <w:r w:rsidR="00F7567C">
        <w:rPr>
          <w:rFonts w:cs="Arial"/>
          <w:szCs w:val="24"/>
        </w:rPr>
        <w:t xml:space="preserve">efectivamente </w:t>
      </w:r>
      <w:r w:rsidR="00FB7120">
        <w:rPr>
          <w:rFonts w:cs="Arial"/>
          <w:szCs w:val="24"/>
        </w:rPr>
        <w:t>finalizad</w:t>
      </w:r>
      <w:r w:rsidR="00F7567C">
        <w:rPr>
          <w:rFonts w:cs="Arial"/>
          <w:szCs w:val="24"/>
        </w:rPr>
        <w:t>o</w:t>
      </w:r>
      <w:r w:rsidR="00FB7120">
        <w:rPr>
          <w:rFonts w:cs="Arial"/>
          <w:szCs w:val="24"/>
        </w:rPr>
        <w:t xml:space="preserve">s a la fecha desde la sanción de la Ley Nº 26160 </w:t>
      </w:r>
      <w:r w:rsidR="00B307CD">
        <w:rPr>
          <w:rFonts w:cs="Arial"/>
          <w:szCs w:val="24"/>
        </w:rPr>
        <w:t>representa</w:t>
      </w:r>
      <w:r w:rsidR="00FB7120">
        <w:rPr>
          <w:rFonts w:cs="Arial"/>
          <w:szCs w:val="24"/>
        </w:rPr>
        <w:t>n</w:t>
      </w:r>
      <w:r w:rsidR="00B307CD">
        <w:rPr>
          <w:rFonts w:cs="Arial"/>
          <w:szCs w:val="24"/>
        </w:rPr>
        <w:t xml:space="preserve"> </w:t>
      </w:r>
      <w:r w:rsidR="00B307CD" w:rsidRPr="00F7567C">
        <w:rPr>
          <w:rFonts w:cs="Arial"/>
          <w:szCs w:val="24"/>
        </w:rPr>
        <w:t>el 38 % del</w:t>
      </w:r>
      <w:r w:rsidR="00B307CD">
        <w:rPr>
          <w:rFonts w:cs="Arial"/>
          <w:szCs w:val="24"/>
        </w:rPr>
        <w:t xml:space="preserve"> total de relevamientos territoriales iniciados.</w:t>
      </w:r>
    </w:p>
    <w:p w14:paraId="158E9673" w14:textId="77777777" w:rsidR="00E849DD" w:rsidRPr="00F7567C" w:rsidRDefault="00E55545" w:rsidP="00E849DD">
      <w:pPr>
        <w:jc w:val="both"/>
        <w:rPr>
          <w:rFonts w:cs="Arial"/>
          <w:i/>
          <w:szCs w:val="24"/>
        </w:rPr>
      </w:pPr>
      <w:r w:rsidRPr="00F7567C">
        <w:rPr>
          <w:rFonts w:cs="Arial"/>
          <w:i/>
          <w:szCs w:val="24"/>
        </w:rPr>
        <w:t>Eje 3:</w:t>
      </w:r>
      <w:r w:rsidR="00E849DD" w:rsidRPr="00F7567C">
        <w:rPr>
          <w:rFonts w:cs="Arial"/>
          <w:i/>
          <w:szCs w:val="24"/>
        </w:rPr>
        <w:t xml:space="preserve"> Hasta qué punto los Estados aplican la norma del consentimiento libre, previo e informado para la aprobación de proyectos que afectan las tierras, territorios y recursos de los pueblos indígenas, teniendo en cuenta el Estudio producido por el EMRIP sobre este tema, en 2018 - http: // </w:t>
      </w:r>
      <w:proofErr w:type="spellStart"/>
      <w:r w:rsidR="00E849DD" w:rsidRPr="00F7567C">
        <w:rPr>
          <w:rFonts w:cs="Arial"/>
          <w:i/>
          <w:szCs w:val="24"/>
        </w:rPr>
        <w:t>ap</w:t>
      </w:r>
      <w:proofErr w:type="spellEnd"/>
      <w:r w:rsidR="00E849DD" w:rsidRPr="00F7567C">
        <w:rPr>
          <w:rFonts w:cs="Arial"/>
          <w:i/>
          <w:szCs w:val="24"/>
        </w:rPr>
        <w:t xml:space="preserve"> .ohchr.org / </w:t>
      </w:r>
      <w:proofErr w:type="spellStart"/>
      <w:r w:rsidR="00E849DD" w:rsidRPr="00F7567C">
        <w:rPr>
          <w:rFonts w:cs="Arial"/>
          <w:i/>
          <w:szCs w:val="24"/>
        </w:rPr>
        <w:t>documents</w:t>
      </w:r>
      <w:proofErr w:type="spellEnd"/>
      <w:r w:rsidR="00E849DD" w:rsidRPr="00F7567C">
        <w:rPr>
          <w:rFonts w:cs="Arial"/>
          <w:i/>
          <w:szCs w:val="24"/>
        </w:rPr>
        <w:t xml:space="preserve"> / dpage_e.aspx? si = A / HRC / 39/62</w:t>
      </w:r>
    </w:p>
    <w:p w14:paraId="1A2E6C6E" w14:textId="77777777" w:rsidR="00802723" w:rsidRDefault="00802723" w:rsidP="00A22BC0">
      <w:pPr>
        <w:jc w:val="both"/>
        <w:rPr>
          <w:rFonts w:cs="Arial"/>
        </w:rPr>
      </w:pPr>
      <w:r>
        <w:rPr>
          <w:rFonts w:cs="Arial"/>
          <w:szCs w:val="24"/>
        </w:rPr>
        <w:tab/>
      </w:r>
      <w:r w:rsidR="000C5A8E">
        <w:rPr>
          <w:rFonts w:cs="Arial"/>
          <w:szCs w:val="24"/>
        </w:rPr>
        <w:t>A</w:t>
      </w:r>
      <w:r w:rsidR="00E55545">
        <w:rPr>
          <w:rFonts w:cs="Arial"/>
          <w:szCs w:val="24"/>
        </w:rPr>
        <w:t xml:space="preserve">rgentina </w:t>
      </w:r>
      <w:r w:rsidR="000C5A8E">
        <w:rPr>
          <w:rFonts w:cs="Arial"/>
          <w:szCs w:val="24"/>
        </w:rPr>
        <w:t xml:space="preserve">no ha promulgado una Ley </w:t>
      </w:r>
      <w:r w:rsidR="00A22BC0">
        <w:rPr>
          <w:rFonts w:cs="Arial"/>
          <w:szCs w:val="24"/>
        </w:rPr>
        <w:t xml:space="preserve">Nacional </w:t>
      </w:r>
      <w:r w:rsidR="000C5A8E">
        <w:rPr>
          <w:rFonts w:cs="Arial"/>
          <w:szCs w:val="24"/>
        </w:rPr>
        <w:t xml:space="preserve">de Consulta Previa Libre e Informada que permita </w:t>
      </w:r>
      <w:r w:rsidR="00A22BC0">
        <w:rPr>
          <w:rFonts w:cs="Arial"/>
          <w:szCs w:val="24"/>
        </w:rPr>
        <w:t xml:space="preserve">fijar los marcos mínimos en materia de estándares internacionales para el ejercicio de este derecho colectivo. </w:t>
      </w:r>
      <w:r w:rsidR="000C5A8E" w:rsidRPr="00802723">
        <w:rPr>
          <w:rFonts w:cs="Arial"/>
        </w:rPr>
        <w:t>Según información remitida por el instituto Nacional de Asun</w:t>
      </w:r>
      <w:r w:rsidR="00A22BC0">
        <w:rPr>
          <w:rFonts w:cs="Arial"/>
        </w:rPr>
        <w:t xml:space="preserve">tos Indígenas durante el 2019 </w:t>
      </w:r>
      <w:r w:rsidR="00F7567C">
        <w:rPr>
          <w:rFonts w:cs="Arial"/>
        </w:rPr>
        <w:t>d</w:t>
      </w:r>
      <w:r w:rsidR="00A22BC0">
        <w:rPr>
          <w:rFonts w:cs="Arial"/>
        </w:rPr>
        <w:t xml:space="preserve">esde la </w:t>
      </w:r>
      <w:r w:rsidR="00F7567C">
        <w:rPr>
          <w:rFonts w:cs="Arial"/>
        </w:rPr>
        <w:t xml:space="preserve">entonces, </w:t>
      </w:r>
      <w:r w:rsidR="00A22BC0">
        <w:rPr>
          <w:rFonts w:cs="Arial"/>
        </w:rPr>
        <w:t xml:space="preserve">Secretaria de Derechos Humanos y Pluralismo Cultural de la Nación se </w:t>
      </w:r>
      <w:r w:rsidR="000C5A8E" w:rsidRPr="00802723">
        <w:rPr>
          <w:rFonts w:cs="Arial"/>
        </w:rPr>
        <w:t>trabaj</w:t>
      </w:r>
      <w:r w:rsidR="00B477A1" w:rsidRPr="00802723">
        <w:rPr>
          <w:rFonts w:cs="Arial"/>
        </w:rPr>
        <w:t>ó</w:t>
      </w:r>
      <w:r w:rsidR="000C5A8E" w:rsidRPr="00802723">
        <w:rPr>
          <w:rFonts w:cs="Arial"/>
        </w:rPr>
        <w:t xml:space="preserve"> en </w:t>
      </w:r>
      <w:r w:rsidR="000F0DDF">
        <w:rPr>
          <w:rFonts w:cs="Arial"/>
        </w:rPr>
        <w:t>la realización de</w:t>
      </w:r>
      <w:r w:rsidR="000C5A8E" w:rsidRPr="00802723">
        <w:rPr>
          <w:rFonts w:cs="Arial"/>
        </w:rPr>
        <w:t xml:space="preserve">r </w:t>
      </w:r>
      <w:r w:rsidR="00B477A1" w:rsidRPr="00802723">
        <w:rPr>
          <w:rFonts w:cs="Arial"/>
        </w:rPr>
        <w:t>consultas</w:t>
      </w:r>
      <w:r w:rsidR="000C5A8E" w:rsidRPr="00802723">
        <w:rPr>
          <w:rFonts w:cs="Arial"/>
        </w:rPr>
        <w:t xml:space="preserve"> </w:t>
      </w:r>
      <w:r w:rsidR="000F0DDF">
        <w:rPr>
          <w:rFonts w:cs="Arial"/>
        </w:rPr>
        <w:t>a</w:t>
      </w:r>
      <w:r w:rsidR="000C5A8E" w:rsidRPr="00802723">
        <w:rPr>
          <w:rFonts w:cs="Arial"/>
        </w:rPr>
        <w:t xml:space="preserve"> los pueblos </w:t>
      </w:r>
      <w:r w:rsidR="00B477A1" w:rsidRPr="00802723">
        <w:rPr>
          <w:rFonts w:cs="Arial"/>
        </w:rPr>
        <w:t>indígenas</w:t>
      </w:r>
      <w:r w:rsidR="000C5A8E" w:rsidRPr="00802723">
        <w:rPr>
          <w:rFonts w:cs="Arial"/>
        </w:rPr>
        <w:t xml:space="preserve"> a fine</w:t>
      </w:r>
      <w:r w:rsidR="000F0DDF">
        <w:rPr>
          <w:rFonts w:cs="Arial"/>
        </w:rPr>
        <w:t xml:space="preserve"> </w:t>
      </w:r>
      <w:r w:rsidR="000C5A8E" w:rsidRPr="00802723">
        <w:rPr>
          <w:rFonts w:cs="Arial"/>
        </w:rPr>
        <w:t xml:space="preserve">de diseñar la propuesta normativa. </w:t>
      </w:r>
      <w:r w:rsidRPr="00802723">
        <w:rPr>
          <w:rFonts w:cs="Arial"/>
        </w:rPr>
        <w:t xml:space="preserve">Ello, en el marco del Plan Nacional de Acción en Derechos Humanos 2017-2020, </w:t>
      </w:r>
      <w:r w:rsidR="00A22BC0">
        <w:rPr>
          <w:rFonts w:cs="Arial"/>
        </w:rPr>
        <w:t xml:space="preserve">se </w:t>
      </w:r>
      <w:r w:rsidRPr="00802723">
        <w:rPr>
          <w:rFonts w:cs="Arial"/>
        </w:rPr>
        <w:t xml:space="preserve">inició un proceso de consulta a fin de avanzar en la reglamentación de la Ley 24.071 (de adopción del Convenio 169 OIT). En pos de ello, actualmente se trabaja en un proceso de consulta sobre la consulta con los propios representantes de pueblos indígenas, a fin de entablar un diálogo intercultural que permita establecer de manera conjunta– Estado y Pueblos Indígenas- los lineamientos básicos necesarios para desarrollar  los procesos de consulta en respeto de su cosmovisión y prácticas culturales. </w:t>
      </w:r>
    </w:p>
    <w:p w14:paraId="020289B6" w14:textId="77777777" w:rsidR="00A22BC0" w:rsidRPr="00A22BC0" w:rsidRDefault="00A22BC0" w:rsidP="00A22BC0">
      <w:pPr>
        <w:jc w:val="both"/>
        <w:rPr>
          <w:rFonts w:cs="Arial"/>
          <w:szCs w:val="24"/>
        </w:rPr>
      </w:pPr>
      <w:r>
        <w:rPr>
          <w:rFonts w:cs="Arial"/>
          <w:szCs w:val="24"/>
        </w:rPr>
        <w:tab/>
        <w:t>A falta de esta norma fundamental, algunas provincias como Catamarca y Salta diseñaron instrumentos propios para aplicar consultas previas ante decisiones administrativas o legislativas susceptibles de afectar derechos territoriales.</w:t>
      </w:r>
    </w:p>
    <w:p w14:paraId="3669C51D" w14:textId="77777777" w:rsidR="006951C4" w:rsidRPr="00F5160B" w:rsidRDefault="006951C4" w:rsidP="006951C4">
      <w:pPr>
        <w:jc w:val="both"/>
        <w:rPr>
          <w:rFonts w:cs="Arial"/>
          <w:szCs w:val="24"/>
        </w:rPr>
      </w:pPr>
      <w:r>
        <w:rPr>
          <w:rFonts w:cs="Arial"/>
          <w:color w:val="FF0000"/>
          <w:szCs w:val="24"/>
        </w:rPr>
        <w:tab/>
      </w:r>
      <w:r w:rsidRPr="00F5160B">
        <w:rPr>
          <w:rFonts w:cs="Arial"/>
          <w:szCs w:val="24"/>
        </w:rPr>
        <w:t xml:space="preserve">Paralelamente, vale mencionar que el Decreto Nº 672/2016 creó el Consejo Consultivo de Participación de los Pueblos Indígenas de Argentina, el cual, en su art. 2° - </w:t>
      </w:r>
      <w:r w:rsidR="000F0DDF">
        <w:rPr>
          <w:rFonts w:cs="Arial"/>
          <w:szCs w:val="24"/>
        </w:rPr>
        <w:t>e</w:t>
      </w:r>
      <w:r w:rsidR="000F0DDF" w:rsidRPr="00F5160B">
        <w:rPr>
          <w:rFonts w:cs="Arial"/>
          <w:szCs w:val="24"/>
        </w:rPr>
        <w:t>stablece</w:t>
      </w:r>
      <w:r w:rsidRPr="00F5160B">
        <w:rPr>
          <w:rFonts w:cs="Arial"/>
          <w:szCs w:val="24"/>
        </w:rPr>
        <w:t xml:space="preserve"> que éste órgano propenderá a generar condiciones para que se efectivice un diálogo intercultural, a fin de que las medidas legislativas y/o administrativas que afecten directamente a los Pueblos y/o Comunidades Indígenas, hayan contado con su intervención previa, incluyéndolos en los procesos de toma de decisión, actuando de buena fe y de una manera apropiada a las circunstancias, con la finalidad de llegar a un acuerdo o lograr el consentimiento acerca de las medidas propuestas.</w:t>
      </w:r>
    </w:p>
    <w:p w14:paraId="12BBB3A5" w14:textId="77777777" w:rsidR="000F0DDF" w:rsidRDefault="006951C4" w:rsidP="00A22BC0">
      <w:pPr>
        <w:jc w:val="both"/>
        <w:rPr>
          <w:rFonts w:cs="Arial"/>
          <w:szCs w:val="24"/>
        </w:rPr>
      </w:pPr>
      <w:r w:rsidRPr="00F5160B">
        <w:rPr>
          <w:rFonts w:cs="Arial"/>
        </w:rPr>
        <w:tab/>
      </w:r>
      <w:r w:rsidRPr="00F5160B">
        <w:rPr>
          <w:rFonts w:cs="Arial"/>
          <w:szCs w:val="24"/>
        </w:rPr>
        <w:t xml:space="preserve">Por otra parte, la Ley Nº 26.331 de Presupuestos Mínimos de Protección Ambiental de los Bosques Nativos dispone que las provincias realicen un Ordenamiento Territorial, define formas participativas involucrando a las comunidades indígenas. </w:t>
      </w:r>
      <w:r w:rsidRPr="00F5160B">
        <w:rPr>
          <w:rFonts w:cs="Arial"/>
          <w:szCs w:val="24"/>
          <w:u w:val="single"/>
        </w:rPr>
        <w:t>Este ordenamiento del territorio establece como criterio prioritario atender a los intereses de las comunidades indígenas que viven del monte, reconociendo el derecho a usar y decidir sobre sus tierras y recursos</w:t>
      </w:r>
      <w:r w:rsidRPr="00F5160B">
        <w:rPr>
          <w:rFonts w:cs="Arial"/>
          <w:szCs w:val="24"/>
        </w:rPr>
        <w:t xml:space="preserve">. A modo de ejemplo podemos mencionar a la Provincia de Salta que creó el Área de Participación Social en el marco de la Secretaria de </w:t>
      </w:r>
      <w:r w:rsidR="000F0DDF">
        <w:rPr>
          <w:rFonts w:cs="Arial"/>
          <w:szCs w:val="24"/>
        </w:rPr>
        <w:t>Ambiente y D</w:t>
      </w:r>
      <w:r w:rsidRPr="00F5160B">
        <w:rPr>
          <w:rFonts w:cs="Arial"/>
          <w:szCs w:val="24"/>
        </w:rPr>
        <w:t xml:space="preserve">esarrollo sustentable a los fines de brindar asistencia técnica para la implementación de la </w:t>
      </w:r>
      <w:r w:rsidR="000F0DDF">
        <w:rPr>
          <w:rFonts w:cs="Arial"/>
          <w:szCs w:val="24"/>
        </w:rPr>
        <w:t xml:space="preserve">nombrada Ley. </w:t>
      </w:r>
    </w:p>
    <w:p w14:paraId="45E77DB5" w14:textId="77777777" w:rsidR="00C70BEE" w:rsidRPr="00F5160B" w:rsidRDefault="000F0DDF" w:rsidP="000F0DDF">
      <w:pPr>
        <w:ind w:firstLine="708"/>
        <w:jc w:val="both"/>
        <w:rPr>
          <w:rFonts w:cs="Arial"/>
          <w:szCs w:val="24"/>
        </w:rPr>
      </w:pPr>
      <w:r>
        <w:rPr>
          <w:rFonts w:cs="Arial"/>
          <w:szCs w:val="24"/>
        </w:rPr>
        <w:t>E</w:t>
      </w:r>
      <w:r w:rsidR="006951C4" w:rsidRPr="00F5160B">
        <w:rPr>
          <w:rFonts w:cs="Arial"/>
          <w:szCs w:val="24"/>
        </w:rPr>
        <w:t>n el año 2015 se aprueba el contenido de las guías para la implementación de la ley 26.331 (“guía de análisis de actores sociales para el proceso participativo de ordenamiento territorial de bosques nativos”, “guía de difusión para el proceso participativo del ordenamiento territorial de bosques nativos”, “guía de metodologías para el proceso participativo del ordenamiento territorial de bosques nativos”, “guía para la documentación de proceso participativo del ordenamiento territorial de bosques nativos”).</w:t>
      </w:r>
    </w:p>
    <w:p w14:paraId="5CCE6E81" w14:textId="77777777" w:rsidR="00C70BEE" w:rsidRPr="00F5160B" w:rsidRDefault="000F0DDF" w:rsidP="00C70BEE">
      <w:pPr>
        <w:spacing w:line="360" w:lineRule="auto"/>
        <w:jc w:val="both"/>
      </w:pPr>
      <w:r>
        <w:t>Desde</w:t>
      </w:r>
      <w:r w:rsidR="00C70BEE" w:rsidRPr="00F5160B">
        <w:t xml:space="preserve"> </w:t>
      </w:r>
      <w:r w:rsidRPr="00F5160B">
        <w:t>el INAI</w:t>
      </w:r>
      <w:r>
        <w:t xml:space="preserve"> existe</w:t>
      </w:r>
      <w:r w:rsidR="00C83720">
        <w:t xml:space="preserve"> además</w:t>
      </w:r>
      <w:r w:rsidRPr="00F5160B">
        <w:t xml:space="preserve"> </w:t>
      </w:r>
      <w:r>
        <w:t>una c</w:t>
      </w:r>
      <w:r w:rsidR="00C70BEE" w:rsidRPr="00F5160B">
        <w:t xml:space="preserve">onvocatoria sobre </w:t>
      </w:r>
      <w:r w:rsidR="00C83720">
        <w:t>la</w:t>
      </w:r>
      <w:r w:rsidR="00C70BEE" w:rsidRPr="00F5160B">
        <w:t xml:space="preserve"> Iniciativa denominada TICCA </w:t>
      </w:r>
      <w:r>
        <w:t>(</w:t>
      </w:r>
      <w:r w:rsidRPr="00F5160B">
        <w:t xml:space="preserve">Territorios </w:t>
      </w:r>
      <w:r>
        <w:t>y</w:t>
      </w:r>
      <w:r w:rsidRPr="00F5160B">
        <w:t xml:space="preserve"> Áreas Conservados </w:t>
      </w:r>
      <w:r>
        <w:t>p</w:t>
      </w:r>
      <w:r w:rsidRPr="00F5160B">
        <w:t xml:space="preserve">or Pueblos Indígenas </w:t>
      </w:r>
      <w:r>
        <w:t>y</w:t>
      </w:r>
      <w:r w:rsidRPr="00F5160B">
        <w:t xml:space="preserve"> Comunidades Locales</w:t>
      </w:r>
      <w:r>
        <w:t xml:space="preserve">), esta </w:t>
      </w:r>
      <w:r w:rsidR="00C83720">
        <w:t>iniciativa</w:t>
      </w:r>
      <w:r w:rsidR="00C70BEE" w:rsidRPr="00F5160B">
        <w:t xml:space="preserve"> tiene como objetivos, el reconocimiento, apoyo y eficacia de la conservación de la biodiversidad, la promoción de medios de vidas sostenibles, la resiliencia al cambio climático, proteger las aguas internacionales, reducir el impacto de los Contaminantes Orgánicos Persistentes (COP) y preven</w:t>
      </w:r>
      <w:r>
        <w:t>ir la degradación de la tierra.</w:t>
      </w:r>
    </w:p>
    <w:p w14:paraId="76723E53" w14:textId="77777777" w:rsidR="00C70BEE" w:rsidRPr="00F5160B" w:rsidRDefault="00C70BEE" w:rsidP="00C70BEE">
      <w:pPr>
        <w:spacing w:line="360" w:lineRule="auto"/>
        <w:jc w:val="both"/>
      </w:pPr>
      <w:r w:rsidRPr="00F5160B">
        <w:t xml:space="preserve">En el Grupo Técnico Asesor de la Iniciativa TICCA Argentina participa </w:t>
      </w:r>
      <w:r w:rsidR="00C83720">
        <w:t xml:space="preserve">el Ministerio de </w:t>
      </w:r>
      <w:r w:rsidRPr="00F5160B">
        <w:t>Ambiente de la Nación; el Instituto Nacional de Asuntos Indígenas (INAI); la Facultad Latinoamericana de Ciencias Sociales (FLACSO); e integrantes del Consejo de Participación Indígena (CPI) de la Región Sur, Centro, NEA, NOA; la Administración de Parques Nacionales.</w:t>
      </w:r>
      <w:r w:rsidR="00C83720">
        <w:t xml:space="preserve"> Tiene además</w:t>
      </w:r>
      <w:r w:rsidR="00C83720" w:rsidRPr="00C83720">
        <w:t xml:space="preserve"> </w:t>
      </w:r>
      <w:r w:rsidR="00C83720" w:rsidRPr="00F5160B">
        <w:t>el objetivo de que las comunidades indígenas participe</w:t>
      </w:r>
      <w:r w:rsidR="00C83720">
        <w:t>n</w:t>
      </w:r>
      <w:r w:rsidR="00C83720" w:rsidRPr="00F5160B">
        <w:t>, sean incluid</w:t>
      </w:r>
      <w:r w:rsidR="00C83720">
        <w:t>as</w:t>
      </w:r>
      <w:r w:rsidR="00C83720" w:rsidRPr="00F5160B">
        <w:t xml:space="preserve"> de manera flexible y </w:t>
      </w:r>
      <w:r w:rsidR="00F03701" w:rsidRPr="00F5160B">
        <w:t>equitativa</w:t>
      </w:r>
      <w:r w:rsidR="00C83720" w:rsidRPr="00F5160B">
        <w:t xml:space="preserve">, a </w:t>
      </w:r>
      <w:r w:rsidR="00F03701" w:rsidRPr="00F5160B">
        <w:t>fin de ident</w:t>
      </w:r>
      <w:r w:rsidR="00F03701">
        <w:t>ificar las áreas naturales a proteger</w:t>
      </w:r>
      <w:r w:rsidR="00C83720">
        <w:t>.</w:t>
      </w:r>
    </w:p>
    <w:sectPr w:rsidR="00C70BEE" w:rsidRPr="00F5160B" w:rsidSect="00C23C6B">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5D6B" w14:textId="77777777" w:rsidR="00302530" w:rsidRDefault="00302530" w:rsidP="00060735">
      <w:pPr>
        <w:spacing w:after="0" w:line="240" w:lineRule="auto"/>
      </w:pPr>
      <w:r>
        <w:separator/>
      </w:r>
    </w:p>
  </w:endnote>
  <w:endnote w:type="continuationSeparator" w:id="0">
    <w:p w14:paraId="284EABD0" w14:textId="77777777" w:rsidR="00302530" w:rsidRDefault="00302530" w:rsidP="0006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A1409" w14:textId="77777777" w:rsidR="00302530" w:rsidRDefault="00302530" w:rsidP="00060735">
      <w:pPr>
        <w:spacing w:after="0" w:line="240" w:lineRule="auto"/>
      </w:pPr>
      <w:r>
        <w:separator/>
      </w:r>
    </w:p>
  </w:footnote>
  <w:footnote w:type="continuationSeparator" w:id="0">
    <w:p w14:paraId="239ECCED" w14:textId="77777777" w:rsidR="00302530" w:rsidRDefault="00302530" w:rsidP="00060735">
      <w:pPr>
        <w:spacing w:after="0" w:line="240" w:lineRule="auto"/>
      </w:pPr>
      <w:r>
        <w:continuationSeparator/>
      </w:r>
    </w:p>
  </w:footnote>
  <w:footnote w:id="1">
    <w:p w14:paraId="6ECB370A" w14:textId="77777777" w:rsidR="00C83720" w:rsidRDefault="00C83720" w:rsidP="00F95393">
      <w:pPr>
        <w:pStyle w:val="FootnoteText"/>
        <w:spacing w:line="240" w:lineRule="auto"/>
        <w:contextualSpacing/>
      </w:pPr>
      <w:r>
        <w:rPr>
          <w:rStyle w:val="FootnoteReference"/>
        </w:rPr>
        <w:footnoteRef/>
      </w:r>
      <w:r>
        <w:t xml:space="preserve"> </w:t>
      </w:r>
      <w:r w:rsidRPr="004E341E">
        <w:t>http://servicios.infoleg.gob.ar/infolegInternet/anexos/165000-169999/167619/norma.htm</w:t>
      </w:r>
    </w:p>
  </w:footnote>
  <w:footnote w:id="2">
    <w:p w14:paraId="050B62F0" w14:textId="77777777" w:rsidR="00C83720" w:rsidRDefault="00C83720" w:rsidP="00AB39CC">
      <w:pPr>
        <w:pStyle w:val="FootnoteText"/>
        <w:spacing w:line="240" w:lineRule="auto"/>
        <w:contextualSpacing/>
      </w:pPr>
      <w:r>
        <w:rPr>
          <w:rStyle w:val="FootnoteReference"/>
        </w:rPr>
        <w:footnoteRef/>
      </w:r>
      <w:r>
        <w:t xml:space="preserve"> </w:t>
      </w:r>
      <w:r w:rsidRPr="00AB39CC">
        <w:t>https://www.senado.gov.ar/parlamentario/comisiones/verExp/1984.19/S/PL</w:t>
      </w:r>
    </w:p>
  </w:footnote>
  <w:footnote w:id="3">
    <w:p w14:paraId="20DF3EAC" w14:textId="77777777" w:rsidR="00C83720" w:rsidRDefault="00C83720" w:rsidP="00AB39CC">
      <w:pPr>
        <w:pStyle w:val="FootnoteText"/>
      </w:pPr>
      <w:r>
        <w:rPr>
          <w:rStyle w:val="FootnoteReference"/>
        </w:rPr>
        <w:footnoteRef/>
      </w:r>
      <w:r>
        <w:t xml:space="preserve"> </w:t>
      </w:r>
      <w:r w:rsidRPr="003822AB">
        <w:t>https://www.senado.gov.ar/parlamentario/comisiones/verExp/2280.19/S/PL</w:t>
      </w:r>
    </w:p>
  </w:footnote>
  <w:footnote w:id="4">
    <w:p w14:paraId="2F7409C7" w14:textId="77777777" w:rsidR="00C83720" w:rsidRPr="00EC5A99" w:rsidRDefault="00C83720" w:rsidP="00F95393">
      <w:pPr>
        <w:pStyle w:val="ListParagraph"/>
        <w:spacing w:after="0" w:line="240" w:lineRule="auto"/>
        <w:ind w:left="0"/>
        <w:contextualSpacing/>
        <w:jc w:val="both"/>
        <w:rPr>
          <w:color w:val="1F497D" w:themeColor="text2"/>
        </w:rPr>
      </w:pPr>
      <w:r>
        <w:rPr>
          <w:rStyle w:val="FootnoteReference"/>
        </w:rPr>
        <w:footnoteRef/>
      </w:r>
      <w:r>
        <w:t xml:space="preserve"> </w:t>
      </w:r>
      <w:r w:rsidRPr="00EA2496">
        <w:rPr>
          <w:color w:val="1F497D" w:themeColor="text2"/>
          <w:sz w:val="22"/>
        </w:rPr>
        <w:t>https://www.agn.gov.ar/sites/default/files/informes/informe_100_2017.pdf</w:t>
      </w:r>
    </w:p>
  </w:footnote>
  <w:footnote w:id="5">
    <w:p w14:paraId="11A7E11A" w14:textId="77777777" w:rsidR="00C83720" w:rsidRDefault="00C83720" w:rsidP="00EC5A99">
      <w:pPr>
        <w:pStyle w:val="FootnoteText"/>
        <w:spacing w:after="0" w:line="240" w:lineRule="auto"/>
        <w:contextualSpacing/>
      </w:pPr>
    </w:p>
  </w:footnote>
  <w:footnote w:id="6">
    <w:p w14:paraId="707352B2" w14:textId="77777777" w:rsidR="00C83720" w:rsidRDefault="00C83720" w:rsidP="00AD6860">
      <w:pPr>
        <w:pStyle w:val="FootnoteText"/>
        <w:spacing w:after="0" w:line="240" w:lineRule="auto"/>
        <w:jc w:val="both"/>
      </w:pPr>
      <w:r>
        <w:rPr>
          <w:rStyle w:val="FootnoteReference"/>
        </w:rPr>
        <w:footnoteRef/>
      </w:r>
      <w:r>
        <w:t xml:space="preserve"> </w:t>
      </w:r>
      <w:r>
        <w:rPr>
          <w:rFonts w:cs="Arial"/>
          <w:szCs w:val="24"/>
        </w:rPr>
        <w:t>Como fundamento de ello, podemos afirmar que del total de tramites registrados en la Oficina de Pueblos Indígenas del DPN del DPN (71) el 28% corresponde a reclamaciones vinculadas a demandas por el ejercicio real de derechos territoriales porcentajes reflejados en los reclamos que tramitan en la Defensoría del Pueblo, siguiéndole la vulneración del derecho a la salud con un 12 %.</w:t>
      </w:r>
    </w:p>
  </w:footnote>
  <w:footnote w:id="7">
    <w:p w14:paraId="133875F8" w14:textId="77777777" w:rsidR="00C83720" w:rsidRPr="000F0DDF" w:rsidRDefault="00C83720" w:rsidP="000F0DDF">
      <w:pPr>
        <w:pStyle w:val="FootnoteText"/>
        <w:spacing w:after="0" w:line="240" w:lineRule="auto"/>
        <w:contextualSpacing/>
        <w:jc w:val="both"/>
        <w:rPr>
          <w:sz w:val="18"/>
          <w:szCs w:val="18"/>
        </w:rPr>
      </w:pPr>
      <w:r w:rsidRPr="000F0DDF">
        <w:rPr>
          <w:rStyle w:val="FootnoteReference"/>
          <w:sz w:val="18"/>
          <w:szCs w:val="18"/>
        </w:rPr>
        <w:footnoteRef/>
      </w:r>
      <w:r w:rsidRPr="000F0DDF">
        <w:rPr>
          <w:sz w:val="18"/>
          <w:szCs w:val="18"/>
        </w:rPr>
        <w:t xml:space="preserve"> http://www.saij.gob.ar/1122-nacional-decreto-reglamentario-ley-n-26160-emergencia-sobre-posesion-propiedad-tierras-ocupan-comunidades-indigenas-dn20070001122-2007-08-23/123456789-0abc-221-1000-7002soterced</w:t>
      </w:r>
    </w:p>
  </w:footnote>
  <w:footnote w:id="8">
    <w:p w14:paraId="781275F2" w14:textId="77777777" w:rsidR="00C83720" w:rsidRPr="000F0DDF" w:rsidRDefault="00C83720" w:rsidP="000F0DDF">
      <w:pPr>
        <w:pStyle w:val="FootnoteText"/>
        <w:jc w:val="both"/>
        <w:rPr>
          <w:sz w:val="18"/>
          <w:szCs w:val="18"/>
        </w:rPr>
      </w:pPr>
      <w:r w:rsidRPr="000F0DDF">
        <w:rPr>
          <w:rStyle w:val="FootnoteReference"/>
          <w:sz w:val="18"/>
          <w:szCs w:val="18"/>
        </w:rPr>
        <w:footnoteRef/>
      </w:r>
      <w:r w:rsidRPr="000F0DDF">
        <w:rPr>
          <w:sz w:val="18"/>
          <w:szCs w:val="18"/>
        </w:rPr>
        <w:t>file:///C:/Documents%20and%20Settings/pcarrizo/Escritorio/Informe_EstadodeSituacion20160_ok%20(1).pdf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A9C"/>
    <w:multiLevelType w:val="hybridMultilevel"/>
    <w:tmpl w:val="B6AEE4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370634C"/>
    <w:multiLevelType w:val="hybridMultilevel"/>
    <w:tmpl w:val="B07272B8"/>
    <w:lvl w:ilvl="0" w:tplc="2C0A0001">
      <w:start w:val="1"/>
      <w:numFmt w:val="bullet"/>
      <w:lvlText w:val=""/>
      <w:lvlJc w:val="left"/>
      <w:pPr>
        <w:ind w:left="928"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44843C0"/>
    <w:multiLevelType w:val="hybridMultilevel"/>
    <w:tmpl w:val="3E7EB9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A294A6E"/>
    <w:multiLevelType w:val="hybridMultilevel"/>
    <w:tmpl w:val="5526ED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20870AD"/>
    <w:multiLevelType w:val="hybridMultilevel"/>
    <w:tmpl w:val="F7E479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AF56881"/>
    <w:multiLevelType w:val="hybridMultilevel"/>
    <w:tmpl w:val="628C0178"/>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E0"/>
    <w:rsid w:val="00035BB0"/>
    <w:rsid w:val="000404FF"/>
    <w:rsid w:val="00060735"/>
    <w:rsid w:val="000640EA"/>
    <w:rsid w:val="00067A6D"/>
    <w:rsid w:val="000A2394"/>
    <w:rsid w:val="000A676A"/>
    <w:rsid w:val="000C1CF6"/>
    <w:rsid w:val="000C5A8E"/>
    <w:rsid w:val="000C795A"/>
    <w:rsid w:val="000D6E8B"/>
    <w:rsid w:val="000E36D3"/>
    <w:rsid w:val="000F0DDF"/>
    <w:rsid w:val="00110783"/>
    <w:rsid w:val="00114AC6"/>
    <w:rsid w:val="001349C2"/>
    <w:rsid w:val="0013684E"/>
    <w:rsid w:val="00144719"/>
    <w:rsid w:val="001A082C"/>
    <w:rsid w:val="001A0EB9"/>
    <w:rsid w:val="001B782D"/>
    <w:rsid w:val="001C1CDA"/>
    <w:rsid w:val="001D42F2"/>
    <w:rsid w:val="001D5191"/>
    <w:rsid w:val="00204048"/>
    <w:rsid w:val="00210AF9"/>
    <w:rsid w:val="00222735"/>
    <w:rsid w:val="002230DC"/>
    <w:rsid w:val="002A3502"/>
    <w:rsid w:val="002B2B05"/>
    <w:rsid w:val="002C258A"/>
    <w:rsid w:val="002D6F0E"/>
    <w:rsid w:val="002F30B6"/>
    <w:rsid w:val="002F567E"/>
    <w:rsid w:val="0030120C"/>
    <w:rsid w:val="00302530"/>
    <w:rsid w:val="00305979"/>
    <w:rsid w:val="00311A87"/>
    <w:rsid w:val="00337400"/>
    <w:rsid w:val="0034332F"/>
    <w:rsid w:val="003540FE"/>
    <w:rsid w:val="00356324"/>
    <w:rsid w:val="00366D07"/>
    <w:rsid w:val="0038001E"/>
    <w:rsid w:val="003822AB"/>
    <w:rsid w:val="0038244A"/>
    <w:rsid w:val="00387ECC"/>
    <w:rsid w:val="003B542A"/>
    <w:rsid w:val="003B6E8E"/>
    <w:rsid w:val="003B7B86"/>
    <w:rsid w:val="003E28DB"/>
    <w:rsid w:val="00401BDE"/>
    <w:rsid w:val="00420C40"/>
    <w:rsid w:val="004312C1"/>
    <w:rsid w:val="00444CE7"/>
    <w:rsid w:val="00453C40"/>
    <w:rsid w:val="00462A76"/>
    <w:rsid w:val="004844A2"/>
    <w:rsid w:val="00494EF5"/>
    <w:rsid w:val="004E341E"/>
    <w:rsid w:val="00535E4B"/>
    <w:rsid w:val="00557961"/>
    <w:rsid w:val="00566AFD"/>
    <w:rsid w:val="005724F1"/>
    <w:rsid w:val="00577556"/>
    <w:rsid w:val="00577BE9"/>
    <w:rsid w:val="005A1E06"/>
    <w:rsid w:val="005D2D0A"/>
    <w:rsid w:val="005E79E8"/>
    <w:rsid w:val="00616188"/>
    <w:rsid w:val="00617A65"/>
    <w:rsid w:val="00674583"/>
    <w:rsid w:val="006951C4"/>
    <w:rsid w:val="006B28B5"/>
    <w:rsid w:val="006B5F82"/>
    <w:rsid w:val="006D28B5"/>
    <w:rsid w:val="006D5021"/>
    <w:rsid w:val="006E2B57"/>
    <w:rsid w:val="006F386A"/>
    <w:rsid w:val="006F7078"/>
    <w:rsid w:val="0070442E"/>
    <w:rsid w:val="007135FC"/>
    <w:rsid w:val="00726126"/>
    <w:rsid w:val="00727A55"/>
    <w:rsid w:val="00737887"/>
    <w:rsid w:val="0074282F"/>
    <w:rsid w:val="00743D62"/>
    <w:rsid w:val="00757C62"/>
    <w:rsid w:val="007706E9"/>
    <w:rsid w:val="007C055A"/>
    <w:rsid w:val="007C3DD9"/>
    <w:rsid w:val="007D00BE"/>
    <w:rsid w:val="007D2FEA"/>
    <w:rsid w:val="007D6371"/>
    <w:rsid w:val="00802723"/>
    <w:rsid w:val="00812D5E"/>
    <w:rsid w:val="00820725"/>
    <w:rsid w:val="0082249F"/>
    <w:rsid w:val="00826053"/>
    <w:rsid w:val="008701E0"/>
    <w:rsid w:val="008751F4"/>
    <w:rsid w:val="008755AB"/>
    <w:rsid w:val="00882377"/>
    <w:rsid w:val="00894C8A"/>
    <w:rsid w:val="008A027D"/>
    <w:rsid w:val="008C08D0"/>
    <w:rsid w:val="008E5331"/>
    <w:rsid w:val="008F4226"/>
    <w:rsid w:val="009265CD"/>
    <w:rsid w:val="00927CC6"/>
    <w:rsid w:val="009314C0"/>
    <w:rsid w:val="00932E8A"/>
    <w:rsid w:val="0093422E"/>
    <w:rsid w:val="009562FD"/>
    <w:rsid w:val="00956BD0"/>
    <w:rsid w:val="00957DE3"/>
    <w:rsid w:val="00970B2C"/>
    <w:rsid w:val="00980278"/>
    <w:rsid w:val="0099065A"/>
    <w:rsid w:val="009A2742"/>
    <w:rsid w:val="009E6B56"/>
    <w:rsid w:val="00A22BC0"/>
    <w:rsid w:val="00A605EF"/>
    <w:rsid w:val="00A760E1"/>
    <w:rsid w:val="00A82CF8"/>
    <w:rsid w:val="00A852AC"/>
    <w:rsid w:val="00AA2AA3"/>
    <w:rsid w:val="00AB39CC"/>
    <w:rsid w:val="00AD1367"/>
    <w:rsid w:val="00AD6067"/>
    <w:rsid w:val="00AD6860"/>
    <w:rsid w:val="00AF578A"/>
    <w:rsid w:val="00B250AA"/>
    <w:rsid w:val="00B307CD"/>
    <w:rsid w:val="00B477A1"/>
    <w:rsid w:val="00B5351C"/>
    <w:rsid w:val="00B56B16"/>
    <w:rsid w:val="00B62D0B"/>
    <w:rsid w:val="00B74A15"/>
    <w:rsid w:val="00B75F5E"/>
    <w:rsid w:val="00B82FE2"/>
    <w:rsid w:val="00B855A3"/>
    <w:rsid w:val="00BD309E"/>
    <w:rsid w:val="00BD50CA"/>
    <w:rsid w:val="00C23C6B"/>
    <w:rsid w:val="00C26BBD"/>
    <w:rsid w:val="00C308BC"/>
    <w:rsid w:val="00C33E11"/>
    <w:rsid w:val="00C51824"/>
    <w:rsid w:val="00C6524D"/>
    <w:rsid w:val="00C666D0"/>
    <w:rsid w:val="00C70BEE"/>
    <w:rsid w:val="00C83720"/>
    <w:rsid w:val="00CA1C26"/>
    <w:rsid w:val="00CA7DAD"/>
    <w:rsid w:val="00CD48D8"/>
    <w:rsid w:val="00CE484E"/>
    <w:rsid w:val="00CF47F1"/>
    <w:rsid w:val="00CF51EF"/>
    <w:rsid w:val="00D3342F"/>
    <w:rsid w:val="00D469E1"/>
    <w:rsid w:val="00D81179"/>
    <w:rsid w:val="00D85400"/>
    <w:rsid w:val="00D8676E"/>
    <w:rsid w:val="00DA6236"/>
    <w:rsid w:val="00DB4799"/>
    <w:rsid w:val="00DC235E"/>
    <w:rsid w:val="00DD6330"/>
    <w:rsid w:val="00DE0E68"/>
    <w:rsid w:val="00DF1FF3"/>
    <w:rsid w:val="00E00869"/>
    <w:rsid w:val="00E118FC"/>
    <w:rsid w:val="00E134B5"/>
    <w:rsid w:val="00E143AF"/>
    <w:rsid w:val="00E24DB3"/>
    <w:rsid w:val="00E43E81"/>
    <w:rsid w:val="00E55545"/>
    <w:rsid w:val="00E61640"/>
    <w:rsid w:val="00E674B8"/>
    <w:rsid w:val="00E717B4"/>
    <w:rsid w:val="00E75729"/>
    <w:rsid w:val="00E767F2"/>
    <w:rsid w:val="00E849DD"/>
    <w:rsid w:val="00EA2496"/>
    <w:rsid w:val="00EB0752"/>
    <w:rsid w:val="00EC5A99"/>
    <w:rsid w:val="00EC5DCA"/>
    <w:rsid w:val="00EE7120"/>
    <w:rsid w:val="00EF01AE"/>
    <w:rsid w:val="00EF3677"/>
    <w:rsid w:val="00EF6A9F"/>
    <w:rsid w:val="00F03701"/>
    <w:rsid w:val="00F04384"/>
    <w:rsid w:val="00F06382"/>
    <w:rsid w:val="00F07C4D"/>
    <w:rsid w:val="00F248E7"/>
    <w:rsid w:val="00F31541"/>
    <w:rsid w:val="00F33AA9"/>
    <w:rsid w:val="00F426F6"/>
    <w:rsid w:val="00F5160B"/>
    <w:rsid w:val="00F574FF"/>
    <w:rsid w:val="00F626CD"/>
    <w:rsid w:val="00F7567C"/>
    <w:rsid w:val="00F832B6"/>
    <w:rsid w:val="00F95393"/>
    <w:rsid w:val="00FB0524"/>
    <w:rsid w:val="00FB505A"/>
    <w:rsid w:val="00FB71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A388"/>
  <w15:docId w15:val="{E20894AF-7090-495D-8DE5-A59A1AE6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1E0"/>
  </w:style>
  <w:style w:type="paragraph" w:styleId="Heading1">
    <w:name w:val="heading 1"/>
    <w:basedOn w:val="Normal"/>
    <w:link w:val="Heading1Char"/>
    <w:uiPriority w:val="9"/>
    <w:qFormat/>
    <w:rsid w:val="00F24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Heading2">
    <w:name w:val="heading 2"/>
    <w:basedOn w:val="Normal"/>
    <w:next w:val="Normal"/>
    <w:link w:val="Heading2Char"/>
    <w:uiPriority w:val="9"/>
    <w:semiHidden/>
    <w:unhideWhenUsed/>
    <w:qFormat/>
    <w:rsid w:val="003822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1E0"/>
    <w:pPr>
      <w:spacing w:before="100" w:beforeAutospacing="1" w:after="100" w:afterAutospacing="1" w:line="240" w:lineRule="auto"/>
    </w:pPr>
    <w:rPr>
      <w:rFonts w:ascii="Times New Roman" w:eastAsia="Times New Roman" w:hAnsi="Times New Roman" w:cs="Times New Roman"/>
      <w:szCs w:val="24"/>
      <w:lang w:eastAsia="es-AR"/>
    </w:rPr>
  </w:style>
  <w:style w:type="paragraph" w:styleId="ListParagraph">
    <w:name w:val="List Paragraph"/>
    <w:basedOn w:val="Normal"/>
    <w:uiPriority w:val="34"/>
    <w:qFormat/>
    <w:rsid w:val="008701E0"/>
    <w:pPr>
      <w:ind w:left="708"/>
    </w:pPr>
  </w:style>
  <w:style w:type="character" w:customStyle="1" w:styleId="apple-converted-space">
    <w:name w:val="apple-converted-space"/>
    <w:basedOn w:val="DefaultParagraphFont"/>
    <w:rsid w:val="008701E0"/>
  </w:style>
  <w:style w:type="character" w:styleId="Hyperlink">
    <w:name w:val="Hyperlink"/>
    <w:basedOn w:val="DefaultParagraphFont"/>
    <w:uiPriority w:val="99"/>
    <w:semiHidden/>
    <w:unhideWhenUsed/>
    <w:rsid w:val="008701E0"/>
    <w:rPr>
      <w:color w:val="0000FF"/>
      <w:u w:val="single"/>
    </w:rPr>
  </w:style>
  <w:style w:type="paragraph" w:styleId="FootnoteText">
    <w:name w:val="footnote text"/>
    <w:basedOn w:val="Normal"/>
    <w:link w:val="FootnoteTextChar"/>
    <w:uiPriority w:val="99"/>
    <w:semiHidden/>
    <w:unhideWhenUsed/>
    <w:rsid w:val="00060735"/>
    <w:rPr>
      <w:sz w:val="20"/>
      <w:szCs w:val="20"/>
    </w:rPr>
  </w:style>
  <w:style w:type="character" w:customStyle="1" w:styleId="FootnoteTextChar">
    <w:name w:val="Footnote Text Char"/>
    <w:basedOn w:val="DefaultParagraphFont"/>
    <w:link w:val="FootnoteText"/>
    <w:uiPriority w:val="99"/>
    <w:semiHidden/>
    <w:rsid w:val="00060735"/>
    <w:rPr>
      <w:sz w:val="20"/>
      <w:szCs w:val="20"/>
    </w:rPr>
  </w:style>
  <w:style w:type="character" w:styleId="FootnoteReference">
    <w:name w:val="footnote reference"/>
    <w:basedOn w:val="DefaultParagraphFont"/>
    <w:uiPriority w:val="99"/>
    <w:semiHidden/>
    <w:unhideWhenUsed/>
    <w:rsid w:val="00060735"/>
    <w:rPr>
      <w:vertAlign w:val="superscript"/>
    </w:rPr>
  </w:style>
  <w:style w:type="character" w:customStyle="1" w:styleId="Heading1Char">
    <w:name w:val="Heading 1 Char"/>
    <w:basedOn w:val="DefaultParagraphFont"/>
    <w:link w:val="Heading1"/>
    <w:uiPriority w:val="9"/>
    <w:rsid w:val="00F248E7"/>
    <w:rPr>
      <w:rFonts w:ascii="Times New Roman" w:eastAsia="Times New Roman" w:hAnsi="Times New Roman" w:cs="Times New Roman"/>
      <w:b/>
      <w:bCs/>
      <w:kern w:val="36"/>
      <w:sz w:val="48"/>
      <w:szCs w:val="48"/>
      <w:lang w:eastAsia="es-AR"/>
    </w:rPr>
  </w:style>
  <w:style w:type="character" w:customStyle="1" w:styleId="Heading2Char">
    <w:name w:val="Heading 2 Char"/>
    <w:basedOn w:val="DefaultParagraphFont"/>
    <w:link w:val="Heading2"/>
    <w:uiPriority w:val="9"/>
    <w:semiHidden/>
    <w:rsid w:val="003822A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82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3769">
      <w:bodyDiv w:val="1"/>
      <w:marLeft w:val="0"/>
      <w:marRight w:val="0"/>
      <w:marTop w:val="0"/>
      <w:marBottom w:val="0"/>
      <w:divBdr>
        <w:top w:val="none" w:sz="0" w:space="0" w:color="auto"/>
        <w:left w:val="none" w:sz="0" w:space="0" w:color="auto"/>
        <w:bottom w:val="none" w:sz="0" w:space="0" w:color="auto"/>
        <w:right w:val="none" w:sz="0" w:space="0" w:color="auto"/>
      </w:divBdr>
    </w:div>
    <w:div w:id="259611274">
      <w:bodyDiv w:val="1"/>
      <w:marLeft w:val="0"/>
      <w:marRight w:val="0"/>
      <w:marTop w:val="0"/>
      <w:marBottom w:val="0"/>
      <w:divBdr>
        <w:top w:val="none" w:sz="0" w:space="0" w:color="auto"/>
        <w:left w:val="none" w:sz="0" w:space="0" w:color="auto"/>
        <w:bottom w:val="none" w:sz="0" w:space="0" w:color="auto"/>
        <w:right w:val="none" w:sz="0" w:space="0" w:color="auto"/>
      </w:divBdr>
    </w:div>
    <w:div w:id="1120685240">
      <w:bodyDiv w:val="1"/>
      <w:marLeft w:val="0"/>
      <w:marRight w:val="0"/>
      <w:marTop w:val="0"/>
      <w:marBottom w:val="0"/>
      <w:divBdr>
        <w:top w:val="none" w:sz="0" w:space="0" w:color="auto"/>
        <w:left w:val="none" w:sz="0" w:space="0" w:color="auto"/>
        <w:bottom w:val="none" w:sz="0" w:space="0" w:color="auto"/>
        <w:right w:val="none" w:sz="0" w:space="0" w:color="auto"/>
      </w:divBdr>
    </w:div>
    <w:div w:id="1177961147">
      <w:bodyDiv w:val="1"/>
      <w:marLeft w:val="0"/>
      <w:marRight w:val="0"/>
      <w:marTop w:val="0"/>
      <w:marBottom w:val="0"/>
      <w:divBdr>
        <w:top w:val="none" w:sz="0" w:space="0" w:color="auto"/>
        <w:left w:val="none" w:sz="0" w:space="0" w:color="auto"/>
        <w:bottom w:val="none" w:sz="0" w:space="0" w:color="auto"/>
        <w:right w:val="none" w:sz="0" w:space="0" w:color="auto"/>
      </w:divBdr>
    </w:div>
    <w:div w:id="1312830554">
      <w:bodyDiv w:val="1"/>
      <w:marLeft w:val="0"/>
      <w:marRight w:val="0"/>
      <w:marTop w:val="0"/>
      <w:marBottom w:val="0"/>
      <w:divBdr>
        <w:top w:val="none" w:sz="0" w:space="0" w:color="auto"/>
        <w:left w:val="none" w:sz="0" w:space="0" w:color="auto"/>
        <w:bottom w:val="none" w:sz="0" w:space="0" w:color="auto"/>
        <w:right w:val="none" w:sz="0" w:space="0" w:color="auto"/>
      </w:divBdr>
    </w:div>
    <w:div w:id="1353335091">
      <w:bodyDiv w:val="1"/>
      <w:marLeft w:val="0"/>
      <w:marRight w:val="0"/>
      <w:marTop w:val="0"/>
      <w:marBottom w:val="0"/>
      <w:divBdr>
        <w:top w:val="none" w:sz="0" w:space="0" w:color="auto"/>
        <w:left w:val="none" w:sz="0" w:space="0" w:color="auto"/>
        <w:bottom w:val="none" w:sz="0" w:space="0" w:color="auto"/>
        <w:right w:val="none" w:sz="0" w:space="0" w:color="auto"/>
      </w:divBdr>
    </w:div>
    <w:div w:id="1745646314">
      <w:bodyDiv w:val="1"/>
      <w:marLeft w:val="0"/>
      <w:marRight w:val="0"/>
      <w:marTop w:val="0"/>
      <w:marBottom w:val="0"/>
      <w:divBdr>
        <w:top w:val="none" w:sz="0" w:space="0" w:color="auto"/>
        <w:left w:val="none" w:sz="0" w:space="0" w:color="auto"/>
        <w:bottom w:val="none" w:sz="0" w:space="0" w:color="auto"/>
        <w:right w:val="none" w:sz="0" w:space="0" w:color="auto"/>
      </w:divBdr>
    </w:div>
    <w:div w:id="1919241957">
      <w:bodyDiv w:val="1"/>
      <w:marLeft w:val="0"/>
      <w:marRight w:val="0"/>
      <w:marTop w:val="0"/>
      <w:marBottom w:val="0"/>
      <w:divBdr>
        <w:top w:val="none" w:sz="0" w:space="0" w:color="auto"/>
        <w:left w:val="none" w:sz="0" w:space="0" w:color="auto"/>
        <w:bottom w:val="none" w:sz="0" w:space="0" w:color="auto"/>
        <w:right w:val="none" w:sz="0" w:space="0" w:color="auto"/>
      </w:divBdr>
    </w:div>
    <w:div w:id="2071536800">
      <w:bodyDiv w:val="1"/>
      <w:marLeft w:val="0"/>
      <w:marRight w:val="0"/>
      <w:marTop w:val="0"/>
      <w:marBottom w:val="0"/>
      <w:divBdr>
        <w:top w:val="none" w:sz="0" w:space="0" w:color="auto"/>
        <w:left w:val="none" w:sz="0" w:space="0" w:color="auto"/>
        <w:bottom w:val="none" w:sz="0" w:space="0" w:color="auto"/>
        <w:right w:val="none" w:sz="0" w:space="0" w:color="auto"/>
      </w:divBdr>
    </w:div>
    <w:div w:id="207377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2A90FF-EF4A-4CA8-B300-E4ABE6FCE142}">
  <ds:schemaRefs>
    <ds:schemaRef ds:uri="http://schemas.openxmlformats.org/officeDocument/2006/bibliography"/>
  </ds:schemaRefs>
</ds:datastoreItem>
</file>

<file path=customXml/itemProps2.xml><?xml version="1.0" encoding="utf-8"?>
<ds:datastoreItem xmlns:ds="http://schemas.openxmlformats.org/officeDocument/2006/customXml" ds:itemID="{D86AD375-A960-4C41-9D7B-0F7105EA5191}"/>
</file>

<file path=customXml/itemProps3.xml><?xml version="1.0" encoding="utf-8"?>
<ds:datastoreItem xmlns:ds="http://schemas.openxmlformats.org/officeDocument/2006/customXml" ds:itemID="{CA751CAA-C7E4-4FCA-971E-82F4637604F9}"/>
</file>

<file path=customXml/itemProps4.xml><?xml version="1.0" encoding="utf-8"?>
<ds:datastoreItem xmlns:ds="http://schemas.openxmlformats.org/officeDocument/2006/customXml" ds:itemID="{765216E3-810F-40B6-AA3F-8001C193ECC2}"/>
</file>

<file path=docProps/app.xml><?xml version="1.0" encoding="utf-8"?>
<Properties xmlns="http://schemas.openxmlformats.org/officeDocument/2006/extended-properties" xmlns:vt="http://schemas.openxmlformats.org/officeDocument/2006/docPropsVTypes">
  <Template>Normal.dotm</Template>
  <TotalTime>1</TotalTime>
  <Pages>6</Pages>
  <Words>1790</Words>
  <Characters>10203</Characters>
  <Application>Microsoft Office Word</Application>
  <DocSecurity>4</DocSecurity>
  <Lines>85</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Defensor del Pueblo</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pcarrizo</dc:creator>
  <cp:keywords/>
  <dc:description/>
  <cp:lastModifiedBy>FOX Catherine</cp:lastModifiedBy>
  <cp:revision>2</cp:revision>
  <cp:lastPrinted>2020-01-28T16:41:00Z</cp:lastPrinted>
  <dcterms:created xsi:type="dcterms:W3CDTF">2020-01-28T16:42:00Z</dcterms:created>
  <dcterms:modified xsi:type="dcterms:W3CDTF">2020-01-28T16:42:00Z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