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5DC" w:rsidRDefault="002F2454" w:rsidP="002F2454">
      <w:pPr>
        <w:autoSpaceDE w:val="0"/>
        <w:autoSpaceDN w:val="0"/>
        <w:adjustRightInd w:val="0"/>
        <w:rPr>
          <w:rFonts w:ascii="CIDFont+F3" w:hAnsi="CIDFont+F3" w:cs="CIDFont+F3"/>
          <w:sz w:val="27"/>
          <w:szCs w:val="27"/>
          <w:lang w:val="en-US" w:eastAsia="zh-CN"/>
        </w:rPr>
      </w:pPr>
      <w:r w:rsidRPr="002F2454">
        <w:rPr>
          <w:rFonts w:ascii="CIDFont+F3" w:hAnsi="CIDFont+F3" w:cs="CIDFont+F3"/>
          <w:sz w:val="27"/>
          <w:szCs w:val="27"/>
          <w:lang w:val="en-US" w:eastAsia="zh-CN"/>
        </w:rPr>
        <w:t>Right to Land under the UN Declaration on the Rights of Indigenous Peoples: A</w:t>
      </w:r>
      <w:r>
        <w:rPr>
          <w:rFonts w:ascii="CIDFont+F3" w:hAnsi="CIDFont+F3" w:cs="CIDFont+F3"/>
          <w:sz w:val="27"/>
          <w:szCs w:val="27"/>
          <w:lang w:val="en-US" w:eastAsia="zh-CN"/>
        </w:rPr>
        <w:t xml:space="preserve"> </w:t>
      </w:r>
      <w:r w:rsidRPr="002F2454">
        <w:rPr>
          <w:rFonts w:ascii="CIDFont+F3" w:hAnsi="CIDFont+F3" w:cs="CIDFont+F3"/>
          <w:sz w:val="27"/>
          <w:szCs w:val="27"/>
          <w:lang w:val="en-US" w:eastAsia="zh-CN"/>
        </w:rPr>
        <w:t>Human Rights focus”</w:t>
      </w:r>
    </w:p>
    <w:p w:rsidR="002F2454" w:rsidRPr="002F2454" w:rsidRDefault="002F2454" w:rsidP="002F2454">
      <w:pPr>
        <w:autoSpaceDE w:val="0"/>
        <w:autoSpaceDN w:val="0"/>
        <w:adjustRightInd w:val="0"/>
        <w:rPr>
          <w:lang w:val="en-US"/>
        </w:rPr>
      </w:pPr>
    </w:p>
    <w:p w:rsidR="006E657D" w:rsidRDefault="006E657D" w:rsidP="00764BC6">
      <w:pPr>
        <w:autoSpaceDE w:val="0"/>
        <w:autoSpaceDN w:val="0"/>
        <w:adjustRightInd w:val="0"/>
        <w:jc w:val="both"/>
        <w:rPr>
          <w:rFonts w:ascii="CIDFont+F9" w:hAnsi="CIDFont+F9" w:cs="CIDFont+F9"/>
          <w:sz w:val="23"/>
          <w:szCs w:val="23"/>
          <w:lang w:val="en-US" w:eastAsia="zh-CN"/>
        </w:rPr>
      </w:pPr>
      <w:r>
        <w:rPr>
          <w:rFonts w:ascii="CIDFont+F9" w:hAnsi="CIDFont+F9" w:cs="CIDFont+F9"/>
          <w:sz w:val="23"/>
          <w:szCs w:val="23"/>
          <w:lang w:val="en-US" w:eastAsia="zh-CN"/>
        </w:rPr>
        <w:t xml:space="preserve">The </w:t>
      </w:r>
      <w:r w:rsidRPr="007552BF">
        <w:rPr>
          <w:rFonts w:ascii="CIDFont+F9" w:hAnsi="CIDFont+F9" w:cs="CIDFont+F9"/>
          <w:sz w:val="23"/>
          <w:szCs w:val="23"/>
          <w:lang w:val="en-US" w:eastAsia="zh-CN"/>
        </w:rPr>
        <w:t>German Federal Ministry for Economic Co</w:t>
      </w:r>
      <w:r>
        <w:rPr>
          <w:rFonts w:ascii="CIDFont+F9" w:hAnsi="CIDFont+F9" w:cs="CIDFont+F9"/>
          <w:sz w:val="23"/>
          <w:szCs w:val="23"/>
          <w:lang w:val="en-US" w:eastAsia="zh-CN"/>
        </w:rPr>
        <w:t>operation and Development (BMZ) commits in its Human Rights Strategy</w:t>
      </w:r>
      <w:r w:rsidR="00764BC6">
        <w:rPr>
          <w:rStyle w:val="FootnoteReference"/>
          <w:rFonts w:ascii="CIDFont+F9" w:hAnsi="CIDFont+F9" w:cs="CIDFont+F9"/>
          <w:sz w:val="23"/>
          <w:szCs w:val="23"/>
          <w:lang w:val="en-US" w:eastAsia="zh-CN"/>
        </w:rPr>
        <w:footnoteReference w:id="1"/>
      </w:r>
      <w:r>
        <w:rPr>
          <w:rFonts w:ascii="CIDFont+F9" w:hAnsi="CIDFont+F9" w:cs="CIDFont+F9"/>
          <w:sz w:val="23"/>
          <w:szCs w:val="23"/>
          <w:lang w:val="en-US" w:eastAsia="zh-CN"/>
        </w:rPr>
        <w:t xml:space="preserve"> to contribute</w:t>
      </w:r>
      <w:r w:rsidR="00503CBC">
        <w:rPr>
          <w:rFonts w:ascii="CIDFont+F9" w:hAnsi="CIDFont+F9" w:cs="CIDFont+F9"/>
          <w:sz w:val="23"/>
          <w:szCs w:val="23"/>
          <w:lang w:val="en-US" w:eastAsia="zh-CN"/>
        </w:rPr>
        <w:t xml:space="preserve"> </w:t>
      </w:r>
      <w:r>
        <w:rPr>
          <w:rFonts w:ascii="CIDFont+F9" w:hAnsi="CIDFont+F9" w:cs="CIDFont+F9"/>
          <w:sz w:val="23"/>
          <w:szCs w:val="23"/>
          <w:lang w:val="en-US" w:eastAsia="zh-CN"/>
        </w:rPr>
        <w:t>to the protection and realization of Indigenous Peoples’ rights</w:t>
      </w:r>
      <w:r w:rsidR="00764BC6">
        <w:rPr>
          <w:rFonts w:ascii="CIDFont+F9" w:hAnsi="CIDFont+F9" w:cs="CIDFont+F9"/>
          <w:sz w:val="23"/>
          <w:szCs w:val="23"/>
          <w:lang w:val="en-US" w:eastAsia="zh-CN"/>
        </w:rPr>
        <w:t xml:space="preserve">. </w:t>
      </w:r>
      <w:r w:rsidR="00125444">
        <w:rPr>
          <w:rFonts w:ascii="CIDFont+F9" w:hAnsi="CIDFont+F9" w:cs="CIDFont+F9"/>
          <w:sz w:val="23"/>
          <w:szCs w:val="23"/>
          <w:lang w:val="en-US" w:eastAsia="zh-CN"/>
        </w:rPr>
        <w:t>To support implementation this is</w:t>
      </w:r>
      <w:r w:rsidR="00764BC6">
        <w:rPr>
          <w:rFonts w:ascii="CIDFont+F9" w:hAnsi="CIDFont+F9" w:cs="CIDFont+F9"/>
          <w:sz w:val="23"/>
          <w:szCs w:val="23"/>
          <w:lang w:val="en-US" w:eastAsia="zh-CN"/>
        </w:rPr>
        <w:t xml:space="preserve"> further specified in its </w:t>
      </w:r>
      <w:r w:rsidR="00764BC6" w:rsidRPr="00764BC6">
        <w:rPr>
          <w:rFonts w:ascii="CIDFont+F9" w:hAnsi="CIDFont+F9" w:cs="CIDFont+F9"/>
          <w:sz w:val="23"/>
          <w:szCs w:val="23"/>
          <w:lang w:val="en-US" w:eastAsia="zh-CN"/>
        </w:rPr>
        <w:t>Guidelines</w:t>
      </w:r>
      <w:r w:rsidR="00764BC6">
        <w:rPr>
          <w:rFonts w:ascii="CIDFont+F9" w:hAnsi="CIDFont+F9" w:cs="CIDFont+F9"/>
          <w:sz w:val="23"/>
          <w:szCs w:val="23"/>
          <w:lang w:val="en-US" w:eastAsia="zh-CN"/>
        </w:rPr>
        <w:t xml:space="preserve"> </w:t>
      </w:r>
      <w:r w:rsidR="00764BC6" w:rsidRPr="00764BC6">
        <w:rPr>
          <w:rFonts w:ascii="CIDFont+F9" w:hAnsi="CIDFont+F9" w:cs="CIDFont+F9"/>
          <w:sz w:val="23"/>
          <w:szCs w:val="23"/>
          <w:lang w:val="en-US" w:eastAsia="zh-CN"/>
        </w:rPr>
        <w:t>on Incorporating Human Rights Standards and Principles,</w:t>
      </w:r>
      <w:r w:rsidR="00764BC6">
        <w:rPr>
          <w:rFonts w:ascii="CIDFont+F9" w:hAnsi="CIDFont+F9" w:cs="CIDFont+F9"/>
          <w:sz w:val="23"/>
          <w:szCs w:val="23"/>
          <w:lang w:val="en-US" w:eastAsia="zh-CN"/>
        </w:rPr>
        <w:t xml:space="preserve"> </w:t>
      </w:r>
      <w:r w:rsidR="00764BC6" w:rsidRPr="00764BC6">
        <w:rPr>
          <w:rFonts w:ascii="CIDFont+F9" w:hAnsi="CIDFont+F9" w:cs="CIDFont+F9"/>
          <w:sz w:val="23"/>
          <w:szCs w:val="23"/>
          <w:lang w:val="en-US" w:eastAsia="zh-CN"/>
        </w:rPr>
        <w:t>Including Gender</w:t>
      </w:r>
      <w:r w:rsidR="00764BC6">
        <w:rPr>
          <w:rStyle w:val="FootnoteReference"/>
          <w:rFonts w:ascii="CIDFont+F9" w:hAnsi="CIDFont+F9" w:cs="CIDFont+F9"/>
          <w:sz w:val="23"/>
          <w:szCs w:val="23"/>
          <w:lang w:val="en-US" w:eastAsia="zh-CN"/>
        </w:rPr>
        <w:footnoteReference w:id="2"/>
      </w:r>
      <w:r w:rsidR="00503CBC">
        <w:rPr>
          <w:rFonts w:ascii="CIDFont+F9" w:hAnsi="CIDFont+F9" w:cs="CIDFont+F9"/>
          <w:sz w:val="23"/>
          <w:szCs w:val="23"/>
          <w:lang w:val="en-US" w:eastAsia="zh-CN"/>
        </w:rPr>
        <w:t>This commitment is made in the context of official development cooperation with BMZ’s partner countries, which will report to UN EMRIP on the current issues separately. BMZ’s contribution to the realization of UNDRIP depends on political dynamics and opportunities in the partner countries and can never be seen as stand-alone achievement.</w:t>
      </w:r>
    </w:p>
    <w:p w:rsidR="006E657D" w:rsidRDefault="006E657D" w:rsidP="00CA562B">
      <w:pPr>
        <w:autoSpaceDE w:val="0"/>
        <w:autoSpaceDN w:val="0"/>
        <w:adjustRightInd w:val="0"/>
        <w:jc w:val="both"/>
        <w:rPr>
          <w:rFonts w:ascii="CIDFont+F9" w:hAnsi="CIDFont+F9" w:cs="CIDFont+F9"/>
          <w:sz w:val="23"/>
          <w:szCs w:val="23"/>
          <w:lang w:val="en-US" w:eastAsia="zh-CN"/>
        </w:rPr>
      </w:pPr>
      <w:r>
        <w:rPr>
          <w:rFonts w:ascii="CIDFont+F9" w:hAnsi="CIDFont+F9" w:cs="CIDFont+F9"/>
          <w:sz w:val="23"/>
          <w:szCs w:val="23"/>
          <w:lang w:val="en-US" w:eastAsia="zh-CN"/>
        </w:rPr>
        <w:t>In the following, some g</w:t>
      </w:r>
      <w:r w:rsidR="00343B53">
        <w:rPr>
          <w:rFonts w:ascii="CIDFont+F9" w:hAnsi="CIDFont+F9" w:cs="CIDFont+F9"/>
          <w:sz w:val="23"/>
          <w:szCs w:val="23"/>
          <w:lang w:val="en-US" w:eastAsia="zh-CN"/>
        </w:rPr>
        <w:t>ood examples from German development cooperation</w:t>
      </w:r>
      <w:r>
        <w:rPr>
          <w:rFonts w:ascii="CIDFont+F9" w:hAnsi="CIDFont+F9" w:cs="CIDFont+F9"/>
          <w:sz w:val="23"/>
          <w:szCs w:val="23"/>
          <w:lang w:val="en-US" w:eastAsia="zh-CN"/>
        </w:rPr>
        <w:t xml:space="preserve"> (programs of BMZ</w:t>
      </w:r>
      <w:r w:rsidR="007552BF">
        <w:rPr>
          <w:rFonts w:ascii="CIDFont+F9" w:hAnsi="CIDFont+F9" w:cs="CIDFont+F9"/>
          <w:sz w:val="23"/>
          <w:szCs w:val="23"/>
          <w:lang w:val="en-US" w:eastAsia="zh-CN"/>
        </w:rPr>
        <w:t>)</w:t>
      </w:r>
      <w:r w:rsidR="00343B53">
        <w:rPr>
          <w:rFonts w:ascii="CIDFont+F9" w:hAnsi="CIDFont+F9" w:cs="CIDFont+F9"/>
          <w:sz w:val="23"/>
          <w:szCs w:val="23"/>
          <w:lang w:val="en-US" w:eastAsia="zh-CN"/>
        </w:rPr>
        <w:t xml:space="preserve"> with Brazil, Colombia and Peru </w:t>
      </w:r>
      <w:r>
        <w:rPr>
          <w:rFonts w:ascii="CIDFont+F9" w:hAnsi="CIDFont+F9" w:cs="CIDFont+F9"/>
          <w:sz w:val="23"/>
          <w:szCs w:val="23"/>
          <w:lang w:val="en-US" w:eastAsia="zh-CN"/>
        </w:rPr>
        <w:t xml:space="preserve">are highlighted </w:t>
      </w:r>
      <w:r w:rsidR="00343B53">
        <w:rPr>
          <w:rFonts w:ascii="CIDFont+F9" w:hAnsi="CIDFont+F9" w:cs="CIDFont+F9"/>
          <w:sz w:val="23"/>
          <w:szCs w:val="23"/>
          <w:lang w:val="en-US" w:eastAsia="zh-CN"/>
        </w:rPr>
        <w:t xml:space="preserve">regarding the </w:t>
      </w:r>
      <w:r w:rsidR="00343B53" w:rsidRPr="005C3E03">
        <w:rPr>
          <w:rFonts w:ascii="CIDFont+F9" w:hAnsi="CIDFont+F9" w:cs="CIDFont+F9"/>
          <w:i/>
          <w:sz w:val="23"/>
          <w:szCs w:val="23"/>
          <w:lang w:val="en-US" w:eastAsia="zh-CN"/>
        </w:rPr>
        <w:t>Recognition of a right to land/estab</w:t>
      </w:r>
      <w:r w:rsidR="00343B53" w:rsidRPr="005C3E03">
        <w:rPr>
          <w:rFonts w:ascii="CIDFont+F9" w:hAnsi="CIDFont+F9" w:cs="CIDFont+F9"/>
          <w:i/>
          <w:sz w:val="23"/>
          <w:szCs w:val="23"/>
          <w:lang w:val="en-US" w:eastAsia="zh-CN"/>
        </w:rPr>
        <w:lastRenderedPageBreak/>
        <w:t>lishment of processes to adjudicate land rights/involvement of indigenous peoples (articles 25, 26, 27, 30, 32 of the UNDRIP)</w:t>
      </w:r>
      <w:r w:rsidRPr="005C3E03">
        <w:rPr>
          <w:rFonts w:ascii="CIDFont+F9" w:hAnsi="CIDFont+F9" w:cs="CIDFont+F9"/>
          <w:i/>
          <w:sz w:val="23"/>
          <w:szCs w:val="23"/>
          <w:lang w:val="en-US" w:eastAsia="zh-CN"/>
        </w:rPr>
        <w:t>.</w:t>
      </w:r>
      <w:r>
        <w:rPr>
          <w:rFonts w:ascii="CIDFont+F9" w:hAnsi="CIDFont+F9" w:cs="CIDFont+F9"/>
          <w:sz w:val="23"/>
          <w:szCs w:val="23"/>
          <w:lang w:val="en-US" w:eastAsia="zh-CN"/>
        </w:rPr>
        <w:t xml:space="preserve"> Further information on the described programs are annexed</w:t>
      </w:r>
      <w:r w:rsidR="003E18D8">
        <w:rPr>
          <w:rFonts w:ascii="CIDFont+F9" w:hAnsi="CIDFont+F9" w:cs="CIDFont+F9"/>
          <w:sz w:val="23"/>
          <w:szCs w:val="23"/>
          <w:lang w:val="en-US" w:eastAsia="zh-CN"/>
        </w:rPr>
        <w:t xml:space="preserve"> (see footnotes)</w:t>
      </w:r>
      <w:r>
        <w:rPr>
          <w:rFonts w:ascii="CIDFont+F9" w:hAnsi="CIDFont+F9" w:cs="CIDFont+F9"/>
          <w:sz w:val="23"/>
          <w:szCs w:val="23"/>
          <w:lang w:val="en-US" w:eastAsia="zh-CN"/>
        </w:rPr>
        <w:t>.</w:t>
      </w:r>
    </w:p>
    <w:p w:rsidR="006E657D" w:rsidRDefault="006E657D" w:rsidP="00CA562B">
      <w:pPr>
        <w:autoSpaceDE w:val="0"/>
        <w:autoSpaceDN w:val="0"/>
        <w:adjustRightInd w:val="0"/>
        <w:jc w:val="both"/>
        <w:rPr>
          <w:rFonts w:ascii="CIDFont+F9" w:hAnsi="CIDFont+F9" w:cs="CIDFont+F9"/>
          <w:sz w:val="23"/>
          <w:szCs w:val="23"/>
          <w:lang w:val="en-US" w:eastAsia="zh-CN"/>
        </w:rPr>
      </w:pPr>
    </w:p>
    <w:p w:rsidR="003E18D8" w:rsidRPr="003E18D8" w:rsidRDefault="003E18D8" w:rsidP="00CA562B">
      <w:pPr>
        <w:autoSpaceDE w:val="0"/>
        <w:autoSpaceDN w:val="0"/>
        <w:adjustRightInd w:val="0"/>
        <w:jc w:val="both"/>
        <w:rPr>
          <w:rFonts w:ascii="CIDFont+F9" w:hAnsi="CIDFont+F9" w:cs="CIDFont+F9"/>
          <w:b/>
          <w:sz w:val="23"/>
          <w:szCs w:val="23"/>
          <w:lang w:val="en-US" w:eastAsia="zh-CN"/>
        </w:rPr>
      </w:pPr>
      <w:r w:rsidRPr="003E18D8">
        <w:rPr>
          <w:rFonts w:ascii="CIDFont+F9" w:hAnsi="CIDFont+F9" w:cs="CIDFont+F9"/>
          <w:b/>
          <w:sz w:val="23"/>
          <w:szCs w:val="23"/>
          <w:lang w:val="en-US" w:eastAsia="zh-CN"/>
        </w:rPr>
        <w:t xml:space="preserve">Brazil: </w:t>
      </w:r>
      <w:r w:rsidRPr="006E657D">
        <w:rPr>
          <w:rFonts w:ascii="CIDFont+F9" w:hAnsi="CIDFont+F9" w:cs="CIDFont+F9"/>
          <w:b/>
          <w:sz w:val="23"/>
          <w:szCs w:val="23"/>
          <w:lang w:val="en-US" w:eastAsia="zh-CN"/>
        </w:rPr>
        <w:t>Demarcation of indigenous territories</w:t>
      </w:r>
    </w:p>
    <w:p w:rsidR="006E657D" w:rsidRPr="006E657D" w:rsidRDefault="006E657D" w:rsidP="006E657D">
      <w:pPr>
        <w:autoSpaceDE w:val="0"/>
        <w:autoSpaceDN w:val="0"/>
        <w:adjustRightInd w:val="0"/>
        <w:rPr>
          <w:rFonts w:ascii="CIDFont+F6" w:hAnsi="CIDFont+F6" w:cs="CIDFont+F6"/>
          <w:i/>
          <w:sz w:val="23"/>
          <w:szCs w:val="23"/>
          <w:lang w:val="en-US" w:eastAsia="zh-CN"/>
        </w:rPr>
      </w:pPr>
      <w:r w:rsidRPr="006E657D">
        <w:rPr>
          <w:rFonts w:ascii="CIDFont+F6" w:hAnsi="CIDFont+F6" w:cs="CIDFont+F6"/>
          <w:i/>
          <w:sz w:val="23"/>
          <w:szCs w:val="23"/>
          <w:lang w:val="en-US" w:eastAsia="zh-CN"/>
        </w:rPr>
        <w:t>Good practices of demarcation, including self-demarcation by indigenous peoples, and</w:t>
      </w:r>
    </w:p>
    <w:p w:rsidR="006E657D" w:rsidRPr="00503CBC" w:rsidRDefault="006E657D" w:rsidP="006E657D">
      <w:pPr>
        <w:autoSpaceDE w:val="0"/>
        <w:autoSpaceDN w:val="0"/>
        <w:adjustRightInd w:val="0"/>
        <w:jc w:val="both"/>
        <w:rPr>
          <w:rFonts w:ascii="CIDFont+F6" w:hAnsi="CIDFont+F6" w:cs="CIDFont+F6"/>
          <w:sz w:val="23"/>
          <w:szCs w:val="23"/>
          <w:lang w:val="en-US" w:eastAsia="zh-CN"/>
        </w:rPr>
      </w:pPr>
      <w:r w:rsidRPr="00503CBC">
        <w:rPr>
          <w:rFonts w:ascii="CIDFont+F6" w:hAnsi="CIDFont+F6" w:cs="CIDFont+F6"/>
          <w:i/>
          <w:sz w:val="23"/>
          <w:szCs w:val="23"/>
          <w:lang w:val="en-US" w:eastAsia="zh-CN"/>
        </w:rPr>
        <w:t>titling</w:t>
      </w:r>
      <w:r w:rsidRPr="00503CBC">
        <w:rPr>
          <w:rFonts w:ascii="CIDFont+F6" w:hAnsi="CIDFont+F6" w:cs="CIDFont+F6"/>
          <w:sz w:val="23"/>
          <w:szCs w:val="23"/>
          <w:lang w:val="en-US" w:eastAsia="zh-CN"/>
        </w:rPr>
        <w:t>.</w:t>
      </w:r>
    </w:p>
    <w:p w:rsidR="006E657D" w:rsidRDefault="006E657D" w:rsidP="006E657D">
      <w:pPr>
        <w:autoSpaceDE w:val="0"/>
        <w:autoSpaceDN w:val="0"/>
        <w:adjustRightInd w:val="0"/>
        <w:jc w:val="both"/>
        <w:rPr>
          <w:rFonts w:ascii="CIDFont+F9" w:hAnsi="CIDFont+F9" w:cs="CIDFont+F9"/>
          <w:sz w:val="23"/>
          <w:szCs w:val="23"/>
          <w:lang w:val="en-US" w:eastAsia="zh-CN"/>
        </w:rPr>
      </w:pPr>
    </w:p>
    <w:p w:rsidR="00CE3E00" w:rsidRPr="006E657D" w:rsidRDefault="00CE3E00" w:rsidP="006E657D">
      <w:pPr>
        <w:rPr>
          <w:lang w:val="en-US"/>
        </w:rPr>
      </w:pPr>
      <w:r w:rsidRPr="006E657D">
        <w:rPr>
          <w:rFonts w:ascii="CIDFont+F9" w:hAnsi="CIDFont+F9" w:cs="CIDFont+F9"/>
          <w:sz w:val="23"/>
          <w:szCs w:val="23"/>
          <w:lang w:val="en-US" w:eastAsia="zh-CN"/>
        </w:rPr>
        <w:t xml:space="preserve">Based on the 1988 constitution and in the context of the large G7 Tropical Forest Pilot Program, until 2009 German financial and technical cooperation contributed to the demarcation and </w:t>
      </w:r>
      <w:r w:rsidR="0047050B" w:rsidRPr="006E657D">
        <w:rPr>
          <w:rFonts w:ascii="CIDFont+F9" w:hAnsi="CIDFont+F9" w:cs="CIDFont+F9"/>
          <w:sz w:val="23"/>
          <w:szCs w:val="23"/>
          <w:lang w:val="en-US" w:eastAsia="zh-CN"/>
        </w:rPr>
        <w:t xml:space="preserve">official </w:t>
      </w:r>
      <w:r w:rsidRPr="006E657D">
        <w:rPr>
          <w:rFonts w:ascii="CIDFont+F9" w:hAnsi="CIDFont+F9" w:cs="CIDFont+F9"/>
          <w:sz w:val="23"/>
          <w:szCs w:val="23"/>
          <w:lang w:val="en-US" w:eastAsia="zh-CN"/>
        </w:rPr>
        <w:t>recognition of 178 indigenous territories in the Brazilian Amazon, covering approx. 38 million ha (more than the size of Germany). In addition, studies preparing the demarcation of indigenous territories covering an additional 9 million ha and projects with indigenous organizations to protect 80 territories were supported</w:t>
      </w:r>
      <w:r w:rsidRPr="006E657D">
        <w:rPr>
          <w:lang w:val="en-US"/>
        </w:rPr>
        <w:t>.</w:t>
      </w:r>
      <w:r w:rsidR="0047050B">
        <w:rPr>
          <w:rStyle w:val="FootnoteReference"/>
          <w:lang w:val="en-US"/>
        </w:rPr>
        <w:footnoteReference w:id="3"/>
      </w:r>
    </w:p>
    <w:p w:rsidR="00CE3E00" w:rsidRDefault="00CE3E00" w:rsidP="00CA562B">
      <w:pPr>
        <w:autoSpaceDE w:val="0"/>
        <w:autoSpaceDN w:val="0"/>
        <w:adjustRightInd w:val="0"/>
        <w:jc w:val="both"/>
        <w:rPr>
          <w:rFonts w:ascii="CIDFont+F9" w:hAnsi="CIDFont+F9" w:cs="CIDFont+F9"/>
          <w:sz w:val="23"/>
          <w:szCs w:val="23"/>
          <w:lang w:val="en-GB" w:eastAsia="zh-CN"/>
        </w:rPr>
      </w:pPr>
    </w:p>
    <w:p w:rsidR="003E18D8" w:rsidRDefault="003E18D8" w:rsidP="00CA562B">
      <w:pPr>
        <w:autoSpaceDE w:val="0"/>
        <w:autoSpaceDN w:val="0"/>
        <w:adjustRightInd w:val="0"/>
        <w:jc w:val="both"/>
        <w:rPr>
          <w:rFonts w:ascii="CIDFont+F9" w:hAnsi="CIDFont+F9" w:cs="CIDFont+F9"/>
          <w:sz w:val="23"/>
          <w:szCs w:val="23"/>
          <w:lang w:val="en-GB" w:eastAsia="zh-CN"/>
        </w:rPr>
      </w:pPr>
    </w:p>
    <w:p w:rsidR="003E18D8" w:rsidRDefault="00CE3E00" w:rsidP="006E657D">
      <w:pPr>
        <w:rPr>
          <w:rFonts w:ascii="CIDFont+F9" w:hAnsi="CIDFont+F9" w:cs="CIDFont+F9"/>
          <w:sz w:val="23"/>
          <w:szCs w:val="23"/>
          <w:lang w:val="en-US" w:eastAsia="zh-CN"/>
        </w:rPr>
      </w:pPr>
      <w:r w:rsidRPr="006E657D">
        <w:rPr>
          <w:rFonts w:ascii="CIDFont+F9" w:hAnsi="CIDFont+F9" w:cs="CIDFont+F9"/>
          <w:b/>
          <w:sz w:val="23"/>
          <w:szCs w:val="23"/>
          <w:lang w:val="en-US" w:eastAsia="zh-CN"/>
        </w:rPr>
        <w:t>Peru</w:t>
      </w:r>
      <w:r w:rsidR="003E18D8">
        <w:rPr>
          <w:rFonts w:ascii="CIDFont+F9" w:hAnsi="CIDFont+F9" w:cs="CIDFont+F9"/>
          <w:b/>
          <w:sz w:val="23"/>
          <w:szCs w:val="23"/>
          <w:lang w:val="en-US" w:eastAsia="zh-CN"/>
        </w:rPr>
        <w:t xml:space="preserve">: </w:t>
      </w:r>
      <w:r w:rsidRPr="006E657D">
        <w:rPr>
          <w:rFonts w:ascii="CIDFont+F9" w:hAnsi="CIDFont+F9" w:cs="CIDFont+F9"/>
          <w:b/>
          <w:sz w:val="23"/>
          <w:szCs w:val="23"/>
          <w:lang w:val="en-US" w:eastAsia="zh-CN"/>
        </w:rPr>
        <w:t>Land titles for indigenous communities</w:t>
      </w:r>
    </w:p>
    <w:p w:rsidR="003E18D8" w:rsidRPr="003E18D8" w:rsidRDefault="003E18D8" w:rsidP="003E18D8">
      <w:pPr>
        <w:autoSpaceDE w:val="0"/>
        <w:autoSpaceDN w:val="0"/>
        <w:adjustRightInd w:val="0"/>
        <w:rPr>
          <w:rFonts w:ascii="CIDFont+F6" w:hAnsi="CIDFont+F6" w:cs="CIDFont+F6"/>
          <w:i/>
          <w:sz w:val="23"/>
          <w:szCs w:val="23"/>
          <w:lang w:val="en-US" w:eastAsia="zh-CN"/>
        </w:rPr>
      </w:pPr>
      <w:r w:rsidRPr="003E18D8">
        <w:rPr>
          <w:rFonts w:ascii="CIDFont+F6" w:hAnsi="CIDFont+F6" w:cs="CIDFont+F6"/>
          <w:i/>
          <w:sz w:val="23"/>
          <w:szCs w:val="23"/>
          <w:lang w:val="en-US" w:eastAsia="zh-CN"/>
        </w:rPr>
        <w:t>Positive examples of processes established by States to recognise and adjudicate the</w:t>
      </w:r>
    </w:p>
    <w:p w:rsidR="003E18D8" w:rsidRPr="003E18D8" w:rsidRDefault="003E18D8" w:rsidP="003E18D8">
      <w:pPr>
        <w:autoSpaceDE w:val="0"/>
        <w:autoSpaceDN w:val="0"/>
        <w:adjustRightInd w:val="0"/>
        <w:rPr>
          <w:rFonts w:ascii="CIDFont+F6" w:hAnsi="CIDFont+F6" w:cs="CIDFont+F6"/>
          <w:i/>
          <w:sz w:val="23"/>
          <w:szCs w:val="23"/>
          <w:lang w:val="en-US" w:eastAsia="zh-CN"/>
        </w:rPr>
      </w:pPr>
      <w:r w:rsidRPr="003E18D8">
        <w:rPr>
          <w:rFonts w:ascii="CIDFont+F6" w:hAnsi="CIDFont+F6" w:cs="CIDFont+F6"/>
          <w:i/>
          <w:sz w:val="23"/>
          <w:szCs w:val="23"/>
          <w:lang w:val="en-US" w:eastAsia="zh-CN"/>
        </w:rPr>
        <w:t>rights of indigenous peoples to their lands, territories and resources and the extent to</w:t>
      </w:r>
    </w:p>
    <w:p w:rsidR="003E18D8" w:rsidRPr="003E18D8" w:rsidRDefault="003E18D8" w:rsidP="003E18D8">
      <w:pPr>
        <w:rPr>
          <w:rFonts w:ascii="CIDFont+F6" w:hAnsi="CIDFont+F6" w:cs="CIDFont+F6"/>
          <w:i/>
          <w:sz w:val="23"/>
          <w:szCs w:val="23"/>
          <w:lang w:val="en-US" w:eastAsia="zh-CN"/>
        </w:rPr>
      </w:pPr>
      <w:r w:rsidRPr="003E18D8">
        <w:rPr>
          <w:rFonts w:ascii="CIDFont+F6" w:hAnsi="CIDFont+F6" w:cs="CIDFont+F6"/>
          <w:i/>
          <w:sz w:val="23"/>
          <w:szCs w:val="23"/>
          <w:lang w:val="en-US" w:eastAsia="zh-CN"/>
        </w:rPr>
        <w:t>which indigenous peoples are involved in this process.</w:t>
      </w:r>
    </w:p>
    <w:p w:rsidR="003E18D8" w:rsidRPr="003E18D8" w:rsidRDefault="003E18D8" w:rsidP="003E18D8">
      <w:pPr>
        <w:rPr>
          <w:rFonts w:ascii="CIDFont+F9" w:hAnsi="CIDFont+F9" w:cs="CIDFont+F9"/>
          <w:sz w:val="23"/>
          <w:szCs w:val="23"/>
          <w:lang w:val="en-US" w:eastAsia="zh-CN"/>
        </w:rPr>
      </w:pPr>
    </w:p>
    <w:p w:rsidR="00CE3E00" w:rsidRPr="003E18D8" w:rsidRDefault="00CE3E00" w:rsidP="006E657D">
      <w:pPr>
        <w:rPr>
          <w:rFonts w:ascii="CIDFont+F9" w:hAnsi="CIDFont+F9" w:cs="CIDFont+F9"/>
          <w:b/>
          <w:sz w:val="23"/>
          <w:szCs w:val="23"/>
          <w:lang w:val="en-US" w:eastAsia="zh-CN"/>
        </w:rPr>
      </w:pPr>
      <w:r w:rsidRPr="006E657D">
        <w:rPr>
          <w:rFonts w:ascii="CIDFont+F9" w:hAnsi="CIDFont+F9" w:cs="CIDFont+F9"/>
          <w:sz w:val="23"/>
          <w:szCs w:val="23"/>
          <w:lang w:val="en-US" w:eastAsia="zh-CN"/>
        </w:rPr>
        <w:t>In Peru, based on legislation dating from the 1970s, indigenous peoples can secure their collective land rights only at the community level. In the Amazon, about one third of the currently about 2250 recognized indigenous communities still lack a land title. Reforms are underway to improve information systems, simplify procedures, strengthen institutions, resolve overlaps with protected areas and forestry concessions, and address social conflicts</w:t>
      </w:r>
      <w:r w:rsidR="0009103F" w:rsidRPr="006E657D">
        <w:rPr>
          <w:rFonts w:ascii="CIDFont+F9" w:hAnsi="CIDFont+F9" w:cs="CIDFont+F9"/>
          <w:sz w:val="23"/>
          <w:szCs w:val="23"/>
          <w:lang w:val="en-US" w:eastAsia="zh-CN"/>
        </w:rPr>
        <w:t xml:space="preserve"> at the local level</w:t>
      </w:r>
      <w:r w:rsidRPr="006E657D">
        <w:rPr>
          <w:rFonts w:ascii="CIDFont+F9" w:hAnsi="CIDFont+F9" w:cs="CIDFont+F9"/>
          <w:sz w:val="23"/>
          <w:szCs w:val="23"/>
          <w:lang w:val="en-US" w:eastAsia="zh-CN"/>
        </w:rPr>
        <w:t>. In 2018, a national rural cadaster system was launched which for the first time includes indigenous communities</w:t>
      </w:r>
      <w:r w:rsidR="0009103F" w:rsidRPr="006E657D">
        <w:rPr>
          <w:rFonts w:ascii="CIDFont+F9" w:hAnsi="CIDFont+F9" w:cs="CIDFont+F9"/>
          <w:sz w:val="23"/>
          <w:szCs w:val="23"/>
          <w:lang w:val="en-US" w:eastAsia="zh-CN"/>
        </w:rPr>
        <w:t xml:space="preserve"> both in the highlands </w:t>
      </w:r>
      <w:r w:rsidR="0047050B" w:rsidRPr="006E657D">
        <w:rPr>
          <w:rFonts w:ascii="CIDFont+F9" w:hAnsi="CIDFont+F9" w:cs="CIDFont+F9"/>
          <w:sz w:val="23"/>
          <w:szCs w:val="23"/>
          <w:lang w:val="en-US" w:eastAsia="zh-CN"/>
        </w:rPr>
        <w:t>(</w:t>
      </w:r>
      <w:r w:rsidR="0047050B" w:rsidRPr="005C3E03">
        <w:rPr>
          <w:rFonts w:ascii="CIDFont+F9" w:hAnsi="CIDFont+F9" w:cs="CIDFont+F9"/>
          <w:i/>
          <w:sz w:val="23"/>
          <w:szCs w:val="23"/>
          <w:lang w:val="en-US" w:eastAsia="zh-CN"/>
        </w:rPr>
        <w:t>comunidades campesinas</w:t>
      </w:r>
      <w:r w:rsidR="0047050B" w:rsidRPr="006E657D">
        <w:rPr>
          <w:rFonts w:ascii="CIDFont+F9" w:hAnsi="CIDFont+F9" w:cs="CIDFont+F9"/>
          <w:sz w:val="23"/>
          <w:szCs w:val="23"/>
          <w:lang w:val="en-US" w:eastAsia="zh-CN"/>
        </w:rPr>
        <w:t xml:space="preserve">) </w:t>
      </w:r>
      <w:r w:rsidR="0009103F" w:rsidRPr="006E657D">
        <w:rPr>
          <w:rFonts w:ascii="CIDFont+F9" w:hAnsi="CIDFont+F9" w:cs="CIDFont+F9"/>
          <w:sz w:val="23"/>
          <w:szCs w:val="23"/>
          <w:lang w:val="en-US" w:eastAsia="zh-CN"/>
        </w:rPr>
        <w:t>and the Amazon</w:t>
      </w:r>
      <w:r w:rsidR="0047050B" w:rsidRPr="006E657D">
        <w:rPr>
          <w:rFonts w:ascii="CIDFont+F9" w:hAnsi="CIDFont+F9" w:cs="CIDFont+F9"/>
          <w:sz w:val="23"/>
          <w:szCs w:val="23"/>
          <w:lang w:val="en-US" w:eastAsia="zh-CN"/>
        </w:rPr>
        <w:t xml:space="preserve"> (</w:t>
      </w:r>
      <w:r w:rsidR="0047050B" w:rsidRPr="005C3E03">
        <w:rPr>
          <w:rFonts w:ascii="CIDFont+F9" w:hAnsi="CIDFont+F9" w:cs="CIDFont+F9"/>
          <w:i/>
          <w:sz w:val="23"/>
          <w:szCs w:val="23"/>
          <w:lang w:val="en-US" w:eastAsia="zh-CN"/>
        </w:rPr>
        <w:t>comunidades nativas</w:t>
      </w:r>
      <w:r w:rsidR="0047050B" w:rsidRPr="006E657D">
        <w:rPr>
          <w:rFonts w:ascii="CIDFont+F9" w:hAnsi="CIDFont+F9" w:cs="CIDFont+F9"/>
          <w:sz w:val="23"/>
          <w:szCs w:val="23"/>
          <w:lang w:val="en-US" w:eastAsia="zh-CN"/>
        </w:rPr>
        <w:t>)</w:t>
      </w:r>
      <w:r w:rsidRPr="006E657D">
        <w:rPr>
          <w:rFonts w:ascii="CIDFont+F9" w:hAnsi="CIDFont+F9" w:cs="CIDFont+F9"/>
          <w:sz w:val="23"/>
          <w:szCs w:val="23"/>
          <w:lang w:val="en-US" w:eastAsia="zh-CN"/>
        </w:rPr>
        <w:t xml:space="preserve">. Since 2016, </w:t>
      </w:r>
      <w:r w:rsidR="009B12C8" w:rsidRPr="006E657D">
        <w:rPr>
          <w:rFonts w:ascii="CIDFont+F9" w:hAnsi="CIDFont+F9" w:cs="CIDFont+F9"/>
          <w:sz w:val="23"/>
          <w:szCs w:val="23"/>
          <w:lang w:val="en-US" w:eastAsia="zh-CN"/>
        </w:rPr>
        <w:t>when the Global Pro</w:t>
      </w:r>
      <w:r w:rsidR="0047050B" w:rsidRPr="006E657D">
        <w:rPr>
          <w:rFonts w:ascii="CIDFont+F9" w:hAnsi="CIDFont+F9" w:cs="CIDFont+F9"/>
          <w:sz w:val="23"/>
          <w:szCs w:val="23"/>
          <w:lang w:val="en-US" w:eastAsia="zh-CN"/>
        </w:rPr>
        <w:t>ject</w:t>
      </w:r>
      <w:r w:rsidR="009B12C8" w:rsidRPr="006E657D">
        <w:rPr>
          <w:rFonts w:ascii="CIDFont+F9" w:hAnsi="CIDFont+F9" w:cs="CIDFont+F9"/>
          <w:sz w:val="23"/>
          <w:szCs w:val="23"/>
          <w:lang w:val="en-US" w:eastAsia="zh-CN"/>
        </w:rPr>
        <w:t xml:space="preserve"> “Responsible Land Policy” started in Peru, </w:t>
      </w:r>
      <w:r w:rsidRPr="006E657D">
        <w:rPr>
          <w:rFonts w:ascii="CIDFont+F9" w:hAnsi="CIDFont+F9" w:cs="CIDFont+F9"/>
          <w:sz w:val="23"/>
          <w:szCs w:val="23"/>
          <w:lang w:val="en-US" w:eastAsia="zh-CN"/>
        </w:rPr>
        <w:t xml:space="preserve">in the </w:t>
      </w:r>
      <w:r w:rsidRPr="006E657D">
        <w:rPr>
          <w:rFonts w:ascii="CIDFont+F9" w:hAnsi="CIDFont+F9" w:cs="CIDFont+F9"/>
          <w:sz w:val="23"/>
          <w:szCs w:val="23"/>
          <w:lang w:val="en-US" w:eastAsia="zh-CN"/>
        </w:rPr>
        <w:lastRenderedPageBreak/>
        <w:t xml:space="preserve">two </w:t>
      </w:r>
      <w:r w:rsidR="009B12C8" w:rsidRPr="006E657D">
        <w:rPr>
          <w:rFonts w:ascii="CIDFont+F9" w:hAnsi="CIDFont+F9" w:cs="CIDFont+F9"/>
          <w:sz w:val="23"/>
          <w:szCs w:val="23"/>
          <w:lang w:val="en-US" w:eastAsia="zh-CN"/>
        </w:rPr>
        <w:t xml:space="preserve">Amazonian </w:t>
      </w:r>
      <w:r w:rsidRPr="006E657D">
        <w:rPr>
          <w:rFonts w:ascii="CIDFont+F9" w:hAnsi="CIDFont+F9" w:cs="CIDFont+F9"/>
          <w:sz w:val="23"/>
          <w:szCs w:val="23"/>
          <w:lang w:val="en-US" w:eastAsia="zh-CN"/>
        </w:rPr>
        <w:t>project regions</w:t>
      </w:r>
      <w:r w:rsidR="0009103F" w:rsidRPr="006E657D">
        <w:rPr>
          <w:rFonts w:ascii="CIDFont+F9" w:hAnsi="CIDFont+F9" w:cs="CIDFont+F9"/>
          <w:sz w:val="23"/>
          <w:szCs w:val="23"/>
          <w:lang w:val="en-US" w:eastAsia="zh-CN"/>
        </w:rPr>
        <w:t xml:space="preserve"> San Martin and Ucayali</w:t>
      </w:r>
      <w:r w:rsidRPr="006E657D">
        <w:rPr>
          <w:rFonts w:ascii="CIDFont+F9" w:hAnsi="CIDFont+F9" w:cs="CIDFont+F9"/>
          <w:sz w:val="23"/>
          <w:szCs w:val="23"/>
          <w:lang w:val="en-US" w:eastAsia="zh-CN"/>
        </w:rPr>
        <w:t>, 43 community land</w:t>
      </w:r>
      <w:r w:rsidRPr="006E657D">
        <w:rPr>
          <w:lang w:val="en-US"/>
        </w:rPr>
        <w:t xml:space="preserve"> </w:t>
      </w:r>
      <w:r w:rsidRPr="006E657D">
        <w:rPr>
          <w:rFonts w:ascii="CIDFont+F9" w:hAnsi="CIDFont+F9" w:cs="CIDFont+F9"/>
          <w:sz w:val="23"/>
          <w:szCs w:val="23"/>
          <w:lang w:val="en-US" w:eastAsia="zh-CN"/>
        </w:rPr>
        <w:t>titles have been issued covering 325.000 ha</w:t>
      </w:r>
      <w:r w:rsidRPr="006E657D">
        <w:rPr>
          <w:lang w:val="en-US"/>
        </w:rPr>
        <w:t>.</w:t>
      </w:r>
      <w:r w:rsidR="0047050B">
        <w:rPr>
          <w:rStyle w:val="FootnoteReference"/>
          <w:lang w:val="en-US"/>
        </w:rPr>
        <w:footnoteReference w:id="4"/>
      </w:r>
      <w:r w:rsidRPr="006E657D">
        <w:rPr>
          <w:lang w:val="en-US"/>
        </w:rPr>
        <w:t xml:space="preserve"> </w:t>
      </w:r>
    </w:p>
    <w:p w:rsidR="00343B53" w:rsidRDefault="00343B53" w:rsidP="00CA562B">
      <w:pPr>
        <w:autoSpaceDE w:val="0"/>
        <w:autoSpaceDN w:val="0"/>
        <w:adjustRightInd w:val="0"/>
        <w:jc w:val="both"/>
        <w:rPr>
          <w:rFonts w:ascii="CIDFont+F9" w:hAnsi="CIDFont+F9" w:cs="CIDFont+F9"/>
          <w:b/>
          <w:sz w:val="23"/>
          <w:szCs w:val="23"/>
          <w:lang w:val="en-US" w:eastAsia="zh-CN"/>
        </w:rPr>
      </w:pPr>
      <w:r>
        <w:rPr>
          <w:rFonts w:ascii="CIDFont+F9" w:hAnsi="CIDFont+F9" w:cs="CIDFont+F9"/>
          <w:b/>
          <w:sz w:val="23"/>
          <w:szCs w:val="23"/>
          <w:lang w:val="en-US" w:eastAsia="zh-CN"/>
        </w:rPr>
        <w:t>Colombia and Mato Grosso</w:t>
      </w:r>
      <w:r w:rsidR="003E18D8">
        <w:rPr>
          <w:rFonts w:ascii="CIDFont+F9" w:hAnsi="CIDFont+F9" w:cs="CIDFont+F9"/>
          <w:b/>
          <w:sz w:val="23"/>
          <w:szCs w:val="23"/>
          <w:lang w:val="en-US" w:eastAsia="zh-CN"/>
        </w:rPr>
        <w:t xml:space="preserve"> (Brazil):</w:t>
      </w:r>
      <w:r w:rsidRPr="00343B53">
        <w:rPr>
          <w:rFonts w:ascii="CIDFont+F9" w:hAnsi="CIDFont+F9" w:cs="CIDFont+F9"/>
          <w:b/>
          <w:sz w:val="23"/>
          <w:szCs w:val="23"/>
          <w:lang w:val="en-US" w:eastAsia="zh-CN"/>
        </w:rPr>
        <w:t xml:space="preserve"> </w:t>
      </w:r>
      <w:r w:rsidR="003E18D8" w:rsidRPr="00343B53">
        <w:rPr>
          <w:rFonts w:ascii="CIDFont+F9" w:hAnsi="CIDFont+F9" w:cs="CIDFont+F9"/>
          <w:b/>
          <w:sz w:val="23"/>
          <w:szCs w:val="23"/>
          <w:lang w:val="en-US" w:eastAsia="zh-CN"/>
        </w:rPr>
        <w:t>REDD+ benefit sharing</w:t>
      </w:r>
    </w:p>
    <w:p w:rsidR="00343B53" w:rsidRDefault="003E18D8" w:rsidP="00CA562B">
      <w:pPr>
        <w:autoSpaceDE w:val="0"/>
        <w:autoSpaceDN w:val="0"/>
        <w:adjustRightInd w:val="0"/>
        <w:jc w:val="both"/>
        <w:rPr>
          <w:rFonts w:ascii="CIDFont+F9" w:hAnsi="CIDFont+F9" w:cs="CIDFont+F9"/>
          <w:sz w:val="23"/>
          <w:szCs w:val="23"/>
          <w:lang w:val="en-US" w:eastAsia="zh-CN"/>
        </w:rPr>
      </w:pPr>
      <w:r>
        <w:rPr>
          <w:rFonts w:ascii="CIDFont+F9" w:hAnsi="CIDFont+F9" w:cs="CIDFont+F9"/>
          <w:i/>
          <w:sz w:val="23"/>
          <w:szCs w:val="23"/>
          <w:lang w:val="en-US" w:eastAsia="zh-CN"/>
        </w:rPr>
        <w:t>D</w:t>
      </w:r>
      <w:r w:rsidR="00343B53" w:rsidRPr="009D5137">
        <w:rPr>
          <w:rFonts w:ascii="CIDFont+F9" w:hAnsi="CIDFont+F9" w:cs="CIDFont+F9"/>
          <w:i/>
          <w:sz w:val="23"/>
          <w:szCs w:val="23"/>
          <w:lang w:val="en-US" w:eastAsia="zh-CN"/>
        </w:rPr>
        <w:t xml:space="preserve">etermination and development of priorities and strategies </w:t>
      </w:r>
      <w:r w:rsidR="00343B53" w:rsidRPr="009D5137">
        <w:rPr>
          <w:rFonts w:ascii="CIDFont+F6" w:hAnsi="CIDFont+F6" w:cs="CIDFont+F6"/>
          <w:i/>
          <w:sz w:val="23"/>
          <w:szCs w:val="23"/>
          <w:lang w:val="en-US" w:eastAsia="zh-CN"/>
        </w:rPr>
        <w:t>for the development or use of their lands or territories and other resources, including by exercising their traditional occupations and ensuring their livelihoods</w:t>
      </w:r>
      <w:r w:rsidR="00343B53" w:rsidRPr="00343B53">
        <w:rPr>
          <w:rFonts w:ascii="CIDFont+F6" w:hAnsi="CIDFont+F6" w:cs="CIDFont+F6"/>
          <w:sz w:val="23"/>
          <w:szCs w:val="23"/>
          <w:lang w:val="en-US" w:eastAsia="zh-CN"/>
        </w:rPr>
        <w:t>.</w:t>
      </w:r>
    </w:p>
    <w:p w:rsidR="00343B53" w:rsidRDefault="00343B53" w:rsidP="00CA562B">
      <w:pPr>
        <w:autoSpaceDE w:val="0"/>
        <w:autoSpaceDN w:val="0"/>
        <w:adjustRightInd w:val="0"/>
        <w:jc w:val="both"/>
        <w:rPr>
          <w:rFonts w:ascii="CIDFont+F9" w:hAnsi="CIDFont+F9" w:cs="CIDFont+F9"/>
          <w:sz w:val="23"/>
          <w:szCs w:val="23"/>
          <w:lang w:val="en-US" w:eastAsia="zh-CN"/>
        </w:rPr>
      </w:pPr>
    </w:p>
    <w:p w:rsidR="007552BF" w:rsidRDefault="007552BF" w:rsidP="00CA562B">
      <w:pPr>
        <w:autoSpaceDE w:val="0"/>
        <w:autoSpaceDN w:val="0"/>
        <w:adjustRightInd w:val="0"/>
        <w:jc w:val="both"/>
        <w:rPr>
          <w:rFonts w:ascii="CIDFont+F9" w:hAnsi="CIDFont+F9" w:cs="CIDFont+F9"/>
          <w:sz w:val="23"/>
          <w:szCs w:val="23"/>
          <w:lang w:val="en-US" w:eastAsia="zh-CN"/>
        </w:rPr>
      </w:pPr>
      <w:r w:rsidRPr="007552BF">
        <w:rPr>
          <w:rFonts w:ascii="CIDFont+F9" w:hAnsi="CIDFont+F9" w:cs="CIDFont+F9"/>
          <w:sz w:val="23"/>
          <w:szCs w:val="23"/>
          <w:lang w:val="en-US" w:eastAsia="zh-CN"/>
        </w:rPr>
        <w:t xml:space="preserve">The </w:t>
      </w:r>
      <w:r w:rsidRPr="007552BF">
        <w:rPr>
          <w:rFonts w:ascii="CIDFont+F9" w:hAnsi="CIDFont+F9" w:cs="CIDFont+F9"/>
          <w:b/>
          <w:sz w:val="23"/>
          <w:szCs w:val="23"/>
          <w:lang w:val="en-US" w:eastAsia="zh-CN"/>
        </w:rPr>
        <w:t>REDD Early Movers (REM) program</w:t>
      </w:r>
      <w:r w:rsidRPr="007552BF">
        <w:rPr>
          <w:rFonts w:ascii="CIDFont+F9" w:hAnsi="CIDFont+F9" w:cs="CIDFont+F9"/>
          <w:sz w:val="23"/>
          <w:szCs w:val="23"/>
          <w:lang w:val="en-US" w:eastAsia="zh-CN"/>
        </w:rPr>
        <w:t xml:space="preserve">, co-financed by UK and Norway, rewards forest and climate protection pioneers by compensating for emission reductions from deforestation. It currently operates with four country components in the Brazilian states of Acre and </w:t>
      </w:r>
      <w:r w:rsidRPr="007552BF">
        <w:rPr>
          <w:rFonts w:ascii="CIDFont+F9" w:hAnsi="CIDFont+F9" w:cs="CIDFont+F9"/>
          <w:b/>
          <w:sz w:val="23"/>
          <w:szCs w:val="23"/>
          <w:lang w:val="en-US" w:eastAsia="zh-CN"/>
        </w:rPr>
        <w:t>Mato Grosso</w:t>
      </w:r>
      <w:r w:rsidRPr="007552BF">
        <w:rPr>
          <w:rFonts w:ascii="CIDFont+F9" w:hAnsi="CIDFont+F9" w:cs="CIDFont+F9"/>
          <w:sz w:val="23"/>
          <w:szCs w:val="23"/>
          <w:lang w:val="en-US" w:eastAsia="zh-CN"/>
        </w:rPr>
        <w:t xml:space="preserve">, in </w:t>
      </w:r>
      <w:r w:rsidRPr="007552BF">
        <w:rPr>
          <w:rFonts w:ascii="CIDFont+F9" w:hAnsi="CIDFont+F9" w:cs="CIDFont+F9"/>
          <w:b/>
          <w:sz w:val="23"/>
          <w:szCs w:val="23"/>
          <w:lang w:val="en-US" w:eastAsia="zh-CN"/>
        </w:rPr>
        <w:t>Colombia</w:t>
      </w:r>
      <w:r w:rsidRPr="007552BF">
        <w:rPr>
          <w:rFonts w:ascii="CIDFont+F9" w:hAnsi="CIDFont+F9" w:cs="CIDFont+F9"/>
          <w:sz w:val="23"/>
          <w:szCs w:val="23"/>
          <w:lang w:val="en-US" w:eastAsia="zh-CN"/>
        </w:rPr>
        <w:t xml:space="preserve"> and Ecuador</w:t>
      </w:r>
      <w:r>
        <w:rPr>
          <w:rFonts w:ascii="CIDFont+F9" w:hAnsi="CIDFont+F9" w:cs="CIDFont+F9"/>
          <w:sz w:val="23"/>
          <w:szCs w:val="23"/>
          <w:lang w:val="en-US" w:eastAsia="zh-CN"/>
        </w:rPr>
        <w:t>,</w:t>
      </w:r>
      <w:r w:rsidRPr="007552BF">
        <w:rPr>
          <w:rFonts w:ascii="CIDFont+F9" w:hAnsi="CIDFont+F9" w:cs="CIDFont+F9"/>
          <w:sz w:val="23"/>
          <w:szCs w:val="23"/>
          <w:lang w:val="en-US" w:eastAsia="zh-CN"/>
        </w:rPr>
        <w:t xml:space="preserve"> with indigenous people and other forest dwellers being explicit target groups. Through benefit sharing programs at least half of the payments go directly to small farmers, women and indigenous and local forest-dependent communities; in Colombia and Mato </w:t>
      </w:r>
      <w:r w:rsidRPr="007552BF">
        <w:rPr>
          <w:rFonts w:ascii="CIDFont+F9" w:hAnsi="CIDFont+F9" w:cs="CIDFont+F9"/>
          <w:sz w:val="23"/>
          <w:szCs w:val="23"/>
          <w:lang w:val="en-US" w:eastAsia="zh-CN"/>
        </w:rPr>
        <w:lastRenderedPageBreak/>
        <w:t>Grosso it is 60% of the payments, in Acre and Ecuador 70%. Overall, REM has anchored the involvement of indigenous peoples and forest dwellers in REDD programs, establishing grievance mechanisms and management systems for social and environmental risks.</w:t>
      </w:r>
    </w:p>
    <w:p w:rsidR="007552BF" w:rsidRPr="007552BF" w:rsidRDefault="007552BF" w:rsidP="00CA562B">
      <w:pPr>
        <w:autoSpaceDE w:val="0"/>
        <w:autoSpaceDN w:val="0"/>
        <w:adjustRightInd w:val="0"/>
        <w:jc w:val="both"/>
        <w:rPr>
          <w:rFonts w:ascii="CIDFont+F9" w:hAnsi="CIDFont+F9" w:cs="CIDFont+F9"/>
          <w:sz w:val="23"/>
          <w:szCs w:val="23"/>
          <w:lang w:val="en-US" w:eastAsia="zh-CN"/>
        </w:rPr>
      </w:pPr>
      <w:r w:rsidRPr="007552BF">
        <w:rPr>
          <w:rFonts w:ascii="CIDFont+F9" w:hAnsi="CIDFont+F9" w:cs="CIDFont+F9"/>
          <w:sz w:val="23"/>
          <w:szCs w:val="23"/>
          <w:lang w:val="en-US" w:eastAsia="zh-CN"/>
        </w:rPr>
        <w:t xml:space="preserve"> </w:t>
      </w:r>
    </w:p>
    <w:p w:rsidR="007552BF" w:rsidRDefault="007552BF" w:rsidP="00CA562B">
      <w:pPr>
        <w:autoSpaceDE w:val="0"/>
        <w:autoSpaceDN w:val="0"/>
        <w:adjustRightInd w:val="0"/>
        <w:jc w:val="both"/>
        <w:rPr>
          <w:rFonts w:ascii="CIDFont+F9" w:hAnsi="CIDFont+F9" w:cs="CIDFont+F9"/>
          <w:sz w:val="23"/>
          <w:szCs w:val="23"/>
          <w:lang w:val="en-US" w:eastAsia="zh-CN"/>
        </w:rPr>
      </w:pPr>
      <w:r w:rsidRPr="007552BF">
        <w:rPr>
          <w:rFonts w:ascii="CIDFont+F9" w:hAnsi="CIDFont+F9" w:cs="CIDFont+F9"/>
          <w:sz w:val="23"/>
          <w:szCs w:val="23"/>
          <w:lang w:val="en-US" w:eastAsia="zh-CN"/>
        </w:rPr>
        <w:t xml:space="preserve">In </w:t>
      </w:r>
      <w:r w:rsidRPr="007552BF">
        <w:rPr>
          <w:rFonts w:ascii="CIDFont+F9" w:hAnsi="CIDFont+F9" w:cs="CIDFont+F9"/>
          <w:b/>
          <w:sz w:val="23"/>
          <w:szCs w:val="23"/>
          <w:lang w:val="en-US" w:eastAsia="zh-CN"/>
        </w:rPr>
        <w:t>Colombia</w:t>
      </w:r>
      <w:r w:rsidRPr="007552BF">
        <w:rPr>
          <w:rFonts w:ascii="CIDFont+F9" w:hAnsi="CIDFont+F9" w:cs="CIDFont+F9"/>
          <w:sz w:val="23"/>
          <w:szCs w:val="23"/>
          <w:lang w:val="en-US" w:eastAsia="zh-CN"/>
        </w:rPr>
        <w:t xml:space="preserve">, for example, REM supports the Ministry of the Environment in developing and implementing the Colombian "Visión Amazonía" program. REM funds are invested in the five pillars (one being the indigenous pillar) of the Amazon Vision. Its </w:t>
      </w:r>
      <w:r w:rsidRPr="007552BF">
        <w:rPr>
          <w:rFonts w:ascii="CIDFont+F9" w:hAnsi="CIDFont+F9" w:cs="CIDFont+F9"/>
          <w:b/>
          <w:sz w:val="23"/>
          <w:szCs w:val="23"/>
          <w:lang w:val="en-US" w:eastAsia="zh-CN"/>
        </w:rPr>
        <w:t xml:space="preserve">design and prioritization of investments were defined in a </w:t>
      </w:r>
      <w:r w:rsidR="006E657D">
        <w:rPr>
          <w:rFonts w:ascii="CIDFont+F9" w:hAnsi="CIDFont+F9" w:cs="CIDFont+F9"/>
          <w:b/>
          <w:sz w:val="23"/>
          <w:szCs w:val="23"/>
          <w:lang w:val="en-US" w:eastAsia="zh-CN"/>
        </w:rPr>
        <w:t xml:space="preserve">broad </w:t>
      </w:r>
      <w:r w:rsidRPr="007552BF">
        <w:rPr>
          <w:rFonts w:ascii="CIDFont+F9" w:hAnsi="CIDFont+F9" w:cs="CIDFont+F9"/>
          <w:b/>
          <w:sz w:val="23"/>
          <w:szCs w:val="23"/>
          <w:lang w:val="en-US" w:eastAsia="zh-CN"/>
        </w:rPr>
        <w:t>participatory process</w:t>
      </w:r>
      <w:r>
        <w:rPr>
          <w:rFonts w:ascii="CIDFont+F9" w:hAnsi="CIDFont+F9" w:cs="CIDFont+F9"/>
          <w:sz w:val="23"/>
          <w:szCs w:val="23"/>
          <w:lang w:val="en-US" w:eastAsia="zh-CN"/>
        </w:rPr>
        <w:t xml:space="preserve"> that was conducted </w:t>
      </w:r>
      <w:r w:rsidR="004519DF">
        <w:rPr>
          <w:rFonts w:ascii="CIDFont+F9" w:hAnsi="CIDFont+F9" w:cs="CIDFont+F9"/>
          <w:sz w:val="23"/>
          <w:szCs w:val="23"/>
          <w:lang w:val="en-US" w:eastAsia="zh-CN"/>
        </w:rPr>
        <w:t xml:space="preserve">by the national indigenous organization OPIAC supported by GIZ, </w:t>
      </w:r>
      <w:r>
        <w:rPr>
          <w:rFonts w:ascii="CIDFont+F9" w:hAnsi="CIDFont+F9" w:cs="CIDFont+F9"/>
          <w:sz w:val="23"/>
          <w:szCs w:val="23"/>
          <w:lang w:val="en-US" w:eastAsia="zh-CN"/>
        </w:rPr>
        <w:t>with the continuous engagement of</w:t>
      </w:r>
      <w:r w:rsidR="00503CBC">
        <w:rPr>
          <w:rFonts w:ascii="CIDFont+F9" w:hAnsi="CIDFont+F9" w:cs="CIDFont+F9"/>
          <w:sz w:val="23"/>
          <w:szCs w:val="23"/>
          <w:lang w:val="en-US" w:eastAsia="zh-CN"/>
        </w:rPr>
        <w:t xml:space="preserve"> all</w:t>
      </w:r>
      <w:r w:rsidRPr="006E657D">
        <w:rPr>
          <w:rFonts w:ascii="CIDFont+F9" w:hAnsi="CIDFont+F9" w:cs="CIDFont+F9"/>
          <w:sz w:val="23"/>
          <w:szCs w:val="23"/>
          <w:lang w:val="en-US" w:eastAsia="zh-CN"/>
        </w:rPr>
        <w:t xml:space="preserve"> state institutions relevant</w:t>
      </w:r>
      <w:r>
        <w:rPr>
          <w:rFonts w:ascii="CIDFont+F9" w:hAnsi="CIDFont+F9" w:cs="CIDFont+F9"/>
          <w:sz w:val="23"/>
          <w:szCs w:val="23"/>
          <w:lang w:val="en-US" w:eastAsia="zh-CN"/>
        </w:rPr>
        <w:t xml:space="preserve"> to indigenous peoples’ affairs </w:t>
      </w:r>
      <w:r w:rsidR="00503CBC">
        <w:rPr>
          <w:rFonts w:ascii="CIDFont+F9" w:hAnsi="CIDFont+F9" w:cs="CIDFont+F9"/>
          <w:sz w:val="23"/>
          <w:szCs w:val="23"/>
          <w:lang w:val="en-US" w:eastAsia="zh-CN"/>
        </w:rPr>
        <w:t>(MADS, MinInt, etc.). This process</w:t>
      </w:r>
      <w:r>
        <w:rPr>
          <w:rFonts w:ascii="CIDFont+F9" w:hAnsi="CIDFont+F9" w:cs="CIDFont+F9"/>
          <w:sz w:val="23"/>
          <w:szCs w:val="23"/>
          <w:lang w:val="en-US" w:eastAsia="zh-CN"/>
        </w:rPr>
        <w:t xml:space="preserve"> </w:t>
      </w:r>
      <w:r w:rsidRPr="007552BF">
        <w:rPr>
          <w:rFonts w:ascii="CIDFont+F9" w:hAnsi="CIDFont+F9" w:cs="CIDFont+F9"/>
          <w:sz w:val="23"/>
          <w:szCs w:val="23"/>
          <w:lang w:val="en-US" w:eastAsia="zh-CN"/>
        </w:rPr>
        <w:t xml:space="preserve">strengthened both </w:t>
      </w:r>
      <w:r w:rsidR="004519DF">
        <w:rPr>
          <w:rFonts w:ascii="CIDFont+F9" w:hAnsi="CIDFont+F9" w:cs="CIDFont+F9"/>
          <w:sz w:val="23"/>
          <w:szCs w:val="23"/>
          <w:lang w:val="en-US" w:eastAsia="zh-CN"/>
        </w:rPr>
        <w:t>OPIAC</w:t>
      </w:r>
      <w:r w:rsidRPr="007552BF">
        <w:rPr>
          <w:rFonts w:ascii="CIDFont+F9" w:hAnsi="CIDFont+F9" w:cs="CIDFont+F9"/>
          <w:sz w:val="23"/>
          <w:szCs w:val="23"/>
          <w:lang w:val="en-US" w:eastAsia="zh-CN"/>
        </w:rPr>
        <w:t xml:space="preserve">, </w:t>
      </w:r>
      <w:r w:rsidR="004519DF">
        <w:rPr>
          <w:rFonts w:ascii="CIDFont+F9" w:hAnsi="CIDFont+F9" w:cs="CIDFont+F9"/>
          <w:sz w:val="23"/>
          <w:szCs w:val="23"/>
          <w:lang w:val="en-US" w:eastAsia="zh-CN"/>
        </w:rPr>
        <w:t xml:space="preserve">as well as </w:t>
      </w:r>
      <w:r w:rsidRPr="007552BF">
        <w:rPr>
          <w:rFonts w:ascii="CIDFont+F9" w:hAnsi="CIDFont+F9" w:cs="CIDFont+F9"/>
          <w:sz w:val="23"/>
          <w:szCs w:val="23"/>
          <w:lang w:val="en-US" w:eastAsia="zh-CN"/>
        </w:rPr>
        <w:t xml:space="preserve">regional and local indigenous organizations and state institutions in their administrative and organizational capacities. </w:t>
      </w:r>
    </w:p>
    <w:p w:rsidR="007552BF" w:rsidRDefault="007552BF" w:rsidP="00CA562B">
      <w:pPr>
        <w:autoSpaceDE w:val="0"/>
        <w:autoSpaceDN w:val="0"/>
        <w:adjustRightInd w:val="0"/>
        <w:jc w:val="both"/>
        <w:rPr>
          <w:rFonts w:ascii="CIDFont+F9" w:hAnsi="CIDFont+F9" w:cs="CIDFont+F9"/>
          <w:sz w:val="23"/>
          <w:szCs w:val="23"/>
          <w:lang w:val="en-US" w:eastAsia="zh-CN"/>
        </w:rPr>
      </w:pPr>
      <w:r>
        <w:rPr>
          <w:rFonts w:ascii="CIDFont+F9" w:hAnsi="CIDFont+F9" w:cs="CIDFont+F9"/>
          <w:sz w:val="23"/>
          <w:szCs w:val="23"/>
          <w:lang w:val="en-US" w:eastAsia="zh-CN"/>
        </w:rPr>
        <w:t xml:space="preserve">Three out of four </w:t>
      </w:r>
      <w:r w:rsidRPr="009D3916">
        <w:rPr>
          <w:rFonts w:ascii="CIDFont+F9" w:hAnsi="CIDFont+F9" w:cs="CIDFont+F9"/>
          <w:b/>
          <w:sz w:val="23"/>
          <w:szCs w:val="23"/>
          <w:lang w:val="en-US" w:eastAsia="zh-CN"/>
        </w:rPr>
        <w:t>strategic investment lines</w:t>
      </w:r>
      <w:r w:rsidR="00E15077">
        <w:rPr>
          <w:rFonts w:ascii="CIDFont+F9" w:hAnsi="CIDFont+F9" w:cs="CIDFont+F9"/>
          <w:b/>
          <w:sz w:val="23"/>
          <w:szCs w:val="23"/>
          <w:lang w:val="en-US" w:eastAsia="zh-CN"/>
        </w:rPr>
        <w:t xml:space="preserve"> of the indigenous pillar</w:t>
      </w:r>
      <w:r>
        <w:rPr>
          <w:rFonts w:ascii="CIDFont+F9" w:hAnsi="CIDFont+F9" w:cs="CIDFont+F9"/>
          <w:sz w:val="23"/>
          <w:szCs w:val="23"/>
          <w:lang w:val="en-US" w:eastAsia="zh-CN"/>
        </w:rPr>
        <w:t xml:space="preserve"> </w:t>
      </w:r>
      <w:r w:rsidR="009D3916">
        <w:rPr>
          <w:rFonts w:ascii="CIDFont+F9" w:hAnsi="CIDFont+F9" w:cs="CIDFont+F9"/>
          <w:sz w:val="23"/>
          <w:szCs w:val="23"/>
          <w:lang w:val="en-US" w:eastAsia="zh-CN"/>
        </w:rPr>
        <w:t xml:space="preserve">(guiding project development and decisions on concrete investments) </w:t>
      </w:r>
      <w:r>
        <w:rPr>
          <w:rFonts w:ascii="CIDFont+F9" w:hAnsi="CIDFont+F9" w:cs="CIDFont+F9"/>
          <w:sz w:val="23"/>
          <w:szCs w:val="23"/>
          <w:lang w:val="en-US" w:eastAsia="zh-CN"/>
        </w:rPr>
        <w:t>defined</w:t>
      </w:r>
      <w:r w:rsidR="00E15077">
        <w:rPr>
          <w:rFonts w:ascii="CIDFont+F9" w:hAnsi="CIDFont+F9" w:cs="CIDFont+F9"/>
          <w:sz w:val="23"/>
          <w:szCs w:val="23"/>
          <w:lang w:val="en-US" w:eastAsia="zh-CN"/>
        </w:rPr>
        <w:t xml:space="preserve"> by the indigenous delegates</w:t>
      </w:r>
      <w:r>
        <w:rPr>
          <w:rFonts w:ascii="CIDFont+F9" w:hAnsi="CIDFont+F9" w:cs="CIDFont+F9"/>
          <w:sz w:val="23"/>
          <w:szCs w:val="23"/>
          <w:lang w:val="en-US" w:eastAsia="zh-CN"/>
        </w:rPr>
        <w:t xml:space="preserve"> </w:t>
      </w:r>
      <w:r w:rsidR="00747918">
        <w:rPr>
          <w:rFonts w:ascii="CIDFont+F9" w:hAnsi="CIDFont+F9" w:cs="CIDFont+F9"/>
          <w:sz w:val="23"/>
          <w:szCs w:val="23"/>
          <w:lang w:val="en-US" w:eastAsia="zh-CN"/>
        </w:rPr>
        <w:t xml:space="preserve">refer to territorial management: i) </w:t>
      </w:r>
      <w:r w:rsidR="009D3916" w:rsidRPr="009D3916">
        <w:rPr>
          <w:rFonts w:ascii="CIDFont+F9" w:hAnsi="CIDFont+F9" w:cs="CIDFont+F9"/>
          <w:b/>
          <w:sz w:val="23"/>
          <w:szCs w:val="23"/>
          <w:lang w:val="en-US" w:eastAsia="zh-CN"/>
        </w:rPr>
        <w:t>Territory and Environment</w:t>
      </w:r>
      <w:r w:rsidR="009D3916">
        <w:rPr>
          <w:rFonts w:ascii="CIDFont+F9" w:hAnsi="CIDFont+F9" w:cs="CIDFont+F9"/>
          <w:sz w:val="23"/>
          <w:szCs w:val="23"/>
          <w:lang w:val="en-US" w:eastAsia="zh-CN"/>
        </w:rPr>
        <w:t xml:space="preserve">: Construction and/or implementation of indigenous life plans, including their integration </w:t>
      </w:r>
      <w:r w:rsidR="009D3916">
        <w:rPr>
          <w:rFonts w:ascii="CIDFont+F9" w:hAnsi="CIDFont+F9" w:cs="CIDFont+F9"/>
          <w:sz w:val="23"/>
          <w:szCs w:val="23"/>
          <w:lang w:val="en-US" w:eastAsia="zh-CN"/>
        </w:rPr>
        <w:lastRenderedPageBreak/>
        <w:t xml:space="preserve">into national/regional state development plans; certification/notarization of land, delimitation of territories and clarification of boundaries; territorial security; ii) </w:t>
      </w:r>
      <w:r w:rsidR="009D3916" w:rsidRPr="009D3916">
        <w:rPr>
          <w:rFonts w:ascii="CIDFont+F9" w:hAnsi="CIDFont+F9" w:cs="CIDFont+F9"/>
          <w:b/>
          <w:sz w:val="23"/>
          <w:szCs w:val="23"/>
          <w:lang w:val="en-US" w:eastAsia="zh-CN"/>
        </w:rPr>
        <w:t>Self-Government</w:t>
      </w:r>
      <w:r w:rsidR="009D3916">
        <w:rPr>
          <w:rFonts w:ascii="CIDFont+F9" w:hAnsi="CIDFont+F9" w:cs="CIDFont+F9"/>
          <w:sz w:val="23"/>
          <w:szCs w:val="23"/>
          <w:lang w:val="en-US" w:eastAsia="zh-CN"/>
        </w:rPr>
        <w:t xml:space="preserve">: delegation of environmental authority to indigenous authorities; strengthening of dialogue platforms and coordination with state authorities; internal regulations, zoning and territorial control; and iii) </w:t>
      </w:r>
      <w:r w:rsidR="009D3916" w:rsidRPr="009D3916">
        <w:rPr>
          <w:rFonts w:ascii="CIDFont+F9" w:hAnsi="CIDFont+F9" w:cs="CIDFont+F9"/>
          <w:b/>
          <w:sz w:val="23"/>
          <w:szCs w:val="23"/>
          <w:lang w:val="en-US" w:eastAsia="zh-CN"/>
        </w:rPr>
        <w:t>Economy and production</w:t>
      </w:r>
      <w:r w:rsidR="009D3916">
        <w:rPr>
          <w:rFonts w:ascii="CIDFont+F9" w:hAnsi="CIDFont+F9" w:cs="CIDFont+F9"/>
          <w:sz w:val="23"/>
          <w:szCs w:val="23"/>
          <w:lang w:val="en-US" w:eastAsia="zh-CN"/>
        </w:rPr>
        <w:t xml:space="preserve">: strengthening of traditional indigenous food production, local commerce and alternative livelihood generation; capacity building for producer groups for improved market access. </w:t>
      </w:r>
    </w:p>
    <w:p w:rsidR="001A3D78" w:rsidRDefault="001A3D78" w:rsidP="00CA562B">
      <w:pPr>
        <w:autoSpaceDE w:val="0"/>
        <w:autoSpaceDN w:val="0"/>
        <w:adjustRightInd w:val="0"/>
        <w:jc w:val="both"/>
        <w:rPr>
          <w:rFonts w:ascii="CIDFont+F9" w:hAnsi="CIDFont+F9" w:cs="CIDFont+F9"/>
          <w:sz w:val="23"/>
          <w:szCs w:val="23"/>
          <w:lang w:val="en-US" w:eastAsia="zh-CN"/>
        </w:rPr>
      </w:pPr>
      <w:r>
        <w:rPr>
          <w:rFonts w:ascii="CIDFont+F9" w:hAnsi="CIDFont+F9" w:cs="CIDFont+F9"/>
          <w:sz w:val="23"/>
          <w:szCs w:val="23"/>
          <w:lang w:val="en-US" w:eastAsia="zh-CN"/>
        </w:rPr>
        <w:t>In the 1</w:t>
      </w:r>
      <w:r w:rsidRPr="001A3D78">
        <w:rPr>
          <w:rFonts w:ascii="CIDFont+F9" w:hAnsi="CIDFont+F9" w:cs="CIDFont+F9"/>
          <w:sz w:val="23"/>
          <w:szCs w:val="23"/>
          <w:vertAlign w:val="superscript"/>
          <w:lang w:val="en-US" w:eastAsia="zh-CN"/>
        </w:rPr>
        <w:t>st</w:t>
      </w:r>
      <w:r>
        <w:rPr>
          <w:rFonts w:ascii="CIDFont+F9" w:hAnsi="CIDFont+F9" w:cs="CIDFont+F9"/>
          <w:sz w:val="23"/>
          <w:szCs w:val="23"/>
          <w:lang w:val="en-US" w:eastAsia="zh-CN"/>
        </w:rPr>
        <w:t xml:space="preserve"> phase of benefit sharing (2017-18) for the indigenous pillar, almost </w:t>
      </w:r>
      <w:r w:rsidRPr="001A3D78">
        <w:rPr>
          <w:rFonts w:ascii="CIDFont+F9" w:hAnsi="CIDFont+F9" w:cs="CIDFont+F9"/>
          <w:b/>
          <w:sz w:val="23"/>
          <w:szCs w:val="23"/>
          <w:lang w:val="en-US" w:eastAsia="zh-CN"/>
        </w:rPr>
        <w:t>10.000 indigenous families in</w:t>
      </w:r>
      <w:r>
        <w:rPr>
          <w:rFonts w:ascii="CIDFont+F9" w:hAnsi="CIDFont+F9" w:cs="CIDFont+F9"/>
          <w:sz w:val="23"/>
          <w:szCs w:val="23"/>
          <w:lang w:val="en-US" w:eastAsia="zh-CN"/>
        </w:rPr>
        <w:t xml:space="preserve"> </w:t>
      </w:r>
      <w:r w:rsidRPr="001A3D78">
        <w:rPr>
          <w:rFonts w:ascii="CIDFont+F9" w:hAnsi="CIDFont+F9" w:cs="CIDFont+F9"/>
          <w:b/>
          <w:sz w:val="23"/>
          <w:szCs w:val="23"/>
          <w:lang w:val="en-US" w:eastAsia="zh-CN"/>
        </w:rPr>
        <w:t>54 indigenous territories</w:t>
      </w:r>
      <w:r>
        <w:rPr>
          <w:rFonts w:ascii="CIDFont+F9" w:hAnsi="CIDFont+F9" w:cs="CIDFont+F9"/>
          <w:sz w:val="23"/>
          <w:szCs w:val="23"/>
          <w:lang w:val="en-US" w:eastAsia="zh-CN"/>
        </w:rPr>
        <w:t xml:space="preserve"> benefited through 10 projects with a total investment of about € 1.5 million. Out of these 10 projects supported, 2 focused on territory and environment, 3 on self-government, and 3 on economy and production. The 2</w:t>
      </w:r>
      <w:r w:rsidRPr="001A3D78">
        <w:rPr>
          <w:rFonts w:ascii="CIDFont+F9" w:hAnsi="CIDFont+F9" w:cs="CIDFont+F9"/>
          <w:sz w:val="23"/>
          <w:szCs w:val="23"/>
          <w:vertAlign w:val="superscript"/>
          <w:lang w:val="en-US" w:eastAsia="zh-CN"/>
        </w:rPr>
        <w:t>nd</w:t>
      </w:r>
      <w:r>
        <w:rPr>
          <w:rFonts w:ascii="CIDFont+F9" w:hAnsi="CIDFont+F9" w:cs="CIDFont+F9"/>
          <w:sz w:val="23"/>
          <w:szCs w:val="23"/>
          <w:lang w:val="en-US" w:eastAsia="zh-CN"/>
        </w:rPr>
        <w:t xml:space="preserve"> phase of benefit sharing for the indigenous pillar is underway.</w:t>
      </w:r>
      <w:r w:rsidR="004C5BA9">
        <w:rPr>
          <w:rFonts w:ascii="CIDFont+F9" w:hAnsi="CIDFont+F9" w:cs="CIDFont+F9"/>
          <w:sz w:val="23"/>
          <w:szCs w:val="23"/>
          <w:lang w:val="en-US" w:eastAsia="zh-CN"/>
        </w:rPr>
        <w:t xml:space="preserve"> In total, 22% of all results-based payments, i.e. up to € 26 million, will be channel</w:t>
      </w:r>
      <w:r w:rsidR="004519DF">
        <w:rPr>
          <w:rFonts w:ascii="CIDFont+F9" w:hAnsi="CIDFont+F9" w:cs="CIDFont+F9"/>
          <w:sz w:val="23"/>
          <w:szCs w:val="23"/>
          <w:lang w:val="en-US" w:eastAsia="zh-CN"/>
        </w:rPr>
        <w:t>l</w:t>
      </w:r>
      <w:r w:rsidR="004C5BA9">
        <w:rPr>
          <w:rFonts w:ascii="CIDFont+F9" w:hAnsi="CIDFont+F9" w:cs="CIDFont+F9"/>
          <w:sz w:val="23"/>
          <w:szCs w:val="23"/>
          <w:lang w:val="en-US" w:eastAsia="zh-CN"/>
        </w:rPr>
        <w:t>ed towards the indigenous pillar under the REM program – however, this is a potential absolute figure as the final amount depends on the countries’ performance of emission reductions.</w:t>
      </w:r>
      <w:r>
        <w:rPr>
          <w:rFonts w:ascii="CIDFont+F9" w:hAnsi="CIDFont+F9" w:cs="CIDFont+F9"/>
          <w:sz w:val="23"/>
          <w:szCs w:val="23"/>
          <w:lang w:val="en-US" w:eastAsia="zh-CN"/>
        </w:rPr>
        <w:t xml:space="preserve"> </w:t>
      </w:r>
    </w:p>
    <w:p w:rsidR="00343B53" w:rsidRDefault="00CA562B" w:rsidP="00CA562B">
      <w:pPr>
        <w:autoSpaceDE w:val="0"/>
        <w:autoSpaceDN w:val="0"/>
        <w:adjustRightInd w:val="0"/>
        <w:jc w:val="both"/>
        <w:rPr>
          <w:rFonts w:ascii="CIDFont+F9" w:hAnsi="CIDFont+F9" w:cs="CIDFont+F9"/>
          <w:sz w:val="23"/>
          <w:szCs w:val="23"/>
          <w:lang w:val="en-US" w:eastAsia="zh-CN"/>
        </w:rPr>
      </w:pPr>
      <w:r>
        <w:rPr>
          <w:rFonts w:ascii="CIDFont+F9" w:hAnsi="CIDFont+F9" w:cs="CIDFont+F9"/>
          <w:sz w:val="23"/>
          <w:szCs w:val="23"/>
          <w:lang w:val="en-US" w:eastAsia="zh-CN"/>
        </w:rPr>
        <w:t>Like</w:t>
      </w:r>
      <w:r w:rsidR="009D3916">
        <w:rPr>
          <w:rFonts w:ascii="CIDFont+F9" w:hAnsi="CIDFont+F9" w:cs="CIDFont+F9"/>
          <w:sz w:val="23"/>
          <w:szCs w:val="23"/>
          <w:lang w:val="en-US" w:eastAsia="zh-CN"/>
        </w:rPr>
        <w:t xml:space="preserve"> all other pillars, the indigenous pillar uses </w:t>
      </w:r>
      <w:r w:rsidR="007552BF" w:rsidRPr="007552BF">
        <w:rPr>
          <w:rFonts w:ascii="CIDFont+F9" w:hAnsi="CIDFont+F9" w:cs="CIDFont+F9"/>
          <w:sz w:val="23"/>
          <w:szCs w:val="23"/>
          <w:lang w:val="en-US" w:eastAsia="zh-CN"/>
        </w:rPr>
        <w:t xml:space="preserve">a REM specific social and environmental risk management approach in planning, implementation and monitoring of REM results-based payments, </w:t>
      </w:r>
      <w:bookmarkStart w:id="0" w:name="_GoBack"/>
      <w:bookmarkEnd w:id="0"/>
      <w:r w:rsidR="007552BF" w:rsidRPr="007552BF">
        <w:rPr>
          <w:rFonts w:ascii="CIDFont+F9" w:hAnsi="CIDFont+F9" w:cs="CIDFont+F9"/>
          <w:sz w:val="23"/>
          <w:szCs w:val="23"/>
          <w:lang w:val="en-US" w:eastAsia="zh-CN"/>
        </w:rPr>
        <w:lastRenderedPageBreak/>
        <w:t>and respond to inquiries and grievances that enter through the country’s REDD Grievance Mechanism.</w:t>
      </w:r>
      <w:r w:rsidR="003E18D8">
        <w:rPr>
          <w:rStyle w:val="FootnoteReference"/>
          <w:rFonts w:ascii="CIDFont+F9" w:hAnsi="CIDFont+F9" w:cs="CIDFont+F9"/>
          <w:sz w:val="23"/>
          <w:szCs w:val="23"/>
          <w:lang w:val="en-US" w:eastAsia="zh-CN"/>
        </w:rPr>
        <w:footnoteReference w:id="5"/>
      </w:r>
    </w:p>
    <w:p w:rsidR="00343B53" w:rsidRDefault="00343B53" w:rsidP="00CA562B">
      <w:pPr>
        <w:autoSpaceDE w:val="0"/>
        <w:autoSpaceDN w:val="0"/>
        <w:adjustRightInd w:val="0"/>
        <w:jc w:val="both"/>
        <w:rPr>
          <w:rFonts w:ascii="CIDFont+F9" w:hAnsi="CIDFont+F9" w:cs="CIDFont+F9"/>
          <w:sz w:val="23"/>
          <w:szCs w:val="23"/>
          <w:lang w:val="en-US" w:eastAsia="zh-CN"/>
        </w:rPr>
      </w:pPr>
    </w:p>
    <w:p w:rsidR="002B2824" w:rsidRDefault="00CA562B" w:rsidP="00CA562B">
      <w:pPr>
        <w:autoSpaceDE w:val="0"/>
        <w:autoSpaceDN w:val="0"/>
        <w:adjustRightInd w:val="0"/>
        <w:jc w:val="both"/>
        <w:rPr>
          <w:rFonts w:ascii="CIDFont+F9" w:hAnsi="CIDFont+F9" w:cs="CIDFont+F9"/>
          <w:sz w:val="23"/>
          <w:szCs w:val="23"/>
          <w:lang w:val="en-US" w:eastAsia="zh-CN"/>
        </w:rPr>
      </w:pPr>
      <w:r w:rsidRPr="00CA562B">
        <w:rPr>
          <w:rFonts w:ascii="CIDFont+F9" w:hAnsi="CIDFont+F9" w:cs="CIDFont+F9"/>
          <w:sz w:val="23"/>
          <w:szCs w:val="23"/>
          <w:lang w:val="en-US" w:eastAsia="zh-CN"/>
        </w:rPr>
        <w:t xml:space="preserve">In </w:t>
      </w:r>
      <w:r w:rsidRPr="004C5BA9">
        <w:rPr>
          <w:rFonts w:ascii="CIDFont+F9" w:hAnsi="CIDFont+F9" w:cs="CIDFont+F9"/>
          <w:b/>
          <w:sz w:val="23"/>
          <w:szCs w:val="23"/>
          <w:lang w:val="en-US" w:eastAsia="zh-CN"/>
        </w:rPr>
        <w:t>Mato Grosso</w:t>
      </w:r>
      <w:r>
        <w:rPr>
          <w:rFonts w:ascii="CIDFont+F9" w:hAnsi="CIDFont+F9" w:cs="CIDFont+F9"/>
          <w:sz w:val="23"/>
          <w:szCs w:val="23"/>
          <w:lang w:val="en-US" w:eastAsia="zh-CN"/>
        </w:rPr>
        <w:t xml:space="preserve">, the REM program supports the state </w:t>
      </w:r>
      <w:r w:rsidR="004C5BA9">
        <w:rPr>
          <w:rFonts w:ascii="CIDFont+F9" w:hAnsi="CIDFont+F9" w:cs="CIDFont+F9"/>
          <w:sz w:val="23"/>
          <w:szCs w:val="23"/>
          <w:lang w:val="en-US" w:eastAsia="zh-CN"/>
        </w:rPr>
        <w:t xml:space="preserve">Ministry of Environment, the Indigenous State Advisor, and the Federation of Indigenous Peoples of Mato Grosso (FEPOIMT) in the construction and implementation of an indigenous benefit-sharing component, in a similar way to the Colombian indigenous pillar. </w:t>
      </w:r>
    </w:p>
    <w:p w:rsidR="004519DF" w:rsidRDefault="004519DF" w:rsidP="00CA562B">
      <w:pPr>
        <w:autoSpaceDE w:val="0"/>
        <w:autoSpaceDN w:val="0"/>
        <w:adjustRightInd w:val="0"/>
        <w:jc w:val="both"/>
        <w:rPr>
          <w:rFonts w:ascii="CIDFont+F9" w:hAnsi="CIDFont+F9" w:cs="CIDFont+F9"/>
          <w:sz w:val="23"/>
          <w:szCs w:val="23"/>
          <w:lang w:val="en-US" w:eastAsia="zh-CN"/>
        </w:rPr>
      </w:pPr>
      <w:r>
        <w:rPr>
          <w:rFonts w:ascii="CIDFont+F9" w:hAnsi="CIDFont+F9" w:cs="CIDFont+F9"/>
          <w:sz w:val="23"/>
          <w:szCs w:val="23"/>
          <w:lang w:val="en-US" w:eastAsia="zh-CN"/>
        </w:rPr>
        <w:t xml:space="preserve">The </w:t>
      </w:r>
      <w:r w:rsidRPr="007552BF">
        <w:rPr>
          <w:rFonts w:ascii="CIDFont+F9" w:hAnsi="CIDFont+F9" w:cs="CIDFont+F9"/>
          <w:b/>
          <w:sz w:val="23"/>
          <w:szCs w:val="23"/>
          <w:lang w:val="en-US" w:eastAsia="zh-CN"/>
        </w:rPr>
        <w:t xml:space="preserve">design and prioritization of investments were defined in a </w:t>
      </w:r>
      <w:r w:rsidR="006E657D">
        <w:rPr>
          <w:rFonts w:ascii="CIDFont+F9" w:hAnsi="CIDFont+F9" w:cs="CIDFont+F9"/>
          <w:b/>
          <w:sz w:val="23"/>
          <w:szCs w:val="23"/>
          <w:lang w:val="en-US" w:eastAsia="zh-CN"/>
        </w:rPr>
        <w:t xml:space="preserve">broad </w:t>
      </w:r>
      <w:r w:rsidRPr="007552BF">
        <w:rPr>
          <w:rFonts w:ascii="CIDFont+F9" w:hAnsi="CIDFont+F9" w:cs="CIDFont+F9"/>
          <w:b/>
          <w:sz w:val="23"/>
          <w:szCs w:val="23"/>
          <w:lang w:val="en-US" w:eastAsia="zh-CN"/>
        </w:rPr>
        <w:t>participatory process</w:t>
      </w:r>
      <w:r>
        <w:rPr>
          <w:rFonts w:ascii="CIDFont+F9" w:hAnsi="CIDFont+F9" w:cs="CIDFont+F9"/>
          <w:sz w:val="23"/>
          <w:szCs w:val="23"/>
          <w:lang w:val="en-US" w:eastAsia="zh-CN"/>
        </w:rPr>
        <w:t xml:space="preserve"> led by FEPOIMT and supported by GIZ and the local NGO Institu</w:t>
      </w:r>
      <w:r w:rsidR="006E657D">
        <w:rPr>
          <w:rFonts w:ascii="CIDFont+F9" w:hAnsi="CIDFont+F9" w:cs="CIDFont+F9"/>
          <w:sz w:val="23"/>
          <w:szCs w:val="23"/>
          <w:lang w:val="en-US" w:eastAsia="zh-CN"/>
        </w:rPr>
        <w:t>to Centro de Vida, continuously</w:t>
      </w:r>
      <w:r>
        <w:rPr>
          <w:rFonts w:ascii="CIDFont+F9" w:hAnsi="CIDFont+F9" w:cs="CIDFont+F9"/>
          <w:sz w:val="23"/>
          <w:szCs w:val="23"/>
          <w:lang w:val="en-US" w:eastAsia="zh-CN"/>
        </w:rPr>
        <w:t xml:space="preserve"> accompanied by the state environment ministry</w:t>
      </w:r>
      <w:r w:rsidR="006E657D">
        <w:rPr>
          <w:rFonts w:ascii="CIDFont+F9" w:hAnsi="CIDFont+F9" w:cs="CIDFont+F9"/>
          <w:sz w:val="23"/>
          <w:szCs w:val="23"/>
          <w:lang w:val="en-US" w:eastAsia="zh-CN"/>
        </w:rPr>
        <w:t xml:space="preserve"> (SEMA)</w:t>
      </w:r>
      <w:r>
        <w:rPr>
          <w:rFonts w:ascii="CIDFont+F9" w:hAnsi="CIDFont+F9" w:cs="CIDFont+F9"/>
          <w:sz w:val="23"/>
          <w:szCs w:val="23"/>
          <w:lang w:val="en-US" w:eastAsia="zh-CN"/>
        </w:rPr>
        <w:t xml:space="preserve">, the federal indigenous state agency (FUNAI) and the indigenous state advisor (SAI). The process </w:t>
      </w:r>
      <w:r w:rsidRPr="007552BF">
        <w:rPr>
          <w:rFonts w:ascii="CIDFont+F9" w:hAnsi="CIDFont+F9" w:cs="CIDFont+F9"/>
          <w:sz w:val="23"/>
          <w:szCs w:val="23"/>
          <w:lang w:val="en-US" w:eastAsia="zh-CN"/>
        </w:rPr>
        <w:t xml:space="preserve">strengthened </w:t>
      </w:r>
      <w:r>
        <w:rPr>
          <w:rFonts w:ascii="CIDFont+F9" w:hAnsi="CIDFont+F9" w:cs="CIDFont+F9"/>
          <w:sz w:val="23"/>
          <w:szCs w:val="23"/>
          <w:lang w:val="en-US" w:eastAsia="zh-CN"/>
        </w:rPr>
        <w:t>the relatively young FEPOIMT and also</w:t>
      </w:r>
      <w:r w:rsidRPr="007552BF">
        <w:rPr>
          <w:rFonts w:ascii="CIDFont+F9" w:hAnsi="CIDFont+F9" w:cs="CIDFont+F9"/>
          <w:sz w:val="23"/>
          <w:szCs w:val="23"/>
          <w:lang w:val="en-US" w:eastAsia="zh-CN"/>
        </w:rPr>
        <w:t xml:space="preserve"> regional </w:t>
      </w:r>
      <w:r>
        <w:rPr>
          <w:rFonts w:ascii="CIDFont+F9" w:hAnsi="CIDFont+F9" w:cs="CIDFont+F9"/>
          <w:sz w:val="23"/>
          <w:szCs w:val="23"/>
          <w:lang w:val="en-US" w:eastAsia="zh-CN"/>
        </w:rPr>
        <w:t xml:space="preserve">organization units </w:t>
      </w:r>
      <w:r w:rsidRPr="007552BF">
        <w:rPr>
          <w:rFonts w:ascii="CIDFont+F9" w:hAnsi="CIDFont+F9" w:cs="CIDFont+F9"/>
          <w:sz w:val="23"/>
          <w:szCs w:val="23"/>
          <w:lang w:val="en-US" w:eastAsia="zh-CN"/>
        </w:rPr>
        <w:t>and local indigenous organizations in their administrative and organizational capacities</w:t>
      </w:r>
      <w:r>
        <w:rPr>
          <w:rFonts w:ascii="CIDFont+F9" w:hAnsi="CIDFont+F9" w:cs="CIDFont+F9"/>
          <w:sz w:val="23"/>
          <w:szCs w:val="23"/>
          <w:lang w:val="en-US" w:eastAsia="zh-CN"/>
        </w:rPr>
        <w:t>.</w:t>
      </w:r>
    </w:p>
    <w:p w:rsidR="004519DF" w:rsidRDefault="004519DF" w:rsidP="00CA562B">
      <w:pPr>
        <w:autoSpaceDE w:val="0"/>
        <w:autoSpaceDN w:val="0"/>
        <w:adjustRightInd w:val="0"/>
        <w:jc w:val="both"/>
        <w:rPr>
          <w:rFonts w:ascii="CIDFont+F9" w:hAnsi="CIDFont+F9" w:cs="CIDFont+F9"/>
          <w:sz w:val="23"/>
          <w:szCs w:val="23"/>
          <w:lang w:val="en-US" w:eastAsia="zh-CN"/>
        </w:rPr>
      </w:pPr>
      <w:r>
        <w:rPr>
          <w:rFonts w:ascii="CIDFont+F9" w:hAnsi="CIDFont+F9" w:cs="CIDFont+F9"/>
          <w:sz w:val="23"/>
          <w:szCs w:val="23"/>
          <w:lang w:val="en-US" w:eastAsia="zh-CN"/>
        </w:rPr>
        <w:t xml:space="preserve">Five out of nine </w:t>
      </w:r>
      <w:r w:rsidRPr="009D3916">
        <w:rPr>
          <w:rFonts w:ascii="CIDFont+F9" w:hAnsi="CIDFont+F9" w:cs="CIDFont+F9"/>
          <w:b/>
          <w:sz w:val="23"/>
          <w:szCs w:val="23"/>
          <w:lang w:val="en-US" w:eastAsia="zh-CN"/>
        </w:rPr>
        <w:t>strategic investment lines</w:t>
      </w:r>
      <w:r>
        <w:rPr>
          <w:rFonts w:ascii="CIDFont+F9" w:hAnsi="CIDFont+F9" w:cs="CIDFont+F9"/>
          <w:sz w:val="23"/>
          <w:szCs w:val="23"/>
          <w:lang w:val="en-US" w:eastAsia="zh-CN"/>
        </w:rPr>
        <w:t xml:space="preserve"> (guiding project development and decisions on concrete investments) that were defined through the process of constructing the indigenous </w:t>
      </w:r>
      <w:r w:rsidR="002B2824">
        <w:rPr>
          <w:rFonts w:ascii="CIDFont+F9" w:hAnsi="CIDFont+F9" w:cs="CIDFont+F9"/>
          <w:sz w:val="23"/>
          <w:szCs w:val="23"/>
          <w:lang w:val="en-US" w:eastAsia="zh-CN"/>
        </w:rPr>
        <w:t>component</w:t>
      </w:r>
      <w:r>
        <w:rPr>
          <w:rFonts w:ascii="CIDFont+F9" w:hAnsi="CIDFont+F9" w:cs="CIDFont+F9"/>
          <w:sz w:val="23"/>
          <w:szCs w:val="23"/>
          <w:lang w:val="en-US" w:eastAsia="zh-CN"/>
        </w:rPr>
        <w:t xml:space="preserve"> refer to territorial management: i) </w:t>
      </w:r>
      <w:r>
        <w:rPr>
          <w:rFonts w:ascii="CIDFont+F9" w:hAnsi="CIDFont+F9" w:cs="CIDFont+F9"/>
          <w:b/>
          <w:sz w:val="23"/>
          <w:szCs w:val="23"/>
          <w:lang w:val="en-US" w:eastAsia="zh-CN"/>
        </w:rPr>
        <w:t>Territorial Management</w:t>
      </w:r>
      <w:r>
        <w:rPr>
          <w:rFonts w:ascii="CIDFont+F9" w:hAnsi="CIDFont+F9" w:cs="CIDFont+F9"/>
          <w:sz w:val="23"/>
          <w:szCs w:val="23"/>
          <w:lang w:val="en-US" w:eastAsia="zh-CN"/>
        </w:rPr>
        <w:t xml:space="preserve">: </w:t>
      </w:r>
      <w:r w:rsidR="002B2824">
        <w:rPr>
          <w:rFonts w:ascii="CIDFont+F9" w:hAnsi="CIDFont+F9" w:cs="CIDFont+F9"/>
          <w:sz w:val="23"/>
          <w:szCs w:val="23"/>
          <w:lang w:val="en-US" w:eastAsia="zh-CN"/>
        </w:rPr>
        <w:t>Demarcation of territories; c</w:t>
      </w:r>
      <w:r>
        <w:rPr>
          <w:rFonts w:ascii="CIDFont+F9" w:hAnsi="CIDFont+F9" w:cs="CIDFont+F9"/>
          <w:sz w:val="23"/>
          <w:szCs w:val="23"/>
          <w:lang w:val="en-US" w:eastAsia="zh-CN"/>
        </w:rPr>
        <w:t xml:space="preserve">onstruction and/or implementation of </w:t>
      </w:r>
      <w:r>
        <w:rPr>
          <w:rFonts w:ascii="CIDFont+F9" w:hAnsi="CIDFont+F9" w:cs="CIDFont+F9"/>
          <w:sz w:val="23"/>
          <w:szCs w:val="23"/>
          <w:lang w:val="en-US" w:eastAsia="zh-CN"/>
        </w:rPr>
        <w:lastRenderedPageBreak/>
        <w:t>indigenous</w:t>
      </w:r>
      <w:r w:rsidR="002B2824">
        <w:rPr>
          <w:rFonts w:ascii="CIDFont+F9" w:hAnsi="CIDFont+F9" w:cs="CIDFont+F9"/>
          <w:sz w:val="23"/>
          <w:szCs w:val="23"/>
          <w:lang w:val="en-US" w:eastAsia="zh-CN"/>
        </w:rPr>
        <w:t xml:space="preserve"> environmental and</w:t>
      </w:r>
      <w:r>
        <w:rPr>
          <w:rFonts w:ascii="CIDFont+F9" w:hAnsi="CIDFont+F9" w:cs="CIDFont+F9"/>
          <w:sz w:val="23"/>
          <w:szCs w:val="23"/>
          <w:lang w:val="en-US" w:eastAsia="zh-CN"/>
        </w:rPr>
        <w:t xml:space="preserve"> </w:t>
      </w:r>
      <w:r w:rsidR="002B2824">
        <w:rPr>
          <w:rFonts w:ascii="CIDFont+F9" w:hAnsi="CIDFont+F9" w:cs="CIDFont+F9"/>
          <w:sz w:val="23"/>
          <w:szCs w:val="23"/>
          <w:lang w:val="en-US" w:eastAsia="zh-CN"/>
        </w:rPr>
        <w:t>territorial plans</w:t>
      </w:r>
      <w:r>
        <w:rPr>
          <w:rFonts w:ascii="CIDFont+F9" w:hAnsi="CIDFont+F9" w:cs="CIDFont+F9"/>
          <w:sz w:val="23"/>
          <w:szCs w:val="23"/>
          <w:lang w:val="en-US" w:eastAsia="zh-CN"/>
        </w:rPr>
        <w:t xml:space="preserve">; ii) </w:t>
      </w:r>
      <w:r>
        <w:rPr>
          <w:rFonts w:ascii="CIDFont+F9" w:hAnsi="CIDFont+F9" w:cs="CIDFont+F9"/>
          <w:b/>
          <w:sz w:val="23"/>
          <w:szCs w:val="23"/>
          <w:lang w:val="en-US" w:eastAsia="zh-CN"/>
        </w:rPr>
        <w:t>Vigilance and monitoring</w:t>
      </w:r>
      <w:r>
        <w:rPr>
          <w:rFonts w:ascii="CIDFont+F9" w:hAnsi="CIDFont+F9" w:cs="CIDFont+F9"/>
          <w:sz w:val="23"/>
          <w:szCs w:val="23"/>
          <w:lang w:val="en-US" w:eastAsia="zh-CN"/>
        </w:rPr>
        <w:t xml:space="preserve">: </w:t>
      </w:r>
      <w:r w:rsidR="002B2824">
        <w:rPr>
          <w:rFonts w:ascii="CIDFont+F9" w:hAnsi="CIDFont+F9" w:cs="CIDFont+F9"/>
          <w:sz w:val="23"/>
          <w:szCs w:val="23"/>
          <w:lang w:val="en-US" w:eastAsia="zh-CN"/>
        </w:rPr>
        <w:t xml:space="preserve">fire monitoring; environmental monitoring; </w:t>
      </w:r>
      <w:r>
        <w:rPr>
          <w:rFonts w:ascii="CIDFont+F9" w:hAnsi="CIDFont+F9" w:cs="CIDFont+F9"/>
          <w:sz w:val="23"/>
          <w:szCs w:val="23"/>
          <w:lang w:val="en-US" w:eastAsia="zh-CN"/>
        </w:rPr>
        <w:t xml:space="preserve">zoning and territorial control; iii) </w:t>
      </w:r>
      <w:r w:rsidRPr="004519DF">
        <w:rPr>
          <w:rFonts w:ascii="CIDFont+F9" w:hAnsi="CIDFont+F9" w:cs="CIDFont+F9"/>
          <w:b/>
          <w:sz w:val="23"/>
          <w:szCs w:val="23"/>
          <w:lang w:val="en-US" w:eastAsia="zh-CN"/>
        </w:rPr>
        <w:t>Sustainability and Environment</w:t>
      </w:r>
      <w:r>
        <w:rPr>
          <w:rFonts w:ascii="CIDFont+F9" w:hAnsi="CIDFont+F9" w:cs="CIDFont+F9"/>
          <w:sz w:val="23"/>
          <w:szCs w:val="23"/>
          <w:lang w:val="en-US" w:eastAsia="zh-CN"/>
        </w:rPr>
        <w:t>:</w:t>
      </w:r>
      <w:r w:rsidR="002B2824">
        <w:rPr>
          <w:rFonts w:ascii="CIDFont+F9" w:hAnsi="CIDFont+F9" w:cs="CIDFont+F9"/>
          <w:sz w:val="23"/>
          <w:szCs w:val="23"/>
          <w:lang w:val="en-US" w:eastAsia="zh-CN"/>
        </w:rPr>
        <w:t xml:space="preserve"> environmental conservation and education; water management and reforestation;</w:t>
      </w:r>
      <w:r>
        <w:rPr>
          <w:rFonts w:ascii="CIDFont+F9" w:hAnsi="CIDFont+F9" w:cs="CIDFont+F9"/>
          <w:sz w:val="23"/>
          <w:szCs w:val="23"/>
          <w:lang w:val="en-US" w:eastAsia="zh-CN"/>
        </w:rPr>
        <w:t xml:space="preserve"> iv) </w:t>
      </w:r>
      <w:r w:rsidRPr="004519DF">
        <w:rPr>
          <w:rFonts w:ascii="CIDFont+F9" w:hAnsi="CIDFont+F9" w:cs="CIDFont+F9"/>
          <w:b/>
          <w:sz w:val="23"/>
          <w:szCs w:val="23"/>
          <w:lang w:val="en-US" w:eastAsia="zh-CN"/>
        </w:rPr>
        <w:t>Governance</w:t>
      </w:r>
      <w:r>
        <w:rPr>
          <w:rFonts w:ascii="CIDFont+F9" w:hAnsi="CIDFont+F9" w:cs="CIDFont+F9"/>
          <w:sz w:val="23"/>
          <w:szCs w:val="23"/>
          <w:lang w:val="en-US" w:eastAsia="zh-CN"/>
        </w:rPr>
        <w:t>:</w:t>
      </w:r>
      <w:r w:rsidR="002B2824">
        <w:rPr>
          <w:rFonts w:ascii="CIDFont+F9" w:hAnsi="CIDFont+F9" w:cs="CIDFont+F9"/>
          <w:sz w:val="23"/>
          <w:szCs w:val="23"/>
          <w:lang w:val="en-US" w:eastAsia="zh-CN"/>
        </w:rPr>
        <w:t xml:space="preserve"> development of consultation protocols; dialogue and coordination with state authorities</w:t>
      </w:r>
      <w:r>
        <w:rPr>
          <w:rFonts w:ascii="CIDFont+F9" w:hAnsi="CIDFont+F9" w:cs="CIDFont+F9"/>
          <w:sz w:val="23"/>
          <w:szCs w:val="23"/>
          <w:lang w:val="en-US" w:eastAsia="zh-CN"/>
        </w:rPr>
        <w:t xml:space="preserve">; and v) </w:t>
      </w:r>
      <w:r>
        <w:rPr>
          <w:rFonts w:ascii="CIDFont+F9" w:hAnsi="CIDFont+F9" w:cs="CIDFont+F9"/>
          <w:b/>
          <w:sz w:val="23"/>
          <w:szCs w:val="23"/>
          <w:lang w:val="en-US" w:eastAsia="zh-CN"/>
        </w:rPr>
        <w:t>Collection</w:t>
      </w:r>
      <w:r w:rsidRPr="009D3916">
        <w:rPr>
          <w:rFonts w:ascii="CIDFont+F9" w:hAnsi="CIDFont+F9" w:cs="CIDFont+F9"/>
          <w:b/>
          <w:sz w:val="23"/>
          <w:szCs w:val="23"/>
          <w:lang w:val="en-US" w:eastAsia="zh-CN"/>
        </w:rPr>
        <w:t xml:space="preserve"> and production</w:t>
      </w:r>
      <w:r>
        <w:rPr>
          <w:rFonts w:ascii="CIDFont+F9" w:hAnsi="CIDFont+F9" w:cs="CIDFont+F9"/>
          <w:b/>
          <w:sz w:val="23"/>
          <w:szCs w:val="23"/>
          <w:lang w:val="en-US" w:eastAsia="zh-CN"/>
        </w:rPr>
        <w:t xml:space="preserve"> for Food Sovereignty</w:t>
      </w:r>
      <w:r>
        <w:rPr>
          <w:rFonts w:ascii="CIDFont+F9" w:hAnsi="CIDFont+F9" w:cs="CIDFont+F9"/>
          <w:sz w:val="23"/>
          <w:szCs w:val="23"/>
          <w:lang w:val="en-US" w:eastAsia="zh-CN"/>
        </w:rPr>
        <w:t xml:space="preserve">: </w:t>
      </w:r>
      <w:r w:rsidR="002B2824">
        <w:rPr>
          <w:rFonts w:ascii="CIDFont+F9" w:hAnsi="CIDFont+F9" w:cs="CIDFont+F9"/>
          <w:sz w:val="23"/>
          <w:szCs w:val="23"/>
          <w:lang w:val="en-US" w:eastAsia="zh-CN"/>
        </w:rPr>
        <w:t xml:space="preserve">sustainable value chain development; seed collection and management; creation of alternative livelihoods and jobs; </w:t>
      </w:r>
      <w:r>
        <w:rPr>
          <w:rFonts w:ascii="CIDFont+F9" w:hAnsi="CIDFont+F9" w:cs="CIDFont+F9"/>
          <w:sz w:val="23"/>
          <w:szCs w:val="23"/>
          <w:lang w:val="en-US" w:eastAsia="zh-CN"/>
        </w:rPr>
        <w:t>capacity building for producer groups</w:t>
      </w:r>
      <w:r w:rsidR="002B2824">
        <w:rPr>
          <w:rFonts w:ascii="CIDFont+F9" w:hAnsi="CIDFont+F9" w:cs="CIDFont+F9"/>
          <w:sz w:val="23"/>
          <w:szCs w:val="23"/>
          <w:lang w:val="en-US" w:eastAsia="zh-CN"/>
        </w:rPr>
        <w:t xml:space="preserve">, </w:t>
      </w:r>
      <w:r>
        <w:rPr>
          <w:rFonts w:ascii="CIDFont+F9" w:hAnsi="CIDFont+F9" w:cs="CIDFont+F9"/>
          <w:sz w:val="23"/>
          <w:szCs w:val="23"/>
          <w:lang w:val="en-US" w:eastAsia="zh-CN"/>
        </w:rPr>
        <w:t>improved market access.</w:t>
      </w:r>
    </w:p>
    <w:p w:rsidR="002B2824" w:rsidRDefault="002B2824" w:rsidP="002B2824">
      <w:pPr>
        <w:autoSpaceDE w:val="0"/>
        <w:autoSpaceDN w:val="0"/>
        <w:adjustRightInd w:val="0"/>
        <w:jc w:val="both"/>
        <w:rPr>
          <w:rFonts w:ascii="CIDFont+F9" w:hAnsi="CIDFont+F9" w:cs="CIDFont+F9"/>
          <w:sz w:val="23"/>
          <w:szCs w:val="23"/>
          <w:lang w:val="en-US" w:eastAsia="zh-CN"/>
        </w:rPr>
      </w:pPr>
      <w:r>
        <w:rPr>
          <w:rFonts w:ascii="CIDFont+F9" w:hAnsi="CIDFont+F9" w:cs="CIDFont+F9"/>
          <w:sz w:val="23"/>
          <w:szCs w:val="23"/>
          <w:lang w:val="en-US" w:eastAsia="zh-CN"/>
        </w:rPr>
        <w:t>The first investment phase is currently in its planning stage. In total, 13% of all results-based payments, i.e. up to € 2.25 million, are reserved for the indigenous benefit-sharing component.</w:t>
      </w:r>
      <w:r w:rsidR="003E18D8">
        <w:rPr>
          <w:rStyle w:val="FootnoteReference"/>
          <w:rFonts w:ascii="CIDFont+F9" w:hAnsi="CIDFont+F9" w:cs="CIDFont+F9"/>
          <w:sz w:val="23"/>
          <w:szCs w:val="23"/>
          <w:lang w:val="en-US" w:eastAsia="zh-CN"/>
        </w:rPr>
        <w:footnoteReference w:id="6"/>
      </w:r>
    </w:p>
    <w:p w:rsidR="002B2824" w:rsidRDefault="002B2824" w:rsidP="00CA562B">
      <w:pPr>
        <w:autoSpaceDE w:val="0"/>
        <w:autoSpaceDN w:val="0"/>
        <w:adjustRightInd w:val="0"/>
        <w:jc w:val="both"/>
        <w:rPr>
          <w:rFonts w:ascii="CIDFont+F9" w:hAnsi="CIDFont+F9" w:cs="CIDFont+F9"/>
          <w:sz w:val="23"/>
          <w:szCs w:val="23"/>
          <w:lang w:val="en-US" w:eastAsia="zh-CN"/>
        </w:rPr>
      </w:pPr>
    </w:p>
    <w:p w:rsidR="002B2824" w:rsidRPr="00CA562B" w:rsidRDefault="002B2824" w:rsidP="00CA562B">
      <w:pPr>
        <w:autoSpaceDE w:val="0"/>
        <w:autoSpaceDN w:val="0"/>
        <w:adjustRightInd w:val="0"/>
        <w:jc w:val="both"/>
        <w:rPr>
          <w:rFonts w:ascii="CIDFont+F9" w:hAnsi="CIDFont+F9" w:cs="CIDFont+F9"/>
          <w:sz w:val="23"/>
          <w:szCs w:val="23"/>
          <w:lang w:val="en-US" w:eastAsia="zh-CN"/>
        </w:rPr>
      </w:pPr>
    </w:p>
    <w:sectPr w:rsidR="002B2824" w:rsidRPr="00CA562B" w:rsidSect="00E0714A">
      <w:pgSz w:w="11906" w:h="16838" w:code="9"/>
      <w:pgMar w:top="1418" w:right="1418" w:bottom="1276"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3D" w:rsidRDefault="00FA033D" w:rsidP="00E0714A">
      <w:r>
        <w:separator/>
      </w:r>
    </w:p>
  </w:endnote>
  <w:endnote w:type="continuationSeparator" w:id="0">
    <w:p w:rsidR="00FA033D" w:rsidRDefault="00FA033D"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3">
    <w:panose1 w:val="00000000000000000000"/>
    <w:charset w:val="00"/>
    <w:family w:val="auto"/>
    <w:notTrueType/>
    <w:pitch w:val="default"/>
    <w:sig w:usb0="00000003" w:usb1="00000000" w:usb2="00000000" w:usb3="00000000" w:csb0="00000001" w:csb1="00000000"/>
  </w:font>
  <w:font w:name="CIDFont+F9">
    <w:panose1 w:val="00000000000000000000"/>
    <w:charset w:val="00"/>
    <w:family w:val="auto"/>
    <w:notTrueType/>
    <w:pitch w:val="default"/>
    <w:sig w:usb0="00000003" w:usb1="00000000" w:usb2="00000000" w:usb3="00000000" w:csb0="00000001" w:csb1="00000000"/>
  </w:font>
  <w:font w:name="CIDFont+F6">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3D" w:rsidRDefault="00FA033D" w:rsidP="00E0714A">
      <w:r>
        <w:separator/>
      </w:r>
    </w:p>
  </w:footnote>
  <w:footnote w:type="continuationSeparator" w:id="0">
    <w:p w:rsidR="00FA033D" w:rsidRDefault="00FA033D" w:rsidP="00E0714A">
      <w:r>
        <w:continuationSeparator/>
      </w:r>
    </w:p>
  </w:footnote>
  <w:footnote w:id="1">
    <w:p w:rsidR="00764BC6" w:rsidRDefault="00764BC6">
      <w:pPr>
        <w:pStyle w:val="FootnoteText"/>
      </w:pPr>
      <w:r>
        <w:rPr>
          <w:rStyle w:val="FootnoteReference"/>
        </w:rPr>
        <w:footnoteRef/>
      </w:r>
      <w:r w:rsidRPr="00764BC6">
        <w:t>http://health.bmz.de/what_we_do/Gender_and_human_rights/Policies_and_concepts/Human_Rights_in_German_Development_Policy_Strategy_Paper/BMZ-Strategiepapier-Health_and_Human_Rights.pdf</w:t>
      </w:r>
    </w:p>
  </w:footnote>
  <w:footnote w:id="2">
    <w:p w:rsidR="00764BC6" w:rsidRDefault="00764BC6">
      <w:pPr>
        <w:pStyle w:val="FootnoteText"/>
      </w:pPr>
      <w:r>
        <w:rPr>
          <w:rStyle w:val="FootnoteReference"/>
        </w:rPr>
        <w:footnoteRef/>
      </w:r>
      <w:r w:rsidRPr="00764BC6">
        <w:t>https://www.bmz.de/en/zentrales_downloadarchiv/themen_und_schwerpunkte/menschenrechte/Leitfaden_PV_2013_en.pdf</w:t>
      </w:r>
    </w:p>
  </w:footnote>
  <w:footnote w:id="3">
    <w:p w:rsidR="0047050B" w:rsidRPr="006E657D" w:rsidRDefault="0047050B">
      <w:pPr>
        <w:pStyle w:val="FootnoteText"/>
        <w:rPr>
          <w:lang w:val="es-PE"/>
        </w:rPr>
      </w:pPr>
      <w:r w:rsidRPr="009E63F3">
        <w:rPr>
          <w:rStyle w:val="FootnoteReference"/>
        </w:rPr>
        <w:footnoteRef/>
      </w:r>
      <w:r w:rsidRPr="009E63F3">
        <w:t xml:space="preserve"> KfW 2013. Ex-post-Evaluierung. Brasilien: KV-Demarkierung von Indianergebieten. </w:t>
      </w:r>
      <w:r w:rsidRPr="009E63F3">
        <w:rPr>
          <w:lang w:val="es-ES"/>
        </w:rPr>
        <w:t>Frankfurt.</w:t>
      </w:r>
      <w:r w:rsidR="005C3E03">
        <w:rPr>
          <w:lang w:val="es-ES"/>
        </w:rPr>
        <w:br/>
      </w:r>
      <w:r w:rsidR="004C694C">
        <w:rPr>
          <w:lang w:val="es-ES"/>
        </w:rPr>
        <w:t>Terras Indigenas</w:t>
      </w:r>
      <w:r w:rsidR="005C3E03">
        <w:rPr>
          <w:lang w:val="es-ES"/>
        </w:rPr>
        <w:t xml:space="preserve"> PPTAL (12-2008)</w:t>
      </w:r>
    </w:p>
  </w:footnote>
  <w:footnote w:id="4">
    <w:p w:rsidR="0047050B" w:rsidRPr="006E657D" w:rsidRDefault="0047050B">
      <w:pPr>
        <w:pStyle w:val="FootnoteText"/>
        <w:rPr>
          <w:lang w:val="es-PE"/>
        </w:rPr>
      </w:pPr>
      <w:r>
        <w:rPr>
          <w:rStyle w:val="FootnoteReference"/>
        </w:rPr>
        <w:footnoteRef/>
      </w:r>
      <w:r w:rsidRPr="006E657D">
        <w:rPr>
          <w:lang w:val="es-PE"/>
        </w:rPr>
        <w:t xml:space="preserve"> </w:t>
      </w:r>
      <w:r w:rsidR="005C3E03">
        <w:rPr>
          <w:lang w:val="es-PE"/>
        </w:rPr>
        <w:t>2018-05, Factsheet ProTierras</w:t>
      </w:r>
      <w:r w:rsidR="005C3E03">
        <w:rPr>
          <w:lang w:val="es-PE"/>
        </w:rPr>
        <w:br/>
      </w:r>
      <w:r>
        <w:rPr>
          <w:lang w:val="es-PE"/>
        </w:rPr>
        <w:t xml:space="preserve">CIFOR 2019a. Titulación de comunidades nativas en San Martín, Perú - Avances y desafíos. Bogor. </w:t>
      </w:r>
      <w:r>
        <w:rPr>
          <w:lang w:val="es-PE"/>
        </w:rPr>
        <w:br/>
        <w:t>CIFOR 2019b. Titulación de comunidades nativas en Ucayali, Perú – Avances y desafíos. Bogor.</w:t>
      </w:r>
      <w:r w:rsidR="003E18D8">
        <w:rPr>
          <w:lang w:val="es-PE"/>
        </w:rPr>
        <w:br/>
        <w:t>Hojas Informativas PTC – Ucayali y San Martín</w:t>
      </w:r>
    </w:p>
  </w:footnote>
  <w:footnote w:id="5">
    <w:p w:rsidR="003E18D8" w:rsidRPr="003E18D8" w:rsidRDefault="003E18D8">
      <w:pPr>
        <w:pStyle w:val="FootnoteText"/>
        <w:rPr>
          <w:lang w:val="es-ES"/>
        </w:rPr>
      </w:pPr>
      <w:r>
        <w:rPr>
          <w:rStyle w:val="FootnoteReference"/>
        </w:rPr>
        <w:footnoteRef/>
      </w:r>
      <w:r w:rsidRPr="003E18D8">
        <w:rPr>
          <w:lang w:val="es-ES"/>
        </w:rPr>
        <w:t xml:space="preserve"> Fact Sheet REDD for Early Movers Colombia; Infografía Proyectos Indigenas Visión Amazonía</w:t>
      </w:r>
    </w:p>
  </w:footnote>
  <w:footnote w:id="6">
    <w:p w:rsidR="003E18D8" w:rsidRPr="003E18D8" w:rsidRDefault="003E18D8">
      <w:pPr>
        <w:pStyle w:val="FootnoteText"/>
        <w:rPr>
          <w:lang w:val="pt-BR"/>
        </w:rPr>
      </w:pPr>
      <w:r>
        <w:rPr>
          <w:rStyle w:val="FootnoteReference"/>
        </w:rPr>
        <w:footnoteRef/>
      </w:r>
      <w:r w:rsidRPr="003E18D8">
        <w:rPr>
          <w:lang w:val="pt-BR"/>
        </w:rPr>
        <w:t xml:space="preserve"> Fact Sheet REM Cooperacao Técnica REM Brasil; </w:t>
      </w:r>
      <w:r>
        <w:rPr>
          <w:lang w:val="pt-BR"/>
        </w:rPr>
        <w:t xml:space="preserve">Resumo Subprograma Indigena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FAC6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C4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7B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204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4C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84E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218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ADF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9235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2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CE64DC"/>
    <w:multiLevelType w:val="hybridMultilevel"/>
    <w:tmpl w:val="4BC6421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3A"/>
    <w:rsid w:val="000345DC"/>
    <w:rsid w:val="0009103F"/>
    <w:rsid w:val="00094757"/>
    <w:rsid w:val="00125444"/>
    <w:rsid w:val="001A3D78"/>
    <w:rsid w:val="002B2824"/>
    <w:rsid w:val="002F2454"/>
    <w:rsid w:val="00343B53"/>
    <w:rsid w:val="003B306D"/>
    <w:rsid w:val="003E18D8"/>
    <w:rsid w:val="003E29DA"/>
    <w:rsid w:val="003E5CAF"/>
    <w:rsid w:val="00451717"/>
    <w:rsid w:val="004519DF"/>
    <w:rsid w:val="0047050B"/>
    <w:rsid w:val="004C5BA9"/>
    <w:rsid w:val="004C694C"/>
    <w:rsid w:val="00503CBC"/>
    <w:rsid w:val="005C3E03"/>
    <w:rsid w:val="00676462"/>
    <w:rsid w:val="00681AE3"/>
    <w:rsid w:val="006D303A"/>
    <w:rsid w:val="006E657D"/>
    <w:rsid w:val="00703906"/>
    <w:rsid w:val="00747918"/>
    <w:rsid w:val="007552BF"/>
    <w:rsid w:val="00764BC6"/>
    <w:rsid w:val="00777255"/>
    <w:rsid w:val="0080748B"/>
    <w:rsid w:val="008237D6"/>
    <w:rsid w:val="00865AC2"/>
    <w:rsid w:val="008E50EF"/>
    <w:rsid w:val="00944EC4"/>
    <w:rsid w:val="009B12C8"/>
    <w:rsid w:val="009D3916"/>
    <w:rsid w:val="009D5137"/>
    <w:rsid w:val="009E63F3"/>
    <w:rsid w:val="00A3149D"/>
    <w:rsid w:val="00B87EF2"/>
    <w:rsid w:val="00CA562B"/>
    <w:rsid w:val="00CD3B85"/>
    <w:rsid w:val="00CE3E00"/>
    <w:rsid w:val="00CE6896"/>
    <w:rsid w:val="00E0714A"/>
    <w:rsid w:val="00E15077"/>
    <w:rsid w:val="00F15FDD"/>
    <w:rsid w:val="00F30AA3"/>
    <w:rsid w:val="00FA033D"/>
    <w:rsid w:val="00FB54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E5B5EB3-5C7A-4754-948A-3D9F51E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3A"/>
    <w:pPr>
      <w:spacing w:after="0" w:line="240" w:lineRule="auto"/>
    </w:pPr>
    <w:rPr>
      <w:rFonts w:ascii="Calibri" w:hAnsi="Calibri" w:cs="Calibri"/>
      <w:lang w:eastAsia="en-US"/>
    </w:rPr>
  </w:style>
  <w:style w:type="paragraph" w:styleId="Heading1">
    <w:name w:val="heading 1"/>
    <w:aliases w:val="1. Überschrift"/>
    <w:basedOn w:val="Normal"/>
    <w:next w:val="Normal"/>
    <w:link w:val="Heading1Char"/>
    <w:uiPriority w:val="1"/>
    <w:qFormat/>
    <w:rsid w:val="00676462"/>
    <w:pPr>
      <w:keepNext/>
      <w:keepLines/>
      <w:spacing w:before="480"/>
      <w:outlineLvl w:val="0"/>
    </w:pPr>
    <w:rPr>
      <w:rFonts w:eastAsiaTheme="majorEastAsia" w:cstheme="majorBidi"/>
      <w:b/>
      <w:bCs/>
      <w:sz w:val="28"/>
      <w:szCs w:val="28"/>
    </w:rPr>
  </w:style>
  <w:style w:type="paragraph" w:styleId="Heading2">
    <w:name w:val="heading 2"/>
    <w:aliases w:val="2. Überschrift"/>
    <w:basedOn w:val="Normal"/>
    <w:next w:val="Normal"/>
    <w:link w:val="Heading2Char"/>
    <w:uiPriority w:val="1"/>
    <w:unhideWhenUsed/>
    <w:qFormat/>
    <w:rsid w:val="00676462"/>
    <w:pPr>
      <w:keepNext/>
      <w:keepLines/>
      <w:spacing w:before="240"/>
      <w:outlineLvl w:val="1"/>
    </w:pPr>
    <w:rPr>
      <w:rFonts w:eastAsiaTheme="majorEastAsia" w:cstheme="majorBidi"/>
      <w:b/>
      <w:bCs/>
      <w:sz w:val="24"/>
      <w:szCs w:val="26"/>
    </w:rPr>
  </w:style>
  <w:style w:type="paragraph" w:styleId="Heading3">
    <w:name w:val="heading 3"/>
    <w:aliases w:val="3. Überschrift"/>
    <w:basedOn w:val="Normal"/>
    <w:next w:val="Normal"/>
    <w:link w:val="Heading3Char"/>
    <w:uiPriority w:val="1"/>
    <w:unhideWhenUsed/>
    <w:qFormat/>
    <w:rsid w:val="00676462"/>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237D6"/>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237D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uiPriority w:val="2"/>
    <w:qFormat/>
    <w:rsid w:val="00676462"/>
    <w:pPr>
      <w:tabs>
        <w:tab w:val="left" w:pos="567"/>
      </w:tabs>
      <w:ind w:left="567" w:hanging="567"/>
    </w:pPr>
  </w:style>
  <w:style w:type="paragraph" w:customStyle="1" w:styleId="2Einrckung">
    <w:name w:val="2. Einrückung"/>
    <w:basedOn w:val="Normal"/>
    <w:uiPriority w:val="2"/>
    <w:qFormat/>
    <w:rsid w:val="00676462"/>
    <w:pPr>
      <w:tabs>
        <w:tab w:val="left" w:pos="567"/>
        <w:tab w:val="left" w:pos="1134"/>
      </w:tabs>
      <w:ind w:left="1134" w:hanging="567"/>
    </w:pPr>
  </w:style>
  <w:style w:type="paragraph" w:customStyle="1" w:styleId="3Einrckung">
    <w:name w:val="3. Einrückung"/>
    <w:basedOn w:val="Normal"/>
    <w:uiPriority w:val="2"/>
    <w:qFormat/>
    <w:rsid w:val="00676462"/>
    <w:pPr>
      <w:tabs>
        <w:tab w:val="left" w:pos="567"/>
        <w:tab w:val="left" w:pos="1134"/>
        <w:tab w:val="left" w:pos="1701"/>
      </w:tabs>
      <w:ind w:left="1701" w:hanging="567"/>
    </w:pPr>
  </w:style>
  <w:style w:type="paragraph" w:styleId="Footer">
    <w:name w:val="footer"/>
    <w:basedOn w:val="Normal"/>
    <w:link w:val="FooterChar"/>
    <w:unhideWhenUsed/>
    <w:rsid w:val="00676462"/>
    <w:pPr>
      <w:tabs>
        <w:tab w:val="center" w:pos="4536"/>
        <w:tab w:val="right" w:pos="9072"/>
      </w:tabs>
    </w:pPr>
  </w:style>
  <w:style w:type="character" w:customStyle="1" w:styleId="FooterChar">
    <w:name w:val="Footer Char"/>
    <w:basedOn w:val="DefaultParagraphFont"/>
    <w:link w:val="Footer"/>
    <w:rsid w:val="00676462"/>
    <w:rPr>
      <w:rFonts w:ascii="Arial" w:eastAsiaTheme="minorHAnsi" w:hAnsi="Arial"/>
      <w:lang w:eastAsia="en-US"/>
    </w:rPr>
  </w:style>
  <w:style w:type="paragraph" w:styleId="NoSpacing">
    <w:name w:val="No Spacing"/>
    <w:basedOn w:val="Normal"/>
    <w:uiPriority w:val="4"/>
    <w:unhideWhenUsed/>
    <w:rsid w:val="00676462"/>
  </w:style>
  <w:style w:type="paragraph" w:styleId="Header">
    <w:name w:val="header"/>
    <w:basedOn w:val="Normal"/>
    <w:link w:val="HeaderChar"/>
    <w:unhideWhenUsed/>
    <w:rsid w:val="00676462"/>
    <w:pPr>
      <w:tabs>
        <w:tab w:val="center" w:pos="4536"/>
        <w:tab w:val="right" w:pos="9072"/>
      </w:tabs>
    </w:pPr>
  </w:style>
  <w:style w:type="character" w:customStyle="1" w:styleId="HeaderChar">
    <w:name w:val="Header Char"/>
    <w:basedOn w:val="DefaultParagraphFont"/>
    <w:link w:val="Header"/>
    <w:rsid w:val="00676462"/>
    <w:rPr>
      <w:rFonts w:ascii="Arial" w:eastAsiaTheme="minorHAnsi" w:hAnsi="Arial"/>
      <w:lang w:eastAsia="en-US"/>
    </w:rPr>
  </w:style>
  <w:style w:type="character" w:styleId="PageNumber">
    <w:name w:val="page number"/>
    <w:basedOn w:val="DefaultParagraphFont"/>
    <w:semiHidden/>
    <w:unhideWhenUsed/>
    <w:rsid w:val="00676462"/>
  </w:style>
  <w:style w:type="paragraph" w:styleId="BalloonText">
    <w:name w:val="Balloon Text"/>
    <w:basedOn w:val="Normal"/>
    <w:link w:val="BalloonTextChar"/>
    <w:uiPriority w:val="99"/>
    <w:semiHidden/>
    <w:unhideWhenUsed/>
    <w:rsid w:val="00676462"/>
    <w:rPr>
      <w:rFonts w:ascii="Tahoma" w:hAnsi="Tahoma" w:cs="Tahoma"/>
      <w:sz w:val="16"/>
      <w:szCs w:val="16"/>
    </w:rPr>
  </w:style>
  <w:style w:type="character" w:customStyle="1" w:styleId="BalloonTextChar">
    <w:name w:val="Balloon Text Char"/>
    <w:basedOn w:val="DefaultParagraphFont"/>
    <w:link w:val="BalloonText"/>
    <w:uiPriority w:val="99"/>
    <w:semiHidden/>
    <w:rsid w:val="00676462"/>
    <w:rPr>
      <w:rFonts w:ascii="Tahoma" w:eastAsiaTheme="minorHAnsi" w:hAnsi="Tahoma" w:cs="Tahoma"/>
      <w:sz w:val="16"/>
      <w:szCs w:val="16"/>
      <w:lang w:eastAsia="en-US"/>
    </w:rPr>
  </w:style>
  <w:style w:type="table" w:styleId="TableGrid">
    <w:name w:val="Table Grid"/>
    <w:basedOn w:val="TableNormal"/>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1. Überschrift Char"/>
    <w:basedOn w:val="DefaultParagraphFont"/>
    <w:link w:val="Heading1"/>
    <w:uiPriority w:val="1"/>
    <w:rsid w:val="00676462"/>
    <w:rPr>
      <w:rFonts w:ascii="Arial" w:eastAsiaTheme="majorEastAsia" w:hAnsi="Arial" w:cstheme="majorBidi"/>
      <w:b/>
      <w:bCs/>
      <w:sz w:val="28"/>
      <w:szCs w:val="28"/>
      <w:lang w:eastAsia="en-US"/>
    </w:rPr>
  </w:style>
  <w:style w:type="character" w:customStyle="1" w:styleId="Heading2Char">
    <w:name w:val="Heading 2 Char"/>
    <w:aliases w:val="2. Überschrift Char"/>
    <w:basedOn w:val="DefaultParagraphFont"/>
    <w:link w:val="Heading2"/>
    <w:uiPriority w:val="1"/>
    <w:rsid w:val="00676462"/>
    <w:rPr>
      <w:rFonts w:ascii="Arial" w:eastAsiaTheme="majorEastAsia" w:hAnsi="Arial" w:cstheme="majorBidi"/>
      <w:b/>
      <w:bCs/>
      <w:sz w:val="24"/>
      <w:szCs w:val="26"/>
      <w:lang w:eastAsia="en-US"/>
    </w:rPr>
  </w:style>
  <w:style w:type="character" w:customStyle="1" w:styleId="Heading3Char">
    <w:name w:val="Heading 3 Char"/>
    <w:aliases w:val="3. Überschrift Char"/>
    <w:basedOn w:val="DefaultParagraphFont"/>
    <w:link w:val="Heading3"/>
    <w:uiPriority w:val="1"/>
    <w:rsid w:val="00676462"/>
    <w:rPr>
      <w:rFonts w:ascii="Arial" w:eastAsiaTheme="majorEastAsia" w:hAnsi="Arial" w:cstheme="majorBidi"/>
      <w:b/>
      <w:bCs/>
      <w:lang w:eastAsia="en-US"/>
    </w:rPr>
  </w:style>
  <w:style w:type="character" w:customStyle="1" w:styleId="Heading4Char">
    <w:name w:val="Heading 4 Char"/>
    <w:basedOn w:val="DefaultParagraphFont"/>
    <w:link w:val="Heading4"/>
    <w:uiPriority w:val="9"/>
    <w:rsid w:val="008237D6"/>
    <w:rPr>
      <w:rFonts w:ascii="Arial" w:eastAsiaTheme="majorEastAsia" w:hAnsi="Arial" w:cstheme="majorBidi"/>
      <w:bCs/>
      <w:iCs/>
      <w:lang w:eastAsia="en-US"/>
    </w:rPr>
  </w:style>
  <w:style w:type="paragraph" w:styleId="Title">
    <w:name w:val="Title"/>
    <w:basedOn w:val="Normal"/>
    <w:next w:val="Normal"/>
    <w:link w:val="TitleChar"/>
    <w:uiPriority w:val="10"/>
    <w:qFormat/>
    <w:rsid w:val="008237D6"/>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237D6"/>
    <w:rPr>
      <w:rFonts w:ascii="Cambria" w:eastAsiaTheme="majorEastAsia" w:hAnsi="Cambria" w:cstheme="majorBidi"/>
      <w:spacing w:val="-10"/>
      <w:kern w:val="28"/>
      <w:sz w:val="56"/>
      <w:szCs w:val="56"/>
      <w:lang w:eastAsia="en-US"/>
    </w:rPr>
  </w:style>
  <w:style w:type="character" w:customStyle="1" w:styleId="Heading5Char">
    <w:name w:val="Heading 5 Char"/>
    <w:basedOn w:val="DefaultParagraphFont"/>
    <w:link w:val="Heading5"/>
    <w:uiPriority w:val="9"/>
    <w:semiHidden/>
    <w:rsid w:val="008237D6"/>
    <w:rPr>
      <w:rFonts w:asciiTheme="majorHAnsi" w:eastAsiaTheme="majorEastAsia" w:hAnsiTheme="majorHAnsi" w:cstheme="majorBidi"/>
      <w:color w:val="2E74B5" w:themeColor="accent1" w:themeShade="BF"/>
      <w:lang w:eastAsia="en-US"/>
    </w:rPr>
  </w:style>
  <w:style w:type="paragraph" w:styleId="ListParagraph">
    <w:name w:val="List Paragraph"/>
    <w:basedOn w:val="Normal"/>
    <w:uiPriority w:val="34"/>
    <w:qFormat/>
    <w:rsid w:val="00CE3E00"/>
    <w:pPr>
      <w:spacing w:after="160" w:line="259" w:lineRule="auto"/>
      <w:ind w:left="720"/>
      <w:contextualSpacing/>
    </w:pPr>
    <w:rPr>
      <w:rFonts w:asciiTheme="minorHAnsi" w:hAnsiTheme="minorHAnsi" w:cstheme="minorBidi"/>
      <w:lang w:val="en-GB"/>
    </w:rPr>
  </w:style>
  <w:style w:type="paragraph" w:styleId="EndnoteText">
    <w:name w:val="endnote text"/>
    <w:basedOn w:val="Normal"/>
    <w:link w:val="EndnoteTextChar"/>
    <w:uiPriority w:val="99"/>
    <w:unhideWhenUsed/>
    <w:rsid w:val="00CE3E00"/>
    <w:rPr>
      <w:rFonts w:asciiTheme="minorHAnsi" w:hAnsiTheme="minorHAnsi" w:cstheme="minorBidi"/>
      <w:sz w:val="20"/>
      <w:szCs w:val="20"/>
      <w:lang w:val="en-GB"/>
    </w:rPr>
  </w:style>
  <w:style w:type="character" w:customStyle="1" w:styleId="EndnoteTextChar">
    <w:name w:val="Endnote Text Char"/>
    <w:basedOn w:val="DefaultParagraphFont"/>
    <w:link w:val="EndnoteText"/>
    <w:uiPriority w:val="99"/>
    <w:rsid w:val="00CE3E00"/>
    <w:rPr>
      <w:sz w:val="20"/>
      <w:szCs w:val="20"/>
      <w:lang w:val="en-GB" w:eastAsia="en-US"/>
    </w:rPr>
  </w:style>
  <w:style w:type="character" w:styleId="EndnoteReference">
    <w:name w:val="endnote reference"/>
    <w:basedOn w:val="DefaultParagraphFont"/>
    <w:uiPriority w:val="99"/>
    <w:semiHidden/>
    <w:unhideWhenUsed/>
    <w:rsid w:val="00CE3E00"/>
    <w:rPr>
      <w:vertAlign w:val="superscript"/>
    </w:rPr>
  </w:style>
  <w:style w:type="paragraph" w:styleId="FootnoteText">
    <w:name w:val="footnote text"/>
    <w:basedOn w:val="Normal"/>
    <w:link w:val="FootnoteTextChar"/>
    <w:uiPriority w:val="99"/>
    <w:semiHidden/>
    <w:unhideWhenUsed/>
    <w:rsid w:val="0047050B"/>
    <w:rPr>
      <w:sz w:val="20"/>
      <w:szCs w:val="20"/>
    </w:rPr>
  </w:style>
  <w:style w:type="character" w:customStyle="1" w:styleId="FootnoteTextChar">
    <w:name w:val="Footnote Text Char"/>
    <w:basedOn w:val="DefaultParagraphFont"/>
    <w:link w:val="FootnoteText"/>
    <w:uiPriority w:val="99"/>
    <w:semiHidden/>
    <w:rsid w:val="0047050B"/>
    <w:rPr>
      <w:rFonts w:ascii="Calibri" w:hAnsi="Calibri" w:cs="Calibri"/>
      <w:sz w:val="20"/>
      <w:szCs w:val="20"/>
      <w:lang w:eastAsia="en-US"/>
    </w:rPr>
  </w:style>
  <w:style w:type="character" w:styleId="FootnoteReference">
    <w:name w:val="footnote reference"/>
    <w:basedOn w:val="DefaultParagraphFont"/>
    <w:uiPriority w:val="99"/>
    <w:semiHidden/>
    <w:unhideWhenUsed/>
    <w:rsid w:val="0047050B"/>
    <w:rPr>
      <w:vertAlign w:val="superscript"/>
    </w:rPr>
  </w:style>
  <w:style w:type="character" w:styleId="CommentReference">
    <w:name w:val="annotation reference"/>
    <w:basedOn w:val="DefaultParagraphFont"/>
    <w:uiPriority w:val="99"/>
    <w:semiHidden/>
    <w:unhideWhenUsed/>
    <w:rsid w:val="003E18D8"/>
    <w:rPr>
      <w:sz w:val="16"/>
      <w:szCs w:val="16"/>
    </w:rPr>
  </w:style>
  <w:style w:type="paragraph" w:styleId="CommentText">
    <w:name w:val="annotation text"/>
    <w:basedOn w:val="Normal"/>
    <w:link w:val="CommentTextChar"/>
    <w:uiPriority w:val="99"/>
    <w:semiHidden/>
    <w:unhideWhenUsed/>
    <w:rsid w:val="003E18D8"/>
    <w:rPr>
      <w:sz w:val="20"/>
      <w:szCs w:val="20"/>
    </w:rPr>
  </w:style>
  <w:style w:type="character" w:customStyle="1" w:styleId="CommentTextChar">
    <w:name w:val="Comment Text Char"/>
    <w:basedOn w:val="DefaultParagraphFont"/>
    <w:link w:val="CommentText"/>
    <w:uiPriority w:val="99"/>
    <w:semiHidden/>
    <w:rsid w:val="003E18D8"/>
    <w:rPr>
      <w:rFonts w:ascii="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3E18D8"/>
    <w:rPr>
      <w:b/>
      <w:bCs/>
    </w:rPr>
  </w:style>
  <w:style w:type="character" w:customStyle="1" w:styleId="CommentSubjectChar">
    <w:name w:val="Comment Subject Char"/>
    <w:basedOn w:val="CommentTextChar"/>
    <w:link w:val="CommentSubject"/>
    <w:uiPriority w:val="99"/>
    <w:semiHidden/>
    <w:rsid w:val="003E18D8"/>
    <w:rPr>
      <w:rFonts w:ascii="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EC5C85-1844-4169-BA27-736AEB924EF1}">
  <ds:schemaRefs>
    <ds:schemaRef ds:uri="http://schemas.openxmlformats.org/officeDocument/2006/bibliography"/>
  </ds:schemaRefs>
</ds:datastoreItem>
</file>

<file path=customXml/itemProps2.xml><?xml version="1.0" encoding="utf-8"?>
<ds:datastoreItem xmlns:ds="http://schemas.openxmlformats.org/officeDocument/2006/customXml" ds:itemID="{108978EB-D2BC-4EDA-901C-0BF53B07A233}"/>
</file>

<file path=customXml/itemProps3.xml><?xml version="1.0" encoding="utf-8"?>
<ds:datastoreItem xmlns:ds="http://schemas.openxmlformats.org/officeDocument/2006/customXml" ds:itemID="{F0EC7F01-3CE0-43F3-BAB7-400826B19BA9}"/>
</file>

<file path=customXml/itemProps4.xml><?xml version="1.0" encoding="utf-8"?>
<ds:datastoreItem xmlns:ds="http://schemas.openxmlformats.org/officeDocument/2006/customXml" ds:itemID="{AEC1B43D-19A9-4D43-B570-279F6282AE58}"/>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7322</Characters>
  <Application>Microsoft Office Word</Application>
  <DocSecurity>4</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Maren Kraushaar</dc:creator>
  <cp:lastModifiedBy>FOX Catherine</cp:lastModifiedBy>
  <cp:revision>2</cp:revision>
  <dcterms:created xsi:type="dcterms:W3CDTF">2020-01-14T14:58:00Z</dcterms:created>
  <dcterms:modified xsi:type="dcterms:W3CDTF">2020-01-14T14:58:00Z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