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84C0B" w14:textId="77777777" w:rsidR="00DC3219" w:rsidRPr="00CF25C0" w:rsidRDefault="00D91063" w:rsidP="00DC3219">
      <w:pPr>
        <w:jc w:val="both"/>
        <w:rPr>
          <w:rFonts w:ascii="Garamond" w:hAnsi="Garamond"/>
          <w:b/>
          <w:sz w:val="26"/>
          <w:szCs w:val="26"/>
          <w:lang w:val="en-GB"/>
        </w:rPr>
      </w:pPr>
      <w:bookmarkStart w:id="0" w:name="_GoBack"/>
      <w:bookmarkEnd w:id="0"/>
      <w:r w:rsidRPr="00CF25C0">
        <w:rPr>
          <w:rFonts w:ascii="Garamond" w:hAnsi="Garamond"/>
          <w:b/>
          <w:sz w:val="26"/>
          <w:szCs w:val="26"/>
          <w:lang w:val="en-GB"/>
        </w:rPr>
        <w:t xml:space="preserve">Response from Denmark and Greenland </w:t>
      </w:r>
      <w:proofErr w:type="gramStart"/>
      <w:r w:rsidRPr="00CF25C0">
        <w:rPr>
          <w:rFonts w:ascii="Garamond" w:hAnsi="Garamond"/>
          <w:b/>
          <w:sz w:val="26"/>
          <w:szCs w:val="26"/>
          <w:lang w:val="en-GB"/>
        </w:rPr>
        <w:t xml:space="preserve">to the questionnaire </w:t>
      </w:r>
      <w:r w:rsidR="001E163E" w:rsidRPr="00CF25C0">
        <w:rPr>
          <w:rFonts w:ascii="Garamond" w:hAnsi="Garamond"/>
          <w:b/>
          <w:sz w:val="26"/>
          <w:szCs w:val="26"/>
          <w:lang w:val="en-GB"/>
        </w:rPr>
        <w:t>on the R</w:t>
      </w:r>
      <w:r w:rsidRPr="00CF25C0">
        <w:rPr>
          <w:rFonts w:ascii="Garamond" w:hAnsi="Garamond"/>
          <w:b/>
          <w:sz w:val="26"/>
          <w:szCs w:val="26"/>
          <w:lang w:val="en-GB"/>
        </w:rPr>
        <w:t>ight to Land under the United Nations Declaration on the</w:t>
      </w:r>
      <w:r w:rsidR="00831D1D" w:rsidRPr="00CF25C0">
        <w:rPr>
          <w:rFonts w:ascii="Garamond" w:hAnsi="Garamond"/>
          <w:b/>
          <w:sz w:val="26"/>
          <w:szCs w:val="26"/>
          <w:lang w:val="en-GB"/>
        </w:rPr>
        <w:t xml:space="preserve"> Rights of Indigenous Peoples</w:t>
      </w:r>
      <w:proofErr w:type="gramEnd"/>
    </w:p>
    <w:p w14:paraId="78E9EAC1" w14:textId="77777777" w:rsidR="00720BB6" w:rsidRPr="00CF25C0" w:rsidRDefault="00D91063" w:rsidP="00DC3219">
      <w:pPr>
        <w:rPr>
          <w:rFonts w:ascii="Garamond" w:hAnsi="Garamond"/>
          <w:sz w:val="26"/>
          <w:szCs w:val="26"/>
          <w:u w:val="single"/>
          <w:lang w:val="en-GB"/>
        </w:rPr>
      </w:pPr>
      <w:r w:rsidRPr="00CF25C0">
        <w:rPr>
          <w:rFonts w:ascii="Garamond" w:hAnsi="Garamond"/>
          <w:sz w:val="26"/>
          <w:szCs w:val="26"/>
          <w:u w:val="single"/>
          <w:lang w:val="en-GB"/>
        </w:rPr>
        <w:t>General framework</w:t>
      </w:r>
    </w:p>
    <w:p w14:paraId="40DFE71F" w14:textId="77777777" w:rsidR="00DC3219" w:rsidRPr="00CF25C0" w:rsidRDefault="00D91063" w:rsidP="00DC3219">
      <w:pPr>
        <w:rPr>
          <w:rFonts w:ascii="Garamond" w:hAnsi="Garamond"/>
          <w:sz w:val="26"/>
          <w:szCs w:val="26"/>
          <w:lang w:val="en-GB"/>
        </w:rPr>
      </w:pPr>
      <w:proofErr w:type="gramStart"/>
      <w:r w:rsidRPr="00CF25C0">
        <w:rPr>
          <w:rFonts w:ascii="Garamond" w:hAnsi="Garamond"/>
          <w:sz w:val="26"/>
          <w:szCs w:val="26"/>
          <w:lang w:val="en-GB"/>
        </w:rPr>
        <w:t>On 21 June 2009, the Act on Greenland Self-Government came into force replacing the former Greenland Home Rule Act of 29 November 1978, and on 7 October 2009 the Kingdom of Denmark submitted a notification on the Act to the Secretary-General of The United Nations, followed by a report to the General Assembly Implementation of the Declaration on the Granting of Independence to Colonial Countries and Peoples (A/64/676) during its sixty-fourth session.</w:t>
      </w:r>
      <w:proofErr w:type="gramEnd"/>
      <w:r w:rsidRPr="00CF25C0">
        <w:rPr>
          <w:rFonts w:ascii="Garamond" w:hAnsi="Garamond"/>
          <w:sz w:val="26"/>
          <w:szCs w:val="26"/>
          <w:lang w:val="en-GB"/>
        </w:rPr>
        <w:t xml:space="preserve"> </w:t>
      </w:r>
    </w:p>
    <w:p w14:paraId="68B27796" w14:textId="77777777" w:rsidR="00DC3219" w:rsidRPr="00CF25C0" w:rsidRDefault="00D91063" w:rsidP="00DC3219">
      <w:pPr>
        <w:rPr>
          <w:rFonts w:ascii="Garamond" w:hAnsi="Garamond"/>
          <w:sz w:val="26"/>
          <w:szCs w:val="26"/>
          <w:lang w:val="en-GB"/>
        </w:rPr>
      </w:pPr>
      <w:r w:rsidRPr="00CF25C0">
        <w:rPr>
          <w:rFonts w:ascii="Garamond" w:hAnsi="Garamond"/>
          <w:sz w:val="26"/>
          <w:szCs w:val="26"/>
          <w:lang w:val="en-GB"/>
        </w:rPr>
        <w:t xml:space="preserve">A principal objective of introducing self-government has been to facilitate the transfer of additional authority and thus responsibility to Greenlandic authorities in </w:t>
      </w:r>
      <w:r w:rsidR="007C4767" w:rsidRPr="00CF25C0">
        <w:rPr>
          <w:rFonts w:ascii="Garamond" w:hAnsi="Garamond"/>
          <w:sz w:val="26"/>
          <w:szCs w:val="26"/>
          <w:lang w:val="en-GB"/>
        </w:rPr>
        <w:t>accordance with the Danish constitution</w:t>
      </w:r>
      <w:r w:rsidRPr="00CF25C0">
        <w:rPr>
          <w:rFonts w:ascii="Garamond" w:hAnsi="Garamond"/>
          <w:sz w:val="26"/>
          <w:szCs w:val="26"/>
          <w:lang w:val="en-GB"/>
        </w:rPr>
        <w:t xml:space="preserve">. </w:t>
      </w:r>
    </w:p>
    <w:p w14:paraId="21A2A1D7" w14:textId="77777777" w:rsidR="00DC3219" w:rsidRPr="00CF25C0" w:rsidRDefault="00D91063" w:rsidP="00DC3219">
      <w:pPr>
        <w:rPr>
          <w:rFonts w:ascii="Garamond" w:hAnsi="Garamond"/>
          <w:sz w:val="26"/>
          <w:szCs w:val="26"/>
          <w:lang w:val="en-GB"/>
        </w:rPr>
      </w:pPr>
      <w:r w:rsidRPr="00CF25C0">
        <w:rPr>
          <w:rFonts w:ascii="Garamond" w:hAnsi="Garamond"/>
          <w:sz w:val="26"/>
          <w:szCs w:val="26"/>
          <w:lang w:val="en-GB"/>
        </w:rPr>
        <w:t xml:space="preserve">In the preamble to the Self-Government Act, it </w:t>
      </w:r>
      <w:proofErr w:type="gramStart"/>
      <w:r w:rsidRPr="00CF25C0">
        <w:rPr>
          <w:rFonts w:ascii="Garamond" w:hAnsi="Garamond"/>
          <w:sz w:val="26"/>
          <w:szCs w:val="26"/>
          <w:lang w:val="en-GB"/>
        </w:rPr>
        <w:t>is recognised</w:t>
      </w:r>
      <w:proofErr w:type="gramEnd"/>
      <w:r w:rsidRPr="00CF25C0">
        <w:rPr>
          <w:rFonts w:ascii="Garamond" w:hAnsi="Garamond"/>
          <w:sz w:val="26"/>
          <w:szCs w:val="26"/>
          <w:lang w:val="en-GB"/>
        </w:rPr>
        <w:t xml:space="preserve"> that the people of Greenland is a people pursuant to international law with the right to self-determination. Accordingly, the Act </w:t>
      </w:r>
      <w:proofErr w:type="gramStart"/>
      <w:r w:rsidRPr="00CF25C0">
        <w:rPr>
          <w:rFonts w:ascii="Garamond" w:hAnsi="Garamond"/>
          <w:sz w:val="26"/>
          <w:szCs w:val="26"/>
          <w:lang w:val="en-GB"/>
        </w:rPr>
        <w:t>is based</w:t>
      </w:r>
      <w:proofErr w:type="gramEnd"/>
      <w:r w:rsidRPr="00CF25C0">
        <w:rPr>
          <w:rFonts w:ascii="Garamond" w:hAnsi="Garamond"/>
          <w:sz w:val="26"/>
          <w:szCs w:val="26"/>
          <w:lang w:val="en-GB"/>
        </w:rPr>
        <w:t xml:space="preserve"> on an agreement between </w:t>
      </w:r>
      <w:proofErr w:type="spellStart"/>
      <w:r w:rsidRPr="00CF25C0">
        <w:rPr>
          <w:rFonts w:ascii="Garamond" w:hAnsi="Garamond"/>
          <w:sz w:val="26"/>
          <w:szCs w:val="26"/>
          <w:lang w:val="en-GB"/>
        </w:rPr>
        <w:t>Naalakkersuisut</w:t>
      </w:r>
      <w:proofErr w:type="spellEnd"/>
      <w:r w:rsidRPr="00CF25C0">
        <w:rPr>
          <w:rFonts w:ascii="Garamond" w:hAnsi="Garamond"/>
          <w:sz w:val="26"/>
          <w:szCs w:val="26"/>
          <w:lang w:val="en-GB"/>
        </w:rPr>
        <w:t xml:space="preserve"> (Government of Greenland) and the Danish Government as equal partners.</w:t>
      </w:r>
    </w:p>
    <w:p w14:paraId="7727819B" w14:textId="77777777" w:rsidR="00DC3219" w:rsidRPr="00CF25C0" w:rsidRDefault="00D91063" w:rsidP="00DC3219">
      <w:pPr>
        <w:rPr>
          <w:rFonts w:ascii="Garamond" w:hAnsi="Garamond"/>
          <w:sz w:val="26"/>
          <w:szCs w:val="26"/>
          <w:lang w:val="en-GB"/>
        </w:rPr>
      </w:pPr>
      <w:r w:rsidRPr="00CF25C0">
        <w:rPr>
          <w:rFonts w:ascii="Garamond" w:hAnsi="Garamond"/>
          <w:sz w:val="26"/>
          <w:szCs w:val="26"/>
          <w:lang w:val="en-GB"/>
        </w:rPr>
        <w:t xml:space="preserve">Pursuant to the Self-Government Act, the </w:t>
      </w:r>
      <w:r w:rsidR="00D1359F" w:rsidRPr="00CF25C0">
        <w:rPr>
          <w:rFonts w:ascii="Garamond" w:hAnsi="Garamond"/>
          <w:sz w:val="26"/>
          <w:szCs w:val="26"/>
          <w:lang w:val="en-GB"/>
        </w:rPr>
        <w:t>Greenlandic</w:t>
      </w:r>
      <w:r w:rsidRPr="00CF25C0">
        <w:rPr>
          <w:rFonts w:ascii="Garamond" w:hAnsi="Garamond"/>
          <w:sz w:val="26"/>
          <w:szCs w:val="26"/>
          <w:lang w:val="en-GB"/>
        </w:rPr>
        <w:t xml:space="preserve"> authorities can decide to assume </w:t>
      </w:r>
      <w:r w:rsidR="00593C45" w:rsidRPr="00CF25C0">
        <w:rPr>
          <w:rFonts w:ascii="Garamond" w:hAnsi="Garamond"/>
          <w:sz w:val="26"/>
          <w:szCs w:val="26"/>
          <w:lang w:val="en-GB"/>
        </w:rPr>
        <w:t>authority over certain</w:t>
      </w:r>
      <w:r w:rsidR="00720BB6" w:rsidRPr="00CF25C0">
        <w:rPr>
          <w:rFonts w:ascii="Garamond" w:hAnsi="Garamond"/>
          <w:sz w:val="26"/>
          <w:szCs w:val="26"/>
          <w:lang w:val="en-GB"/>
        </w:rPr>
        <w:t xml:space="preserve"> new fields of responsibility. </w:t>
      </w:r>
      <w:r w:rsidRPr="00CF25C0">
        <w:rPr>
          <w:rFonts w:ascii="Garamond" w:hAnsi="Garamond"/>
          <w:sz w:val="26"/>
          <w:szCs w:val="26"/>
          <w:lang w:val="en-GB"/>
        </w:rPr>
        <w:t xml:space="preserve">With the assumption of a field, the </w:t>
      </w:r>
      <w:r w:rsidR="00D1359F" w:rsidRPr="00CF25C0">
        <w:rPr>
          <w:rFonts w:ascii="Garamond" w:hAnsi="Garamond"/>
          <w:sz w:val="26"/>
          <w:szCs w:val="26"/>
          <w:lang w:val="en-GB"/>
        </w:rPr>
        <w:t>Greenlandic</w:t>
      </w:r>
      <w:r w:rsidRPr="00CF25C0">
        <w:rPr>
          <w:rFonts w:ascii="Garamond" w:hAnsi="Garamond"/>
          <w:sz w:val="26"/>
          <w:szCs w:val="26"/>
          <w:lang w:val="en-GB"/>
        </w:rPr>
        <w:t xml:space="preserve"> authorities assume legislative and executive power </w:t>
      </w:r>
      <w:r w:rsidR="00593C45" w:rsidRPr="00CF25C0">
        <w:rPr>
          <w:rFonts w:ascii="Garamond" w:hAnsi="Garamond"/>
          <w:sz w:val="26"/>
          <w:szCs w:val="26"/>
          <w:lang w:val="en-GB"/>
        </w:rPr>
        <w:t>with</w:t>
      </w:r>
      <w:r w:rsidRPr="00CF25C0">
        <w:rPr>
          <w:rFonts w:ascii="Garamond" w:hAnsi="Garamond"/>
          <w:sz w:val="26"/>
          <w:szCs w:val="26"/>
          <w:lang w:val="en-GB"/>
        </w:rPr>
        <w:t xml:space="preserve">in the field as well as take over responsibility for the financing of the expenditure related to the attendance of the field. </w:t>
      </w:r>
    </w:p>
    <w:p w14:paraId="41A4029B" w14:textId="4E05578E" w:rsidR="00DC3219" w:rsidRPr="00CF25C0" w:rsidRDefault="00D91063" w:rsidP="00DC3219">
      <w:pPr>
        <w:rPr>
          <w:rFonts w:ascii="Garamond" w:hAnsi="Garamond"/>
          <w:sz w:val="26"/>
          <w:szCs w:val="26"/>
          <w:lang w:val="en-GB"/>
        </w:rPr>
      </w:pPr>
      <w:r w:rsidRPr="00CF25C0">
        <w:rPr>
          <w:rFonts w:ascii="Garamond" w:hAnsi="Garamond"/>
          <w:sz w:val="26"/>
          <w:szCs w:val="26"/>
          <w:lang w:val="en-GB"/>
        </w:rPr>
        <w:t xml:space="preserve">The </w:t>
      </w:r>
      <w:r w:rsidR="00D1359F" w:rsidRPr="00CF25C0">
        <w:rPr>
          <w:rFonts w:ascii="Garamond" w:hAnsi="Garamond"/>
          <w:sz w:val="26"/>
          <w:szCs w:val="26"/>
          <w:lang w:val="en-GB"/>
        </w:rPr>
        <w:t>Government of Greenland has</w:t>
      </w:r>
      <w:r w:rsidRPr="00CF25C0">
        <w:rPr>
          <w:rFonts w:ascii="Garamond" w:hAnsi="Garamond"/>
          <w:sz w:val="26"/>
          <w:szCs w:val="26"/>
          <w:lang w:val="en-GB"/>
        </w:rPr>
        <w:t xml:space="preserve"> assumed</w:t>
      </w:r>
      <w:r w:rsidR="00593C45" w:rsidRPr="00CF25C0">
        <w:rPr>
          <w:rFonts w:ascii="Garamond" w:hAnsi="Garamond"/>
          <w:sz w:val="26"/>
          <w:szCs w:val="26"/>
          <w:lang w:val="en-GB"/>
        </w:rPr>
        <w:t xml:space="preserve"> </w:t>
      </w:r>
      <w:r w:rsidR="000F4CAE" w:rsidRPr="00CF25C0">
        <w:rPr>
          <w:rFonts w:ascii="Garamond" w:hAnsi="Garamond"/>
          <w:sz w:val="26"/>
          <w:szCs w:val="26"/>
          <w:lang w:val="en-GB"/>
        </w:rPr>
        <w:t xml:space="preserve">authority </w:t>
      </w:r>
      <w:r w:rsidRPr="00CF25C0">
        <w:rPr>
          <w:rFonts w:ascii="Garamond" w:hAnsi="Garamond"/>
          <w:sz w:val="26"/>
          <w:szCs w:val="26"/>
          <w:lang w:val="en-GB"/>
        </w:rPr>
        <w:t xml:space="preserve">regarding a wide range of areas such as </w:t>
      </w:r>
      <w:r w:rsidR="00BB4D4C" w:rsidRPr="00BB4D4C">
        <w:rPr>
          <w:rFonts w:ascii="Garamond" w:hAnsi="Garamond"/>
          <w:sz w:val="26"/>
          <w:szCs w:val="26"/>
          <w:lang w:val="en-GB"/>
        </w:rPr>
        <w:t>social</w:t>
      </w:r>
      <w:r w:rsidR="00BB4D4C">
        <w:rPr>
          <w:rFonts w:ascii="Garamond" w:hAnsi="Garamond"/>
          <w:sz w:val="26"/>
          <w:szCs w:val="26"/>
          <w:lang w:val="en-GB"/>
        </w:rPr>
        <w:t xml:space="preserve"> issues</w:t>
      </w:r>
      <w:r w:rsidR="00BB4D4C" w:rsidRPr="00BB4D4C">
        <w:rPr>
          <w:rFonts w:ascii="Garamond" w:hAnsi="Garamond"/>
          <w:sz w:val="26"/>
          <w:szCs w:val="26"/>
          <w:lang w:val="en-GB"/>
        </w:rPr>
        <w:t xml:space="preserve">, health, taxes, </w:t>
      </w:r>
      <w:proofErr w:type="spellStart"/>
      <w:r w:rsidR="00BB4D4C" w:rsidRPr="00BB4D4C">
        <w:rPr>
          <w:rFonts w:ascii="Garamond" w:hAnsi="Garamond"/>
          <w:sz w:val="26"/>
          <w:szCs w:val="26"/>
          <w:lang w:val="en-GB"/>
        </w:rPr>
        <w:t>labor</w:t>
      </w:r>
      <w:proofErr w:type="spellEnd"/>
      <w:r w:rsidR="00BB4D4C" w:rsidRPr="00BB4D4C">
        <w:rPr>
          <w:rFonts w:ascii="Garamond" w:hAnsi="Garamond"/>
          <w:sz w:val="26"/>
          <w:szCs w:val="26"/>
          <w:lang w:val="en-GB"/>
        </w:rPr>
        <w:t xml:space="preserve"> market, </w:t>
      </w:r>
      <w:r w:rsidR="00BB4D4C">
        <w:rPr>
          <w:rFonts w:ascii="Garamond" w:hAnsi="Garamond"/>
          <w:sz w:val="26"/>
          <w:szCs w:val="26"/>
          <w:lang w:val="en-GB"/>
        </w:rPr>
        <w:t xml:space="preserve">industry, </w:t>
      </w:r>
      <w:r w:rsidR="00BB4D4C" w:rsidRPr="00BB4D4C">
        <w:rPr>
          <w:rFonts w:ascii="Garamond" w:hAnsi="Garamond"/>
          <w:sz w:val="26"/>
          <w:szCs w:val="26"/>
          <w:lang w:val="en-GB"/>
        </w:rPr>
        <w:t>climate</w:t>
      </w:r>
      <w:r w:rsidR="00BB4D4C">
        <w:rPr>
          <w:rFonts w:ascii="Garamond" w:hAnsi="Garamond"/>
          <w:sz w:val="26"/>
          <w:szCs w:val="26"/>
          <w:lang w:val="en-GB"/>
        </w:rPr>
        <w:t xml:space="preserve">, </w:t>
      </w:r>
      <w:r w:rsidR="00C1310B" w:rsidRPr="00CF25C0">
        <w:rPr>
          <w:rFonts w:ascii="Garamond" w:hAnsi="Garamond"/>
          <w:sz w:val="26"/>
          <w:szCs w:val="26"/>
          <w:lang w:val="en-GB"/>
        </w:rPr>
        <w:t xml:space="preserve">environment, nature, natural resources (fisheries, mineral resources etc.), research, trade, national planning, </w:t>
      </w:r>
      <w:r w:rsidRPr="00CF25C0">
        <w:rPr>
          <w:rFonts w:ascii="Garamond" w:hAnsi="Garamond"/>
          <w:sz w:val="26"/>
          <w:szCs w:val="26"/>
          <w:lang w:val="en-GB"/>
        </w:rPr>
        <w:t xml:space="preserve">public schools, competition law and churches in Greenland. </w:t>
      </w:r>
    </w:p>
    <w:p w14:paraId="4C04D258" w14:textId="03C084BB" w:rsidR="000D6561" w:rsidRPr="00CF25C0" w:rsidRDefault="00D91063" w:rsidP="00DC3219">
      <w:pPr>
        <w:rPr>
          <w:sz w:val="16"/>
          <w:szCs w:val="16"/>
          <w:lang w:val="en-GB" w:eastAsia="da-DK"/>
        </w:rPr>
      </w:pPr>
      <w:r w:rsidRPr="00CF25C0">
        <w:rPr>
          <w:rFonts w:ascii="Garamond" w:hAnsi="Garamond"/>
          <w:sz w:val="26"/>
          <w:szCs w:val="26"/>
          <w:lang w:val="en-GB"/>
        </w:rPr>
        <w:t>In respect of the Unity of the Realm and special provisions in the Danish Constitution, responsibility for the following fields may not be transferred: the Constitution; citizenship; the Supreme Court; foreign, defence and security policy and monetary and currency matters. In those fields</w:t>
      </w:r>
      <w:r w:rsidR="007C4767" w:rsidRPr="00CF25C0">
        <w:rPr>
          <w:rFonts w:ascii="Garamond" w:hAnsi="Garamond"/>
          <w:sz w:val="26"/>
          <w:szCs w:val="26"/>
          <w:lang w:val="en-GB"/>
        </w:rPr>
        <w:t>,</w:t>
      </w:r>
      <w:r w:rsidRPr="00CF25C0">
        <w:rPr>
          <w:rFonts w:ascii="Garamond" w:hAnsi="Garamond"/>
          <w:sz w:val="26"/>
          <w:szCs w:val="26"/>
          <w:lang w:val="en-GB"/>
        </w:rPr>
        <w:t xml:space="preserve"> and when matters are of importance </w:t>
      </w:r>
      <w:r w:rsidR="00623589" w:rsidRPr="00CF25C0">
        <w:rPr>
          <w:rFonts w:ascii="Garamond" w:hAnsi="Garamond"/>
          <w:sz w:val="26"/>
          <w:szCs w:val="26"/>
          <w:lang w:val="en-GB"/>
        </w:rPr>
        <w:t xml:space="preserve">to </w:t>
      </w:r>
      <w:r w:rsidRPr="00CF25C0">
        <w:rPr>
          <w:rFonts w:ascii="Garamond" w:hAnsi="Garamond"/>
          <w:sz w:val="26"/>
          <w:szCs w:val="26"/>
          <w:lang w:val="en-GB"/>
        </w:rPr>
        <w:t>Greenland the central authorities of the Realm (Danish Government and Parliament (“Folketing”)) continues to exercise competence in close cooperation with the Government of Greenland.</w:t>
      </w:r>
    </w:p>
    <w:p w14:paraId="7006523B" w14:textId="77777777" w:rsidR="00DC3219" w:rsidRPr="00CF25C0" w:rsidRDefault="00D91063" w:rsidP="00DC3219">
      <w:pPr>
        <w:spacing w:after="0" w:line="300" w:lineRule="auto"/>
        <w:jc w:val="both"/>
        <w:rPr>
          <w:rFonts w:ascii="Garamond" w:eastAsia="Calibri" w:hAnsi="Garamond" w:cs="Times New Roman"/>
          <w:sz w:val="26"/>
          <w:szCs w:val="26"/>
          <w:lang w:val="en-GB"/>
        </w:rPr>
      </w:pPr>
      <w:r w:rsidRPr="00CF25C0">
        <w:rPr>
          <w:rFonts w:ascii="Garamond" w:eastAsia="Calibri" w:hAnsi="Garamond" w:cs="Times New Roman"/>
          <w:sz w:val="26"/>
          <w:szCs w:val="26"/>
          <w:lang w:val="en-GB"/>
        </w:rPr>
        <w:t xml:space="preserve">The laws of the Kingdom of Denmark, adjusted to take into account the special circumstances of Greenland, cover the areas not </w:t>
      </w:r>
      <w:r w:rsidR="00623589" w:rsidRPr="00CF25C0">
        <w:rPr>
          <w:rFonts w:ascii="Garamond" w:eastAsia="Calibri" w:hAnsi="Garamond" w:cs="Times New Roman"/>
          <w:sz w:val="26"/>
          <w:szCs w:val="26"/>
          <w:lang w:val="en-GB"/>
        </w:rPr>
        <w:t>assumed</w:t>
      </w:r>
      <w:r w:rsidRPr="00CF25C0">
        <w:rPr>
          <w:rFonts w:ascii="Garamond" w:eastAsia="Calibri" w:hAnsi="Garamond" w:cs="Times New Roman"/>
          <w:sz w:val="26"/>
          <w:szCs w:val="26"/>
          <w:lang w:val="en-GB"/>
        </w:rPr>
        <w:t xml:space="preserve"> by the </w:t>
      </w:r>
      <w:r w:rsidR="00C1310B" w:rsidRPr="00CF25C0">
        <w:rPr>
          <w:rFonts w:ascii="Garamond" w:eastAsia="Calibri" w:hAnsi="Garamond" w:cs="Times New Roman"/>
          <w:sz w:val="26"/>
          <w:szCs w:val="26"/>
          <w:lang w:val="en-GB"/>
        </w:rPr>
        <w:t>Greenlandic</w:t>
      </w:r>
      <w:r w:rsidRPr="00CF25C0">
        <w:rPr>
          <w:rFonts w:ascii="Garamond" w:eastAsia="Calibri" w:hAnsi="Garamond" w:cs="Times New Roman"/>
          <w:sz w:val="26"/>
          <w:szCs w:val="26"/>
          <w:lang w:val="en-GB"/>
        </w:rPr>
        <w:t xml:space="preserve"> authorities. Accordingly, some Danish legislation applies to the entire Kingdom of Denmark and some Danish legislation applies specifically to Greenland.</w:t>
      </w:r>
    </w:p>
    <w:p w14:paraId="3D8DA096" w14:textId="77777777" w:rsidR="001E163E" w:rsidRPr="00CF25C0" w:rsidRDefault="001E163E">
      <w:pPr>
        <w:rPr>
          <w:rFonts w:ascii="Garamond" w:hAnsi="Garamond"/>
          <w:sz w:val="26"/>
          <w:szCs w:val="26"/>
          <w:lang w:val="en-GB"/>
        </w:rPr>
      </w:pPr>
    </w:p>
    <w:p w14:paraId="7A23E241" w14:textId="50F854F7" w:rsidR="00720BB6" w:rsidRPr="00CF25C0" w:rsidRDefault="00D91063">
      <w:pPr>
        <w:rPr>
          <w:rFonts w:ascii="Garamond" w:eastAsia="Calibri" w:hAnsi="Garamond" w:cs="Times New Roman"/>
          <w:sz w:val="26"/>
          <w:szCs w:val="26"/>
          <w:u w:val="single"/>
          <w:lang w:val="en-GB"/>
        </w:rPr>
      </w:pPr>
      <w:r w:rsidRPr="00CF25C0">
        <w:rPr>
          <w:rFonts w:ascii="Garamond" w:eastAsia="Calibri" w:hAnsi="Garamond" w:cs="Times New Roman"/>
          <w:sz w:val="26"/>
          <w:szCs w:val="26"/>
          <w:u w:val="single"/>
          <w:lang w:val="en-GB"/>
        </w:rPr>
        <w:t>On the right to land</w:t>
      </w:r>
    </w:p>
    <w:p w14:paraId="4DABC2D6" w14:textId="77777777" w:rsidR="009E7C7E" w:rsidRPr="00CF25C0" w:rsidRDefault="00D91063">
      <w:pPr>
        <w:rPr>
          <w:rFonts w:ascii="Garamond" w:eastAsia="Calibri" w:hAnsi="Garamond" w:cs="Times New Roman"/>
          <w:sz w:val="26"/>
          <w:szCs w:val="26"/>
          <w:lang w:val="en-GB"/>
        </w:rPr>
      </w:pPr>
      <w:r w:rsidRPr="00CF25C0">
        <w:rPr>
          <w:rFonts w:ascii="Garamond" w:eastAsia="Calibri" w:hAnsi="Garamond" w:cs="Times New Roman"/>
          <w:sz w:val="26"/>
          <w:szCs w:val="26"/>
          <w:lang w:val="en-GB"/>
        </w:rPr>
        <w:t xml:space="preserve">The right to land constitutes </w:t>
      </w:r>
      <w:r w:rsidR="00F21961" w:rsidRPr="00CF25C0">
        <w:rPr>
          <w:rFonts w:ascii="Garamond" w:eastAsia="Calibri" w:hAnsi="Garamond" w:cs="Times New Roman"/>
          <w:sz w:val="26"/>
          <w:szCs w:val="26"/>
          <w:lang w:val="en-GB"/>
        </w:rPr>
        <w:t>a range of</w:t>
      </w:r>
      <w:r w:rsidRPr="00CF25C0">
        <w:rPr>
          <w:rFonts w:ascii="Garamond" w:eastAsia="Calibri" w:hAnsi="Garamond" w:cs="Times New Roman"/>
          <w:sz w:val="26"/>
          <w:szCs w:val="26"/>
          <w:lang w:val="en-GB"/>
        </w:rPr>
        <w:t xml:space="preserve"> aspects of which the following are in particular worth </w:t>
      </w:r>
      <w:r w:rsidR="00623589" w:rsidRPr="00CF25C0">
        <w:rPr>
          <w:rFonts w:ascii="Garamond" w:eastAsia="Calibri" w:hAnsi="Garamond" w:cs="Times New Roman"/>
          <w:sz w:val="26"/>
          <w:szCs w:val="26"/>
          <w:lang w:val="en-GB"/>
        </w:rPr>
        <w:t>mentioning</w:t>
      </w:r>
      <w:r w:rsidRPr="00CF25C0">
        <w:rPr>
          <w:rFonts w:ascii="Garamond" w:eastAsia="Calibri" w:hAnsi="Garamond" w:cs="Times New Roman"/>
          <w:sz w:val="26"/>
          <w:szCs w:val="26"/>
          <w:lang w:val="en-GB"/>
        </w:rPr>
        <w:t>:</w:t>
      </w:r>
    </w:p>
    <w:p w14:paraId="515E62E2" w14:textId="345AF207" w:rsidR="00622850" w:rsidRPr="00CF25C0" w:rsidRDefault="00D91063" w:rsidP="00622850">
      <w:pPr>
        <w:rPr>
          <w:rFonts w:ascii="Garamond" w:hAnsi="Garamond"/>
          <w:sz w:val="26"/>
          <w:szCs w:val="26"/>
          <w:lang w:val="en-GB"/>
        </w:rPr>
      </w:pPr>
      <w:r w:rsidRPr="00CF25C0">
        <w:rPr>
          <w:rFonts w:ascii="Garamond" w:hAnsi="Garamond"/>
          <w:sz w:val="26"/>
          <w:szCs w:val="26"/>
          <w:lang w:val="en-GB"/>
        </w:rPr>
        <w:t xml:space="preserve">According to tradition in Greenland, there is no private ownership of land. The land is communal, thus meaning it </w:t>
      </w:r>
      <w:proofErr w:type="gramStart"/>
      <w:r w:rsidRPr="00CF25C0">
        <w:rPr>
          <w:rFonts w:ascii="Garamond" w:hAnsi="Garamond"/>
          <w:sz w:val="26"/>
          <w:szCs w:val="26"/>
          <w:lang w:val="en-GB"/>
        </w:rPr>
        <w:t>cannot be bought nor sold</w:t>
      </w:r>
      <w:proofErr w:type="gramEnd"/>
      <w:r w:rsidRPr="00CF25C0">
        <w:rPr>
          <w:rFonts w:ascii="Garamond" w:hAnsi="Garamond"/>
          <w:sz w:val="26"/>
          <w:szCs w:val="26"/>
          <w:lang w:val="en-GB"/>
        </w:rPr>
        <w:t>. In order to obtain land use rights, one must apply for an area allotment. It is the municipalities’ task to administer the land use rights, which means</w:t>
      </w:r>
      <w:r w:rsidR="00623589" w:rsidRPr="00CF25C0">
        <w:rPr>
          <w:rFonts w:ascii="Garamond" w:hAnsi="Garamond"/>
          <w:sz w:val="26"/>
          <w:szCs w:val="26"/>
          <w:lang w:val="en-GB"/>
        </w:rPr>
        <w:t xml:space="preserve"> that</w:t>
      </w:r>
      <w:r w:rsidRPr="00CF25C0">
        <w:rPr>
          <w:rFonts w:ascii="Garamond" w:hAnsi="Garamond"/>
          <w:sz w:val="26"/>
          <w:szCs w:val="26"/>
          <w:lang w:val="en-GB"/>
        </w:rPr>
        <w:t xml:space="preserve"> one must apply for</w:t>
      </w:r>
      <w:r w:rsidR="00623589" w:rsidRPr="00CF25C0">
        <w:rPr>
          <w:rFonts w:ascii="Garamond" w:hAnsi="Garamond"/>
          <w:sz w:val="26"/>
          <w:szCs w:val="26"/>
          <w:lang w:val="en-GB"/>
        </w:rPr>
        <w:t xml:space="preserve"> an</w:t>
      </w:r>
      <w:r w:rsidRPr="00CF25C0">
        <w:rPr>
          <w:rFonts w:ascii="Garamond" w:hAnsi="Garamond"/>
          <w:sz w:val="26"/>
          <w:szCs w:val="26"/>
          <w:lang w:val="en-GB"/>
        </w:rPr>
        <w:t xml:space="preserve"> area allotment in the given municipality. </w:t>
      </w:r>
      <w:r w:rsidR="00623589" w:rsidRPr="00CF25C0">
        <w:rPr>
          <w:rFonts w:ascii="Garamond" w:hAnsi="Garamond"/>
          <w:sz w:val="26"/>
          <w:szCs w:val="26"/>
          <w:lang w:val="en-GB"/>
        </w:rPr>
        <w:t xml:space="preserve">For all practical purposes the </w:t>
      </w:r>
      <w:r w:rsidRPr="00CF25C0">
        <w:rPr>
          <w:rFonts w:ascii="Garamond" w:hAnsi="Garamond"/>
          <w:sz w:val="26"/>
          <w:szCs w:val="26"/>
          <w:lang w:val="en-GB"/>
        </w:rPr>
        <w:t xml:space="preserve">decision concerning use of land in Greenland </w:t>
      </w:r>
      <w:r w:rsidR="00623589" w:rsidRPr="00CF25C0">
        <w:rPr>
          <w:rFonts w:ascii="Garamond" w:hAnsi="Garamond"/>
          <w:sz w:val="26"/>
          <w:szCs w:val="26"/>
          <w:lang w:val="en-GB"/>
        </w:rPr>
        <w:t>lies</w:t>
      </w:r>
      <w:r w:rsidRPr="00CF25C0">
        <w:rPr>
          <w:rFonts w:ascii="Garamond" w:hAnsi="Garamond"/>
          <w:sz w:val="26"/>
          <w:szCs w:val="26"/>
          <w:lang w:val="en-GB"/>
        </w:rPr>
        <w:t xml:space="preserve"> with the municipalities, wh</w:t>
      </w:r>
      <w:r w:rsidR="00623589" w:rsidRPr="00CF25C0">
        <w:rPr>
          <w:rFonts w:ascii="Garamond" w:hAnsi="Garamond"/>
          <w:sz w:val="26"/>
          <w:szCs w:val="26"/>
          <w:lang w:val="en-GB"/>
        </w:rPr>
        <w:t>ich</w:t>
      </w:r>
      <w:r w:rsidRPr="00CF25C0">
        <w:rPr>
          <w:rFonts w:ascii="Garamond" w:hAnsi="Garamond"/>
          <w:sz w:val="26"/>
          <w:szCs w:val="26"/>
          <w:lang w:val="en-GB"/>
        </w:rPr>
        <w:t xml:space="preserve"> </w:t>
      </w:r>
      <w:r w:rsidR="00623589" w:rsidRPr="00CF25C0">
        <w:rPr>
          <w:rFonts w:ascii="Garamond" w:hAnsi="Garamond"/>
          <w:sz w:val="26"/>
          <w:szCs w:val="26"/>
          <w:lang w:val="en-GB"/>
        </w:rPr>
        <w:t xml:space="preserve">have </w:t>
      </w:r>
      <w:r w:rsidRPr="00CF25C0">
        <w:rPr>
          <w:rFonts w:ascii="Garamond" w:hAnsi="Garamond"/>
          <w:sz w:val="26"/>
          <w:szCs w:val="26"/>
          <w:lang w:val="en-GB"/>
        </w:rPr>
        <w:t xml:space="preserve">the competence to decide on the allocation of </w:t>
      </w:r>
      <w:r w:rsidR="00623589" w:rsidRPr="00CF25C0">
        <w:rPr>
          <w:rFonts w:ascii="Garamond" w:hAnsi="Garamond"/>
          <w:sz w:val="26"/>
          <w:szCs w:val="26"/>
          <w:lang w:val="en-GB"/>
        </w:rPr>
        <w:t xml:space="preserve">rights to use of </w:t>
      </w:r>
      <w:r w:rsidRPr="00CF25C0">
        <w:rPr>
          <w:rFonts w:ascii="Garamond" w:hAnsi="Garamond"/>
          <w:sz w:val="26"/>
          <w:szCs w:val="26"/>
          <w:lang w:val="en-GB"/>
        </w:rPr>
        <w:t>land. However</w:t>
      </w:r>
      <w:r w:rsidR="00623589" w:rsidRPr="00CF25C0">
        <w:rPr>
          <w:rFonts w:ascii="Garamond" w:hAnsi="Garamond"/>
          <w:sz w:val="26"/>
          <w:szCs w:val="26"/>
          <w:lang w:val="en-GB"/>
        </w:rPr>
        <w:t>,</w:t>
      </w:r>
      <w:r w:rsidR="000113FA">
        <w:rPr>
          <w:rFonts w:ascii="Garamond" w:hAnsi="Garamond"/>
          <w:sz w:val="26"/>
          <w:szCs w:val="26"/>
          <w:lang w:val="en-GB"/>
        </w:rPr>
        <w:t xml:space="preserve"> the municipal planning</w:t>
      </w:r>
      <w:r w:rsidRPr="00CF25C0">
        <w:rPr>
          <w:rFonts w:ascii="Garamond" w:hAnsi="Garamond"/>
          <w:sz w:val="26"/>
          <w:szCs w:val="26"/>
          <w:lang w:val="en-GB"/>
        </w:rPr>
        <w:t xml:space="preserve"> must not be in conflict with the national planning, which determines land use at a national level, which also contains coordination </w:t>
      </w:r>
      <w:r w:rsidR="00C1310B" w:rsidRPr="00CF25C0">
        <w:rPr>
          <w:rFonts w:ascii="Garamond" w:hAnsi="Garamond"/>
          <w:sz w:val="26"/>
          <w:szCs w:val="26"/>
          <w:lang w:val="en-GB"/>
        </w:rPr>
        <w:t>with the Government of Greenland’s</w:t>
      </w:r>
      <w:r w:rsidRPr="00CF25C0">
        <w:rPr>
          <w:rFonts w:ascii="Garamond" w:hAnsi="Garamond"/>
          <w:sz w:val="26"/>
          <w:szCs w:val="26"/>
          <w:lang w:val="en-GB"/>
        </w:rPr>
        <w:t xml:space="preserve"> sector planning as well as the main principles of financial planning. </w:t>
      </w:r>
    </w:p>
    <w:p w14:paraId="2D045B75" w14:textId="023139BA" w:rsidR="00622850" w:rsidRPr="00CF25C0" w:rsidRDefault="00D91063" w:rsidP="00622850">
      <w:pPr>
        <w:rPr>
          <w:rFonts w:ascii="Garamond" w:hAnsi="Garamond"/>
          <w:sz w:val="26"/>
          <w:szCs w:val="26"/>
          <w:lang w:val="en-GB"/>
        </w:rPr>
      </w:pPr>
      <w:r w:rsidRPr="00CF25C0">
        <w:rPr>
          <w:rFonts w:ascii="Garamond" w:hAnsi="Garamond"/>
          <w:sz w:val="26"/>
          <w:szCs w:val="26"/>
          <w:lang w:val="en-GB"/>
        </w:rPr>
        <w:t xml:space="preserve">People, who </w:t>
      </w:r>
      <w:proofErr w:type="gramStart"/>
      <w:r w:rsidRPr="00CF25C0">
        <w:rPr>
          <w:rFonts w:ascii="Garamond" w:hAnsi="Garamond"/>
          <w:sz w:val="26"/>
          <w:szCs w:val="26"/>
          <w:lang w:val="en-GB"/>
        </w:rPr>
        <w:t>have been allotted</w:t>
      </w:r>
      <w:proofErr w:type="gramEnd"/>
      <w:r w:rsidRPr="00CF25C0">
        <w:rPr>
          <w:rFonts w:ascii="Garamond" w:hAnsi="Garamond"/>
          <w:sz w:val="26"/>
          <w:szCs w:val="26"/>
          <w:lang w:val="en-GB"/>
        </w:rPr>
        <w:t xml:space="preserve"> the right to the use of land in Greenland, ha</w:t>
      </w:r>
      <w:r w:rsidR="00623589" w:rsidRPr="00CF25C0">
        <w:rPr>
          <w:rFonts w:ascii="Garamond" w:hAnsi="Garamond"/>
          <w:sz w:val="26"/>
          <w:szCs w:val="26"/>
          <w:lang w:val="en-GB"/>
        </w:rPr>
        <w:t>ve</w:t>
      </w:r>
      <w:r w:rsidRPr="00CF25C0">
        <w:rPr>
          <w:rFonts w:ascii="Garamond" w:hAnsi="Garamond"/>
          <w:sz w:val="26"/>
          <w:szCs w:val="26"/>
          <w:lang w:val="en-GB"/>
        </w:rPr>
        <w:t xml:space="preserve"> the right to construct buildings </w:t>
      </w:r>
      <w:r w:rsidR="00623589" w:rsidRPr="00CF25C0">
        <w:rPr>
          <w:rFonts w:ascii="Garamond" w:hAnsi="Garamond"/>
          <w:sz w:val="26"/>
          <w:szCs w:val="26"/>
          <w:lang w:val="en-GB"/>
        </w:rPr>
        <w:t>in</w:t>
      </w:r>
      <w:r w:rsidRPr="00CF25C0">
        <w:rPr>
          <w:rFonts w:ascii="Garamond" w:hAnsi="Garamond"/>
          <w:sz w:val="26"/>
          <w:szCs w:val="26"/>
          <w:lang w:val="en-GB"/>
        </w:rPr>
        <w:t xml:space="preserve"> the allotted area. </w:t>
      </w:r>
      <w:r w:rsidR="00D10AC4" w:rsidRPr="00CF25C0">
        <w:rPr>
          <w:rFonts w:ascii="Garamond" w:hAnsi="Garamond"/>
          <w:sz w:val="26"/>
          <w:szCs w:val="26"/>
          <w:lang w:val="en-GB"/>
        </w:rPr>
        <w:t xml:space="preserve">Such </w:t>
      </w:r>
      <w:r w:rsidRPr="00CF25C0">
        <w:rPr>
          <w:rFonts w:ascii="Garamond" w:hAnsi="Garamond"/>
          <w:sz w:val="26"/>
          <w:szCs w:val="26"/>
          <w:lang w:val="en-GB"/>
        </w:rPr>
        <w:t xml:space="preserve">buildings may be subject to </w:t>
      </w:r>
      <w:proofErr w:type="gramStart"/>
      <w:r w:rsidRPr="00CF25C0">
        <w:rPr>
          <w:rFonts w:ascii="Garamond" w:hAnsi="Garamond"/>
          <w:sz w:val="26"/>
          <w:szCs w:val="26"/>
          <w:lang w:val="en-GB"/>
        </w:rPr>
        <w:t>mortgage and may – with the consent of the municipality – be bought</w:t>
      </w:r>
      <w:proofErr w:type="gramEnd"/>
      <w:r w:rsidRPr="00CF25C0">
        <w:rPr>
          <w:rFonts w:ascii="Garamond" w:hAnsi="Garamond"/>
          <w:sz w:val="26"/>
          <w:szCs w:val="26"/>
          <w:lang w:val="en-GB"/>
        </w:rPr>
        <w:t xml:space="preserve"> and transferred together with the right to the land use rights on which they are </w:t>
      </w:r>
      <w:r w:rsidR="00D10AC4" w:rsidRPr="00CF25C0">
        <w:rPr>
          <w:rFonts w:ascii="Garamond" w:hAnsi="Garamond"/>
          <w:sz w:val="26"/>
          <w:szCs w:val="26"/>
          <w:lang w:val="en-GB"/>
        </w:rPr>
        <w:t>based</w:t>
      </w:r>
      <w:r w:rsidRPr="00CF25C0">
        <w:rPr>
          <w:rFonts w:ascii="Garamond" w:hAnsi="Garamond"/>
          <w:sz w:val="26"/>
          <w:szCs w:val="26"/>
          <w:lang w:val="en-GB"/>
        </w:rPr>
        <w:t>. Th</w:t>
      </w:r>
      <w:r w:rsidR="00D10AC4" w:rsidRPr="00CF25C0">
        <w:rPr>
          <w:rFonts w:ascii="Garamond" w:hAnsi="Garamond"/>
          <w:sz w:val="26"/>
          <w:szCs w:val="26"/>
          <w:lang w:val="en-GB"/>
        </w:rPr>
        <w:t xml:space="preserve">is framework builds on </w:t>
      </w:r>
      <w:r w:rsidRPr="00CF25C0">
        <w:rPr>
          <w:rFonts w:ascii="Garamond" w:hAnsi="Garamond"/>
          <w:sz w:val="26"/>
          <w:szCs w:val="26"/>
          <w:lang w:val="en-GB"/>
        </w:rPr>
        <w:t xml:space="preserve">tradition, according to which it is not possible for individuals to obtain complete right of ownership of land in Greenland. This has historical roots in the Inuit culture, which </w:t>
      </w:r>
      <w:proofErr w:type="gramStart"/>
      <w:r w:rsidRPr="00CF25C0">
        <w:rPr>
          <w:rFonts w:ascii="Garamond" w:hAnsi="Garamond"/>
          <w:sz w:val="26"/>
          <w:szCs w:val="26"/>
          <w:lang w:val="en-GB"/>
        </w:rPr>
        <w:t>is reflected</w:t>
      </w:r>
      <w:proofErr w:type="gramEnd"/>
      <w:r w:rsidRPr="00CF25C0">
        <w:rPr>
          <w:rFonts w:ascii="Garamond" w:hAnsi="Garamond"/>
          <w:sz w:val="26"/>
          <w:szCs w:val="26"/>
          <w:lang w:val="en-GB"/>
        </w:rPr>
        <w:t xml:space="preserve"> into the modern Greenlandic society. </w:t>
      </w:r>
    </w:p>
    <w:p w14:paraId="1B356BCD" w14:textId="597BEC9D" w:rsidR="009E208A" w:rsidRPr="00CF25C0" w:rsidRDefault="00D91063" w:rsidP="00622850">
      <w:pPr>
        <w:rPr>
          <w:rFonts w:ascii="Garamond" w:hAnsi="Garamond"/>
          <w:sz w:val="26"/>
          <w:szCs w:val="26"/>
          <w:lang w:val="en-GB"/>
        </w:rPr>
      </w:pPr>
      <w:r w:rsidRPr="00CF25C0">
        <w:rPr>
          <w:rFonts w:ascii="Garamond" w:hAnsi="Garamond"/>
          <w:sz w:val="26"/>
          <w:szCs w:val="26"/>
          <w:lang w:val="en-GB"/>
        </w:rPr>
        <w:t xml:space="preserve">Should there be any doubt as to the right of ownership, the right to distribute or the right of use of </w:t>
      </w:r>
      <w:r w:rsidR="00781EDA">
        <w:rPr>
          <w:rFonts w:ascii="Garamond" w:hAnsi="Garamond"/>
          <w:sz w:val="26"/>
          <w:szCs w:val="26"/>
          <w:lang w:val="en-GB"/>
        </w:rPr>
        <w:t>l</w:t>
      </w:r>
      <w:r w:rsidRPr="00CF25C0">
        <w:rPr>
          <w:rFonts w:ascii="Garamond" w:hAnsi="Garamond"/>
          <w:sz w:val="26"/>
          <w:szCs w:val="26"/>
          <w:lang w:val="en-GB"/>
        </w:rPr>
        <w:t xml:space="preserve">and in Greenland, the courts </w:t>
      </w:r>
      <w:r w:rsidR="0084037E" w:rsidRPr="00CF25C0">
        <w:rPr>
          <w:rFonts w:ascii="Garamond" w:hAnsi="Garamond"/>
          <w:sz w:val="26"/>
          <w:szCs w:val="26"/>
          <w:lang w:val="en-GB"/>
        </w:rPr>
        <w:t xml:space="preserve">in Greenland </w:t>
      </w:r>
      <w:r w:rsidRPr="00CF25C0">
        <w:rPr>
          <w:rFonts w:ascii="Garamond" w:hAnsi="Garamond"/>
          <w:sz w:val="26"/>
          <w:szCs w:val="26"/>
          <w:lang w:val="en-GB"/>
        </w:rPr>
        <w:t xml:space="preserve">have jurisdiction to deal with these cases. </w:t>
      </w:r>
    </w:p>
    <w:p w14:paraId="6B755835" w14:textId="77777777" w:rsidR="00622850" w:rsidRPr="00CF25C0" w:rsidRDefault="00D91063" w:rsidP="00622850">
      <w:pPr>
        <w:rPr>
          <w:rFonts w:ascii="Garamond" w:hAnsi="Garamond"/>
          <w:sz w:val="26"/>
          <w:szCs w:val="26"/>
          <w:lang w:val="en-GB"/>
        </w:rPr>
      </w:pPr>
      <w:r w:rsidRPr="00CF25C0">
        <w:rPr>
          <w:rFonts w:ascii="Garamond" w:hAnsi="Garamond"/>
          <w:sz w:val="26"/>
          <w:szCs w:val="26"/>
          <w:lang w:val="en-GB"/>
        </w:rPr>
        <w:t xml:space="preserve">In addition, it </w:t>
      </w:r>
      <w:proofErr w:type="gramStart"/>
      <w:r w:rsidRPr="00CF25C0">
        <w:rPr>
          <w:rFonts w:ascii="Garamond" w:hAnsi="Garamond"/>
          <w:sz w:val="26"/>
          <w:szCs w:val="26"/>
          <w:lang w:val="en-GB"/>
        </w:rPr>
        <w:t>should be noted</w:t>
      </w:r>
      <w:proofErr w:type="gramEnd"/>
      <w:r w:rsidRPr="00CF25C0">
        <w:rPr>
          <w:rFonts w:ascii="Garamond" w:hAnsi="Garamond"/>
          <w:sz w:val="26"/>
          <w:szCs w:val="26"/>
          <w:lang w:val="en-GB"/>
        </w:rPr>
        <w:t xml:space="preserve"> that on 1 January 2010 Greenland took over the mineral resources area, which includes the exploration and use of mineral resources in Greenland. </w:t>
      </w:r>
    </w:p>
    <w:p w14:paraId="0FC5E710" w14:textId="77777777" w:rsidR="00622850" w:rsidRPr="00CF25C0" w:rsidRDefault="00D91063" w:rsidP="00622850">
      <w:pPr>
        <w:rPr>
          <w:rFonts w:ascii="Garamond" w:hAnsi="Garamond"/>
          <w:sz w:val="26"/>
          <w:szCs w:val="26"/>
          <w:lang w:val="en-GB"/>
        </w:rPr>
      </w:pPr>
      <w:r w:rsidRPr="00CF25C0">
        <w:rPr>
          <w:rFonts w:ascii="Garamond" w:hAnsi="Garamond"/>
          <w:sz w:val="26"/>
          <w:szCs w:val="26"/>
          <w:lang w:val="en-GB"/>
        </w:rPr>
        <w:t>The Mineral resource area is also</w:t>
      </w:r>
      <w:r w:rsidR="0084037E" w:rsidRPr="00CF25C0">
        <w:rPr>
          <w:rFonts w:ascii="Garamond" w:hAnsi="Garamond"/>
          <w:sz w:val="26"/>
          <w:szCs w:val="26"/>
          <w:lang w:val="en-GB"/>
        </w:rPr>
        <w:t xml:space="preserve"> a field</w:t>
      </w:r>
      <w:r w:rsidRPr="00CF25C0">
        <w:rPr>
          <w:rFonts w:ascii="Garamond" w:hAnsi="Garamond"/>
          <w:sz w:val="26"/>
          <w:szCs w:val="26"/>
          <w:lang w:val="en-GB"/>
        </w:rPr>
        <w:t xml:space="preserve">, where the right to land </w:t>
      </w:r>
      <w:r w:rsidR="00D10AC4" w:rsidRPr="00CF25C0">
        <w:rPr>
          <w:rFonts w:ascii="Garamond" w:hAnsi="Garamond"/>
          <w:sz w:val="26"/>
          <w:szCs w:val="26"/>
          <w:lang w:val="en-GB"/>
        </w:rPr>
        <w:t xml:space="preserve">plays </w:t>
      </w:r>
      <w:r w:rsidRPr="00CF25C0">
        <w:rPr>
          <w:rFonts w:ascii="Garamond" w:hAnsi="Garamond"/>
          <w:sz w:val="26"/>
          <w:szCs w:val="26"/>
          <w:lang w:val="en-GB"/>
        </w:rPr>
        <w:t xml:space="preserve">a key role. As </w:t>
      </w:r>
      <w:r w:rsidR="00C1310B" w:rsidRPr="00CF25C0">
        <w:rPr>
          <w:rFonts w:ascii="Garamond" w:hAnsi="Garamond"/>
          <w:sz w:val="26"/>
          <w:szCs w:val="26"/>
          <w:lang w:val="en-GB"/>
        </w:rPr>
        <w:t xml:space="preserve">land in Greenland </w:t>
      </w:r>
      <w:proofErr w:type="gramStart"/>
      <w:r w:rsidR="00C1310B" w:rsidRPr="00CF25C0">
        <w:rPr>
          <w:rFonts w:ascii="Garamond" w:hAnsi="Garamond"/>
          <w:sz w:val="26"/>
          <w:szCs w:val="26"/>
          <w:lang w:val="en-GB"/>
        </w:rPr>
        <w:t>is not</w:t>
      </w:r>
      <w:r w:rsidRPr="00CF25C0">
        <w:rPr>
          <w:rFonts w:ascii="Garamond" w:hAnsi="Garamond"/>
          <w:sz w:val="26"/>
          <w:szCs w:val="26"/>
          <w:lang w:val="en-GB"/>
        </w:rPr>
        <w:t xml:space="preserve"> own</w:t>
      </w:r>
      <w:r w:rsidR="00E67B55" w:rsidRPr="00CF25C0">
        <w:rPr>
          <w:rFonts w:ascii="Garamond" w:hAnsi="Garamond"/>
          <w:sz w:val="26"/>
          <w:szCs w:val="26"/>
          <w:lang w:val="en-GB"/>
        </w:rPr>
        <w:t>ed</w:t>
      </w:r>
      <w:proofErr w:type="gramEnd"/>
      <w:r w:rsidRPr="00CF25C0">
        <w:rPr>
          <w:rFonts w:ascii="Garamond" w:hAnsi="Garamond"/>
          <w:sz w:val="26"/>
          <w:szCs w:val="26"/>
          <w:lang w:val="en-GB"/>
        </w:rPr>
        <w:t xml:space="preserve">, the </w:t>
      </w:r>
      <w:r w:rsidR="00C1310B" w:rsidRPr="00CF25C0">
        <w:rPr>
          <w:rFonts w:ascii="Garamond" w:hAnsi="Garamond"/>
          <w:sz w:val="26"/>
          <w:szCs w:val="26"/>
          <w:lang w:val="en-GB"/>
        </w:rPr>
        <w:t>Government of Greenland</w:t>
      </w:r>
      <w:r w:rsidRPr="00CF25C0">
        <w:rPr>
          <w:rFonts w:ascii="Garamond" w:hAnsi="Garamond"/>
          <w:sz w:val="26"/>
          <w:szCs w:val="26"/>
          <w:lang w:val="en-GB"/>
        </w:rPr>
        <w:t xml:space="preserve"> ha</w:t>
      </w:r>
      <w:r w:rsidR="00C1310B" w:rsidRPr="00CF25C0">
        <w:rPr>
          <w:rFonts w:ascii="Garamond" w:hAnsi="Garamond"/>
          <w:sz w:val="26"/>
          <w:szCs w:val="26"/>
          <w:lang w:val="en-GB"/>
        </w:rPr>
        <w:t>s</w:t>
      </w:r>
      <w:r w:rsidRPr="00CF25C0">
        <w:rPr>
          <w:rFonts w:ascii="Garamond" w:hAnsi="Garamond"/>
          <w:sz w:val="26"/>
          <w:szCs w:val="26"/>
          <w:lang w:val="en-GB"/>
        </w:rPr>
        <w:t xml:space="preserve"> made it possible for companies and individuals to obtain an exclusive right to explore</w:t>
      </w:r>
      <w:r w:rsidR="00E67B55" w:rsidRPr="00CF25C0">
        <w:rPr>
          <w:rFonts w:ascii="Garamond" w:hAnsi="Garamond"/>
          <w:sz w:val="26"/>
          <w:szCs w:val="26"/>
          <w:lang w:val="en-GB"/>
        </w:rPr>
        <w:t xml:space="preserve"> or </w:t>
      </w:r>
      <w:r w:rsidRPr="00CF25C0">
        <w:rPr>
          <w:rFonts w:ascii="Garamond" w:hAnsi="Garamond"/>
          <w:sz w:val="26"/>
          <w:szCs w:val="26"/>
          <w:lang w:val="en-GB"/>
        </w:rPr>
        <w:t>exploit specific mineral</w:t>
      </w:r>
      <w:r w:rsidR="00E67B55" w:rsidRPr="00CF25C0">
        <w:rPr>
          <w:rFonts w:ascii="Garamond" w:hAnsi="Garamond"/>
          <w:sz w:val="26"/>
          <w:szCs w:val="26"/>
          <w:lang w:val="en-GB"/>
        </w:rPr>
        <w:t>(s)</w:t>
      </w:r>
      <w:r w:rsidRPr="00CF25C0">
        <w:rPr>
          <w:rFonts w:ascii="Garamond" w:hAnsi="Garamond"/>
          <w:sz w:val="26"/>
          <w:szCs w:val="26"/>
          <w:lang w:val="en-GB"/>
        </w:rPr>
        <w:t xml:space="preserve"> in an area</w:t>
      </w:r>
      <w:r w:rsidR="00C1310B" w:rsidRPr="00CF25C0">
        <w:rPr>
          <w:rFonts w:ascii="Garamond" w:hAnsi="Garamond"/>
          <w:sz w:val="26"/>
          <w:szCs w:val="26"/>
          <w:lang w:val="en-GB"/>
        </w:rPr>
        <w:t>.</w:t>
      </w:r>
      <w:r w:rsidRPr="00CF25C0">
        <w:rPr>
          <w:rFonts w:ascii="Garamond" w:hAnsi="Garamond"/>
          <w:sz w:val="26"/>
          <w:szCs w:val="26"/>
          <w:lang w:val="en-GB"/>
        </w:rPr>
        <w:t xml:space="preserve"> </w:t>
      </w:r>
      <w:r w:rsidR="00D10AC4" w:rsidRPr="00CF25C0">
        <w:rPr>
          <w:rFonts w:ascii="Garamond" w:hAnsi="Garamond"/>
          <w:sz w:val="26"/>
          <w:szCs w:val="26"/>
          <w:lang w:val="en-GB"/>
        </w:rPr>
        <w:t>W</w:t>
      </w:r>
      <w:r w:rsidRPr="00CF25C0">
        <w:rPr>
          <w:rFonts w:ascii="Garamond" w:hAnsi="Garamond"/>
          <w:sz w:val="26"/>
          <w:szCs w:val="26"/>
          <w:lang w:val="en-GB"/>
        </w:rPr>
        <w:t xml:space="preserve">ith the consent of the </w:t>
      </w:r>
      <w:r w:rsidR="00C1310B" w:rsidRPr="00CF25C0">
        <w:rPr>
          <w:rFonts w:ascii="Garamond" w:hAnsi="Garamond"/>
          <w:sz w:val="26"/>
          <w:szCs w:val="26"/>
          <w:lang w:val="en-GB"/>
        </w:rPr>
        <w:t xml:space="preserve">Government of </w:t>
      </w:r>
      <w:proofErr w:type="gramStart"/>
      <w:r w:rsidR="00C1310B" w:rsidRPr="00CF25C0">
        <w:rPr>
          <w:rFonts w:ascii="Garamond" w:hAnsi="Garamond"/>
          <w:sz w:val="26"/>
          <w:szCs w:val="26"/>
          <w:lang w:val="en-GB"/>
        </w:rPr>
        <w:t>Greenland</w:t>
      </w:r>
      <w:proofErr w:type="gramEnd"/>
      <w:r w:rsidR="00D10AC4" w:rsidRPr="00CF25C0">
        <w:rPr>
          <w:rFonts w:ascii="Garamond" w:hAnsi="Garamond"/>
          <w:sz w:val="26"/>
          <w:szCs w:val="26"/>
          <w:lang w:val="en-GB"/>
        </w:rPr>
        <w:t xml:space="preserve"> it is possible</w:t>
      </w:r>
      <w:r w:rsidRPr="00CF25C0">
        <w:rPr>
          <w:rFonts w:ascii="Garamond" w:hAnsi="Garamond"/>
          <w:sz w:val="26"/>
          <w:szCs w:val="26"/>
          <w:lang w:val="en-GB"/>
        </w:rPr>
        <w:t xml:space="preserve"> </w:t>
      </w:r>
      <w:r w:rsidR="00C1310B" w:rsidRPr="00CF25C0">
        <w:rPr>
          <w:rFonts w:ascii="Garamond" w:hAnsi="Garamond"/>
          <w:sz w:val="26"/>
          <w:szCs w:val="26"/>
          <w:lang w:val="en-GB"/>
        </w:rPr>
        <w:t xml:space="preserve">to </w:t>
      </w:r>
      <w:r w:rsidRPr="00CF25C0">
        <w:rPr>
          <w:rFonts w:ascii="Garamond" w:hAnsi="Garamond"/>
          <w:sz w:val="26"/>
          <w:szCs w:val="26"/>
          <w:lang w:val="en-GB"/>
        </w:rPr>
        <w:t xml:space="preserve">delineate certain parts of </w:t>
      </w:r>
      <w:r w:rsidR="00D10AC4" w:rsidRPr="00CF25C0">
        <w:rPr>
          <w:rFonts w:ascii="Garamond" w:hAnsi="Garamond"/>
          <w:sz w:val="26"/>
          <w:szCs w:val="26"/>
          <w:lang w:val="en-GB"/>
        </w:rPr>
        <w:t xml:space="preserve">such an </w:t>
      </w:r>
      <w:r w:rsidRPr="00CF25C0">
        <w:rPr>
          <w:rFonts w:ascii="Garamond" w:hAnsi="Garamond"/>
          <w:sz w:val="26"/>
          <w:szCs w:val="26"/>
          <w:lang w:val="en-GB"/>
        </w:rPr>
        <w:t>area for</w:t>
      </w:r>
      <w:r w:rsidR="007114DE" w:rsidRPr="00CF25C0">
        <w:rPr>
          <w:rFonts w:ascii="Garamond" w:hAnsi="Garamond"/>
          <w:sz w:val="26"/>
          <w:szCs w:val="26"/>
          <w:lang w:val="en-GB"/>
        </w:rPr>
        <w:t xml:space="preserve"> safety and</w:t>
      </w:r>
      <w:r w:rsidRPr="00CF25C0">
        <w:rPr>
          <w:rFonts w:ascii="Garamond" w:hAnsi="Garamond"/>
          <w:sz w:val="26"/>
          <w:szCs w:val="26"/>
          <w:lang w:val="en-GB"/>
        </w:rPr>
        <w:t xml:space="preserve"> security reasons. </w:t>
      </w:r>
    </w:p>
    <w:p w14:paraId="363E0364" w14:textId="77777777" w:rsidR="00920FA4" w:rsidRPr="00CF25C0" w:rsidRDefault="00920FA4" w:rsidP="00622850">
      <w:pPr>
        <w:rPr>
          <w:rFonts w:ascii="Garamond" w:hAnsi="Garamond"/>
          <w:sz w:val="26"/>
          <w:szCs w:val="26"/>
          <w:lang w:val="en-GB"/>
        </w:rPr>
      </w:pPr>
    </w:p>
    <w:sectPr w:rsidR="00920FA4" w:rsidRPr="00CF25C0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6A6F7" w14:textId="77777777" w:rsidR="00B34804" w:rsidRDefault="00B34804">
      <w:pPr>
        <w:spacing w:after="0" w:line="240" w:lineRule="auto"/>
      </w:pPr>
      <w:r>
        <w:separator/>
      </w:r>
    </w:p>
  </w:endnote>
  <w:endnote w:type="continuationSeparator" w:id="0">
    <w:p w14:paraId="1A4C452F" w14:textId="77777777" w:rsidR="00B34804" w:rsidRDefault="00B34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087BE" w14:textId="77777777" w:rsidR="00B34804" w:rsidRDefault="00B34804">
      <w:pPr>
        <w:spacing w:after="0" w:line="240" w:lineRule="auto"/>
      </w:pPr>
      <w:r>
        <w:separator/>
      </w:r>
    </w:p>
  </w:footnote>
  <w:footnote w:type="continuationSeparator" w:id="0">
    <w:p w14:paraId="238241A4" w14:textId="77777777" w:rsidR="00B34804" w:rsidRDefault="00B34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D1543" w14:textId="744D0A50" w:rsidR="00DC3219" w:rsidRPr="00DC3219" w:rsidRDefault="00A82FC1" w:rsidP="00DC3219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15 January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19"/>
    <w:rsid w:val="000113FA"/>
    <w:rsid w:val="00026A79"/>
    <w:rsid w:val="00036E28"/>
    <w:rsid w:val="0005112A"/>
    <w:rsid w:val="00092D6E"/>
    <w:rsid w:val="000C77D2"/>
    <w:rsid w:val="000D6561"/>
    <w:rsid w:val="000E673F"/>
    <w:rsid w:val="000F4CAE"/>
    <w:rsid w:val="000F7C4D"/>
    <w:rsid w:val="0010745B"/>
    <w:rsid w:val="00120299"/>
    <w:rsid w:val="00130503"/>
    <w:rsid w:val="001619FD"/>
    <w:rsid w:val="00163DEF"/>
    <w:rsid w:val="00185ED2"/>
    <w:rsid w:val="001C5C29"/>
    <w:rsid w:val="001E163E"/>
    <w:rsid w:val="002053DE"/>
    <w:rsid w:val="0025130A"/>
    <w:rsid w:val="002C7C25"/>
    <w:rsid w:val="002E0485"/>
    <w:rsid w:val="00302252"/>
    <w:rsid w:val="00316C42"/>
    <w:rsid w:val="003B2A99"/>
    <w:rsid w:val="003C3737"/>
    <w:rsid w:val="00417AB4"/>
    <w:rsid w:val="004413F5"/>
    <w:rsid w:val="004921EA"/>
    <w:rsid w:val="004F3154"/>
    <w:rsid w:val="00544D5E"/>
    <w:rsid w:val="005468C4"/>
    <w:rsid w:val="00553DE4"/>
    <w:rsid w:val="00565747"/>
    <w:rsid w:val="005848EF"/>
    <w:rsid w:val="00593C45"/>
    <w:rsid w:val="005B050C"/>
    <w:rsid w:val="00600755"/>
    <w:rsid w:val="00622850"/>
    <w:rsid w:val="00623589"/>
    <w:rsid w:val="00631F1E"/>
    <w:rsid w:val="0068116B"/>
    <w:rsid w:val="007009FB"/>
    <w:rsid w:val="007027D4"/>
    <w:rsid w:val="007069CB"/>
    <w:rsid w:val="007114DE"/>
    <w:rsid w:val="00720BB6"/>
    <w:rsid w:val="00767471"/>
    <w:rsid w:val="00781EDA"/>
    <w:rsid w:val="007A1D53"/>
    <w:rsid w:val="007C4767"/>
    <w:rsid w:val="007D2987"/>
    <w:rsid w:val="007E65B4"/>
    <w:rsid w:val="00806F07"/>
    <w:rsid w:val="00813E86"/>
    <w:rsid w:val="00831622"/>
    <w:rsid w:val="00831D1D"/>
    <w:rsid w:val="0084037E"/>
    <w:rsid w:val="00875620"/>
    <w:rsid w:val="008D172F"/>
    <w:rsid w:val="008F0397"/>
    <w:rsid w:val="008F1416"/>
    <w:rsid w:val="009009D8"/>
    <w:rsid w:val="00913C18"/>
    <w:rsid w:val="00920FA4"/>
    <w:rsid w:val="00996B17"/>
    <w:rsid w:val="0099705F"/>
    <w:rsid w:val="009A4474"/>
    <w:rsid w:val="009A5DED"/>
    <w:rsid w:val="009B02C1"/>
    <w:rsid w:val="009B3FE3"/>
    <w:rsid w:val="009E208A"/>
    <w:rsid w:val="009E7C7E"/>
    <w:rsid w:val="00A1586D"/>
    <w:rsid w:val="00A4562E"/>
    <w:rsid w:val="00A526A5"/>
    <w:rsid w:val="00A82FC1"/>
    <w:rsid w:val="00A91C7A"/>
    <w:rsid w:val="00A93AA7"/>
    <w:rsid w:val="00AA094C"/>
    <w:rsid w:val="00B0088D"/>
    <w:rsid w:val="00B01BA0"/>
    <w:rsid w:val="00B111FD"/>
    <w:rsid w:val="00B34804"/>
    <w:rsid w:val="00B55F9C"/>
    <w:rsid w:val="00B71419"/>
    <w:rsid w:val="00BA45A1"/>
    <w:rsid w:val="00BB15B6"/>
    <w:rsid w:val="00BB1D31"/>
    <w:rsid w:val="00BB4D4C"/>
    <w:rsid w:val="00BF0E8F"/>
    <w:rsid w:val="00C1064B"/>
    <w:rsid w:val="00C11DF2"/>
    <w:rsid w:val="00C1310B"/>
    <w:rsid w:val="00C13283"/>
    <w:rsid w:val="00C469B2"/>
    <w:rsid w:val="00C50945"/>
    <w:rsid w:val="00C52672"/>
    <w:rsid w:val="00CA1D66"/>
    <w:rsid w:val="00CC1A08"/>
    <w:rsid w:val="00CF25C0"/>
    <w:rsid w:val="00D04AC2"/>
    <w:rsid w:val="00D04B4A"/>
    <w:rsid w:val="00D10AC4"/>
    <w:rsid w:val="00D1359F"/>
    <w:rsid w:val="00D35C89"/>
    <w:rsid w:val="00D55084"/>
    <w:rsid w:val="00D67472"/>
    <w:rsid w:val="00D81641"/>
    <w:rsid w:val="00D91063"/>
    <w:rsid w:val="00DC3219"/>
    <w:rsid w:val="00E67B55"/>
    <w:rsid w:val="00E71432"/>
    <w:rsid w:val="00E755C6"/>
    <w:rsid w:val="00EE3774"/>
    <w:rsid w:val="00EE50A0"/>
    <w:rsid w:val="00F21961"/>
    <w:rsid w:val="00F32230"/>
    <w:rsid w:val="00F33A3E"/>
    <w:rsid w:val="00F4667A"/>
    <w:rsid w:val="00F54888"/>
    <w:rsid w:val="00F93ADB"/>
    <w:rsid w:val="00FF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AF5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2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219"/>
  </w:style>
  <w:style w:type="paragraph" w:styleId="Footer">
    <w:name w:val="footer"/>
    <w:basedOn w:val="Normal"/>
    <w:link w:val="FooterChar"/>
    <w:uiPriority w:val="99"/>
    <w:unhideWhenUsed/>
    <w:rsid w:val="00DC32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219"/>
  </w:style>
  <w:style w:type="character" w:styleId="CommentReference">
    <w:name w:val="annotation reference"/>
    <w:basedOn w:val="DefaultParagraphFont"/>
    <w:uiPriority w:val="99"/>
    <w:semiHidden/>
    <w:unhideWhenUsed/>
    <w:rsid w:val="00DC32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321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32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2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2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2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413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5F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3E745A-2595-4F1B-9AB8-9F944B0DF2F7}"/>
</file>

<file path=customXml/itemProps2.xml><?xml version="1.0" encoding="utf-8"?>
<ds:datastoreItem xmlns:ds="http://schemas.openxmlformats.org/officeDocument/2006/customXml" ds:itemID="{AF329956-CDED-4BC8-B01B-1D129C921CF0}"/>
</file>

<file path=customXml/itemProps3.xml><?xml version="1.0" encoding="utf-8"?>
<ds:datastoreItem xmlns:ds="http://schemas.openxmlformats.org/officeDocument/2006/customXml" ds:itemID="{99161D0A-EC5A-4DF1-B8C2-5650DE422B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4234</Characters>
  <Application>Microsoft Office Word</Application>
  <DocSecurity>4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2020-01-28T16:46:00Z</dcterms:created>
  <dcterms:modified xsi:type="dcterms:W3CDTF">2020-01-28T16:46:00Z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