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28582" w14:textId="77777777" w:rsidR="002A7A66" w:rsidRDefault="002A7A66" w:rsidP="002A7A66">
      <w:pPr>
        <w:spacing w:line="480" w:lineRule="auto"/>
        <w:ind w:left="360"/>
        <w:jc w:val="center"/>
        <w:rPr>
          <w:rFonts w:ascii="Times New Roman" w:hAnsi="Times New Roman" w:cs="Times New Roman"/>
          <w:b/>
        </w:rPr>
      </w:pPr>
      <w:bookmarkStart w:id="0" w:name="_GoBack"/>
      <w:bookmarkEnd w:id="0"/>
    </w:p>
    <w:p w14:paraId="0DB20A2A" w14:textId="77777777" w:rsidR="00596ADD" w:rsidRDefault="002A7A66" w:rsidP="002A7A66">
      <w:pPr>
        <w:pStyle w:val="Corpo"/>
        <w:jc w:val="center"/>
        <w:rPr>
          <w:rFonts w:ascii="Times New Roman" w:hAnsi="Times New Roman" w:cs="Times New Roman"/>
          <w:b/>
          <w:color w:val="auto"/>
          <w:sz w:val="24"/>
          <w:szCs w:val="24"/>
          <w:lang w:val="en-GB"/>
        </w:rPr>
      </w:pPr>
      <w:r w:rsidRPr="002A7A66">
        <w:rPr>
          <w:rFonts w:ascii="Times New Roman" w:hAnsi="Times New Roman" w:cs="Times New Roman"/>
          <w:b/>
          <w:color w:val="auto"/>
          <w:sz w:val="24"/>
          <w:szCs w:val="24"/>
          <w:lang w:val="en-GB"/>
        </w:rPr>
        <w:t>Challenges and good practices of obtaining a right to demarcation, including self-demarcation by indigenous peoples, and titling.</w:t>
      </w:r>
    </w:p>
    <w:p w14:paraId="5D645491" w14:textId="023CB3FF" w:rsidR="003D502D" w:rsidRDefault="003D502D" w:rsidP="002A7A66">
      <w:pPr>
        <w:pStyle w:val="Corpo"/>
        <w:jc w:val="center"/>
        <w:rPr>
          <w:rFonts w:ascii="Times New Roman" w:hAnsi="Times New Roman" w:cs="Times New Roman"/>
          <w:b/>
          <w:color w:val="auto"/>
          <w:sz w:val="24"/>
          <w:szCs w:val="24"/>
          <w:lang w:val="en-GB"/>
        </w:rPr>
      </w:pPr>
      <w:r>
        <w:rPr>
          <w:rFonts w:ascii="Times New Roman" w:hAnsi="Times New Roman" w:cs="Times New Roman"/>
          <w:b/>
          <w:color w:val="auto"/>
          <w:sz w:val="24"/>
          <w:szCs w:val="24"/>
          <w:lang w:val="en-GB"/>
        </w:rPr>
        <w:t>Elifuraha Laltaika,</w:t>
      </w:r>
    </w:p>
    <w:p w14:paraId="6D0D3416" w14:textId="77777777" w:rsidR="003D502D" w:rsidRDefault="003D502D" w:rsidP="002A7A66">
      <w:pPr>
        <w:pStyle w:val="Corpo"/>
        <w:jc w:val="center"/>
        <w:rPr>
          <w:rFonts w:ascii="Times New Roman" w:hAnsi="Times New Roman" w:cs="Times New Roman"/>
          <w:b/>
          <w:color w:val="auto"/>
          <w:sz w:val="24"/>
          <w:szCs w:val="24"/>
          <w:lang w:val="en-GB"/>
        </w:rPr>
      </w:pPr>
      <w:r>
        <w:rPr>
          <w:rFonts w:ascii="Times New Roman" w:hAnsi="Times New Roman" w:cs="Times New Roman"/>
          <w:b/>
          <w:color w:val="auto"/>
          <w:sz w:val="24"/>
          <w:szCs w:val="24"/>
          <w:lang w:val="en-GB"/>
        </w:rPr>
        <w:t>University of Pretoria, South Africa</w:t>
      </w:r>
    </w:p>
    <w:p w14:paraId="2E942209" w14:textId="77777777" w:rsidR="003D502D" w:rsidRPr="002A7A66" w:rsidRDefault="003D502D" w:rsidP="002A7A66">
      <w:pPr>
        <w:pStyle w:val="Corpo"/>
        <w:jc w:val="center"/>
        <w:rPr>
          <w:rFonts w:ascii="Times New Roman" w:hAnsi="Times New Roman" w:cs="Times New Roman"/>
          <w:b/>
          <w:color w:val="auto"/>
          <w:sz w:val="24"/>
          <w:szCs w:val="24"/>
          <w:lang w:val="en-GB"/>
        </w:rPr>
      </w:pPr>
      <w:r>
        <w:rPr>
          <w:rFonts w:ascii="Times New Roman" w:hAnsi="Times New Roman" w:cs="Times New Roman"/>
          <w:b/>
          <w:color w:val="auto"/>
          <w:sz w:val="24"/>
          <w:szCs w:val="24"/>
          <w:lang w:val="en-GB"/>
        </w:rPr>
        <w:t xml:space="preserve">September </w:t>
      </w:r>
      <w:r w:rsidR="004A0027">
        <w:rPr>
          <w:rFonts w:ascii="Times New Roman" w:hAnsi="Times New Roman" w:cs="Times New Roman"/>
          <w:b/>
          <w:color w:val="auto"/>
          <w:sz w:val="24"/>
          <w:szCs w:val="24"/>
          <w:lang w:val="en-GB"/>
        </w:rPr>
        <w:t>30</w:t>
      </w:r>
      <w:r w:rsidR="004A0027" w:rsidRPr="003D502D">
        <w:rPr>
          <w:rFonts w:ascii="Times New Roman" w:hAnsi="Times New Roman" w:cs="Times New Roman"/>
          <w:b/>
          <w:color w:val="auto"/>
          <w:sz w:val="24"/>
          <w:szCs w:val="24"/>
          <w:vertAlign w:val="superscript"/>
          <w:lang w:val="en-GB"/>
        </w:rPr>
        <w:t>th</w:t>
      </w:r>
      <w:r w:rsidR="004A0027">
        <w:rPr>
          <w:rFonts w:ascii="Times New Roman" w:hAnsi="Times New Roman" w:cs="Times New Roman"/>
          <w:b/>
          <w:color w:val="auto"/>
          <w:sz w:val="24"/>
          <w:szCs w:val="24"/>
          <w:lang w:val="en-GB"/>
        </w:rPr>
        <w:t>,</w:t>
      </w:r>
      <w:r>
        <w:rPr>
          <w:rFonts w:ascii="Times New Roman" w:hAnsi="Times New Roman" w:cs="Times New Roman"/>
          <w:b/>
          <w:color w:val="auto"/>
          <w:sz w:val="24"/>
          <w:szCs w:val="24"/>
          <w:lang w:val="en-GB"/>
        </w:rPr>
        <w:t xml:space="preserve"> 2019 </w:t>
      </w:r>
    </w:p>
    <w:p w14:paraId="03EA786F" w14:textId="77777777" w:rsidR="002A7A66" w:rsidRPr="002A7A66" w:rsidRDefault="002A7A66" w:rsidP="002A7A66">
      <w:pPr>
        <w:pStyle w:val="Corpo"/>
        <w:rPr>
          <w:rFonts w:ascii="Times New Roman" w:hAnsi="Times New Roman" w:cs="Times New Roman"/>
          <w:b/>
          <w:color w:val="auto"/>
          <w:sz w:val="24"/>
          <w:szCs w:val="24"/>
          <w:lang w:val="en-GB"/>
        </w:rPr>
      </w:pPr>
    </w:p>
    <w:p w14:paraId="551AE089" w14:textId="77777777" w:rsidR="00154A46" w:rsidRPr="00154A46" w:rsidRDefault="002A7A66" w:rsidP="00154A46">
      <w:pPr>
        <w:pStyle w:val="Corpo"/>
        <w:numPr>
          <w:ilvl w:val="0"/>
          <w:numId w:val="15"/>
        </w:numPr>
        <w:rPr>
          <w:rFonts w:ascii="Times New Roman" w:hAnsi="Times New Roman" w:cs="Times New Roman"/>
          <w:b/>
          <w:color w:val="auto"/>
          <w:sz w:val="24"/>
          <w:szCs w:val="24"/>
          <w:lang w:val="en-GB"/>
        </w:rPr>
      </w:pPr>
      <w:r w:rsidRPr="002A7A66">
        <w:rPr>
          <w:rFonts w:ascii="Times New Roman" w:hAnsi="Times New Roman" w:cs="Times New Roman"/>
          <w:b/>
          <w:color w:val="auto"/>
          <w:sz w:val="24"/>
          <w:szCs w:val="24"/>
          <w:lang w:val="en-GB"/>
        </w:rPr>
        <w:t xml:space="preserve">Framing the discussion: </w:t>
      </w:r>
      <w:r w:rsidRPr="002A7A66">
        <w:rPr>
          <w:rFonts w:ascii="Times New Roman" w:hAnsi="Times New Roman" w:cs="Times New Roman"/>
          <w:b/>
        </w:rPr>
        <w:t xml:space="preserve">Elements of traditional/Collective resource management </w:t>
      </w:r>
    </w:p>
    <w:p w14:paraId="0324DA0A" w14:textId="7846DAB0" w:rsidR="00154A46" w:rsidRPr="00154A46" w:rsidRDefault="00154A46" w:rsidP="00154A46">
      <w:pPr>
        <w:pStyle w:val="ListParagraph"/>
        <w:numPr>
          <w:ilvl w:val="0"/>
          <w:numId w:val="2"/>
        </w:numPr>
        <w:spacing w:line="480" w:lineRule="auto"/>
        <w:rPr>
          <w:rFonts w:ascii="Times New Roman" w:hAnsi="Times New Roman" w:cs="Times New Roman"/>
        </w:rPr>
      </w:pPr>
      <w:r w:rsidRPr="004726E4">
        <w:rPr>
          <w:rFonts w:ascii="Times New Roman" w:hAnsi="Times New Roman" w:cs="Times New Roman"/>
        </w:rPr>
        <w:t xml:space="preserve">Access to land resources is obtained through community </w:t>
      </w:r>
      <w:r w:rsidR="00A96B21">
        <w:rPr>
          <w:rFonts w:ascii="Times New Roman" w:hAnsi="Times New Roman" w:cs="Times New Roman"/>
        </w:rPr>
        <w:t xml:space="preserve">membership, not the free market. </w:t>
      </w:r>
    </w:p>
    <w:p w14:paraId="37CD652F" w14:textId="77777777" w:rsidR="002A7A66" w:rsidRDefault="002A7A66" w:rsidP="002A7A66">
      <w:pPr>
        <w:pStyle w:val="ListParagraph"/>
        <w:numPr>
          <w:ilvl w:val="0"/>
          <w:numId w:val="2"/>
        </w:numPr>
        <w:spacing w:line="480" w:lineRule="auto"/>
        <w:rPr>
          <w:rFonts w:ascii="Times New Roman" w:hAnsi="Times New Roman" w:cs="Times New Roman"/>
        </w:rPr>
      </w:pPr>
      <w:r w:rsidRPr="004726E4">
        <w:rPr>
          <w:rFonts w:ascii="Times New Roman" w:hAnsi="Times New Roman" w:cs="Times New Roman"/>
        </w:rPr>
        <w:t xml:space="preserve">Access rights are trans-generational hence carry an obligation of stewardship for the benefit of present and future members of the community. </w:t>
      </w:r>
    </w:p>
    <w:p w14:paraId="5DAF94B7" w14:textId="77777777" w:rsidR="002A7A66" w:rsidRDefault="002A7A66" w:rsidP="002A7A66">
      <w:pPr>
        <w:pStyle w:val="ListParagraph"/>
        <w:numPr>
          <w:ilvl w:val="0"/>
          <w:numId w:val="2"/>
        </w:numPr>
        <w:spacing w:line="480" w:lineRule="auto"/>
        <w:rPr>
          <w:rFonts w:ascii="Times New Roman" w:hAnsi="Times New Roman" w:cs="Times New Roman"/>
        </w:rPr>
      </w:pPr>
      <w:r w:rsidRPr="004726E4">
        <w:rPr>
          <w:rFonts w:ascii="Times New Roman" w:hAnsi="Times New Roman" w:cs="Times New Roman"/>
          <w:highlight w:val="green"/>
        </w:rPr>
        <w:t>Holistic approach</w:t>
      </w:r>
      <w:r w:rsidRPr="004726E4">
        <w:rPr>
          <w:rFonts w:ascii="Times New Roman" w:hAnsi="Times New Roman" w:cs="Times New Roman"/>
        </w:rPr>
        <w:t xml:space="preserve"> towards managing and utilizing the various products and services which nature provide.  Highly dependent on the environment, hence the local environment is not seen as dispensable. </w:t>
      </w:r>
    </w:p>
    <w:p w14:paraId="33E91CC1" w14:textId="51409B0E" w:rsidR="002A7A66" w:rsidRDefault="002A7A66" w:rsidP="002A7A66">
      <w:pPr>
        <w:pStyle w:val="ListParagraph"/>
        <w:numPr>
          <w:ilvl w:val="0"/>
          <w:numId w:val="2"/>
        </w:numPr>
        <w:spacing w:line="480" w:lineRule="auto"/>
        <w:rPr>
          <w:rFonts w:ascii="Times New Roman" w:hAnsi="Times New Roman" w:cs="Times New Roman"/>
        </w:rPr>
      </w:pPr>
      <w:r w:rsidRPr="002A7A66">
        <w:rPr>
          <w:rFonts w:ascii="Times New Roman" w:hAnsi="Times New Roman" w:cs="Times New Roman"/>
        </w:rPr>
        <w:t xml:space="preserve">By combining these various elements, indigenous </w:t>
      </w:r>
      <w:r w:rsidR="00A96B21">
        <w:rPr>
          <w:rFonts w:ascii="Times New Roman" w:hAnsi="Times New Roman" w:cs="Times New Roman"/>
        </w:rPr>
        <w:t xml:space="preserve">peoples </w:t>
      </w:r>
      <w:r w:rsidRPr="002A7A66">
        <w:rPr>
          <w:rFonts w:ascii="Times New Roman" w:hAnsi="Times New Roman" w:cs="Times New Roman"/>
        </w:rPr>
        <w:t xml:space="preserve">have developed </w:t>
      </w:r>
      <w:r w:rsidRPr="002A7A66">
        <w:rPr>
          <w:rFonts w:ascii="Times New Roman" w:hAnsi="Times New Roman" w:cs="Times New Roman"/>
          <w:highlight w:val="green"/>
        </w:rPr>
        <w:t>rules, beliefs and practices, which achieve sustainable resources use within fragile environments</w:t>
      </w:r>
      <w:r w:rsidRPr="002A7A66">
        <w:rPr>
          <w:rFonts w:ascii="Times New Roman" w:hAnsi="Times New Roman" w:cs="Times New Roman"/>
        </w:rPr>
        <w:t xml:space="preserve">, responsive to community values and processes. </w:t>
      </w:r>
      <w:r w:rsidR="003D502D">
        <w:rPr>
          <w:rFonts w:ascii="Times New Roman" w:hAnsi="Times New Roman" w:cs="Times New Roman"/>
        </w:rPr>
        <w:t xml:space="preserve"> </w:t>
      </w:r>
    </w:p>
    <w:p w14:paraId="1100DDA6" w14:textId="77777777" w:rsidR="003D502D" w:rsidRPr="002A7A66" w:rsidRDefault="003D502D" w:rsidP="002A7A66">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This landholding system has been dubbed customary tenure or traditional occupancy. </w:t>
      </w:r>
    </w:p>
    <w:p w14:paraId="6943F25C" w14:textId="77777777" w:rsidR="002A7A66" w:rsidRDefault="002A7A66" w:rsidP="002A7A66">
      <w:pPr>
        <w:pStyle w:val="ListParagraph"/>
        <w:numPr>
          <w:ilvl w:val="0"/>
          <w:numId w:val="15"/>
        </w:numPr>
        <w:spacing w:line="480" w:lineRule="auto"/>
        <w:rPr>
          <w:rFonts w:ascii="Times New Roman" w:hAnsi="Times New Roman" w:cs="Times New Roman"/>
          <w:b/>
        </w:rPr>
      </w:pPr>
      <w:r w:rsidRPr="002A7A66">
        <w:rPr>
          <w:rFonts w:ascii="Times New Roman" w:hAnsi="Times New Roman" w:cs="Times New Roman"/>
          <w:b/>
        </w:rPr>
        <w:t xml:space="preserve">The pigeonhole of western legal thought: whatever doesn’t fit the western legal description is not legal.  </w:t>
      </w:r>
    </w:p>
    <w:p w14:paraId="3F28D1A1" w14:textId="77777777" w:rsidR="005463A1" w:rsidRPr="005463A1" w:rsidRDefault="005463A1" w:rsidP="005463A1">
      <w:pPr>
        <w:spacing w:line="480" w:lineRule="auto"/>
        <w:rPr>
          <w:rFonts w:ascii="Times New Roman" w:hAnsi="Times New Roman" w:cs="Times New Roman"/>
          <w:b/>
        </w:rPr>
      </w:pPr>
    </w:p>
    <w:p w14:paraId="6EB59114" w14:textId="36401B9A" w:rsidR="002A7A66" w:rsidRPr="004726E4" w:rsidRDefault="002A7A66" w:rsidP="002A7A66">
      <w:pPr>
        <w:pStyle w:val="ListParagraph"/>
        <w:numPr>
          <w:ilvl w:val="0"/>
          <w:numId w:val="16"/>
        </w:numPr>
        <w:spacing w:line="480" w:lineRule="auto"/>
        <w:rPr>
          <w:rFonts w:ascii="Times New Roman" w:hAnsi="Times New Roman" w:cs="Times New Roman"/>
        </w:rPr>
      </w:pPr>
      <w:r>
        <w:rPr>
          <w:rFonts w:ascii="Times New Roman" w:hAnsi="Times New Roman" w:cs="Times New Roman"/>
        </w:rPr>
        <w:t>Customary tenure</w:t>
      </w:r>
      <w:r w:rsidRPr="004726E4">
        <w:rPr>
          <w:rFonts w:ascii="Times New Roman" w:hAnsi="Times New Roman" w:cs="Times New Roman"/>
        </w:rPr>
        <w:t xml:space="preserve"> </w:t>
      </w:r>
      <w:r w:rsidR="00A6493D">
        <w:rPr>
          <w:rFonts w:ascii="Times New Roman" w:hAnsi="Times New Roman" w:cs="Times New Roman"/>
        </w:rPr>
        <w:t xml:space="preserve">rights </w:t>
      </w:r>
      <w:r w:rsidR="00A6493D" w:rsidRPr="004726E4">
        <w:rPr>
          <w:rFonts w:ascii="Times New Roman" w:hAnsi="Times New Roman" w:cs="Times New Roman"/>
        </w:rPr>
        <w:t>were</w:t>
      </w:r>
      <w:r w:rsidRPr="004726E4">
        <w:rPr>
          <w:rFonts w:ascii="Times New Roman" w:hAnsi="Times New Roman" w:cs="Times New Roman"/>
        </w:rPr>
        <w:t xml:space="preserve"> made residual </w:t>
      </w:r>
      <w:r w:rsidR="00A96B21">
        <w:rPr>
          <w:rFonts w:ascii="Times New Roman" w:hAnsi="Times New Roman" w:cs="Times New Roman"/>
        </w:rPr>
        <w:t xml:space="preserve">and less important compared to rights granted by the state as symbolized by the issuance of a paper. </w:t>
      </w:r>
    </w:p>
    <w:p w14:paraId="468BAE6A" w14:textId="77777777" w:rsidR="002A7A66" w:rsidRPr="004726E4" w:rsidRDefault="002A7A66" w:rsidP="002A7A66">
      <w:pPr>
        <w:pStyle w:val="ListParagraph"/>
        <w:numPr>
          <w:ilvl w:val="0"/>
          <w:numId w:val="16"/>
        </w:numPr>
        <w:spacing w:line="480" w:lineRule="auto"/>
        <w:rPr>
          <w:rFonts w:ascii="Times New Roman" w:hAnsi="Times New Roman" w:cs="Times New Roman"/>
        </w:rPr>
      </w:pPr>
      <w:r>
        <w:rPr>
          <w:rFonts w:ascii="Times New Roman" w:hAnsi="Times New Roman" w:cs="Times New Roman"/>
        </w:rPr>
        <w:lastRenderedPageBreak/>
        <w:t xml:space="preserve">Strongly held to be </w:t>
      </w:r>
      <w:r w:rsidRPr="004726E4">
        <w:rPr>
          <w:rFonts w:ascii="Times New Roman" w:hAnsi="Times New Roman" w:cs="Times New Roman"/>
        </w:rPr>
        <w:t>merely a s</w:t>
      </w:r>
      <w:r>
        <w:rPr>
          <w:rFonts w:ascii="Times New Roman" w:hAnsi="Times New Roman" w:cs="Times New Roman"/>
        </w:rPr>
        <w:t>tage in the evolution</w:t>
      </w:r>
      <w:r w:rsidR="003D502D">
        <w:rPr>
          <w:rFonts w:ascii="Times New Roman" w:hAnsi="Times New Roman" w:cs="Times New Roman"/>
        </w:rPr>
        <w:t xml:space="preserve">, with a belief that holders would transition to a less “savage” system. </w:t>
      </w:r>
      <w:r w:rsidRPr="004726E4">
        <w:rPr>
          <w:rFonts w:ascii="Times New Roman" w:hAnsi="Times New Roman" w:cs="Times New Roman"/>
        </w:rPr>
        <w:t xml:space="preserve"> </w:t>
      </w:r>
    </w:p>
    <w:p w14:paraId="77AF05FA" w14:textId="48CA5AA2" w:rsidR="002A7A66" w:rsidRPr="004726E4" w:rsidRDefault="002A7A66" w:rsidP="002A7A66">
      <w:pPr>
        <w:pStyle w:val="ListParagraph"/>
        <w:numPr>
          <w:ilvl w:val="0"/>
          <w:numId w:val="16"/>
        </w:numPr>
        <w:spacing w:line="480" w:lineRule="auto"/>
        <w:rPr>
          <w:rFonts w:ascii="Times New Roman" w:hAnsi="Times New Roman" w:cs="Times New Roman"/>
        </w:rPr>
      </w:pPr>
      <w:r w:rsidRPr="004726E4">
        <w:rPr>
          <w:rFonts w:ascii="Times New Roman" w:hAnsi="Times New Roman" w:cs="Times New Roman"/>
        </w:rPr>
        <w:t xml:space="preserve">Suppression of customary </w:t>
      </w:r>
      <w:r>
        <w:rPr>
          <w:rFonts w:ascii="Times New Roman" w:hAnsi="Times New Roman" w:cs="Times New Roman"/>
        </w:rPr>
        <w:t>tenure had its roots</w:t>
      </w:r>
      <w:r w:rsidRPr="004726E4">
        <w:rPr>
          <w:rFonts w:ascii="Times New Roman" w:hAnsi="Times New Roman" w:cs="Times New Roman"/>
        </w:rPr>
        <w:t xml:space="preserve"> in the supremacist ideology in which the entire colonial edifice was built. </w:t>
      </w:r>
      <w:r w:rsidR="00A6493D">
        <w:rPr>
          <w:rFonts w:ascii="Times New Roman" w:hAnsi="Times New Roman" w:cs="Times New Roman"/>
        </w:rPr>
        <w:t xml:space="preserve">Most </w:t>
      </w:r>
      <w:r w:rsidR="003D502D">
        <w:rPr>
          <w:rFonts w:ascii="Times New Roman" w:hAnsi="Times New Roman" w:cs="Times New Roman"/>
        </w:rPr>
        <w:t xml:space="preserve">Independent </w:t>
      </w:r>
      <w:r w:rsidR="00A6493D">
        <w:rPr>
          <w:rFonts w:ascii="Times New Roman" w:hAnsi="Times New Roman" w:cs="Times New Roman"/>
        </w:rPr>
        <w:t xml:space="preserve">African </w:t>
      </w:r>
      <w:r w:rsidR="003D502D">
        <w:rPr>
          <w:rFonts w:ascii="Times New Roman" w:hAnsi="Times New Roman" w:cs="Times New Roman"/>
        </w:rPr>
        <w:t>governments perpetuated this attitude</w:t>
      </w:r>
      <w:r w:rsidR="00A6493D">
        <w:rPr>
          <w:rFonts w:ascii="Times New Roman" w:hAnsi="Times New Roman" w:cs="Times New Roman"/>
        </w:rPr>
        <w:t xml:space="preserve"> and backed it up with the law</w:t>
      </w:r>
      <w:r w:rsidR="003D502D">
        <w:rPr>
          <w:rFonts w:ascii="Times New Roman" w:hAnsi="Times New Roman" w:cs="Times New Roman"/>
        </w:rPr>
        <w:t xml:space="preserve">. </w:t>
      </w:r>
    </w:p>
    <w:p w14:paraId="10853020" w14:textId="6DABB9CC" w:rsidR="002A7A66" w:rsidRPr="004726E4" w:rsidRDefault="002A7A66" w:rsidP="002A7A66">
      <w:pPr>
        <w:pStyle w:val="ListParagraph"/>
        <w:numPr>
          <w:ilvl w:val="0"/>
          <w:numId w:val="16"/>
        </w:numPr>
        <w:spacing w:line="480" w:lineRule="auto"/>
        <w:rPr>
          <w:rFonts w:ascii="Times New Roman" w:hAnsi="Times New Roman" w:cs="Times New Roman"/>
        </w:rPr>
      </w:pPr>
      <w:r w:rsidRPr="004726E4">
        <w:rPr>
          <w:rFonts w:ascii="Times New Roman" w:hAnsi="Times New Roman" w:cs="Times New Roman"/>
        </w:rPr>
        <w:t>Re: patronizing attitude “saving pastoralists from themselves for their own good</w:t>
      </w:r>
      <w:r w:rsidR="00A6493D">
        <w:rPr>
          <w:rFonts w:ascii="Times New Roman" w:hAnsi="Times New Roman" w:cs="Times New Roman"/>
        </w:rPr>
        <w:t>.” This is clearly reflected in documents such as</w:t>
      </w:r>
      <w:r w:rsidRPr="004726E4">
        <w:rPr>
          <w:rFonts w:ascii="Times New Roman" w:hAnsi="Times New Roman" w:cs="Times New Roman"/>
        </w:rPr>
        <w:t xml:space="preserve"> the SPILL </w:t>
      </w:r>
      <w:r w:rsidR="004A0027">
        <w:rPr>
          <w:rFonts w:ascii="Times New Roman" w:hAnsi="Times New Roman" w:cs="Times New Roman"/>
        </w:rPr>
        <w:t xml:space="preserve">(Strategic plan for the implementation of land laws-Tanzania). </w:t>
      </w:r>
    </w:p>
    <w:p w14:paraId="6093E91B" w14:textId="77777777" w:rsidR="002A7A66" w:rsidRPr="004726E4" w:rsidRDefault="004A0027" w:rsidP="002A7A66">
      <w:pPr>
        <w:pStyle w:val="ListParagraph"/>
        <w:numPr>
          <w:ilvl w:val="0"/>
          <w:numId w:val="16"/>
        </w:numPr>
        <w:spacing w:line="480" w:lineRule="auto"/>
        <w:rPr>
          <w:rFonts w:ascii="Times New Roman" w:hAnsi="Times New Roman" w:cs="Times New Roman"/>
        </w:rPr>
      </w:pPr>
      <w:r>
        <w:rPr>
          <w:rFonts w:ascii="Times New Roman" w:hAnsi="Times New Roman" w:cs="Times New Roman"/>
        </w:rPr>
        <w:t xml:space="preserve">In the course of pigeonholing, </w:t>
      </w:r>
      <w:r w:rsidR="002A7A66" w:rsidRPr="004726E4">
        <w:rPr>
          <w:rFonts w:ascii="Times New Roman" w:hAnsi="Times New Roman" w:cs="Times New Roman"/>
        </w:rPr>
        <w:t>Dual frameworks</w:t>
      </w:r>
      <w:r>
        <w:rPr>
          <w:rFonts w:ascii="Times New Roman" w:hAnsi="Times New Roman" w:cs="Times New Roman"/>
        </w:rPr>
        <w:t xml:space="preserve"> created</w:t>
      </w:r>
      <w:r w:rsidR="002A7A66" w:rsidRPr="004726E4">
        <w:rPr>
          <w:rFonts w:ascii="Times New Roman" w:hAnsi="Times New Roman" w:cs="Times New Roman"/>
        </w:rPr>
        <w:t>: formal legislative and informa</w:t>
      </w:r>
      <w:r>
        <w:rPr>
          <w:rFonts w:ascii="Times New Roman" w:hAnsi="Times New Roman" w:cs="Times New Roman"/>
        </w:rPr>
        <w:t xml:space="preserve">l customary norms and practices. </w:t>
      </w:r>
    </w:p>
    <w:p w14:paraId="25629477" w14:textId="77777777" w:rsidR="002A7A66" w:rsidRPr="004A0027" w:rsidRDefault="002A7A66" w:rsidP="004A0027">
      <w:pPr>
        <w:pStyle w:val="ListParagraph"/>
        <w:numPr>
          <w:ilvl w:val="0"/>
          <w:numId w:val="16"/>
        </w:numPr>
        <w:spacing w:line="480" w:lineRule="auto"/>
        <w:rPr>
          <w:rFonts w:ascii="Times New Roman" w:hAnsi="Times New Roman" w:cs="Times New Roman"/>
        </w:rPr>
      </w:pPr>
      <w:r w:rsidRPr="004726E4">
        <w:rPr>
          <w:rFonts w:ascii="Times New Roman" w:hAnsi="Times New Roman" w:cs="Times New Roman"/>
        </w:rPr>
        <w:t xml:space="preserve">Formal legislative: created landless pastoralists and </w:t>
      </w:r>
      <w:r w:rsidRPr="004A0027">
        <w:rPr>
          <w:rFonts w:ascii="Times New Roman" w:hAnsi="Times New Roman" w:cs="Times New Roman"/>
        </w:rPr>
        <w:t>Restricted women’s access to natural resources important for family welfare, such as medicinal plants, fuel wood and water points.</w:t>
      </w:r>
    </w:p>
    <w:p w14:paraId="51E66309" w14:textId="77777777" w:rsidR="002A7A66" w:rsidRPr="002A7A66" w:rsidRDefault="002A0D62" w:rsidP="002A7A66">
      <w:pPr>
        <w:pStyle w:val="ListParagraph"/>
        <w:numPr>
          <w:ilvl w:val="0"/>
          <w:numId w:val="15"/>
        </w:numPr>
        <w:spacing w:line="480" w:lineRule="auto"/>
        <w:rPr>
          <w:rFonts w:ascii="Times New Roman" w:hAnsi="Times New Roman" w:cs="Times New Roman"/>
        </w:rPr>
      </w:pPr>
      <w:r>
        <w:rPr>
          <w:rFonts w:ascii="Times New Roman" w:hAnsi="Times New Roman" w:cs="Times New Roman"/>
          <w:b/>
          <w:lang w:val="en-GB"/>
        </w:rPr>
        <w:t>D</w:t>
      </w:r>
      <w:r w:rsidRPr="002A7A66">
        <w:rPr>
          <w:rFonts w:ascii="Times New Roman" w:hAnsi="Times New Roman" w:cs="Times New Roman"/>
          <w:b/>
          <w:lang w:val="en-GB"/>
        </w:rPr>
        <w:t>emarcation, including self-demarcation by indigenous peoples, and titling</w:t>
      </w:r>
    </w:p>
    <w:p w14:paraId="2A3CF11C" w14:textId="77777777" w:rsidR="005463A1" w:rsidRDefault="002A0D62" w:rsidP="002A0D62">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Why demarcating? </w:t>
      </w:r>
    </w:p>
    <w:p w14:paraId="6E8ABCBC" w14:textId="77777777" w:rsidR="005463A1" w:rsidRDefault="002A0D62" w:rsidP="002A0D62">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Formalization? </w:t>
      </w:r>
    </w:p>
    <w:p w14:paraId="0E7226E4" w14:textId="5B7763D1" w:rsidR="002A7A66" w:rsidRDefault="002A0D62" w:rsidP="002A0D62">
      <w:pPr>
        <w:pStyle w:val="ListParagraph"/>
        <w:numPr>
          <w:ilvl w:val="0"/>
          <w:numId w:val="17"/>
        </w:numPr>
        <w:spacing w:line="480" w:lineRule="auto"/>
        <w:rPr>
          <w:rFonts w:ascii="Times New Roman" w:hAnsi="Times New Roman" w:cs="Times New Roman"/>
        </w:rPr>
      </w:pPr>
      <w:r>
        <w:rPr>
          <w:rFonts w:ascii="Times New Roman" w:hAnsi="Times New Roman" w:cs="Times New Roman"/>
        </w:rPr>
        <w:t>What about the elements of collective resource management?</w:t>
      </w:r>
    </w:p>
    <w:p w14:paraId="4C4AAB68" w14:textId="6F25152B" w:rsidR="002A0D62" w:rsidRDefault="002A0D62" w:rsidP="002A0D62">
      <w:pPr>
        <w:pStyle w:val="ListParagraph"/>
        <w:numPr>
          <w:ilvl w:val="0"/>
          <w:numId w:val="17"/>
        </w:numPr>
        <w:spacing w:line="480" w:lineRule="auto"/>
        <w:rPr>
          <w:rFonts w:ascii="Times New Roman" w:hAnsi="Times New Roman" w:cs="Times New Roman"/>
          <w:b/>
        </w:rPr>
      </w:pPr>
      <w:r>
        <w:rPr>
          <w:rFonts w:ascii="Times New Roman" w:hAnsi="Times New Roman" w:cs="Times New Roman"/>
        </w:rPr>
        <w:t>Approaches: Community land (Kenya) and Village Land (Tanzania)</w:t>
      </w:r>
      <w:r w:rsidR="00A6493D">
        <w:rPr>
          <w:rFonts w:ascii="Times New Roman" w:hAnsi="Times New Roman" w:cs="Times New Roman"/>
        </w:rPr>
        <w:t xml:space="preserve">, </w:t>
      </w:r>
      <w:r w:rsidR="00A6493D" w:rsidRPr="00A6493D">
        <w:rPr>
          <w:rFonts w:ascii="Times New Roman" w:hAnsi="Times New Roman" w:cs="Times New Roman"/>
          <w:b/>
        </w:rPr>
        <w:t xml:space="preserve">Reservation system that Dean Stacy Leeds talked about </w:t>
      </w:r>
      <w:r w:rsidRPr="00A6493D">
        <w:rPr>
          <w:rFonts w:ascii="Times New Roman" w:hAnsi="Times New Roman" w:cs="Times New Roman"/>
          <w:b/>
        </w:rPr>
        <w:t xml:space="preserve"> </w:t>
      </w:r>
    </w:p>
    <w:p w14:paraId="7CAA13DF" w14:textId="72196B5B" w:rsidR="00A6493D" w:rsidRPr="00A6493D" w:rsidRDefault="00A6493D" w:rsidP="002A0D62">
      <w:pPr>
        <w:pStyle w:val="ListParagraph"/>
        <w:numPr>
          <w:ilvl w:val="0"/>
          <w:numId w:val="17"/>
        </w:numPr>
        <w:spacing w:line="480" w:lineRule="auto"/>
        <w:rPr>
          <w:rFonts w:ascii="Times New Roman" w:hAnsi="Times New Roman" w:cs="Times New Roman"/>
          <w:b/>
        </w:rPr>
      </w:pPr>
      <w:r>
        <w:rPr>
          <w:rFonts w:ascii="Times New Roman" w:hAnsi="Times New Roman" w:cs="Times New Roman"/>
          <w:b/>
        </w:rPr>
        <w:t xml:space="preserve">Indigenous peoples’ autonomy and self-governance systems are submerged within local government systems. </w:t>
      </w:r>
    </w:p>
    <w:p w14:paraId="679E7F8F" w14:textId="74E2F431" w:rsidR="002A0D62" w:rsidRDefault="00A6493D" w:rsidP="002A0D62">
      <w:pPr>
        <w:pStyle w:val="ListParagraph"/>
        <w:numPr>
          <w:ilvl w:val="0"/>
          <w:numId w:val="17"/>
        </w:numPr>
        <w:spacing w:line="480" w:lineRule="auto"/>
        <w:rPr>
          <w:rFonts w:ascii="Times New Roman" w:hAnsi="Times New Roman" w:cs="Times New Roman"/>
        </w:rPr>
      </w:pPr>
      <w:r>
        <w:rPr>
          <w:rFonts w:ascii="Times New Roman" w:hAnsi="Times New Roman" w:cs="Times New Roman"/>
        </w:rPr>
        <w:lastRenderedPageBreak/>
        <w:t xml:space="preserve">In Tanzania: the </w:t>
      </w:r>
      <w:r w:rsidR="002A0D62" w:rsidRPr="002A0D62">
        <w:rPr>
          <w:rFonts w:ascii="Times New Roman" w:hAnsi="Times New Roman" w:cs="Times New Roman"/>
        </w:rPr>
        <w:t>Village land</w:t>
      </w:r>
      <w:r>
        <w:rPr>
          <w:rFonts w:ascii="Times New Roman" w:hAnsi="Times New Roman" w:cs="Times New Roman"/>
        </w:rPr>
        <w:t xml:space="preserve"> system</w:t>
      </w:r>
      <w:r w:rsidR="002A0D62" w:rsidRPr="002A0D62">
        <w:rPr>
          <w:rFonts w:ascii="Times New Roman" w:hAnsi="Times New Roman" w:cs="Times New Roman"/>
        </w:rPr>
        <w:t xml:space="preserve"> implies a legal notion of “common property”. In effect, it represents private property for a group of co-owners or members. </w:t>
      </w:r>
    </w:p>
    <w:p w14:paraId="4690756E" w14:textId="31652DAD" w:rsidR="002A0D62" w:rsidRDefault="00A6493D" w:rsidP="002A0D62">
      <w:pPr>
        <w:pStyle w:val="ListParagraph"/>
        <w:numPr>
          <w:ilvl w:val="0"/>
          <w:numId w:val="17"/>
        </w:numPr>
        <w:spacing w:line="480" w:lineRule="auto"/>
        <w:rPr>
          <w:rFonts w:ascii="Times New Roman" w:hAnsi="Times New Roman" w:cs="Times New Roman"/>
        </w:rPr>
      </w:pPr>
      <w:r>
        <w:rPr>
          <w:rFonts w:ascii="Times New Roman" w:hAnsi="Times New Roman" w:cs="Times New Roman"/>
        </w:rPr>
        <w:t>Luckily (ideally?) c</w:t>
      </w:r>
      <w:r w:rsidR="002A0D62" w:rsidRPr="002A0D62">
        <w:rPr>
          <w:rFonts w:ascii="Times New Roman" w:hAnsi="Times New Roman" w:cs="Times New Roman"/>
        </w:rPr>
        <w:t>o-owners have a right to exclude non-members (non-members have a duty to abide)</w:t>
      </w:r>
      <w:r>
        <w:rPr>
          <w:rFonts w:ascii="Times New Roman" w:hAnsi="Times New Roman" w:cs="Times New Roman"/>
        </w:rPr>
        <w:t xml:space="preserve">. </w:t>
      </w:r>
    </w:p>
    <w:p w14:paraId="2EF5C6B1" w14:textId="2920DF39" w:rsidR="002A0D62" w:rsidRDefault="002A0D62" w:rsidP="002A0D62">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Challenge: </w:t>
      </w:r>
      <w:r w:rsidR="0078710D">
        <w:rPr>
          <w:rFonts w:ascii="Times New Roman" w:hAnsi="Times New Roman" w:cs="Times New Roman"/>
        </w:rPr>
        <w:t xml:space="preserve">(a) </w:t>
      </w:r>
      <w:r>
        <w:rPr>
          <w:rFonts w:ascii="Times New Roman" w:hAnsi="Times New Roman" w:cs="Times New Roman"/>
        </w:rPr>
        <w:t>who defines the village? Community?</w:t>
      </w:r>
      <w:r w:rsidR="00A6493D">
        <w:rPr>
          <w:rFonts w:ascii="Times New Roman" w:hAnsi="Times New Roman" w:cs="Times New Roman"/>
        </w:rPr>
        <w:t xml:space="preserve"> It is a legal entity/administrative unit that has no connection with the traditions. It is about the number of people and boundaries or beacons. </w:t>
      </w:r>
      <w:r w:rsidR="0078710D">
        <w:rPr>
          <w:rFonts w:ascii="Times New Roman" w:hAnsi="Times New Roman" w:cs="Times New Roman"/>
        </w:rPr>
        <w:t xml:space="preserve">(b) it is expensive (c) potentially opens up the land for grabs (d) it is a recipe for individualization and collapsing of the communal system. </w:t>
      </w:r>
      <w:r w:rsidR="005C6EB0">
        <w:rPr>
          <w:rFonts w:ascii="Times New Roman" w:hAnsi="Times New Roman" w:cs="Times New Roman"/>
        </w:rPr>
        <w:t>Re: Village land certificate and certificate of customary right of occupancy (CCRO)</w:t>
      </w:r>
    </w:p>
    <w:p w14:paraId="25D443F4" w14:textId="20EA6DC5" w:rsidR="004A0027" w:rsidRPr="002A0D62" w:rsidRDefault="004A0027" w:rsidP="002A0D62">
      <w:pPr>
        <w:pStyle w:val="ListParagraph"/>
        <w:numPr>
          <w:ilvl w:val="0"/>
          <w:numId w:val="17"/>
        </w:numPr>
        <w:spacing w:line="480" w:lineRule="auto"/>
        <w:rPr>
          <w:rFonts w:ascii="Times New Roman" w:hAnsi="Times New Roman" w:cs="Times New Roman"/>
        </w:rPr>
      </w:pPr>
      <w:r>
        <w:rPr>
          <w:rFonts w:ascii="Times New Roman" w:hAnsi="Times New Roman" w:cs="Times New Roman"/>
        </w:rPr>
        <w:t xml:space="preserve">Best practice: the Hadzabe </w:t>
      </w:r>
      <w:r w:rsidR="001C7733">
        <w:rPr>
          <w:rFonts w:ascii="Times New Roman" w:hAnsi="Times New Roman" w:cs="Times New Roman"/>
        </w:rPr>
        <w:t xml:space="preserve">hunter-gatherers of Tanzania, though its administrative exigency not rooted in the law such as amending the definition of a village. </w:t>
      </w:r>
    </w:p>
    <w:p w14:paraId="5B3F9E56" w14:textId="77777777" w:rsidR="002A7A66" w:rsidRPr="00154A46" w:rsidRDefault="00154A46" w:rsidP="00154A46">
      <w:pPr>
        <w:pStyle w:val="ListParagraph"/>
        <w:numPr>
          <w:ilvl w:val="0"/>
          <w:numId w:val="15"/>
        </w:numPr>
        <w:spacing w:line="480" w:lineRule="auto"/>
        <w:rPr>
          <w:rFonts w:ascii="Times New Roman" w:hAnsi="Times New Roman" w:cs="Times New Roman"/>
          <w:b/>
        </w:rPr>
      </w:pPr>
      <w:r>
        <w:rPr>
          <w:rFonts w:ascii="Times New Roman" w:hAnsi="Times New Roman" w:cs="Times New Roman"/>
          <w:b/>
        </w:rPr>
        <w:t xml:space="preserve">Beyond demarcation: are the rights protectable? </w:t>
      </w:r>
    </w:p>
    <w:p w14:paraId="32AA3A03" w14:textId="77777777" w:rsidR="002A7A66" w:rsidRPr="004726E4" w:rsidRDefault="002A7A66" w:rsidP="001C7733">
      <w:pPr>
        <w:pStyle w:val="ListParagraph"/>
        <w:numPr>
          <w:ilvl w:val="0"/>
          <w:numId w:val="19"/>
        </w:numPr>
        <w:spacing w:line="480" w:lineRule="auto"/>
        <w:rPr>
          <w:rFonts w:ascii="Times New Roman" w:hAnsi="Times New Roman" w:cs="Times New Roman"/>
        </w:rPr>
      </w:pPr>
      <w:r w:rsidRPr="004726E4">
        <w:rPr>
          <w:rFonts w:ascii="Times New Roman" w:hAnsi="Times New Roman" w:cs="Times New Roman"/>
        </w:rPr>
        <w:t xml:space="preserve">Access to court systems that have traditionally emphasized the “sanctity of private property” </w:t>
      </w:r>
    </w:p>
    <w:p w14:paraId="478046BA" w14:textId="3DE459F9" w:rsidR="002A7A66" w:rsidRPr="00154A46" w:rsidRDefault="002A7A66" w:rsidP="001C7733">
      <w:pPr>
        <w:pStyle w:val="ListParagraph"/>
        <w:numPr>
          <w:ilvl w:val="0"/>
          <w:numId w:val="19"/>
        </w:numPr>
        <w:spacing w:line="480" w:lineRule="auto"/>
        <w:rPr>
          <w:rFonts w:ascii="Times New Roman" w:hAnsi="Times New Roman" w:cs="Times New Roman"/>
        </w:rPr>
      </w:pPr>
      <w:r w:rsidRPr="004726E4">
        <w:rPr>
          <w:rFonts w:ascii="Times New Roman" w:hAnsi="Times New Roman" w:cs="Times New Roman"/>
        </w:rPr>
        <w:t xml:space="preserve">Presided over by magistrates </w:t>
      </w:r>
      <w:r w:rsidR="00C264CD">
        <w:rPr>
          <w:rFonts w:ascii="Times New Roman" w:hAnsi="Times New Roman" w:cs="Times New Roman"/>
        </w:rPr>
        <w:t xml:space="preserve">(chairpersons) and judges </w:t>
      </w:r>
      <w:r w:rsidRPr="004726E4">
        <w:rPr>
          <w:rFonts w:ascii="Times New Roman" w:hAnsi="Times New Roman" w:cs="Times New Roman"/>
        </w:rPr>
        <w:t xml:space="preserve">who are not influenced by traditional assumptions of structural equality and local harmony </w:t>
      </w:r>
    </w:p>
    <w:p w14:paraId="1F262BE8" w14:textId="77777777" w:rsidR="002A7A66" w:rsidRPr="004726E4" w:rsidRDefault="002A7A66" w:rsidP="001C7733">
      <w:pPr>
        <w:pStyle w:val="ListParagraph"/>
        <w:numPr>
          <w:ilvl w:val="0"/>
          <w:numId w:val="19"/>
        </w:numPr>
        <w:spacing w:line="480" w:lineRule="auto"/>
        <w:rPr>
          <w:rFonts w:ascii="Times New Roman" w:hAnsi="Times New Roman" w:cs="Times New Roman"/>
        </w:rPr>
      </w:pPr>
      <w:r w:rsidRPr="004726E4">
        <w:rPr>
          <w:rFonts w:ascii="Times New Roman" w:hAnsi="Times New Roman" w:cs="Times New Roman"/>
        </w:rPr>
        <w:t xml:space="preserve">Individuals interested in individualized tenure are able to seek out favorable interpretations of provisions which best suit their interests </w:t>
      </w:r>
    </w:p>
    <w:p w14:paraId="5C81EED0" w14:textId="12EC1F37" w:rsidR="001C7733" w:rsidRDefault="001C7733" w:rsidP="001C7733">
      <w:pPr>
        <w:pStyle w:val="ListParagraph"/>
        <w:numPr>
          <w:ilvl w:val="0"/>
          <w:numId w:val="15"/>
        </w:numPr>
        <w:spacing w:line="480" w:lineRule="auto"/>
        <w:rPr>
          <w:rFonts w:ascii="Times New Roman" w:hAnsi="Times New Roman" w:cs="Times New Roman"/>
          <w:b/>
        </w:rPr>
      </w:pPr>
      <w:r w:rsidRPr="001C7733">
        <w:rPr>
          <w:rFonts w:ascii="Times New Roman" w:hAnsi="Times New Roman" w:cs="Times New Roman"/>
          <w:b/>
        </w:rPr>
        <w:t>Conclusion and recommendation</w:t>
      </w:r>
      <w:r>
        <w:rPr>
          <w:rFonts w:ascii="Times New Roman" w:hAnsi="Times New Roman" w:cs="Times New Roman"/>
          <w:b/>
        </w:rPr>
        <w:t>s</w:t>
      </w:r>
      <w:r w:rsidRPr="001C7733">
        <w:rPr>
          <w:rFonts w:ascii="Times New Roman" w:hAnsi="Times New Roman" w:cs="Times New Roman"/>
          <w:b/>
        </w:rPr>
        <w:t xml:space="preserve"> </w:t>
      </w:r>
    </w:p>
    <w:p w14:paraId="4A45509A" w14:textId="068708AF" w:rsidR="00B836C8" w:rsidRPr="00ED1BEF" w:rsidRDefault="00BD6490" w:rsidP="00B836C8">
      <w:pPr>
        <w:pStyle w:val="ListParagraph"/>
        <w:numPr>
          <w:ilvl w:val="0"/>
          <w:numId w:val="20"/>
        </w:numPr>
        <w:spacing w:line="480" w:lineRule="auto"/>
        <w:rPr>
          <w:rFonts w:ascii="Times New Roman" w:hAnsi="Times New Roman" w:cs="Times New Roman"/>
        </w:rPr>
      </w:pPr>
      <w:r w:rsidRPr="00ED1BEF">
        <w:rPr>
          <w:rFonts w:ascii="Times New Roman" w:hAnsi="Times New Roman" w:cs="Times New Roman"/>
        </w:rPr>
        <w:t xml:space="preserve">To be in line with the UN Declaration’s article 27, best practices are replete with the move towards recognizing and respecting indigenous peoples laws and traditions, what remains unchanged in most African countries relate to traditional institutions. They are still merged within the local and central government institutions.  </w:t>
      </w:r>
    </w:p>
    <w:sectPr w:rsidR="00B836C8" w:rsidRPr="00ED1BEF" w:rsidSect="00BD23B8">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0A12B" w14:textId="77777777" w:rsidR="00ED1BEF" w:rsidRDefault="00ED1BEF" w:rsidP="002A7A66">
      <w:r>
        <w:separator/>
      </w:r>
    </w:p>
  </w:endnote>
  <w:endnote w:type="continuationSeparator" w:id="0">
    <w:p w14:paraId="1DD9FF0B" w14:textId="77777777" w:rsidR="00ED1BEF" w:rsidRDefault="00ED1BEF" w:rsidP="002A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D2A0" w14:textId="77777777" w:rsidR="00ED1BEF" w:rsidRDefault="00ED1BEF" w:rsidP="002A7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A00ED4" w14:textId="77777777" w:rsidR="00ED1BEF" w:rsidRDefault="00ED1BEF" w:rsidP="002A7A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4E0E5" w14:textId="50801B0B" w:rsidR="00ED1BEF" w:rsidRDefault="00ED1BEF" w:rsidP="002A7A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09C">
      <w:rPr>
        <w:rStyle w:val="PageNumber"/>
        <w:noProof/>
      </w:rPr>
      <w:t>1</w:t>
    </w:r>
    <w:r>
      <w:rPr>
        <w:rStyle w:val="PageNumber"/>
      </w:rPr>
      <w:fldChar w:fldCharType="end"/>
    </w:r>
  </w:p>
  <w:p w14:paraId="6C14808A" w14:textId="77777777" w:rsidR="00ED1BEF" w:rsidRDefault="00ED1BEF" w:rsidP="002A7A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3D4D0" w14:textId="77777777" w:rsidR="00ED1BEF" w:rsidRDefault="00ED1BEF" w:rsidP="002A7A66">
      <w:r>
        <w:separator/>
      </w:r>
    </w:p>
  </w:footnote>
  <w:footnote w:type="continuationSeparator" w:id="0">
    <w:p w14:paraId="22F53BAD" w14:textId="77777777" w:rsidR="00ED1BEF" w:rsidRDefault="00ED1BEF" w:rsidP="002A7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64C"/>
    <w:multiLevelType w:val="hybridMultilevel"/>
    <w:tmpl w:val="78D4D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D6D89"/>
    <w:multiLevelType w:val="hybridMultilevel"/>
    <w:tmpl w:val="C8CA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D091B"/>
    <w:multiLevelType w:val="hybridMultilevel"/>
    <w:tmpl w:val="1038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63888"/>
    <w:multiLevelType w:val="hybridMultilevel"/>
    <w:tmpl w:val="FE7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71411"/>
    <w:multiLevelType w:val="hybridMultilevel"/>
    <w:tmpl w:val="226C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363C7"/>
    <w:multiLevelType w:val="hybridMultilevel"/>
    <w:tmpl w:val="B2E2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00305"/>
    <w:multiLevelType w:val="hybridMultilevel"/>
    <w:tmpl w:val="31C22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F71AD"/>
    <w:multiLevelType w:val="hybridMultilevel"/>
    <w:tmpl w:val="B0540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D379B"/>
    <w:multiLevelType w:val="hybridMultilevel"/>
    <w:tmpl w:val="8ED64CC4"/>
    <w:lvl w:ilvl="0" w:tplc="08090015">
      <w:start w:val="1"/>
      <w:numFmt w:val="upperLetter"/>
      <w:lvlText w:val="%1."/>
      <w:lvlJc w:val="left"/>
      <w:pPr>
        <w:ind w:left="771"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9" w15:restartNumberingAfterBreak="0">
    <w:nsid w:val="3DA0729E"/>
    <w:multiLevelType w:val="hybridMultilevel"/>
    <w:tmpl w:val="D274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B7BF8"/>
    <w:multiLevelType w:val="hybridMultilevel"/>
    <w:tmpl w:val="66FEA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B0AFA"/>
    <w:multiLevelType w:val="hybridMultilevel"/>
    <w:tmpl w:val="B2B8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37F84"/>
    <w:multiLevelType w:val="hybridMultilevel"/>
    <w:tmpl w:val="59AE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C2A22"/>
    <w:multiLevelType w:val="hybridMultilevel"/>
    <w:tmpl w:val="183A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D4545"/>
    <w:multiLevelType w:val="hybridMultilevel"/>
    <w:tmpl w:val="4A5C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E2E56"/>
    <w:multiLevelType w:val="hybridMultilevel"/>
    <w:tmpl w:val="B3F8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70338"/>
    <w:multiLevelType w:val="hybridMultilevel"/>
    <w:tmpl w:val="5486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14144"/>
    <w:multiLevelType w:val="hybridMultilevel"/>
    <w:tmpl w:val="22B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F6453"/>
    <w:multiLevelType w:val="hybridMultilevel"/>
    <w:tmpl w:val="20A2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73B9A"/>
    <w:multiLevelType w:val="hybridMultilevel"/>
    <w:tmpl w:val="987C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14"/>
  </w:num>
  <w:num w:numId="5">
    <w:abstractNumId w:val="11"/>
  </w:num>
  <w:num w:numId="6">
    <w:abstractNumId w:val="6"/>
  </w:num>
  <w:num w:numId="7">
    <w:abstractNumId w:val="2"/>
  </w:num>
  <w:num w:numId="8">
    <w:abstractNumId w:val="1"/>
  </w:num>
  <w:num w:numId="9">
    <w:abstractNumId w:val="19"/>
  </w:num>
  <w:num w:numId="10">
    <w:abstractNumId w:val="17"/>
  </w:num>
  <w:num w:numId="11">
    <w:abstractNumId w:val="4"/>
  </w:num>
  <w:num w:numId="12">
    <w:abstractNumId w:val="3"/>
  </w:num>
  <w:num w:numId="13">
    <w:abstractNumId w:val="0"/>
  </w:num>
  <w:num w:numId="14">
    <w:abstractNumId w:val="5"/>
  </w:num>
  <w:num w:numId="15">
    <w:abstractNumId w:val="8"/>
  </w:num>
  <w:num w:numId="16">
    <w:abstractNumId w:val="10"/>
  </w:num>
  <w:num w:numId="17">
    <w:abstractNumId w:val="9"/>
  </w:num>
  <w:num w:numId="18">
    <w:abstractNumId w:val="12"/>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66"/>
    <w:rsid w:val="00086AB8"/>
    <w:rsid w:val="00154A46"/>
    <w:rsid w:val="001C7733"/>
    <w:rsid w:val="002A0D62"/>
    <w:rsid w:val="002A7A66"/>
    <w:rsid w:val="0036709C"/>
    <w:rsid w:val="003D502D"/>
    <w:rsid w:val="004A0027"/>
    <w:rsid w:val="004E2BC3"/>
    <w:rsid w:val="005463A1"/>
    <w:rsid w:val="00596ADD"/>
    <w:rsid w:val="005C6EB0"/>
    <w:rsid w:val="006D1BB4"/>
    <w:rsid w:val="0078710D"/>
    <w:rsid w:val="00A6493D"/>
    <w:rsid w:val="00A96B21"/>
    <w:rsid w:val="00AD5EAA"/>
    <w:rsid w:val="00B836C8"/>
    <w:rsid w:val="00BD23B8"/>
    <w:rsid w:val="00BD6490"/>
    <w:rsid w:val="00C264CD"/>
    <w:rsid w:val="00ED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C54A7"/>
  <w14:defaultImageDpi w14:val="300"/>
  <w15:docId w15:val="{875025DF-BDA5-4C58-BC6C-B51EBF20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A66"/>
    <w:pPr>
      <w:ind w:left="720"/>
      <w:contextualSpacing/>
    </w:pPr>
  </w:style>
  <w:style w:type="paragraph" w:styleId="NormalWeb">
    <w:name w:val="Normal (Web)"/>
    <w:basedOn w:val="Normal"/>
    <w:rsid w:val="002A7A66"/>
    <w:pPr>
      <w:spacing w:before="100" w:beforeAutospacing="1" w:after="100" w:afterAutospacing="1"/>
    </w:pPr>
    <w:rPr>
      <w:rFonts w:ascii="Arial Unicode MS" w:eastAsia="Arial Unicode MS" w:hAnsi="Arial Unicode MS" w:cs="Arial Unicode MS"/>
    </w:rPr>
  </w:style>
  <w:style w:type="character" w:styleId="FootnoteReference">
    <w:name w:val="footnote reference"/>
    <w:uiPriority w:val="99"/>
    <w:semiHidden/>
    <w:rsid w:val="002A7A66"/>
    <w:rPr>
      <w:vertAlign w:val="superscript"/>
    </w:rPr>
  </w:style>
  <w:style w:type="paragraph" w:styleId="FootnoteText">
    <w:name w:val="footnote text"/>
    <w:aliases w:val="Char"/>
    <w:basedOn w:val="Normal"/>
    <w:link w:val="FootnoteTextChar"/>
    <w:unhideWhenUsed/>
    <w:rsid w:val="002A7A66"/>
  </w:style>
  <w:style w:type="character" w:customStyle="1" w:styleId="FootnoteTextChar">
    <w:name w:val="Footnote Text Char"/>
    <w:aliases w:val="Char Char"/>
    <w:basedOn w:val="DefaultParagraphFont"/>
    <w:link w:val="FootnoteText"/>
    <w:rsid w:val="002A7A66"/>
  </w:style>
  <w:style w:type="paragraph" w:styleId="Footer">
    <w:name w:val="footer"/>
    <w:basedOn w:val="Normal"/>
    <w:link w:val="FooterChar"/>
    <w:uiPriority w:val="99"/>
    <w:unhideWhenUsed/>
    <w:rsid w:val="002A7A66"/>
    <w:pPr>
      <w:tabs>
        <w:tab w:val="center" w:pos="4320"/>
        <w:tab w:val="right" w:pos="8640"/>
      </w:tabs>
    </w:pPr>
  </w:style>
  <w:style w:type="character" w:customStyle="1" w:styleId="FooterChar">
    <w:name w:val="Footer Char"/>
    <w:basedOn w:val="DefaultParagraphFont"/>
    <w:link w:val="Footer"/>
    <w:uiPriority w:val="99"/>
    <w:rsid w:val="002A7A66"/>
  </w:style>
  <w:style w:type="character" w:styleId="PageNumber">
    <w:name w:val="page number"/>
    <w:basedOn w:val="DefaultParagraphFont"/>
    <w:uiPriority w:val="99"/>
    <w:semiHidden/>
    <w:unhideWhenUsed/>
    <w:rsid w:val="002A7A66"/>
  </w:style>
  <w:style w:type="paragraph" w:customStyle="1" w:styleId="Corpo">
    <w:name w:val="Corpo"/>
    <w:rsid w:val="002A7A66"/>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8B2FDE-CE72-478C-9648-B1C7AE4C4F12}"/>
</file>

<file path=customXml/itemProps2.xml><?xml version="1.0" encoding="utf-8"?>
<ds:datastoreItem xmlns:ds="http://schemas.openxmlformats.org/officeDocument/2006/customXml" ds:itemID="{BDA7D426-F0EB-4CD2-B0F0-E163D3B36FE8}"/>
</file>

<file path=customXml/itemProps3.xml><?xml version="1.0" encoding="utf-8"?>
<ds:datastoreItem xmlns:ds="http://schemas.openxmlformats.org/officeDocument/2006/customXml" ds:itemID="{08C4327A-C85D-4B10-B0EE-78438A3D3442}"/>
</file>

<file path=docProps/app.xml><?xml version="1.0" encoding="utf-8"?>
<Properties xmlns="http://schemas.openxmlformats.org/officeDocument/2006/extended-properties" xmlns:vt="http://schemas.openxmlformats.org/officeDocument/2006/docPropsVTypes">
  <Template>Normal.dotm</Template>
  <TotalTime>1</TotalTime>
  <Pages>8</Pages>
  <Words>622</Words>
  <Characters>3547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Elifuraha laltaika</dc:creator>
  <cp:keywords/>
  <dc:description/>
  <cp:lastModifiedBy>FOX Catherine</cp:lastModifiedBy>
  <cp:revision>2</cp:revision>
  <dcterms:created xsi:type="dcterms:W3CDTF">2019-10-22T14:17:00Z</dcterms:created>
  <dcterms:modified xsi:type="dcterms:W3CDTF">2019-10-22T14:17:00Z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