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28" w:rsidRPr="003841A1" w:rsidRDefault="003841A1" w:rsidP="006B34CF">
      <w:pPr>
        <w:pStyle w:val="HChG"/>
        <w:tabs>
          <w:tab w:val="clear" w:pos="851"/>
        </w:tabs>
        <w:spacing w:before="0"/>
        <w:ind w:left="0" w:right="0" w:firstLine="0"/>
        <w:rPr>
          <w:szCs w:val="28"/>
          <w:lang w:val="fr-FR"/>
        </w:rPr>
      </w:pPr>
      <w:r w:rsidRPr="003841A1">
        <w:rPr>
          <w:szCs w:val="28"/>
          <w:lang w:val="fr-FR"/>
        </w:rPr>
        <w:t>Avis nº11</w:t>
      </w:r>
      <w:r>
        <w:rPr>
          <w:szCs w:val="28"/>
          <w:lang w:val="fr-FR"/>
        </w:rPr>
        <w:t xml:space="preserve"> du Mécanisme d</w:t>
      </w:r>
      <w:r w:rsidR="009A135D">
        <w:rPr>
          <w:szCs w:val="28"/>
          <w:lang w:val="fr-FR"/>
        </w:rPr>
        <w:t>’</w:t>
      </w:r>
      <w:r>
        <w:rPr>
          <w:szCs w:val="28"/>
          <w:lang w:val="fr-FR"/>
        </w:rPr>
        <w:t>e</w:t>
      </w:r>
      <w:r w:rsidR="00AA4928" w:rsidRPr="003841A1">
        <w:rPr>
          <w:szCs w:val="28"/>
          <w:lang w:val="fr-FR"/>
        </w:rPr>
        <w:t>xpert</w:t>
      </w:r>
      <w:r>
        <w:rPr>
          <w:szCs w:val="28"/>
          <w:lang w:val="fr-FR"/>
        </w:rPr>
        <w:t>s</w:t>
      </w:r>
      <w:r w:rsidR="003A10DB">
        <w:rPr>
          <w:szCs w:val="28"/>
          <w:lang w:val="fr-FR"/>
        </w:rPr>
        <w:t>, relatif aux</w:t>
      </w:r>
      <w:r>
        <w:rPr>
          <w:szCs w:val="28"/>
          <w:lang w:val="fr-FR"/>
        </w:rPr>
        <w:t xml:space="preserve"> droits des peuples</w:t>
      </w:r>
      <w:r w:rsidR="003A10DB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autochtones et </w:t>
      </w:r>
      <w:r w:rsidR="003A10DB">
        <w:rPr>
          <w:szCs w:val="28"/>
          <w:lang w:val="fr-FR"/>
        </w:rPr>
        <w:t>au</w:t>
      </w:r>
      <w:r>
        <w:rPr>
          <w:szCs w:val="28"/>
          <w:lang w:val="fr-FR"/>
        </w:rPr>
        <w:t xml:space="preserve"> consentement préalable, libre et éclairé</w:t>
      </w:r>
    </w:p>
    <w:p w:rsidR="003841A1" w:rsidRPr="003841A1" w:rsidRDefault="003841A1" w:rsidP="003A10DB">
      <w:pPr>
        <w:pStyle w:val="Bullet1G"/>
        <w:numPr>
          <w:ilvl w:val="0"/>
          <w:numId w:val="2"/>
        </w:numPr>
        <w:ind w:right="0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</w:t>
      </w:r>
      <w:r w:rsidR="00AA4928" w:rsidRPr="003841A1">
        <w:rPr>
          <w:sz w:val="24"/>
          <w:szCs w:val="24"/>
          <w:lang w:val="fr-FR"/>
        </w:rPr>
        <w:t xml:space="preserve"> Nations </w:t>
      </w:r>
      <w:r>
        <w:rPr>
          <w:sz w:val="24"/>
          <w:szCs w:val="24"/>
          <w:lang w:val="fr-FR"/>
        </w:rPr>
        <w:t xml:space="preserve">Unies </w:t>
      </w:r>
      <w:r w:rsidR="0015509D">
        <w:rPr>
          <w:sz w:val="24"/>
          <w:szCs w:val="24"/>
          <w:lang w:val="fr-FR"/>
        </w:rPr>
        <w:t>joue</w:t>
      </w:r>
      <w:r w:rsidR="002D700C">
        <w:rPr>
          <w:sz w:val="24"/>
          <w:szCs w:val="24"/>
          <w:lang w:val="fr-FR"/>
        </w:rPr>
        <w:t>nt</w:t>
      </w:r>
      <w:r w:rsidR="0015509D">
        <w:rPr>
          <w:sz w:val="24"/>
          <w:szCs w:val="24"/>
          <w:lang w:val="fr-FR"/>
        </w:rPr>
        <w:t xml:space="preserve"> un rôle</w:t>
      </w:r>
      <w:r w:rsidR="003A10DB">
        <w:rPr>
          <w:sz w:val="24"/>
          <w:szCs w:val="24"/>
          <w:lang w:val="fr-FR"/>
        </w:rPr>
        <w:t xml:space="preserve"> important</w:t>
      </w:r>
      <w:r w:rsidRPr="003841A1">
        <w:rPr>
          <w:sz w:val="24"/>
          <w:szCs w:val="24"/>
          <w:lang w:val="fr-FR"/>
        </w:rPr>
        <w:t xml:space="preserve"> pour faciliter le</w:t>
      </w:r>
      <w:r>
        <w:rPr>
          <w:sz w:val="24"/>
          <w:szCs w:val="24"/>
          <w:lang w:val="fr-FR"/>
        </w:rPr>
        <w:t xml:space="preserve"> </w:t>
      </w:r>
      <w:r w:rsidR="003A10DB">
        <w:rPr>
          <w:sz w:val="24"/>
          <w:szCs w:val="24"/>
          <w:lang w:val="fr-FR"/>
        </w:rPr>
        <w:t xml:space="preserve">respect du principe de </w:t>
      </w:r>
      <w:r>
        <w:rPr>
          <w:sz w:val="24"/>
          <w:szCs w:val="24"/>
          <w:lang w:val="fr-FR"/>
        </w:rPr>
        <w:t>consentement préalable, libre et éclairé</w:t>
      </w:r>
      <w:r w:rsidRPr="003841A1">
        <w:rPr>
          <w:sz w:val="24"/>
          <w:szCs w:val="24"/>
          <w:lang w:val="fr-FR"/>
        </w:rPr>
        <w:t xml:space="preserve"> dans les négociations avec les États. Dans la mesure où des organis</w:t>
      </w:r>
      <w:r w:rsidR="003A10DB">
        <w:rPr>
          <w:sz w:val="24"/>
          <w:szCs w:val="24"/>
          <w:lang w:val="fr-FR"/>
        </w:rPr>
        <w:t>ations</w:t>
      </w:r>
      <w:r w:rsidRPr="003841A1">
        <w:rPr>
          <w:sz w:val="24"/>
          <w:szCs w:val="24"/>
          <w:lang w:val="fr-FR"/>
        </w:rPr>
        <w:t xml:space="preserve"> te</w:t>
      </w:r>
      <w:r w:rsidR="003A10DB">
        <w:rPr>
          <w:sz w:val="24"/>
          <w:szCs w:val="24"/>
          <w:lang w:val="fr-FR"/>
        </w:rPr>
        <w:t>l</w:t>
      </w:r>
      <w:r w:rsidRPr="003841A1">
        <w:rPr>
          <w:sz w:val="24"/>
          <w:szCs w:val="24"/>
          <w:lang w:val="fr-FR"/>
        </w:rPr>
        <w:t>l</w:t>
      </w:r>
      <w:r w:rsidR="003A10DB">
        <w:rPr>
          <w:sz w:val="24"/>
          <w:szCs w:val="24"/>
          <w:lang w:val="fr-FR"/>
        </w:rPr>
        <w:t>e</w:t>
      </w:r>
      <w:r w:rsidRPr="003841A1">
        <w:rPr>
          <w:sz w:val="24"/>
          <w:szCs w:val="24"/>
          <w:lang w:val="fr-FR"/>
        </w:rPr>
        <w:t>s que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OMPI,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UNESCO, le PNUD,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OMS et d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autres</w:t>
      </w:r>
      <w:r w:rsidR="003A10DB">
        <w:rPr>
          <w:sz w:val="24"/>
          <w:szCs w:val="24"/>
          <w:lang w:val="fr-FR"/>
        </w:rPr>
        <w:t xml:space="preserve"> traitent des</w:t>
      </w:r>
      <w:r w:rsidRPr="003841A1">
        <w:rPr>
          <w:sz w:val="24"/>
          <w:szCs w:val="24"/>
          <w:lang w:val="fr-FR"/>
        </w:rPr>
        <w:t xml:space="preserve"> </w:t>
      </w:r>
      <w:r w:rsidR="003A10DB">
        <w:rPr>
          <w:sz w:val="24"/>
          <w:szCs w:val="24"/>
          <w:lang w:val="fr-FR"/>
        </w:rPr>
        <w:t>enjeux liés aux</w:t>
      </w:r>
      <w:r w:rsidRPr="003841A1">
        <w:rPr>
          <w:sz w:val="24"/>
          <w:szCs w:val="24"/>
          <w:lang w:val="fr-FR"/>
        </w:rPr>
        <w:t xml:space="preserve"> peuples autochtones, </w:t>
      </w:r>
      <w:r w:rsidR="003A10DB">
        <w:rPr>
          <w:sz w:val="24"/>
          <w:szCs w:val="24"/>
          <w:lang w:val="fr-FR"/>
        </w:rPr>
        <w:t>elles</w:t>
      </w:r>
      <w:r w:rsidRPr="003841A1">
        <w:rPr>
          <w:sz w:val="24"/>
          <w:szCs w:val="24"/>
          <w:lang w:val="fr-FR"/>
        </w:rPr>
        <w:t xml:space="preserve"> sont informé</w:t>
      </w:r>
      <w:r w:rsidR="003A10DB">
        <w:rPr>
          <w:sz w:val="24"/>
          <w:szCs w:val="24"/>
          <w:lang w:val="fr-FR"/>
        </w:rPr>
        <w:t>e</w:t>
      </w:r>
      <w:r w:rsidRPr="003841A1">
        <w:rPr>
          <w:sz w:val="24"/>
          <w:szCs w:val="24"/>
          <w:lang w:val="fr-FR"/>
        </w:rPr>
        <w:t xml:space="preserve">s que les droits </w:t>
      </w:r>
      <w:r>
        <w:rPr>
          <w:sz w:val="24"/>
          <w:szCs w:val="24"/>
          <w:lang w:val="fr-FR"/>
        </w:rPr>
        <w:t>fondamentaux</w:t>
      </w:r>
      <w:r w:rsidRPr="003841A1">
        <w:rPr>
          <w:sz w:val="24"/>
          <w:szCs w:val="24"/>
          <w:lang w:val="fr-FR"/>
        </w:rPr>
        <w:t xml:space="preserve"> exprimés dans </w:t>
      </w:r>
      <w:r w:rsidR="003A10DB">
        <w:rPr>
          <w:sz w:val="24"/>
          <w:szCs w:val="24"/>
          <w:lang w:val="fr-FR"/>
        </w:rPr>
        <w:t>la Déclaration des Nations Unies sur les droits des peuples autochtones (UNDRIP)</w:t>
      </w:r>
      <w:r>
        <w:rPr>
          <w:sz w:val="24"/>
          <w:szCs w:val="24"/>
          <w:lang w:val="fr-FR"/>
        </w:rPr>
        <w:t xml:space="preserve"> </w:t>
      </w:r>
      <w:r w:rsidR="003A10DB">
        <w:rPr>
          <w:sz w:val="24"/>
          <w:szCs w:val="24"/>
          <w:lang w:val="fr-FR"/>
        </w:rPr>
        <w:t>sont</w:t>
      </w:r>
      <w:r w:rsidRPr="003841A1">
        <w:rPr>
          <w:sz w:val="24"/>
          <w:szCs w:val="24"/>
          <w:lang w:val="fr-FR"/>
        </w:rPr>
        <w:t xml:space="preserve"> largement </w:t>
      </w:r>
      <w:r w:rsidR="003A10DB">
        <w:rPr>
          <w:sz w:val="24"/>
          <w:szCs w:val="24"/>
          <w:lang w:val="fr-FR"/>
        </w:rPr>
        <w:t xml:space="preserve">applicables </w:t>
      </w:r>
      <w:r w:rsidRPr="003841A1">
        <w:rPr>
          <w:sz w:val="24"/>
          <w:szCs w:val="24"/>
          <w:lang w:val="fr-FR"/>
        </w:rPr>
        <w:t xml:space="preserve">dans </w:t>
      </w:r>
      <w:r w:rsidR="003A10DB">
        <w:rPr>
          <w:sz w:val="24"/>
          <w:szCs w:val="24"/>
          <w:lang w:val="fr-FR"/>
        </w:rPr>
        <w:t>l</w:t>
      </w:r>
      <w:r w:rsidRPr="003841A1">
        <w:rPr>
          <w:sz w:val="24"/>
          <w:szCs w:val="24"/>
          <w:lang w:val="fr-FR"/>
        </w:rPr>
        <w:t>e</w:t>
      </w:r>
      <w:r w:rsidR="003A10DB">
        <w:rPr>
          <w:sz w:val="24"/>
          <w:szCs w:val="24"/>
          <w:lang w:val="fr-FR"/>
        </w:rPr>
        <w:t>ur</w:t>
      </w:r>
      <w:r w:rsidRPr="003841A1">
        <w:rPr>
          <w:sz w:val="24"/>
          <w:szCs w:val="24"/>
          <w:lang w:val="fr-FR"/>
        </w:rPr>
        <w:t>s</w:t>
      </w:r>
      <w:r w:rsidR="003A10DB">
        <w:rPr>
          <w:sz w:val="24"/>
          <w:szCs w:val="24"/>
          <w:lang w:val="fr-FR"/>
        </w:rPr>
        <w:t xml:space="preserve"> activités</w:t>
      </w:r>
      <w:r w:rsidRPr="003841A1">
        <w:rPr>
          <w:sz w:val="24"/>
          <w:szCs w:val="24"/>
          <w:lang w:val="fr-FR"/>
        </w:rPr>
        <w:t>.</w:t>
      </w:r>
      <w:r w:rsidR="003A10DB">
        <w:rPr>
          <w:sz w:val="24"/>
          <w:szCs w:val="24"/>
          <w:lang w:val="fr-FR"/>
        </w:rPr>
        <w:t xml:space="preserve"> Par exemple</w:t>
      </w:r>
      <w:r w:rsidRPr="003841A1">
        <w:rPr>
          <w:sz w:val="24"/>
          <w:szCs w:val="24"/>
          <w:lang w:val="fr-FR"/>
        </w:rPr>
        <w:t>, le Comité intergouvernemental de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OMPI négocie actuellement </w:t>
      </w:r>
      <w:r w:rsidR="003A10DB">
        <w:rPr>
          <w:sz w:val="24"/>
          <w:szCs w:val="24"/>
          <w:lang w:val="fr-FR"/>
        </w:rPr>
        <w:t xml:space="preserve">la mise en place de </w:t>
      </w:r>
      <w:r w:rsidRPr="003841A1">
        <w:rPr>
          <w:sz w:val="24"/>
          <w:szCs w:val="24"/>
          <w:lang w:val="fr-FR"/>
        </w:rPr>
        <w:t>plusieurs instruments multilatéraux sur les savoirs traditionnels, les ressources génétiques, les expressions culturelles traditionnelles et d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autres formes de propriété intellectuelle et culturelle. </w:t>
      </w:r>
      <w:r w:rsidR="003A10DB">
        <w:rPr>
          <w:sz w:val="24"/>
          <w:szCs w:val="24"/>
          <w:lang w:val="fr-FR"/>
        </w:rPr>
        <w:t>Dans le cadre</w:t>
      </w:r>
      <w:r w:rsidRPr="003841A1">
        <w:rPr>
          <w:sz w:val="24"/>
          <w:szCs w:val="24"/>
          <w:lang w:val="fr-FR"/>
        </w:rPr>
        <w:t xml:space="preserve"> de la négociation et de </w:t>
      </w:r>
      <w:r>
        <w:rPr>
          <w:sz w:val="24"/>
          <w:szCs w:val="24"/>
          <w:lang w:val="fr-FR"/>
        </w:rPr>
        <w:t>l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élaboration</w:t>
      </w:r>
      <w:r w:rsidRPr="003841A1">
        <w:rPr>
          <w:sz w:val="24"/>
          <w:szCs w:val="24"/>
          <w:lang w:val="fr-FR"/>
        </w:rPr>
        <w:t xml:space="preserve"> de ces instruments,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OMPI et les États membres devraient faire référence à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UNDRIP, et en particulier </w:t>
      </w:r>
      <w:r>
        <w:rPr>
          <w:sz w:val="24"/>
          <w:szCs w:val="24"/>
          <w:lang w:val="fr-FR"/>
        </w:rPr>
        <w:t>au principe</w:t>
      </w:r>
      <w:r w:rsidRPr="003841A1">
        <w:rPr>
          <w:sz w:val="24"/>
          <w:szCs w:val="24"/>
          <w:lang w:val="fr-FR"/>
        </w:rPr>
        <w:t xml:space="preserve"> d</w:t>
      </w:r>
      <w:r w:rsidR="003A10DB">
        <w:rPr>
          <w:sz w:val="24"/>
          <w:szCs w:val="24"/>
          <w:lang w:val="fr-FR"/>
        </w:rPr>
        <w:t>e</w:t>
      </w:r>
      <w:r w:rsidRPr="003841A1">
        <w:rPr>
          <w:sz w:val="24"/>
          <w:szCs w:val="24"/>
          <w:lang w:val="fr-FR"/>
        </w:rPr>
        <w:t xml:space="preserve"> consentement préalable, libre et éclairé, en ce qui concerne la </w:t>
      </w:r>
      <w:r w:rsidR="003A10DB" w:rsidRPr="003841A1">
        <w:rPr>
          <w:sz w:val="24"/>
          <w:szCs w:val="24"/>
          <w:lang w:val="fr-FR"/>
        </w:rPr>
        <w:t>possession</w:t>
      </w:r>
      <w:r w:rsidRPr="003841A1">
        <w:rPr>
          <w:sz w:val="24"/>
          <w:szCs w:val="24"/>
          <w:lang w:val="fr-FR"/>
        </w:rPr>
        <w:t>,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>utilisation et la protection de la propriété intellectuelle et des autres ressources des peuples autochtone</w:t>
      </w:r>
      <w:r w:rsidR="003A10DB">
        <w:rPr>
          <w:sz w:val="24"/>
          <w:szCs w:val="24"/>
          <w:lang w:val="fr-FR"/>
        </w:rPr>
        <w:t>s.</w:t>
      </w:r>
    </w:p>
    <w:p w:rsidR="00AA4928" w:rsidRPr="003841A1" w:rsidRDefault="003841A1" w:rsidP="003841A1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3841A1">
        <w:rPr>
          <w:rFonts w:eastAsia="Arial Unicode MS"/>
          <w:sz w:val="24"/>
          <w:szCs w:val="24"/>
          <w:lang w:val="fr-FR"/>
        </w:rPr>
        <w:t xml:space="preserve">Les États devraient </w:t>
      </w:r>
      <w:r>
        <w:rPr>
          <w:rFonts w:eastAsia="Arial Unicode MS"/>
          <w:sz w:val="24"/>
          <w:szCs w:val="24"/>
          <w:lang w:val="fr-FR"/>
        </w:rPr>
        <w:t>respecter</w:t>
      </w:r>
      <w:r w:rsidRPr="003841A1">
        <w:rPr>
          <w:rFonts w:eastAsia="Arial Unicode MS"/>
          <w:sz w:val="24"/>
          <w:szCs w:val="24"/>
          <w:lang w:val="fr-FR"/>
        </w:rPr>
        <w:t xml:space="preserve"> l</w:t>
      </w:r>
      <w:r w:rsidR="009A135D">
        <w:rPr>
          <w:rFonts w:eastAsia="Arial Unicode MS"/>
          <w:sz w:val="24"/>
          <w:szCs w:val="24"/>
          <w:lang w:val="fr-FR"/>
        </w:rPr>
        <w:t>’</w:t>
      </w:r>
      <w:r w:rsidRPr="003841A1">
        <w:rPr>
          <w:rFonts w:eastAsia="Arial Unicode MS"/>
          <w:sz w:val="24"/>
          <w:szCs w:val="24"/>
          <w:lang w:val="fr-FR"/>
        </w:rPr>
        <w:t>approche</w:t>
      </w:r>
      <w:r w:rsidR="003A10DB">
        <w:rPr>
          <w:rFonts w:eastAsia="Arial Unicode MS"/>
          <w:sz w:val="24"/>
          <w:szCs w:val="24"/>
          <w:lang w:val="fr-FR"/>
        </w:rPr>
        <w:t xml:space="preserve"> fondée sur les</w:t>
      </w:r>
      <w:r w:rsidRPr="003841A1">
        <w:rPr>
          <w:rFonts w:eastAsia="Arial Unicode MS"/>
          <w:sz w:val="24"/>
          <w:szCs w:val="24"/>
          <w:lang w:val="fr-FR"/>
        </w:rPr>
        <w:t xml:space="preserve"> </w:t>
      </w:r>
      <w:r w:rsidR="003A10DB" w:rsidRPr="003841A1">
        <w:rPr>
          <w:rFonts w:eastAsia="Arial Unicode MS"/>
          <w:sz w:val="24"/>
          <w:szCs w:val="24"/>
          <w:lang w:val="fr-FR"/>
        </w:rPr>
        <w:t>droits de l</w:t>
      </w:r>
      <w:r w:rsidR="009A135D">
        <w:rPr>
          <w:rFonts w:eastAsia="Arial Unicode MS"/>
          <w:sz w:val="24"/>
          <w:szCs w:val="24"/>
          <w:lang w:val="fr-FR"/>
        </w:rPr>
        <w:t>’</w:t>
      </w:r>
      <w:r w:rsidR="003A10DB" w:rsidRPr="003841A1">
        <w:rPr>
          <w:rFonts w:eastAsia="Arial Unicode MS"/>
          <w:sz w:val="24"/>
          <w:szCs w:val="24"/>
          <w:lang w:val="fr-FR"/>
        </w:rPr>
        <w:t xml:space="preserve">homme </w:t>
      </w:r>
      <w:r w:rsidR="00505652">
        <w:rPr>
          <w:rFonts w:eastAsia="Arial Unicode MS"/>
          <w:sz w:val="24"/>
          <w:szCs w:val="24"/>
          <w:lang w:val="fr-FR"/>
        </w:rPr>
        <w:t>se rapport</w:t>
      </w:r>
      <w:r w:rsidR="002D700C">
        <w:rPr>
          <w:rFonts w:eastAsia="Arial Unicode MS"/>
          <w:sz w:val="24"/>
          <w:szCs w:val="24"/>
          <w:lang w:val="fr-FR"/>
        </w:rPr>
        <w:t>ant</w:t>
      </w:r>
      <w:r w:rsidR="00505652">
        <w:rPr>
          <w:rFonts w:eastAsia="Arial Unicode MS"/>
          <w:sz w:val="24"/>
          <w:szCs w:val="24"/>
          <w:lang w:val="fr-FR"/>
        </w:rPr>
        <w:t xml:space="preserve"> a</w:t>
      </w:r>
      <w:r w:rsidRPr="003841A1">
        <w:rPr>
          <w:rFonts w:eastAsia="Arial Unicode MS"/>
          <w:sz w:val="24"/>
          <w:szCs w:val="24"/>
          <w:lang w:val="fr-FR"/>
        </w:rPr>
        <w:t xml:space="preserve">u </w:t>
      </w:r>
      <w:r>
        <w:rPr>
          <w:rFonts w:eastAsia="Arial Unicode MS"/>
          <w:sz w:val="24"/>
          <w:szCs w:val="24"/>
          <w:lang w:val="fr-FR"/>
        </w:rPr>
        <w:t>consentement préalable, libre et éclairé</w:t>
      </w:r>
      <w:r w:rsidRPr="003841A1">
        <w:rPr>
          <w:rFonts w:eastAsia="Arial Unicode MS"/>
          <w:sz w:val="24"/>
          <w:szCs w:val="24"/>
          <w:lang w:val="fr-FR"/>
        </w:rPr>
        <w:t xml:space="preserve">, </w:t>
      </w:r>
      <w:r w:rsidR="00505652">
        <w:rPr>
          <w:rFonts w:eastAsia="Arial Unicode MS"/>
          <w:sz w:val="24"/>
          <w:szCs w:val="24"/>
          <w:lang w:val="fr-FR"/>
        </w:rPr>
        <w:t>en encourageant notamment le</w:t>
      </w:r>
      <w:r w:rsidRPr="003841A1">
        <w:rPr>
          <w:rFonts w:eastAsia="Arial Unicode MS"/>
          <w:sz w:val="24"/>
          <w:szCs w:val="24"/>
          <w:lang w:val="fr-FR"/>
        </w:rPr>
        <w:t xml:space="preserve"> renforcement des capacités </w:t>
      </w:r>
      <w:r w:rsidR="00505652">
        <w:rPr>
          <w:rFonts w:eastAsia="Arial Unicode MS"/>
          <w:sz w:val="24"/>
          <w:szCs w:val="24"/>
          <w:lang w:val="fr-FR"/>
        </w:rPr>
        <w:t>auprès des</w:t>
      </w:r>
      <w:r w:rsidRPr="003841A1">
        <w:rPr>
          <w:rFonts w:eastAsia="Arial Unicode MS"/>
          <w:sz w:val="24"/>
          <w:szCs w:val="24"/>
          <w:lang w:val="fr-FR"/>
        </w:rPr>
        <w:t xml:space="preserve"> autorités et des fonctionnaires de l</w:t>
      </w:r>
      <w:r w:rsidR="009A135D">
        <w:rPr>
          <w:rFonts w:eastAsia="Arial Unicode MS"/>
          <w:sz w:val="24"/>
          <w:szCs w:val="24"/>
          <w:lang w:val="fr-FR"/>
        </w:rPr>
        <w:t>’</w:t>
      </w:r>
      <w:r w:rsidRPr="003841A1">
        <w:rPr>
          <w:rFonts w:eastAsia="Arial Unicode MS"/>
          <w:sz w:val="24"/>
          <w:szCs w:val="24"/>
          <w:lang w:val="fr-FR"/>
        </w:rPr>
        <w:t>État, y compris les juges et les législateurs.</w:t>
      </w:r>
    </w:p>
    <w:p w:rsidR="003841A1" w:rsidRPr="003841A1" w:rsidRDefault="003841A1" w:rsidP="00505652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3841A1">
        <w:rPr>
          <w:sz w:val="24"/>
          <w:szCs w:val="24"/>
          <w:lang w:val="fr-FR"/>
        </w:rPr>
        <w:t xml:space="preserve">Les États devraient </w:t>
      </w:r>
      <w:r w:rsidR="00505652">
        <w:rPr>
          <w:sz w:val="24"/>
          <w:szCs w:val="24"/>
          <w:lang w:val="fr-FR"/>
        </w:rPr>
        <w:t>mettre en place</w:t>
      </w:r>
      <w:r w:rsidRPr="003841A1">
        <w:rPr>
          <w:sz w:val="24"/>
          <w:szCs w:val="24"/>
          <w:lang w:val="fr-FR"/>
        </w:rPr>
        <w:t xml:space="preserve"> un ou plusieurs mécanismes réglementaires appropriés au niveau national, de préférence au niveau constitutionnel/législatif, </w:t>
      </w:r>
      <w:r w:rsidR="00505652">
        <w:rPr>
          <w:sz w:val="24"/>
          <w:szCs w:val="24"/>
          <w:lang w:val="fr-FR"/>
        </w:rPr>
        <w:t>faisant notamment</w:t>
      </w:r>
      <w:r w:rsidRPr="003841A1">
        <w:rPr>
          <w:sz w:val="24"/>
          <w:szCs w:val="24"/>
          <w:lang w:val="fr-FR"/>
        </w:rPr>
        <w:t xml:space="preserve"> référence à 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UNDRIP, </w:t>
      </w:r>
      <w:r w:rsidR="00505652">
        <w:rPr>
          <w:sz w:val="24"/>
          <w:szCs w:val="24"/>
          <w:lang w:val="fr-FR"/>
        </w:rPr>
        <w:t>aux côtés des</w:t>
      </w:r>
      <w:r w:rsidRPr="003841A1">
        <w:rPr>
          <w:sz w:val="24"/>
          <w:szCs w:val="24"/>
          <w:lang w:val="fr-FR"/>
        </w:rPr>
        <w:t xml:space="preserve"> peuples autochtones, </w:t>
      </w:r>
      <w:r w:rsidR="00505652">
        <w:rPr>
          <w:sz w:val="24"/>
          <w:szCs w:val="24"/>
          <w:lang w:val="fr-FR"/>
        </w:rPr>
        <w:t>afin de tenir des</w:t>
      </w:r>
      <w:r w:rsidRPr="003841A1">
        <w:rPr>
          <w:sz w:val="24"/>
          <w:szCs w:val="24"/>
          <w:lang w:val="fr-FR"/>
        </w:rPr>
        <w:t xml:space="preserve"> consultations dans les situations où le </w:t>
      </w:r>
      <w:r w:rsidR="00C766C8">
        <w:rPr>
          <w:sz w:val="24"/>
          <w:szCs w:val="24"/>
          <w:lang w:val="fr-FR"/>
        </w:rPr>
        <w:t>consentement préalable, libre et éclairé</w:t>
      </w:r>
      <w:r w:rsidRPr="003841A1">
        <w:rPr>
          <w:sz w:val="24"/>
          <w:szCs w:val="24"/>
          <w:lang w:val="fr-FR"/>
        </w:rPr>
        <w:t xml:space="preserve"> est nécessaire ou </w:t>
      </w:r>
      <w:r w:rsidR="00505652">
        <w:rPr>
          <w:sz w:val="24"/>
          <w:szCs w:val="24"/>
          <w:lang w:val="fr-FR"/>
        </w:rPr>
        <w:t>lorsqu</w:t>
      </w:r>
      <w:r w:rsidR="009A135D">
        <w:rPr>
          <w:sz w:val="24"/>
          <w:szCs w:val="24"/>
          <w:lang w:val="fr-FR"/>
        </w:rPr>
        <w:t>’</w:t>
      </w:r>
      <w:r w:rsidR="00505652">
        <w:rPr>
          <w:sz w:val="24"/>
          <w:szCs w:val="24"/>
          <w:lang w:val="fr-FR"/>
        </w:rPr>
        <w:t>il constitue</w:t>
      </w:r>
      <w:r w:rsidR="00C766C8">
        <w:rPr>
          <w:sz w:val="24"/>
          <w:szCs w:val="24"/>
          <w:lang w:val="fr-FR"/>
        </w:rPr>
        <w:t xml:space="preserve"> </w:t>
      </w:r>
      <w:r w:rsidR="00505652">
        <w:rPr>
          <w:sz w:val="24"/>
          <w:szCs w:val="24"/>
          <w:lang w:val="fr-FR"/>
        </w:rPr>
        <w:t>l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objectif </w:t>
      </w:r>
      <w:r w:rsidR="00505652">
        <w:rPr>
          <w:sz w:val="24"/>
          <w:szCs w:val="24"/>
          <w:lang w:val="fr-FR"/>
        </w:rPr>
        <w:t xml:space="preserve">même </w:t>
      </w:r>
      <w:r w:rsidRPr="003841A1">
        <w:rPr>
          <w:sz w:val="24"/>
          <w:szCs w:val="24"/>
          <w:lang w:val="fr-FR"/>
        </w:rPr>
        <w:t>de la consultation</w:t>
      </w:r>
      <w:r w:rsidR="00C766C8" w:rsidRPr="003841A1">
        <w:rPr>
          <w:rStyle w:val="Refdenotaalpie"/>
          <w:sz w:val="24"/>
          <w:szCs w:val="24"/>
          <w:lang w:val="fr-FR"/>
        </w:rPr>
        <w:footnoteReference w:id="1"/>
      </w:r>
      <w:r w:rsidRPr="003841A1">
        <w:rPr>
          <w:sz w:val="24"/>
          <w:szCs w:val="24"/>
          <w:lang w:val="fr-FR"/>
        </w:rPr>
        <w:t>.</w:t>
      </w:r>
      <w:r w:rsidR="00C766C8">
        <w:rPr>
          <w:sz w:val="24"/>
          <w:szCs w:val="24"/>
          <w:lang w:val="fr-FR"/>
        </w:rPr>
        <w:t xml:space="preserve"> </w:t>
      </w:r>
      <w:r w:rsidRPr="003841A1">
        <w:rPr>
          <w:sz w:val="24"/>
          <w:szCs w:val="24"/>
          <w:lang w:val="fr-FR"/>
        </w:rPr>
        <w:t>La mise en place d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un tel mécanisme </w:t>
      </w:r>
      <w:r w:rsidR="00CC25AB">
        <w:rPr>
          <w:sz w:val="24"/>
          <w:szCs w:val="24"/>
          <w:lang w:val="fr-FR"/>
        </w:rPr>
        <w:t xml:space="preserve">requiert elle-même </w:t>
      </w:r>
      <w:r w:rsidRPr="003841A1">
        <w:rPr>
          <w:sz w:val="24"/>
          <w:szCs w:val="24"/>
          <w:lang w:val="fr-FR"/>
        </w:rPr>
        <w:t xml:space="preserve">un processus de consultation dans un </w:t>
      </w:r>
      <w:r w:rsidR="00CC25AB">
        <w:rPr>
          <w:sz w:val="24"/>
          <w:szCs w:val="24"/>
          <w:lang w:val="fr-FR"/>
        </w:rPr>
        <w:t>climat</w:t>
      </w:r>
      <w:r w:rsidRPr="003841A1">
        <w:rPr>
          <w:sz w:val="24"/>
          <w:szCs w:val="24"/>
          <w:lang w:val="fr-FR"/>
        </w:rPr>
        <w:t xml:space="preserve"> de confiance et de bonne foi, et devrait </w:t>
      </w:r>
      <w:r w:rsidR="00C766C8">
        <w:rPr>
          <w:sz w:val="24"/>
          <w:szCs w:val="24"/>
          <w:lang w:val="fr-FR"/>
        </w:rPr>
        <w:t>aller de pair avec</w:t>
      </w:r>
      <w:r w:rsidRPr="003841A1">
        <w:rPr>
          <w:sz w:val="24"/>
          <w:szCs w:val="24"/>
          <w:lang w:val="fr-FR"/>
        </w:rPr>
        <w:t xml:space="preserve"> la mise en place d</w:t>
      </w:r>
      <w:r w:rsidR="009A135D">
        <w:rPr>
          <w:sz w:val="24"/>
          <w:szCs w:val="24"/>
          <w:lang w:val="fr-FR"/>
        </w:rPr>
        <w:t>’</w:t>
      </w:r>
      <w:r w:rsidRPr="003841A1">
        <w:rPr>
          <w:sz w:val="24"/>
          <w:szCs w:val="24"/>
          <w:lang w:val="fr-FR"/>
        </w:rPr>
        <w:t xml:space="preserve">institutions de mise en œuvre adéquates, employant des fonctionnaires bien formés et </w:t>
      </w:r>
      <w:r w:rsidR="002D700C">
        <w:rPr>
          <w:sz w:val="24"/>
          <w:szCs w:val="24"/>
          <w:lang w:val="fr-FR"/>
        </w:rPr>
        <w:t>garantissant</w:t>
      </w:r>
      <w:r w:rsidRPr="003841A1">
        <w:rPr>
          <w:sz w:val="24"/>
          <w:szCs w:val="24"/>
          <w:lang w:val="fr-FR"/>
        </w:rPr>
        <w:t xml:space="preserve"> un financement adéquat. Un tel mécanisme pourrait également </w:t>
      </w:r>
      <w:r w:rsidR="00CC25AB">
        <w:rPr>
          <w:sz w:val="24"/>
          <w:szCs w:val="24"/>
          <w:lang w:val="fr-FR"/>
        </w:rPr>
        <w:t>faire office</w:t>
      </w:r>
      <w:r w:rsidRPr="003841A1">
        <w:rPr>
          <w:sz w:val="24"/>
          <w:szCs w:val="24"/>
          <w:lang w:val="fr-FR"/>
        </w:rPr>
        <w:t xml:space="preserve"> de mécanisme de contrôle</w:t>
      </w:r>
      <w:r w:rsidR="00C766C8" w:rsidRPr="003841A1">
        <w:rPr>
          <w:rStyle w:val="Refdenotaalpie"/>
          <w:sz w:val="24"/>
          <w:szCs w:val="24"/>
          <w:lang w:val="fr-FR"/>
        </w:rPr>
        <w:footnoteReference w:id="2"/>
      </w:r>
      <w:r w:rsidRPr="003841A1">
        <w:rPr>
          <w:sz w:val="24"/>
          <w:szCs w:val="24"/>
          <w:lang w:val="fr-FR"/>
        </w:rPr>
        <w:t>.</w:t>
      </w:r>
    </w:p>
    <w:p w:rsidR="00FA39B6" w:rsidRPr="00FA39B6" w:rsidRDefault="00FA39B6" w:rsidP="00CC25AB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FA39B6">
        <w:rPr>
          <w:sz w:val="24"/>
          <w:szCs w:val="24"/>
          <w:lang w:val="fr-FR"/>
        </w:rPr>
        <w:t>Les États devraient s</w:t>
      </w:r>
      <w:r w:rsidR="009A135D">
        <w:rPr>
          <w:sz w:val="24"/>
          <w:szCs w:val="24"/>
          <w:lang w:val="fr-FR"/>
        </w:rPr>
        <w:t>’</w:t>
      </w:r>
      <w:r w:rsidRPr="00FA39B6">
        <w:rPr>
          <w:sz w:val="24"/>
          <w:szCs w:val="24"/>
          <w:lang w:val="fr-FR"/>
        </w:rPr>
        <w:t xml:space="preserve">engager directement auprès des peuples autochtones. </w:t>
      </w:r>
      <w:r w:rsidR="00CC25AB">
        <w:rPr>
          <w:sz w:val="24"/>
          <w:szCs w:val="24"/>
          <w:lang w:val="fr-FR"/>
        </w:rPr>
        <w:t xml:space="preserve">Dans les cas où </w:t>
      </w:r>
      <w:r w:rsidR="002D700C">
        <w:rPr>
          <w:sz w:val="24"/>
          <w:szCs w:val="24"/>
          <w:lang w:val="fr-FR"/>
        </w:rPr>
        <w:t>il peut</w:t>
      </w:r>
      <w:r w:rsidR="002D700C" w:rsidRPr="00FA39B6">
        <w:rPr>
          <w:sz w:val="24"/>
          <w:szCs w:val="24"/>
          <w:lang w:val="fr-FR"/>
        </w:rPr>
        <w:t xml:space="preserve"> </w:t>
      </w:r>
      <w:r w:rsidR="002D700C">
        <w:rPr>
          <w:sz w:val="24"/>
          <w:szCs w:val="24"/>
          <w:lang w:val="fr-FR"/>
        </w:rPr>
        <w:t>s’avérer</w:t>
      </w:r>
      <w:r w:rsidR="002D700C" w:rsidRPr="00FA39B6">
        <w:rPr>
          <w:sz w:val="24"/>
          <w:szCs w:val="24"/>
          <w:lang w:val="fr-FR"/>
        </w:rPr>
        <w:t xml:space="preserve"> plus efficace</w:t>
      </w:r>
      <w:r w:rsidR="002D700C">
        <w:rPr>
          <w:sz w:val="24"/>
          <w:szCs w:val="24"/>
          <w:lang w:val="fr-FR"/>
        </w:rPr>
        <w:t xml:space="preserve"> d’entamer des</w:t>
      </w:r>
      <w:r w:rsidRPr="00FA39B6">
        <w:rPr>
          <w:sz w:val="24"/>
          <w:szCs w:val="24"/>
          <w:lang w:val="fr-FR"/>
        </w:rPr>
        <w:t xml:space="preserve"> négociations directes entre les peuples autochtones et les entreprises privées </w:t>
      </w:r>
      <w:r w:rsidR="002E3478">
        <w:rPr>
          <w:sz w:val="24"/>
          <w:szCs w:val="24"/>
          <w:lang w:val="fr-FR"/>
        </w:rPr>
        <w:t>concernées</w:t>
      </w:r>
      <w:r w:rsidRPr="00FA39B6">
        <w:rPr>
          <w:sz w:val="24"/>
          <w:szCs w:val="24"/>
          <w:lang w:val="fr-FR"/>
        </w:rPr>
        <w:t xml:space="preserve">, </w:t>
      </w:r>
      <w:r w:rsidR="00CC25AB">
        <w:rPr>
          <w:sz w:val="24"/>
          <w:szCs w:val="24"/>
          <w:lang w:val="fr-FR"/>
        </w:rPr>
        <w:t>c</w:t>
      </w:r>
      <w:r w:rsidRPr="00FA39B6">
        <w:rPr>
          <w:sz w:val="24"/>
          <w:szCs w:val="24"/>
          <w:lang w:val="fr-FR"/>
        </w:rPr>
        <w:t xml:space="preserve">es entreprises doivent elles-mêmes faire preuve de </w:t>
      </w:r>
      <w:r w:rsidR="00CC25AB">
        <w:rPr>
          <w:sz w:val="24"/>
          <w:szCs w:val="24"/>
          <w:lang w:val="fr-FR"/>
        </w:rPr>
        <w:t xml:space="preserve">la </w:t>
      </w:r>
      <w:r w:rsidRPr="00FA39B6">
        <w:rPr>
          <w:sz w:val="24"/>
          <w:szCs w:val="24"/>
          <w:lang w:val="fr-FR"/>
        </w:rPr>
        <w:t xml:space="preserve">diligence </w:t>
      </w:r>
      <w:r w:rsidR="00CC25AB">
        <w:rPr>
          <w:sz w:val="24"/>
          <w:szCs w:val="24"/>
          <w:lang w:val="fr-FR"/>
        </w:rPr>
        <w:t>voulue</w:t>
      </w:r>
      <w:r w:rsidRPr="00FA39B6">
        <w:rPr>
          <w:sz w:val="24"/>
          <w:szCs w:val="24"/>
          <w:lang w:val="fr-FR"/>
        </w:rPr>
        <w:t xml:space="preserve"> pour s</w:t>
      </w:r>
      <w:r w:rsidR="009A135D">
        <w:rPr>
          <w:sz w:val="24"/>
          <w:szCs w:val="24"/>
          <w:lang w:val="fr-FR"/>
        </w:rPr>
        <w:t>’</w:t>
      </w:r>
      <w:r w:rsidRPr="00FA39B6">
        <w:rPr>
          <w:sz w:val="24"/>
          <w:szCs w:val="24"/>
          <w:lang w:val="fr-FR"/>
        </w:rPr>
        <w:t>assurer de l</w:t>
      </w:r>
      <w:r w:rsidR="009A135D">
        <w:rPr>
          <w:sz w:val="24"/>
          <w:szCs w:val="24"/>
          <w:lang w:val="fr-FR"/>
        </w:rPr>
        <w:t>’</w:t>
      </w:r>
      <w:r w:rsidRPr="00FA39B6">
        <w:rPr>
          <w:sz w:val="24"/>
          <w:szCs w:val="24"/>
          <w:lang w:val="fr-FR"/>
        </w:rPr>
        <w:t xml:space="preserve">adéquation des procédures de consultation. Les États </w:t>
      </w:r>
      <w:r w:rsidR="00CC25AB">
        <w:rPr>
          <w:sz w:val="24"/>
          <w:szCs w:val="24"/>
          <w:lang w:val="fr-FR"/>
        </w:rPr>
        <w:t>demeurent</w:t>
      </w:r>
      <w:r w:rsidRPr="00FA39B6">
        <w:rPr>
          <w:sz w:val="24"/>
          <w:szCs w:val="24"/>
          <w:lang w:val="fr-FR"/>
        </w:rPr>
        <w:t xml:space="preserve"> responsables de toute in</w:t>
      </w:r>
      <w:r w:rsidR="002E3478">
        <w:rPr>
          <w:sz w:val="24"/>
          <w:szCs w:val="24"/>
          <w:lang w:val="fr-FR"/>
        </w:rPr>
        <w:t>adéquation éventuelle de ces procédures</w:t>
      </w:r>
      <w:r w:rsidRPr="00FA39B6">
        <w:rPr>
          <w:sz w:val="24"/>
          <w:szCs w:val="24"/>
          <w:lang w:val="fr-FR"/>
        </w:rPr>
        <w:t xml:space="preserve"> et devraient veiller à ce que des mesures soient mises en place pour superviser et évaluer les procédures </w:t>
      </w:r>
      <w:r w:rsidR="002E3478">
        <w:rPr>
          <w:sz w:val="24"/>
          <w:szCs w:val="24"/>
          <w:lang w:val="fr-FR"/>
        </w:rPr>
        <w:t>adoptées</w:t>
      </w:r>
      <w:r w:rsidRPr="00FA39B6">
        <w:rPr>
          <w:sz w:val="24"/>
          <w:szCs w:val="24"/>
          <w:lang w:val="fr-FR"/>
        </w:rPr>
        <w:t xml:space="preserve"> par les entreprises.</w:t>
      </w:r>
    </w:p>
    <w:p w:rsidR="00AA4928" w:rsidRPr="003841A1" w:rsidRDefault="002E3478" w:rsidP="002E3478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2E3478">
        <w:rPr>
          <w:sz w:val="24"/>
          <w:szCs w:val="24"/>
          <w:lang w:val="fr-FR"/>
        </w:rPr>
        <w:t xml:space="preserve">Les États devraient </w:t>
      </w:r>
      <w:r w:rsidR="002D700C">
        <w:rPr>
          <w:sz w:val="24"/>
          <w:szCs w:val="24"/>
          <w:lang w:val="fr-FR"/>
        </w:rPr>
        <w:t>créer</w:t>
      </w:r>
      <w:r w:rsidRPr="002E3478">
        <w:rPr>
          <w:sz w:val="24"/>
          <w:szCs w:val="24"/>
          <w:lang w:val="fr-FR"/>
        </w:rPr>
        <w:t xml:space="preserve"> les conditions </w:t>
      </w:r>
      <w:r>
        <w:rPr>
          <w:sz w:val="24"/>
          <w:szCs w:val="24"/>
          <w:lang w:val="fr-FR"/>
        </w:rPr>
        <w:t>requises pour garantir le respect du principe de</w:t>
      </w:r>
      <w:r w:rsidRPr="002E3478">
        <w:rPr>
          <w:sz w:val="24"/>
          <w:szCs w:val="24"/>
          <w:lang w:val="fr-FR"/>
        </w:rPr>
        <w:t xml:space="preserve"> consentement préalable, libre</w:t>
      </w:r>
      <w:r>
        <w:rPr>
          <w:sz w:val="24"/>
          <w:szCs w:val="24"/>
          <w:lang w:val="fr-FR"/>
        </w:rPr>
        <w:t xml:space="preserve"> </w:t>
      </w:r>
      <w:r w:rsidRPr="002E3478">
        <w:rPr>
          <w:sz w:val="24"/>
          <w:szCs w:val="24"/>
          <w:lang w:val="fr-FR"/>
        </w:rPr>
        <w:t xml:space="preserve">et éclairé, </w:t>
      </w:r>
      <w:r>
        <w:rPr>
          <w:sz w:val="24"/>
          <w:szCs w:val="24"/>
          <w:lang w:val="fr-FR"/>
        </w:rPr>
        <w:t>en veillant notamment à l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instauration d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un climat</w:t>
      </w:r>
      <w:r w:rsidRPr="002E3478">
        <w:rPr>
          <w:sz w:val="24"/>
          <w:szCs w:val="24"/>
          <w:lang w:val="fr-FR"/>
        </w:rPr>
        <w:t xml:space="preserve"> de confiance</w:t>
      </w:r>
      <w:r>
        <w:rPr>
          <w:sz w:val="24"/>
          <w:szCs w:val="24"/>
          <w:lang w:val="fr-FR"/>
        </w:rPr>
        <w:t xml:space="preserve"> et</w:t>
      </w:r>
      <w:r w:rsidRPr="002E3478">
        <w:rPr>
          <w:sz w:val="24"/>
          <w:szCs w:val="24"/>
          <w:lang w:val="fr-FR"/>
        </w:rPr>
        <w:t xml:space="preserve"> de bonne foi</w:t>
      </w:r>
      <w:r>
        <w:rPr>
          <w:sz w:val="24"/>
          <w:szCs w:val="24"/>
          <w:lang w:val="fr-FR"/>
        </w:rPr>
        <w:t>, ainsi qu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au recours à</w:t>
      </w:r>
      <w:r w:rsidRPr="002E3478">
        <w:rPr>
          <w:sz w:val="24"/>
          <w:szCs w:val="24"/>
          <w:lang w:val="fr-FR"/>
        </w:rPr>
        <w:t xml:space="preserve"> des méthodes de négociation appropriées</w:t>
      </w:r>
      <w:r>
        <w:rPr>
          <w:sz w:val="24"/>
          <w:szCs w:val="24"/>
          <w:lang w:val="fr-FR"/>
        </w:rPr>
        <w:t xml:space="preserve"> sur le plan culturel</w:t>
      </w:r>
      <w:r w:rsidRPr="002E3478">
        <w:rPr>
          <w:sz w:val="24"/>
          <w:szCs w:val="24"/>
          <w:lang w:val="fr-FR"/>
        </w:rPr>
        <w:t xml:space="preserve">. Le processus </w:t>
      </w:r>
      <w:r>
        <w:rPr>
          <w:sz w:val="24"/>
          <w:szCs w:val="24"/>
          <w:lang w:val="fr-FR"/>
        </w:rPr>
        <w:t>doit se dérouler de manière officielle</w:t>
      </w:r>
      <w:r w:rsidRPr="002E347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et </w:t>
      </w:r>
      <w:r w:rsidRPr="002E3478">
        <w:rPr>
          <w:sz w:val="24"/>
          <w:szCs w:val="24"/>
          <w:lang w:val="fr-FR"/>
        </w:rPr>
        <w:t>dans</w:t>
      </w:r>
      <w:r>
        <w:rPr>
          <w:sz w:val="24"/>
          <w:szCs w:val="24"/>
          <w:lang w:val="fr-FR"/>
        </w:rPr>
        <w:t xml:space="preserve"> un contexte d</w:t>
      </w:r>
      <w:r w:rsidRPr="002E3478">
        <w:rPr>
          <w:sz w:val="24"/>
          <w:szCs w:val="24"/>
          <w:lang w:val="fr-FR"/>
        </w:rPr>
        <w:t>e respect mutuel</w:t>
      </w:r>
      <w:r w:rsidR="00AA4928" w:rsidRPr="003841A1">
        <w:rPr>
          <w:sz w:val="24"/>
          <w:szCs w:val="24"/>
          <w:lang w:val="fr-FR"/>
        </w:rPr>
        <w:t>.</w:t>
      </w:r>
    </w:p>
    <w:p w:rsidR="00AA4928" w:rsidRPr="003841A1" w:rsidRDefault="002E3478" w:rsidP="00584723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Les </w:t>
      </w:r>
      <w:r w:rsidRPr="002E3478">
        <w:rPr>
          <w:sz w:val="24"/>
          <w:szCs w:val="24"/>
          <w:lang w:val="fr-FR"/>
        </w:rPr>
        <w:t>États devraient veiller à ce que le consentement soit toujours l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 xml:space="preserve">objectif des consultations et </w:t>
      </w:r>
      <w:r>
        <w:rPr>
          <w:sz w:val="24"/>
          <w:szCs w:val="24"/>
          <w:lang w:val="fr-FR"/>
        </w:rPr>
        <w:t>encourager le lancement de c</w:t>
      </w:r>
      <w:r w:rsidRPr="002E3478">
        <w:rPr>
          <w:sz w:val="24"/>
          <w:szCs w:val="24"/>
          <w:lang w:val="fr-FR"/>
        </w:rPr>
        <w:t>es consultations</w:t>
      </w:r>
      <w:r>
        <w:rPr>
          <w:sz w:val="24"/>
          <w:szCs w:val="24"/>
          <w:lang w:val="fr-FR"/>
        </w:rPr>
        <w:t xml:space="preserve"> </w:t>
      </w:r>
      <w:r w:rsidRPr="002E3478">
        <w:rPr>
          <w:sz w:val="24"/>
          <w:szCs w:val="24"/>
          <w:lang w:val="fr-FR"/>
        </w:rPr>
        <w:t>dès la phase de planification (c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>est-à-dire avant que l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>État/</w:t>
      </w:r>
      <w:r>
        <w:rPr>
          <w:sz w:val="24"/>
          <w:szCs w:val="24"/>
          <w:lang w:val="fr-FR"/>
        </w:rPr>
        <w:t>l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>entreprise</w:t>
      </w:r>
      <w:r>
        <w:rPr>
          <w:sz w:val="24"/>
          <w:szCs w:val="24"/>
          <w:lang w:val="fr-FR"/>
        </w:rPr>
        <w:t xml:space="preserve"> concernée</w:t>
      </w:r>
      <w:r w:rsidRPr="002E3478">
        <w:rPr>
          <w:sz w:val="24"/>
          <w:szCs w:val="24"/>
          <w:lang w:val="fr-FR"/>
        </w:rPr>
        <w:t xml:space="preserve"> s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 xml:space="preserve">engage à </w:t>
      </w:r>
      <w:r>
        <w:rPr>
          <w:sz w:val="24"/>
          <w:szCs w:val="24"/>
          <w:lang w:val="fr-FR"/>
        </w:rPr>
        <w:t>entamer</w:t>
      </w:r>
      <w:r w:rsidRPr="002E3478">
        <w:rPr>
          <w:sz w:val="24"/>
          <w:szCs w:val="24"/>
          <w:lang w:val="fr-FR"/>
        </w:rPr>
        <w:t xml:space="preserve"> un projet </w:t>
      </w:r>
      <w:r>
        <w:rPr>
          <w:sz w:val="24"/>
          <w:szCs w:val="24"/>
          <w:lang w:val="fr-FR"/>
        </w:rPr>
        <w:t>donné</w:t>
      </w:r>
      <w:r w:rsidRPr="002E3478">
        <w:rPr>
          <w:sz w:val="24"/>
          <w:szCs w:val="24"/>
          <w:lang w:val="fr-FR"/>
        </w:rPr>
        <w:t xml:space="preserve"> ou adopte une mesure particulière telle que l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>octroi d</w:t>
      </w:r>
      <w:r w:rsidR="009A135D">
        <w:rPr>
          <w:sz w:val="24"/>
          <w:szCs w:val="24"/>
          <w:lang w:val="fr-FR"/>
        </w:rPr>
        <w:t>’</w:t>
      </w:r>
      <w:r w:rsidRPr="002E3478">
        <w:rPr>
          <w:sz w:val="24"/>
          <w:szCs w:val="24"/>
          <w:lang w:val="fr-FR"/>
        </w:rPr>
        <w:t>une licence pour un projet) afin que les peuples autochtones puissent</w:t>
      </w:r>
      <w:r>
        <w:rPr>
          <w:sz w:val="24"/>
          <w:szCs w:val="24"/>
          <w:lang w:val="fr-FR"/>
        </w:rPr>
        <w:t xml:space="preserve"> avoir une</w:t>
      </w:r>
      <w:r w:rsidRPr="002E3478">
        <w:rPr>
          <w:sz w:val="24"/>
          <w:szCs w:val="24"/>
          <w:lang w:val="fr-FR"/>
        </w:rPr>
        <w:t xml:space="preserve"> influence</w:t>
      </w:r>
      <w:r>
        <w:rPr>
          <w:sz w:val="24"/>
          <w:szCs w:val="24"/>
          <w:lang w:val="fr-FR"/>
        </w:rPr>
        <w:t xml:space="preserve"> sur</w:t>
      </w:r>
      <w:r w:rsidRPr="002E3478">
        <w:rPr>
          <w:sz w:val="24"/>
          <w:szCs w:val="24"/>
          <w:lang w:val="fr-FR"/>
        </w:rPr>
        <w:t xml:space="preserve"> les décisions finales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3"/>
      </w:r>
      <w:r w:rsidR="00AA4928" w:rsidRPr="003841A1">
        <w:rPr>
          <w:sz w:val="24"/>
          <w:szCs w:val="24"/>
          <w:lang w:val="fr-FR"/>
        </w:rPr>
        <w:t xml:space="preserve">. </w:t>
      </w:r>
      <w:r w:rsidR="00E81410" w:rsidRPr="00E81410">
        <w:rPr>
          <w:sz w:val="24"/>
          <w:szCs w:val="24"/>
          <w:lang w:val="fr-FR"/>
        </w:rPr>
        <w:t xml:space="preserve">Les </w:t>
      </w:r>
      <w:r w:rsidR="00A62080">
        <w:rPr>
          <w:sz w:val="24"/>
          <w:szCs w:val="24"/>
          <w:lang w:val="fr-FR"/>
        </w:rPr>
        <w:t>activités</w:t>
      </w:r>
      <w:r w:rsidR="00E81410" w:rsidRPr="00E81410">
        <w:rPr>
          <w:sz w:val="24"/>
          <w:szCs w:val="24"/>
          <w:lang w:val="fr-FR"/>
        </w:rPr>
        <w:t xml:space="preserve"> </w:t>
      </w:r>
      <w:r w:rsidR="00E81410" w:rsidRPr="002D700C">
        <w:rPr>
          <w:sz w:val="24"/>
          <w:szCs w:val="24"/>
          <w:lang w:val="fr-FR"/>
        </w:rPr>
        <w:t xml:space="preserve">soumises à consultation doivent être </w:t>
      </w:r>
      <w:r w:rsidR="00A62080">
        <w:rPr>
          <w:sz w:val="24"/>
          <w:szCs w:val="24"/>
          <w:lang w:val="fr-FR"/>
        </w:rPr>
        <w:t>clairement définies</w:t>
      </w:r>
      <w:r w:rsidR="00E81410" w:rsidRPr="002D700C">
        <w:rPr>
          <w:sz w:val="24"/>
          <w:szCs w:val="24"/>
          <w:lang w:val="fr-FR"/>
        </w:rPr>
        <w:t xml:space="preserve"> afin d</w:t>
      </w:r>
      <w:r w:rsidR="009A135D" w:rsidRPr="002D700C">
        <w:rPr>
          <w:sz w:val="24"/>
          <w:szCs w:val="24"/>
          <w:lang w:val="fr-FR"/>
        </w:rPr>
        <w:t>’</w:t>
      </w:r>
      <w:r w:rsidR="00E81410" w:rsidRPr="002D700C">
        <w:rPr>
          <w:sz w:val="24"/>
          <w:szCs w:val="24"/>
          <w:lang w:val="fr-FR"/>
        </w:rPr>
        <w:t xml:space="preserve">éviter, entre autres, </w:t>
      </w:r>
      <w:r w:rsidR="002D700C">
        <w:rPr>
          <w:sz w:val="24"/>
          <w:szCs w:val="24"/>
          <w:lang w:val="fr-FR"/>
        </w:rPr>
        <w:t>que</w:t>
      </w:r>
      <w:r w:rsidR="00E81410" w:rsidRPr="002D700C">
        <w:rPr>
          <w:sz w:val="24"/>
          <w:szCs w:val="24"/>
          <w:lang w:val="fr-FR"/>
        </w:rPr>
        <w:t xml:space="preserve"> l</w:t>
      </w:r>
      <w:r w:rsidR="009A135D" w:rsidRPr="002D700C">
        <w:rPr>
          <w:sz w:val="24"/>
          <w:szCs w:val="24"/>
          <w:lang w:val="fr-FR"/>
        </w:rPr>
        <w:t>’</w:t>
      </w:r>
      <w:r w:rsidR="00E81410" w:rsidRPr="002D700C">
        <w:rPr>
          <w:sz w:val="24"/>
          <w:szCs w:val="24"/>
          <w:lang w:val="fr-FR"/>
        </w:rPr>
        <w:t>État</w:t>
      </w:r>
      <w:r w:rsidR="002D700C">
        <w:rPr>
          <w:sz w:val="24"/>
          <w:szCs w:val="24"/>
          <w:lang w:val="fr-FR"/>
        </w:rPr>
        <w:t xml:space="preserve"> ne paralyse le processus</w:t>
      </w:r>
      <w:r w:rsidR="00E81410" w:rsidRPr="00E81410">
        <w:rPr>
          <w:sz w:val="24"/>
          <w:szCs w:val="24"/>
          <w:lang w:val="fr-FR"/>
        </w:rPr>
        <w:t xml:space="preserve">. Les consultations doivent se dérouler </w:t>
      </w:r>
      <w:r w:rsidR="00584723">
        <w:rPr>
          <w:sz w:val="24"/>
          <w:szCs w:val="24"/>
          <w:lang w:val="fr-FR"/>
        </w:rPr>
        <w:t>pendant toute la durée</w:t>
      </w:r>
      <w:r w:rsidR="00E81410" w:rsidRPr="00E81410">
        <w:rPr>
          <w:sz w:val="24"/>
          <w:szCs w:val="24"/>
          <w:lang w:val="fr-FR"/>
        </w:rPr>
        <w:t xml:space="preserve"> d</w:t>
      </w:r>
      <w:r w:rsidR="002D700C">
        <w:rPr>
          <w:sz w:val="24"/>
          <w:szCs w:val="24"/>
          <w:lang w:val="fr-FR"/>
        </w:rPr>
        <w:t>e la mise au point</w:t>
      </w:r>
      <w:r w:rsidR="00E81410" w:rsidRPr="00E81410">
        <w:rPr>
          <w:sz w:val="24"/>
          <w:szCs w:val="24"/>
          <w:lang w:val="fr-FR"/>
        </w:rPr>
        <w:t xml:space="preserve"> du projet, ce qui implique une </w:t>
      </w:r>
      <w:r w:rsidR="00584723">
        <w:rPr>
          <w:sz w:val="24"/>
          <w:szCs w:val="24"/>
          <w:lang w:val="fr-FR"/>
        </w:rPr>
        <w:t>« </w:t>
      </w:r>
      <w:r w:rsidR="00E81410" w:rsidRPr="00E81410">
        <w:rPr>
          <w:sz w:val="24"/>
          <w:szCs w:val="24"/>
          <w:lang w:val="fr-FR"/>
        </w:rPr>
        <w:t>communication constante entre les parties</w:t>
      </w:r>
      <w:r w:rsidR="00584723">
        <w:rPr>
          <w:sz w:val="24"/>
          <w:szCs w:val="24"/>
          <w:lang w:val="fr-FR"/>
        </w:rPr>
        <w:t> »</w:t>
      </w:r>
      <w:r w:rsidR="00AA4928" w:rsidRPr="003841A1">
        <w:rPr>
          <w:rStyle w:val="Refdenotaalpie"/>
          <w:sz w:val="24"/>
          <w:szCs w:val="24"/>
          <w:lang w:val="fr-FR"/>
        </w:rPr>
        <w:footnoteReference w:id="4"/>
      </w:r>
      <w:r w:rsidR="00AA4928" w:rsidRPr="003841A1">
        <w:rPr>
          <w:sz w:val="24"/>
          <w:szCs w:val="24"/>
          <w:lang w:val="fr-FR"/>
        </w:rPr>
        <w:t xml:space="preserve"> </w:t>
      </w:r>
      <w:r w:rsidR="00584723" w:rsidRPr="00584723">
        <w:rPr>
          <w:sz w:val="24"/>
          <w:szCs w:val="24"/>
          <w:lang w:val="fr-FR"/>
        </w:rPr>
        <w:t>et ne doi</w:t>
      </w:r>
      <w:r w:rsidR="00584723">
        <w:rPr>
          <w:sz w:val="24"/>
          <w:szCs w:val="24"/>
          <w:lang w:val="fr-FR"/>
        </w:rPr>
        <w:t>ven</w:t>
      </w:r>
      <w:r w:rsidR="00584723" w:rsidRPr="00584723">
        <w:rPr>
          <w:sz w:val="24"/>
          <w:szCs w:val="24"/>
          <w:lang w:val="fr-FR"/>
        </w:rPr>
        <w:t>t pas être confondu</w:t>
      </w:r>
      <w:r w:rsidR="00584723">
        <w:rPr>
          <w:sz w:val="24"/>
          <w:szCs w:val="24"/>
          <w:lang w:val="fr-FR"/>
        </w:rPr>
        <w:t>es</w:t>
      </w:r>
      <w:r w:rsidR="00584723" w:rsidRPr="00584723">
        <w:rPr>
          <w:sz w:val="24"/>
          <w:szCs w:val="24"/>
          <w:lang w:val="fr-FR"/>
        </w:rPr>
        <w:t xml:space="preserve"> avec </w:t>
      </w:r>
      <w:r w:rsidR="00584723">
        <w:rPr>
          <w:sz w:val="24"/>
          <w:szCs w:val="24"/>
          <w:lang w:val="fr-FR"/>
        </w:rPr>
        <w:t>d</w:t>
      </w:r>
      <w:r w:rsidR="00584723" w:rsidRPr="00584723">
        <w:rPr>
          <w:sz w:val="24"/>
          <w:szCs w:val="24"/>
          <w:lang w:val="fr-FR"/>
        </w:rPr>
        <w:t xml:space="preserve">es audiences publiques </w:t>
      </w:r>
      <w:r w:rsidR="00584723">
        <w:rPr>
          <w:sz w:val="24"/>
          <w:szCs w:val="24"/>
          <w:lang w:val="fr-FR"/>
        </w:rPr>
        <w:t xml:space="preserve">portant </w:t>
      </w:r>
      <w:r w:rsidR="00584723" w:rsidRPr="00584723">
        <w:rPr>
          <w:sz w:val="24"/>
          <w:szCs w:val="24"/>
          <w:lang w:val="fr-FR"/>
        </w:rPr>
        <w:t xml:space="preserve">sur </w:t>
      </w:r>
      <w:r w:rsidR="00821FC6">
        <w:rPr>
          <w:sz w:val="24"/>
          <w:szCs w:val="24"/>
          <w:lang w:val="fr-FR"/>
        </w:rPr>
        <w:t xml:space="preserve">des thèmes </w:t>
      </w:r>
      <w:r w:rsidR="00584723" w:rsidRPr="00584723">
        <w:rPr>
          <w:sz w:val="24"/>
          <w:szCs w:val="24"/>
          <w:lang w:val="fr-FR"/>
        </w:rPr>
        <w:t>environnement</w:t>
      </w:r>
      <w:r w:rsidR="00821FC6">
        <w:rPr>
          <w:sz w:val="24"/>
          <w:szCs w:val="24"/>
          <w:lang w:val="fr-FR"/>
        </w:rPr>
        <w:t>aux</w:t>
      </w:r>
      <w:r w:rsidR="00584723" w:rsidRPr="00584723">
        <w:rPr>
          <w:sz w:val="24"/>
          <w:szCs w:val="24"/>
          <w:lang w:val="fr-FR"/>
        </w:rPr>
        <w:t xml:space="preserve"> et </w:t>
      </w:r>
      <w:r w:rsidR="00821FC6">
        <w:rPr>
          <w:sz w:val="24"/>
          <w:szCs w:val="24"/>
          <w:lang w:val="fr-FR"/>
        </w:rPr>
        <w:t>législatifs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5"/>
      </w:r>
      <w:r w:rsidR="00821FC6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584723" w:rsidP="008E6C57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584723">
        <w:rPr>
          <w:sz w:val="24"/>
          <w:szCs w:val="24"/>
          <w:lang w:val="fr-FR"/>
        </w:rPr>
        <w:t xml:space="preserve">Les États devraient veiller à ce que </w:t>
      </w:r>
      <w:r w:rsidR="008F546F">
        <w:rPr>
          <w:sz w:val="24"/>
          <w:szCs w:val="24"/>
          <w:lang w:val="fr-FR"/>
        </w:rPr>
        <w:t>la totalité d</w:t>
      </w:r>
      <w:r w:rsidRPr="00584723">
        <w:rPr>
          <w:sz w:val="24"/>
          <w:szCs w:val="24"/>
          <w:lang w:val="fr-FR"/>
        </w:rPr>
        <w:t xml:space="preserve">es informations, y compris </w:t>
      </w:r>
      <w:r>
        <w:rPr>
          <w:sz w:val="24"/>
          <w:szCs w:val="24"/>
          <w:lang w:val="fr-FR"/>
        </w:rPr>
        <w:t xml:space="preserve">celles ayant trait </w:t>
      </w:r>
      <w:r w:rsidR="008E6C57">
        <w:rPr>
          <w:sz w:val="24"/>
          <w:szCs w:val="24"/>
          <w:lang w:val="fr-FR"/>
        </w:rPr>
        <w:t>à l’impact</w:t>
      </w:r>
      <w:r w:rsidRPr="00584723">
        <w:rPr>
          <w:sz w:val="24"/>
          <w:szCs w:val="24"/>
          <w:lang w:val="fr-FR"/>
        </w:rPr>
        <w:t xml:space="preserve"> potentiel</w:t>
      </w:r>
      <w:bookmarkStart w:id="0" w:name="_GoBack"/>
      <w:bookmarkEnd w:id="0"/>
      <w:r w:rsidRPr="00584723">
        <w:rPr>
          <w:sz w:val="24"/>
          <w:szCs w:val="24"/>
          <w:lang w:val="fr-FR"/>
        </w:rPr>
        <w:t xml:space="preserve"> du projet</w:t>
      </w:r>
      <w:r w:rsidR="00A62080">
        <w:rPr>
          <w:sz w:val="24"/>
          <w:szCs w:val="24"/>
          <w:lang w:val="fr-FR"/>
        </w:rPr>
        <w:t xml:space="preserve"> ou </w:t>
      </w:r>
      <w:r w:rsidRPr="00584723">
        <w:rPr>
          <w:sz w:val="24"/>
          <w:szCs w:val="24"/>
          <w:lang w:val="fr-FR"/>
        </w:rPr>
        <w:t>de l</w:t>
      </w:r>
      <w:r w:rsidR="00A62080">
        <w:rPr>
          <w:sz w:val="24"/>
          <w:szCs w:val="24"/>
          <w:lang w:val="fr-FR"/>
        </w:rPr>
        <w:t>’activité en</w:t>
      </w:r>
      <w:r>
        <w:rPr>
          <w:sz w:val="24"/>
          <w:szCs w:val="24"/>
          <w:lang w:val="fr-FR"/>
        </w:rPr>
        <w:t xml:space="preserve"> question</w:t>
      </w:r>
      <w:r w:rsidRPr="00584723">
        <w:rPr>
          <w:sz w:val="24"/>
          <w:szCs w:val="24"/>
          <w:lang w:val="fr-FR"/>
        </w:rPr>
        <w:t xml:space="preserve">, soient fournies aux peuples autochtones et présentées </w:t>
      </w:r>
      <w:r w:rsidR="008E6C57">
        <w:rPr>
          <w:sz w:val="24"/>
          <w:szCs w:val="24"/>
          <w:lang w:val="fr-FR"/>
        </w:rPr>
        <w:t xml:space="preserve">de </w:t>
      </w:r>
      <w:r w:rsidR="008E6C57" w:rsidRPr="008E6C57">
        <w:rPr>
          <w:sz w:val="24"/>
          <w:szCs w:val="24"/>
          <w:lang w:val="fr-FR"/>
        </w:rPr>
        <w:t xml:space="preserve">manière à pouvoir être comprise par </w:t>
      </w:r>
      <w:r w:rsidR="008E6C57">
        <w:rPr>
          <w:sz w:val="24"/>
          <w:szCs w:val="24"/>
          <w:lang w:val="fr-FR"/>
        </w:rPr>
        <w:t>eux</w:t>
      </w:r>
      <w:r w:rsidRPr="00584723">
        <w:rPr>
          <w:sz w:val="24"/>
          <w:szCs w:val="24"/>
          <w:lang w:val="fr-FR"/>
        </w:rPr>
        <w:t xml:space="preserve">, </w:t>
      </w:r>
      <w:r w:rsidR="008F546F">
        <w:rPr>
          <w:sz w:val="24"/>
          <w:szCs w:val="24"/>
          <w:lang w:val="fr-FR"/>
        </w:rPr>
        <w:t xml:space="preserve">adaptées </w:t>
      </w:r>
      <w:r w:rsidR="00635D8D">
        <w:rPr>
          <w:sz w:val="24"/>
          <w:szCs w:val="24"/>
          <w:lang w:val="fr-FR"/>
        </w:rPr>
        <w:t>sur le</w:t>
      </w:r>
      <w:r w:rsidR="008F546F">
        <w:rPr>
          <w:sz w:val="24"/>
          <w:szCs w:val="24"/>
          <w:lang w:val="fr-FR"/>
        </w:rPr>
        <w:t xml:space="preserve"> plan culturel</w:t>
      </w:r>
      <w:r w:rsidRPr="00584723">
        <w:rPr>
          <w:sz w:val="24"/>
          <w:szCs w:val="24"/>
          <w:lang w:val="fr-FR"/>
        </w:rPr>
        <w:t xml:space="preserve"> et conformes à leurs traditions inhérentes, et </w:t>
      </w:r>
      <w:r w:rsidR="00635D8D">
        <w:rPr>
          <w:sz w:val="24"/>
          <w:szCs w:val="24"/>
          <w:lang w:val="fr-FR"/>
        </w:rPr>
        <w:t>que ces informations</w:t>
      </w:r>
      <w:r w:rsidRPr="00584723">
        <w:rPr>
          <w:sz w:val="24"/>
          <w:szCs w:val="24"/>
          <w:lang w:val="fr-FR"/>
        </w:rPr>
        <w:t xml:space="preserve"> soient indépendantes. Si nécessaire, </w:t>
      </w:r>
      <w:r w:rsidR="008F546F">
        <w:rPr>
          <w:sz w:val="24"/>
          <w:szCs w:val="24"/>
          <w:lang w:val="fr-FR"/>
        </w:rPr>
        <w:t>elles</w:t>
      </w:r>
      <w:r w:rsidRPr="00584723">
        <w:rPr>
          <w:sz w:val="24"/>
          <w:szCs w:val="24"/>
          <w:lang w:val="fr-FR"/>
        </w:rPr>
        <w:t xml:space="preserve"> devrai</w:t>
      </w:r>
      <w:r w:rsidR="008F546F">
        <w:rPr>
          <w:sz w:val="24"/>
          <w:szCs w:val="24"/>
          <w:lang w:val="fr-FR"/>
        </w:rPr>
        <w:t>en</w:t>
      </w:r>
      <w:r w:rsidRPr="00584723">
        <w:rPr>
          <w:sz w:val="24"/>
          <w:szCs w:val="24"/>
          <w:lang w:val="fr-FR"/>
        </w:rPr>
        <w:t>t également être présenté</w:t>
      </w:r>
      <w:r w:rsidR="008F546F">
        <w:rPr>
          <w:sz w:val="24"/>
          <w:szCs w:val="24"/>
          <w:lang w:val="fr-FR"/>
        </w:rPr>
        <w:t>es</w:t>
      </w:r>
      <w:r w:rsidRPr="00584723">
        <w:rPr>
          <w:sz w:val="24"/>
          <w:szCs w:val="24"/>
          <w:lang w:val="fr-FR"/>
        </w:rPr>
        <w:t xml:space="preserve"> oralement et dans les langues autochtones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6"/>
      </w:r>
      <w:r w:rsidR="008F546F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8F546F" w:rsidP="008F546F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8F546F">
        <w:rPr>
          <w:sz w:val="24"/>
          <w:szCs w:val="24"/>
          <w:lang w:val="fr-FR"/>
        </w:rPr>
        <w:t xml:space="preserve">Les États devraient </w:t>
      </w:r>
      <w:r w:rsidR="00635D8D">
        <w:rPr>
          <w:sz w:val="24"/>
          <w:szCs w:val="24"/>
          <w:lang w:val="fr-FR"/>
        </w:rPr>
        <w:t>s’assurer de</w:t>
      </w:r>
      <w:r w:rsidRPr="008F546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disposer d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une</w:t>
      </w:r>
      <w:r w:rsidRPr="008F546F">
        <w:rPr>
          <w:sz w:val="24"/>
          <w:szCs w:val="24"/>
          <w:lang w:val="fr-FR"/>
        </w:rPr>
        <w:t xml:space="preserve"> capacité institutionnelle et </w:t>
      </w:r>
      <w:r>
        <w:rPr>
          <w:sz w:val="24"/>
          <w:szCs w:val="24"/>
          <w:lang w:val="fr-FR"/>
        </w:rPr>
        <w:t>d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une</w:t>
      </w:r>
      <w:r w:rsidRPr="008F546F">
        <w:rPr>
          <w:sz w:val="24"/>
          <w:szCs w:val="24"/>
          <w:lang w:val="fr-FR"/>
        </w:rPr>
        <w:t xml:space="preserve"> volonté politique </w:t>
      </w:r>
      <w:r>
        <w:rPr>
          <w:sz w:val="24"/>
          <w:szCs w:val="24"/>
          <w:lang w:val="fr-FR"/>
        </w:rPr>
        <w:t>suffisantes pour</w:t>
      </w:r>
      <w:r w:rsidRPr="008F546F">
        <w:rPr>
          <w:sz w:val="24"/>
          <w:szCs w:val="24"/>
          <w:lang w:val="fr-FR"/>
        </w:rPr>
        <w:t xml:space="preserve"> comprendre le sens et le </w:t>
      </w:r>
      <w:r>
        <w:rPr>
          <w:sz w:val="24"/>
          <w:szCs w:val="24"/>
          <w:lang w:val="fr-FR"/>
        </w:rPr>
        <w:t>procédé</w:t>
      </w:r>
      <w:r w:rsidRPr="008F546F">
        <w:rPr>
          <w:sz w:val="24"/>
          <w:szCs w:val="24"/>
          <w:lang w:val="fr-FR"/>
        </w:rPr>
        <w:t xml:space="preserve"> de recherche et d</w:t>
      </w:r>
      <w:r w:rsidR="009A135D">
        <w:rPr>
          <w:sz w:val="24"/>
          <w:szCs w:val="24"/>
          <w:lang w:val="fr-FR"/>
        </w:rPr>
        <w:t>’</w:t>
      </w:r>
      <w:r w:rsidRPr="008F546F">
        <w:rPr>
          <w:sz w:val="24"/>
          <w:szCs w:val="24"/>
          <w:lang w:val="fr-FR"/>
        </w:rPr>
        <w:t xml:space="preserve">obtention du </w:t>
      </w:r>
      <w:r>
        <w:rPr>
          <w:sz w:val="24"/>
          <w:szCs w:val="24"/>
          <w:lang w:val="fr-FR"/>
        </w:rPr>
        <w:t>consentement préalable, libre et éclairé</w:t>
      </w:r>
      <w:r w:rsidRPr="008F546F">
        <w:rPr>
          <w:sz w:val="24"/>
          <w:szCs w:val="24"/>
          <w:lang w:val="fr-FR"/>
        </w:rPr>
        <w:t xml:space="preserve">, en respectant </w:t>
      </w:r>
      <w:r>
        <w:rPr>
          <w:sz w:val="24"/>
          <w:szCs w:val="24"/>
          <w:lang w:val="fr-FR"/>
        </w:rPr>
        <w:t xml:space="preserve">notamment </w:t>
      </w:r>
      <w:r w:rsidRPr="008F546F">
        <w:rPr>
          <w:sz w:val="24"/>
          <w:szCs w:val="24"/>
          <w:lang w:val="fr-FR"/>
        </w:rPr>
        <w:t>les protocoles autochtones existants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7"/>
      </w:r>
      <w:r w:rsidR="00AA4928" w:rsidRPr="003841A1">
        <w:rPr>
          <w:sz w:val="24"/>
          <w:szCs w:val="24"/>
          <w:lang w:val="fr-FR"/>
        </w:rPr>
        <w:t>.</w:t>
      </w:r>
    </w:p>
    <w:p w:rsidR="006B34CF" w:rsidRPr="003841A1" w:rsidRDefault="00A67D7E" w:rsidP="00A67D7E">
      <w:pPr>
        <w:pStyle w:val="Bullet1G"/>
        <w:numPr>
          <w:ilvl w:val="0"/>
          <w:numId w:val="2"/>
        </w:numPr>
        <w:ind w:right="0"/>
        <w:rPr>
          <w:b/>
          <w:sz w:val="24"/>
          <w:szCs w:val="24"/>
          <w:lang w:val="fr-FR"/>
        </w:rPr>
      </w:pPr>
      <w:r w:rsidRPr="00A67D7E">
        <w:rPr>
          <w:sz w:val="24"/>
          <w:szCs w:val="24"/>
          <w:lang w:val="fr-FR"/>
        </w:rPr>
        <w:t>Les États devraient veiller à ce que les peuples autochtones disposent des ressources et des capacités nécessaires pour participer efficacement aux processus</w:t>
      </w:r>
      <w:r>
        <w:rPr>
          <w:sz w:val="24"/>
          <w:szCs w:val="24"/>
          <w:lang w:val="fr-FR"/>
        </w:rPr>
        <w:t xml:space="preserve">, </w:t>
      </w:r>
      <w:r w:rsidRPr="00A67D7E">
        <w:rPr>
          <w:sz w:val="24"/>
          <w:szCs w:val="24"/>
          <w:lang w:val="fr-FR"/>
        </w:rPr>
        <w:t>en appuyant le développement de leurs propres institutions, sans</w:t>
      </w:r>
      <w:r>
        <w:rPr>
          <w:sz w:val="24"/>
          <w:szCs w:val="24"/>
          <w:lang w:val="fr-FR"/>
        </w:rPr>
        <w:t xml:space="preserve"> toutefois</w:t>
      </w:r>
      <w:r w:rsidRPr="00A67D7E">
        <w:rPr>
          <w:sz w:val="24"/>
          <w:szCs w:val="24"/>
          <w:lang w:val="fr-FR"/>
        </w:rPr>
        <w:t xml:space="preserve"> compromettre l</w:t>
      </w:r>
      <w:r w:rsidR="009A135D">
        <w:rPr>
          <w:sz w:val="24"/>
          <w:szCs w:val="24"/>
          <w:lang w:val="fr-FR"/>
        </w:rPr>
        <w:t>’</w:t>
      </w:r>
      <w:r w:rsidRPr="00A67D7E">
        <w:rPr>
          <w:sz w:val="24"/>
          <w:szCs w:val="24"/>
          <w:lang w:val="fr-FR"/>
        </w:rPr>
        <w:t>indépendance de ce</w:t>
      </w:r>
      <w:r>
        <w:rPr>
          <w:sz w:val="24"/>
          <w:szCs w:val="24"/>
          <w:lang w:val="fr-FR"/>
        </w:rPr>
        <w:t>lles-ci</w:t>
      </w:r>
      <w:r w:rsidRPr="00A67D7E">
        <w:rPr>
          <w:sz w:val="24"/>
          <w:szCs w:val="24"/>
          <w:lang w:val="fr-FR"/>
        </w:rPr>
        <w:t xml:space="preserve"> (art. 4 et 5, UNDRIP). Les États et le secteur privé devraient promouvoir et respecter les protocoles propres aux peuples autochtones, </w:t>
      </w:r>
      <w:r>
        <w:rPr>
          <w:sz w:val="24"/>
          <w:szCs w:val="24"/>
          <w:lang w:val="fr-FR"/>
        </w:rPr>
        <w:t>car ils jouent un rôle</w:t>
      </w:r>
      <w:r w:rsidRPr="00A67D7E">
        <w:rPr>
          <w:sz w:val="24"/>
          <w:szCs w:val="24"/>
          <w:lang w:val="fr-FR"/>
        </w:rPr>
        <w:t xml:space="preserve"> essentiel </w:t>
      </w:r>
      <w:r w:rsidR="00BE3757">
        <w:rPr>
          <w:sz w:val="24"/>
          <w:szCs w:val="24"/>
          <w:lang w:val="fr-FR"/>
        </w:rPr>
        <w:t>dans la</w:t>
      </w:r>
      <w:r w:rsidRPr="00A67D7E">
        <w:rPr>
          <w:sz w:val="24"/>
          <w:szCs w:val="24"/>
          <w:lang w:val="fr-FR"/>
        </w:rPr>
        <w:t xml:space="preserve"> prépar</w:t>
      </w:r>
      <w:r w:rsidR="00BE3757">
        <w:rPr>
          <w:sz w:val="24"/>
          <w:szCs w:val="24"/>
          <w:lang w:val="fr-FR"/>
        </w:rPr>
        <w:t>ation de</w:t>
      </w:r>
      <w:r w:rsidRPr="00A67D7E">
        <w:rPr>
          <w:sz w:val="24"/>
          <w:szCs w:val="24"/>
          <w:lang w:val="fr-FR"/>
        </w:rPr>
        <w:t xml:space="preserve"> </w:t>
      </w:r>
      <w:r w:rsidR="00BE3757">
        <w:rPr>
          <w:sz w:val="24"/>
          <w:szCs w:val="24"/>
          <w:lang w:val="fr-FR"/>
        </w:rPr>
        <w:t>ces derniers</w:t>
      </w:r>
      <w:r>
        <w:rPr>
          <w:sz w:val="24"/>
          <w:szCs w:val="24"/>
          <w:lang w:val="fr-FR"/>
        </w:rPr>
        <w:t xml:space="preserve"> </w:t>
      </w:r>
      <w:r w:rsidR="00BE3757">
        <w:rPr>
          <w:sz w:val="24"/>
          <w:szCs w:val="24"/>
          <w:lang w:val="fr-FR"/>
        </w:rPr>
        <w:t xml:space="preserve">pour participer </w:t>
      </w:r>
      <w:r>
        <w:rPr>
          <w:sz w:val="24"/>
          <w:szCs w:val="24"/>
          <w:lang w:val="fr-FR"/>
        </w:rPr>
        <w:t>aux</w:t>
      </w:r>
      <w:r w:rsidRPr="00A67D7E">
        <w:rPr>
          <w:sz w:val="24"/>
          <w:szCs w:val="24"/>
          <w:lang w:val="fr-FR"/>
        </w:rPr>
        <w:t xml:space="preserve"> consultations avec l</w:t>
      </w:r>
      <w:r w:rsidR="009A135D">
        <w:rPr>
          <w:sz w:val="24"/>
          <w:szCs w:val="24"/>
          <w:lang w:val="fr-FR"/>
        </w:rPr>
        <w:t>’</w:t>
      </w:r>
      <w:r w:rsidRPr="00A67D7E">
        <w:rPr>
          <w:sz w:val="24"/>
          <w:szCs w:val="24"/>
          <w:lang w:val="fr-FR"/>
        </w:rPr>
        <w:t>État</w:t>
      </w:r>
      <w:r>
        <w:rPr>
          <w:sz w:val="24"/>
          <w:szCs w:val="24"/>
          <w:lang w:val="fr-FR"/>
        </w:rPr>
        <w:t xml:space="preserve">, </w:t>
      </w:r>
      <w:r w:rsidR="00BE3757">
        <w:rPr>
          <w:sz w:val="24"/>
          <w:szCs w:val="24"/>
          <w:lang w:val="fr-FR"/>
        </w:rPr>
        <w:t xml:space="preserve">et </w:t>
      </w:r>
      <w:r w:rsidR="009A46EB">
        <w:rPr>
          <w:sz w:val="24"/>
          <w:szCs w:val="24"/>
          <w:lang w:val="fr-FR"/>
        </w:rPr>
        <w:t>sont un facteur déterminant pour le</w:t>
      </w:r>
      <w:r w:rsidRPr="00A67D7E">
        <w:rPr>
          <w:sz w:val="24"/>
          <w:szCs w:val="24"/>
          <w:lang w:val="fr-FR"/>
        </w:rPr>
        <w:t xml:space="preserve"> bon déroulement de</w:t>
      </w:r>
      <w:r>
        <w:rPr>
          <w:sz w:val="24"/>
          <w:szCs w:val="24"/>
          <w:lang w:val="fr-FR"/>
        </w:rPr>
        <w:t xml:space="preserve"> ce</w:t>
      </w:r>
      <w:r w:rsidRPr="00A67D7E">
        <w:rPr>
          <w:sz w:val="24"/>
          <w:szCs w:val="24"/>
          <w:lang w:val="fr-FR"/>
        </w:rPr>
        <w:t>s consultations</w:t>
      </w:r>
      <w:r w:rsidR="00AA4928" w:rsidRPr="003841A1">
        <w:rPr>
          <w:sz w:val="24"/>
          <w:szCs w:val="24"/>
          <w:lang w:val="fr-FR"/>
        </w:rPr>
        <w:t>.</w:t>
      </w:r>
    </w:p>
    <w:p w:rsidR="00AA4928" w:rsidRPr="003841A1" w:rsidRDefault="00380902" w:rsidP="00380902">
      <w:pPr>
        <w:pStyle w:val="Bullet1G"/>
        <w:numPr>
          <w:ilvl w:val="0"/>
          <w:numId w:val="2"/>
        </w:numPr>
        <w:ind w:right="0"/>
        <w:rPr>
          <w:b/>
          <w:sz w:val="24"/>
          <w:szCs w:val="24"/>
          <w:lang w:val="fr-FR"/>
        </w:rPr>
      </w:pPr>
      <w:r w:rsidRPr="00380902">
        <w:rPr>
          <w:sz w:val="24"/>
          <w:szCs w:val="24"/>
          <w:lang w:val="fr-FR"/>
        </w:rPr>
        <w:t>Les États devraient garantir l</w:t>
      </w:r>
      <w:r>
        <w:rPr>
          <w:sz w:val="24"/>
          <w:szCs w:val="24"/>
          <w:lang w:val="fr-FR"/>
        </w:rPr>
        <w:t>e respect du principe d</w:t>
      </w:r>
      <w:r w:rsidR="009A135D">
        <w:rPr>
          <w:sz w:val="24"/>
          <w:szCs w:val="24"/>
          <w:lang w:val="fr-FR"/>
        </w:rPr>
        <w:t>’</w:t>
      </w:r>
      <w:r w:rsidRPr="00380902">
        <w:rPr>
          <w:sz w:val="24"/>
          <w:szCs w:val="24"/>
          <w:lang w:val="fr-FR"/>
        </w:rPr>
        <w:t>égalité tout au long du processus et veiller à ce que l</w:t>
      </w:r>
      <w:r>
        <w:rPr>
          <w:sz w:val="24"/>
          <w:szCs w:val="24"/>
          <w:lang w:val="fr-FR"/>
        </w:rPr>
        <w:t>e problème</w:t>
      </w:r>
      <w:r w:rsidRPr="00380902">
        <w:rPr>
          <w:sz w:val="24"/>
          <w:szCs w:val="24"/>
          <w:lang w:val="fr-FR"/>
        </w:rPr>
        <w:t xml:space="preserve"> du déséquilibre de pouvoir entre l</w:t>
      </w:r>
      <w:r w:rsidR="009A135D">
        <w:rPr>
          <w:sz w:val="24"/>
          <w:szCs w:val="24"/>
          <w:lang w:val="fr-FR"/>
        </w:rPr>
        <w:t>’</w:t>
      </w:r>
      <w:r w:rsidRPr="00380902">
        <w:rPr>
          <w:sz w:val="24"/>
          <w:szCs w:val="24"/>
          <w:lang w:val="fr-FR"/>
        </w:rPr>
        <w:t xml:space="preserve">État et les peuples autochtones soit traité et atténué, en </w:t>
      </w:r>
      <w:r>
        <w:rPr>
          <w:sz w:val="24"/>
          <w:szCs w:val="24"/>
          <w:lang w:val="fr-FR"/>
        </w:rPr>
        <w:t>recourant</w:t>
      </w:r>
      <w:r w:rsidRPr="00380902">
        <w:rPr>
          <w:sz w:val="24"/>
          <w:szCs w:val="24"/>
          <w:lang w:val="fr-FR"/>
        </w:rPr>
        <w:t xml:space="preserve"> par exemple </w:t>
      </w:r>
      <w:r>
        <w:rPr>
          <w:sz w:val="24"/>
          <w:szCs w:val="24"/>
          <w:lang w:val="fr-FR"/>
        </w:rPr>
        <w:t xml:space="preserve">à </w:t>
      </w:r>
      <w:r w:rsidRPr="00380902">
        <w:rPr>
          <w:sz w:val="24"/>
          <w:szCs w:val="24"/>
          <w:lang w:val="fr-FR"/>
        </w:rPr>
        <w:t xml:space="preserve">des </w:t>
      </w:r>
      <w:r>
        <w:rPr>
          <w:sz w:val="24"/>
          <w:szCs w:val="24"/>
          <w:lang w:val="fr-FR"/>
        </w:rPr>
        <w:t>médiateurs</w:t>
      </w:r>
      <w:r w:rsidRPr="00380902">
        <w:rPr>
          <w:sz w:val="24"/>
          <w:szCs w:val="24"/>
          <w:lang w:val="fr-FR"/>
        </w:rPr>
        <w:t xml:space="preserve"> indépendants pour les consultations,</w:t>
      </w:r>
      <w:r>
        <w:rPr>
          <w:sz w:val="24"/>
          <w:szCs w:val="24"/>
          <w:lang w:val="fr-FR"/>
        </w:rPr>
        <w:t xml:space="preserve"> et</w:t>
      </w:r>
      <w:r w:rsidRPr="00380902">
        <w:rPr>
          <w:sz w:val="24"/>
          <w:szCs w:val="24"/>
          <w:lang w:val="fr-FR"/>
        </w:rPr>
        <w:t xml:space="preserve"> en établissant des mécanismes de financement qui permettent aux peuples autochtones </w:t>
      </w:r>
      <w:r>
        <w:rPr>
          <w:sz w:val="24"/>
          <w:szCs w:val="24"/>
          <w:lang w:val="fr-FR"/>
        </w:rPr>
        <w:t>de bénéficier d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un soutien</w:t>
      </w:r>
      <w:r w:rsidRPr="00380902">
        <w:rPr>
          <w:sz w:val="24"/>
          <w:szCs w:val="24"/>
          <w:lang w:val="fr-FR"/>
        </w:rPr>
        <w:t xml:space="preserve"> et </w:t>
      </w:r>
      <w:r>
        <w:rPr>
          <w:sz w:val="24"/>
          <w:szCs w:val="24"/>
          <w:lang w:val="fr-FR"/>
        </w:rPr>
        <w:t xml:space="preserve">de </w:t>
      </w:r>
      <w:r w:rsidRPr="00380902">
        <w:rPr>
          <w:sz w:val="24"/>
          <w:szCs w:val="24"/>
          <w:lang w:val="fr-FR"/>
        </w:rPr>
        <w:t>conseils techniques indépendants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8"/>
      </w:r>
      <w:r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5742D6" w:rsidP="005742D6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5742D6">
        <w:rPr>
          <w:sz w:val="24"/>
          <w:szCs w:val="24"/>
          <w:lang w:val="fr-FR"/>
        </w:rPr>
        <w:t xml:space="preserve">Les États devraient </w:t>
      </w:r>
      <w:r>
        <w:rPr>
          <w:sz w:val="24"/>
          <w:szCs w:val="24"/>
          <w:lang w:val="fr-FR"/>
        </w:rPr>
        <w:t>dialoguer activement avec tous l</w:t>
      </w:r>
      <w:r w:rsidRPr="005742D6">
        <w:rPr>
          <w:sz w:val="24"/>
          <w:szCs w:val="24"/>
          <w:lang w:val="fr-FR"/>
        </w:rPr>
        <w:t>es peuples autochtones susceptibles d</w:t>
      </w:r>
      <w:r w:rsidR="009A135D">
        <w:rPr>
          <w:sz w:val="24"/>
          <w:szCs w:val="24"/>
          <w:lang w:val="fr-FR"/>
        </w:rPr>
        <w:t>’</w:t>
      </w:r>
      <w:r w:rsidRPr="005742D6">
        <w:rPr>
          <w:sz w:val="24"/>
          <w:szCs w:val="24"/>
          <w:lang w:val="fr-FR"/>
        </w:rPr>
        <w:t>être touchés</w:t>
      </w:r>
      <w:r>
        <w:rPr>
          <w:sz w:val="24"/>
          <w:szCs w:val="24"/>
          <w:lang w:val="fr-FR"/>
        </w:rPr>
        <w:t xml:space="preserve"> par le projet</w:t>
      </w:r>
      <w:r w:rsidRPr="005742D6">
        <w:rPr>
          <w:sz w:val="24"/>
          <w:szCs w:val="24"/>
          <w:lang w:val="fr-FR"/>
        </w:rPr>
        <w:t>, en les consultant par l</w:t>
      </w:r>
      <w:r w:rsidR="009A135D">
        <w:rPr>
          <w:sz w:val="24"/>
          <w:szCs w:val="24"/>
          <w:lang w:val="fr-FR"/>
        </w:rPr>
        <w:t>’</w:t>
      </w:r>
      <w:r w:rsidRPr="005742D6">
        <w:rPr>
          <w:sz w:val="24"/>
          <w:szCs w:val="24"/>
          <w:lang w:val="fr-FR"/>
        </w:rPr>
        <w:t xml:space="preserve">intermédiaire de leurs propres institutions </w:t>
      </w:r>
      <w:r w:rsidR="009A46EB" w:rsidRPr="005742D6">
        <w:rPr>
          <w:sz w:val="24"/>
          <w:szCs w:val="24"/>
          <w:lang w:val="fr-FR"/>
        </w:rPr>
        <w:t>représentat</w:t>
      </w:r>
      <w:r w:rsidR="009A46EB">
        <w:rPr>
          <w:sz w:val="24"/>
          <w:szCs w:val="24"/>
          <w:lang w:val="fr-FR"/>
        </w:rPr>
        <w:t xml:space="preserve">ives </w:t>
      </w:r>
      <w:r w:rsidR="00821FC6">
        <w:rPr>
          <w:sz w:val="24"/>
          <w:szCs w:val="24"/>
          <w:lang w:val="fr-FR"/>
        </w:rPr>
        <w:t>de prise de décision</w:t>
      </w:r>
      <w:r w:rsidRPr="005742D6">
        <w:rPr>
          <w:sz w:val="24"/>
          <w:szCs w:val="24"/>
          <w:lang w:val="fr-FR"/>
        </w:rPr>
        <w:t>, dans lesquelles ils sont encouragés à inclure les femmes, les enfants</w:t>
      </w:r>
      <w:r w:rsidRPr="003841A1">
        <w:rPr>
          <w:rStyle w:val="Refdenotaalpie"/>
          <w:sz w:val="24"/>
          <w:szCs w:val="24"/>
          <w:lang w:val="fr-FR"/>
        </w:rPr>
        <w:footnoteReference w:id="9"/>
      </w:r>
      <w:r w:rsidRPr="003841A1">
        <w:rPr>
          <w:sz w:val="24"/>
          <w:szCs w:val="24"/>
          <w:lang w:val="fr-FR"/>
        </w:rPr>
        <w:t>,</w:t>
      </w:r>
      <w:r w:rsidRPr="005742D6">
        <w:rPr>
          <w:sz w:val="24"/>
          <w:szCs w:val="24"/>
          <w:lang w:val="fr-FR"/>
        </w:rPr>
        <w:t xml:space="preserve"> les jeunes et les personnes handicapées</w:t>
      </w:r>
      <w:r>
        <w:rPr>
          <w:sz w:val="24"/>
          <w:szCs w:val="24"/>
          <w:lang w:val="fr-FR"/>
        </w:rPr>
        <w:t>,</w:t>
      </w:r>
      <w:r w:rsidRPr="005742D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tout</w:t>
      </w:r>
      <w:r w:rsidRPr="005742D6">
        <w:rPr>
          <w:sz w:val="24"/>
          <w:szCs w:val="24"/>
          <w:lang w:val="fr-FR"/>
        </w:rPr>
        <w:t xml:space="preserve"> en gardant à l</w:t>
      </w:r>
      <w:r w:rsidR="009A135D">
        <w:rPr>
          <w:sz w:val="24"/>
          <w:szCs w:val="24"/>
          <w:lang w:val="fr-FR"/>
        </w:rPr>
        <w:t>’</w:t>
      </w:r>
      <w:r w:rsidRPr="005742D6">
        <w:rPr>
          <w:sz w:val="24"/>
          <w:szCs w:val="24"/>
          <w:lang w:val="fr-FR"/>
        </w:rPr>
        <w:t>esprit que les structures de gouvernance de certaines communautés autochtones peuvent être</w:t>
      </w:r>
      <w:r>
        <w:rPr>
          <w:sz w:val="24"/>
          <w:szCs w:val="24"/>
          <w:lang w:val="fr-FR"/>
        </w:rPr>
        <w:t xml:space="preserve"> à</w:t>
      </w:r>
      <w:r w:rsidRPr="005742D6">
        <w:rPr>
          <w:sz w:val="24"/>
          <w:szCs w:val="24"/>
          <w:lang w:val="fr-FR"/>
        </w:rPr>
        <w:t xml:space="preserve"> domin</w:t>
      </w:r>
      <w:r>
        <w:rPr>
          <w:sz w:val="24"/>
          <w:szCs w:val="24"/>
          <w:lang w:val="fr-FR"/>
        </w:rPr>
        <w:t>ance masculine</w:t>
      </w:r>
      <w:r w:rsidR="00AA4928" w:rsidRPr="003841A1">
        <w:rPr>
          <w:sz w:val="24"/>
          <w:szCs w:val="24"/>
          <w:lang w:val="fr-FR"/>
        </w:rPr>
        <w:t xml:space="preserve">. </w:t>
      </w:r>
      <w:r w:rsidRPr="005742D6">
        <w:rPr>
          <w:sz w:val="24"/>
          <w:szCs w:val="24"/>
          <w:lang w:val="fr-FR"/>
        </w:rPr>
        <w:t xml:space="preserve">Au cours de chaque consultation, des efforts </w:t>
      </w:r>
      <w:r w:rsidRPr="005742D6">
        <w:rPr>
          <w:sz w:val="24"/>
          <w:szCs w:val="24"/>
          <w:lang w:val="fr-FR"/>
        </w:rPr>
        <w:lastRenderedPageBreak/>
        <w:t xml:space="preserve">devraient être faits pour comprendre les </w:t>
      </w:r>
      <w:r>
        <w:rPr>
          <w:sz w:val="24"/>
          <w:szCs w:val="24"/>
          <w:lang w:val="fr-FR"/>
        </w:rPr>
        <w:t xml:space="preserve">répercussions </w:t>
      </w:r>
      <w:r w:rsidRPr="005742D6">
        <w:rPr>
          <w:sz w:val="24"/>
          <w:szCs w:val="24"/>
          <w:lang w:val="fr-FR"/>
        </w:rPr>
        <w:t xml:space="preserve">spécifiques </w:t>
      </w:r>
      <w:r>
        <w:rPr>
          <w:sz w:val="24"/>
          <w:szCs w:val="24"/>
          <w:lang w:val="fr-FR"/>
        </w:rPr>
        <w:t xml:space="preserve">du projet </w:t>
      </w:r>
      <w:r w:rsidRPr="005742D6">
        <w:rPr>
          <w:sz w:val="24"/>
          <w:szCs w:val="24"/>
          <w:lang w:val="fr-FR"/>
        </w:rPr>
        <w:t>sur les femmes, les enfants, les jeunes et les personnes handicapées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0"/>
      </w:r>
      <w:r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FA4EB7" w:rsidP="001248C2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Pr="00FA4EB7">
        <w:rPr>
          <w:sz w:val="24"/>
          <w:szCs w:val="24"/>
          <w:lang w:val="fr-FR"/>
        </w:rPr>
        <w:t>es États devraient veiller à ce que le processus d</w:t>
      </w:r>
      <w:r>
        <w:rPr>
          <w:sz w:val="24"/>
          <w:szCs w:val="24"/>
          <w:lang w:val="fr-FR"/>
        </w:rPr>
        <w:t>e consentement préalable, libre et éclairé</w:t>
      </w:r>
      <w:r w:rsidRPr="00FA4EB7">
        <w:rPr>
          <w:sz w:val="24"/>
          <w:szCs w:val="24"/>
          <w:lang w:val="fr-FR"/>
        </w:rPr>
        <w:t xml:space="preserve"> favorise l</w:t>
      </w:r>
      <w:r w:rsidR="009A135D">
        <w:rPr>
          <w:sz w:val="24"/>
          <w:szCs w:val="24"/>
          <w:lang w:val="fr-FR"/>
        </w:rPr>
        <w:t>’</w:t>
      </w:r>
      <w:r w:rsidRPr="00FA4EB7">
        <w:rPr>
          <w:sz w:val="24"/>
          <w:szCs w:val="24"/>
          <w:lang w:val="fr-FR"/>
        </w:rPr>
        <w:t>établissement d</w:t>
      </w:r>
      <w:r w:rsidR="009A135D">
        <w:rPr>
          <w:sz w:val="24"/>
          <w:szCs w:val="24"/>
          <w:lang w:val="fr-FR"/>
        </w:rPr>
        <w:t>’</w:t>
      </w:r>
      <w:r w:rsidRPr="00FA4EB7">
        <w:rPr>
          <w:sz w:val="24"/>
          <w:szCs w:val="24"/>
          <w:lang w:val="fr-FR"/>
        </w:rPr>
        <w:t>un consensus au sein de la communauté de peuples autochtones</w:t>
      </w:r>
      <w:r>
        <w:rPr>
          <w:sz w:val="24"/>
          <w:szCs w:val="24"/>
          <w:lang w:val="fr-FR"/>
        </w:rPr>
        <w:t>,</w:t>
      </w:r>
      <w:r w:rsidRPr="00FA4EB7">
        <w:rPr>
          <w:sz w:val="24"/>
          <w:szCs w:val="24"/>
          <w:lang w:val="fr-FR"/>
        </w:rPr>
        <w:t xml:space="preserve"> et éviter les pratiques </w:t>
      </w:r>
      <w:r w:rsidR="001248C2">
        <w:rPr>
          <w:sz w:val="24"/>
          <w:szCs w:val="24"/>
          <w:lang w:val="fr-FR"/>
        </w:rPr>
        <w:t>qui risqueraient</w:t>
      </w:r>
      <w:r w:rsidRPr="00FA4EB7">
        <w:rPr>
          <w:sz w:val="24"/>
          <w:szCs w:val="24"/>
          <w:lang w:val="fr-FR"/>
        </w:rPr>
        <w:t xml:space="preserve"> de provoquer des divisions </w:t>
      </w:r>
      <w:r w:rsidR="001248C2">
        <w:rPr>
          <w:sz w:val="24"/>
          <w:szCs w:val="24"/>
          <w:lang w:val="fr-FR"/>
        </w:rPr>
        <w:t xml:space="preserve">dans cette communauté </w:t>
      </w:r>
      <w:r w:rsidRPr="00FA4EB7">
        <w:rPr>
          <w:sz w:val="24"/>
          <w:szCs w:val="24"/>
          <w:lang w:val="fr-FR"/>
        </w:rPr>
        <w:t>(</w:t>
      </w:r>
      <w:r>
        <w:rPr>
          <w:sz w:val="24"/>
          <w:szCs w:val="24"/>
          <w:lang w:val="fr-FR"/>
        </w:rPr>
        <w:t>notamment</w:t>
      </w:r>
      <w:r w:rsidRPr="00FA4EB7">
        <w:rPr>
          <w:sz w:val="24"/>
          <w:szCs w:val="24"/>
          <w:lang w:val="fr-FR"/>
        </w:rPr>
        <w:t xml:space="preserve"> lorsque </w:t>
      </w:r>
      <w:r w:rsidR="001248C2">
        <w:rPr>
          <w:sz w:val="24"/>
          <w:szCs w:val="24"/>
          <w:lang w:val="fr-FR"/>
        </w:rPr>
        <w:t>d</w:t>
      </w:r>
      <w:r w:rsidRPr="00FA4EB7">
        <w:rPr>
          <w:sz w:val="24"/>
          <w:szCs w:val="24"/>
          <w:lang w:val="fr-FR"/>
        </w:rPr>
        <w:t xml:space="preserve">es peuples autochtones </w:t>
      </w:r>
      <w:r w:rsidR="001248C2">
        <w:rPr>
          <w:sz w:val="24"/>
          <w:szCs w:val="24"/>
          <w:lang w:val="fr-FR"/>
        </w:rPr>
        <w:t>vulnérables sont en proie à</w:t>
      </w:r>
      <w:r w:rsidRPr="00FA4EB7">
        <w:rPr>
          <w:sz w:val="24"/>
          <w:szCs w:val="24"/>
          <w:lang w:val="fr-FR"/>
        </w:rPr>
        <w:t xml:space="preserve"> des </w:t>
      </w:r>
      <w:r w:rsidR="001248C2">
        <w:rPr>
          <w:sz w:val="24"/>
          <w:szCs w:val="24"/>
          <w:lang w:val="fr-FR"/>
        </w:rPr>
        <w:t xml:space="preserve">difficultés </w:t>
      </w:r>
      <w:r w:rsidRPr="00FA4EB7">
        <w:rPr>
          <w:sz w:val="24"/>
          <w:szCs w:val="24"/>
          <w:lang w:val="fr-FR"/>
        </w:rPr>
        <w:t>économique</w:t>
      </w:r>
      <w:r w:rsidR="001248C2">
        <w:rPr>
          <w:sz w:val="24"/>
          <w:szCs w:val="24"/>
          <w:lang w:val="fr-FR"/>
        </w:rPr>
        <w:t>s</w:t>
      </w:r>
      <w:r w:rsidR="00AA4928" w:rsidRPr="003841A1">
        <w:rPr>
          <w:sz w:val="24"/>
          <w:szCs w:val="24"/>
          <w:lang w:val="fr-FR"/>
        </w:rPr>
        <w:t xml:space="preserve">). </w:t>
      </w:r>
      <w:r w:rsidR="001248C2">
        <w:rPr>
          <w:sz w:val="24"/>
          <w:szCs w:val="24"/>
          <w:lang w:val="fr-FR"/>
        </w:rPr>
        <w:t>À</w:t>
      </w:r>
      <w:r w:rsidR="001248C2" w:rsidRPr="001248C2">
        <w:rPr>
          <w:sz w:val="24"/>
          <w:szCs w:val="24"/>
          <w:lang w:val="fr-FR"/>
        </w:rPr>
        <w:t xml:space="preserve"> cet égard</w:t>
      </w:r>
      <w:r w:rsidR="001248C2">
        <w:rPr>
          <w:sz w:val="24"/>
          <w:szCs w:val="24"/>
          <w:lang w:val="fr-FR"/>
        </w:rPr>
        <w:t>, u</w:t>
      </w:r>
      <w:r w:rsidR="001248C2" w:rsidRPr="001248C2">
        <w:rPr>
          <w:sz w:val="24"/>
          <w:szCs w:val="24"/>
          <w:lang w:val="fr-FR"/>
        </w:rPr>
        <w:t xml:space="preserve">ne attention particulière devrait être accordée aux peuples autochtones </w:t>
      </w:r>
      <w:r w:rsidR="001248C2">
        <w:rPr>
          <w:sz w:val="24"/>
          <w:szCs w:val="24"/>
          <w:lang w:val="fr-FR"/>
        </w:rPr>
        <w:t xml:space="preserve">qui </w:t>
      </w:r>
      <w:r w:rsidR="00A62080">
        <w:rPr>
          <w:sz w:val="24"/>
          <w:szCs w:val="24"/>
          <w:lang w:val="fr-FR"/>
        </w:rPr>
        <w:t>appartiennent à</w:t>
      </w:r>
      <w:r w:rsidR="001248C2" w:rsidRPr="001248C2">
        <w:rPr>
          <w:sz w:val="24"/>
          <w:szCs w:val="24"/>
          <w:lang w:val="fr-FR"/>
        </w:rPr>
        <w:t xml:space="preserve"> des </w:t>
      </w:r>
      <w:r w:rsidR="001248C2">
        <w:rPr>
          <w:sz w:val="24"/>
          <w:szCs w:val="24"/>
          <w:lang w:val="fr-FR"/>
        </w:rPr>
        <w:t>segments</w:t>
      </w:r>
      <w:r w:rsidR="001248C2" w:rsidRPr="001248C2">
        <w:rPr>
          <w:sz w:val="24"/>
          <w:szCs w:val="24"/>
          <w:lang w:val="fr-FR"/>
        </w:rPr>
        <w:t xml:space="preserve"> </w:t>
      </w:r>
      <w:r w:rsidR="00A62080">
        <w:rPr>
          <w:sz w:val="24"/>
          <w:szCs w:val="24"/>
          <w:lang w:val="fr-FR"/>
        </w:rPr>
        <w:t>à part</w:t>
      </w:r>
      <w:r w:rsidR="001248C2" w:rsidRPr="001248C2">
        <w:rPr>
          <w:sz w:val="24"/>
          <w:szCs w:val="24"/>
          <w:lang w:val="fr-FR"/>
        </w:rPr>
        <w:t xml:space="preserve"> au sein de la communauté, </w:t>
      </w:r>
      <w:r w:rsidR="001248C2">
        <w:rPr>
          <w:sz w:val="24"/>
          <w:szCs w:val="24"/>
          <w:lang w:val="fr-FR"/>
        </w:rPr>
        <w:t>tels que</w:t>
      </w:r>
      <w:r w:rsidR="001248C2" w:rsidRPr="001248C2">
        <w:rPr>
          <w:sz w:val="24"/>
          <w:szCs w:val="24"/>
          <w:lang w:val="fr-FR"/>
        </w:rPr>
        <w:t xml:space="preserve"> les </w:t>
      </w:r>
      <w:r w:rsidR="001248C2">
        <w:rPr>
          <w:sz w:val="24"/>
          <w:szCs w:val="24"/>
          <w:lang w:val="fr-FR"/>
        </w:rPr>
        <w:t>groupes</w:t>
      </w:r>
      <w:r w:rsidR="001248C2" w:rsidRPr="001248C2">
        <w:rPr>
          <w:sz w:val="24"/>
          <w:szCs w:val="24"/>
          <w:lang w:val="fr-FR"/>
        </w:rPr>
        <w:t xml:space="preserve"> dispersés, les peuples autochtones qui ne possèdent plus de terres et/ou qui se sont déplacés vers les zones urbaines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1"/>
      </w:r>
      <w:r w:rsidR="00AA4928" w:rsidRPr="003841A1">
        <w:rPr>
          <w:sz w:val="24"/>
          <w:szCs w:val="24"/>
          <w:lang w:val="fr-FR"/>
        </w:rPr>
        <w:t xml:space="preserve"> </w:t>
      </w:r>
      <w:r w:rsidR="001248C2">
        <w:rPr>
          <w:sz w:val="24"/>
          <w:szCs w:val="24"/>
          <w:lang w:val="fr-FR"/>
        </w:rPr>
        <w:t xml:space="preserve">et les groupes qui </w:t>
      </w:r>
      <w:r w:rsidR="001248C2" w:rsidRPr="001248C2">
        <w:rPr>
          <w:sz w:val="24"/>
          <w:szCs w:val="24"/>
          <w:lang w:val="fr-FR"/>
        </w:rPr>
        <w:t>viv</w:t>
      </w:r>
      <w:r w:rsidR="001248C2">
        <w:rPr>
          <w:sz w:val="24"/>
          <w:szCs w:val="24"/>
          <w:lang w:val="fr-FR"/>
        </w:rPr>
        <w:t>e</w:t>
      </w:r>
      <w:r w:rsidR="001248C2" w:rsidRPr="001248C2">
        <w:rPr>
          <w:sz w:val="24"/>
          <w:szCs w:val="24"/>
          <w:lang w:val="fr-FR"/>
        </w:rPr>
        <w:t>nt volontairement dans l</w:t>
      </w:r>
      <w:r w:rsidR="009A135D">
        <w:rPr>
          <w:sz w:val="24"/>
          <w:szCs w:val="24"/>
          <w:lang w:val="fr-FR"/>
        </w:rPr>
        <w:t>’</w:t>
      </w:r>
      <w:r w:rsidR="001248C2" w:rsidRPr="001248C2">
        <w:rPr>
          <w:sz w:val="24"/>
          <w:szCs w:val="24"/>
          <w:lang w:val="fr-FR"/>
        </w:rPr>
        <w:t>isolemen</w:t>
      </w:r>
      <w:r w:rsidR="001248C2">
        <w:rPr>
          <w:sz w:val="24"/>
          <w:szCs w:val="24"/>
          <w:lang w:val="fr-FR"/>
        </w:rPr>
        <w:t>t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2"/>
      </w:r>
      <w:r w:rsidR="001248C2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70643E" w:rsidP="0070643E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70643E">
        <w:rPr>
          <w:sz w:val="24"/>
          <w:szCs w:val="24"/>
          <w:lang w:val="fr-FR"/>
        </w:rPr>
        <w:t xml:space="preserve">Les peuples autochtones sont encouragés à </w:t>
      </w:r>
      <w:r>
        <w:rPr>
          <w:sz w:val="24"/>
          <w:szCs w:val="24"/>
          <w:lang w:val="fr-FR"/>
        </w:rPr>
        <w:t>mettre en place</w:t>
      </w:r>
      <w:r w:rsidRPr="0070643E">
        <w:rPr>
          <w:sz w:val="24"/>
          <w:szCs w:val="24"/>
          <w:lang w:val="fr-FR"/>
        </w:rPr>
        <w:t xml:space="preserve"> des mécanismes de représentation solides, ainsi que des lois, des coutumes et des protocoles </w:t>
      </w:r>
      <w:r w:rsidR="00821FC6">
        <w:rPr>
          <w:sz w:val="24"/>
          <w:szCs w:val="24"/>
          <w:lang w:val="fr-FR"/>
        </w:rPr>
        <w:t>en faveur du consentement préalable, libre et éclairé</w:t>
      </w:r>
      <w:r w:rsidRPr="0070643E">
        <w:rPr>
          <w:sz w:val="24"/>
          <w:szCs w:val="24"/>
          <w:lang w:val="fr-FR"/>
        </w:rPr>
        <w:t xml:space="preserve">. </w:t>
      </w:r>
      <w:r w:rsidR="00821FC6" w:rsidRPr="00821FC6">
        <w:rPr>
          <w:sz w:val="24"/>
          <w:szCs w:val="24"/>
          <w:lang w:val="fr-FR"/>
        </w:rPr>
        <w:t>Au début du processus de consultation, les peuples autochtones devraient indiquer clairement, après s</w:t>
      </w:r>
      <w:r w:rsidR="009A135D">
        <w:rPr>
          <w:sz w:val="24"/>
          <w:szCs w:val="24"/>
          <w:lang w:val="fr-FR"/>
        </w:rPr>
        <w:t>’</w:t>
      </w:r>
      <w:r w:rsidR="00821FC6" w:rsidRPr="00821FC6">
        <w:rPr>
          <w:sz w:val="24"/>
          <w:szCs w:val="24"/>
          <w:lang w:val="fr-FR"/>
        </w:rPr>
        <w:t>être mis d</w:t>
      </w:r>
      <w:r w:rsidR="009A135D">
        <w:rPr>
          <w:sz w:val="24"/>
          <w:szCs w:val="24"/>
          <w:lang w:val="fr-FR"/>
        </w:rPr>
        <w:t>’</w:t>
      </w:r>
      <w:r w:rsidR="00821FC6" w:rsidRPr="00821FC6">
        <w:rPr>
          <w:sz w:val="24"/>
          <w:szCs w:val="24"/>
          <w:lang w:val="fr-FR"/>
        </w:rPr>
        <w:t>accord, comment ils prendront une décision collective au sujet de l</w:t>
      </w:r>
      <w:r w:rsidR="009A135D">
        <w:rPr>
          <w:sz w:val="24"/>
          <w:szCs w:val="24"/>
          <w:lang w:val="fr-FR"/>
        </w:rPr>
        <w:t>’</w:t>
      </w:r>
      <w:r w:rsidR="00821FC6" w:rsidRPr="00821FC6">
        <w:rPr>
          <w:sz w:val="24"/>
          <w:szCs w:val="24"/>
          <w:lang w:val="fr-FR"/>
        </w:rPr>
        <w:t xml:space="preserve">activité </w:t>
      </w:r>
      <w:r w:rsidR="005F12CB">
        <w:rPr>
          <w:sz w:val="24"/>
          <w:szCs w:val="24"/>
          <w:lang w:val="fr-FR"/>
        </w:rPr>
        <w:t>prévue</w:t>
      </w:r>
      <w:r w:rsidR="00821FC6" w:rsidRPr="00821FC6">
        <w:rPr>
          <w:sz w:val="24"/>
          <w:szCs w:val="24"/>
          <w:lang w:val="fr-FR"/>
        </w:rPr>
        <w:t>, y compris le seuil qui doit être atteint pour qu</w:t>
      </w:r>
      <w:r w:rsidR="009A135D">
        <w:rPr>
          <w:sz w:val="24"/>
          <w:szCs w:val="24"/>
          <w:lang w:val="fr-FR"/>
        </w:rPr>
        <w:t>’</w:t>
      </w:r>
      <w:r w:rsidR="00821FC6" w:rsidRPr="00821FC6">
        <w:rPr>
          <w:sz w:val="24"/>
          <w:szCs w:val="24"/>
          <w:lang w:val="fr-FR"/>
        </w:rPr>
        <w:t>il y ait consentement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3"/>
      </w:r>
      <w:r w:rsidR="00821FC6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41231D" w:rsidP="003B2011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41231D">
        <w:rPr>
          <w:sz w:val="24"/>
          <w:szCs w:val="24"/>
          <w:lang w:val="fr-FR"/>
        </w:rPr>
        <w:t xml:space="preserve">Les États devraient veiller à ce que les peuples autochtones aient la possibilité de participer au </w:t>
      </w:r>
      <w:r>
        <w:rPr>
          <w:sz w:val="24"/>
          <w:szCs w:val="24"/>
          <w:lang w:val="fr-FR"/>
        </w:rPr>
        <w:t>processus</w:t>
      </w:r>
      <w:r w:rsidRPr="0041231D">
        <w:rPr>
          <w:sz w:val="24"/>
          <w:szCs w:val="24"/>
          <w:lang w:val="fr-FR"/>
        </w:rPr>
        <w:t xml:space="preserve"> d</w:t>
      </w:r>
      <w:r w:rsidR="009A135D">
        <w:rPr>
          <w:sz w:val="24"/>
          <w:szCs w:val="24"/>
          <w:lang w:val="fr-FR"/>
        </w:rPr>
        <w:t>’</w:t>
      </w:r>
      <w:r w:rsidRPr="0041231D">
        <w:rPr>
          <w:sz w:val="24"/>
          <w:szCs w:val="24"/>
          <w:lang w:val="fr-FR"/>
        </w:rPr>
        <w:t xml:space="preserve">évaluation des </w:t>
      </w:r>
      <w:r w:rsidR="00A62080">
        <w:rPr>
          <w:sz w:val="24"/>
          <w:szCs w:val="24"/>
          <w:lang w:val="fr-FR"/>
        </w:rPr>
        <w:t>impacts</w:t>
      </w:r>
      <w:r w:rsidRPr="0041231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(</w:t>
      </w:r>
      <w:r w:rsidRPr="0041231D">
        <w:rPr>
          <w:sz w:val="24"/>
          <w:szCs w:val="24"/>
          <w:lang w:val="fr-FR"/>
        </w:rPr>
        <w:t>environnement</w:t>
      </w:r>
      <w:r>
        <w:rPr>
          <w:sz w:val="24"/>
          <w:szCs w:val="24"/>
          <w:lang w:val="fr-FR"/>
        </w:rPr>
        <w:t>a</w:t>
      </w:r>
      <w:r w:rsidR="00A62080">
        <w:rPr>
          <w:sz w:val="24"/>
          <w:szCs w:val="24"/>
          <w:lang w:val="fr-FR"/>
        </w:rPr>
        <w:t>ux</w:t>
      </w:r>
      <w:r w:rsidRPr="0041231D">
        <w:rPr>
          <w:sz w:val="24"/>
          <w:szCs w:val="24"/>
          <w:lang w:val="fr-FR"/>
        </w:rPr>
        <w:t>, culture</w:t>
      </w:r>
      <w:r>
        <w:rPr>
          <w:sz w:val="24"/>
          <w:szCs w:val="24"/>
          <w:lang w:val="fr-FR"/>
        </w:rPr>
        <w:t>ls, socia</w:t>
      </w:r>
      <w:r w:rsidR="00A62080">
        <w:rPr>
          <w:sz w:val="24"/>
          <w:szCs w:val="24"/>
          <w:lang w:val="fr-FR"/>
        </w:rPr>
        <w:t>ux</w:t>
      </w:r>
      <w:r w:rsidRPr="0041231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et sur le plan des </w:t>
      </w:r>
      <w:r w:rsidRPr="0041231D">
        <w:rPr>
          <w:sz w:val="24"/>
          <w:szCs w:val="24"/>
          <w:lang w:val="fr-FR"/>
        </w:rPr>
        <w:t>droits de l</w:t>
      </w:r>
      <w:r w:rsidR="009A135D">
        <w:rPr>
          <w:sz w:val="24"/>
          <w:szCs w:val="24"/>
          <w:lang w:val="fr-FR"/>
        </w:rPr>
        <w:t>’</w:t>
      </w:r>
      <w:r w:rsidRPr="0041231D">
        <w:rPr>
          <w:sz w:val="24"/>
          <w:szCs w:val="24"/>
          <w:lang w:val="fr-FR"/>
        </w:rPr>
        <w:t>homme)</w:t>
      </w:r>
      <w:r w:rsidR="00A62080">
        <w:rPr>
          <w:sz w:val="24"/>
          <w:szCs w:val="24"/>
          <w:lang w:val="fr-FR"/>
        </w:rPr>
        <w:t xml:space="preserve"> de l’activité prévue</w:t>
      </w:r>
      <w:r w:rsidRPr="0041231D">
        <w:rPr>
          <w:sz w:val="24"/>
          <w:szCs w:val="24"/>
          <w:lang w:val="fr-FR"/>
        </w:rPr>
        <w:t xml:space="preserve">, qui devrait être </w:t>
      </w:r>
      <w:r w:rsidR="00AA1081">
        <w:rPr>
          <w:sz w:val="24"/>
          <w:szCs w:val="24"/>
          <w:lang w:val="fr-FR"/>
        </w:rPr>
        <w:t>lancé</w:t>
      </w:r>
      <w:r w:rsidRPr="0041231D">
        <w:rPr>
          <w:sz w:val="24"/>
          <w:szCs w:val="24"/>
          <w:lang w:val="fr-FR"/>
        </w:rPr>
        <w:t xml:space="preserve"> avant </w:t>
      </w:r>
      <w:r>
        <w:rPr>
          <w:sz w:val="24"/>
          <w:szCs w:val="24"/>
          <w:lang w:val="fr-FR"/>
        </w:rPr>
        <w:t>que la</w:t>
      </w:r>
      <w:r w:rsidRPr="0041231D">
        <w:rPr>
          <w:sz w:val="24"/>
          <w:szCs w:val="24"/>
          <w:lang w:val="fr-FR"/>
        </w:rPr>
        <w:t xml:space="preserve"> proposition</w:t>
      </w:r>
      <w:r>
        <w:rPr>
          <w:sz w:val="24"/>
          <w:szCs w:val="24"/>
          <w:lang w:val="fr-FR"/>
        </w:rPr>
        <w:t xml:space="preserve"> ne soit </w:t>
      </w:r>
      <w:r w:rsidR="00AA1081">
        <w:rPr>
          <w:sz w:val="24"/>
          <w:szCs w:val="24"/>
          <w:lang w:val="fr-FR"/>
        </w:rPr>
        <w:t>formulée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4"/>
      </w:r>
      <w:r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  <w:r w:rsidR="003B2011" w:rsidRPr="003B2011">
        <w:rPr>
          <w:sz w:val="24"/>
          <w:szCs w:val="24"/>
          <w:lang w:val="fr-FR"/>
        </w:rPr>
        <w:t xml:space="preserve">Ces </w:t>
      </w:r>
      <w:r w:rsidR="003B2011">
        <w:rPr>
          <w:sz w:val="24"/>
          <w:szCs w:val="24"/>
          <w:lang w:val="fr-FR"/>
        </w:rPr>
        <w:t>études</w:t>
      </w:r>
      <w:r w:rsidR="003B2011" w:rsidRPr="003B2011">
        <w:rPr>
          <w:sz w:val="24"/>
          <w:szCs w:val="24"/>
          <w:lang w:val="fr-FR"/>
        </w:rPr>
        <w:t xml:space="preserve"> d</w:t>
      </w:r>
      <w:r w:rsidR="009A135D">
        <w:rPr>
          <w:sz w:val="24"/>
          <w:szCs w:val="24"/>
          <w:lang w:val="fr-FR"/>
        </w:rPr>
        <w:t>’</w:t>
      </w:r>
      <w:r w:rsidR="003B2011" w:rsidRPr="003B2011">
        <w:rPr>
          <w:sz w:val="24"/>
          <w:szCs w:val="24"/>
          <w:lang w:val="fr-FR"/>
        </w:rPr>
        <w:t xml:space="preserve">impact </w:t>
      </w:r>
      <w:r w:rsidR="003B2011">
        <w:rPr>
          <w:sz w:val="24"/>
          <w:szCs w:val="24"/>
          <w:lang w:val="fr-FR"/>
        </w:rPr>
        <w:t>doivent</w:t>
      </w:r>
      <w:r w:rsidR="003B2011" w:rsidRPr="003B2011">
        <w:rPr>
          <w:sz w:val="24"/>
          <w:szCs w:val="24"/>
          <w:lang w:val="fr-FR"/>
        </w:rPr>
        <w:t xml:space="preserve"> être objectives et impartiales. En procédant à de telles évaluations, les États devraient </w:t>
      </w:r>
      <w:r w:rsidR="003B2011">
        <w:rPr>
          <w:sz w:val="24"/>
          <w:szCs w:val="24"/>
          <w:lang w:val="fr-FR"/>
        </w:rPr>
        <w:t>s</w:t>
      </w:r>
      <w:r w:rsidR="009A135D">
        <w:rPr>
          <w:sz w:val="24"/>
          <w:szCs w:val="24"/>
          <w:lang w:val="fr-FR"/>
        </w:rPr>
        <w:t>’</w:t>
      </w:r>
      <w:r w:rsidR="003B2011">
        <w:rPr>
          <w:sz w:val="24"/>
          <w:szCs w:val="24"/>
          <w:lang w:val="fr-FR"/>
        </w:rPr>
        <w:t>employer</w:t>
      </w:r>
      <w:r w:rsidR="003B2011" w:rsidRPr="003B2011">
        <w:rPr>
          <w:sz w:val="24"/>
          <w:szCs w:val="24"/>
          <w:lang w:val="fr-FR"/>
        </w:rPr>
        <w:t xml:space="preserve"> à </w:t>
      </w:r>
      <w:r w:rsidR="003B2011">
        <w:rPr>
          <w:sz w:val="24"/>
          <w:szCs w:val="24"/>
          <w:lang w:val="fr-FR"/>
        </w:rPr>
        <w:t>comprendre</w:t>
      </w:r>
      <w:r w:rsidR="003B2011" w:rsidRPr="003B2011">
        <w:rPr>
          <w:sz w:val="24"/>
          <w:szCs w:val="24"/>
          <w:lang w:val="fr-FR"/>
        </w:rPr>
        <w:t xml:space="preserve"> pleinement l</w:t>
      </w:r>
      <w:r w:rsidR="009A135D">
        <w:rPr>
          <w:sz w:val="24"/>
          <w:szCs w:val="24"/>
          <w:lang w:val="fr-FR"/>
        </w:rPr>
        <w:t>’</w:t>
      </w:r>
      <w:r w:rsidR="003B2011" w:rsidRPr="003B2011">
        <w:rPr>
          <w:sz w:val="24"/>
          <w:szCs w:val="24"/>
          <w:lang w:val="fr-FR"/>
        </w:rPr>
        <w:t xml:space="preserve">environnement social, économique et politique des peuples autochtones et évaluer les avantages et les inconvénients </w:t>
      </w:r>
      <w:r w:rsidR="00AA1081">
        <w:rPr>
          <w:sz w:val="24"/>
          <w:szCs w:val="24"/>
          <w:lang w:val="fr-FR"/>
        </w:rPr>
        <w:t>qui s’y rapportent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5"/>
      </w:r>
      <w:r w:rsidR="003B2011">
        <w:rPr>
          <w:sz w:val="24"/>
          <w:szCs w:val="24"/>
          <w:lang w:val="fr-FR"/>
        </w:rPr>
        <w:t>.</w:t>
      </w:r>
    </w:p>
    <w:p w:rsidR="00AA4928" w:rsidRPr="003841A1" w:rsidRDefault="0055640B" w:rsidP="0055640B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55640B">
        <w:rPr>
          <w:sz w:val="24"/>
          <w:szCs w:val="24"/>
          <w:lang w:val="fr-FR"/>
        </w:rPr>
        <w:t>Les États devraient</w:t>
      </w:r>
      <w:r w:rsidR="00210D50">
        <w:rPr>
          <w:sz w:val="24"/>
          <w:szCs w:val="24"/>
          <w:lang w:val="fr-FR"/>
        </w:rPr>
        <w:t xml:space="preserve"> imposer des</w:t>
      </w:r>
      <w:r w:rsidRPr="0055640B">
        <w:rPr>
          <w:sz w:val="24"/>
          <w:szCs w:val="24"/>
          <w:lang w:val="fr-FR"/>
        </w:rPr>
        <w:t xml:space="preserve"> limite</w:t>
      </w:r>
      <w:r w:rsidR="00210D50">
        <w:rPr>
          <w:sz w:val="24"/>
          <w:szCs w:val="24"/>
          <w:lang w:val="fr-FR"/>
        </w:rPr>
        <w:t>s aux</w:t>
      </w:r>
      <w:r w:rsidRPr="0055640B">
        <w:rPr>
          <w:sz w:val="24"/>
          <w:szCs w:val="24"/>
          <w:lang w:val="fr-FR"/>
        </w:rPr>
        <w:t xml:space="preserve"> </w:t>
      </w:r>
      <w:r w:rsidR="00A62080">
        <w:rPr>
          <w:sz w:val="24"/>
          <w:szCs w:val="24"/>
          <w:lang w:val="fr-FR"/>
        </w:rPr>
        <w:t>activités</w:t>
      </w:r>
      <w:r w:rsidRPr="0055640B">
        <w:rPr>
          <w:sz w:val="24"/>
          <w:szCs w:val="24"/>
          <w:lang w:val="fr-FR"/>
        </w:rPr>
        <w:t xml:space="preserve"> </w:t>
      </w:r>
      <w:r w:rsidR="00210D50">
        <w:rPr>
          <w:sz w:val="24"/>
          <w:szCs w:val="24"/>
          <w:lang w:val="fr-FR"/>
        </w:rPr>
        <w:t>et</w:t>
      </w:r>
      <w:r w:rsidRPr="0055640B">
        <w:rPr>
          <w:sz w:val="24"/>
          <w:szCs w:val="24"/>
          <w:lang w:val="fr-FR"/>
        </w:rPr>
        <w:t xml:space="preserve"> </w:t>
      </w:r>
      <w:r w:rsidR="00210D50">
        <w:rPr>
          <w:sz w:val="24"/>
          <w:szCs w:val="24"/>
          <w:lang w:val="fr-FR"/>
        </w:rPr>
        <w:t>aux</w:t>
      </w:r>
      <w:r>
        <w:rPr>
          <w:sz w:val="24"/>
          <w:szCs w:val="24"/>
          <w:lang w:val="fr-FR"/>
        </w:rPr>
        <w:t xml:space="preserve"> </w:t>
      </w:r>
      <w:r w:rsidRPr="0055640B">
        <w:rPr>
          <w:sz w:val="24"/>
          <w:szCs w:val="24"/>
          <w:lang w:val="fr-FR"/>
        </w:rPr>
        <w:t xml:space="preserve">projets </w:t>
      </w:r>
      <w:r>
        <w:rPr>
          <w:sz w:val="24"/>
          <w:szCs w:val="24"/>
          <w:lang w:val="fr-FR"/>
        </w:rPr>
        <w:t xml:space="preserve">qui sont </w:t>
      </w:r>
      <w:r w:rsidRPr="0055640B">
        <w:rPr>
          <w:sz w:val="24"/>
          <w:szCs w:val="24"/>
          <w:lang w:val="fr-FR"/>
        </w:rPr>
        <w:t xml:space="preserve">susceptibles de causer un </w:t>
      </w:r>
      <w:r>
        <w:rPr>
          <w:sz w:val="24"/>
          <w:szCs w:val="24"/>
          <w:lang w:val="fr-FR"/>
        </w:rPr>
        <w:t>« </w:t>
      </w:r>
      <w:r w:rsidRPr="0055640B">
        <w:rPr>
          <w:sz w:val="24"/>
          <w:szCs w:val="24"/>
          <w:lang w:val="fr-FR"/>
        </w:rPr>
        <w:t>préjudice important</w:t>
      </w:r>
      <w:r>
        <w:rPr>
          <w:sz w:val="24"/>
          <w:szCs w:val="24"/>
          <w:lang w:val="fr-FR"/>
        </w:rPr>
        <w:t> »</w:t>
      </w:r>
      <w:r w:rsidRPr="0055640B">
        <w:rPr>
          <w:sz w:val="24"/>
          <w:szCs w:val="24"/>
          <w:lang w:val="fr-FR"/>
        </w:rPr>
        <w:t xml:space="preserve"> aux peuples autochtones, y compris </w:t>
      </w:r>
      <w:r>
        <w:rPr>
          <w:sz w:val="24"/>
          <w:szCs w:val="24"/>
          <w:lang w:val="fr-FR"/>
        </w:rPr>
        <w:t>d</w:t>
      </w:r>
      <w:r w:rsidRPr="0055640B">
        <w:rPr>
          <w:sz w:val="24"/>
          <w:szCs w:val="24"/>
          <w:lang w:val="fr-FR"/>
        </w:rPr>
        <w:t xml:space="preserve">es </w:t>
      </w:r>
      <w:r>
        <w:rPr>
          <w:sz w:val="24"/>
          <w:szCs w:val="24"/>
          <w:lang w:val="fr-FR"/>
        </w:rPr>
        <w:t>préjudices</w:t>
      </w:r>
      <w:r w:rsidRPr="0055640B">
        <w:rPr>
          <w:sz w:val="24"/>
          <w:szCs w:val="24"/>
          <w:lang w:val="fr-FR"/>
        </w:rPr>
        <w:t xml:space="preserve"> cumulatifs causés par des formes d</w:t>
      </w:r>
      <w:r w:rsidR="009A135D">
        <w:rPr>
          <w:sz w:val="24"/>
          <w:szCs w:val="24"/>
          <w:lang w:val="fr-FR"/>
        </w:rPr>
        <w:t>’</w:t>
      </w:r>
      <w:r w:rsidRPr="0055640B">
        <w:rPr>
          <w:sz w:val="24"/>
          <w:szCs w:val="24"/>
          <w:lang w:val="fr-FR"/>
        </w:rPr>
        <w:t>utilisation des terres concurrentes, au-delà desquel</w:t>
      </w:r>
      <w:r w:rsidR="00210D50">
        <w:rPr>
          <w:sz w:val="24"/>
          <w:szCs w:val="24"/>
          <w:lang w:val="fr-FR"/>
        </w:rPr>
        <w:t>les</w:t>
      </w:r>
      <w:r w:rsidRPr="0055640B">
        <w:rPr>
          <w:sz w:val="24"/>
          <w:szCs w:val="24"/>
          <w:lang w:val="fr-FR"/>
        </w:rPr>
        <w:t xml:space="preserve"> aucun projet de développement ne peut être entrepris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6"/>
      </w:r>
      <w:r w:rsidR="00210D50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</w:p>
    <w:p w:rsidR="00AA4928" w:rsidRPr="003841A1" w:rsidRDefault="00210D50" w:rsidP="00210D50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210D50">
        <w:rPr>
          <w:sz w:val="24"/>
          <w:szCs w:val="24"/>
          <w:lang w:val="fr-FR"/>
        </w:rPr>
        <w:t xml:space="preserve">Les États devraient </w:t>
      </w:r>
      <w:r>
        <w:rPr>
          <w:sz w:val="24"/>
          <w:szCs w:val="24"/>
          <w:lang w:val="fr-FR"/>
        </w:rPr>
        <w:t>mettre en place</w:t>
      </w:r>
      <w:r w:rsidRPr="00210D50">
        <w:rPr>
          <w:sz w:val="24"/>
          <w:szCs w:val="24"/>
          <w:lang w:val="fr-FR"/>
        </w:rPr>
        <w:t xml:space="preserve"> les procédures nécessaires pour réglementer, vérifier et contrôler le processus de consultation</w:t>
      </w:r>
      <w:r>
        <w:rPr>
          <w:sz w:val="24"/>
          <w:szCs w:val="24"/>
          <w:lang w:val="fr-FR"/>
        </w:rPr>
        <w:t>,</w:t>
      </w:r>
      <w:r w:rsidRPr="00210D50">
        <w:rPr>
          <w:sz w:val="24"/>
          <w:szCs w:val="24"/>
          <w:lang w:val="fr-FR"/>
        </w:rPr>
        <w:t xml:space="preserve"> en s</w:t>
      </w:r>
      <w:r w:rsidR="009A135D">
        <w:rPr>
          <w:sz w:val="24"/>
          <w:szCs w:val="24"/>
          <w:lang w:val="fr-FR"/>
        </w:rPr>
        <w:t>’</w:t>
      </w:r>
      <w:r w:rsidRPr="00210D50">
        <w:rPr>
          <w:sz w:val="24"/>
          <w:szCs w:val="24"/>
          <w:lang w:val="fr-FR"/>
        </w:rPr>
        <w:t>assurant que le consentement préalable</w:t>
      </w:r>
      <w:r>
        <w:rPr>
          <w:sz w:val="24"/>
          <w:szCs w:val="24"/>
          <w:lang w:val="fr-FR"/>
        </w:rPr>
        <w:t>, libre</w:t>
      </w:r>
      <w:r w:rsidRPr="00210D50">
        <w:rPr>
          <w:sz w:val="24"/>
          <w:szCs w:val="24"/>
          <w:lang w:val="fr-FR"/>
        </w:rPr>
        <w:t xml:space="preserve"> et éclairé a été sollicité et qu</w:t>
      </w:r>
      <w:r w:rsidR="009A135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il a bien été obtenu</w:t>
      </w:r>
      <w:r w:rsidRPr="00210D5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dans les cas où il </w:t>
      </w:r>
      <w:r w:rsidRPr="00210D50">
        <w:rPr>
          <w:sz w:val="24"/>
          <w:szCs w:val="24"/>
          <w:lang w:val="fr-FR"/>
        </w:rPr>
        <w:t>était requis</w:t>
      </w:r>
      <w:r w:rsidR="00AA4928" w:rsidRPr="003841A1">
        <w:rPr>
          <w:sz w:val="24"/>
          <w:szCs w:val="24"/>
          <w:lang w:val="fr-FR"/>
        </w:rPr>
        <w:t>.</w:t>
      </w:r>
    </w:p>
    <w:p w:rsidR="00AA4928" w:rsidRPr="003841A1" w:rsidRDefault="003B443F" w:rsidP="00571161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3B443F">
        <w:rPr>
          <w:sz w:val="24"/>
          <w:szCs w:val="24"/>
          <w:lang w:val="fr-FR"/>
        </w:rPr>
        <w:t xml:space="preserve">Les États devraient </w:t>
      </w:r>
      <w:r w:rsidR="00CA1B5E">
        <w:rPr>
          <w:sz w:val="24"/>
          <w:szCs w:val="24"/>
          <w:lang w:val="fr-FR"/>
        </w:rPr>
        <w:t>s</w:t>
      </w:r>
      <w:r w:rsidR="009A135D">
        <w:rPr>
          <w:sz w:val="24"/>
          <w:szCs w:val="24"/>
          <w:lang w:val="fr-FR"/>
        </w:rPr>
        <w:t>’</w:t>
      </w:r>
      <w:r w:rsidR="00CA1B5E">
        <w:rPr>
          <w:sz w:val="24"/>
          <w:szCs w:val="24"/>
          <w:lang w:val="fr-FR"/>
        </w:rPr>
        <w:t>assurer</w:t>
      </w:r>
      <w:r w:rsidRPr="003B443F">
        <w:rPr>
          <w:sz w:val="24"/>
          <w:szCs w:val="24"/>
          <w:lang w:val="fr-FR"/>
        </w:rPr>
        <w:t xml:space="preserve"> que, le cas échéant, les peuples autochtones bénéficient d</w:t>
      </w:r>
      <w:r w:rsidR="009A135D">
        <w:rPr>
          <w:sz w:val="24"/>
          <w:szCs w:val="24"/>
          <w:lang w:val="fr-FR"/>
        </w:rPr>
        <w:t>’</w:t>
      </w:r>
      <w:r w:rsidRPr="003B443F">
        <w:rPr>
          <w:sz w:val="24"/>
          <w:szCs w:val="24"/>
          <w:lang w:val="fr-FR"/>
        </w:rPr>
        <w:t xml:space="preserve">une réparation (article 11, UNDRIP) </w:t>
      </w:r>
      <w:r>
        <w:rPr>
          <w:sz w:val="24"/>
          <w:szCs w:val="24"/>
          <w:lang w:val="fr-FR"/>
        </w:rPr>
        <w:t>« pouvant</w:t>
      </w:r>
      <w:r w:rsidRPr="003B443F">
        <w:rPr>
          <w:sz w:val="24"/>
          <w:szCs w:val="24"/>
          <w:lang w:val="fr-FR"/>
        </w:rPr>
        <w:t xml:space="preserve"> inclure la restitution</w:t>
      </w:r>
      <w:r>
        <w:rPr>
          <w:sz w:val="24"/>
          <w:szCs w:val="24"/>
          <w:lang w:val="fr-FR"/>
        </w:rPr>
        <w:t> »,</w:t>
      </w:r>
      <w:r w:rsidRPr="003B443F">
        <w:rPr>
          <w:sz w:val="24"/>
          <w:szCs w:val="24"/>
          <w:lang w:val="fr-FR"/>
        </w:rPr>
        <w:t xml:space="preserve"> et que les peuples autochtones puissent décider eux-mêmes de la forme de réparation la </w:t>
      </w:r>
      <w:r>
        <w:rPr>
          <w:sz w:val="24"/>
          <w:szCs w:val="24"/>
          <w:lang w:val="fr-FR"/>
        </w:rPr>
        <w:t>plus appropriée pour</w:t>
      </w:r>
      <w:r w:rsidRPr="003B443F">
        <w:rPr>
          <w:sz w:val="24"/>
          <w:szCs w:val="24"/>
          <w:lang w:val="fr-FR"/>
        </w:rPr>
        <w:t xml:space="preserve"> restaurer et </w:t>
      </w:r>
      <w:r w:rsidR="006F2026">
        <w:rPr>
          <w:sz w:val="24"/>
          <w:szCs w:val="24"/>
          <w:lang w:val="fr-FR"/>
        </w:rPr>
        <w:t>défendre leurs</w:t>
      </w:r>
      <w:r w:rsidRPr="003B443F">
        <w:rPr>
          <w:sz w:val="24"/>
          <w:szCs w:val="24"/>
          <w:lang w:val="fr-FR"/>
        </w:rPr>
        <w:t xml:space="preserve"> droits</w:t>
      </w:r>
      <w:r w:rsidR="00AA4928" w:rsidRPr="003841A1">
        <w:rPr>
          <w:sz w:val="24"/>
          <w:szCs w:val="24"/>
          <w:lang w:val="fr-FR"/>
        </w:rPr>
        <w:t xml:space="preserve">. </w:t>
      </w:r>
      <w:r w:rsidR="00571161" w:rsidRPr="00571161">
        <w:rPr>
          <w:sz w:val="24"/>
          <w:szCs w:val="24"/>
          <w:lang w:val="fr-FR"/>
        </w:rPr>
        <w:t xml:space="preserve">Les États ne devraient pas limiter la réparation à une indemnisation </w:t>
      </w:r>
      <w:r w:rsidR="006C1910">
        <w:rPr>
          <w:sz w:val="24"/>
          <w:szCs w:val="24"/>
          <w:lang w:val="fr-FR"/>
        </w:rPr>
        <w:t>pécuniaire</w:t>
      </w:r>
      <w:r w:rsidR="00571161" w:rsidRPr="00571161">
        <w:rPr>
          <w:sz w:val="24"/>
          <w:szCs w:val="24"/>
          <w:lang w:val="fr-FR"/>
        </w:rPr>
        <w:t xml:space="preserve"> </w:t>
      </w:r>
      <w:r w:rsidR="00571161">
        <w:rPr>
          <w:sz w:val="24"/>
          <w:szCs w:val="24"/>
          <w:lang w:val="fr-FR"/>
        </w:rPr>
        <w:t>ni</w:t>
      </w:r>
      <w:r w:rsidR="00571161" w:rsidRPr="00571161">
        <w:rPr>
          <w:sz w:val="24"/>
          <w:szCs w:val="24"/>
          <w:lang w:val="fr-FR"/>
        </w:rPr>
        <w:t xml:space="preserve"> exclure arbitrairement la possibilité de </w:t>
      </w:r>
      <w:r w:rsidR="00571161" w:rsidRPr="00571161">
        <w:rPr>
          <w:sz w:val="24"/>
          <w:szCs w:val="24"/>
          <w:lang w:val="fr-FR"/>
        </w:rPr>
        <w:lastRenderedPageBreak/>
        <w:t>restitution ou de restauration des terres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7"/>
      </w:r>
      <w:r w:rsidR="00571161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  <w:r w:rsidR="00571161">
        <w:rPr>
          <w:sz w:val="24"/>
          <w:szCs w:val="24"/>
          <w:lang w:val="fr-FR"/>
        </w:rPr>
        <w:t>« </w:t>
      </w:r>
      <w:r w:rsidR="00571161" w:rsidRPr="00571161">
        <w:rPr>
          <w:sz w:val="24"/>
          <w:szCs w:val="24"/>
          <w:lang w:val="fr-FR"/>
        </w:rPr>
        <w:t xml:space="preserve">Cette indemnisation devrait, dans la mesure du possible, se faire sous forme </w:t>
      </w:r>
      <w:r w:rsidR="00571161">
        <w:rPr>
          <w:sz w:val="24"/>
          <w:szCs w:val="24"/>
          <w:lang w:val="fr-FR"/>
        </w:rPr>
        <w:t>de terres et de territoires »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8"/>
      </w:r>
      <w:r w:rsidR="00571161">
        <w:rPr>
          <w:sz w:val="24"/>
          <w:szCs w:val="24"/>
          <w:lang w:val="fr-FR"/>
        </w:rPr>
        <w:t>.</w:t>
      </w:r>
    </w:p>
    <w:p w:rsidR="00AA4928" w:rsidRPr="003841A1" w:rsidRDefault="006C1910" w:rsidP="00C1091C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6C1910">
        <w:rPr>
          <w:sz w:val="24"/>
          <w:szCs w:val="24"/>
          <w:lang w:val="fr-FR"/>
        </w:rPr>
        <w:t xml:space="preserve">Les États devraient </w:t>
      </w:r>
      <w:r w:rsidR="00AA1081">
        <w:rPr>
          <w:sz w:val="24"/>
          <w:szCs w:val="24"/>
          <w:lang w:val="fr-FR"/>
        </w:rPr>
        <w:t>s’assurer</w:t>
      </w:r>
      <w:r w:rsidRPr="006C1910">
        <w:rPr>
          <w:sz w:val="24"/>
          <w:szCs w:val="24"/>
          <w:lang w:val="fr-FR"/>
        </w:rPr>
        <w:t xml:space="preserve"> que les peuples autochtones qui ont involontairement perdu la possession de leurs terres</w:t>
      </w:r>
      <w:r w:rsidR="00AA4928" w:rsidRPr="003841A1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ou dont les </w:t>
      </w:r>
      <w:r w:rsidR="00F9502F">
        <w:rPr>
          <w:sz w:val="24"/>
          <w:szCs w:val="24"/>
          <w:lang w:val="fr-FR"/>
        </w:rPr>
        <w:t>terres</w:t>
      </w:r>
      <w:r w:rsidR="00C1091C">
        <w:rPr>
          <w:sz w:val="24"/>
          <w:szCs w:val="24"/>
          <w:lang w:val="fr-FR"/>
        </w:rPr>
        <w:t>, ressources ou</w:t>
      </w:r>
      <w:r w:rsidR="00F9502F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territoires ont été « </w:t>
      </w:r>
      <w:r w:rsidRPr="006C1910">
        <w:rPr>
          <w:sz w:val="24"/>
          <w:szCs w:val="24"/>
          <w:lang w:val="fr-FR"/>
        </w:rPr>
        <w:t>confisqués, pris, occupés, exploités ou dégradés sans leur consentement préalable, donné librement et en connaissance de cause</w:t>
      </w:r>
      <w:r>
        <w:rPr>
          <w:sz w:val="24"/>
          <w:szCs w:val="24"/>
          <w:lang w:val="fr-FR"/>
        </w:rPr>
        <w:t> »</w:t>
      </w:r>
      <w:r w:rsidR="00AA4928" w:rsidRPr="003841A1">
        <w:rPr>
          <w:sz w:val="24"/>
          <w:szCs w:val="24"/>
          <w:lang w:val="fr-FR"/>
        </w:rPr>
        <w:t xml:space="preserve"> </w:t>
      </w:r>
      <w:r w:rsidRPr="006C1910">
        <w:rPr>
          <w:sz w:val="24"/>
          <w:szCs w:val="24"/>
          <w:lang w:val="fr-FR"/>
        </w:rPr>
        <w:t xml:space="preserve">ont </w:t>
      </w:r>
      <w:r w:rsidR="00AA1081">
        <w:rPr>
          <w:sz w:val="24"/>
          <w:szCs w:val="24"/>
          <w:lang w:val="fr-FR"/>
        </w:rPr>
        <w:t xml:space="preserve">effectivement </w:t>
      </w:r>
      <w:r w:rsidRPr="006C1910">
        <w:rPr>
          <w:sz w:val="24"/>
          <w:szCs w:val="24"/>
          <w:lang w:val="fr-FR"/>
        </w:rPr>
        <w:t xml:space="preserve">droit à </w:t>
      </w:r>
      <w:r w:rsidR="00F9502F">
        <w:rPr>
          <w:sz w:val="24"/>
          <w:szCs w:val="24"/>
          <w:lang w:val="fr-FR"/>
        </w:rPr>
        <w:t>la restitution de ces terres</w:t>
      </w:r>
      <w:r w:rsidR="00C1091C">
        <w:rPr>
          <w:sz w:val="24"/>
          <w:szCs w:val="24"/>
          <w:lang w:val="fr-FR"/>
        </w:rPr>
        <w:t xml:space="preserve"> ou</w:t>
      </w:r>
      <w:r w:rsidR="00F9502F">
        <w:rPr>
          <w:sz w:val="24"/>
          <w:szCs w:val="24"/>
          <w:lang w:val="fr-FR"/>
        </w:rPr>
        <w:t xml:space="preserve"> </w:t>
      </w:r>
      <w:r w:rsidR="00C1091C" w:rsidRPr="00C1091C">
        <w:rPr>
          <w:sz w:val="24"/>
          <w:szCs w:val="24"/>
          <w:lang w:val="fr-FR"/>
        </w:rPr>
        <w:t>à d</w:t>
      </w:r>
      <w:r w:rsidR="009A135D">
        <w:rPr>
          <w:sz w:val="24"/>
          <w:szCs w:val="24"/>
          <w:lang w:val="fr-FR"/>
        </w:rPr>
        <w:t>’</w:t>
      </w:r>
      <w:r w:rsidR="00C1091C" w:rsidRPr="00C1091C">
        <w:rPr>
          <w:sz w:val="24"/>
          <w:szCs w:val="24"/>
          <w:lang w:val="fr-FR"/>
        </w:rPr>
        <w:t xml:space="preserve">autres mesures de réparation appropriées </w:t>
      </w:r>
      <w:r w:rsidR="00AA4928" w:rsidRPr="003841A1">
        <w:rPr>
          <w:sz w:val="24"/>
          <w:szCs w:val="24"/>
          <w:lang w:val="fr-FR"/>
        </w:rPr>
        <w:t xml:space="preserve">(article 28, UNDRIP). </w:t>
      </w:r>
      <w:r w:rsidR="00C1091C" w:rsidRPr="00C1091C">
        <w:rPr>
          <w:sz w:val="24"/>
          <w:szCs w:val="24"/>
          <w:lang w:val="fr-FR"/>
        </w:rPr>
        <w:t>Si des avantages financiers directs sont convenus sous forme d</w:t>
      </w:r>
      <w:r w:rsidR="00AA1081">
        <w:rPr>
          <w:sz w:val="24"/>
          <w:szCs w:val="24"/>
          <w:lang w:val="fr-FR"/>
        </w:rPr>
        <w:t xml:space="preserve">’une </w:t>
      </w:r>
      <w:r w:rsidR="00C1091C">
        <w:rPr>
          <w:sz w:val="24"/>
          <w:szCs w:val="24"/>
          <w:lang w:val="fr-FR"/>
        </w:rPr>
        <w:t>indemnisation</w:t>
      </w:r>
      <w:r w:rsidR="00C1091C" w:rsidRPr="00C1091C">
        <w:rPr>
          <w:sz w:val="24"/>
          <w:szCs w:val="24"/>
          <w:lang w:val="fr-FR"/>
        </w:rPr>
        <w:t xml:space="preserve">, </w:t>
      </w:r>
      <w:r w:rsidR="00C1091C">
        <w:rPr>
          <w:sz w:val="24"/>
          <w:szCs w:val="24"/>
          <w:lang w:val="fr-FR"/>
        </w:rPr>
        <w:t>ce</w:t>
      </w:r>
      <w:r w:rsidR="00AA1081">
        <w:rPr>
          <w:sz w:val="24"/>
          <w:szCs w:val="24"/>
          <w:lang w:val="fr-FR"/>
        </w:rPr>
        <w:t>lle</w:t>
      </w:r>
      <w:r w:rsidR="00C1091C">
        <w:rPr>
          <w:sz w:val="24"/>
          <w:szCs w:val="24"/>
          <w:lang w:val="fr-FR"/>
        </w:rPr>
        <w:t>-ci</w:t>
      </w:r>
      <w:r w:rsidR="00C1091C" w:rsidRPr="00C1091C">
        <w:rPr>
          <w:sz w:val="24"/>
          <w:szCs w:val="24"/>
          <w:lang w:val="fr-FR"/>
        </w:rPr>
        <w:t xml:space="preserve"> </w:t>
      </w:r>
      <w:r w:rsidR="00AA1081">
        <w:rPr>
          <w:sz w:val="24"/>
          <w:szCs w:val="24"/>
          <w:lang w:val="fr-FR"/>
        </w:rPr>
        <w:t>doit</w:t>
      </w:r>
      <w:r w:rsidR="00C1091C" w:rsidRPr="00C1091C">
        <w:rPr>
          <w:sz w:val="24"/>
          <w:szCs w:val="24"/>
          <w:lang w:val="fr-FR"/>
        </w:rPr>
        <w:t xml:space="preserve"> revenir aux peuples autochtones, qu</w:t>
      </w:r>
      <w:r w:rsidR="009A135D">
        <w:rPr>
          <w:sz w:val="24"/>
          <w:szCs w:val="24"/>
          <w:lang w:val="fr-FR"/>
        </w:rPr>
        <w:t>’</w:t>
      </w:r>
      <w:r w:rsidR="00C1091C" w:rsidRPr="00C1091C">
        <w:rPr>
          <w:sz w:val="24"/>
          <w:szCs w:val="24"/>
          <w:lang w:val="fr-FR"/>
        </w:rPr>
        <w:t xml:space="preserve">ils </w:t>
      </w:r>
      <w:r w:rsidR="00C1091C">
        <w:rPr>
          <w:sz w:val="24"/>
          <w:szCs w:val="24"/>
          <w:lang w:val="fr-FR"/>
        </w:rPr>
        <w:t>détiennent</w:t>
      </w:r>
      <w:r w:rsidR="00C1091C" w:rsidRPr="00C1091C">
        <w:rPr>
          <w:sz w:val="24"/>
          <w:szCs w:val="24"/>
          <w:lang w:val="fr-FR"/>
        </w:rPr>
        <w:t xml:space="preserve"> ou non </w:t>
      </w:r>
      <w:r w:rsidR="00C1091C">
        <w:rPr>
          <w:sz w:val="24"/>
          <w:szCs w:val="24"/>
          <w:lang w:val="fr-FR"/>
        </w:rPr>
        <w:t>la possession d</w:t>
      </w:r>
      <w:r w:rsidR="00C1091C" w:rsidRPr="00C1091C">
        <w:rPr>
          <w:sz w:val="24"/>
          <w:szCs w:val="24"/>
          <w:lang w:val="fr-FR"/>
        </w:rPr>
        <w:t xml:space="preserve">es terres ou </w:t>
      </w:r>
      <w:r w:rsidR="00C1091C">
        <w:rPr>
          <w:sz w:val="24"/>
          <w:szCs w:val="24"/>
          <w:lang w:val="fr-FR"/>
        </w:rPr>
        <w:t>d</w:t>
      </w:r>
      <w:r w:rsidR="00C1091C" w:rsidRPr="00C1091C">
        <w:rPr>
          <w:sz w:val="24"/>
          <w:szCs w:val="24"/>
          <w:lang w:val="fr-FR"/>
        </w:rPr>
        <w:t>es ressources</w:t>
      </w:r>
      <w:r w:rsidR="00C1091C">
        <w:rPr>
          <w:sz w:val="24"/>
          <w:szCs w:val="24"/>
          <w:lang w:val="fr-FR"/>
        </w:rPr>
        <w:t xml:space="preserve"> en question</w:t>
      </w:r>
      <w:r w:rsidR="00C1091C" w:rsidRPr="00C1091C">
        <w:rPr>
          <w:sz w:val="24"/>
          <w:szCs w:val="24"/>
          <w:lang w:val="fr-FR"/>
        </w:rPr>
        <w:t>, pour tout</w:t>
      </w:r>
      <w:r w:rsidR="00AA1081">
        <w:rPr>
          <w:sz w:val="24"/>
          <w:szCs w:val="24"/>
          <w:lang w:val="fr-FR"/>
        </w:rPr>
        <w:t xml:space="preserve"> impact</w:t>
      </w:r>
      <w:r w:rsidR="00C1091C" w:rsidRPr="00C1091C">
        <w:rPr>
          <w:sz w:val="24"/>
          <w:szCs w:val="24"/>
          <w:lang w:val="fr-FR"/>
        </w:rPr>
        <w:t xml:space="preserve"> négati</w:t>
      </w:r>
      <w:r w:rsidR="00AA1081">
        <w:rPr>
          <w:sz w:val="24"/>
          <w:szCs w:val="24"/>
          <w:lang w:val="fr-FR"/>
        </w:rPr>
        <w:t>f potentiel</w:t>
      </w:r>
      <w:r w:rsidR="00C1091C">
        <w:rPr>
          <w:sz w:val="24"/>
          <w:szCs w:val="24"/>
          <w:lang w:val="fr-FR"/>
        </w:rPr>
        <w:t xml:space="preserve"> du</w:t>
      </w:r>
      <w:r w:rsidR="00C1091C" w:rsidRPr="00C1091C">
        <w:rPr>
          <w:sz w:val="24"/>
          <w:szCs w:val="24"/>
          <w:lang w:val="fr-FR"/>
        </w:rPr>
        <w:t xml:space="preserve"> projet</w:t>
      </w:r>
      <w:r w:rsidR="00AA4928" w:rsidRPr="003841A1">
        <w:rPr>
          <w:rStyle w:val="Refdenotaalpie"/>
          <w:sz w:val="24"/>
          <w:szCs w:val="24"/>
          <w:lang w:val="fr-FR"/>
        </w:rPr>
        <w:footnoteReference w:id="19"/>
      </w:r>
      <w:r w:rsidR="00C1091C">
        <w:rPr>
          <w:sz w:val="24"/>
          <w:szCs w:val="24"/>
          <w:lang w:val="fr-FR"/>
        </w:rPr>
        <w:t>.</w:t>
      </w:r>
      <w:r w:rsidR="00AA4928" w:rsidRPr="003841A1">
        <w:rPr>
          <w:sz w:val="24"/>
          <w:szCs w:val="24"/>
          <w:lang w:val="fr-FR"/>
        </w:rPr>
        <w:t xml:space="preserve"> </w:t>
      </w:r>
      <w:r w:rsidR="00C1091C" w:rsidRPr="00C1091C">
        <w:rPr>
          <w:sz w:val="24"/>
          <w:szCs w:val="24"/>
          <w:lang w:val="fr-FR"/>
        </w:rPr>
        <w:t>Ce</w:t>
      </w:r>
      <w:r w:rsidR="00C1091C">
        <w:rPr>
          <w:sz w:val="24"/>
          <w:szCs w:val="24"/>
          <w:lang w:val="fr-FR"/>
        </w:rPr>
        <w:t xml:space="preserve"> point</w:t>
      </w:r>
      <w:r w:rsidR="00C1091C" w:rsidRPr="00C1091C">
        <w:rPr>
          <w:sz w:val="24"/>
          <w:szCs w:val="24"/>
          <w:lang w:val="fr-FR"/>
        </w:rPr>
        <w:t xml:space="preserve"> peut </w:t>
      </w:r>
      <w:r w:rsidR="00C1091C">
        <w:rPr>
          <w:sz w:val="24"/>
          <w:szCs w:val="24"/>
          <w:lang w:val="fr-FR"/>
        </w:rPr>
        <w:t>exiger</w:t>
      </w:r>
      <w:r w:rsidR="00C1091C" w:rsidRPr="00C1091C">
        <w:rPr>
          <w:sz w:val="24"/>
          <w:szCs w:val="24"/>
          <w:lang w:val="fr-FR"/>
        </w:rPr>
        <w:t xml:space="preserve"> </w:t>
      </w:r>
      <w:r w:rsidR="00C1091C">
        <w:rPr>
          <w:sz w:val="24"/>
          <w:szCs w:val="24"/>
          <w:lang w:val="fr-FR"/>
        </w:rPr>
        <w:t>certaines</w:t>
      </w:r>
      <w:r w:rsidR="00C1091C" w:rsidRPr="00C1091C">
        <w:rPr>
          <w:sz w:val="24"/>
          <w:szCs w:val="24"/>
          <w:lang w:val="fr-FR"/>
        </w:rPr>
        <w:t xml:space="preserve"> modifications de la législation</w:t>
      </w:r>
      <w:r w:rsidR="00AA4928" w:rsidRPr="003841A1">
        <w:rPr>
          <w:sz w:val="24"/>
          <w:szCs w:val="24"/>
          <w:lang w:val="fr-FR"/>
        </w:rPr>
        <w:t xml:space="preserve">. </w:t>
      </w:r>
    </w:p>
    <w:p w:rsidR="00AA4928" w:rsidRPr="003841A1" w:rsidRDefault="00D31F32" w:rsidP="009A135D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D31F32">
        <w:rPr>
          <w:sz w:val="24"/>
          <w:szCs w:val="24"/>
          <w:lang w:val="fr-FR"/>
        </w:rPr>
        <w:t xml:space="preserve">Les États devraient veiller à ce que tout accord de consentement </w:t>
      </w:r>
      <w:r>
        <w:rPr>
          <w:sz w:val="24"/>
          <w:szCs w:val="24"/>
          <w:lang w:val="fr-FR"/>
        </w:rPr>
        <w:t>se produise par</w:t>
      </w:r>
      <w:r w:rsidRPr="00D31F32">
        <w:rPr>
          <w:sz w:val="24"/>
          <w:szCs w:val="24"/>
          <w:lang w:val="fr-FR"/>
        </w:rPr>
        <w:t xml:space="preserve"> écrit et comprenne, entre autres, </w:t>
      </w:r>
      <w:r w:rsidR="00326596">
        <w:rPr>
          <w:sz w:val="24"/>
          <w:szCs w:val="24"/>
          <w:lang w:val="fr-FR"/>
        </w:rPr>
        <w:t>des dispositions relatives à l’</w:t>
      </w:r>
      <w:r w:rsidRPr="00D31F32">
        <w:rPr>
          <w:sz w:val="24"/>
          <w:szCs w:val="24"/>
          <w:lang w:val="fr-FR"/>
        </w:rPr>
        <w:t xml:space="preserve">atténuation des </w:t>
      </w:r>
      <w:r w:rsidR="009A135D">
        <w:rPr>
          <w:sz w:val="24"/>
          <w:szCs w:val="24"/>
          <w:lang w:val="fr-FR"/>
        </w:rPr>
        <w:t>impacts</w:t>
      </w:r>
      <w:r w:rsidRPr="00D31F32">
        <w:rPr>
          <w:sz w:val="24"/>
          <w:szCs w:val="24"/>
          <w:lang w:val="fr-FR"/>
        </w:rPr>
        <w:t xml:space="preserve">, </w:t>
      </w:r>
      <w:r w:rsidR="00326596">
        <w:rPr>
          <w:sz w:val="24"/>
          <w:szCs w:val="24"/>
          <w:lang w:val="fr-FR"/>
        </w:rPr>
        <w:t>à l’</w:t>
      </w:r>
      <w:r w:rsidR="009A135D">
        <w:rPr>
          <w:sz w:val="24"/>
          <w:szCs w:val="24"/>
          <w:lang w:val="fr-FR"/>
        </w:rPr>
        <w:t>indemnisation</w:t>
      </w:r>
      <w:r w:rsidRPr="00D31F32">
        <w:rPr>
          <w:sz w:val="24"/>
          <w:szCs w:val="24"/>
          <w:lang w:val="fr-FR"/>
        </w:rPr>
        <w:t xml:space="preserve"> et </w:t>
      </w:r>
      <w:r w:rsidR="00326596">
        <w:rPr>
          <w:sz w:val="24"/>
          <w:szCs w:val="24"/>
          <w:lang w:val="fr-FR"/>
        </w:rPr>
        <w:t>à la</w:t>
      </w:r>
      <w:r w:rsidRPr="00D31F32">
        <w:rPr>
          <w:sz w:val="24"/>
          <w:szCs w:val="24"/>
          <w:lang w:val="fr-FR"/>
        </w:rPr>
        <w:t xml:space="preserve"> répartition équitable des avantages découlant du projet</w:t>
      </w:r>
      <w:r w:rsidR="009A135D">
        <w:rPr>
          <w:sz w:val="24"/>
          <w:szCs w:val="24"/>
          <w:lang w:val="fr-FR"/>
        </w:rPr>
        <w:t xml:space="preserve"> en question</w:t>
      </w:r>
      <w:r w:rsidRPr="00D31F32">
        <w:rPr>
          <w:sz w:val="24"/>
          <w:szCs w:val="24"/>
          <w:lang w:val="fr-FR"/>
        </w:rPr>
        <w:t xml:space="preserve">, </w:t>
      </w:r>
      <w:r w:rsidR="00326596">
        <w:rPr>
          <w:sz w:val="24"/>
          <w:szCs w:val="24"/>
          <w:lang w:val="fr-FR"/>
        </w:rPr>
        <w:t xml:space="preserve">ainsi que </w:t>
      </w:r>
      <w:r w:rsidRPr="00D31F32">
        <w:rPr>
          <w:sz w:val="24"/>
          <w:szCs w:val="24"/>
          <w:lang w:val="fr-FR"/>
        </w:rPr>
        <w:t xml:space="preserve">des </w:t>
      </w:r>
      <w:r w:rsidR="009A135D">
        <w:rPr>
          <w:sz w:val="24"/>
          <w:szCs w:val="24"/>
          <w:lang w:val="fr-FR"/>
        </w:rPr>
        <w:t>modalités</w:t>
      </w:r>
      <w:r w:rsidRPr="00D31F32">
        <w:rPr>
          <w:sz w:val="24"/>
          <w:szCs w:val="24"/>
          <w:lang w:val="fr-FR"/>
        </w:rPr>
        <w:t xml:space="preserve"> de gestion conjointe, des procédures de règlement des griefs et un mécanisme de règlement des différends </w:t>
      </w:r>
      <w:r w:rsidR="009A135D">
        <w:rPr>
          <w:sz w:val="24"/>
          <w:szCs w:val="24"/>
          <w:lang w:val="fr-FR"/>
        </w:rPr>
        <w:t>sur un pied d’égalité pour les</w:t>
      </w:r>
      <w:r w:rsidRPr="00D31F32">
        <w:rPr>
          <w:sz w:val="24"/>
          <w:szCs w:val="24"/>
          <w:lang w:val="fr-FR"/>
        </w:rPr>
        <w:t xml:space="preserve"> deux parties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20"/>
      </w:r>
      <w:r w:rsidR="009A135D">
        <w:rPr>
          <w:sz w:val="24"/>
          <w:szCs w:val="24"/>
          <w:lang w:val="fr-FR"/>
        </w:rPr>
        <w:t>.</w:t>
      </w:r>
      <w:r w:rsidR="00AA4928" w:rsidRPr="003841A1">
        <w:rPr>
          <w:b/>
          <w:sz w:val="24"/>
          <w:szCs w:val="24"/>
          <w:lang w:val="fr-FR"/>
        </w:rPr>
        <w:t xml:space="preserve"> </w:t>
      </w:r>
      <w:r w:rsidR="009A135D" w:rsidRPr="009A135D">
        <w:rPr>
          <w:rFonts w:eastAsia="Arial Unicode MS"/>
          <w:sz w:val="24"/>
          <w:szCs w:val="24"/>
          <w:lang w:val="fr-FR"/>
        </w:rPr>
        <w:t>L</w:t>
      </w:r>
      <w:r w:rsidR="009A135D">
        <w:rPr>
          <w:rFonts w:eastAsia="Arial Unicode MS"/>
          <w:sz w:val="24"/>
          <w:szCs w:val="24"/>
          <w:lang w:val="fr-FR"/>
        </w:rPr>
        <w:t>’</w:t>
      </w:r>
      <w:r w:rsidR="009A135D" w:rsidRPr="009A135D">
        <w:rPr>
          <w:rFonts w:eastAsia="Arial Unicode MS"/>
          <w:sz w:val="24"/>
          <w:szCs w:val="24"/>
          <w:lang w:val="fr-FR"/>
        </w:rPr>
        <w:t xml:space="preserve">accès des peuples autochtones à la justice pour </w:t>
      </w:r>
      <w:r w:rsidR="009A135D">
        <w:rPr>
          <w:rFonts w:eastAsia="Arial Unicode MS"/>
          <w:sz w:val="24"/>
          <w:szCs w:val="24"/>
          <w:lang w:val="fr-FR"/>
        </w:rPr>
        <w:t>faire valoir leurs</w:t>
      </w:r>
      <w:r w:rsidR="009A135D" w:rsidRPr="009A135D">
        <w:rPr>
          <w:rFonts w:eastAsia="Arial Unicode MS"/>
          <w:sz w:val="24"/>
          <w:szCs w:val="24"/>
          <w:lang w:val="fr-FR"/>
        </w:rPr>
        <w:t xml:space="preserve"> revendications devrait être garanti.</w:t>
      </w:r>
    </w:p>
    <w:p w:rsidR="00AA4928" w:rsidRPr="003841A1" w:rsidRDefault="009A135D" w:rsidP="009A135D">
      <w:pPr>
        <w:pStyle w:val="Bullet1G"/>
        <w:numPr>
          <w:ilvl w:val="0"/>
          <w:numId w:val="2"/>
        </w:numPr>
        <w:ind w:right="0"/>
        <w:rPr>
          <w:sz w:val="24"/>
          <w:szCs w:val="24"/>
          <w:lang w:val="fr-FR"/>
        </w:rPr>
      </w:pPr>
      <w:r w:rsidRPr="009A135D">
        <w:rPr>
          <w:sz w:val="24"/>
          <w:szCs w:val="24"/>
          <w:lang w:val="fr-FR"/>
        </w:rPr>
        <w:t>Les États devraient faciliter et soutenir les processus d</w:t>
      </w:r>
      <w:r>
        <w:rPr>
          <w:sz w:val="24"/>
          <w:szCs w:val="24"/>
          <w:lang w:val="fr-FR"/>
        </w:rPr>
        <w:t>’</w:t>
      </w:r>
      <w:r w:rsidRPr="009A135D">
        <w:rPr>
          <w:sz w:val="24"/>
          <w:szCs w:val="24"/>
          <w:lang w:val="fr-FR"/>
        </w:rPr>
        <w:t xml:space="preserve">élaboration de plans de développement à long terme en collaboration et en coopération avec les peuples autochtones, y compris </w:t>
      </w:r>
      <w:r>
        <w:rPr>
          <w:sz w:val="24"/>
          <w:szCs w:val="24"/>
          <w:lang w:val="fr-FR"/>
        </w:rPr>
        <w:t>de</w:t>
      </w:r>
      <w:r w:rsidRPr="009A135D">
        <w:rPr>
          <w:sz w:val="24"/>
          <w:szCs w:val="24"/>
          <w:lang w:val="fr-FR"/>
        </w:rPr>
        <w:t xml:space="preserve"> plans d</w:t>
      </w:r>
      <w:r>
        <w:rPr>
          <w:sz w:val="24"/>
          <w:szCs w:val="24"/>
          <w:lang w:val="fr-FR"/>
        </w:rPr>
        <w:t>’</w:t>
      </w:r>
      <w:r w:rsidRPr="009A135D">
        <w:rPr>
          <w:sz w:val="24"/>
          <w:szCs w:val="24"/>
          <w:lang w:val="fr-FR"/>
        </w:rPr>
        <w:t xml:space="preserve">action nationaux, </w:t>
      </w:r>
      <w:r>
        <w:rPr>
          <w:sz w:val="24"/>
          <w:szCs w:val="24"/>
          <w:lang w:val="fr-FR"/>
        </w:rPr>
        <w:t>pour honorer les engagements qu’ils ont contractés à travers</w:t>
      </w:r>
      <w:r w:rsidRPr="009A135D">
        <w:rPr>
          <w:sz w:val="24"/>
          <w:szCs w:val="24"/>
          <w:lang w:val="fr-FR"/>
        </w:rPr>
        <w:t xml:space="preserve"> la Déclaration de la Conférence mondiale sur les peuples autochtones</w:t>
      </w:r>
      <w:r w:rsidR="00AA4928" w:rsidRPr="003841A1">
        <w:rPr>
          <w:rStyle w:val="Refdenotaalpie"/>
          <w:sz w:val="24"/>
          <w:szCs w:val="24"/>
          <w:lang w:val="fr-FR"/>
        </w:rPr>
        <w:footnoteReference w:id="21"/>
      </w:r>
      <w:r>
        <w:rPr>
          <w:sz w:val="24"/>
          <w:szCs w:val="24"/>
          <w:lang w:val="fr-FR"/>
        </w:rPr>
        <w:t>.</w:t>
      </w:r>
    </w:p>
    <w:p w:rsidR="00090C73" w:rsidRPr="003841A1" w:rsidRDefault="00090C73" w:rsidP="006B34CF">
      <w:pPr>
        <w:tabs>
          <w:tab w:val="num" w:pos="0"/>
        </w:tabs>
        <w:rPr>
          <w:sz w:val="24"/>
          <w:szCs w:val="24"/>
          <w:lang w:val="fr-FR"/>
        </w:rPr>
      </w:pPr>
    </w:p>
    <w:sectPr w:rsidR="00090C73" w:rsidRPr="0038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E8" w:rsidRDefault="003E46E8" w:rsidP="00AA4928">
      <w:pPr>
        <w:spacing w:line="240" w:lineRule="auto"/>
      </w:pPr>
      <w:r>
        <w:separator/>
      </w:r>
    </w:p>
  </w:endnote>
  <w:endnote w:type="continuationSeparator" w:id="0">
    <w:p w:rsidR="003E46E8" w:rsidRDefault="003E46E8" w:rsidP="00AA4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E8" w:rsidRDefault="003E46E8" w:rsidP="00AA4928">
      <w:pPr>
        <w:spacing w:line="240" w:lineRule="auto"/>
      </w:pPr>
      <w:r>
        <w:separator/>
      </w:r>
    </w:p>
  </w:footnote>
  <w:footnote w:type="continuationSeparator" w:id="0">
    <w:p w:rsidR="003E46E8" w:rsidRDefault="003E46E8" w:rsidP="00AA4928">
      <w:pPr>
        <w:spacing w:line="240" w:lineRule="auto"/>
      </w:pPr>
      <w:r>
        <w:continuationSeparator/>
      </w:r>
    </w:p>
  </w:footnote>
  <w:footnote w:id="1">
    <w:p w:rsidR="00AA1081" w:rsidRPr="00C766C8" w:rsidRDefault="00AA1081" w:rsidP="00C766C8">
      <w:pPr>
        <w:pStyle w:val="Textonotapie"/>
        <w:tabs>
          <w:tab w:val="clear" w:pos="1021"/>
          <w:tab w:val="right" w:pos="142"/>
        </w:tabs>
        <w:ind w:left="142" w:hanging="142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Amnesty International ; A/HRC/21/55 ; organes de surveillance de l</w:t>
      </w:r>
      <w:r>
        <w:rPr>
          <w:szCs w:val="18"/>
          <w:lang w:val="fr-FR"/>
        </w:rPr>
        <w:t>’</w:t>
      </w:r>
      <w:r w:rsidRPr="00C766C8">
        <w:rPr>
          <w:szCs w:val="18"/>
          <w:lang w:val="fr-FR"/>
        </w:rPr>
        <w:t xml:space="preserve">OIT - CEACR, Observations </w:t>
      </w:r>
      <w:r>
        <w:rPr>
          <w:szCs w:val="18"/>
          <w:lang w:val="fr-FR"/>
        </w:rPr>
        <w:t>générales sur la</w:t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c</w:t>
      </w:r>
      <w:r w:rsidRPr="00C766C8">
        <w:rPr>
          <w:szCs w:val="18"/>
          <w:lang w:val="fr-FR"/>
        </w:rPr>
        <w:t xml:space="preserve">onvention </w:t>
      </w:r>
      <w:r>
        <w:rPr>
          <w:szCs w:val="18"/>
          <w:lang w:val="fr-FR"/>
        </w:rPr>
        <w:t>nº</w:t>
      </w:r>
      <w:r w:rsidRPr="00C766C8">
        <w:rPr>
          <w:szCs w:val="18"/>
          <w:lang w:val="fr-FR"/>
        </w:rPr>
        <w:t xml:space="preserve">169, 2009 </w:t>
      </w:r>
      <w:r>
        <w:rPr>
          <w:szCs w:val="18"/>
          <w:lang w:val="fr-FR"/>
        </w:rPr>
        <w:t>et</w:t>
      </w:r>
      <w:r w:rsidRPr="00C766C8">
        <w:rPr>
          <w:szCs w:val="18"/>
          <w:lang w:val="fr-FR"/>
        </w:rPr>
        <w:t xml:space="preserve"> 2011</w:t>
      </w:r>
      <w:r>
        <w:rPr>
          <w:szCs w:val="18"/>
          <w:lang w:val="fr-FR"/>
        </w:rPr>
        <w:t> </w:t>
      </w:r>
      <w:r w:rsidRPr="00C766C8">
        <w:rPr>
          <w:szCs w:val="18"/>
          <w:lang w:val="fr-FR"/>
        </w:rPr>
        <w:t>; RCA</w:t>
      </w:r>
    </w:p>
  </w:footnote>
  <w:footnote w:id="2">
    <w:p w:rsidR="00AA1081" w:rsidRPr="00C766C8" w:rsidRDefault="00AA1081" w:rsidP="00C766C8">
      <w:pPr>
        <w:pStyle w:val="Textonotapie"/>
        <w:tabs>
          <w:tab w:val="clear" w:pos="1021"/>
          <w:tab w:val="right" w:pos="142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James Anaya, </w:t>
      </w:r>
      <w:r>
        <w:rPr>
          <w:szCs w:val="18"/>
          <w:lang w:val="fr-FR"/>
        </w:rPr>
        <w:t>« </w:t>
      </w:r>
      <w:r w:rsidRPr="00505652">
        <w:rPr>
          <w:szCs w:val="18"/>
          <w:lang w:val="fr-FR"/>
        </w:rPr>
        <w:t>State Sovereignty</w:t>
      </w:r>
      <w:r>
        <w:rPr>
          <w:szCs w:val="18"/>
          <w:lang w:val="fr-FR"/>
        </w:rPr>
        <w:t> »</w:t>
      </w:r>
    </w:p>
  </w:footnote>
  <w:footnote w:id="3">
    <w:p w:rsidR="00AA1081" w:rsidRPr="00C766C8" w:rsidRDefault="00AA1081" w:rsidP="008E2FDA">
      <w:pPr>
        <w:pStyle w:val="Textonotapie"/>
        <w:tabs>
          <w:tab w:val="clear" w:pos="1021"/>
          <w:tab w:val="right" w:pos="142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A/HRC/21/55, Gerber </w:t>
      </w:r>
      <w:r>
        <w:rPr>
          <w:szCs w:val="18"/>
          <w:lang w:val="fr-FR"/>
        </w:rPr>
        <w:t>à propos de l’affaire</w:t>
      </w:r>
      <w:r w:rsidRPr="00C766C8">
        <w:rPr>
          <w:szCs w:val="18"/>
          <w:lang w:val="fr-FR"/>
        </w:rPr>
        <w:t xml:space="preserve"> Sarayaku</w:t>
      </w:r>
    </w:p>
  </w:footnote>
  <w:footnote w:id="4">
    <w:p w:rsidR="00AA1081" w:rsidRPr="00C766C8" w:rsidRDefault="00AA1081" w:rsidP="008E2FDA">
      <w:pPr>
        <w:pStyle w:val="Textonotapie"/>
        <w:tabs>
          <w:tab w:val="clear" w:pos="1021"/>
          <w:tab w:val="right" w:pos="142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 xml:space="preserve">Affaire </w:t>
      </w:r>
      <w:r w:rsidRPr="00C766C8">
        <w:rPr>
          <w:szCs w:val="18"/>
          <w:lang w:val="fr-FR"/>
        </w:rPr>
        <w:t>Saramaka</w:t>
      </w:r>
    </w:p>
  </w:footnote>
  <w:footnote w:id="5">
    <w:p w:rsidR="00AA1081" w:rsidRPr="00C766C8" w:rsidRDefault="00AA1081" w:rsidP="008E2FDA">
      <w:pPr>
        <w:pStyle w:val="Textonotapie"/>
        <w:tabs>
          <w:tab w:val="clear" w:pos="1021"/>
          <w:tab w:val="right" w:pos="142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Gerber</w:t>
      </w:r>
    </w:p>
  </w:footnote>
  <w:footnote w:id="6">
    <w:p w:rsidR="00AA1081" w:rsidRPr="00C766C8" w:rsidRDefault="00AA1081" w:rsidP="008E2FDA">
      <w:pPr>
        <w:jc w:val="both"/>
        <w:rPr>
          <w:sz w:val="18"/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 w:val="18"/>
          <w:szCs w:val="18"/>
          <w:lang w:val="fr-FR"/>
        </w:rPr>
        <w:t xml:space="preserve"> A/HRC/21/55, </w:t>
      </w:r>
      <w:r>
        <w:rPr>
          <w:sz w:val="18"/>
          <w:szCs w:val="18"/>
          <w:lang w:val="fr-FR"/>
        </w:rPr>
        <w:t xml:space="preserve">affaire </w:t>
      </w:r>
      <w:r w:rsidRPr="00C766C8">
        <w:rPr>
          <w:sz w:val="18"/>
          <w:szCs w:val="18"/>
          <w:lang w:val="fr-FR"/>
        </w:rPr>
        <w:t>Sarayaku</w:t>
      </w:r>
    </w:p>
  </w:footnote>
  <w:footnote w:id="7">
    <w:p w:rsidR="00AA1081" w:rsidRPr="00C766C8" w:rsidRDefault="00AA1081" w:rsidP="008E2FDA">
      <w:pPr>
        <w:pStyle w:val="Textonotapie"/>
        <w:tabs>
          <w:tab w:val="clear" w:pos="1021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AFN</w:t>
      </w:r>
    </w:p>
  </w:footnote>
  <w:footnote w:id="8">
    <w:p w:rsidR="00AA1081" w:rsidRPr="00C766C8" w:rsidRDefault="00AA1081" w:rsidP="008E2FDA">
      <w:pPr>
        <w:pStyle w:val="Textonotapie"/>
        <w:tabs>
          <w:tab w:val="clear" w:pos="1021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James Anaya, </w:t>
      </w:r>
      <w:r>
        <w:rPr>
          <w:szCs w:val="18"/>
          <w:lang w:val="fr-FR"/>
        </w:rPr>
        <w:t>« </w:t>
      </w:r>
      <w:r w:rsidRPr="00C766C8">
        <w:rPr>
          <w:szCs w:val="18"/>
          <w:lang w:val="fr-FR"/>
        </w:rPr>
        <w:t>State Sovereignty</w:t>
      </w:r>
      <w:r>
        <w:rPr>
          <w:szCs w:val="18"/>
          <w:lang w:val="fr-FR"/>
        </w:rPr>
        <w:t> »</w:t>
      </w:r>
    </w:p>
  </w:footnote>
  <w:footnote w:id="9">
    <w:p w:rsidR="00AA1081" w:rsidRPr="00C766C8" w:rsidRDefault="00AA1081" w:rsidP="005742D6">
      <w:pPr>
        <w:pStyle w:val="Textonotapie"/>
        <w:tabs>
          <w:tab w:val="clear" w:pos="1021"/>
        </w:tabs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CRC, </w:t>
      </w:r>
      <w:r>
        <w:rPr>
          <w:szCs w:val="18"/>
          <w:lang w:val="fr-FR"/>
        </w:rPr>
        <w:t>c</w:t>
      </w:r>
      <w:r w:rsidRPr="00C766C8">
        <w:rPr>
          <w:szCs w:val="18"/>
          <w:lang w:val="fr-FR"/>
        </w:rPr>
        <w:t>omment</w:t>
      </w:r>
      <w:r>
        <w:rPr>
          <w:szCs w:val="18"/>
          <w:lang w:val="fr-FR"/>
        </w:rPr>
        <w:t>aire général sur les enfants autochtones</w:t>
      </w:r>
      <w:r w:rsidRPr="00C766C8">
        <w:rPr>
          <w:szCs w:val="18"/>
          <w:lang w:val="fr-FR"/>
        </w:rPr>
        <w:t xml:space="preserve">. </w:t>
      </w:r>
    </w:p>
  </w:footnote>
  <w:footnote w:id="10">
    <w:p w:rsidR="00AA1081" w:rsidRPr="00C766C8" w:rsidRDefault="00AA1081" w:rsidP="008E2FDA">
      <w:pPr>
        <w:jc w:val="both"/>
        <w:rPr>
          <w:sz w:val="18"/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 w:val="18"/>
          <w:szCs w:val="18"/>
          <w:lang w:val="fr-FR"/>
        </w:rPr>
        <w:t xml:space="preserve"> A/HRC/18/42, Gunn, Métis, Uni Manitoba, Amnesty International, </w:t>
      </w:r>
      <w:r>
        <w:rPr>
          <w:sz w:val="18"/>
          <w:szCs w:val="18"/>
          <w:lang w:val="fr-FR"/>
        </w:rPr>
        <w:t xml:space="preserve">exposé du </w:t>
      </w:r>
      <w:r w:rsidRPr="00C766C8">
        <w:rPr>
          <w:sz w:val="18"/>
          <w:szCs w:val="18"/>
          <w:lang w:val="fr-FR"/>
        </w:rPr>
        <w:t>Guatemala</w:t>
      </w:r>
    </w:p>
  </w:footnote>
  <w:footnote w:id="11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Chil</w:t>
      </w:r>
      <w:r>
        <w:rPr>
          <w:szCs w:val="18"/>
          <w:lang w:val="fr-FR"/>
        </w:rPr>
        <w:t>i</w:t>
      </w:r>
    </w:p>
  </w:footnote>
  <w:footnote w:id="12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Par exemple</w:t>
      </w:r>
      <w:r w:rsidRPr="00C766C8">
        <w:rPr>
          <w:szCs w:val="18"/>
          <w:lang w:val="fr-FR"/>
        </w:rPr>
        <w:t xml:space="preserve">, </w:t>
      </w:r>
      <w:r>
        <w:rPr>
          <w:szCs w:val="18"/>
          <w:lang w:val="fr-FR"/>
        </w:rPr>
        <w:t>la</w:t>
      </w:r>
      <w:r w:rsidRPr="00C766C8">
        <w:rPr>
          <w:szCs w:val="18"/>
          <w:lang w:val="fr-FR"/>
        </w:rPr>
        <w:t xml:space="preserve"> Constitution </w:t>
      </w:r>
      <w:r>
        <w:rPr>
          <w:szCs w:val="18"/>
          <w:lang w:val="fr-FR"/>
        </w:rPr>
        <w:t>de l’Équateur</w:t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prévoit spécifiquement la protection de ce</w:t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 xml:space="preserve">dernier </w:t>
      </w:r>
      <w:r w:rsidRPr="00C766C8">
        <w:rPr>
          <w:szCs w:val="18"/>
          <w:lang w:val="fr-FR"/>
        </w:rPr>
        <w:t>group</w:t>
      </w:r>
      <w:r>
        <w:rPr>
          <w:szCs w:val="18"/>
          <w:lang w:val="fr-FR"/>
        </w:rPr>
        <w:t>e</w:t>
      </w:r>
      <w:r w:rsidRPr="00C766C8">
        <w:rPr>
          <w:szCs w:val="18"/>
          <w:lang w:val="fr-FR"/>
        </w:rPr>
        <w:t xml:space="preserve"> </w:t>
      </w:r>
      <w:r w:rsidRPr="006F2026">
        <w:rPr>
          <w:szCs w:val="18"/>
          <w:lang w:val="fr-FR"/>
        </w:rPr>
        <w:t>mais n</w:t>
      </w:r>
      <w:r>
        <w:rPr>
          <w:szCs w:val="18"/>
          <w:lang w:val="fr-FR"/>
        </w:rPr>
        <w:t>’</w:t>
      </w:r>
      <w:r w:rsidRPr="006F2026">
        <w:rPr>
          <w:szCs w:val="18"/>
          <w:lang w:val="fr-FR"/>
        </w:rPr>
        <w:t xml:space="preserve">a pas encore promulgué de loi </w:t>
      </w:r>
      <w:r>
        <w:rPr>
          <w:szCs w:val="18"/>
          <w:lang w:val="fr-FR"/>
        </w:rPr>
        <w:t>pour la mettre</w:t>
      </w:r>
      <w:r w:rsidRPr="006F2026">
        <w:rPr>
          <w:szCs w:val="18"/>
          <w:lang w:val="fr-FR"/>
        </w:rPr>
        <w:t xml:space="preserve"> en œuvre.</w:t>
      </w:r>
      <w:r w:rsidRPr="00C766C8">
        <w:rPr>
          <w:szCs w:val="18"/>
          <w:lang w:val="fr-FR"/>
        </w:rPr>
        <w:t xml:space="preserve"> - NHRI Ecuador</w:t>
      </w:r>
    </w:p>
  </w:footnote>
  <w:footnote w:id="13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A/HRC/21/55, Australi</w:t>
      </w:r>
      <w:r>
        <w:rPr>
          <w:szCs w:val="18"/>
          <w:lang w:val="fr-FR"/>
        </w:rPr>
        <w:t>e</w:t>
      </w:r>
    </w:p>
  </w:footnote>
  <w:footnote w:id="14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Gerber, Saramaka, art. 7.3 ILO 169</w:t>
      </w:r>
    </w:p>
  </w:footnote>
  <w:footnote w:id="15">
    <w:p w:rsidR="00AA1081" w:rsidRPr="00C766C8" w:rsidRDefault="00AA1081" w:rsidP="008E2FDA">
      <w:pPr>
        <w:jc w:val="both"/>
        <w:rPr>
          <w:sz w:val="18"/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D</w:t>
      </w:r>
      <w:r w:rsidRPr="00C1091C">
        <w:rPr>
          <w:sz w:val="18"/>
          <w:szCs w:val="18"/>
          <w:lang w:val="fr-FR"/>
        </w:rPr>
        <w:t xml:space="preserve">écision de la cour constitutionnelle </w:t>
      </w:r>
      <w:r>
        <w:rPr>
          <w:sz w:val="18"/>
          <w:szCs w:val="18"/>
          <w:lang w:val="fr-FR"/>
        </w:rPr>
        <w:t xml:space="preserve">colombienne relative aux </w:t>
      </w:r>
      <w:r w:rsidRPr="00C766C8">
        <w:rPr>
          <w:sz w:val="18"/>
          <w:szCs w:val="18"/>
          <w:lang w:val="fr-FR"/>
        </w:rPr>
        <w:t xml:space="preserve">Uwa, Christian Courtis, James Anaya, </w:t>
      </w:r>
      <w:r>
        <w:rPr>
          <w:sz w:val="18"/>
          <w:szCs w:val="18"/>
          <w:lang w:val="fr-FR"/>
        </w:rPr>
        <w:t>« </w:t>
      </w:r>
      <w:r w:rsidRPr="00C766C8">
        <w:rPr>
          <w:sz w:val="18"/>
          <w:szCs w:val="18"/>
          <w:lang w:val="fr-FR"/>
        </w:rPr>
        <w:t>State Sovereignty</w:t>
      </w:r>
      <w:r>
        <w:rPr>
          <w:sz w:val="18"/>
          <w:szCs w:val="18"/>
          <w:lang w:val="fr-FR"/>
        </w:rPr>
        <w:t> »</w:t>
      </w:r>
      <w:r w:rsidRPr="00C766C8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et</w:t>
      </w:r>
      <w:r w:rsidRPr="00C766C8">
        <w:rPr>
          <w:sz w:val="18"/>
          <w:szCs w:val="18"/>
          <w:lang w:val="fr-FR"/>
        </w:rPr>
        <w:t xml:space="preserve"> A/HRC/21/55</w:t>
      </w:r>
    </w:p>
  </w:footnote>
  <w:footnote w:id="16">
    <w:p w:rsidR="00AA1081" w:rsidRPr="00C766C8" w:rsidRDefault="00AA1081" w:rsidP="008E2FDA">
      <w:pPr>
        <w:pStyle w:val="Textonotapie"/>
        <w:tabs>
          <w:tab w:val="clear" w:pos="1021"/>
        </w:tabs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Voir la note consultative du MEDPA</w:t>
      </w:r>
      <w:r w:rsidRPr="00C766C8">
        <w:rPr>
          <w:szCs w:val="18"/>
          <w:lang w:val="fr-FR"/>
        </w:rPr>
        <w:t xml:space="preserve">, </w:t>
      </w:r>
      <w:r>
        <w:rPr>
          <w:szCs w:val="18"/>
          <w:lang w:val="fr-FR"/>
        </w:rPr>
        <w:t>mission d’e</w:t>
      </w:r>
      <w:r w:rsidRPr="00C766C8">
        <w:rPr>
          <w:szCs w:val="18"/>
          <w:lang w:val="fr-FR"/>
        </w:rPr>
        <w:t xml:space="preserve">ngagement </w:t>
      </w:r>
      <w:r>
        <w:rPr>
          <w:szCs w:val="18"/>
          <w:lang w:val="fr-FR"/>
        </w:rPr>
        <w:t>dans les pays</w:t>
      </w:r>
      <w:r w:rsidRPr="00C766C8">
        <w:rPr>
          <w:szCs w:val="18"/>
          <w:lang w:val="fr-FR"/>
        </w:rPr>
        <w:t>, Finland</w:t>
      </w:r>
      <w:r>
        <w:rPr>
          <w:szCs w:val="18"/>
          <w:lang w:val="fr-FR"/>
        </w:rPr>
        <w:t>e</w:t>
      </w:r>
      <w:r w:rsidRPr="00C766C8">
        <w:rPr>
          <w:szCs w:val="18"/>
          <w:lang w:val="fr-FR"/>
        </w:rPr>
        <w:t>, 28</w:t>
      </w:r>
      <w:r>
        <w:rPr>
          <w:szCs w:val="18"/>
          <w:lang w:val="fr-FR"/>
        </w:rPr>
        <w:t> mars </w:t>
      </w:r>
      <w:r w:rsidRPr="00C766C8">
        <w:rPr>
          <w:szCs w:val="18"/>
          <w:lang w:val="fr-FR"/>
        </w:rPr>
        <w:t>2018.</w:t>
      </w:r>
    </w:p>
  </w:footnote>
  <w:footnote w:id="17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szCs w:val="18"/>
          <w:lang w:val="fr-FR"/>
        </w:rPr>
        <w:tab/>
      </w: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Amnesty International</w:t>
      </w:r>
    </w:p>
  </w:footnote>
  <w:footnote w:id="18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szCs w:val="18"/>
          <w:lang w:val="fr-FR"/>
        </w:rPr>
        <w:tab/>
      </w: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CERD, Recomm</w:t>
      </w:r>
      <w:r>
        <w:rPr>
          <w:szCs w:val="18"/>
          <w:lang w:val="fr-FR"/>
        </w:rPr>
        <w:t>a</w:t>
      </w:r>
      <w:r w:rsidRPr="00C766C8">
        <w:rPr>
          <w:szCs w:val="18"/>
          <w:lang w:val="fr-FR"/>
        </w:rPr>
        <w:t>ndation</w:t>
      </w:r>
      <w:r>
        <w:rPr>
          <w:szCs w:val="18"/>
          <w:lang w:val="fr-FR"/>
        </w:rPr>
        <w:t xml:space="preserve"> générale</w:t>
      </w:r>
    </w:p>
  </w:footnote>
  <w:footnote w:id="19">
    <w:p w:rsidR="00AA1081" w:rsidRPr="00C766C8" w:rsidRDefault="00AA1081" w:rsidP="008E2FDA">
      <w:pPr>
        <w:pStyle w:val="Textonotapie"/>
        <w:ind w:left="0" w:firstLine="0"/>
        <w:jc w:val="both"/>
        <w:rPr>
          <w:szCs w:val="18"/>
          <w:lang w:val="fr-FR"/>
        </w:rPr>
      </w:pPr>
      <w:r w:rsidRPr="00C766C8">
        <w:rPr>
          <w:szCs w:val="18"/>
          <w:lang w:val="fr-FR"/>
        </w:rPr>
        <w:tab/>
      </w: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James Anaya, </w:t>
      </w:r>
      <w:r>
        <w:rPr>
          <w:szCs w:val="18"/>
          <w:lang w:val="fr-FR"/>
        </w:rPr>
        <w:t>« </w:t>
      </w:r>
      <w:r w:rsidRPr="00C766C8">
        <w:rPr>
          <w:szCs w:val="18"/>
          <w:lang w:val="fr-FR"/>
        </w:rPr>
        <w:t>State Sovereignty</w:t>
      </w:r>
      <w:r>
        <w:rPr>
          <w:szCs w:val="18"/>
          <w:lang w:val="fr-FR"/>
        </w:rPr>
        <w:t> »</w:t>
      </w:r>
    </w:p>
  </w:footnote>
  <w:footnote w:id="20">
    <w:p w:rsidR="00AA1081" w:rsidRPr="00C766C8" w:rsidRDefault="00AA1081" w:rsidP="008E2FDA">
      <w:pPr>
        <w:jc w:val="both"/>
        <w:rPr>
          <w:sz w:val="18"/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 w:val="18"/>
          <w:szCs w:val="18"/>
          <w:lang w:val="fr-FR"/>
        </w:rPr>
        <w:t xml:space="preserve"> James Anaya, </w:t>
      </w:r>
      <w:r>
        <w:rPr>
          <w:sz w:val="18"/>
          <w:szCs w:val="18"/>
          <w:lang w:val="fr-FR"/>
        </w:rPr>
        <w:t>« </w:t>
      </w:r>
      <w:r w:rsidRPr="00C766C8">
        <w:rPr>
          <w:sz w:val="18"/>
          <w:szCs w:val="18"/>
          <w:lang w:val="fr-FR"/>
        </w:rPr>
        <w:t>State Sovereignty</w:t>
      </w:r>
      <w:r>
        <w:rPr>
          <w:sz w:val="18"/>
          <w:szCs w:val="18"/>
          <w:lang w:val="fr-FR"/>
        </w:rPr>
        <w:t> »</w:t>
      </w:r>
      <w:r w:rsidRPr="00C766C8">
        <w:rPr>
          <w:sz w:val="18"/>
          <w:szCs w:val="18"/>
          <w:lang w:val="fr-FR"/>
        </w:rPr>
        <w:t xml:space="preserve">, Honduras </w:t>
      </w:r>
    </w:p>
  </w:footnote>
  <w:footnote w:id="21">
    <w:p w:rsidR="00AA1081" w:rsidRPr="00C766C8" w:rsidRDefault="00AA1081" w:rsidP="008E2FDA">
      <w:pPr>
        <w:pStyle w:val="Textonotapie"/>
        <w:tabs>
          <w:tab w:val="clear" w:pos="1021"/>
        </w:tabs>
        <w:ind w:left="0" w:firstLine="0"/>
        <w:jc w:val="both"/>
        <w:rPr>
          <w:szCs w:val="18"/>
          <w:lang w:val="fr-FR"/>
        </w:rPr>
      </w:pPr>
      <w:r w:rsidRPr="00C766C8">
        <w:rPr>
          <w:rStyle w:val="Refdenotaalpie"/>
          <w:szCs w:val="18"/>
          <w:lang w:val="fr-FR"/>
        </w:rPr>
        <w:footnoteRef/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Ré</w:t>
      </w:r>
      <w:r w:rsidRPr="00C766C8">
        <w:rPr>
          <w:szCs w:val="18"/>
          <w:lang w:val="fr-FR"/>
        </w:rPr>
        <w:t>solution 69/2</w:t>
      </w:r>
      <w:r>
        <w:rPr>
          <w:szCs w:val="18"/>
          <w:lang w:val="fr-FR"/>
        </w:rPr>
        <w:t xml:space="preserve"> de l’Assemblée générale</w:t>
      </w:r>
      <w:r w:rsidRPr="00C766C8">
        <w:rPr>
          <w:szCs w:val="18"/>
          <w:lang w:val="fr-FR"/>
        </w:rPr>
        <w:t>, annex</w:t>
      </w:r>
      <w:r>
        <w:rPr>
          <w:szCs w:val="18"/>
          <w:lang w:val="fr-FR"/>
        </w:rPr>
        <w:t>e</w:t>
      </w:r>
      <w:r w:rsidRPr="00C766C8">
        <w:rPr>
          <w:szCs w:val="18"/>
          <w:lang w:val="fr-FR"/>
        </w:rPr>
        <w:t xml:space="preserve">, </w:t>
      </w:r>
      <w:r>
        <w:rPr>
          <w:szCs w:val="18"/>
          <w:lang w:val="fr-FR"/>
        </w:rPr>
        <w:t>à la suite de la Conférence</w:t>
      </w:r>
      <w:r w:rsidRPr="00C766C8">
        <w:rPr>
          <w:szCs w:val="18"/>
          <w:lang w:val="fr-FR"/>
        </w:rPr>
        <w:t xml:space="preserve"> </w:t>
      </w:r>
      <w:r>
        <w:rPr>
          <w:szCs w:val="18"/>
          <w:lang w:val="fr-FR"/>
        </w:rPr>
        <w:t>mondiale sur les droits des peuples autochtones en</w:t>
      </w:r>
      <w:r w:rsidRPr="00C766C8">
        <w:rPr>
          <w:szCs w:val="18"/>
          <w:lang w:val="fr-FR"/>
        </w:rPr>
        <w:t xml:space="preserve"> 2014. Amnesty International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36B"/>
    <w:multiLevelType w:val="hybridMultilevel"/>
    <w:tmpl w:val="1644908E"/>
    <w:lvl w:ilvl="0" w:tplc="6C6A905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3C97"/>
    <w:multiLevelType w:val="hybridMultilevel"/>
    <w:tmpl w:val="A3CC75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28"/>
    <w:rsid w:val="00045D9C"/>
    <w:rsid w:val="00090C73"/>
    <w:rsid w:val="001248C2"/>
    <w:rsid w:val="0015509D"/>
    <w:rsid w:val="00210D50"/>
    <w:rsid w:val="00227153"/>
    <w:rsid w:val="00234014"/>
    <w:rsid w:val="002D700C"/>
    <w:rsid w:val="002E3478"/>
    <w:rsid w:val="00326596"/>
    <w:rsid w:val="00380902"/>
    <w:rsid w:val="003841A1"/>
    <w:rsid w:val="003A10DB"/>
    <w:rsid w:val="003B2011"/>
    <w:rsid w:val="003B443F"/>
    <w:rsid w:val="003E46E8"/>
    <w:rsid w:val="0041231D"/>
    <w:rsid w:val="004E2179"/>
    <w:rsid w:val="00505652"/>
    <w:rsid w:val="0055640B"/>
    <w:rsid w:val="00571161"/>
    <w:rsid w:val="005742D6"/>
    <w:rsid w:val="00584723"/>
    <w:rsid w:val="005F12CB"/>
    <w:rsid w:val="00635D8D"/>
    <w:rsid w:val="006B34CF"/>
    <w:rsid w:val="006C1910"/>
    <w:rsid w:val="006F2026"/>
    <w:rsid w:val="0070643E"/>
    <w:rsid w:val="007838BB"/>
    <w:rsid w:val="00821FC6"/>
    <w:rsid w:val="008E2FDA"/>
    <w:rsid w:val="008E6C57"/>
    <w:rsid w:val="008F546F"/>
    <w:rsid w:val="00900BF5"/>
    <w:rsid w:val="009A135D"/>
    <w:rsid w:val="009A46EB"/>
    <w:rsid w:val="00A461B8"/>
    <w:rsid w:val="00A62080"/>
    <w:rsid w:val="00A67D7E"/>
    <w:rsid w:val="00AA1081"/>
    <w:rsid w:val="00AA4928"/>
    <w:rsid w:val="00B04555"/>
    <w:rsid w:val="00BE3757"/>
    <w:rsid w:val="00C1091C"/>
    <w:rsid w:val="00C630EC"/>
    <w:rsid w:val="00C766C8"/>
    <w:rsid w:val="00CA1B5E"/>
    <w:rsid w:val="00CC25AB"/>
    <w:rsid w:val="00D31F32"/>
    <w:rsid w:val="00E81410"/>
    <w:rsid w:val="00F9502F"/>
    <w:rsid w:val="00FA39B6"/>
    <w:rsid w:val="00F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E36E"/>
  <w15:chartTrackingRefBased/>
  <w15:docId w15:val="{69C97EA7-C609-458E-943F-BA8AF70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92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AA4928"/>
    <w:pPr>
      <w:spacing w:after="120"/>
      <w:ind w:left="1134" w:right="1134"/>
      <w:jc w:val="both"/>
    </w:pPr>
  </w:style>
  <w:style w:type="paragraph" w:customStyle="1" w:styleId="HChG">
    <w:name w:val="_ H _Ch_G"/>
    <w:basedOn w:val="Normal"/>
    <w:next w:val="Normal"/>
    <w:rsid w:val="00AA49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Refdenotaalpie">
    <w:name w:val="footnote reference"/>
    <w:aliases w:val="4_G,Footnote,Footnote symbol,16 Point,Superscript 6 Point,ftref,Voetnootverwijzing,Times 10 Point,Exposant 3 Point,Footnote Ref,Footnotes refss"/>
    <w:uiPriority w:val="99"/>
    <w:rsid w:val="00AA4928"/>
    <w:rPr>
      <w:rFonts w:ascii="Times New Roman" w:hAnsi="Times New Roman"/>
      <w:sz w:val="18"/>
      <w:vertAlign w:val="superscript"/>
    </w:rPr>
  </w:style>
  <w:style w:type="paragraph" w:styleId="Textonotapie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 Char"/>
    <w:basedOn w:val="Normal"/>
    <w:link w:val="TextonotapieCar"/>
    <w:uiPriority w:val="99"/>
    <w:rsid w:val="00AA49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TextonotapieCar">
    <w:name w:val="Texto nota pie Car"/>
    <w:aliases w:val="5_G Car,Footnote Quote Car,Footnote Quote1 Car,Footnote Quote2 Car,Footnote Quote3 Car,Footnote Quote4 Car,Footnote Quote5 Car,Footnote Quote6 Car,Footnote Quote7 Car,Footnote Quote8 Car,Footnote Quote9 Car,Footnote Quote10 Car"/>
    <w:basedOn w:val="Fuentedeprrafopredeter"/>
    <w:link w:val="Textonotapie"/>
    <w:uiPriority w:val="99"/>
    <w:rsid w:val="00AA4928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Bullet1G">
    <w:name w:val="_Bullet 1_G"/>
    <w:basedOn w:val="Normal"/>
    <w:qFormat/>
    <w:rsid w:val="00AA4928"/>
    <w:pPr>
      <w:numPr>
        <w:numId w:val="1"/>
      </w:numPr>
      <w:spacing w:after="120"/>
      <w:ind w:right="1134"/>
      <w:jc w:val="both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492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4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A4928"/>
    <w:pPr>
      <w:spacing w:line="240" w:lineRule="atLeast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4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AA49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enhum">
    <w:name w:val="Nenhum"/>
    <w:rsid w:val="00AA4928"/>
  </w:style>
  <w:style w:type="paragraph" w:styleId="Encabezado">
    <w:name w:val="header"/>
    <w:basedOn w:val="Normal"/>
    <w:link w:val="EncabezadoCar"/>
    <w:uiPriority w:val="99"/>
    <w:unhideWhenUsed/>
    <w:rsid w:val="006B34CF"/>
    <w:pPr>
      <w:tabs>
        <w:tab w:val="center" w:pos="4536"/>
        <w:tab w:val="right" w:pos="9072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4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B34CF"/>
    <w:pPr>
      <w:tabs>
        <w:tab w:val="center" w:pos="4536"/>
        <w:tab w:val="right" w:pos="9072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4C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5F7EF-C755-415D-8D6F-7F2109FD35DB}"/>
</file>

<file path=customXml/itemProps2.xml><?xml version="1.0" encoding="utf-8"?>
<ds:datastoreItem xmlns:ds="http://schemas.openxmlformats.org/officeDocument/2006/customXml" ds:itemID="{09C18406-2363-498E-9BAF-0D8CCED0FAE0}"/>
</file>

<file path=customXml/itemProps3.xml><?xml version="1.0" encoding="utf-8"?>
<ds:datastoreItem xmlns:ds="http://schemas.openxmlformats.org/officeDocument/2006/customXml" ds:itemID="{A5A2A034-69EF-4362-A4F5-5231D8DA2F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1733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ExpertMechanismAdviceNo11_FR</dc:title>
  <dc:subject/>
  <dc:creator>Docip51</dc:creator>
  <cp:keywords/>
  <dc:description/>
  <cp:lastModifiedBy>Annabelle Labbe</cp:lastModifiedBy>
  <cp:revision>31</cp:revision>
  <dcterms:created xsi:type="dcterms:W3CDTF">2018-07-07T19:12:00Z</dcterms:created>
  <dcterms:modified xsi:type="dcterms:W3CDTF">2018-07-08T19:40:00Z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