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71FD1" w14:textId="77777777" w:rsidR="00AB5C67" w:rsidRDefault="00AB5C67" w:rsidP="003F05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p w14:paraId="37F9E02D" w14:textId="11907AE3" w:rsidR="00916AEA" w:rsidRPr="0016596D" w:rsidRDefault="00190632" w:rsidP="003F05E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6"/>
          <w:szCs w:val="26"/>
        </w:rPr>
      </w:pPr>
      <w:r w:rsidRPr="0016596D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>13</w:t>
      </w:r>
      <w:r w:rsidRPr="0016596D">
        <w:rPr>
          <w:rStyle w:val="normaltextrun"/>
          <w:rFonts w:asciiTheme="minorHAnsi" w:hAnsiTheme="minorHAnsi" w:cstheme="minorHAnsi"/>
          <w:b/>
          <w:bCs/>
          <w:sz w:val="26"/>
          <w:szCs w:val="26"/>
          <w:vertAlign w:val="superscript"/>
        </w:rPr>
        <w:t>th</w:t>
      </w:r>
      <w:r w:rsidRPr="0016596D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 xml:space="preserve"> Session of the </w:t>
      </w:r>
    </w:p>
    <w:p w14:paraId="4B53F96F" w14:textId="0B4A2F01" w:rsidR="003F05EB" w:rsidRPr="0016596D" w:rsidRDefault="003F05EB" w:rsidP="003F05E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16596D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>Expert Mechanism on the Rights of Indigenous Peoples  </w:t>
      </w:r>
      <w:r w:rsidRPr="0016596D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727EB22B" w14:textId="79D28AC3" w:rsidR="003F05EB" w:rsidRPr="0016596D" w:rsidRDefault="003F05EB" w:rsidP="003F05E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6"/>
          <w:szCs w:val="26"/>
        </w:rPr>
      </w:pPr>
      <w:r w:rsidRPr="0016596D">
        <w:rPr>
          <w:rStyle w:val="eop"/>
          <w:rFonts w:asciiTheme="minorHAnsi" w:hAnsiTheme="minorHAnsi" w:cstheme="minorHAnsi"/>
          <w:sz w:val="26"/>
          <w:szCs w:val="26"/>
        </w:rPr>
        <w:t> </w:t>
      </w:r>
    </w:p>
    <w:p w14:paraId="56421243" w14:textId="77777777" w:rsidR="00213D62" w:rsidRPr="0016596D" w:rsidRDefault="00213D62" w:rsidP="00190632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6"/>
          <w:szCs w:val="26"/>
        </w:rPr>
      </w:pPr>
      <w:r w:rsidRPr="0016596D">
        <w:rPr>
          <w:rStyle w:val="normaltextrun"/>
          <w:rFonts w:asciiTheme="minorHAnsi" w:hAnsiTheme="minorHAnsi" w:cstheme="minorHAnsi"/>
          <w:b/>
          <w:bCs/>
          <w:sz w:val="26"/>
          <w:szCs w:val="26"/>
        </w:rPr>
        <w:t>Asia-Pacific Regional Meeting</w:t>
      </w:r>
      <w:r w:rsidRPr="0016596D">
        <w:rPr>
          <w:rStyle w:val="eop"/>
          <w:rFonts w:asciiTheme="minorHAnsi" w:hAnsiTheme="minorHAnsi" w:cstheme="minorHAnsi"/>
          <w:sz w:val="26"/>
          <w:szCs w:val="26"/>
        </w:rPr>
        <w:t xml:space="preserve"> </w:t>
      </w:r>
    </w:p>
    <w:p w14:paraId="7F4AF6DB" w14:textId="77777777" w:rsidR="0016596D" w:rsidRDefault="00213D62" w:rsidP="0016596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color w:val="262626"/>
          <w:sz w:val="26"/>
          <w:szCs w:val="26"/>
        </w:rPr>
      </w:pPr>
      <w:r w:rsidRPr="0016596D">
        <w:rPr>
          <w:rStyle w:val="normaltextrun"/>
          <w:rFonts w:asciiTheme="minorHAnsi" w:hAnsiTheme="minorHAnsi" w:cstheme="minorHAnsi"/>
          <w:sz w:val="26"/>
          <w:szCs w:val="26"/>
        </w:rPr>
        <w:t>1</w:t>
      </w:r>
      <w:r w:rsidR="00CD5588" w:rsidRPr="0016596D">
        <w:rPr>
          <w:rStyle w:val="normaltextrun"/>
          <w:rFonts w:asciiTheme="minorHAnsi" w:hAnsiTheme="minorHAnsi" w:cstheme="minorHAnsi"/>
          <w:sz w:val="26"/>
          <w:szCs w:val="26"/>
        </w:rPr>
        <w:t xml:space="preserve"> December 2020</w:t>
      </w:r>
      <w:r w:rsidR="003F05EB" w:rsidRPr="0016596D">
        <w:rPr>
          <w:rFonts w:asciiTheme="minorHAnsi" w:hAnsiTheme="minorHAnsi" w:cstheme="minorHAnsi"/>
          <w:sz w:val="26"/>
          <w:szCs w:val="26"/>
        </w:rPr>
        <w:br/>
      </w:r>
    </w:p>
    <w:p w14:paraId="1C6D90A8" w14:textId="77777777" w:rsidR="0016596D" w:rsidRDefault="00D74D13" w:rsidP="0016596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262626"/>
          <w:sz w:val="26"/>
          <w:szCs w:val="26"/>
        </w:rPr>
      </w:pPr>
      <w:r w:rsidRPr="00D74D13">
        <w:rPr>
          <w:rFonts w:ascii="Calibri" w:hAnsi="Calibri" w:cs="Calibri"/>
          <w:b/>
          <w:bCs/>
          <w:color w:val="262626"/>
          <w:sz w:val="26"/>
          <w:szCs w:val="26"/>
        </w:rPr>
        <w:t xml:space="preserve">The impact of COVID-19 on the rights of indigenous peoples under the </w:t>
      </w:r>
    </w:p>
    <w:p w14:paraId="3A2D8017" w14:textId="79ED3740" w:rsidR="00D74D13" w:rsidRPr="00D74D13" w:rsidRDefault="00D74D13" w:rsidP="0016596D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b/>
          <w:bCs/>
          <w:color w:val="262626"/>
          <w:sz w:val="26"/>
          <w:szCs w:val="26"/>
        </w:rPr>
      </w:pPr>
      <w:r w:rsidRPr="00D74D13">
        <w:rPr>
          <w:rFonts w:ascii="Calibri" w:hAnsi="Calibri" w:cs="Calibri"/>
          <w:b/>
          <w:bCs/>
          <w:color w:val="262626"/>
          <w:sz w:val="26"/>
          <w:szCs w:val="26"/>
        </w:rPr>
        <w:t>UN Declaration on the Rights of Indigenous Peoples</w:t>
      </w:r>
    </w:p>
    <w:p w14:paraId="0EF92968" w14:textId="77777777" w:rsidR="00502661" w:rsidRDefault="00502661"/>
    <w:p w14:paraId="229BAE53" w14:textId="1BE08273" w:rsidR="001D4792" w:rsidRPr="00012DA8" w:rsidRDefault="000240ED">
      <w:pPr>
        <w:rPr>
          <w:sz w:val="24"/>
          <w:szCs w:val="24"/>
          <w:lang w:val="mi-NZ"/>
        </w:rPr>
      </w:pPr>
      <w:r w:rsidRPr="00012DA8">
        <w:rPr>
          <w:sz w:val="24"/>
          <w:szCs w:val="24"/>
        </w:rPr>
        <w:t>T</w:t>
      </w:r>
      <w:r w:rsidRPr="00012DA8">
        <w:rPr>
          <w:sz w:val="24"/>
          <w:szCs w:val="24"/>
          <w:lang w:val="mi-NZ"/>
        </w:rPr>
        <w:t>ēnā koutou katoa,</w:t>
      </w:r>
    </w:p>
    <w:p w14:paraId="684F03AC" w14:textId="2176CA78" w:rsidR="00E2269C" w:rsidRPr="00012DA8" w:rsidRDefault="00E2269C">
      <w:pPr>
        <w:rPr>
          <w:sz w:val="24"/>
          <w:szCs w:val="24"/>
          <w:lang w:val="mi-NZ"/>
        </w:rPr>
      </w:pPr>
      <w:r w:rsidRPr="00012DA8">
        <w:rPr>
          <w:sz w:val="24"/>
          <w:szCs w:val="24"/>
          <w:lang w:val="mi-NZ"/>
        </w:rPr>
        <w:t xml:space="preserve">Greetings Madam/Mr Chair, </w:t>
      </w:r>
      <w:r w:rsidR="005D53C5" w:rsidRPr="00012DA8">
        <w:rPr>
          <w:sz w:val="24"/>
          <w:szCs w:val="24"/>
          <w:lang w:val="mi-NZ"/>
        </w:rPr>
        <w:t>and all participants.</w:t>
      </w:r>
    </w:p>
    <w:p w14:paraId="1BDADD32" w14:textId="77777777" w:rsidR="00012DA8" w:rsidRDefault="00012DA8" w:rsidP="008570CA">
      <w:pPr>
        <w:rPr>
          <w:sz w:val="24"/>
          <w:szCs w:val="24"/>
        </w:rPr>
      </w:pPr>
    </w:p>
    <w:p w14:paraId="12B131D3" w14:textId="4C134F6D" w:rsidR="008570CA" w:rsidRPr="00012DA8" w:rsidRDefault="008570CA" w:rsidP="008570CA">
      <w:pPr>
        <w:rPr>
          <w:sz w:val="24"/>
          <w:szCs w:val="24"/>
        </w:rPr>
      </w:pPr>
      <w:r w:rsidRPr="00012DA8">
        <w:rPr>
          <w:sz w:val="24"/>
          <w:szCs w:val="24"/>
        </w:rPr>
        <w:t>I make this statement o</w:t>
      </w:r>
      <w:r w:rsidR="00986EA9" w:rsidRPr="00012DA8">
        <w:rPr>
          <w:sz w:val="24"/>
          <w:szCs w:val="24"/>
        </w:rPr>
        <w:t xml:space="preserve">n behalf of the New Zealand Human Rights Commission </w:t>
      </w:r>
      <w:proofErr w:type="spellStart"/>
      <w:r w:rsidR="00986EA9" w:rsidRPr="00012DA8">
        <w:rPr>
          <w:sz w:val="24"/>
          <w:szCs w:val="24"/>
        </w:rPr>
        <w:t>Te</w:t>
      </w:r>
      <w:proofErr w:type="spellEnd"/>
      <w:r w:rsidR="00986EA9" w:rsidRPr="00012DA8">
        <w:rPr>
          <w:sz w:val="24"/>
          <w:szCs w:val="24"/>
        </w:rPr>
        <w:t xml:space="preserve"> K</w:t>
      </w:r>
      <w:r w:rsidR="00986EA9" w:rsidRPr="00012DA8">
        <w:rPr>
          <w:sz w:val="24"/>
          <w:szCs w:val="24"/>
          <w:lang w:val="mi-NZ"/>
        </w:rPr>
        <w:t xml:space="preserve">āhui Tika Tangata, </w:t>
      </w:r>
      <w:r w:rsidRPr="00012DA8">
        <w:rPr>
          <w:sz w:val="24"/>
          <w:szCs w:val="24"/>
        </w:rPr>
        <w:t xml:space="preserve">to highlight some of the </w:t>
      </w:r>
      <w:r w:rsidRPr="00235A98">
        <w:rPr>
          <w:b/>
          <w:bCs/>
          <w:sz w:val="24"/>
          <w:szCs w:val="24"/>
        </w:rPr>
        <w:t>challenges and good practices</w:t>
      </w:r>
      <w:r w:rsidRPr="00012DA8">
        <w:rPr>
          <w:sz w:val="24"/>
          <w:szCs w:val="24"/>
        </w:rPr>
        <w:t xml:space="preserve"> we have seen in Aotearoa.</w:t>
      </w:r>
    </w:p>
    <w:p w14:paraId="24EA844E" w14:textId="06F93180" w:rsidR="001D4792" w:rsidRPr="00012DA8" w:rsidRDefault="00C7253A" w:rsidP="001D4792">
      <w:pPr>
        <w:rPr>
          <w:sz w:val="24"/>
          <w:szCs w:val="24"/>
        </w:rPr>
      </w:pPr>
      <w:r w:rsidRPr="00012DA8">
        <w:rPr>
          <w:sz w:val="24"/>
          <w:szCs w:val="24"/>
          <w:lang w:val="mi-NZ"/>
        </w:rPr>
        <w:t>W</w:t>
      </w:r>
      <w:r w:rsidR="00986EA9" w:rsidRPr="00012DA8">
        <w:rPr>
          <w:sz w:val="24"/>
          <w:szCs w:val="24"/>
          <w:lang w:val="mi-NZ"/>
        </w:rPr>
        <w:t>e</w:t>
      </w:r>
      <w:r w:rsidR="006B2852" w:rsidRPr="00012DA8">
        <w:rPr>
          <w:sz w:val="24"/>
          <w:szCs w:val="24"/>
        </w:rPr>
        <w:t xml:space="preserve"> applaud</w:t>
      </w:r>
      <w:r w:rsidR="001D4792" w:rsidRPr="00012DA8">
        <w:rPr>
          <w:sz w:val="24"/>
          <w:szCs w:val="24"/>
        </w:rPr>
        <w:t xml:space="preserve"> the </w:t>
      </w:r>
      <w:r w:rsidR="0014132F" w:rsidRPr="00012DA8">
        <w:rPr>
          <w:sz w:val="24"/>
          <w:szCs w:val="24"/>
        </w:rPr>
        <w:t>strength</w:t>
      </w:r>
      <w:r w:rsidR="001D4792" w:rsidRPr="00012DA8">
        <w:rPr>
          <w:sz w:val="24"/>
          <w:szCs w:val="24"/>
        </w:rPr>
        <w:t xml:space="preserve"> and </w:t>
      </w:r>
      <w:r w:rsidR="00F000A9" w:rsidRPr="00012DA8">
        <w:rPr>
          <w:sz w:val="24"/>
          <w:szCs w:val="24"/>
        </w:rPr>
        <w:t xml:space="preserve">resilience </w:t>
      </w:r>
      <w:r w:rsidR="001D4792" w:rsidRPr="00012DA8">
        <w:rPr>
          <w:sz w:val="24"/>
          <w:szCs w:val="24"/>
        </w:rPr>
        <w:t>shown by Indigenous Peoples</w:t>
      </w:r>
      <w:r w:rsidR="006B2852" w:rsidRPr="00012DA8">
        <w:rPr>
          <w:sz w:val="24"/>
          <w:szCs w:val="24"/>
        </w:rPr>
        <w:t xml:space="preserve"> and acknowledge the hardship and loss that our people</w:t>
      </w:r>
      <w:r w:rsidR="003F211D" w:rsidRPr="00012DA8">
        <w:rPr>
          <w:sz w:val="24"/>
          <w:szCs w:val="24"/>
        </w:rPr>
        <w:t>s</w:t>
      </w:r>
      <w:r w:rsidR="006B2852" w:rsidRPr="00012DA8">
        <w:rPr>
          <w:sz w:val="24"/>
          <w:szCs w:val="24"/>
        </w:rPr>
        <w:t xml:space="preserve"> have borne throughout this pandemic.</w:t>
      </w:r>
    </w:p>
    <w:p w14:paraId="210C063C" w14:textId="73FC1251" w:rsidR="001D4792" w:rsidRPr="00012DA8" w:rsidRDefault="0014132F" w:rsidP="001D4792">
      <w:pPr>
        <w:rPr>
          <w:sz w:val="24"/>
          <w:szCs w:val="24"/>
        </w:rPr>
      </w:pPr>
      <w:r w:rsidRPr="00012DA8">
        <w:rPr>
          <w:sz w:val="24"/>
          <w:szCs w:val="24"/>
        </w:rPr>
        <w:t>The</w:t>
      </w:r>
      <w:r w:rsidR="001D4792" w:rsidRPr="00012DA8">
        <w:rPr>
          <w:sz w:val="24"/>
          <w:szCs w:val="24"/>
        </w:rPr>
        <w:t xml:space="preserve"> </w:t>
      </w:r>
      <w:r w:rsidRPr="00012DA8">
        <w:rPr>
          <w:sz w:val="24"/>
          <w:szCs w:val="24"/>
        </w:rPr>
        <w:t>leadership</w:t>
      </w:r>
      <w:r w:rsidR="001D4792" w:rsidRPr="00012DA8">
        <w:rPr>
          <w:sz w:val="24"/>
          <w:szCs w:val="24"/>
        </w:rPr>
        <w:t xml:space="preserve"> </w:t>
      </w:r>
      <w:r w:rsidR="00BD5E7A" w:rsidRPr="00012DA8">
        <w:rPr>
          <w:sz w:val="24"/>
          <w:szCs w:val="24"/>
        </w:rPr>
        <w:t xml:space="preserve">of tangata whenua </w:t>
      </w:r>
      <w:r w:rsidR="00F722B9" w:rsidRPr="00012DA8">
        <w:rPr>
          <w:sz w:val="24"/>
          <w:szCs w:val="24"/>
        </w:rPr>
        <w:t xml:space="preserve">(Indigenous Peoples) </w:t>
      </w:r>
      <w:r w:rsidR="00C7253A" w:rsidRPr="00012DA8">
        <w:rPr>
          <w:sz w:val="24"/>
          <w:szCs w:val="24"/>
        </w:rPr>
        <w:t xml:space="preserve">in Aotearoa </w:t>
      </w:r>
      <w:r w:rsidR="001D4792" w:rsidRPr="00012DA8">
        <w:rPr>
          <w:sz w:val="24"/>
          <w:szCs w:val="24"/>
        </w:rPr>
        <w:t xml:space="preserve">has been demonstrated in numerous ways, </w:t>
      </w:r>
      <w:r w:rsidR="00BD5E7A" w:rsidRPr="00012DA8">
        <w:rPr>
          <w:sz w:val="24"/>
          <w:szCs w:val="24"/>
        </w:rPr>
        <w:t>including</w:t>
      </w:r>
      <w:r w:rsidR="001D4792" w:rsidRPr="00012DA8">
        <w:rPr>
          <w:sz w:val="24"/>
          <w:szCs w:val="24"/>
        </w:rPr>
        <w:t>: adapting tikanga</w:t>
      </w:r>
      <w:r w:rsidR="00BD5E7A" w:rsidRPr="00012DA8">
        <w:rPr>
          <w:sz w:val="24"/>
          <w:szCs w:val="24"/>
        </w:rPr>
        <w:t xml:space="preserve"> </w:t>
      </w:r>
      <w:r w:rsidR="00F722B9" w:rsidRPr="00012DA8">
        <w:rPr>
          <w:sz w:val="24"/>
          <w:szCs w:val="24"/>
        </w:rPr>
        <w:t xml:space="preserve">(indigenous </w:t>
      </w:r>
      <w:r w:rsidR="00BD5E7A" w:rsidRPr="00012DA8">
        <w:rPr>
          <w:sz w:val="24"/>
          <w:szCs w:val="24"/>
        </w:rPr>
        <w:t>laws and practices)</w:t>
      </w:r>
      <w:r w:rsidR="001D4792" w:rsidRPr="00012DA8">
        <w:rPr>
          <w:sz w:val="24"/>
          <w:szCs w:val="24"/>
        </w:rPr>
        <w:t xml:space="preserve">, distributing care packages, </w:t>
      </w:r>
      <w:r w:rsidR="001D4792" w:rsidRPr="00012DA8">
        <w:rPr>
          <w:sz w:val="24"/>
          <w:szCs w:val="24"/>
        </w:rPr>
        <w:lastRenderedPageBreak/>
        <w:t xml:space="preserve">caring for </w:t>
      </w:r>
      <w:r w:rsidR="0094477D" w:rsidRPr="00012DA8">
        <w:rPr>
          <w:sz w:val="24"/>
          <w:szCs w:val="24"/>
        </w:rPr>
        <w:t>elders</w:t>
      </w:r>
      <w:r w:rsidR="001D4792" w:rsidRPr="00012DA8">
        <w:rPr>
          <w:sz w:val="24"/>
          <w:szCs w:val="24"/>
        </w:rPr>
        <w:t xml:space="preserve">, and establishing </w:t>
      </w:r>
      <w:hyperlink r:id="rId7" w:history="1">
        <w:r w:rsidR="001D4792" w:rsidRPr="00012DA8">
          <w:rPr>
            <w:rStyle w:val="Hyperlink"/>
            <w:sz w:val="24"/>
            <w:szCs w:val="24"/>
          </w:rPr>
          <w:t>checkpoints</w:t>
        </w:r>
      </w:hyperlink>
      <w:r w:rsidR="001D4792" w:rsidRPr="00012DA8">
        <w:rPr>
          <w:sz w:val="24"/>
          <w:szCs w:val="24"/>
        </w:rPr>
        <w:t xml:space="preserve"> to </w:t>
      </w:r>
      <w:r w:rsidR="00931070" w:rsidRPr="00012DA8">
        <w:rPr>
          <w:sz w:val="24"/>
          <w:szCs w:val="24"/>
        </w:rPr>
        <w:t xml:space="preserve">monitor tribal borders and </w:t>
      </w:r>
      <w:r w:rsidR="001D4792" w:rsidRPr="00012DA8">
        <w:rPr>
          <w:sz w:val="24"/>
          <w:szCs w:val="24"/>
        </w:rPr>
        <w:t>protect communities.</w:t>
      </w:r>
    </w:p>
    <w:p w14:paraId="6E93EDC4" w14:textId="1E75B354" w:rsidR="00B11E56" w:rsidRPr="00012DA8" w:rsidRDefault="0026196E" w:rsidP="001D4792">
      <w:pPr>
        <w:rPr>
          <w:sz w:val="24"/>
          <w:szCs w:val="24"/>
        </w:rPr>
      </w:pPr>
      <w:r w:rsidRPr="00012DA8">
        <w:rPr>
          <w:sz w:val="24"/>
          <w:szCs w:val="24"/>
        </w:rPr>
        <w:t>The</w:t>
      </w:r>
      <w:r w:rsidR="00D1529B" w:rsidRPr="00012DA8">
        <w:rPr>
          <w:sz w:val="24"/>
          <w:szCs w:val="24"/>
        </w:rPr>
        <w:t xml:space="preserve"> </w:t>
      </w:r>
      <w:hyperlink r:id="rId8" w:history="1">
        <w:r w:rsidR="00D1529B" w:rsidRPr="00012DA8">
          <w:rPr>
            <w:rStyle w:val="Hyperlink"/>
            <w:sz w:val="24"/>
            <w:szCs w:val="24"/>
          </w:rPr>
          <w:t>Human Rights Commission</w:t>
        </w:r>
      </w:hyperlink>
      <w:r w:rsidR="00D1529B" w:rsidRPr="00012DA8">
        <w:rPr>
          <w:sz w:val="24"/>
          <w:szCs w:val="24"/>
        </w:rPr>
        <w:t xml:space="preserve"> </w:t>
      </w:r>
      <w:r w:rsidR="00DF5701" w:rsidRPr="00012DA8">
        <w:rPr>
          <w:sz w:val="24"/>
          <w:szCs w:val="24"/>
        </w:rPr>
        <w:t xml:space="preserve">highlighted Iwi-led checkpoints as a positive </w:t>
      </w:r>
      <w:r w:rsidR="00EC12F3" w:rsidRPr="00012DA8">
        <w:rPr>
          <w:sz w:val="24"/>
          <w:szCs w:val="24"/>
        </w:rPr>
        <w:t>model</w:t>
      </w:r>
      <w:r w:rsidR="00DF5701" w:rsidRPr="00012DA8">
        <w:rPr>
          <w:sz w:val="24"/>
          <w:szCs w:val="24"/>
        </w:rPr>
        <w:t xml:space="preserve"> of </w:t>
      </w:r>
      <w:r w:rsidR="002C20F3" w:rsidRPr="00012DA8">
        <w:rPr>
          <w:sz w:val="24"/>
          <w:szCs w:val="24"/>
        </w:rPr>
        <w:t xml:space="preserve">the partnership required </w:t>
      </w:r>
      <w:r w:rsidR="00521374" w:rsidRPr="00012DA8">
        <w:rPr>
          <w:sz w:val="24"/>
          <w:szCs w:val="24"/>
        </w:rPr>
        <w:t xml:space="preserve">by our founding treaty, </w:t>
      </w:r>
      <w:proofErr w:type="spellStart"/>
      <w:r w:rsidR="00521374" w:rsidRPr="00012DA8">
        <w:rPr>
          <w:sz w:val="24"/>
          <w:szCs w:val="24"/>
        </w:rPr>
        <w:t>Te</w:t>
      </w:r>
      <w:proofErr w:type="spellEnd"/>
      <w:r w:rsidR="00521374" w:rsidRPr="00012DA8">
        <w:rPr>
          <w:sz w:val="24"/>
          <w:szCs w:val="24"/>
        </w:rPr>
        <w:t xml:space="preserve"> </w:t>
      </w:r>
      <w:proofErr w:type="spellStart"/>
      <w:r w:rsidR="00521374" w:rsidRPr="00012DA8">
        <w:rPr>
          <w:sz w:val="24"/>
          <w:szCs w:val="24"/>
        </w:rPr>
        <w:t>Tiriti</w:t>
      </w:r>
      <w:proofErr w:type="spellEnd"/>
      <w:r w:rsidR="00521374" w:rsidRPr="00012DA8">
        <w:rPr>
          <w:sz w:val="24"/>
          <w:szCs w:val="24"/>
        </w:rPr>
        <w:t xml:space="preserve"> o Waitangi.</w:t>
      </w:r>
      <w:r w:rsidR="00B11E56" w:rsidRPr="00012DA8">
        <w:rPr>
          <w:sz w:val="24"/>
          <w:szCs w:val="24"/>
        </w:rPr>
        <w:t xml:space="preserve"> </w:t>
      </w:r>
      <w:r w:rsidR="00DF1014" w:rsidRPr="00012DA8">
        <w:rPr>
          <w:sz w:val="24"/>
          <w:szCs w:val="24"/>
        </w:rPr>
        <w:t xml:space="preserve">We acknowledged the authority of Iwi to </w:t>
      </w:r>
      <w:r w:rsidR="00E00416" w:rsidRPr="00012DA8">
        <w:rPr>
          <w:sz w:val="24"/>
          <w:szCs w:val="24"/>
        </w:rPr>
        <w:t xml:space="preserve">exercise rangatiratanga (including self-determination) to </w:t>
      </w:r>
      <w:r w:rsidR="00463FD4" w:rsidRPr="00012DA8">
        <w:rPr>
          <w:sz w:val="24"/>
          <w:szCs w:val="24"/>
        </w:rPr>
        <w:t xml:space="preserve">protect and manage their territories. </w:t>
      </w:r>
      <w:r w:rsidR="0095119E" w:rsidRPr="00012DA8">
        <w:rPr>
          <w:sz w:val="24"/>
          <w:szCs w:val="24"/>
        </w:rPr>
        <w:t xml:space="preserve">We </w:t>
      </w:r>
      <w:r w:rsidR="00895F40" w:rsidRPr="00012DA8">
        <w:rPr>
          <w:sz w:val="24"/>
          <w:szCs w:val="24"/>
        </w:rPr>
        <w:t>welcom</w:t>
      </w:r>
      <w:r w:rsidR="00F722B9" w:rsidRPr="00012DA8">
        <w:rPr>
          <w:sz w:val="24"/>
          <w:szCs w:val="24"/>
        </w:rPr>
        <w:t xml:space="preserve">ed </w:t>
      </w:r>
      <w:r w:rsidR="000C6E3B" w:rsidRPr="00012DA8">
        <w:rPr>
          <w:sz w:val="24"/>
          <w:szCs w:val="24"/>
        </w:rPr>
        <w:t>the partnership approach adopted by Police</w:t>
      </w:r>
      <w:r w:rsidR="00F373F6" w:rsidRPr="00012DA8">
        <w:rPr>
          <w:sz w:val="24"/>
          <w:szCs w:val="24"/>
        </w:rPr>
        <w:t xml:space="preserve"> who</w:t>
      </w:r>
      <w:r w:rsidR="00436E1E" w:rsidRPr="00012DA8">
        <w:rPr>
          <w:sz w:val="24"/>
          <w:szCs w:val="24"/>
        </w:rPr>
        <w:t xml:space="preserve"> worked with Iwi </w:t>
      </w:r>
      <w:r w:rsidR="00F722B9" w:rsidRPr="00012DA8">
        <w:rPr>
          <w:sz w:val="24"/>
          <w:szCs w:val="24"/>
        </w:rPr>
        <w:t xml:space="preserve">to support </w:t>
      </w:r>
      <w:r w:rsidR="00757157" w:rsidRPr="00012DA8">
        <w:rPr>
          <w:sz w:val="24"/>
          <w:szCs w:val="24"/>
        </w:rPr>
        <w:t xml:space="preserve">the </w:t>
      </w:r>
      <w:r w:rsidR="00436E1E" w:rsidRPr="00012DA8">
        <w:rPr>
          <w:sz w:val="24"/>
          <w:szCs w:val="24"/>
        </w:rPr>
        <w:t>checkpoints.</w:t>
      </w:r>
      <w:r w:rsidR="00F722B9" w:rsidRPr="00012DA8">
        <w:rPr>
          <w:sz w:val="24"/>
          <w:szCs w:val="24"/>
        </w:rPr>
        <w:t xml:space="preserve"> We urged the Government to adopt </w:t>
      </w:r>
      <w:r w:rsidR="00463FD4" w:rsidRPr="00012DA8">
        <w:rPr>
          <w:sz w:val="24"/>
          <w:szCs w:val="24"/>
        </w:rPr>
        <w:t>this</w:t>
      </w:r>
      <w:r w:rsidR="00F722B9" w:rsidRPr="00012DA8">
        <w:rPr>
          <w:sz w:val="24"/>
          <w:szCs w:val="24"/>
        </w:rPr>
        <w:t xml:space="preserve"> </w:t>
      </w:r>
      <w:r w:rsidR="00412F35">
        <w:rPr>
          <w:sz w:val="24"/>
          <w:szCs w:val="24"/>
        </w:rPr>
        <w:t xml:space="preserve">type of </w:t>
      </w:r>
      <w:r w:rsidR="00CF43B3">
        <w:rPr>
          <w:sz w:val="24"/>
          <w:szCs w:val="24"/>
        </w:rPr>
        <w:t xml:space="preserve">partnership </w:t>
      </w:r>
      <w:r w:rsidR="00412F35">
        <w:rPr>
          <w:sz w:val="24"/>
          <w:szCs w:val="24"/>
        </w:rPr>
        <w:t>and support for Rangatiratanga,</w:t>
      </w:r>
      <w:r w:rsidR="00F722B9" w:rsidRPr="00012DA8">
        <w:rPr>
          <w:sz w:val="24"/>
          <w:szCs w:val="24"/>
        </w:rPr>
        <w:t xml:space="preserve"> across </w:t>
      </w:r>
      <w:r w:rsidR="00201E62" w:rsidRPr="00012DA8">
        <w:rPr>
          <w:sz w:val="24"/>
          <w:szCs w:val="24"/>
        </w:rPr>
        <w:t>its pandemic response.</w:t>
      </w:r>
    </w:p>
    <w:p w14:paraId="0A88D4D5" w14:textId="77777777" w:rsidR="00FA5E20" w:rsidRDefault="008B26A2" w:rsidP="004C1193">
      <w:pPr>
        <w:rPr>
          <w:rStyle w:val="normaltextrun"/>
          <w:rFonts w:ascii="Calibri" w:hAnsi="Calibri" w:cs="Calibri"/>
          <w:sz w:val="24"/>
          <w:szCs w:val="24"/>
        </w:rPr>
      </w:pPr>
      <w:r w:rsidRPr="00012DA8">
        <w:rPr>
          <w:sz w:val="24"/>
          <w:szCs w:val="24"/>
        </w:rPr>
        <w:t>While th</w:t>
      </w:r>
      <w:r w:rsidR="002E6043" w:rsidRPr="00012DA8">
        <w:rPr>
          <w:sz w:val="24"/>
          <w:szCs w:val="24"/>
        </w:rPr>
        <w:t>e</w:t>
      </w:r>
      <w:r w:rsidR="00D1529B" w:rsidRPr="00012DA8">
        <w:rPr>
          <w:sz w:val="24"/>
          <w:szCs w:val="24"/>
        </w:rPr>
        <w:t xml:space="preserve"> Commission</w:t>
      </w:r>
      <w:r w:rsidR="00B52EB2" w:rsidRPr="00012DA8">
        <w:rPr>
          <w:sz w:val="24"/>
          <w:szCs w:val="24"/>
        </w:rPr>
        <w:t xml:space="preserve"> </w:t>
      </w:r>
      <w:r w:rsidR="00895F40" w:rsidRPr="00012DA8">
        <w:rPr>
          <w:sz w:val="24"/>
          <w:szCs w:val="24"/>
        </w:rPr>
        <w:t>c</w:t>
      </w:r>
      <w:r w:rsidR="00B52EB2" w:rsidRPr="00012DA8">
        <w:rPr>
          <w:sz w:val="24"/>
          <w:szCs w:val="24"/>
        </w:rPr>
        <w:t xml:space="preserve">ommended </w:t>
      </w:r>
      <w:r w:rsidR="0012576E" w:rsidRPr="00012DA8">
        <w:rPr>
          <w:rStyle w:val="normaltextrun"/>
          <w:rFonts w:ascii="Calibri" w:hAnsi="Calibri" w:cs="Calibri"/>
          <w:sz w:val="24"/>
          <w:szCs w:val="24"/>
        </w:rPr>
        <w:t xml:space="preserve">New Zealand’s </w:t>
      </w:r>
      <w:r w:rsidR="00B52EB2" w:rsidRPr="00012DA8">
        <w:rPr>
          <w:rStyle w:val="normaltextrun"/>
          <w:rFonts w:ascii="Calibri" w:hAnsi="Calibri" w:cs="Calibri"/>
          <w:sz w:val="24"/>
          <w:szCs w:val="24"/>
        </w:rPr>
        <w:t xml:space="preserve">overall </w:t>
      </w:r>
      <w:r w:rsidR="0012576E" w:rsidRPr="00012DA8">
        <w:rPr>
          <w:rStyle w:val="normaltextrun"/>
          <w:rFonts w:ascii="Calibri" w:hAnsi="Calibri" w:cs="Calibri"/>
          <w:sz w:val="24"/>
          <w:szCs w:val="24"/>
        </w:rPr>
        <w:t>response to COVID-19</w:t>
      </w:r>
      <w:r w:rsidR="000170C2" w:rsidRPr="00012DA8">
        <w:rPr>
          <w:rStyle w:val="normaltextrun"/>
          <w:rFonts w:ascii="Calibri" w:hAnsi="Calibri" w:cs="Calibri"/>
          <w:sz w:val="24"/>
          <w:szCs w:val="24"/>
        </w:rPr>
        <w:t xml:space="preserve">, </w:t>
      </w:r>
      <w:r w:rsidRPr="00012DA8">
        <w:rPr>
          <w:rStyle w:val="normaltextrun"/>
          <w:rFonts w:ascii="Calibri" w:hAnsi="Calibri" w:cs="Calibri"/>
          <w:sz w:val="24"/>
          <w:szCs w:val="24"/>
        </w:rPr>
        <w:t>we</w:t>
      </w:r>
      <w:r w:rsidR="00FA5E20">
        <w:rPr>
          <w:rStyle w:val="normaltextrun"/>
          <w:rFonts w:ascii="Calibri" w:hAnsi="Calibri" w:cs="Calibri"/>
          <w:sz w:val="24"/>
          <w:szCs w:val="24"/>
        </w:rPr>
        <w:t xml:space="preserve"> have</w:t>
      </w:r>
      <w:r w:rsidR="000170C2" w:rsidRPr="00012DA8">
        <w:rPr>
          <w:rStyle w:val="normaltextrun"/>
          <w:rFonts w:ascii="Calibri" w:hAnsi="Calibri" w:cs="Calibri"/>
          <w:sz w:val="24"/>
          <w:szCs w:val="24"/>
        </w:rPr>
        <w:t xml:space="preserve"> found </w:t>
      </w:r>
      <w:r w:rsidR="00757157" w:rsidRPr="00012DA8">
        <w:rPr>
          <w:rStyle w:val="normaltextrun"/>
          <w:rFonts w:ascii="Calibri" w:hAnsi="Calibri" w:cs="Calibri"/>
          <w:sz w:val="24"/>
          <w:szCs w:val="24"/>
        </w:rPr>
        <w:t xml:space="preserve">a key challenge </w:t>
      </w:r>
      <w:r w:rsidR="001B54C5" w:rsidRPr="00012DA8">
        <w:rPr>
          <w:rStyle w:val="normaltextrun"/>
          <w:rFonts w:ascii="Calibri" w:hAnsi="Calibri" w:cs="Calibri"/>
          <w:sz w:val="24"/>
          <w:szCs w:val="24"/>
        </w:rPr>
        <w:t>to be</w:t>
      </w:r>
      <w:r w:rsidR="00757157" w:rsidRPr="00012DA8">
        <w:rPr>
          <w:rStyle w:val="normaltextrun"/>
          <w:rFonts w:ascii="Calibri" w:hAnsi="Calibri" w:cs="Calibri"/>
          <w:sz w:val="24"/>
          <w:szCs w:val="24"/>
        </w:rPr>
        <w:t xml:space="preserve"> that </w:t>
      </w:r>
      <w:proofErr w:type="spellStart"/>
      <w:r w:rsidR="0012576E" w:rsidRPr="00012DA8">
        <w:rPr>
          <w:rStyle w:val="normaltextrun"/>
          <w:rFonts w:ascii="Calibri" w:hAnsi="Calibri" w:cs="Calibri"/>
          <w:sz w:val="24"/>
          <w:szCs w:val="24"/>
        </w:rPr>
        <w:t>Te</w:t>
      </w:r>
      <w:proofErr w:type="spellEnd"/>
      <w:r w:rsidR="0012576E" w:rsidRPr="00012DA8">
        <w:rPr>
          <w:rStyle w:val="normaltextrun"/>
          <w:rFonts w:ascii="Calibri" w:hAnsi="Calibri" w:cs="Calibri"/>
          <w:sz w:val="24"/>
          <w:szCs w:val="24"/>
        </w:rPr>
        <w:t xml:space="preserve"> </w:t>
      </w:r>
      <w:proofErr w:type="spellStart"/>
      <w:r w:rsidR="0012576E" w:rsidRPr="00012DA8">
        <w:rPr>
          <w:rStyle w:val="normaltextrun"/>
          <w:rFonts w:ascii="Calibri" w:hAnsi="Calibri" w:cs="Calibri"/>
          <w:sz w:val="24"/>
          <w:szCs w:val="24"/>
        </w:rPr>
        <w:t>Tiriti</w:t>
      </w:r>
      <w:proofErr w:type="spellEnd"/>
      <w:r w:rsidR="0012576E" w:rsidRPr="00012DA8">
        <w:rPr>
          <w:rStyle w:val="normaltextrun"/>
          <w:rFonts w:ascii="Calibri" w:hAnsi="Calibri" w:cs="Calibri"/>
          <w:sz w:val="24"/>
          <w:szCs w:val="24"/>
        </w:rPr>
        <w:t xml:space="preserve"> and human rights have not been consistently integrated</w:t>
      </w:r>
      <w:r w:rsidR="000170C2" w:rsidRPr="00012DA8">
        <w:rPr>
          <w:rStyle w:val="normaltextrun"/>
          <w:rFonts w:ascii="Calibri" w:hAnsi="Calibri" w:cs="Calibri"/>
          <w:sz w:val="24"/>
          <w:szCs w:val="24"/>
        </w:rPr>
        <w:t xml:space="preserve"> across </w:t>
      </w:r>
      <w:r w:rsidRPr="00012DA8">
        <w:rPr>
          <w:rStyle w:val="normaltextrun"/>
          <w:rFonts w:ascii="Calibri" w:hAnsi="Calibri" w:cs="Calibri"/>
          <w:sz w:val="24"/>
          <w:szCs w:val="24"/>
        </w:rPr>
        <w:t>government responses</w:t>
      </w:r>
      <w:r w:rsidR="000170C2" w:rsidRPr="00012DA8">
        <w:rPr>
          <w:rStyle w:val="normaltextrun"/>
          <w:rFonts w:ascii="Calibri" w:hAnsi="Calibri" w:cs="Calibri"/>
          <w:sz w:val="24"/>
          <w:szCs w:val="24"/>
        </w:rPr>
        <w:t>.</w:t>
      </w:r>
      <w:r w:rsidR="00655D23" w:rsidRPr="00012DA8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="004650CB" w:rsidRPr="00012DA8">
        <w:rPr>
          <w:sz w:val="24"/>
          <w:szCs w:val="24"/>
        </w:rPr>
        <w:t>This is a continuing challenge</w:t>
      </w:r>
      <w:r w:rsidR="004650CB" w:rsidRPr="00012DA8">
        <w:rPr>
          <w:rStyle w:val="normaltextrun"/>
          <w:rFonts w:ascii="Calibri" w:hAnsi="Calibri" w:cs="Calibri"/>
          <w:sz w:val="24"/>
          <w:szCs w:val="24"/>
        </w:rPr>
        <w:t xml:space="preserve">. </w:t>
      </w:r>
    </w:p>
    <w:p w14:paraId="21F9CB4E" w14:textId="5DCDB5DB" w:rsidR="003F211D" w:rsidRPr="00012DA8" w:rsidRDefault="00655D23" w:rsidP="00FA5E20">
      <w:pPr>
        <w:rPr>
          <w:rFonts w:ascii="Calibri" w:eastAsia="Times New Roman" w:hAnsi="Calibri" w:cs="Calibri"/>
          <w:sz w:val="24"/>
          <w:szCs w:val="24"/>
          <w:lang w:eastAsia="en-NZ"/>
        </w:rPr>
      </w:pPr>
      <w:r w:rsidRPr="00012DA8">
        <w:rPr>
          <w:rStyle w:val="normaltextrun"/>
          <w:rFonts w:ascii="Calibri" w:hAnsi="Calibri" w:cs="Calibri"/>
          <w:sz w:val="24"/>
          <w:szCs w:val="24"/>
        </w:rPr>
        <w:t xml:space="preserve">Government </w:t>
      </w:r>
      <w:r w:rsidR="00012DA8" w:rsidRPr="00012DA8">
        <w:rPr>
          <w:rStyle w:val="normaltextrun"/>
          <w:rFonts w:ascii="Calibri" w:hAnsi="Calibri" w:cs="Calibri"/>
          <w:sz w:val="24"/>
          <w:szCs w:val="24"/>
        </w:rPr>
        <w:t>must</w:t>
      </w:r>
      <w:r w:rsidR="00DC632C" w:rsidRPr="00012DA8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="00E24939" w:rsidRPr="00012DA8">
        <w:rPr>
          <w:sz w:val="24"/>
          <w:szCs w:val="24"/>
        </w:rPr>
        <w:t xml:space="preserve">ensure that </w:t>
      </w:r>
      <w:proofErr w:type="spellStart"/>
      <w:r w:rsidR="00E24939" w:rsidRPr="00012DA8">
        <w:rPr>
          <w:sz w:val="24"/>
          <w:szCs w:val="24"/>
        </w:rPr>
        <w:t>Te</w:t>
      </w:r>
      <w:proofErr w:type="spellEnd"/>
      <w:r w:rsidR="00E24939" w:rsidRPr="00012DA8">
        <w:rPr>
          <w:sz w:val="24"/>
          <w:szCs w:val="24"/>
        </w:rPr>
        <w:t xml:space="preserve"> </w:t>
      </w:r>
      <w:proofErr w:type="spellStart"/>
      <w:r w:rsidR="00E24939" w:rsidRPr="00012DA8">
        <w:rPr>
          <w:sz w:val="24"/>
          <w:szCs w:val="24"/>
        </w:rPr>
        <w:t>Tiriti</w:t>
      </w:r>
      <w:proofErr w:type="spellEnd"/>
      <w:r w:rsidR="00E24939" w:rsidRPr="00012DA8">
        <w:rPr>
          <w:sz w:val="24"/>
          <w:szCs w:val="24"/>
        </w:rPr>
        <w:t xml:space="preserve"> and the </w:t>
      </w:r>
      <w:r w:rsidR="00E24939" w:rsidRPr="00012DA8">
        <w:rPr>
          <w:rFonts w:ascii="Calibri" w:hAnsi="Calibri" w:cs="Calibri"/>
          <w:sz w:val="24"/>
          <w:szCs w:val="24"/>
        </w:rPr>
        <w:t>Declaration on the Rights of Indigenous Peoples are central to all planning and decision-making</w:t>
      </w:r>
      <w:r w:rsidR="005B4002" w:rsidRPr="00012DA8">
        <w:rPr>
          <w:rFonts w:ascii="Calibri" w:hAnsi="Calibri" w:cs="Calibri"/>
          <w:sz w:val="24"/>
          <w:szCs w:val="24"/>
        </w:rPr>
        <w:t xml:space="preserve"> for ongoing responses and </w:t>
      </w:r>
      <w:r w:rsidR="006179AC" w:rsidRPr="00012DA8">
        <w:rPr>
          <w:rFonts w:ascii="Calibri" w:hAnsi="Calibri" w:cs="Calibri"/>
          <w:sz w:val="24"/>
          <w:szCs w:val="24"/>
        </w:rPr>
        <w:t>for our economic and social recovery.</w:t>
      </w:r>
      <w:r w:rsidR="00FA5E20">
        <w:rPr>
          <w:rFonts w:ascii="Calibri" w:hAnsi="Calibri" w:cs="Calibri"/>
          <w:sz w:val="24"/>
          <w:szCs w:val="24"/>
        </w:rPr>
        <w:t xml:space="preserve"> </w:t>
      </w:r>
      <w:r w:rsidR="00096229" w:rsidRPr="00096229">
        <w:rPr>
          <w:rFonts w:ascii="Calibri" w:eastAsia="Times New Roman" w:hAnsi="Calibri" w:cs="Calibri"/>
          <w:sz w:val="24"/>
          <w:szCs w:val="24"/>
          <w:lang w:eastAsia="en-NZ"/>
        </w:rPr>
        <w:t xml:space="preserve">A coordinated whole-of-government strategy </w:t>
      </w:r>
      <w:r w:rsidR="00FA5E20">
        <w:rPr>
          <w:rFonts w:ascii="Calibri" w:eastAsia="Times New Roman" w:hAnsi="Calibri" w:cs="Calibri"/>
          <w:sz w:val="24"/>
          <w:szCs w:val="24"/>
          <w:lang w:eastAsia="en-NZ"/>
        </w:rPr>
        <w:t xml:space="preserve">could </w:t>
      </w:r>
      <w:r w:rsidR="00096229" w:rsidRPr="00012DA8">
        <w:rPr>
          <w:rFonts w:ascii="Calibri" w:eastAsia="Times New Roman" w:hAnsi="Calibri" w:cs="Calibri"/>
          <w:sz w:val="24"/>
          <w:szCs w:val="24"/>
          <w:lang w:eastAsia="en-NZ"/>
        </w:rPr>
        <w:t>build</w:t>
      </w:r>
      <w:r w:rsidR="00096229" w:rsidRPr="00096229">
        <w:rPr>
          <w:rFonts w:ascii="Calibri" w:eastAsia="Times New Roman" w:hAnsi="Calibri" w:cs="Calibri"/>
          <w:sz w:val="24"/>
          <w:szCs w:val="24"/>
          <w:lang w:eastAsia="en-NZ"/>
        </w:rPr>
        <w:t xml:space="preserve"> on the work begun last year towards a national action plan for the Declaration.</w:t>
      </w:r>
      <w:r w:rsidR="00096229" w:rsidRPr="00012DA8">
        <w:rPr>
          <w:rFonts w:ascii="Calibri" w:eastAsia="Times New Roman" w:hAnsi="Calibri" w:cs="Calibri"/>
          <w:sz w:val="24"/>
          <w:szCs w:val="24"/>
          <w:lang w:eastAsia="en-NZ"/>
        </w:rPr>
        <w:t xml:space="preserve"> Th</w:t>
      </w:r>
      <w:r w:rsidR="000640B4">
        <w:rPr>
          <w:rFonts w:ascii="Calibri" w:eastAsia="Times New Roman" w:hAnsi="Calibri" w:cs="Calibri"/>
          <w:sz w:val="24"/>
          <w:szCs w:val="24"/>
          <w:lang w:eastAsia="en-NZ"/>
        </w:rPr>
        <w:t>at</w:t>
      </w:r>
      <w:r w:rsidR="00096229" w:rsidRPr="00012DA8">
        <w:rPr>
          <w:rFonts w:ascii="Calibri" w:eastAsia="Times New Roman" w:hAnsi="Calibri" w:cs="Calibri"/>
          <w:sz w:val="24"/>
          <w:szCs w:val="24"/>
          <w:lang w:eastAsia="en-NZ"/>
        </w:rPr>
        <w:t xml:space="preserve"> work unfortunately has been paused</w:t>
      </w:r>
      <w:r w:rsidR="00012DA8" w:rsidRPr="00012DA8">
        <w:rPr>
          <w:rFonts w:ascii="Calibri" w:eastAsia="Times New Roman" w:hAnsi="Calibri" w:cs="Calibri"/>
          <w:sz w:val="24"/>
          <w:szCs w:val="24"/>
          <w:lang w:eastAsia="en-NZ"/>
        </w:rPr>
        <w:t xml:space="preserve"> due to</w:t>
      </w:r>
      <w:r w:rsidR="00096229" w:rsidRPr="00012DA8">
        <w:rPr>
          <w:rFonts w:ascii="Calibri" w:eastAsia="Times New Roman" w:hAnsi="Calibri" w:cs="Calibri"/>
          <w:sz w:val="24"/>
          <w:szCs w:val="24"/>
          <w:lang w:eastAsia="en-NZ"/>
        </w:rPr>
        <w:t xml:space="preserve"> the pandemic, but remains crucial.</w:t>
      </w:r>
      <w:r w:rsidR="00EC5992" w:rsidRPr="00012DA8">
        <w:rPr>
          <w:rFonts w:ascii="Calibri" w:eastAsia="Times New Roman" w:hAnsi="Calibri" w:cs="Calibri"/>
          <w:sz w:val="24"/>
          <w:szCs w:val="24"/>
          <w:lang w:eastAsia="en-NZ"/>
        </w:rPr>
        <w:t xml:space="preserve"> </w:t>
      </w:r>
    </w:p>
    <w:p w14:paraId="482C1277" w14:textId="77777777" w:rsidR="00012DA8" w:rsidRDefault="00012DA8" w:rsidP="003F211D">
      <w:p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</w:p>
    <w:p w14:paraId="050616D9" w14:textId="36647D6A" w:rsidR="00BE4C4A" w:rsidRPr="00012DA8" w:rsidRDefault="00227EC4" w:rsidP="003F211D">
      <w:pPr>
        <w:shd w:val="clear" w:color="auto" w:fill="FFFFFF"/>
        <w:spacing w:before="100" w:beforeAutospacing="1" w:after="100" w:afterAutospacing="1" w:line="240" w:lineRule="auto"/>
        <w:rPr>
          <w:sz w:val="24"/>
          <w:szCs w:val="24"/>
        </w:rPr>
      </w:pPr>
      <w:r w:rsidRPr="00012DA8">
        <w:rPr>
          <w:sz w:val="24"/>
          <w:szCs w:val="24"/>
        </w:rPr>
        <w:lastRenderedPageBreak/>
        <w:t>For our own part</w:t>
      </w:r>
      <w:r w:rsidR="00BE4C4A" w:rsidRPr="00012DA8">
        <w:rPr>
          <w:sz w:val="24"/>
          <w:szCs w:val="24"/>
        </w:rPr>
        <w:t xml:space="preserve"> the Human Rights Commission is on a journey to becoming authentically </w:t>
      </w:r>
      <w:proofErr w:type="spellStart"/>
      <w:r w:rsidR="00BE4C4A" w:rsidRPr="00012DA8">
        <w:rPr>
          <w:sz w:val="24"/>
          <w:szCs w:val="24"/>
        </w:rPr>
        <w:t>Tiriti</w:t>
      </w:r>
      <w:proofErr w:type="spellEnd"/>
      <w:r w:rsidR="00BE4C4A" w:rsidRPr="00012DA8">
        <w:rPr>
          <w:sz w:val="24"/>
          <w:szCs w:val="24"/>
        </w:rPr>
        <w:t xml:space="preserve">-based. In this work we are assisted by our partners, the Aotearoa Independent Monitoring Mechanism and the National Iwi Chairs Forum. I acknowledge both these </w:t>
      </w:r>
      <w:r w:rsidR="005354F3" w:rsidRPr="00012DA8">
        <w:rPr>
          <w:sz w:val="24"/>
          <w:szCs w:val="24"/>
        </w:rPr>
        <w:t>group</w:t>
      </w:r>
      <w:r w:rsidR="00BE4C4A" w:rsidRPr="00012DA8">
        <w:rPr>
          <w:sz w:val="24"/>
          <w:szCs w:val="24"/>
        </w:rPr>
        <w:t>s, and the statement presented by the Monitoring Mechanism today.</w:t>
      </w:r>
    </w:p>
    <w:p w14:paraId="34B05641" w14:textId="5A3C167F" w:rsidR="00841FD5" w:rsidRPr="00012DA8" w:rsidRDefault="00BE4C4A" w:rsidP="00413863">
      <w:pPr>
        <w:rPr>
          <w:sz w:val="24"/>
          <w:szCs w:val="24"/>
        </w:rPr>
      </w:pPr>
      <w:r w:rsidRPr="00012DA8">
        <w:rPr>
          <w:sz w:val="24"/>
          <w:szCs w:val="24"/>
        </w:rPr>
        <w:t xml:space="preserve">To ensure that </w:t>
      </w:r>
      <w:proofErr w:type="spellStart"/>
      <w:r w:rsidRPr="00012DA8">
        <w:rPr>
          <w:sz w:val="24"/>
          <w:szCs w:val="24"/>
        </w:rPr>
        <w:t>Te</w:t>
      </w:r>
      <w:proofErr w:type="spellEnd"/>
      <w:r w:rsidRPr="00012DA8">
        <w:rPr>
          <w:sz w:val="24"/>
          <w:szCs w:val="24"/>
        </w:rPr>
        <w:t xml:space="preserve"> </w:t>
      </w:r>
      <w:proofErr w:type="spellStart"/>
      <w:r w:rsidRPr="00012DA8">
        <w:rPr>
          <w:sz w:val="24"/>
          <w:szCs w:val="24"/>
        </w:rPr>
        <w:t>Tiriti</w:t>
      </w:r>
      <w:proofErr w:type="spellEnd"/>
      <w:r w:rsidRPr="00012DA8">
        <w:rPr>
          <w:sz w:val="24"/>
          <w:szCs w:val="24"/>
        </w:rPr>
        <w:t xml:space="preserve"> was central to the Commission’s </w:t>
      </w:r>
      <w:r w:rsidR="00452EC5" w:rsidRPr="00012DA8">
        <w:rPr>
          <w:sz w:val="24"/>
          <w:szCs w:val="24"/>
        </w:rPr>
        <w:t xml:space="preserve">COVID-19 </w:t>
      </w:r>
      <w:r w:rsidRPr="00012DA8">
        <w:rPr>
          <w:sz w:val="24"/>
          <w:szCs w:val="24"/>
        </w:rPr>
        <w:t xml:space="preserve">work, </w:t>
      </w:r>
      <w:r w:rsidR="00452EC5" w:rsidRPr="00012DA8">
        <w:rPr>
          <w:sz w:val="24"/>
          <w:szCs w:val="24"/>
        </w:rPr>
        <w:t>we</w:t>
      </w:r>
      <w:r w:rsidRPr="00012DA8">
        <w:rPr>
          <w:sz w:val="24"/>
          <w:szCs w:val="24"/>
        </w:rPr>
        <w:t xml:space="preserve"> developed a framework grounded in </w:t>
      </w:r>
      <w:proofErr w:type="spellStart"/>
      <w:r w:rsidRPr="00012DA8">
        <w:rPr>
          <w:sz w:val="24"/>
          <w:szCs w:val="24"/>
        </w:rPr>
        <w:t>Te</w:t>
      </w:r>
      <w:proofErr w:type="spellEnd"/>
      <w:r w:rsidRPr="00012DA8">
        <w:rPr>
          <w:sz w:val="24"/>
          <w:szCs w:val="24"/>
        </w:rPr>
        <w:t xml:space="preserve"> </w:t>
      </w:r>
      <w:proofErr w:type="spellStart"/>
      <w:r w:rsidRPr="00012DA8">
        <w:rPr>
          <w:sz w:val="24"/>
          <w:szCs w:val="24"/>
        </w:rPr>
        <w:t>Tiriti</w:t>
      </w:r>
      <w:proofErr w:type="spellEnd"/>
      <w:r w:rsidRPr="00012DA8">
        <w:rPr>
          <w:sz w:val="24"/>
          <w:szCs w:val="24"/>
        </w:rPr>
        <w:t xml:space="preserve"> and the Declaration</w:t>
      </w:r>
      <w:r w:rsidR="00C53177" w:rsidRPr="00012DA8">
        <w:rPr>
          <w:sz w:val="24"/>
          <w:szCs w:val="24"/>
        </w:rPr>
        <w:t>. A</w:t>
      </w:r>
      <w:r w:rsidR="00841FD5" w:rsidRPr="00012DA8">
        <w:rPr>
          <w:rFonts w:ascii="Calibri" w:eastAsia="Times New Roman" w:hAnsi="Calibri" w:cs="Calibri"/>
          <w:sz w:val="24"/>
          <w:szCs w:val="24"/>
          <w:lang w:eastAsia="en-NZ"/>
        </w:rPr>
        <w:t>s an example of the framework in action, the</w:t>
      </w:r>
      <w:r w:rsidR="001B52A2" w:rsidRPr="00012DA8">
        <w:rPr>
          <w:rFonts w:ascii="Calibri" w:eastAsia="Times New Roman" w:hAnsi="Calibri" w:cs="Calibri"/>
          <w:sz w:val="24"/>
          <w:szCs w:val="24"/>
          <w:lang w:eastAsia="en-NZ"/>
        </w:rPr>
        <w:t xml:space="preserve"> </w:t>
      </w:r>
      <w:r w:rsidR="00841FD5" w:rsidRPr="00012DA8">
        <w:rPr>
          <w:rFonts w:ascii="Calibri" w:eastAsia="Times New Roman" w:hAnsi="Calibri" w:cs="Calibri"/>
          <w:sz w:val="24"/>
          <w:szCs w:val="24"/>
          <w:lang w:eastAsia="en-NZ"/>
        </w:rPr>
        <w:t xml:space="preserve">Commission established </w:t>
      </w:r>
      <w:r w:rsidR="007C14E5">
        <w:rPr>
          <w:rFonts w:ascii="Calibri" w:eastAsia="Times New Roman" w:hAnsi="Calibri" w:cs="Calibri"/>
          <w:sz w:val="24"/>
          <w:szCs w:val="24"/>
          <w:lang w:eastAsia="en-NZ"/>
        </w:rPr>
        <w:t>an</w:t>
      </w:r>
      <w:r w:rsidR="00841FD5" w:rsidRPr="00012DA8">
        <w:rPr>
          <w:rFonts w:ascii="Calibri" w:eastAsia="Times New Roman" w:hAnsi="Calibri" w:cs="Calibri"/>
          <w:sz w:val="24"/>
          <w:szCs w:val="24"/>
          <w:lang w:eastAsia="en-NZ"/>
        </w:rPr>
        <w:t xml:space="preserve"> Advisory Group </w:t>
      </w:r>
      <w:r w:rsidR="007C14E5">
        <w:rPr>
          <w:rFonts w:ascii="Calibri" w:eastAsia="Times New Roman" w:hAnsi="Calibri" w:cs="Calibri"/>
          <w:sz w:val="24"/>
          <w:szCs w:val="24"/>
          <w:lang w:eastAsia="en-NZ"/>
        </w:rPr>
        <w:t>with</w:t>
      </w:r>
      <w:r w:rsidR="00841FD5" w:rsidRPr="00012DA8">
        <w:rPr>
          <w:rFonts w:ascii="Calibri" w:eastAsia="Times New Roman" w:hAnsi="Calibri" w:cs="Calibri"/>
          <w:sz w:val="24"/>
          <w:szCs w:val="24"/>
          <w:lang w:eastAsia="en-NZ"/>
        </w:rPr>
        <w:t xml:space="preserve"> equal </w:t>
      </w:r>
      <w:r w:rsidR="000127FD" w:rsidRPr="00012DA8">
        <w:rPr>
          <w:rFonts w:ascii="Calibri" w:eastAsia="Times New Roman" w:hAnsi="Calibri" w:cs="Calibri"/>
          <w:sz w:val="24"/>
          <w:szCs w:val="24"/>
          <w:lang w:eastAsia="en-NZ"/>
        </w:rPr>
        <w:t>indigenous</w:t>
      </w:r>
      <w:r w:rsidR="00F57318" w:rsidRPr="00012DA8">
        <w:rPr>
          <w:rFonts w:ascii="Calibri" w:eastAsia="Times New Roman" w:hAnsi="Calibri" w:cs="Calibri"/>
          <w:sz w:val="24"/>
          <w:szCs w:val="24"/>
          <w:lang w:eastAsia="en-NZ"/>
        </w:rPr>
        <w:t xml:space="preserve"> and </w:t>
      </w:r>
      <w:r w:rsidR="000127FD" w:rsidRPr="00012DA8">
        <w:rPr>
          <w:rFonts w:ascii="Calibri" w:eastAsia="Times New Roman" w:hAnsi="Calibri" w:cs="Calibri"/>
          <w:sz w:val="24"/>
          <w:szCs w:val="24"/>
          <w:lang w:eastAsia="en-NZ"/>
        </w:rPr>
        <w:t>non-indigenous</w:t>
      </w:r>
      <w:r w:rsidR="00841FD5" w:rsidRPr="00012DA8">
        <w:rPr>
          <w:rFonts w:ascii="Calibri" w:eastAsia="Times New Roman" w:hAnsi="Calibri" w:cs="Calibri"/>
          <w:sz w:val="24"/>
          <w:szCs w:val="24"/>
          <w:lang w:eastAsia="en-NZ"/>
        </w:rPr>
        <w:t> </w:t>
      </w:r>
      <w:r w:rsidR="00F57318" w:rsidRPr="00012DA8">
        <w:rPr>
          <w:rFonts w:ascii="Calibri" w:eastAsia="Times New Roman" w:hAnsi="Calibri" w:cs="Calibri"/>
          <w:sz w:val="24"/>
          <w:szCs w:val="24"/>
          <w:lang w:eastAsia="en-NZ"/>
        </w:rPr>
        <w:t>membership</w:t>
      </w:r>
      <w:r w:rsidR="00841FD5" w:rsidRPr="00012DA8">
        <w:rPr>
          <w:rFonts w:ascii="Calibri" w:eastAsia="Times New Roman" w:hAnsi="Calibri" w:cs="Calibri"/>
          <w:sz w:val="24"/>
          <w:szCs w:val="24"/>
          <w:lang w:eastAsia="en-NZ"/>
        </w:rPr>
        <w:t>, co-chairs and </w:t>
      </w:r>
      <w:proofErr w:type="spellStart"/>
      <w:r w:rsidR="00841FD5" w:rsidRPr="00012DA8">
        <w:rPr>
          <w:rFonts w:ascii="Calibri" w:eastAsia="Times New Roman" w:hAnsi="Calibri" w:cs="Calibri"/>
          <w:sz w:val="24"/>
          <w:szCs w:val="24"/>
          <w:lang w:eastAsia="en-NZ"/>
        </w:rPr>
        <w:t>Tiriti</w:t>
      </w:r>
      <w:proofErr w:type="spellEnd"/>
      <w:r w:rsidR="007C14E5">
        <w:rPr>
          <w:rFonts w:ascii="Calibri" w:eastAsia="Times New Roman" w:hAnsi="Calibri" w:cs="Calibri"/>
          <w:sz w:val="24"/>
          <w:szCs w:val="24"/>
          <w:lang w:eastAsia="en-NZ"/>
        </w:rPr>
        <w:t>-</w:t>
      </w:r>
      <w:r w:rsidR="00841FD5" w:rsidRPr="00012DA8">
        <w:rPr>
          <w:rFonts w:ascii="Calibri" w:eastAsia="Times New Roman" w:hAnsi="Calibri" w:cs="Calibri"/>
          <w:sz w:val="24"/>
          <w:szCs w:val="24"/>
          <w:lang w:eastAsia="en-NZ"/>
        </w:rPr>
        <w:t>based methods of working.  </w:t>
      </w:r>
    </w:p>
    <w:p w14:paraId="591B7DFD" w14:textId="657147BE" w:rsidR="00413863" w:rsidRPr="00012DA8" w:rsidRDefault="00413863" w:rsidP="00413863">
      <w:pPr>
        <w:rPr>
          <w:rFonts w:cstheme="minorHAnsi"/>
          <w:sz w:val="24"/>
          <w:szCs w:val="24"/>
        </w:rPr>
      </w:pPr>
      <w:r w:rsidRPr="00012DA8">
        <w:rPr>
          <w:sz w:val="24"/>
          <w:szCs w:val="24"/>
        </w:rPr>
        <w:t xml:space="preserve">As we progress in our </w:t>
      </w:r>
      <w:proofErr w:type="spellStart"/>
      <w:r w:rsidRPr="00012DA8">
        <w:rPr>
          <w:sz w:val="24"/>
          <w:szCs w:val="24"/>
        </w:rPr>
        <w:t>Tiriti</w:t>
      </w:r>
      <w:proofErr w:type="spellEnd"/>
      <w:r w:rsidRPr="00012DA8">
        <w:rPr>
          <w:sz w:val="24"/>
          <w:szCs w:val="24"/>
        </w:rPr>
        <w:t xml:space="preserve"> journey, </w:t>
      </w:r>
      <w:r w:rsidR="00DF5A53" w:rsidRPr="00012DA8">
        <w:rPr>
          <w:sz w:val="24"/>
          <w:szCs w:val="24"/>
        </w:rPr>
        <w:t>a key</w:t>
      </w:r>
      <w:r w:rsidR="00F3491D" w:rsidRPr="00012DA8">
        <w:rPr>
          <w:sz w:val="24"/>
          <w:szCs w:val="24"/>
        </w:rPr>
        <w:t xml:space="preserve"> </w:t>
      </w:r>
      <w:r w:rsidR="00F6620C" w:rsidRPr="00012DA8">
        <w:rPr>
          <w:sz w:val="24"/>
          <w:szCs w:val="24"/>
        </w:rPr>
        <w:t xml:space="preserve">gap </w:t>
      </w:r>
      <w:r w:rsidR="00DF5A53" w:rsidRPr="00012DA8">
        <w:rPr>
          <w:sz w:val="24"/>
          <w:szCs w:val="24"/>
        </w:rPr>
        <w:t xml:space="preserve">we must address is the ongoing lack of an appointed </w:t>
      </w:r>
      <w:r w:rsidR="00DF5A53" w:rsidRPr="00012DA8">
        <w:rPr>
          <w:rFonts w:cstheme="minorHAnsi"/>
          <w:sz w:val="24"/>
          <w:szCs w:val="24"/>
        </w:rPr>
        <w:t xml:space="preserve">Indigenous Commissioner. </w:t>
      </w:r>
    </w:p>
    <w:p w14:paraId="4BAEBAAB" w14:textId="3891666E" w:rsidR="00190632" w:rsidRPr="00012DA8" w:rsidRDefault="00190632" w:rsidP="00190632">
      <w:pPr>
        <w:pStyle w:val="Normal1"/>
        <w:rPr>
          <w:rFonts w:asciiTheme="minorHAnsi" w:hAnsiTheme="minorHAnsi" w:cstheme="minorHAnsi"/>
          <w:sz w:val="24"/>
          <w:szCs w:val="24"/>
        </w:rPr>
      </w:pPr>
    </w:p>
    <w:p w14:paraId="3D135DBB" w14:textId="6196B5B7" w:rsidR="001870F0" w:rsidRPr="00012DA8" w:rsidRDefault="001870F0" w:rsidP="00190632">
      <w:pPr>
        <w:pStyle w:val="Normal1"/>
        <w:rPr>
          <w:rFonts w:asciiTheme="minorHAnsi" w:hAnsiTheme="minorHAnsi" w:cstheme="minorHAnsi"/>
          <w:sz w:val="24"/>
          <w:szCs w:val="24"/>
        </w:rPr>
      </w:pPr>
      <w:r w:rsidRPr="00012DA8">
        <w:rPr>
          <w:rFonts w:asciiTheme="minorHAnsi" w:hAnsiTheme="minorHAnsi" w:cstheme="minorHAnsi"/>
          <w:sz w:val="24"/>
          <w:szCs w:val="24"/>
        </w:rPr>
        <w:t xml:space="preserve">Thank you Madam/Mr Chair. </w:t>
      </w:r>
      <w:proofErr w:type="spellStart"/>
      <w:r w:rsidRPr="00012DA8">
        <w:rPr>
          <w:rFonts w:asciiTheme="minorHAnsi" w:hAnsiTheme="minorHAnsi" w:cstheme="minorHAnsi"/>
          <w:sz w:val="24"/>
          <w:szCs w:val="24"/>
        </w:rPr>
        <w:t>Tēnā</w:t>
      </w:r>
      <w:proofErr w:type="spellEnd"/>
      <w:r w:rsidRPr="00012D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2DA8">
        <w:rPr>
          <w:rFonts w:asciiTheme="minorHAnsi" w:hAnsiTheme="minorHAnsi" w:cstheme="minorHAnsi"/>
          <w:sz w:val="24"/>
          <w:szCs w:val="24"/>
        </w:rPr>
        <w:t>rā</w:t>
      </w:r>
      <w:proofErr w:type="spellEnd"/>
      <w:r w:rsidRPr="00012D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2DA8">
        <w:rPr>
          <w:rFonts w:asciiTheme="minorHAnsi" w:hAnsiTheme="minorHAnsi" w:cstheme="minorHAnsi"/>
          <w:sz w:val="24"/>
          <w:szCs w:val="24"/>
        </w:rPr>
        <w:t>tātou</w:t>
      </w:r>
      <w:proofErr w:type="spellEnd"/>
      <w:r w:rsidRPr="00012DA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12DA8">
        <w:rPr>
          <w:rFonts w:asciiTheme="minorHAnsi" w:hAnsiTheme="minorHAnsi" w:cstheme="minorHAnsi"/>
          <w:sz w:val="24"/>
          <w:szCs w:val="24"/>
        </w:rPr>
        <w:t>katoa</w:t>
      </w:r>
      <w:proofErr w:type="spellEnd"/>
      <w:r w:rsidRPr="00012DA8">
        <w:rPr>
          <w:rFonts w:asciiTheme="minorHAnsi" w:hAnsiTheme="minorHAnsi" w:cstheme="minorHAnsi"/>
          <w:sz w:val="24"/>
          <w:szCs w:val="24"/>
        </w:rPr>
        <w:t>.</w:t>
      </w:r>
    </w:p>
    <w:p w14:paraId="32A36E79" w14:textId="77777777" w:rsidR="001870F0" w:rsidRPr="00012DA8" w:rsidRDefault="001870F0" w:rsidP="00190632">
      <w:pPr>
        <w:pStyle w:val="Normal1"/>
        <w:rPr>
          <w:rFonts w:asciiTheme="minorHAnsi" w:hAnsiTheme="minorHAnsi" w:cstheme="minorHAnsi"/>
          <w:sz w:val="24"/>
          <w:szCs w:val="24"/>
        </w:rPr>
      </w:pPr>
    </w:p>
    <w:p w14:paraId="5E05C0A9" w14:textId="77777777" w:rsidR="00190632" w:rsidRPr="001870F0" w:rsidRDefault="00190632" w:rsidP="00190632">
      <w:pPr>
        <w:pStyle w:val="Normal1"/>
        <w:rPr>
          <w:rFonts w:asciiTheme="minorHAnsi" w:hAnsiTheme="minorHAnsi" w:cstheme="minorHAnsi"/>
        </w:rPr>
      </w:pPr>
    </w:p>
    <w:p w14:paraId="729F1596" w14:textId="0B603929" w:rsidR="001D4792" w:rsidRDefault="001D4792"/>
    <w:sectPr w:rsidR="001D4792" w:rsidSect="00AB5C67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938C0" w14:textId="77777777" w:rsidR="00EA2FDA" w:rsidRDefault="00EA2FDA" w:rsidP="00EA2FDA">
      <w:pPr>
        <w:spacing w:after="0" w:line="240" w:lineRule="auto"/>
      </w:pPr>
      <w:r>
        <w:separator/>
      </w:r>
    </w:p>
  </w:endnote>
  <w:endnote w:type="continuationSeparator" w:id="0">
    <w:p w14:paraId="05B4F894" w14:textId="77777777" w:rsidR="00EA2FDA" w:rsidRDefault="00EA2FDA" w:rsidP="00EA2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2A862" w14:textId="77777777" w:rsidR="00EA2FDA" w:rsidRDefault="00EA2FDA" w:rsidP="00EA2FDA">
      <w:pPr>
        <w:spacing w:after="0" w:line="240" w:lineRule="auto"/>
      </w:pPr>
      <w:r>
        <w:separator/>
      </w:r>
    </w:p>
  </w:footnote>
  <w:footnote w:type="continuationSeparator" w:id="0">
    <w:p w14:paraId="022E5D14" w14:textId="77777777" w:rsidR="00EA2FDA" w:rsidRDefault="00EA2FDA" w:rsidP="00EA2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7F29C" w14:textId="7A5BE7FD" w:rsidR="00EA2FDA" w:rsidRDefault="00AB5C6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5DE3984" wp14:editId="3E5D04DD">
          <wp:simplePos x="0" y="0"/>
          <wp:positionH relativeFrom="column">
            <wp:posOffset>3752850</wp:posOffset>
          </wp:positionH>
          <wp:positionV relativeFrom="page">
            <wp:posOffset>571500</wp:posOffset>
          </wp:positionV>
          <wp:extent cx="2072640" cy="841375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87C1B"/>
    <w:multiLevelType w:val="hybridMultilevel"/>
    <w:tmpl w:val="F190E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F0EB5"/>
    <w:multiLevelType w:val="multilevel"/>
    <w:tmpl w:val="B94E6A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1F52F4"/>
    <w:multiLevelType w:val="multilevel"/>
    <w:tmpl w:val="1EB432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695768"/>
    <w:multiLevelType w:val="multilevel"/>
    <w:tmpl w:val="E93081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0B149A"/>
    <w:multiLevelType w:val="multilevel"/>
    <w:tmpl w:val="1836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D2A53"/>
    <w:multiLevelType w:val="multilevel"/>
    <w:tmpl w:val="B882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EB687A"/>
    <w:multiLevelType w:val="multilevel"/>
    <w:tmpl w:val="B5364F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93"/>
    <w:rsid w:val="000127FD"/>
    <w:rsid w:val="00012DA8"/>
    <w:rsid w:val="000170C2"/>
    <w:rsid w:val="000240ED"/>
    <w:rsid w:val="000640B4"/>
    <w:rsid w:val="00096229"/>
    <w:rsid w:val="000A32BA"/>
    <w:rsid w:val="000A67A9"/>
    <w:rsid w:val="000B18E2"/>
    <w:rsid w:val="000C48BE"/>
    <w:rsid w:val="000C6E3B"/>
    <w:rsid w:val="000D5904"/>
    <w:rsid w:val="000D7553"/>
    <w:rsid w:val="0012576E"/>
    <w:rsid w:val="00125A20"/>
    <w:rsid w:val="0014132F"/>
    <w:rsid w:val="001560A6"/>
    <w:rsid w:val="0016596D"/>
    <w:rsid w:val="00167AE6"/>
    <w:rsid w:val="001870F0"/>
    <w:rsid w:val="00190632"/>
    <w:rsid w:val="001B52A2"/>
    <w:rsid w:val="001B54C5"/>
    <w:rsid w:val="001C01CE"/>
    <w:rsid w:val="001D4792"/>
    <w:rsid w:val="00201E62"/>
    <w:rsid w:val="00213D62"/>
    <w:rsid w:val="00227EC4"/>
    <w:rsid w:val="00235A98"/>
    <w:rsid w:val="0026196E"/>
    <w:rsid w:val="002C20F3"/>
    <w:rsid w:val="002E6043"/>
    <w:rsid w:val="00381029"/>
    <w:rsid w:val="003F05EB"/>
    <w:rsid w:val="003F211D"/>
    <w:rsid w:val="00412F35"/>
    <w:rsid w:val="00413863"/>
    <w:rsid w:val="00436E1E"/>
    <w:rsid w:val="00442F21"/>
    <w:rsid w:val="00451A59"/>
    <w:rsid w:val="00452EC5"/>
    <w:rsid w:val="00463FD4"/>
    <w:rsid w:val="004650CB"/>
    <w:rsid w:val="004706CA"/>
    <w:rsid w:val="00472035"/>
    <w:rsid w:val="004C1193"/>
    <w:rsid w:val="00502661"/>
    <w:rsid w:val="00511D5F"/>
    <w:rsid w:val="00521374"/>
    <w:rsid w:val="005354F3"/>
    <w:rsid w:val="0059003E"/>
    <w:rsid w:val="00590BAD"/>
    <w:rsid w:val="005B4002"/>
    <w:rsid w:val="005D53C5"/>
    <w:rsid w:val="006179AC"/>
    <w:rsid w:val="00632156"/>
    <w:rsid w:val="00655607"/>
    <w:rsid w:val="00655D23"/>
    <w:rsid w:val="00674E01"/>
    <w:rsid w:val="006A0C33"/>
    <w:rsid w:val="006B2852"/>
    <w:rsid w:val="00757157"/>
    <w:rsid w:val="007C14E5"/>
    <w:rsid w:val="00841FD5"/>
    <w:rsid w:val="008570CA"/>
    <w:rsid w:val="00871DD1"/>
    <w:rsid w:val="008906FD"/>
    <w:rsid w:val="00895F40"/>
    <w:rsid w:val="008B1E4E"/>
    <w:rsid w:val="008B26A2"/>
    <w:rsid w:val="008B4EA4"/>
    <w:rsid w:val="008F3ECB"/>
    <w:rsid w:val="00916AEA"/>
    <w:rsid w:val="009206EB"/>
    <w:rsid w:val="0092714C"/>
    <w:rsid w:val="00931070"/>
    <w:rsid w:val="0094477D"/>
    <w:rsid w:val="0095119E"/>
    <w:rsid w:val="00981B1E"/>
    <w:rsid w:val="00984F3B"/>
    <w:rsid w:val="00986EA9"/>
    <w:rsid w:val="009C32FF"/>
    <w:rsid w:val="009F363D"/>
    <w:rsid w:val="00A552B8"/>
    <w:rsid w:val="00AB5C67"/>
    <w:rsid w:val="00AE44F2"/>
    <w:rsid w:val="00B10243"/>
    <w:rsid w:val="00B11E56"/>
    <w:rsid w:val="00B44DF5"/>
    <w:rsid w:val="00B52EB2"/>
    <w:rsid w:val="00B63E04"/>
    <w:rsid w:val="00B64ECA"/>
    <w:rsid w:val="00B86B41"/>
    <w:rsid w:val="00BD5E7A"/>
    <w:rsid w:val="00BE4C4A"/>
    <w:rsid w:val="00C53177"/>
    <w:rsid w:val="00C7253A"/>
    <w:rsid w:val="00CD5588"/>
    <w:rsid w:val="00CD7133"/>
    <w:rsid w:val="00CF43B3"/>
    <w:rsid w:val="00D1529B"/>
    <w:rsid w:val="00D51E9F"/>
    <w:rsid w:val="00D74D13"/>
    <w:rsid w:val="00D9523B"/>
    <w:rsid w:val="00DC632C"/>
    <w:rsid w:val="00DF1014"/>
    <w:rsid w:val="00DF5701"/>
    <w:rsid w:val="00DF5A53"/>
    <w:rsid w:val="00E00416"/>
    <w:rsid w:val="00E06E93"/>
    <w:rsid w:val="00E10DA5"/>
    <w:rsid w:val="00E2269C"/>
    <w:rsid w:val="00E24939"/>
    <w:rsid w:val="00E372A9"/>
    <w:rsid w:val="00E43EE2"/>
    <w:rsid w:val="00E57289"/>
    <w:rsid w:val="00E61B85"/>
    <w:rsid w:val="00EA2FDA"/>
    <w:rsid w:val="00EC12F3"/>
    <w:rsid w:val="00EC5992"/>
    <w:rsid w:val="00F000A9"/>
    <w:rsid w:val="00F01B01"/>
    <w:rsid w:val="00F3491D"/>
    <w:rsid w:val="00F373F6"/>
    <w:rsid w:val="00F57318"/>
    <w:rsid w:val="00F62FB3"/>
    <w:rsid w:val="00F65030"/>
    <w:rsid w:val="00F6620C"/>
    <w:rsid w:val="00F722B9"/>
    <w:rsid w:val="00F92A93"/>
    <w:rsid w:val="00FA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291B9D"/>
  <w15:chartTrackingRefBased/>
  <w15:docId w15:val="{2B75E2DD-57A7-468E-9CBB-A1E496E8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74D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qFormat/>
    <w:rsid w:val="00E06E93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customStyle="1" w:styleId="paragraph">
    <w:name w:val="paragraph"/>
    <w:basedOn w:val="Normal"/>
    <w:rsid w:val="00E06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E06E93"/>
  </w:style>
  <w:style w:type="character" w:customStyle="1" w:styleId="superscript">
    <w:name w:val="superscript"/>
    <w:basedOn w:val="DefaultParagraphFont"/>
    <w:rsid w:val="00E06E93"/>
  </w:style>
  <w:style w:type="character" w:customStyle="1" w:styleId="eop">
    <w:name w:val="eop"/>
    <w:basedOn w:val="DefaultParagraphFont"/>
    <w:rsid w:val="00E06E93"/>
  </w:style>
  <w:style w:type="paragraph" w:styleId="BalloonText">
    <w:name w:val="Balloon Text"/>
    <w:basedOn w:val="Normal"/>
    <w:link w:val="BalloonTextChar"/>
    <w:uiPriority w:val="99"/>
    <w:semiHidden/>
    <w:unhideWhenUsed/>
    <w:rsid w:val="001D4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9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479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D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1D4792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67A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74D13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customStyle="1" w:styleId="scxw212835471">
    <w:name w:val="scxw212835471"/>
    <w:basedOn w:val="DefaultParagraphFont"/>
    <w:rsid w:val="003F05EB"/>
  </w:style>
  <w:style w:type="paragraph" w:styleId="Header">
    <w:name w:val="header"/>
    <w:basedOn w:val="Normal"/>
    <w:link w:val="HeaderChar"/>
    <w:uiPriority w:val="99"/>
    <w:unhideWhenUsed/>
    <w:rsid w:val="00EA2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FDA"/>
  </w:style>
  <w:style w:type="paragraph" w:styleId="Footer">
    <w:name w:val="footer"/>
    <w:basedOn w:val="Normal"/>
    <w:link w:val="FooterChar"/>
    <w:uiPriority w:val="99"/>
    <w:unhideWhenUsed/>
    <w:rsid w:val="00EA2F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vid19.hrc.co.nz/human_rights_and_te_tiriti_need_to_be_part_of_covid_19_response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thespinoff.co.nz/politics/02-06-2020/covid-19-checkpoints-show-the-way-for-the-role-of-iwi-in-the-recovery/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64A364-4A02-4049-9345-284E77FC5A70}"/>
</file>

<file path=customXml/itemProps2.xml><?xml version="1.0" encoding="utf-8"?>
<ds:datastoreItem xmlns:ds="http://schemas.openxmlformats.org/officeDocument/2006/customXml" ds:itemID="{E08E8860-4CDE-4DA5-A3DF-ADF75587F439}"/>
</file>

<file path=customXml/itemProps3.xml><?xml version="1.0" encoding="utf-8"?>
<ds:datastoreItem xmlns:ds="http://schemas.openxmlformats.org/officeDocument/2006/customXml" ds:itemID="{5C868413-D61F-4C9A-8816-110462175F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Ngatai</dc:creator>
  <cp:keywords/>
  <dc:description/>
  <cp:lastModifiedBy>FOX Catherine</cp:lastModifiedBy>
  <cp:revision>2</cp:revision>
  <dcterms:created xsi:type="dcterms:W3CDTF">2020-11-06T13:14:00Z</dcterms:created>
  <dcterms:modified xsi:type="dcterms:W3CDTF">2020-11-06T13:14:00Z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