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FCED6A" w14:textId="3E145B59" w:rsidR="00C7185F" w:rsidRDefault="00C7185F" w:rsidP="00C7185F">
      <w:pPr>
        <w:jc w:val="center"/>
        <w:outlineLvl w:val="2"/>
        <w:rPr>
          <w:rFonts w:ascii="Cambria" w:eastAsia="Times New Roman" w:hAnsi="Cambria" w:cs="Times New Roman"/>
          <w:b/>
          <w:sz w:val="36"/>
          <w:szCs w:val="36"/>
        </w:rPr>
      </w:pPr>
      <w:r w:rsidRPr="00C7185F">
        <w:rPr>
          <w:rFonts w:ascii="Cambria" w:eastAsia="Times New Roman" w:hAnsi="Cambria" w:cs="Times New Roman"/>
          <w:b/>
          <w:sz w:val="36"/>
          <w:szCs w:val="36"/>
        </w:rPr>
        <w:t xml:space="preserve">Breaking Down Barriers to Accessing HIV Services </w:t>
      </w:r>
    </w:p>
    <w:p w14:paraId="4ED147B2" w14:textId="77777777" w:rsidR="00C7185F" w:rsidRPr="00C7185F" w:rsidRDefault="00C7185F" w:rsidP="00C7185F">
      <w:pPr>
        <w:jc w:val="center"/>
        <w:outlineLvl w:val="2"/>
        <w:rPr>
          <w:rFonts w:ascii="Cambria" w:eastAsia="Times New Roman" w:hAnsi="Cambria" w:cs="Times New Roman"/>
          <w:b/>
          <w:sz w:val="36"/>
          <w:szCs w:val="36"/>
        </w:rPr>
      </w:pPr>
    </w:p>
    <w:p w14:paraId="653E60EA" w14:textId="50CC1AD9" w:rsidR="00C7185F" w:rsidRPr="00691F38" w:rsidRDefault="00C7185F" w:rsidP="00C7185F">
      <w:pPr>
        <w:jc w:val="center"/>
        <w:outlineLvl w:val="2"/>
        <w:rPr>
          <w:rFonts w:ascii="Cambria" w:eastAsia="Times New Roman" w:hAnsi="Cambria" w:cs="Times New Roman"/>
          <w:b/>
          <w:color w:val="000000" w:themeColor="text1"/>
          <w:sz w:val="36"/>
          <w:szCs w:val="36"/>
        </w:rPr>
      </w:pPr>
      <w:r>
        <w:rPr>
          <w:rFonts w:ascii="Cambria" w:eastAsia="Times New Roman" w:hAnsi="Cambria" w:cs="Times New Roman"/>
          <w:b/>
          <w:color w:val="000000" w:themeColor="text1"/>
          <w:sz w:val="36"/>
          <w:szCs w:val="36"/>
        </w:rPr>
        <w:t>Ralf Jurgens</w:t>
      </w:r>
    </w:p>
    <w:p w14:paraId="2518DD35" w14:textId="299AF159" w:rsidR="00C7185F" w:rsidRPr="002420C1" w:rsidRDefault="00C7185F" w:rsidP="00C7185F">
      <w:pPr>
        <w:jc w:val="center"/>
        <w:outlineLvl w:val="2"/>
        <w:rPr>
          <w:rFonts w:ascii="Cambria" w:eastAsia="Times New Roman" w:hAnsi="Cambria" w:cs="Times New Roman"/>
          <w:b/>
          <w:color w:val="000000" w:themeColor="text1"/>
          <w:sz w:val="36"/>
          <w:szCs w:val="36"/>
        </w:rPr>
      </w:pPr>
      <w:r>
        <w:rPr>
          <w:rFonts w:ascii="Cambria" w:eastAsia="Times New Roman" w:hAnsi="Cambria" w:cs="Times New Roman"/>
          <w:b/>
          <w:color w:val="000000" w:themeColor="text1"/>
          <w:sz w:val="36"/>
          <w:szCs w:val="36"/>
        </w:rPr>
        <w:t>Senior Coordinator, Human Rights</w:t>
      </w:r>
    </w:p>
    <w:p w14:paraId="45EAF8D2" w14:textId="77777777" w:rsidR="00C7185F" w:rsidRPr="008415B7" w:rsidRDefault="00C7185F" w:rsidP="00C7185F">
      <w:pPr>
        <w:pStyle w:val="NormalWeb"/>
        <w:spacing w:before="0" w:beforeAutospacing="0" w:after="0" w:afterAutospacing="0"/>
        <w:jc w:val="center"/>
        <w:rPr>
          <w:rFonts w:ascii="Cambria" w:hAnsi="Cambria" w:cs="Calibri"/>
          <w:b/>
          <w:bCs/>
          <w:sz w:val="36"/>
          <w:szCs w:val="36"/>
        </w:rPr>
      </w:pPr>
      <w:r w:rsidRPr="008415B7">
        <w:rPr>
          <w:rFonts w:ascii="Cambria" w:hAnsi="Cambria" w:cs="Calibri"/>
          <w:b/>
          <w:bCs/>
          <w:sz w:val="36"/>
          <w:szCs w:val="36"/>
        </w:rPr>
        <w:t>Global Fund to Fight AIDS, TB and Malaria</w:t>
      </w:r>
    </w:p>
    <w:p w14:paraId="62585D77" w14:textId="77777777" w:rsidR="00C7185F" w:rsidRPr="008415B7" w:rsidRDefault="00C7185F" w:rsidP="00C7185F">
      <w:pPr>
        <w:pStyle w:val="NormalWeb"/>
        <w:spacing w:before="0" w:beforeAutospacing="0" w:after="0" w:afterAutospacing="0"/>
        <w:jc w:val="center"/>
        <w:rPr>
          <w:rFonts w:ascii="Cambria" w:hAnsi="Cambria" w:cs="Calibri"/>
          <w:bCs/>
          <w:sz w:val="36"/>
          <w:szCs w:val="36"/>
        </w:rPr>
      </w:pPr>
    </w:p>
    <w:p w14:paraId="73067B83" w14:textId="77777777" w:rsidR="00C7185F" w:rsidRPr="00691F38" w:rsidRDefault="00C7185F" w:rsidP="00C7185F">
      <w:pPr>
        <w:pStyle w:val="NormalWeb"/>
        <w:spacing w:before="0" w:beforeAutospacing="0" w:after="0" w:afterAutospacing="0"/>
        <w:jc w:val="center"/>
        <w:rPr>
          <w:rFonts w:ascii="Cambria" w:hAnsi="Cambria" w:cs="Calibri"/>
          <w:bCs/>
          <w:color w:val="000000" w:themeColor="text1"/>
          <w:sz w:val="36"/>
          <w:szCs w:val="36"/>
        </w:rPr>
      </w:pPr>
      <w:r w:rsidRPr="00691F38">
        <w:rPr>
          <w:rFonts w:ascii="Cambria" w:hAnsi="Cambria" w:cs="Calibri"/>
          <w:bCs/>
          <w:color w:val="000000" w:themeColor="text1"/>
          <w:sz w:val="36"/>
          <w:szCs w:val="36"/>
        </w:rPr>
        <w:t>at the</w:t>
      </w:r>
    </w:p>
    <w:p w14:paraId="5ABD5643" w14:textId="77777777" w:rsidR="00C7185F" w:rsidRPr="008415B7" w:rsidRDefault="00C7185F" w:rsidP="00C7185F">
      <w:pPr>
        <w:pStyle w:val="NormalWeb"/>
        <w:spacing w:before="0" w:beforeAutospacing="0" w:after="0" w:afterAutospacing="0"/>
        <w:jc w:val="center"/>
        <w:rPr>
          <w:rFonts w:ascii="Cambria" w:hAnsi="Cambria" w:cs="Calibri"/>
          <w:bCs/>
          <w:sz w:val="36"/>
          <w:szCs w:val="36"/>
        </w:rPr>
      </w:pPr>
    </w:p>
    <w:p w14:paraId="2CA323FB" w14:textId="77777777" w:rsidR="00C7185F" w:rsidRPr="008415B7" w:rsidRDefault="00C7185F" w:rsidP="00C7185F">
      <w:pPr>
        <w:pStyle w:val="NormalWeb"/>
        <w:spacing w:before="0" w:beforeAutospacing="0" w:after="0" w:afterAutospacing="0"/>
        <w:jc w:val="center"/>
        <w:rPr>
          <w:rFonts w:ascii="Cambria" w:hAnsi="Cambria" w:cs="Calibri"/>
          <w:b/>
          <w:bCs/>
          <w:sz w:val="36"/>
          <w:szCs w:val="36"/>
        </w:rPr>
      </w:pPr>
      <w:r w:rsidRPr="008415B7">
        <w:rPr>
          <w:rFonts w:ascii="Cambria" w:hAnsi="Cambria" w:cs="Calibri"/>
          <w:b/>
          <w:bCs/>
          <w:sz w:val="36"/>
          <w:szCs w:val="36"/>
        </w:rPr>
        <w:t>Human Rights Council</w:t>
      </w:r>
    </w:p>
    <w:p w14:paraId="09A80D48" w14:textId="77777777" w:rsidR="00C7185F" w:rsidRPr="008415B7" w:rsidRDefault="00C7185F" w:rsidP="00C7185F">
      <w:pPr>
        <w:pStyle w:val="NormalWeb"/>
        <w:spacing w:before="0" w:beforeAutospacing="0" w:after="0" w:afterAutospacing="0"/>
        <w:jc w:val="center"/>
        <w:rPr>
          <w:rFonts w:ascii="Cambria" w:hAnsi="Cambria"/>
          <w:b/>
          <w:sz w:val="36"/>
          <w:szCs w:val="36"/>
        </w:rPr>
      </w:pPr>
      <w:r w:rsidRPr="008415B7">
        <w:rPr>
          <w:rFonts w:ascii="Cambria" w:hAnsi="Cambria" w:cs="Calibri"/>
          <w:b/>
          <w:bCs/>
          <w:sz w:val="36"/>
          <w:szCs w:val="36"/>
        </w:rPr>
        <w:t>Consultation on Human Rights in the HIV response</w:t>
      </w:r>
    </w:p>
    <w:p w14:paraId="0F12465F" w14:textId="77777777" w:rsidR="00C7185F" w:rsidRPr="008415B7" w:rsidRDefault="00C7185F" w:rsidP="00C7185F">
      <w:pPr>
        <w:pStyle w:val="NormalWeb"/>
        <w:spacing w:before="0" w:beforeAutospacing="0" w:after="0" w:afterAutospacing="0"/>
        <w:jc w:val="center"/>
        <w:rPr>
          <w:rFonts w:ascii="Cambria" w:hAnsi="Cambria"/>
          <w:b/>
          <w:sz w:val="36"/>
          <w:szCs w:val="36"/>
        </w:rPr>
      </w:pPr>
      <w:r w:rsidRPr="008415B7">
        <w:rPr>
          <w:rFonts w:ascii="Cambria" w:hAnsi="Cambria" w:cs="Calibri"/>
          <w:b/>
          <w:bCs/>
          <w:sz w:val="36"/>
          <w:szCs w:val="36"/>
        </w:rPr>
        <w:t xml:space="preserve">Promoting human rights in </w:t>
      </w:r>
      <w:r>
        <w:rPr>
          <w:rFonts w:ascii="Cambria" w:hAnsi="Cambria" w:cs="Calibri"/>
          <w:b/>
          <w:bCs/>
          <w:sz w:val="36"/>
          <w:szCs w:val="36"/>
        </w:rPr>
        <w:t xml:space="preserve">the </w:t>
      </w:r>
      <w:r w:rsidRPr="008415B7">
        <w:rPr>
          <w:rFonts w:ascii="Cambria" w:hAnsi="Cambria" w:cs="Calibri"/>
          <w:b/>
          <w:bCs/>
          <w:sz w:val="36"/>
          <w:szCs w:val="36"/>
        </w:rPr>
        <w:t>HIV response:</w:t>
      </w:r>
    </w:p>
    <w:p w14:paraId="4B225B5D" w14:textId="77777777" w:rsidR="00C7185F" w:rsidRPr="008415B7" w:rsidRDefault="00C7185F" w:rsidP="00C7185F">
      <w:pPr>
        <w:pStyle w:val="NormalWeb"/>
        <w:spacing w:before="0" w:beforeAutospacing="0" w:after="0" w:afterAutospacing="0"/>
        <w:jc w:val="center"/>
        <w:rPr>
          <w:rFonts w:ascii="Cambria" w:hAnsi="Cambria"/>
          <w:b/>
          <w:sz w:val="36"/>
          <w:szCs w:val="36"/>
        </w:rPr>
      </w:pPr>
      <w:r w:rsidRPr="008415B7">
        <w:rPr>
          <w:rFonts w:ascii="Cambria" w:hAnsi="Cambria" w:cs="Calibri"/>
          <w:b/>
          <w:bCs/>
          <w:i/>
          <w:iCs/>
          <w:sz w:val="36"/>
          <w:szCs w:val="36"/>
        </w:rPr>
        <w:t>Regional and subregional strategies and best practices</w:t>
      </w:r>
    </w:p>
    <w:p w14:paraId="0017E91D" w14:textId="77777777" w:rsidR="00C7185F" w:rsidRDefault="00C7185F" w:rsidP="00C7185F">
      <w:pPr>
        <w:pStyle w:val="NormalWeb"/>
        <w:spacing w:before="0" w:beforeAutospacing="0" w:after="0" w:afterAutospacing="0"/>
        <w:jc w:val="center"/>
        <w:rPr>
          <w:rFonts w:ascii="Cambria" w:hAnsi="Cambria" w:cs="Calibri"/>
          <w:bCs/>
          <w:sz w:val="32"/>
          <w:szCs w:val="32"/>
        </w:rPr>
      </w:pPr>
    </w:p>
    <w:p w14:paraId="3056A759" w14:textId="77777777" w:rsidR="00C7185F" w:rsidRPr="006A2A7B" w:rsidRDefault="00C7185F" w:rsidP="00C7185F">
      <w:pPr>
        <w:pStyle w:val="NormalWeb"/>
        <w:spacing w:before="0" w:beforeAutospacing="0" w:after="0" w:afterAutospacing="0"/>
        <w:jc w:val="center"/>
        <w:rPr>
          <w:rFonts w:ascii="Cambria" w:hAnsi="Cambria" w:cs="Calibri"/>
          <w:bCs/>
          <w:sz w:val="32"/>
          <w:szCs w:val="32"/>
        </w:rPr>
      </w:pPr>
      <w:r w:rsidRPr="008415B7">
        <w:rPr>
          <w:rFonts w:ascii="Cambria" w:hAnsi="Cambria" w:cs="Calibri"/>
          <w:bCs/>
          <w:sz w:val="32"/>
          <w:szCs w:val="32"/>
        </w:rPr>
        <w:t xml:space="preserve">Room XII, </w:t>
      </w:r>
      <w:r w:rsidRPr="006A2A7B">
        <w:rPr>
          <w:rFonts w:ascii="Cambria" w:hAnsi="Cambria" w:cs="Calibri"/>
          <w:bCs/>
          <w:sz w:val="32"/>
          <w:szCs w:val="32"/>
        </w:rPr>
        <w:t>Palais des Nations</w:t>
      </w:r>
    </w:p>
    <w:p w14:paraId="075EC273" w14:textId="77777777" w:rsidR="00C7185F" w:rsidRDefault="00C7185F" w:rsidP="00C7185F">
      <w:pPr>
        <w:pStyle w:val="NormalWeb"/>
        <w:spacing w:before="0" w:beforeAutospacing="0" w:after="0" w:afterAutospacing="0"/>
        <w:jc w:val="center"/>
        <w:rPr>
          <w:rFonts w:ascii="Cambria" w:hAnsi="Cambria" w:cs="Calibri"/>
          <w:bCs/>
          <w:sz w:val="32"/>
          <w:szCs w:val="32"/>
          <w:lang w:val="fr-FR"/>
        </w:rPr>
      </w:pPr>
      <w:r w:rsidRPr="008415B7">
        <w:rPr>
          <w:rFonts w:ascii="Cambria" w:hAnsi="Cambria" w:cs="Calibri"/>
          <w:bCs/>
          <w:sz w:val="32"/>
          <w:szCs w:val="32"/>
          <w:lang w:val="fr-FR"/>
        </w:rPr>
        <w:t>Geneva, Switzerland</w:t>
      </w:r>
    </w:p>
    <w:p w14:paraId="595670F8" w14:textId="77777777" w:rsidR="00C7185F" w:rsidRDefault="00C7185F" w:rsidP="00C7185F">
      <w:pPr>
        <w:pStyle w:val="NormalWeb"/>
        <w:spacing w:before="0" w:beforeAutospacing="0" w:after="0" w:afterAutospacing="0"/>
        <w:jc w:val="center"/>
        <w:rPr>
          <w:rFonts w:ascii="Cambria" w:hAnsi="Cambria" w:cs="Calibri"/>
          <w:bCs/>
          <w:sz w:val="32"/>
          <w:szCs w:val="32"/>
          <w:lang w:val="fr-FR"/>
        </w:rPr>
      </w:pPr>
    </w:p>
    <w:p w14:paraId="6438C6F6" w14:textId="34018931" w:rsidR="00C7185F" w:rsidRPr="008415B7" w:rsidRDefault="00C7185F" w:rsidP="00C7185F">
      <w:pPr>
        <w:pStyle w:val="NormalWeb"/>
        <w:spacing w:before="0" w:beforeAutospacing="0" w:after="0" w:afterAutospacing="0"/>
        <w:jc w:val="center"/>
        <w:rPr>
          <w:rFonts w:ascii="Cambria" w:hAnsi="Cambria" w:cs="Calibri"/>
          <w:bCs/>
          <w:sz w:val="32"/>
          <w:szCs w:val="32"/>
        </w:rPr>
      </w:pPr>
      <w:r>
        <w:rPr>
          <w:rFonts w:ascii="Cambria" w:hAnsi="Cambria" w:cs="Calibri"/>
          <w:bCs/>
          <w:sz w:val="32"/>
          <w:szCs w:val="32"/>
        </w:rPr>
        <w:t xml:space="preserve">12 </w:t>
      </w:r>
      <w:r w:rsidRPr="008415B7">
        <w:rPr>
          <w:rFonts w:ascii="Cambria" w:hAnsi="Cambria" w:cs="Calibri"/>
          <w:bCs/>
          <w:sz w:val="32"/>
          <w:szCs w:val="32"/>
        </w:rPr>
        <w:t>February 2019</w:t>
      </w:r>
    </w:p>
    <w:p w14:paraId="7135C8A5" w14:textId="77777777" w:rsidR="00C7185F" w:rsidRPr="008415B7" w:rsidRDefault="00C7185F" w:rsidP="00C7185F">
      <w:pPr>
        <w:pStyle w:val="NormalWeb"/>
        <w:spacing w:before="0" w:beforeAutospacing="0" w:after="0" w:afterAutospacing="0"/>
        <w:jc w:val="center"/>
        <w:rPr>
          <w:rFonts w:ascii="Cambria" w:hAnsi="Cambria" w:cs="Calibri"/>
          <w:bCs/>
          <w:sz w:val="32"/>
          <w:szCs w:val="32"/>
          <w:lang w:val="fr-FR"/>
        </w:rPr>
      </w:pPr>
    </w:p>
    <w:p w14:paraId="375F56C1" w14:textId="77777777" w:rsidR="00C7185F" w:rsidRDefault="00C7185F" w:rsidP="00C7185F">
      <w:pPr>
        <w:rPr>
          <w:rFonts w:ascii="Cambria" w:eastAsia="Times New Roman" w:hAnsi="Cambria" w:cs="Calibri"/>
          <w:bCs/>
          <w:lang w:val="fr-FR"/>
        </w:rPr>
      </w:pPr>
      <w:r>
        <w:rPr>
          <w:rFonts w:ascii="Cambria" w:hAnsi="Cambria" w:cs="Calibri"/>
          <w:bCs/>
          <w:lang w:val="fr-FR"/>
        </w:rPr>
        <w:br w:type="page"/>
      </w:r>
    </w:p>
    <w:p w14:paraId="68160483" w14:textId="77777777" w:rsidR="00B21846" w:rsidRPr="00E05C2C" w:rsidRDefault="009D084F" w:rsidP="009477C5">
      <w:pPr>
        <w:spacing w:line="360" w:lineRule="auto"/>
        <w:rPr>
          <w:sz w:val="32"/>
          <w:szCs w:val="32"/>
        </w:rPr>
      </w:pPr>
      <w:r w:rsidRPr="00E05C2C">
        <w:rPr>
          <w:sz w:val="32"/>
          <w:szCs w:val="32"/>
        </w:rPr>
        <w:lastRenderedPageBreak/>
        <w:t xml:space="preserve">Good </w:t>
      </w:r>
      <w:r w:rsidR="002849A8" w:rsidRPr="00E05C2C">
        <w:rPr>
          <w:sz w:val="32"/>
          <w:szCs w:val="32"/>
        </w:rPr>
        <w:t>afternoon</w:t>
      </w:r>
      <w:r w:rsidR="00D06DFC" w:rsidRPr="00E05C2C">
        <w:rPr>
          <w:sz w:val="32"/>
          <w:szCs w:val="32"/>
        </w:rPr>
        <w:t>,</w:t>
      </w:r>
    </w:p>
    <w:p w14:paraId="2FB7F427" w14:textId="77777777" w:rsidR="00D06DFC" w:rsidRPr="00E05C2C" w:rsidRDefault="00D06DFC" w:rsidP="009477C5">
      <w:pPr>
        <w:spacing w:line="360" w:lineRule="auto"/>
        <w:rPr>
          <w:sz w:val="32"/>
          <w:szCs w:val="32"/>
        </w:rPr>
      </w:pPr>
    </w:p>
    <w:p w14:paraId="3F1E387C" w14:textId="318F6C4A" w:rsidR="002849A8" w:rsidRPr="00E05C2C" w:rsidRDefault="00043322" w:rsidP="009477C5">
      <w:pPr>
        <w:spacing w:line="360" w:lineRule="auto"/>
        <w:rPr>
          <w:sz w:val="32"/>
          <w:szCs w:val="32"/>
        </w:rPr>
      </w:pPr>
      <w:r w:rsidRPr="00E05C2C">
        <w:rPr>
          <w:sz w:val="32"/>
          <w:szCs w:val="32"/>
        </w:rPr>
        <w:t xml:space="preserve">Let me start by thanking </w:t>
      </w:r>
      <w:r w:rsidR="00C7185F" w:rsidRPr="00E05C2C">
        <w:rPr>
          <w:sz w:val="32"/>
          <w:szCs w:val="32"/>
        </w:rPr>
        <w:t>OHCHR and UNAIDS for co-organizing this important consultation, and all of you for taking time to take part in this important event.</w:t>
      </w:r>
    </w:p>
    <w:p w14:paraId="0569CF5B" w14:textId="77777777" w:rsidR="002849A8" w:rsidRPr="00E05C2C" w:rsidRDefault="002849A8" w:rsidP="009477C5">
      <w:pPr>
        <w:spacing w:line="360" w:lineRule="auto"/>
        <w:rPr>
          <w:sz w:val="32"/>
          <w:szCs w:val="32"/>
        </w:rPr>
      </w:pPr>
    </w:p>
    <w:p w14:paraId="47449586" w14:textId="346F6009" w:rsidR="008C1D7D" w:rsidRPr="00E05C2C" w:rsidRDefault="008C1D7D" w:rsidP="00997139">
      <w:pPr>
        <w:spacing w:after="120" w:line="360" w:lineRule="auto"/>
        <w:rPr>
          <w:sz w:val="32"/>
          <w:szCs w:val="32"/>
        </w:rPr>
      </w:pPr>
      <w:r w:rsidRPr="00E05C2C">
        <w:rPr>
          <w:sz w:val="32"/>
          <w:szCs w:val="32"/>
        </w:rPr>
        <w:t>Why do we focus on human rights at the Global Fund?  Quite simply, as a funder of health programs, we are acutely aware that until human rights</w:t>
      </w:r>
      <w:r w:rsidR="00FD55C9" w:rsidRPr="00E05C2C">
        <w:rPr>
          <w:sz w:val="32"/>
          <w:szCs w:val="32"/>
        </w:rPr>
        <w:t xml:space="preserve"> (and gender)-</w:t>
      </w:r>
      <w:r w:rsidR="00E45B4F" w:rsidRPr="00E05C2C">
        <w:rPr>
          <w:sz w:val="32"/>
          <w:szCs w:val="32"/>
        </w:rPr>
        <w:t>related</w:t>
      </w:r>
      <w:r w:rsidRPr="00E05C2C">
        <w:rPr>
          <w:sz w:val="32"/>
          <w:szCs w:val="32"/>
        </w:rPr>
        <w:t xml:space="preserve"> barriers to access are overcome, many of the communities we serve will remain unable to realize their right to health.  This work is therefore not a nice to do but rather a must do. And </w:t>
      </w:r>
      <w:r w:rsidR="0027201B" w:rsidRPr="00E05C2C">
        <w:rPr>
          <w:sz w:val="32"/>
          <w:szCs w:val="32"/>
        </w:rPr>
        <w:t>while doing this work, at each step of the way, we</w:t>
      </w:r>
      <w:r w:rsidR="00E45B4F" w:rsidRPr="00E05C2C">
        <w:rPr>
          <w:sz w:val="32"/>
          <w:szCs w:val="32"/>
        </w:rPr>
        <w:t xml:space="preserve"> are guided by the vision of ensuring a better and safer experience for communities on the ground – including those who are often the most marginalized, criminalized or left behind in current responses.</w:t>
      </w:r>
      <w:r w:rsidR="0093502F" w:rsidRPr="00E05C2C">
        <w:rPr>
          <w:sz w:val="32"/>
          <w:szCs w:val="32"/>
        </w:rPr>
        <w:t xml:space="preserve"> </w:t>
      </w:r>
      <w:r w:rsidR="00FD55C9" w:rsidRPr="00E05C2C">
        <w:rPr>
          <w:sz w:val="32"/>
          <w:szCs w:val="32"/>
        </w:rPr>
        <w:t>Throughout the process, w</w:t>
      </w:r>
      <w:r w:rsidR="0093502F" w:rsidRPr="00E05C2C">
        <w:rPr>
          <w:sz w:val="32"/>
          <w:szCs w:val="32"/>
        </w:rPr>
        <w:t>orking alongside these communities, as well as broader stakeholders</w:t>
      </w:r>
      <w:r w:rsidR="008B414C" w:rsidRPr="00E05C2C">
        <w:rPr>
          <w:sz w:val="32"/>
          <w:szCs w:val="32"/>
        </w:rPr>
        <w:t>,</w:t>
      </w:r>
      <w:r w:rsidR="0093502F" w:rsidRPr="00E05C2C">
        <w:rPr>
          <w:sz w:val="32"/>
          <w:szCs w:val="32"/>
        </w:rPr>
        <w:t xml:space="preserve"> is central to our approach.</w:t>
      </w:r>
    </w:p>
    <w:p w14:paraId="2D2909C0" w14:textId="77777777" w:rsidR="008C1D7D" w:rsidRPr="00E05C2C" w:rsidRDefault="008C1D7D" w:rsidP="00997139">
      <w:pPr>
        <w:spacing w:after="120" w:line="360" w:lineRule="auto"/>
        <w:rPr>
          <w:sz w:val="32"/>
          <w:szCs w:val="32"/>
        </w:rPr>
      </w:pPr>
    </w:p>
    <w:p w14:paraId="1A67DCF3" w14:textId="2615AAF4" w:rsidR="009E2EE0" w:rsidRPr="00E05C2C" w:rsidRDefault="00C7185F" w:rsidP="00997139">
      <w:pPr>
        <w:spacing w:after="120" w:line="360" w:lineRule="auto"/>
        <w:rPr>
          <w:sz w:val="32"/>
          <w:szCs w:val="32"/>
        </w:rPr>
      </w:pPr>
      <w:r w:rsidRPr="00E05C2C">
        <w:rPr>
          <w:sz w:val="32"/>
          <w:szCs w:val="32"/>
        </w:rPr>
        <w:t xml:space="preserve">I </w:t>
      </w:r>
      <w:r w:rsidR="00096A8F" w:rsidRPr="00E05C2C">
        <w:rPr>
          <w:sz w:val="32"/>
          <w:szCs w:val="32"/>
        </w:rPr>
        <w:t>only have 7</w:t>
      </w:r>
      <w:r w:rsidR="009E2EE0" w:rsidRPr="00E05C2C">
        <w:rPr>
          <w:sz w:val="32"/>
          <w:szCs w:val="32"/>
        </w:rPr>
        <w:t xml:space="preserve"> minutes a</w:t>
      </w:r>
      <w:r w:rsidR="00096A8F" w:rsidRPr="00E05C2C">
        <w:rPr>
          <w:sz w:val="32"/>
          <w:szCs w:val="32"/>
        </w:rPr>
        <w:t>nd this will not allow me</w:t>
      </w:r>
      <w:r w:rsidR="00B40530" w:rsidRPr="00E05C2C">
        <w:rPr>
          <w:sz w:val="32"/>
          <w:szCs w:val="32"/>
        </w:rPr>
        <w:t xml:space="preserve"> </w:t>
      </w:r>
      <w:r w:rsidR="00FE4586" w:rsidRPr="00E05C2C">
        <w:rPr>
          <w:sz w:val="32"/>
          <w:szCs w:val="32"/>
        </w:rPr>
        <w:t xml:space="preserve">to provide </w:t>
      </w:r>
      <w:r w:rsidR="009E2EE0" w:rsidRPr="00E05C2C">
        <w:rPr>
          <w:sz w:val="32"/>
          <w:szCs w:val="32"/>
        </w:rPr>
        <w:t xml:space="preserve">a </w:t>
      </w:r>
      <w:r w:rsidR="00FE4586" w:rsidRPr="00E05C2C">
        <w:rPr>
          <w:sz w:val="32"/>
          <w:szCs w:val="32"/>
        </w:rPr>
        <w:t xml:space="preserve">detailed </w:t>
      </w:r>
      <w:r w:rsidR="009E2EE0" w:rsidRPr="00E05C2C">
        <w:rPr>
          <w:sz w:val="32"/>
          <w:szCs w:val="32"/>
        </w:rPr>
        <w:t xml:space="preserve">overview of the work that we are undertaking. </w:t>
      </w:r>
      <w:r w:rsidR="00FE4586" w:rsidRPr="00E05C2C">
        <w:rPr>
          <w:sz w:val="32"/>
          <w:szCs w:val="32"/>
        </w:rPr>
        <w:t xml:space="preserve">Instead, </w:t>
      </w:r>
      <w:r w:rsidR="00096A8F" w:rsidRPr="00E05C2C">
        <w:rPr>
          <w:sz w:val="32"/>
          <w:szCs w:val="32"/>
        </w:rPr>
        <w:t xml:space="preserve">I </w:t>
      </w:r>
      <w:r w:rsidR="009E2EE0" w:rsidRPr="00E05C2C">
        <w:rPr>
          <w:sz w:val="32"/>
          <w:szCs w:val="32"/>
        </w:rPr>
        <w:t xml:space="preserve">will focus on a few key innovations and </w:t>
      </w:r>
      <w:r w:rsidR="00FE4586" w:rsidRPr="00E05C2C">
        <w:rPr>
          <w:sz w:val="32"/>
          <w:szCs w:val="32"/>
        </w:rPr>
        <w:t xml:space="preserve">some </w:t>
      </w:r>
      <w:r w:rsidR="009E2EE0" w:rsidRPr="00E05C2C">
        <w:rPr>
          <w:sz w:val="32"/>
          <w:szCs w:val="32"/>
        </w:rPr>
        <w:t>initial results, and on a few of the outstanding challenges th</w:t>
      </w:r>
      <w:r w:rsidR="009B11DA" w:rsidRPr="00E05C2C">
        <w:rPr>
          <w:sz w:val="32"/>
          <w:szCs w:val="32"/>
        </w:rPr>
        <w:t>at we hop</w:t>
      </w:r>
      <w:r w:rsidR="00770843" w:rsidRPr="00E05C2C">
        <w:rPr>
          <w:sz w:val="32"/>
          <w:szCs w:val="32"/>
        </w:rPr>
        <w:t>e</w:t>
      </w:r>
      <w:r w:rsidR="009B11DA" w:rsidRPr="00E05C2C">
        <w:rPr>
          <w:sz w:val="32"/>
          <w:szCs w:val="32"/>
        </w:rPr>
        <w:t xml:space="preserve"> to </w:t>
      </w:r>
      <w:r w:rsidR="00FE4586" w:rsidRPr="00E05C2C">
        <w:rPr>
          <w:sz w:val="32"/>
          <w:szCs w:val="32"/>
        </w:rPr>
        <w:t xml:space="preserve">overcome </w:t>
      </w:r>
      <w:r w:rsidR="009B11DA" w:rsidRPr="00E05C2C">
        <w:rPr>
          <w:sz w:val="32"/>
          <w:szCs w:val="32"/>
        </w:rPr>
        <w:t xml:space="preserve">in </w:t>
      </w:r>
      <w:r w:rsidR="00FE4586" w:rsidRPr="00E05C2C">
        <w:rPr>
          <w:sz w:val="32"/>
          <w:szCs w:val="32"/>
        </w:rPr>
        <w:t>2019</w:t>
      </w:r>
      <w:r w:rsidR="009E2EE0" w:rsidRPr="00E05C2C">
        <w:rPr>
          <w:sz w:val="32"/>
          <w:szCs w:val="32"/>
        </w:rPr>
        <w:t>.</w:t>
      </w:r>
    </w:p>
    <w:p w14:paraId="1D9413B9" w14:textId="77777777" w:rsidR="009E2EE0" w:rsidRPr="00E05C2C" w:rsidRDefault="009E2EE0" w:rsidP="00997139">
      <w:pPr>
        <w:spacing w:after="120" w:line="360" w:lineRule="auto"/>
        <w:rPr>
          <w:sz w:val="32"/>
          <w:szCs w:val="32"/>
        </w:rPr>
      </w:pPr>
    </w:p>
    <w:p w14:paraId="54C55195" w14:textId="759A1DC3" w:rsidR="008B05B4" w:rsidRPr="00E05C2C" w:rsidRDefault="00B40530" w:rsidP="00997139">
      <w:pPr>
        <w:spacing w:after="120" w:line="360" w:lineRule="auto"/>
        <w:rPr>
          <w:sz w:val="32"/>
          <w:szCs w:val="32"/>
        </w:rPr>
      </w:pPr>
      <w:r w:rsidRPr="00E05C2C">
        <w:rPr>
          <w:sz w:val="32"/>
          <w:szCs w:val="32"/>
        </w:rPr>
        <w:lastRenderedPageBreak/>
        <w:t xml:space="preserve">When </w:t>
      </w:r>
      <w:r w:rsidR="000F76B5" w:rsidRPr="00E05C2C">
        <w:rPr>
          <w:sz w:val="32"/>
          <w:szCs w:val="32"/>
        </w:rPr>
        <w:t xml:space="preserve">I </w:t>
      </w:r>
      <w:r w:rsidR="009E2EE0" w:rsidRPr="00E05C2C">
        <w:rPr>
          <w:sz w:val="32"/>
          <w:szCs w:val="32"/>
        </w:rPr>
        <w:t xml:space="preserve">joined the Global Fund three years ago, a lot of great work had </w:t>
      </w:r>
      <w:r w:rsidR="00770843" w:rsidRPr="00E05C2C">
        <w:rPr>
          <w:sz w:val="32"/>
          <w:szCs w:val="32"/>
        </w:rPr>
        <w:t xml:space="preserve">already </w:t>
      </w:r>
      <w:r w:rsidR="009E2EE0" w:rsidRPr="00E05C2C">
        <w:rPr>
          <w:sz w:val="32"/>
          <w:szCs w:val="32"/>
        </w:rPr>
        <w:t xml:space="preserve">been done </w:t>
      </w:r>
      <w:r w:rsidR="008B05B4" w:rsidRPr="00E05C2C">
        <w:rPr>
          <w:sz w:val="32"/>
          <w:szCs w:val="32"/>
        </w:rPr>
        <w:t xml:space="preserve">to integrate human rights considerations into the grant cycle and to ensure that the Global Fund does not fund programs that infringe human rights. </w:t>
      </w:r>
    </w:p>
    <w:p w14:paraId="30D7B5DE" w14:textId="77777777" w:rsidR="008B05B4" w:rsidRPr="00E05C2C" w:rsidRDefault="008B05B4" w:rsidP="00997139">
      <w:pPr>
        <w:spacing w:after="120" w:line="360" w:lineRule="auto"/>
        <w:rPr>
          <w:sz w:val="32"/>
          <w:szCs w:val="32"/>
        </w:rPr>
      </w:pPr>
    </w:p>
    <w:p w14:paraId="5E68DF56" w14:textId="3474B1DC" w:rsidR="00BA720B" w:rsidRPr="00E05C2C" w:rsidRDefault="008C1D7D" w:rsidP="00997139">
      <w:pPr>
        <w:spacing w:after="120" w:line="360" w:lineRule="auto"/>
        <w:rPr>
          <w:sz w:val="32"/>
          <w:szCs w:val="32"/>
        </w:rPr>
      </w:pPr>
      <w:r w:rsidRPr="00E05C2C">
        <w:rPr>
          <w:sz w:val="32"/>
          <w:szCs w:val="32"/>
        </w:rPr>
        <w:t xml:space="preserve">Until that point, what </w:t>
      </w:r>
      <w:r w:rsidR="008B05B4" w:rsidRPr="00E05C2C">
        <w:rPr>
          <w:sz w:val="32"/>
          <w:szCs w:val="32"/>
        </w:rPr>
        <w:t>we had b</w:t>
      </w:r>
      <w:r w:rsidR="00FE4586" w:rsidRPr="00E05C2C">
        <w:rPr>
          <w:sz w:val="32"/>
          <w:szCs w:val="32"/>
        </w:rPr>
        <w:t xml:space="preserve">een less successful in doing was </w:t>
      </w:r>
      <w:r w:rsidR="008B05B4" w:rsidRPr="00E05C2C">
        <w:rPr>
          <w:sz w:val="32"/>
          <w:szCs w:val="32"/>
        </w:rPr>
        <w:t xml:space="preserve">to increase investment in programs to reduce human rights-related barriers to services. Only 0.7% of Global Fund investments in HIV were going to these programs. </w:t>
      </w:r>
      <w:r w:rsidR="00BA720B" w:rsidRPr="00E05C2C">
        <w:rPr>
          <w:sz w:val="32"/>
          <w:szCs w:val="32"/>
        </w:rPr>
        <w:t xml:space="preserve">I still remember the question of then Board chair Norbert Hauser, who asked: How is this possible? Why do we invest so little to remove human rights-related barriers to services? </w:t>
      </w:r>
    </w:p>
    <w:p w14:paraId="784CD056" w14:textId="77777777" w:rsidR="00BA720B" w:rsidRPr="00E05C2C" w:rsidRDefault="00BA720B" w:rsidP="00997139">
      <w:pPr>
        <w:spacing w:after="120" w:line="360" w:lineRule="auto"/>
        <w:rPr>
          <w:sz w:val="32"/>
          <w:szCs w:val="32"/>
        </w:rPr>
      </w:pPr>
    </w:p>
    <w:p w14:paraId="336976C1" w14:textId="7BD80DAD" w:rsidR="00770843" w:rsidRPr="00E05C2C" w:rsidRDefault="00BA720B" w:rsidP="000F76B5">
      <w:pPr>
        <w:spacing w:after="120" w:line="360" w:lineRule="auto"/>
        <w:rPr>
          <w:sz w:val="32"/>
          <w:szCs w:val="32"/>
        </w:rPr>
      </w:pPr>
      <w:r w:rsidRPr="00E05C2C">
        <w:rPr>
          <w:sz w:val="32"/>
          <w:szCs w:val="32"/>
        </w:rPr>
        <w:t xml:space="preserve">Since then, we have </w:t>
      </w:r>
      <w:r w:rsidR="00220A40" w:rsidRPr="00E05C2C">
        <w:rPr>
          <w:sz w:val="32"/>
          <w:szCs w:val="32"/>
        </w:rPr>
        <w:t>done a lot to change this</w:t>
      </w:r>
      <w:r w:rsidR="00F02D28" w:rsidRPr="00E05C2C">
        <w:rPr>
          <w:sz w:val="32"/>
          <w:szCs w:val="32"/>
        </w:rPr>
        <w:t>. Many of these things</w:t>
      </w:r>
      <w:r w:rsidR="009477C5" w:rsidRPr="00E05C2C">
        <w:rPr>
          <w:sz w:val="32"/>
          <w:szCs w:val="32"/>
        </w:rPr>
        <w:t xml:space="preserve"> </w:t>
      </w:r>
      <w:r w:rsidR="008D69C0" w:rsidRPr="00E05C2C">
        <w:rPr>
          <w:sz w:val="32"/>
          <w:szCs w:val="32"/>
        </w:rPr>
        <w:t>are breaking new territory</w:t>
      </w:r>
      <w:r w:rsidR="00F02D28" w:rsidRPr="00E05C2C">
        <w:rPr>
          <w:sz w:val="32"/>
          <w:szCs w:val="32"/>
        </w:rPr>
        <w:t>.</w:t>
      </w:r>
      <w:r w:rsidR="00220A40" w:rsidRPr="00E05C2C">
        <w:rPr>
          <w:sz w:val="32"/>
          <w:szCs w:val="32"/>
        </w:rPr>
        <w:t xml:space="preserve"> </w:t>
      </w:r>
    </w:p>
    <w:p w14:paraId="2A918E00" w14:textId="77777777" w:rsidR="000F76B5" w:rsidRPr="00E05C2C" w:rsidRDefault="000F76B5" w:rsidP="00770843">
      <w:pPr>
        <w:spacing w:line="360" w:lineRule="auto"/>
        <w:rPr>
          <w:sz w:val="32"/>
          <w:szCs w:val="32"/>
        </w:rPr>
      </w:pPr>
    </w:p>
    <w:p w14:paraId="4A028BCE" w14:textId="77777777" w:rsidR="009B11DA" w:rsidRPr="00E05C2C" w:rsidRDefault="009B11DA" w:rsidP="00770843">
      <w:pPr>
        <w:spacing w:line="360" w:lineRule="auto"/>
        <w:rPr>
          <w:sz w:val="32"/>
          <w:szCs w:val="32"/>
        </w:rPr>
      </w:pPr>
      <w:r w:rsidRPr="00E05C2C">
        <w:rPr>
          <w:sz w:val="32"/>
          <w:szCs w:val="32"/>
        </w:rPr>
        <w:t xml:space="preserve">For the first time in the history of the response to </w:t>
      </w:r>
      <w:r w:rsidR="00F02D28" w:rsidRPr="00E05C2C">
        <w:rPr>
          <w:sz w:val="32"/>
          <w:szCs w:val="32"/>
        </w:rPr>
        <w:t>the diseases</w:t>
      </w:r>
      <w:r w:rsidRPr="00E05C2C">
        <w:rPr>
          <w:sz w:val="32"/>
          <w:szCs w:val="32"/>
        </w:rPr>
        <w:t xml:space="preserve">, </w:t>
      </w:r>
      <w:r w:rsidR="00F02D28" w:rsidRPr="00E05C2C">
        <w:rPr>
          <w:sz w:val="32"/>
          <w:szCs w:val="32"/>
        </w:rPr>
        <w:t xml:space="preserve">we are </w:t>
      </w:r>
      <w:r w:rsidRPr="00E05C2C">
        <w:rPr>
          <w:sz w:val="32"/>
          <w:szCs w:val="32"/>
        </w:rPr>
        <w:t>attempt</w:t>
      </w:r>
      <w:r w:rsidR="00545B81" w:rsidRPr="00E05C2C">
        <w:rPr>
          <w:sz w:val="32"/>
          <w:szCs w:val="32"/>
        </w:rPr>
        <w:t>ing</w:t>
      </w:r>
      <w:r w:rsidRPr="00E05C2C">
        <w:rPr>
          <w:sz w:val="32"/>
          <w:szCs w:val="32"/>
        </w:rPr>
        <w:t xml:space="preserve"> to </w:t>
      </w:r>
      <w:r w:rsidRPr="00E05C2C">
        <w:rPr>
          <w:b/>
          <w:sz w:val="32"/>
          <w:szCs w:val="32"/>
        </w:rPr>
        <w:t>move from ad hoc, small scale investments in programs to reduce human rights-related barriers to services to comprehensive programming</w:t>
      </w:r>
      <w:r w:rsidRPr="00E05C2C">
        <w:rPr>
          <w:sz w:val="32"/>
          <w:szCs w:val="32"/>
        </w:rPr>
        <w:t>.</w:t>
      </w:r>
    </w:p>
    <w:p w14:paraId="2BDCBF86" w14:textId="77777777" w:rsidR="008B414C" w:rsidRPr="00E05C2C" w:rsidRDefault="008B414C" w:rsidP="008B414C">
      <w:pPr>
        <w:spacing w:line="360" w:lineRule="auto"/>
        <w:rPr>
          <w:sz w:val="32"/>
          <w:szCs w:val="32"/>
          <w:highlight w:val="green"/>
        </w:rPr>
      </w:pPr>
    </w:p>
    <w:p w14:paraId="248D9902" w14:textId="77777777" w:rsidR="00CE67F5" w:rsidRPr="00E05C2C" w:rsidRDefault="00F02D28" w:rsidP="00CE67F5">
      <w:pPr>
        <w:pStyle w:val="FootnoteText"/>
        <w:rPr>
          <w:rFonts w:ascii="Georgia" w:hAnsi="Georgia"/>
          <w:sz w:val="32"/>
          <w:szCs w:val="32"/>
        </w:rPr>
      </w:pPr>
      <w:r w:rsidRPr="00E05C2C">
        <w:rPr>
          <w:rFonts w:ascii="Georgia" w:hAnsi="Georgia"/>
          <w:sz w:val="32"/>
          <w:szCs w:val="32"/>
        </w:rPr>
        <w:t xml:space="preserve">The centerpiece of this effort is the </w:t>
      </w:r>
      <w:r w:rsidR="001F292B" w:rsidRPr="00E05C2C">
        <w:rPr>
          <w:rFonts w:ascii="Georgia" w:hAnsi="Georgia" w:cs="Arial"/>
          <w:sz w:val="32"/>
          <w:szCs w:val="32"/>
        </w:rPr>
        <w:t xml:space="preserve">intensive support, including financial incentives, </w:t>
      </w:r>
      <w:r w:rsidRPr="00E05C2C">
        <w:rPr>
          <w:rFonts w:ascii="Georgia" w:hAnsi="Georgia" w:cs="Arial"/>
          <w:sz w:val="32"/>
          <w:szCs w:val="32"/>
        </w:rPr>
        <w:t xml:space="preserve">that we are providing </w:t>
      </w:r>
      <w:r w:rsidR="001F292B" w:rsidRPr="00E05C2C">
        <w:rPr>
          <w:rFonts w:ascii="Georgia" w:hAnsi="Georgia" w:cs="Arial"/>
          <w:sz w:val="32"/>
          <w:szCs w:val="32"/>
        </w:rPr>
        <w:t>to 20 countries</w:t>
      </w:r>
      <w:r w:rsidR="0063606D" w:rsidRPr="00E05C2C">
        <w:rPr>
          <w:rFonts w:ascii="Georgia" w:hAnsi="Georgia" w:cs="Arial"/>
          <w:sz w:val="32"/>
          <w:szCs w:val="32"/>
        </w:rPr>
        <w:t xml:space="preserve"> in all </w:t>
      </w:r>
      <w:r w:rsidR="0063606D" w:rsidRPr="00E05C2C">
        <w:rPr>
          <w:rFonts w:ascii="Georgia" w:hAnsi="Georgia" w:cs="Arial"/>
          <w:sz w:val="32"/>
          <w:szCs w:val="32"/>
        </w:rPr>
        <w:lastRenderedPageBreak/>
        <w:t>regions of the world</w:t>
      </w:r>
      <w:r w:rsidRPr="00E05C2C">
        <w:rPr>
          <w:rFonts w:ascii="Georgia" w:hAnsi="Georgia" w:cs="Arial"/>
          <w:sz w:val="32"/>
          <w:szCs w:val="32"/>
        </w:rPr>
        <w:t xml:space="preserve">, which </w:t>
      </w:r>
      <w:r w:rsidR="001F292B" w:rsidRPr="00E05C2C">
        <w:rPr>
          <w:rFonts w:ascii="Georgia" w:hAnsi="Georgia" w:cs="Arial"/>
          <w:sz w:val="32"/>
          <w:szCs w:val="32"/>
        </w:rPr>
        <w:t xml:space="preserve">were selected through an extensive consultation process. </w:t>
      </w:r>
      <w:r w:rsidR="00CE67F5" w:rsidRPr="00E05C2C">
        <w:rPr>
          <w:rFonts w:ascii="Georgia" w:hAnsi="Georgia" w:cs="Arial"/>
          <w:sz w:val="32"/>
          <w:szCs w:val="32"/>
        </w:rPr>
        <w:t xml:space="preserve">These countries are: </w:t>
      </w:r>
      <w:r w:rsidR="00CE67F5" w:rsidRPr="00E05C2C">
        <w:rPr>
          <w:rFonts w:ascii="Georgia" w:hAnsi="Georgia"/>
          <w:sz w:val="32"/>
          <w:szCs w:val="32"/>
        </w:rPr>
        <w:t>Benin, Botswana, Cameroon, Democratic Republic of Congo (province-level), Cote d’Ivoire, Ghana, Honduras, Indonesia (selected cities), Jamaica, Kenya, Kyrgyzstan, Nepal, Mozambique, Philippines, Senegal, Sierra Leone, South Africa, Tunisia, Uganda and Ukraine.</w:t>
      </w:r>
    </w:p>
    <w:p w14:paraId="2983932F" w14:textId="3E56D747" w:rsidR="001F292B" w:rsidRPr="00E05C2C" w:rsidRDefault="001F292B" w:rsidP="00997139">
      <w:pPr>
        <w:spacing w:line="360" w:lineRule="auto"/>
        <w:rPr>
          <w:rFonts w:cs="Arial"/>
          <w:sz w:val="32"/>
          <w:szCs w:val="32"/>
        </w:rPr>
      </w:pPr>
    </w:p>
    <w:p w14:paraId="37B24159" w14:textId="77777777" w:rsidR="001F292B" w:rsidRPr="00E05C2C" w:rsidRDefault="001F292B" w:rsidP="00997139">
      <w:pPr>
        <w:spacing w:line="360" w:lineRule="auto"/>
        <w:rPr>
          <w:rFonts w:cs="Arial"/>
          <w:sz w:val="32"/>
          <w:szCs w:val="32"/>
        </w:rPr>
      </w:pPr>
    </w:p>
    <w:p w14:paraId="2BAB9705" w14:textId="26C197FD" w:rsidR="001F292B" w:rsidRPr="00E05C2C" w:rsidRDefault="0063606D" w:rsidP="00997139">
      <w:pPr>
        <w:spacing w:line="360" w:lineRule="auto"/>
        <w:rPr>
          <w:rFonts w:cs="Arial"/>
          <w:sz w:val="32"/>
          <w:szCs w:val="32"/>
        </w:rPr>
      </w:pPr>
      <w:r w:rsidRPr="00E05C2C">
        <w:rPr>
          <w:rFonts w:cs="Arial"/>
          <w:sz w:val="32"/>
          <w:szCs w:val="32"/>
        </w:rPr>
        <w:t>T</w:t>
      </w:r>
      <w:r w:rsidR="00545B81" w:rsidRPr="00E05C2C">
        <w:rPr>
          <w:rFonts w:cs="Arial"/>
          <w:sz w:val="32"/>
          <w:szCs w:val="32"/>
        </w:rPr>
        <w:t xml:space="preserve">he </w:t>
      </w:r>
      <w:r w:rsidR="001F292B" w:rsidRPr="00E05C2C">
        <w:rPr>
          <w:rFonts w:cs="Arial"/>
          <w:sz w:val="32"/>
          <w:szCs w:val="32"/>
        </w:rPr>
        <w:t xml:space="preserve">intensive support process entails: </w:t>
      </w:r>
    </w:p>
    <w:p w14:paraId="2805912C" w14:textId="77777777" w:rsidR="0063606D" w:rsidRPr="00E05C2C" w:rsidRDefault="001F292B" w:rsidP="00997139">
      <w:pPr>
        <w:pStyle w:val="ListParagraph"/>
        <w:numPr>
          <w:ilvl w:val="0"/>
          <w:numId w:val="8"/>
        </w:numPr>
        <w:spacing w:line="360" w:lineRule="auto"/>
        <w:rPr>
          <w:rFonts w:cs="Arial"/>
          <w:sz w:val="32"/>
          <w:szCs w:val="32"/>
        </w:rPr>
      </w:pPr>
      <w:r w:rsidRPr="00E05C2C">
        <w:rPr>
          <w:rFonts w:cs="Arial"/>
          <w:sz w:val="32"/>
          <w:szCs w:val="32"/>
        </w:rPr>
        <w:t>Baseline assessments</w:t>
      </w:r>
    </w:p>
    <w:p w14:paraId="68BA0F12" w14:textId="77777777" w:rsidR="0063606D" w:rsidRPr="00E05C2C" w:rsidRDefault="001F292B" w:rsidP="00997139">
      <w:pPr>
        <w:pStyle w:val="ListParagraph"/>
        <w:numPr>
          <w:ilvl w:val="0"/>
          <w:numId w:val="8"/>
        </w:numPr>
        <w:spacing w:line="360" w:lineRule="auto"/>
        <w:rPr>
          <w:rFonts w:cs="Arial"/>
          <w:sz w:val="32"/>
          <w:szCs w:val="32"/>
        </w:rPr>
      </w:pPr>
      <w:r w:rsidRPr="00E05C2C">
        <w:rPr>
          <w:rFonts w:cs="Arial"/>
          <w:sz w:val="32"/>
          <w:szCs w:val="32"/>
        </w:rPr>
        <w:t>Multi-stakeholder meetings</w:t>
      </w:r>
    </w:p>
    <w:p w14:paraId="7908B6C2" w14:textId="77777777" w:rsidR="0063606D" w:rsidRPr="00E05C2C" w:rsidRDefault="001F292B" w:rsidP="00997139">
      <w:pPr>
        <w:pStyle w:val="ListParagraph"/>
        <w:numPr>
          <w:ilvl w:val="0"/>
          <w:numId w:val="8"/>
        </w:numPr>
        <w:spacing w:line="360" w:lineRule="auto"/>
        <w:rPr>
          <w:rFonts w:cs="Arial"/>
          <w:sz w:val="32"/>
          <w:szCs w:val="32"/>
        </w:rPr>
      </w:pPr>
      <w:r w:rsidRPr="00E05C2C">
        <w:rPr>
          <w:rFonts w:cs="Arial"/>
          <w:sz w:val="32"/>
          <w:szCs w:val="32"/>
        </w:rPr>
        <w:t>Development of 5-year country-owned plans</w:t>
      </w:r>
    </w:p>
    <w:p w14:paraId="0F864416" w14:textId="77777777" w:rsidR="0063606D" w:rsidRPr="00E05C2C" w:rsidRDefault="001F292B" w:rsidP="00997139">
      <w:pPr>
        <w:pStyle w:val="ListParagraph"/>
        <w:numPr>
          <w:ilvl w:val="0"/>
          <w:numId w:val="8"/>
        </w:numPr>
        <w:spacing w:line="360" w:lineRule="auto"/>
        <w:rPr>
          <w:rFonts w:cs="Arial"/>
          <w:sz w:val="32"/>
          <w:szCs w:val="32"/>
        </w:rPr>
      </w:pPr>
      <w:r w:rsidRPr="00E05C2C">
        <w:rPr>
          <w:rFonts w:cs="Arial"/>
          <w:sz w:val="32"/>
          <w:szCs w:val="32"/>
        </w:rPr>
        <w:t>A lot of regular follow-up and relationship building</w:t>
      </w:r>
    </w:p>
    <w:p w14:paraId="40848D7F" w14:textId="77777777" w:rsidR="0063606D" w:rsidRPr="00E05C2C" w:rsidRDefault="001F292B" w:rsidP="00997139">
      <w:pPr>
        <w:pStyle w:val="ListParagraph"/>
        <w:numPr>
          <w:ilvl w:val="0"/>
          <w:numId w:val="8"/>
        </w:numPr>
        <w:spacing w:line="360" w:lineRule="auto"/>
        <w:rPr>
          <w:rFonts w:cs="Arial"/>
          <w:sz w:val="32"/>
          <w:szCs w:val="32"/>
        </w:rPr>
      </w:pPr>
      <w:r w:rsidRPr="00E05C2C">
        <w:rPr>
          <w:rFonts w:cs="Arial"/>
          <w:sz w:val="32"/>
          <w:szCs w:val="32"/>
        </w:rPr>
        <w:t>mid-term assessments</w:t>
      </w:r>
    </w:p>
    <w:p w14:paraId="53F7664C" w14:textId="77777777" w:rsidR="0063606D" w:rsidRPr="00E05C2C" w:rsidRDefault="001F292B" w:rsidP="00997139">
      <w:pPr>
        <w:pStyle w:val="ListParagraph"/>
        <w:numPr>
          <w:ilvl w:val="0"/>
          <w:numId w:val="8"/>
        </w:numPr>
        <w:spacing w:line="360" w:lineRule="auto"/>
        <w:rPr>
          <w:rFonts w:cs="Arial"/>
          <w:sz w:val="32"/>
          <w:szCs w:val="32"/>
        </w:rPr>
      </w:pPr>
      <w:r w:rsidRPr="00E05C2C">
        <w:rPr>
          <w:rFonts w:cs="Arial"/>
          <w:sz w:val="32"/>
          <w:szCs w:val="32"/>
        </w:rPr>
        <w:t>adjustments, if needed</w:t>
      </w:r>
    </w:p>
    <w:p w14:paraId="4108CA6E" w14:textId="77777777" w:rsidR="0063606D" w:rsidRPr="00E05C2C" w:rsidRDefault="001F292B" w:rsidP="00997139">
      <w:pPr>
        <w:pStyle w:val="ListParagraph"/>
        <w:numPr>
          <w:ilvl w:val="0"/>
          <w:numId w:val="8"/>
        </w:numPr>
        <w:spacing w:line="360" w:lineRule="auto"/>
        <w:rPr>
          <w:rFonts w:cs="Arial"/>
          <w:sz w:val="32"/>
          <w:szCs w:val="32"/>
        </w:rPr>
      </w:pPr>
      <w:r w:rsidRPr="00E05C2C">
        <w:rPr>
          <w:rFonts w:cs="Arial"/>
          <w:sz w:val="32"/>
          <w:szCs w:val="32"/>
        </w:rPr>
        <w:t>end-term assessments</w:t>
      </w:r>
    </w:p>
    <w:p w14:paraId="4BE0AC2A" w14:textId="094AA599" w:rsidR="001F292B" w:rsidRPr="00E05C2C" w:rsidRDefault="001F292B" w:rsidP="00997139">
      <w:pPr>
        <w:pStyle w:val="ListParagraph"/>
        <w:numPr>
          <w:ilvl w:val="0"/>
          <w:numId w:val="8"/>
        </w:numPr>
        <w:spacing w:line="360" w:lineRule="auto"/>
        <w:rPr>
          <w:rFonts w:cs="Arial"/>
          <w:sz w:val="32"/>
          <w:szCs w:val="32"/>
        </w:rPr>
      </w:pPr>
      <w:r w:rsidRPr="00E05C2C">
        <w:rPr>
          <w:rFonts w:cs="Arial"/>
          <w:sz w:val="32"/>
          <w:szCs w:val="32"/>
        </w:rPr>
        <w:t>45 million set aside for these countries as matching funds</w:t>
      </w:r>
    </w:p>
    <w:p w14:paraId="0FBF8493" w14:textId="77777777" w:rsidR="0063606D" w:rsidRPr="00E05C2C" w:rsidRDefault="0063606D" w:rsidP="00997139">
      <w:pPr>
        <w:spacing w:line="360" w:lineRule="auto"/>
        <w:rPr>
          <w:rFonts w:cs="Arial"/>
          <w:sz w:val="32"/>
          <w:szCs w:val="32"/>
        </w:rPr>
      </w:pPr>
    </w:p>
    <w:p w14:paraId="63001005" w14:textId="13BB6966" w:rsidR="00A24A8F" w:rsidRPr="00E05C2C" w:rsidRDefault="001F292B" w:rsidP="00997139">
      <w:pPr>
        <w:spacing w:line="360" w:lineRule="auto"/>
        <w:rPr>
          <w:rFonts w:cs="Arial"/>
          <w:b/>
          <w:sz w:val="32"/>
          <w:szCs w:val="32"/>
        </w:rPr>
      </w:pPr>
      <w:r w:rsidRPr="00E05C2C">
        <w:rPr>
          <w:rFonts w:cs="Arial"/>
          <w:sz w:val="32"/>
          <w:szCs w:val="32"/>
        </w:rPr>
        <w:t xml:space="preserve">To date, we have completed 19 baseline assessments. </w:t>
      </w:r>
      <w:r w:rsidR="00916467" w:rsidRPr="00E05C2C">
        <w:rPr>
          <w:rFonts w:cs="Arial"/>
          <w:sz w:val="32"/>
          <w:szCs w:val="32"/>
        </w:rPr>
        <w:t xml:space="preserve">Kenya’s is </w:t>
      </w:r>
      <w:r w:rsidR="0063606D" w:rsidRPr="00E05C2C">
        <w:rPr>
          <w:rFonts w:cs="Arial"/>
          <w:sz w:val="32"/>
          <w:szCs w:val="32"/>
        </w:rPr>
        <w:t>about to start</w:t>
      </w:r>
      <w:r w:rsidR="00916467" w:rsidRPr="00E05C2C">
        <w:rPr>
          <w:rFonts w:cs="Arial"/>
          <w:sz w:val="32"/>
          <w:szCs w:val="32"/>
        </w:rPr>
        <w:t xml:space="preserve">. </w:t>
      </w:r>
      <w:r w:rsidRPr="00E05C2C">
        <w:rPr>
          <w:rFonts w:cs="Arial"/>
          <w:b/>
          <w:sz w:val="32"/>
          <w:szCs w:val="32"/>
        </w:rPr>
        <w:t xml:space="preserve">These </w:t>
      </w:r>
      <w:r w:rsidR="00A24A8F" w:rsidRPr="00E05C2C">
        <w:rPr>
          <w:rFonts w:cs="Arial"/>
          <w:b/>
          <w:sz w:val="32"/>
          <w:szCs w:val="32"/>
        </w:rPr>
        <w:t xml:space="preserve">baseline assessments are also a first. </w:t>
      </w:r>
    </w:p>
    <w:p w14:paraId="147369F5" w14:textId="6A34337A" w:rsidR="00DD78CF" w:rsidRPr="00E05C2C" w:rsidRDefault="00916467" w:rsidP="00997139">
      <w:pPr>
        <w:numPr>
          <w:ilvl w:val="0"/>
          <w:numId w:val="7"/>
        </w:numPr>
        <w:spacing w:line="360" w:lineRule="auto"/>
        <w:rPr>
          <w:rFonts w:cs="Arial"/>
          <w:sz w:val="32"/>
          <w:szCs w:val="32"/>
          <w:lang w:val="en-GB"/>
        </w:rPr>
      </w:pPr>
      <w:r w:rsidRPr="00E05C2C">
        <w:rPr>
          <w:rFonts w:cs="Arial"/>
          <w:sz w:val="32"/>
          <w:szCs w:val="32"/>
        </w:rPr>
        <w:t>We already had quite a bit of information about the extent to which in countries across our portfolio human rights-related barriers continue to limit uptake of and retention in services.</w:t>
      </w:r>
      <w:r w:rsidR="00DD78CF" w:rsidRPr="00E05C2C">
        <w:rPr>
          <w:rFonts w:cs="Arial"/>
          <w:sz w:val="32"/>
          <w:szCs w:val="32"/>
        </w:rPr>
        <w:t xml:space="preserve"> In many settings, the baseline assessments </w:t>
      </w:r>
      <w:r w:rsidR="008D69C0" w:rsidRPr="00E05C2C">
        <w:rPr>
          <w:rFonts w:cs="Arial"/>
          <w:sz w:val="32"/>
          <w:szCs w:val="32"/>
        </w:rPr>
        <w:lastRenderedPageBreak/>
        <w:t xml:space="preserve">were able to </w:t>
      </w:r>
      <w:r w:rsidR="00DD78CF" w:rsidRPr="00E05C2C">
        <w:rPr>
          <w:rFonts w:cs="Arial"/>
          <w:sz w:val="32"/>
          <w:szCs w:val="32"/>
        </w:rPr>
        <w:t>build upon other assessments, such as L</w:t>
      </w:r>
      <w:r w:rsidR="0063606D" w:rsidRPr="00E05C2C">
        <w:rPr>
          <w:rFonts w:cs="Arial"/>
          <w:sz w:val="32"/>
          <w:szCs w:val="32"/>
        </w:rPr>
        <w:t xml:space="preserve">egal </w:t>
      </w:r>
      <w:r w:rsidR="00DD78CF" w:rsidRPr="00E05C2C">
        <w:rPr>
          <w:rFonts w:cs="Arial"/>
          <w:sz w:val="32"/>
          <w:szCs w:val="32"/>
        </w:rPr>
        <w:t>E</w:t>
      </w:r>
      <w:r w:rsidR="0063606D" w:rsidRPr="00E05C2C">
        <w:rPr>
          <w:rFonts w:cs="Arial"/>
          <w:sz w:val="32"/>
          <w:szCs w:val="32"/>
        </w:rPr>
        <w:t xml:space="preserve">nvironment </w:t>
      </w:r>
      <w:r w:rsidR="00DD78CF" w:rsidRPr="00E05C2C">
        <w:rPr>
          <w:rFonts w:cs="Arial"/>
          <w:sz w:val="32"/>
          <w:szCs w:val="32"/>
        </w:rPr>
        <w:t>A</w:t>
      </w:r>
      <w:r w:rsidR="0063606D" w:rsidRPr="00E05C2C">
        <w:rPr>
          <w:rFonts w:cs="Arial"/>
          <w:sz w:val="32"/>
          <w:szCs w:val="32"/>
        </w:rPr>
        <w:t>ssessments</w:t>
      </w:r>
      <w:r w:rsidR="00DD78CF" w:rsidRPr="00E05C2C">
        <w:rPr>
          <w:rFonts w:cs="Arial"/>
          <w:sz w:val="32"/>
          <w:szCs w:val="32"/>
        </w:rPr>
        <w:t>, and incorporate their findings.</w:t>
      </w:r>
    </w:p>
    <w:p w14:paraId="2AB4A330" w14:textId="7A334AEF" w:rsidR="00510CA8" w:rsidRPr="00E05C2C" w:rsidRDefault="00916467" w:rsidP="00997139">
      <w:pPr>
        <w:numPr>
          <w:ilvl w:val="0"/>
          <w:numId w:val="7"/>
        </w:numPr>
        <w:spacing w:line="360" w:lineRule="auto"/>
        <w:rPr>
          <w:rFonts w:cs="Arial"/>
          <w:sz w:val="32"/>
          <w:szCs w:val="32"/>
          <w:lang w:val="en-GB"/>
        </w:rPr>
      </w:pPr>
      <w:r w:rsidRPr="00E05C2C">
        <w:rPr>
          <w:rFonts w:cs="Arial"/>
          <w:sz w:val="32"/>
          <w:szCs w:val="32"/>
        </w:rPr>
        <w:t xml:space="preserve">But the baseline assessments went much further. For the first time, not only the barriers have been mapped, but also </w:t>
      </w:r>
      <w:r w:rsidR="00FC46B8" w:rsidRPr="00E05C2C">
        <w:rPr>
          <w:rFonts w:cs="Arial"/>
          <w:sz w:val="32"/>
          <w:szCs w:val="32"/>
        </w:rPr>
        <w:t xml:space="preserve">current and recent programs to address them and </w:t>
      </w:r>
      <w:r w:rsidRPr="00E05C2C">
        <w:rPr>
          <w:rFonts w:cs="Arial"/>
          <w:sz w:val="32"/>
          <w:szCs w:val="32"/>
        </w:rPr>
        <w:t>what we know about how effective they are</w:t>
      </w:r>
      <w:r w:rsidR="00770843" w:rsidRPr="00E05C2C">
        <w:rPr>
          <w:rFonts w:cs="Arial"/>
          <w:sz w:val="32"/>
          <w:szCs w:val="32"/>
        </w:rPr>
        <w:t>.</w:t>
      </w:r>
    </w:p>
    <w:p w14:paraId="6EE53157" w14:textId="6675AC3E" w:rsidR="00510CA8" w:rsidRPr="00E05C2C" w:rsidRDefault="00916467" w:rsidP="00997139">
      <w:pPr>
        <w:numPr>
          <w:ilvl w:val="0"/>
          <w:numId w:val="7"/>
        </w:numPr>
        <w:spacing w:line="360" w:lineRule="auto"/>
        <w:rPr>
          <w:rFonts w:cs="Arial"/>
          <w:sz w:val="32"/>
          <w:szCs w:val="32"/>
          <w:lang w:val="en-GB"/>
        </w:rPr>
      </w:pPr>
      <w:r w:rsidRPr="00E05C2C">
        <w:rPr>
          <w:rFonts w:cs="Arial"/>
          <w:sz w:val="32"/>
          <w:szCs w:val="32"/>
        </w:rPr>
        <w:t>Based on this information, for the first time an attempt has been made to estimate what w</w:t>
      </w:r>
      <w:r w:rsidR="00770843" w:rsidRPr="00E05C2C">
        <w:rPr>
          <w:rFonts w:cs="Arial"/>
          <w:sz w:val="32"/>
          <w:szCs w:val="32"/>
        </w:rPr>
        <w:t xml:space="preserve">ill </w:t>
      </w:r>
      <w:r w:rsidRPr="00E05C2C">
        <w:rPr>
          <w:rFonts w:cs="Arial"/>
          <w:sz w:val="32"/>
          <w:szCs w:val="32"/>
        </w:rPr>
        <w:t>be needed to comprehensively address the barriers</w:t>
      </w:r>
      <w:r w:rsidR="00DD78CF" w:rsidRPr="00E05C2C">
        <w:rPr>
          <w:rFonts w:cs="Arial"/>
          <w:sz w:val="32"/>
          <w:szCs w:val="32"/>
        </w:rPr>
        <w:t xml:space="preserve"> over 5 years.</w:t>
      </w:r>
    </w:p>
    <w:p w14:paraId="69A2CCB1" w14:textId="77777777" w:rsidR="00DD78CF" w:rsidRPr="00E05C2C" w:rsidRDefault="00DD78CF" w:rsidP="00997139">
      <w:pPr>
        <w:numPr>
          <w:ilvl w:val="0"/>
          <w:numId w:val="7"/>
        </w:numPr>
        <w:spacing w:line="360" w:lineRule="auto"/>
        <w:rPr>
          <w:rFonts w:cs="Arial"/>
          <w:sz w:val="32"/>
          <w:szCs w:val="32"/>
          <w:lang w:val="en-GB"/>
        </w:rPr>
      </w:pPr>
      <w:r w:rsidRPr="00E05C2C">
        <w:rPr>
          <w:rFonts w:cs="Arial"/>
          <w:sz w:val="32"/>
          <w:szCs w:val="32"/>
        </w:rPr>
        <w:t>And even more significantly, the comprehensive response has been costed. For the first time we know how much countries have been spending on programs to reduce human rights-related</w:t>
      </w:r>
      <w:r w:rsidR="002B17A5" w:rsidRPr="00E05C2C">
        <w:rPr>
          <w:rFonts w:cs="Arial"/>
          <w:sz w:val="32"/>
          <w:szCs w:val="32"/>
        </w:rPr>
        <w:t xml:space="preserve"> barriers, and how this compares</w:t>
      </w:r>
      <w:r w:rsidRPr="00E05C2C">
        <w:rPr>
          <w:rFonts w:cs="Arial"/>
          <w:sz w:val="32"/>
          <w:szCs w:val="32"/>
        </w:rPr>
        <w:t xml:space="preserve"> to what is needed for a comprehensive response</w:t>
      </w:r>
      <w:r w:rsidR="008D69C0" w:rsidRPr="00E05C2C">
        <w:rPr>
          <w:rFonts w:cs="Arial"/>
          <w:sz w:val="32"/>
          <w:szCs w:val="32"/>
        </w:rPr>
        <w:t xml:space="preserve"> to address the barriers</w:t>
      </w:r>
      <w:r w:rsidRPr="00E05C2C">
        <w:rPr>
          <w:rFonts w:cs="Arial"/>
          <w:sz w:val="32"/>
          <w:szCs w:val="32"/>
        </w:rPr>
        <w:t>.</w:t>
      </w:r>
    </w:p>
    <w:p w14:paraId="25938655" w14:textId="77777777" w:rsidR="00E66263" w:rsidRPr="00E05C2C" w:rsidRDefault="00E66263" w:rsidP="00997139">
      <w:pPr>
        <w:spacing w:line="360" w:lineRule="auto"/>
        <w:ind w:left="360"/>
        <w:rPr>
          <w:rFonts w:cs="Arial"/>
          <w:sz w:val="32"/>
          <w:szCs w:val="32"/>
        </w:rPr>
      </w:pPr>
    </w:p>
    <w:p w14:paraId="218BDA46" w14:textId="016406D3" w:rsidR="002B17A5" w:rsidRPr="00E05C2C" w:rsidRDefault="00CE67F5" w:rsidP="00997139">
      <w:pPr>
        <w:spacing w:line="360" w:lineRule="auto"/>
        <w:rPr>
          <w:rFonts w:cs="Arial"/>
          <w:sz w:val="32"/>
          <w:szCs w:val="32"/>
        </w:rPr>
      </w:pPr>
      <w:r w:rsidRPr="00E05C2C">
        <w:rPr>
          <w:rFonts w:cs="Arial"/>
          <w:sz w:val="32"/>
          <w:szCs w:val="32"/>
        </w:rPr>
        <w:t>I</w:t>
      </w:r>
      <w:r w:rsidR="002B17A5" w:rsidRPr="00E05C2C">
        <w:rPr>
          <w:rFonts w:cs="Arial"/>
          <w:sz w:val="32"/>
          <w:szCs w:val="32"/>
        </w:rPr>
        <w:t>n 2016, selected countries within the cohort invested between 10 % (in Cameroon) and 55% (in Kyrgyzstan) of what would be required annually for a comprehensive response</w:t>
      </w:r>
      <w:r w:rsidR="008D69C0" w:rsidRPr="00E05C2C">
        <w:rPr>
          <w:rFonts w:cs="Arial"/>
          <w:sz w:val="32"/>
          <w:szCs w:val="32"/>
        </w:rPr>
        <w:t xml:space="preserve"> to address human rights</w:t>
      </w:r>
      <w:r w:rsidR="00770843" w:rsidRPr="00E05C2C">
        <w:rPr>
          <w:rFonts w:cs="Arial"/>
          <w:sz w:val="32"/>
          <w:szCs w:val="32"/>
        </w:rPr>
        <w:t>-related</w:t>
      </w:r>
      <w:r w:rsidRPr="00E05C2C">
        <w:rPr>
          <w:rFonts w:cs="Arial"/>
          <w:sz w:val="32"/>
          <w:szCs w:val="32"/>
        </w:rPr>
        <w:t xml:space="preserve"> </w:t>
      </w:r>
      <w:r w:rsidR="008D69C0" w:rsidRPr="00E05C2C">
        <w:rPr>
          <w:rFonts w:cs="Arial"/>
          <w:sz w:val="32"/>
          <w:szCs w:val="32"/>
        </w:rPr>
        <w:t>barriers</w:t>
      </w:r>
      <w:r w:rsidR="00770843" w:rsidRPr="00E05C2C">
        <w:rPr>
          <w:rFonts w:cs="Arial"/>
          <w:sz w:val="32"/>
          <w:szCs w:val="32"/>
        </w:rPr>
        <w:t xml:space="preserve"> to HIV</w:t>
      </w:r>
      <w:r w:rsidR="002B17A5" w:rsidRPr="00E05C2C">
        <w:rPr>
          <w:rFonts w:cs="Arial"/>
          <w:sz w:val="32"/>
          <w:szCs w:val="32"/>
        </w:rPr>
        <w:t>.</w:t>
      </w:r>
    </w:p>
    <w:p w14:paraId="090AFA91" w14:textId="77777777" w:rsidR="00770843" w:rsidRPr="00E05C2C" w:rsidRDefault="00770843" w:rsidP="00770843">
      <w:pPr>
        <w:spacing w:line="360" w:lineRule="auto"/>
        <w:rPr>
          <w:rFonts w:cs="Arial"/>
          <w:sz w:val="32"/>
          <w:szCs w:val="32"/>
        </w:rPr>
      </w:pPr>
    </w:p>
    <w:p w14:paraId="20A18E46" w14:textId="41DFBBA7" w:rsidR="001F292B" w:rsidRPr="00E05C2C" w:rsidRDefault="008B414C" w:rsidP="00566245">
      <w:pPr>
        <w:spacing w:line="360" w:lineRule="auto"/>
        <w:rPr>
          <w:rFonts w:cs="Arial"/>
          <w:sz w:val="32"/>
          <w:szCs w:val="32"/>
        </w:rPr>
      </w:pPr>
      <w:r w:rsidRPr="00E05C2C">
        <w:rPr>
          <w:rFonts w:cs="Arial"/>
          <w:sz w:val="32"/>
          <w:szCs w:val="32"/>
        </w:rPr>
        <w:t>Importantly, t</w:t>
      </w:r>
      <w:r w:rsidR="00A24A8F" w:rsidRPr="00E05C2C">
        <w:rPr>
          <w:rFonts w:cs="Arial"/>
          <w:sz w:val="32"/>
          <w:szCs w:val="32"/>
        </w:rPr>
        <w:t xml:space="preserve">he assessments </w:t>
      </w:r>
      <w:r w:rsidR="001F292B" w:rsidRPr="00E05C2C">
        <w:rPr>
          <w:rFonts w:cs="Arial"/>
          <w:sz w:val="32"/>
          <w:szCs w:val="32"/>
        </w:rPr>
        <w:t xml:space="preserve">are being used by countries to craft not only their funding proposals </w:t>
      </w:r>
      <w:r w:rsidR="00E05C2C">
        <w:rPr>
          <w:rFonts w:cs="Arial"/>
          <w:sz w:val="32"/>
          <w:szCs w:val="32"/>
        </w:rPr>
        <w:t xml:space="preserve">to the Global Fund, </w:t>
      </w:r>
      <w:r w:rsidR="001F292B" w:rsidRPr="00E05C2C">
        <w:rPr>
          <w:rFonts w:cs="Arial"/>
          <w:sz w:val="32"/>
          <w:szCs w:val="32"/>
        </w:rPr>
        <w:t xml:space="preserve">but also evidence-based plans to reduce human rights-related </w:t>
      </w:r>
      <w:r w:rsidR="001F292B" w:rsidRPr="00E05C2C">
        <w:rPr>
          <w:rFonts w:cs="Arial"/>
          <w:sz w:val="32"/>
          <w:szCs w:val="32"/>
        </w:rPr>
        <w:lastRenderedPageBreak/>
        <w:t>barriers to services. We are already seeing some exciting results</w:t>
      </w:r>
      <w:r w:rsidR="00CE67F5" w:rsidRPr="00E05C2C">
        <w:rPr>
          <w:rFonts w:cs="Arial"/>
          <w:sz w:val="32"/>
          <w:szCs w:val="32"/>
        </w:rPr>
        <w:t>.</w:t>
      </w:r>
    </w:p>
    <w:p w14:paraId="70DBDD9B" w14:textId="77777777" w:rsidR="001F292B" w:rsidRPr="00E05C2C" w:rsidRDefault="001F292B" w:rsidP="00997139">
      <w:pPr>
        <w:spacing w:line="360" w:lineRule="auto"/>
        <w:rPr>
          <w:rFonts w:cs="Arial"/>
          <w:sz w:val="32"/>
          <w:szCs w:val="32"/>
        </w:rPr>
      </w:pPr>
    </w:p>
    <w:p w14:paraId="3DD17CC5" w14:textId="118E8B2C" w:rsidR="001F292B" w:rsidRPr="00E05C2C" w:rsidRDefault="001F292B" w:rsidP="00997139">
      <w:pPr>
        <w:spacing w:line="360" w:lineRule="auto"/>
        <w:rPr>
          <w:rFonts w:cs="Arial"/>
          <w:sz w:val="32"/>
          <w:szCs w:val="32"/>
        </w:rPr>
      </w:pPr>
    </w:p>
    <w:p w14:paraId="28AC55FA" w14:textId="2DF631BF" w:rsidR="001F292B" w:rsidRPr="00E05C2C" w:rsidRDefault="001F292B" w:rsidP="00997139">
      <w:pPr>
        <w:spacing w:line="360" w:lineRule="auto"/>
        <w:rPr>
          <w:rFonts w:cs="Arial"/>
          <w:sz w:val="32"/>
          <w:szCs w:val="32"/>
        </w:rPr>
      </w:pPr>
      <w:r w:rsidRPr="00E05C2C">
        <w:rPr>
          <w:rFonts w:cs="Arial"/>
          <w:sz w:val="32"/>
          <w:szCs w:val="32"/>
        </w:rPr>
        <w:t xml:space="preserve">Funding allocated to these programs in the </w:t>
      </w:r>
      <w:r w:rsidR="00CE67F5" w:rsidRPr="00E05C2C">
        <w:rPr>
          <w:rFonts w:cs="Arial"/>
          <w:sz w:val="32"/>
          <w:szCs w:val="32"/>
        </w:rPr>
        <w:t xml:space="preserve">20 </w:t>
      </w:r>
      <w:r w:rsidRPr="00E05C2C">
        <w:rPr>
          <w:rFonts w:cs="Arial"/>
          <w:sz w:val="32"/>
          <w:szCs w:val="32"/>
        </w:rPr>
        <w:t xml:space="preserve">countries in the cohort has increased </w:t>
      </w:r>
      <w:r w:rsidR="00CE67F5" w:rsidRPr="00E05C2C">
        <w:rPr>
          <w:rFonts w:cs="Arial"/>
          <w:sz w:val="32"/>
          <w:szCs w:val="32"/>
        </w:rPr>
        <w:t xml:space="preserve">more than </w:t>
      </w:r>
      <w:r w:rsidRPr="00E05C2C">
        <w:rPr>
          <w:rFonts w:cs="Arial"/>
          <w:sz w:val="32"/>
          <w:szCs w:val="32"/>
        </w:rPr>
        <w:t>10-fold</w:t>
      </w:r>
      <w:r w:rsidR="006210AB" w:rsidRPr="00E05C2C">
        <w:rPr>
          <w:rFonts w:cs="Arial"/>
          <w:sz w:val="32"/>
          <w:szCs w:val="32"/>
        </w:rPr>
        <w:t xml:space="preserve">, from slightly more than 6 million to </w:t>
      </w:r>
      <w:r w:rsidR="00985A6D" w:rsidRPr="00E05C2C">
        <w:rPr>
          <w:rFonts w:cs="Arial"/>
          <w:sz w:val="32"/>
          <w:szCs w:val="32"/>
        </w:rPr>
        <w:t xml:space="preserve">over 77 </w:t>
      </w:r>
      <w:r w:rsidR="006210AB" w:rsidRPr="00E05C2C">
        <w:rPr>
          <w:rFonts w:cs="Arial"/>
          <w:sz w:val="32"/>
          <w:szCs w:val="32"/>
        </w:rPr>
        <w:t>million</w:t>
      </w:r>
      <w:r w:rsidR="00526AF5" w:rsidRPr="00E05C2C">
        <w:rPr>
          <w:rFonts w:cs="Arial"/>
          <w:sz w:val="32"/>
          <w:szCs w:val="32"/>
        </w:rPr>
        <w:t>. T</w:t>
      </w:r>
      <w:r w:rsidRPr="00E05C2C">
        <w:rPr>
          <w:rFonts w:cs="Arial"/>
          <w:sz w:val="32"/>
          <w:szCs w:val="32"/>
        </w:rPr>
        <w:t xml:space="preserve">his is due not only to </w:t>
      </w:r>
      <w:r w:rsidR="00CE67F5" w:rsidRPr="00E05C2C">
        <w:rPr>
          <w:rFonts w:cs="Arial"/>
          <w:sz w:val="32"/>
          <w:szCs w:val="32"/>
        </w:rPr>
        <w:t xml:space="preserve">so-called </w:t>
      </w:r>
      <w:r w:rsidRPr="00E05C2C">
        <w:rPr>
          <w:rFonts w:cs="Arial"/>
          <w:sz w:val="32"/>
          <w:szCs w:val="32"/>
        </w:rPr>
        <w:t xml:space="preserve">catalytic funding </w:t>
      </w:r>
      <w:r w:rsidR="00CE67F5" w:rsidRPr="00E05C2C">
        <w:rPr>
          <w:rFonts w:cs="Arial"/>
          <w:sz w:val="32"/>
          <w:szCs w:val="32"/>
        </w:rPr>
        <w:t xml:space="preserve">provided by the Global Fund, </w:t>
      </w:r>
      <w:r w:rsidRPr="00E05C2C">
        <w:rPr>
          <w:rFonts w:cs="Arial"/>
          <w:sz w:val="32"/>
          <w:szCs w:val="32"/>
        </w:rPr>
        <w:t>but also to a large increase in funds from within the countries’ allocation devoted to these programs.</w:t>
      </w:r>
      <w:r w:rsidR="00526AF5" w:rsidRPr="00E05C2C">
        <w:rPr>
          <w:rFonts w:cs="Arial"/>
          <w:sz w:val="32"/>
          <w:szCs w:val="32"/>
        </w:rPr>
        <w:t xml:space="preserve"> </w:t>
      </w:r>
      <w:r w:rsidR="00566245" w:rsidRPr="00E05C2C">
        <w:rPr>
          <w:rFonts w:cs="Arial"/>
          <w:sz w:val="32"/>
          <w:szCs w:val="32"/>
        </w:rPr>
        <w:t xml:space="preserve">It </w:t>
      </w:r>
      <w:r w:rsidR="008B414C" w:rsidRPr="00E05C2C">
        <w:rPr>
          <w:rFonts w:cs="Arial"/>
          <w:sz w:val="32"/>
          <w:szCs w:val="32"/>
        </w:rPr>
        <w:t xml:space="preserve">is also due to the </w:t>
      </w:r>
      <w:r w:rsidR="00566245" w:rsidRPr="00E05C2C">
        <w:rPr>
          <w:rFonts w:cs="Arial"/>
          <w:sz w:val="32"/>
          <w:szCs w:val="32"/>
        </w:rPr>
        <w:t xml:space="preserve">great support </w:t>
      </w:r>
      <w:r w:rsidR="008B414C" w:rsidRPr="00E05C2C">
        <w:rPr>
          <w:rFonts w:cs="Arial"/>
          <w:sz w:val="32"/>
          <w:szCs w:val="32"/>
        </w:rPr>
        <w:t xml:space="preserve">from country teams, from </w:t>
      </w:r>
      <w:r w:rsidR="00566245" w:rsidRPr="00E05C2C">
        <w:rPr>
          <w:rFonts w:cs="Arial"/>
          <w:sz w:val="32"/>
          <w:szCs w:val="32"/>
        </w:rPr>
        <w:t xml:space="preserve">our technical partners, particularly UNAIDS and UNDP, and </w:t>
      </w:r>
      <w:r w:rsidR="008B414C" w:rsidRPr="00E05C2C">
        <w:rPr>
          <w:rFonts w:cs="Arial"/>
          <w:sz w:val="32"/>
          <w:szCs w:val="32"/>
        </w:rPr>
        <w:t xml:space="preserve">to </w:t>
      </w:r>
      <w:r w:rsidR="00566245" w:rsidRPr="00E05C2C">
        <w:rPr>
          <w:rFonts w:cs="Arial"/>
          <w:sz w:val="32"/>
          <w:szCs w:val="32"/>
        </w:rPr>
        <w:t>technical assistance provided via the C</w:t>
      </w:r>
      <w:r w:rsidR="00CE67F5" w:rsidRPr="00E05C2C">
        <w:rPr>
          <w:rFonts w:cs="Arial"/>
          <w:sz w:val="32"/>
          <w:szCs w:val="32"/>
        </w:rPr>
        <w:t xml:space="preserve">ommunity, </w:t>
      </w:r>
      <w:r w:rsidR="00566245" w:rsidRPr="00E05C2C">
        <w:rPr>
          <w:rFonts w:cs="Arial"/>
          <w:sz w:val="32"/>
          <w:szCs w:val="32"/>
        </w:rPr>
        <w:t>R</w:t>
      </w:r>
      <w:r w:rsidR="00CE67F5" w:rsidRPr="00E05C2C">
        <w:rPr>
          <w:rFonts w:cs="Arial"/>
          <w:sz w:val="32"/>
          <w:szCs w:val="32"/>
        </w:rPr>
        <w:t xml:space="preserve">ights and </w:t>
      </w:r>
      <w:r w:rsidR="00566245" w:rsidRPr="00E05C2C">
        <w:rPr>
          <w:rFonts w:cs="Arial"/>
          <w:sz w:val="32"/>
          <w:szCs w:val="32"/>
        </w:rPr>
        <w:t>G</w:t>
      </w:r>
      <w:r w:rsidR="00CE67F5" w:rsidRPr="00E05C2C">
        <w:rPr>
          <w:rFonts w:cs="Arial"/>
          <w:sz w:val="32"/>
          <w:szCs w:val="32"/>
        </w:rPr>
        <w:t>ender</w:t>
      </w:r>
      <w:r w:rsidR="00566245" w:rsidRPr="00E05C2C">
        <w:rPr>
          <w:rFonts w:cs="Arial"/>
          <w:sz w:val="32"/>
          <w:szCs w:val="32"/>
        </w:rPr>
        <w:t xml:space="preserve"> Strategic Initiative. </w:t>
      </w:r>
    </w:p>
    <w:p w14:paraId="766B2B70" w14:textId="77777777" w:rsidR="001F292B" w:rsidRPr="00E05C2C" w:rsidRDefault="001F292B" w:rsidP="00997139">
      <w:pPr>
        <w:spacing w:line="360" w:lineRule="auto"/>
        <w:rPr>
          <w:rFonts w:cs="Arial"/>
          <w:sz w:val="32"/>
          <w:szCs w:val="32"/>
        </w:rPr>
      </w:pPr>
    </w:p>
    <w:p w14:paraId="0CEAFAB8" w14:textId="202F6AE6" w:rsidR="00586D38" w:rsidRPr="00E05C2C" w:rsidRDefault="00A24A8F" w:rsidP="00997139">
      <w:pPr>
        <w:spacing w:line="360" w:lineRule="auto"/>
        <w:rPr>
          <w:rFonts w:cs="Arial"/>
          <w:sz w:val="32"/>
          <w:szCs w:val="32"/>
        </w:rPr>
      </w:pPr>
      <w:r w:rsidRPr="00E05C2C">
        <w:rPr>
          <w:rFonts w:cs="Arial"/>
          <w:b/>
          <w:sz w:val="32"/>
          <w:szCs w:val="32"/>
        </w:rPr>
        <w:t>The multi-stakeholder meetings also represent a first</w:t>
      </w:r>
      <w:r w:rsidRPr="00E05C2C">
        <w:rPr>
          <w:rFonts w:cs="Arial"/>
          <w:sz w:val="32"/>
          <w:szCs w:val="32"/>
        </w:rPr>
        <w:t>. They typically bring together between 80 and 150 national stakeholders – government representatives from different ministries, communities, technical partners, donors, and others. They are the most systematic and consultative strategic reflection on how to overcome human rights barriers th</w:t>
      </w:r>
      <w:r w:rsidR="006210AB" w:rsidRPr="00E05C2C">
        <w:rPr>
          <w:rFonts w:cs="Arial"/>
          <w:sz w:val="32"/>
          <w:szCs w:val="32"/>
        </w:rPr>
        <w:t xml:space="preserve">at the </w:t>
      </w:r>
      <w:r w:rsidRPr="00E05C2C">
        <w:rPr>
          <w:rFonts w:cs="Arial"/>
          <w:sz w:val="32"/>
          <w:szCs w:val="32"/>
        </w:rPr>
        <w:t>countries</w:t>
      </w:r>
      <w:r w:rsidR="006210AB" w:rsidRPr="00E05C2C">
        <w:rPr>
          <w:rFonts w:cs="Arial"/>
          <w:sz w:val="32"/>
          <w:szCs w:val="32"/>
        </w:rPr>
        <w:t xml:space="preserve"> </w:t>
      </w:r>
      <w:r w:rsidRPr="00E05C2C">
        <w:rPr>
          <w:rFonts w:cs="Arial"/>
          <w:sz w:val="32"/>
          <w:szCs w:val="32"/>
        </w:rPr>
        <w:t>have ever had. They</w:t>
      </w:r>
      <w:r w:rsidR="008D69C0" w:rsidRPr="00E05C2C">
        <w:rPr>
          <w:rFonts w:cs="Arial"/>
          <w:sz w:val="32"/>
          <w:szCs w:val="32"/>
        </w:rPr>
        <w:t xml:space="preserve"> </w:t>
      </w:r>
      <w:r w:rsidR="00586D38" w:rsidRPr="00E05C2C">
        <w:rPr>
          <w:rFonts w:cs="Arial"/>
          <w:sz w:val="32"/>
          <w:szCs w:val="32"/>
        </w:rPr>
        <w:t xml:space="preserve">lead to a frank assessment of what the problems are and much greater clarity on what needs to be done to overcome them and where the capacity gaps are. </w:t>
      </w:r>
    </w:p>
    <w:p w14:paraId="2DA11AF2" w14:textId="77777777" w:rsidR="00586D38" w:rsidRPr="00E05C2C" w:rsidRDefault="00586D38" w:rsidP="00997139">
      <w:pPr>
        <w:spacing w:line="360" w:lineRule="auto"/>
        <w:rPr>
          <w:rFonts w:cs="Arial"/>
          <w:sz w:val="32"/>
          <w:szCs w:val="32"/>
        </w:rPr>
      </w:pPr>
    </w:p>
    <w:p w14:paraId="18936EF0" w14:textId="4E796DDB" w:rsidR="00704175" w:rsidRPr="00E05C2C" w:rsidRDefault="00985A6D" w:rsidP="00997139">
      <w:pPr>
        <w:spacing w:line="360" w:lineRule="auto"/>
        <w:rPr>
          <w:rFonts w:cs="Arial"/>
          <w:sz w:val="32"/>
          <w:szCs w:val="32"/>
        </w:rPr>
      </w:pPr>
      <w:r w:rsidRPr="00E05C2C">
        <w:rPr>
          <w:rFonts w:cs="Arial"/>
          <w:sz w:val="32"/>
          <w:szCs w:val="32"/>
        </w:rPr>
        <w:lastRenderedPageBreak/>
        <w:t xml:space="preserve">For example, at the </w:t>
      </w:r>
      <w:r w:rsidR="00586D38" w:rsidRPr="00E05C2C">
        <w:rPr>
          <w:rFonts w:cs="Arial"/>
          <w:sz w:val="32"/>
          <w:szCs w:val="32"/>
        </w:rPr>
        <w:t xml:space="preserve">multi-stakeholder meeting in </w:t>
      </w:r>
      <w:r w:rsidRPr="00E05C2C">
        <w:rPr>
          <w:rFonts w:cs="Arial"/>
          <w:sz w:val="32"/>
          <w:szCs w:val="32"/>
        </w:rPr>
        <w:t>South Africa in November 2018</w:t>
      </w:r>
      <w:r w:rsidR="00586D38" w:rsidRPr="00E05C2C">
        <w:rPr>
          <w:rFonts w:cs="Arial"/>
          <w:sz w:val="32"/>
          <w:szCs w:val="32"/>
        </w:rPr>
        <w:t xml:space="preserve">, it was decided that a plan to reduce the human rights-related barriers will be developed by </w:t>
      </w:r>
      <w:r w:rsidRPr="00E05C2C">
        <w:rPr>
          <w:rFonts w:cs="Arial"/>
          <w:sz w:val="32"/>
          <w:szCs w:val="32"/>
        </w:rPr>
        <w:t xml:space="preserve">the end of March </w:t>
      </w:r>
      <w:r w:rsidR="006210AB" w:rsidRPr="00E05C2C">
        <w:rPr>
          <w:rFonts w:cs="Arial"/>
          <w:sz w:val="32"/>
          <w:szCs w:val="32"/>
        </w:rPr>
        <w:t>2019, and that it will</w:t>
      </w:r>
      <w:r w:rsidR="00586D38" w:rsidRPr="00E05C2C">
        <w:rPr>
          <w:rFonts w:cs="Arial"/>
          <w:sz w:val="32"/>
          <w:szCs w:val="32"/>
        </w:rPr>
        <w:t xml:space="preserve"> become the operational plan of the human rights component of </w:t>
      </w:r>
      <w:r w:rsidRPr="00E05C2C">
        <w:rPr>
          <w:rFonts w:cs="Arial"/>
          <w:sz w:val="32"/>
          <w:szCs w:val="32"/>
        </w:rPr>
        <w:t>South Africa</w:t>
      </w:r>
      <w:r w:rsidR="00586D38" w:rsidRPr="00E05C2C">
        <w:rPr>
          <w:rFonts w:cs="Arial"/>
          <w:sz w:val="32"/>
          <w:szCs w:val="32"/>
        </w:rPr>
        <w:t xml:space="preserve">’s national strategic plan on HIV. </w:t>
      </w:r>
    </w:p>
    <w:p w14:paraId="6B13A96D" w14:textId="77777777" w:rsidR="00316052" w:rsidRPr="00E05C2C" w:rsidRDefault="00316052" w:rsidP="00997139">
      <w:pPr>
        <w:spacing w:line="360" w:lineRule="auto"/>
        <w:rPr>
          <w:rFonts w:cs="Arial"/>
          <w:sz w:val="32"/>
          <w:szCs w:val="32"/>
        </w:rPr>
      </w:pPr>
    </w:p>
    <w:p w14:paraId="2915B697" w14:textId="2C1CCF5C" w:rsidR="00316052" w:rsidRPr="00E05C2C" w:rsidRDefault="002000CD" w:rsidP="00997139">
      <w:pPr>
        <w:spacing w:line="360" w:lineRule="auto"/>
        <w:rPr>
          <w:rFonts w:cs="Arial"/>
          <w:sz w:val="32"/>
          <w:szCs w:val="32"/>
        </w:rPr>
      </w:pPr>
      <w:r w:rsidRPr="00E05C2C">
        <w:rPr>
          <w:rFonts w:cs="Arial"/>
          <w:sz w:val="32"/>
          <w:szCs w:val="32"/>
        </w:rPr>
        <w:t xml:space="preserve">I also attended Nepal’s </w:t>
      </w:r>
      <w:r w:rsidR="00316052" w:rsidRPr="00E05C2C">
        <w:rPr>
          <w:rFonts w:cs="Arial"/>
          <w:sz w:val="32"/>
          <w:szCs w:val="32"/>
        </w:rPr>
        <w:t xml:space="preserve">multi-stakeholder meeting at the end of June. Importantly, the government of Nepal committed to using 1.3 million in domestic resources to match the GF’s contribution. Nepal is </w:t>
      </w:r>
      <w:r w:rsidRPr="00E05C2C">
        <w:rPr>
          <w:rFonts w:cs="Arial"/>
          <w:sz w:val="32"/>
          <w:szCs w:val="32"/>
        </w:rPr>
        <w:t xml:space="preserve">currently </w:t>
      </w:r>
      <w:r w:rsidR="00316052" w:rsidRPr="00E05C2C">
        <w:rPr>
          <w:rFonts w:cs="Arial"/>
          <w:sz w:val="32"/>
          <w:szCs w:val="32"/>
        </w:rPr>
        <w:t xml:space="preserve">finalizing its </w:t>
      </w:r>
      <w:r w:rsidR="008D69C0" w:rsidRPr="00E05C2C">
        <w:rPr>
          <w:rFonts w:cs="Arial"/>
          <w:sz w:val="32"/>
          <w:szCs w:val="32"/>
        </w:rPr>
        <w:t xml:space="preserve">country-owned </w:t>
      </w:r>
      <w:r w:rsidR="00316052" w:rsidRPr="00E05C2C">
        <w:rPr>
          <w:rFonts w:cs="Arial"/>
          <w:sz w:val="32"/>
          <w:szCs w:val="32"/>
        </w:rPr>
        <w:t>5-year plan.</w:t>
      </w:r>
    </w:p>
    <w:p w14:paraId="410A977F" w14:textId="77777777" w:rsidR="00316052" w:rsidRPr="00E05C2C" w:rsidRDefault="00316052" w:rsidP="00997139">
      <w:pPr>
        <w:spacing w:line="360" w:lineRule="auto"/>
        <w:rPr>
          <w:rFonts w:cs="Arial"/>
          <w:sz w:val="32"/>
          <w:szCs w:val="32"/>
        </w:rPr>
      </w:pPr>
    </w:p>
    <w:p w14:paraId="609E43D5" w14:textId="5E6E33D8" w:rsidR="00316052" w:rsidRPr="00E05C2C" w:rsidRDefault="00316052" w:rsidP="00997139">
      <w:pPr>
        <w:spacing w:line="360" w:lineRule="auto"/>
        <w:rPr>
          <w:rFonts w:cs="Arial"/>
          <w:sz w:val="32"/>
          <w:szCs w:val="32"/>
        </w:rPr>
      </w:pPr>
      <w:r w:rsidRPr="00E05C2C">
        <w:rPr>
          <w:rFonts w:cs="Arial"/>
          <w:sz w:val="32"/>
          <w:szCs w:val="32"/>
        </w:rPr>
        <w:t>What has been common to all countries to date is that what started as a GF process has since become</w:t>
      </w:r>
      <w:r w:rsidR="00706824" w:rsidRPr="00E05C2C">
        <w:rPr>
          <w:rFonts w:cs="Arial"/>
          <w:sz w:val="32"/>
          <w:szCs w:val="32"/>
        </w:rPr>
        <w:t xml:space="preserve">, as we had hoped for, </w:t>
      </w:r>
      <w:r w:rsidRPr="00E05C2C">
        <w:rPr>
          <w:rFonts w:cs="Arial"/>
          <w:sz w:val="32"/>
          <w:szCs w:val="32"/>
        </w:rPr>
        <w:t xml:space="preserve">a country-owned process in which national stakeholders are leading the development of </w:t>
      </w:r>
      <w:r w:rsidR="004222A2" w:rsidRPr="00E05C2C">
        <w:rPr>
          <w:rFonts w:cs="Arial"/>
          <w:sz w:val="32"/>
          <w:szCs w:val="32"/>
        </w:rPr>
        <w:t xml:space="preserve">the </w:t>
      </w:r>
      <w:r w:rsidRPr="00E05C2C">
        <w:rPr>
          <w:rFonts w:cs="Arial"/>
          <w:sz w:val="32"/>
          <w:szCs w:val="32"/>
        </w:rPr>
        <w:t xml:space="preserve">strategic plans, based on the baseline assessments we conducted. </w:t>
      </w:r>
    </w:p>
    <w:p w14:paraId="56D958B7" w14:textId="77777777" w:rsidR="004222A2" w:rsidRPr="00E05C2C" w:rsidRDefault="004222A2" w:rsidP="004222A2">
      <w:pPr>
        <w:spacing w:line="360" w:lineRule="auto"/>
        <w:rPr>
          <w:rFonts w:cs="Arial"/>
          <w:sz w:val="32"/>
          <w:szCs w:val="32"/>
          <w:highlight w:val="green"/>
        </w:rPr>
      </w:pPr>
    </w:p>
    <w:p w14:paraId="50E5DB4A" w14:textId="6E68C681" w:rsidR="00704175" w:rsidRPr="00E05C2C" w:rsidRDefault="00BF149E" w:rsidP="00997139">
      <w:pPr>
        <w:spacing w:line="360" w:lineRule="auto"/>
        <w:rPr>
          <w:sz w:val="32"/>
          <w:szCs w:val="32"/>
          <w:lang w:val="en-GB"/>
        </w:rPr>
      </w:pPr>
      <w:r w:rsidRPr="00E05C2C">
        <w:rPr>
          <w:rFonts w:cs="Arial"/>
          <w:b/>
          <w:sz w:val="32"/>
          <w:szCs w:val="32"/>
        </w:rPr>
        <w:t xml:space="preserve">These longer-term strategic plans represent another first. </w:t>
      </w:r>
      <w:r w:rsidR="00706824" w:rsidRPr="00E05C2C">
        <w:rPr>
          <w:rFonts w:cs="Arial"/>
          <w:sz w:val="32"/>
          <w:szCs w:val="32"/>
        </w:rPr>
        <w:t>In the past, p</w:t>
      </w:r>
      <w:r w:rsidRPr="00E05C2C">
        <w:rPr>
          <w:rFonts w:cs="Arial"/>
          <w:sz w:val="32"/>
          <w:szCs w:val="32"/>
        </w:rPr>
        <w:t xml:space="preserve">rogramming to reduce human rights-related barriers has typically consisted of short-term projects or interventions, inadequately funded and seldom evaluated. For the first time, we are seeing a </w:t>
      </w:r>
      <w:r w:rsidR="00215FB5" w:rsidRPr="00E05C2C">
        <w:rPr>
          <w:rFonts w:cs="Arial"/>
          <w:sz w:val="32"/>
          <w:szCs w:val="32"/>
        </w:rPr>
        <w:t xml:space="preserve">shift from </w:t>
      </w:r>
      <w:r w:rsidRPr="00E05C2C">
        <w:rPr>
          <w:rFonts w:cs="Arial"/>
          <w:sz w:val="32"/>
          <w:szCs w:val="32"/>
        </w:rPr>
        <w:t xml:space="preserve">simply </w:t>
      </w:r>
      <w:r w:rsidR="00215FB5" w:rsidRPr="00E05C2C">
        <w:rPr>
          <w:rFonts w:cs="Arial"/>
          <w:sz w:val="32"/>
          <w:szCs w:val="32"/>
        </w:rPr>
        <w:t xml:space="preserve">organizing trainings for health-care workers, police </w:t>
      </w:r>
      <w:r w:rsidRPr="00E05C2C">
        <w:rPr>
          <w:rFonts w:cs="Arial"/>
          <w:sz w:val="32"/>
          <w:szCs w:val="32"/>
        </w:rPr>
        <w:t xml:space="preserve">or the judiciary, to the </w:t>
      </w:r>
      <w:r w:rsidRPr="00E05C2C">
        <w:rPr>
          <w:rFonts w:cs="Arial"/>
          <w:sz w:val="32"/>
          <w:szCs w:val="32"/>
        </w:rPr>
        <w:lastRenderedPageBreak/>
        <w:t xml:space="preserve">development of longer-term plans that incorporate all elements of what is required to reduce discrimination in health-care settings or violence against key populations by the police. We are seeing a much greater </w:t>
      </w:r>
      <w:r w:rsidR="00561418" w:rsidRPr="00E05C2C">
        <w:rPr>
          <w:rFonts w:cs="Arial"/>
          <w:sz w:val="32"/>
          <w:szCs w:val="32"/>
        </w:rPr>
        <w:t xml:space="preserve">attempt to integrate programs to reduce human rights-related barriers into existing treatment or prevention programs, rather than creating stand-alone programs, and to think from the beginning about how programs can be made sustainable. </w:t>
      </w:r>
    </w:p>
    <w:p w14:paraId="649E9F9A" w14:textId="77777777" w:rsidR="0082426D" w:rsidRPr="00E05C2C" w:rsidRDefault="0082426D" w:rsidP="00997139">
      <w:pPr>
        <w:spacing w:line="360" w:lineRule="auto"/>
        <w:rPr>
          <w:rFonts w:cs="Arial"/>
          <w:sz w:val="32"/>
          <w:szCs w:val="32"/>
        </w:rPr>
      </w:pPr>
    </w:p>
    <w:p w14:paraId="345DCBFC" w14:textId="77777777" w:rsidR="00561418" w:rsidRPr="00E05C2C" w:rsidRDefault="00561418" w:rsidP="00997139">
      <w:pPr>
        <w:spacing w:line="360" w:lineRule="auto"/>
        <w:rPr>
          <w:rFonts w:cs="Arial"/>
          <w:sz w:val="32"/>
          <w:szCs w:val="32"/>
        </w:rPr>
      </w:pPr>
      <w:r w:rsidRPr="00E05C2C">
        <w:rPr>
          <w:rFonts w:cs="Arial"/>
          <w:sz w:val="32"/>
          <w:szCs w:val="32"/>
        </w:rPr>
        <w:t>So we have already achieved a lot, and are showing some great results. What about the impact of this work?</w:t>
      </w:r>
    </w:p>
    <w:p w14:paraId="24E3E0D4" w14:textId="77777777" w:rsidR="003E6F7A" w:rsidRPr="00E05C2C" w:rsidRDefault="003E6F7A" w:rsidP="00997139">
      <w:pPr>
        <w:spacing w:line="360" w:lineRule="auto"/>
        <w:rPr>
          <w:rFonts w:cs="Arial"/>
          <w:b/>
          <w:sz w:val="32"/>
          <w:szCs w:val="32"/>
        </w:rPr>
      </w:pPr>
    </w:p>
    <w:p w14:paraId="4FB7E600" w14:textId="61D3F485" w:rsidR="00561418" w:rsidRPr="00E05C2C" w:rsidRDefault="00561418" w:rsidP="00997139">
      <w:pPr>
        <w:spacing w:line="360" w:lineRule="auto"/>
        <w:rPr>
          <w:sz w:val="32"/>
          <w:szCs w:val="32"/>
          <w:lang w:val="en-GB"/>
        </w:rPr>
      </w:pPr>
      <w:r w:rsidRPr="00E05C2C">
        <w:rPr>
          <w:rFonts w:cs="Arial"/>
          <w:b/>
          <w:sz w:val="32"/>
          <w:szCs w:val="32"/>
        </w:rPr>
        <w:t xml:space="preserve">This brings me to another first. </w:t>
      </w:r>
      <w:r w:rsidRPr="00E05C2C">
        <w:rPr>
          <w:b/>
          <w:sz w:val="32"/>
          <w:szCs w:val="32"/>
        </w:rPr>
        <w:t>We put a rigorous M&amp;E framework in place</w:t>
      </w:r>
      <w:r w:rsidRPr="00E05C2C">
        <w:rPr>
          <w:sz w:val="32"/>
          <w:szCs w:val="32"/>
        </w:rPr>
        <w:t xml:space="preserve"> that will allow us to show what difference the scale up makes for </w:t>
      </w:r>
      <w:r w:rsidR="0094667D" w:rsidRPr="00E05C2C">
        <w:rPr>
          <w:sz w:val="32"/>
          <w:szCs w:val="32"/>
        </w:rPr>
        <w:t>key and vulnerable populations. Will discrimination decrease in health-care settings? Will a</w:t>
      </w:r>
      <w:r w:rsidR="00820D80" w:rsidRPr="00E05C2C">
        <w:rPr>
          <w:sz w:val="32"/>
          <w:szCs w:val="32"/>
        </w:rPr>
        <w:t>ccess to justice increase? W</w:t>
      </w:r>
      <w:r w:rsidR="0094667D" w:rsidRPr="00E05C2C">
        <w:rPr>
          <w:sz w:val="32"/>
          <w:szCs w:val="32"/>
        </w:rPr>
        <w:t xml:space="preserve">hat changes will occur to laws, policies, and practices? </w:t>
      </w:r>
      <w:r w:rsidR="00820D80" w:rsidRPr="00E05C2C">
        <w:rPr>
          <w:sz w:val="32"/>
          <w:szCs w:val="32"/>
        </w:rPr>
        <w:t xml:space="preserve">And ultimately, what does all of this mean for </w:t>
      </w:r>
      <w:r w:rsidR="00706824" w:rsidRPr="00E05C2C">
        <w:rPr>
          <w:sz w:val="32"/>
          <w:szCs w:val="32"/>
        </w:rPr>
        <w:t xml:space="preserve">the lives of communities on the ground, for </w:t>
      </w:r>
      <w:r w:rsidR="00820D80" w:rsidRPr="00E05C2C">
        <w:rPr>
          <w:sz w:val="32"/>
          <w:szCs w:val="32"/>
        </w:rPr>
        <w:t xml:space="preserve">uptake of and retention in </w:t>
      </w:r>
      <w:r w:rsidR="004222A2" w:rsidRPr="00E05C2C">
        <w:rPr>
          <w:sz w:val="32"/>
          <w:szCs w:val="32"/>
        </w:rPr>
        <w:t>services</w:t>
      </w:r>
      <w:r w:rsidR="00820D80" w:rsidRPr="00E05C2C">
        <w:rPr>
          <w:sz w:val="32"/>
          <w:szCs w:val="32"/>
        </w:rPr>
        <w:t xml:space="preserve">, and thus for the overall impact of our grants? </w:t>
      </w:r>
      <w:r w:rsidR="0094667D" w:rsidRPr="00E05C2C">
        <w:rPr>
          <w:sz w:val="32"/>
          <w:szCs w:val="32"/>
        </w:rPr>
        <w:t xml:space="preserve">These are just a few of the many questions that we will </w:t>
      </w:r>
      <w:r w:rsidR="004222A2" w:rsidRPr="00E05C2C">
        <w:rPr>
          <w:sz w:val="32"/>
          <w:szCs w:val="32"/>
        </w:rPr>
        <w:t xml:space="preserve">be able to </w:t>
      </w:r>
      <w:r w:rsidR="0094667D" w:rsidRPr="00E05C2C">
        <w:rPr>
          <w:sz w:val="32"/>
          <w:szCs w:val="32"/>
        </w:rPr>
        <w:t xml:space="preserve">answer in the coming years. They will help us further refine our approaches, not only in the countries in the cohort, but ultimately across our portfolio. </w:t>
      </w:r>
    </w:p>
    <w:p w14:paraId="5CFF7121" w14:textId="77777777" w:rsidR="00215FB5" w:rsidRPr="00E05C2C" w:rsidRDefault="00215FB5" w:rsidP="00997139">
      <w:pPr>
        <w:spacing w:line="360" w:lineRule="auto"/>
        <w:rPr>
          <w:rFonts w:cs="Arial"/>
          <w:sz w:val="32"/>
          <w:szCs w:val="32"/>
        </w:rPr>
      </w:pPr>
    </w:p>
    <w:p w14:paraId="4EA3E4BE" w14:textId="5CC673F1" w:rsidR="00CC76E2" w:rsidRPr="00E05C2C" w:rsidRDefault="00E05C2C" w:rsidP="00997139">
      <w:pPr>
        <w:spacing w:line="360" w:lineRule="auto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lastRenderedPageBreak/>
        <w:t>W</w:t>
      </w:r>
      <w:r w:rsidR="0082426D" w:rsidRPr="00E05C2C">
        <w:rPr>
          <w:rFonts w:cs="Arial"/>
          <w:sz w:val="32"/>
          <w:szCs w:val="32"/>
        </w:rPr>
        <w:t xml:space="preserve">e have </w:t>
      </w:r>
      <w:r>
        <w:rPr>
          <w:rFonts w:cs="Arial"/>
          <w:sz w:val="32"/>
          <w:szCs w:val="32"/>
        </w:rPr>
        <w:t xml:space="preserve">also </w:t>
      </w:r>
      <w:r w:rsidR="0082426D" w:rsidRPr="00E05C2C">
        <w:rPr>
          <w:rFonts w:cs="Arial"/>
          <w:sz w:val="32"/>
          <w:szCs w:val="32"/>
        </w:rPr>
        <w:t xml:space="preserve">identified the challenges that remain to be </w:t>
      </w:r>
      <w:r w:rsidR="00820D80" w:rsidRPr="00E05C2C">
        <w:rPr>
          <w:rFonts w:cs="Arial"/>
          <w:sz w:val="32"/>
          <w:szCs w:val="32"/>
        </w:rPr>
        <w:t xml:space="preserve">overcome. </w:t>
      </w:r>
      <w:r w:rsidR="0082426D" w:rsidRPr="00E05C2C">
        <w:rPr>
          <w:rFonts w:cs="Arial"/>
          <w:sz w:val="32"/>
          <w:szCs w:val="32"/>
        </w:rPr>
        <w:t xml:space="preserve">They include that </w:t>
      </w:r>
      <w:r w:rsidR="00620DB3" w:rsidRPr="00E05C2C">
        <w:rPr>
          <w:rFonts w:cs="Arial"/>
          <w:sz w:val="32"/>
          <w:szCs w:val="32"/>
        </w:rPr>
        <w:t xml:space="preserve">capacity at the Secretariat </w:t>
      </w:r>
      <w:r w:rsidR="0082426D" w:rsidRPr="00E05C2C">
        <w:rPr>
          <w:rFonts w:cs="Arial"/>
          <w:sz w:val="32"/>
          <w:szCs w:val="32"/>
        </w:rPr>
        <w:t xml:space="preserve">remains </w:t>
      </w:r>
      <w:r w:rsidR="00620DB3" w:rsidRPr="00E05C2C">
        <w:rPr>
          <w:rFonts w:cs="Arial"/>
          <w:sz w:val="32"/>
          <w:szCs w:val="32"/>
        </w:rPr>
        <w:t xml:space="preserve">limited and that ownership of </w:t>
      </w:r>
      <w:r w:rsidR="00706824" w:rsidRPr="00E05C2C">
        <w:rPr>
          <w:rFonts w:cs="Arial"/>
          <w:sz w:val="32"/>
          <w:szCs w:val="32"/>
        </w:rPr>
        <w:t xml:space="preserve">the </w:t>
      </w:r>
      <w:r w:rsidR="00620DB3" w:rsidRPr="00E05C2C">
        <w:rPr>
          <w:rFonts w:cs="Arial"/>
          <w:sz w:val="32"/>
          <w:szCs w:val="32"/>
        </w:rPr>
        <w:t>human rights</w:t>
      </w:r>
      <w:r w:rsidR="00706824" w:rsidRPr="00E05C2C">
        <w:rPr>
          <w:rFonts w:cs="Arial"/>
          <w:sz w:val="32"/>
          <w:szCs w:val="32"/>
        </w:rPr>
        <w:t xml:space="preserve"> agenda</w:t>
      </w:r>
      <w:r w:rsidR="00620DB3" w:rsidRPr="00E05C2C">
        <w:rPr>
          <w:rFonts w:cs="Arial"/>
          <w:sz w:val="32"/>
          <w:szCs w:val="32"/>
        </w:rPr>
        <w:t xml:space="preserve"> also remains limited. In some countries, the capacity of technical partners to provide support has also decreased. Finally, in many countries programs </w:t>
      </w:r>
      <w:r w:rsidR="00242159" w:rsidRPr="00E05C2C">
        <w:rPr>
          <w:rFonts w:cs="Arial"/>
          <w:sz w:val="32"/>
          <w:szCs w:val="32"/>
        </w:rPr>
        <w:t xml:space="preserve">to reduce human rights-related barriers to services </w:t>
      </w:r>
      <w:r w:rsidR="00620DB3" w:rsidRPr="00E05C2C">
        <w:rPr>
          <w:rFonts w:cs="Arial"/>
          <w:sz w:val="32"/>
          <w:szCs w:val="32"/>
        </w:rPr>
        <w:t xml:space="preserve">have never been implemented before, and </w:t>
      </w:r>
      <w:r w:rsidR="0082426D" w:rsidRPr="00E05C2C">
        <w:rPr>
          <w:rFonts w:cs="Arial"/>
          <w:sz w:val="32"/>
          <w:szCs w:val="32"/>
        </w:rPr>
        <w:t>we are only now able to start providing</w:t>
      </w:r>
      <w:r w:rsidR="003E6F7A" w:rsidRPr="00E05C2C">
        <w:rPr>
          <w:rFonts w:cs="Arial"/>
          <w:sz w:val="32"/>
          <w:szCs w:val="32"/>
        </w:rPr>
        <w:t xml:space="preserve"> technical assistance</w:t>
      </w:r>
      <w:r w:rsidR="00620DB3" w:rsidRPr="00E05C2C">
        <w:rPr>
          <w:rFonts w:cs="Arial"/>
          <w:sz w:val="32"/>
          <w:szCs w:val="32"/>
        </w:rPr>
        <w:t xml:space="preserve"> to ensure the right programs are implemented in the right way </w:t>
      </w:r>
      <w:r w:rsidR="00CC76E2" w:rsidRPr="00E05C2C">
        <w:rPr>
          <w:rFonts w:cs="Arial"/>
          <w:sz w:val="32"/>
          <w:szCs w:val="32"/>
        </w:rPr>
        <w:t xml:space="preserve">by the right implementers, and are integrated into existing prevention and treatment programs as an important component of those programs, rather than </w:t>
      </w:r>
      <w:r w:rsidR="00242159" w:rsidRPr="00E05C2C">
        <w:rPr>
          <w:rFonts w:cs="Arial"/>
          <w:sz w:val="32"/>
          <w:szCs w:val="32"/>
        </w:rPr>
        <w:t xml:space="preserve">set up as </w:t>
      </w:r>
      <w:r w:rsidR="00CC76E2" w:rsidRPr="00E05C2C">
        <w:rPr>
          <w:rFonts w:cs="Arial"/>
          <w:sz w:val="32"/>
          <w:szCs w:val="32"/>
        </w:rPr>
        <w:t xml:space="preserve">standalone programs. </w:t>
      </w:r>
      <w:r w:rsidR="00820D80" w:rsidRPr="00E05C2C">
        <w:rPr>
          <w:rFonts w:cs="Arial"/>
          <w:sz w:val="32"/>
          <w:szCs w:val="32"/>
        </w:rPr>
        <w:t>We have crafted proposals aimed at addressing these challenges and hope we wi</w:t>
      </w:r>
      <w:r w:rsidR="003E6F7A" w:rsidRPr="00E05C2C">
        <w:rPr>
          <w:rFonts w:cs="Arial"/>
          <w:sz w:val="32"/>
          <w:szCs w:val="32"/>
        </w:rPr>
        <w:t>ll make progress on them during the course of this year</w:t>
      </w:r>
      <w:r w:rsidR="00820D80" w:rsidRPr="00E05C2C">
        <w:rPr>
          <w:rFonts w:cs="Arial"/>
          <w:sz w:val="32"/>
          <w:szCs w:val="32"/>
        </w:rPr>
        <w:t>.</w:t>
      </w:r>
    </w:p>
    <w:p w14:paraId="19FD6A5D" w14:textId="77777777" w:rsidR="003E6F7A" w:rsidRPr="00E05C2C" w:rsidRDefault="003E6F7A" w:rsidP="00997139">
      <w:pPr>
        <w:spacing w:line="360" w:lineRule="auto"/>
        <w:rPr>
          <w:rFonts w:cs="Arial"/>
          <w:sz w:val="32"/>
          <w:szCs w:val="32"/>
        </w:rPr>
      </w:pPr>
    </w:p>
    <w:p w14:paraId="7EC87AA5" w14:textId="1508DDBD" w:rsidR="003E6F7A" w:rsidRPr="00E05C2C" w:rsidRDefault="003E6F7A" w:rsidP="00997139">
      <w:pPr>
        <w:spacing w:line="360" w:lineRule="auto"/>
        <w:rPr>
          <w:rFonts w:cs="Arial"/>
          <w:sz w:val="32"/>
          <w:szCs w:val="32"/>
        </w:rPr>
      </w:pPr>
      <w:r w:rsidRPr="00E05C2C">
        <w:rPr>
          <w:rFonts w:cs="Arial"/>
          <w:sz w:val="32"/>
          <w:szCs w:val="32"/>
        </w:rPr>
        <w:t xml:space="preserve">Finally, in addition to funding programs to reduce human rights-related barriers to services at country level, where they are most needed, we also fund work at regional level as part of so-called regional or multi-country grants, recognizing that some programs and interventions are only possible at that level. We will hear a lot more about this </w:t>
      </w:r>
      <w:r w:rsidR="00C308D9" w:rsidRPr="00E05C2C">
        <w:rPr>
          <w:rFonts w:cs="Arial"/>
          <w:sz w:val="32"/>
          <w:szCs w:val="32"/>
        </w:rPr>
        <w:t xml:space="preserve">now </w:t>
      </w:r>
      <w:r w:rsidRPr="00E05C2C">
        <w:rPr>
          <w:rFonts w:cs="Arial"/>
          <w:sz w:val="32"/>
          <w:szCs w:val="32"/>
        </w:rPr>
        <w:t xml:space="preserve">from </w:t>
      </w:r>
      <w:r w:rsidR="00C308D9" w:rsidRPr="00E05C2C">
        <w:rPr>
          <w:rFonts w:cs="Arial"/>
          <w:sz w:val="32"/>
          <w:szCs w:val="32"/>
        </w:rPr>
        <w:t>my colleagues.</w:t>
      </w:r>
    </w:p>
    <w:p w14:paraId="102F6458" w14:textId="77777777" w:rsidR="00C308D9" w:rsidRPr="00E05C2C" w:rsidRDefault="00C308D9" w:rsidP="00997139">
      <w:pPr>
        <w:spacing w:line="360" w:lineRule="auto"/>
        <w:rPr>
          <w:rFonts w:cs="Arial"/>
          <w:sz w:val="32"/>
          <w:szCs w:val="32"/>
        </w:rPr>
      </w:pPr>
    </w:p>
    <w:p w14:paraId="42BB6F0F" w14:textId="29E62FE7" w:rsidR="0082426D" w:rsidRPr="00E05C2C" w:rsidRDefault="00820D80" w:rsidP="00997139">
      <w:pPr>
        <w:spacing w:line="360" w:lineRule="auto"/>
        <w:rPr>
          <w:rFonts w:cs="Arial"/>
          <w:sz w:val="32"/>
          <w:szCs w:val="32"/>
        </w:rPr>
      </w:pPr>
      <w:r w:rsidRPr="00E05C2C">
        <w:rPr>
          <w:rFonts w:cs="Arial"/>
          <w:sz w:val="32"/>
          <w:szCs w:val="32"/>
        </w:rPr>
        <w:t>Thank you!</w:t>
      </w:r>
      <w:bookmarkStart w:id="0" w:name="_GoBack"/>
      <w:bookmarkEnd w:id="0"/>
    </w:p>
    <w:sectPr w:rsidR="0082426D" w:rsidRPr="00E05C2C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05CE5E" w14:textId="77777777" w:rsidR="00576CEA" w:rsidRDefault="00576CEA" w:rsidP="00215EAB">
      <w:r>
        <w:separator/>
      </w:r>
    </w:p>
  </w:endnote>
  <w:endnote w:type="continuationSeparator" w:id="0">
    <w:p w14:paraId="668F4DCD" w14:textId="77777777" w:rsidR="00576CEA" w:rsidRDefault="00576CEA" w:rsidP="00215E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488909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ABC179F" w14:textId="77777777" w:rsidR="0000053E" w:rsidRDefault="0000053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05C2C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1CE31B8F" w14:textId="77777777" w:rsidR="0000053E" w:rsidRDefault="0000053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3363A3" w14:textId="77777777" w:rsidR="00576CEA" w:rsidRDefault="00576CEA" w:rsidP="00215EAB">
      <w:r>
        <w:separator/>
      </w:r>
    </w:p>
  </w:footnote>
  <w:footnote w:type="continuationSeparator" w:id="0">
    <w:p w14:paraId="11B9519C" w14:textId="77777777" w:rsidR="00576CEA" w:rsidRDefault="00576CEA" w:rsidP="00215E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3788633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B9BEC48" w14:textId="38F60E15" w:rsidR="00F55893" w:rsidRDefault="00F55893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05C2C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0A035A68" w14:textId="77777777" w:rsidR="00F55893" w:rsidRDefault="00F5589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1223D6"/>
    <w:multiLevelType w:val="hybridMultilevel"/>
    <w:tmpl w:val="E74C0D7E"/>
    <w:lvl w:ilvl="0" w:tplc="D83ABC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3F4F1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0E30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CA1D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6852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7A89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8634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010AE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605D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5FA50B8"/>
    <w:multiLevelType w:val="hybridMultilevel"/>
    <w:tmpl w:val="F1F4D9F2"/>
    <w:lvl w:ilvl="0" w:tplc="A85C6D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9A056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46829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76AD3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406E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48CA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08E7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8CB4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0408F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A911822"/>
    <w:multiLevelType w:val="hybridMultilevel"/>
    <w:tmpl w:val="18F025D2"/>
    <w:lvl w:ilvl="0" w:tplc="44A867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BFAF6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BC0F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AC058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7DC0B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AC5C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900F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03C1C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342E5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47C170A9"/>
    <w:multiLevelType w:val="hybridMultilevel"/>
    <w:tmpl w:val="555E83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AA1D18"/>
    <w:multiLevelType w:val="hybridMultilevel"/>
    <w:tmpl w:val="98AA28E8"/>
    <w:lvl w:ilvl="0" w:tplc="D1B807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B0C3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D051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4031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F042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D8E60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D66BE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D56D3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CE206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6BEF060A"/>
    <w:multiLevelType w:val="hybridMultilevel"/>
    <w:tmpl w:val="AE14B1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4D1EB7"/>
    <w:multiLevelType w:val="hybridMultilevel"/>
    <w:tmpl w:val="FE2EC792"/>
    <w:lvl w:ilvl="0" w:tplc="AB30FF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9ADE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DCC4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2A43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42C3D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AF6CA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176C5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06A08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82E41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79AD244A"/>
    <w:multiLevelType w:val="hybridMultilevel"/>
    <w:tmpl w:val="B6F207D0"/>
    <w:lvl w:ilvl="0" w:tplc="FCC0DE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B3AEA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386C3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C249C6"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F3433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0E825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DC48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22AA9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E4B9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7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DFC"/>
    <w:rsid w:val="0000053E"/>
    <w:rsid w:val="00003360"/>
    <w:rsid w:val="000309B5"/>
    <w:rsid w:val="00030B45"/>
    <w:rsid w:val="00043322"/>
    <w:rsid w:val="00044288"/>
    <w:rsid w:val="00083192"/>
    <w:rsid w:val="00096A8F"/>
    <w:rsid w:val="000D7F51"/>
    <w:rsid w:val="000F76B5"/>
    <w:rsid w:val="00156964"/>
    <w:rsid w:val="00187CD8"/>
    <w:rsid w:val="001B2981"/>
    <w:rsid w:val="001C17DC"/>
    <w:rsid w:val="001C5297"/>
    <w:rsid w:val="001F292B"/>
    <w:rsid w:val="002000CD"/>
    <w:rsid w:val="00211E0F"/>
    <w:rsid w:val="00215EAB"/>
    <w:rsid w:val="00215FB5"/>
    <w:rsid w:val="00220A40"/>
    <w:rsid w:val="00242159"/>
    <w:rsid w:val="00242D62"/>
    <w:rsid w:val="002620E2"/>
    <w:rsid w:val="0027201B"/>
    <w:rsid w:val="00272ED2"/>
    <w:rsid w:val="002849A8"/>
    <w:rsid w:val="002B17A5"/>
    <w:rsid w:val="002B3DE4"/>
    <w:rsid w:val="00316052"/>
    <w:rsid w:val="003433C1"/>
    <w:rsid w:val="003662CD"/>
    <w:rsid w:val="00396993"/>
    <w:rsid w:val="003B29B1"/>
    <w:rsid w:val="003C3867"/>
    <w:rsid w:val="003E6F7A"/>
    <w:rsid w:val="004139C9"/>
    <w:rsid w:val="004222A2"/>
    <w:rsid w:val="004308BE"/>
    <w:rsid w:val="00431C39"/>
    <w:rsid w:val="00453223"/>
    <w:rsid w:val="00462C55"/>
    <w:rsid w:val="0048792F"/>
    <w:rsid w:val="00495A48"/>
    <w:rsid w:val="004E353E"/>
    <w:rsid w:val="00510CA8"/>
    <w:rsid w:val="00523A6A"/>
    <w:rsid w:val="00526AF5"/>
    <w:rsid w:val="00545B81"/>
    <w:rsid w:val="00546069"/>
    <w:rsid w:val="00561418"/>
    <w:rsid w:val="00566245"/>
    <w:rsid w:val="00576CEA"/>
    <w:rsid w:val="00577CBE"/>
    <w:rsid w:val="00586D38"/>
    <w:rsid w:val="005C7CB2"/>
    <w:rsid w:val="005D1845"/>
    <w:rsid w:val="005F3648"/>
    <w:rsid w:val="00620DB3"/>
    <w:rsid w:val="006210AB"/>
    <w:rsid w:val="006329E2"/>
    <w:rsid w:val="0063606D"/>
    <w:rsid w:val="00640F55"/>
    <w:rsid w:val="00675D5A"/>
    <w:rsid w:val="00684F3E"/>
    <w:rsid w:val="0069069A"/>
    <w:rsid w:val="00696BE9"/>
    <w:rsid w:val="00697895"/>
    <w:rsid w:val="006A1839"/>
    <w:rsid w:val="006C154A"/>
    <w:rsid w:val="006C3C9D"/>
    <w:rsid w:val="006F70ED"/>
    <w:rsid w:val="006F7C02"/>
    <w:rsid w:val="007025CB"/>
    <w:rsid w:val="00704175"/>
    <w:rsid w:val="00705F1D"/>
    <w:rsid w:val="00706824"/>
    <w:rsid w:val="00753076"/>
    <w:rsid w:val="0075599C"/>
    <w:rsid w:val="00770843"/>
    <w:rsid w:val="00795513"/>
    <w:rsid w:val="007D2601"/>
    <w:rsid w:val="008060BF"/>
    <w:rsid w:val="0080689F"/>
    <w:rsid w:val="00815032"/>
    <w:rsid w:val="00820D80"/>
    <w:rsid w:val="0082426D"/>
    <w:rsid w:val="00885EE8"/>
    <w:rsid w:val="008B05B4"/>
    <w:rsid w:val="008B414C"/>
    <w:rsid w:val="008C060F"/>
    <w:rsid w:val="008C1D7D"/>
    <w:rsid w:val="008D69C0"/>
    <w:rsid w:val="00902EFB"/>
    <w:rsid w:val="00916467"/>
    <w:rsid w:val="009305BE"/>
    <w:rsid w:val="0093502F"/>
    <w:rsid w:val="00943CF4"/>
    <w:rsid w:val="0094667D"/>
    <w:rsid w:val="009477C5"/>
    <w:rsid w:val="00954577"/>
    <w:rsid w:val="00956EAA"/>
    <w:rsid w:val="00961C2D"/>
    <w:rsid w:val="00985505"/>
    <w:rsid w:val="00985A6D"/>
    <w:rsid w:val="00997139"/>
    <w:rsid w:val="009B11DA"/>
    <w:rsid w:val="009C3B1A"/>
    <w:rsid w:val="009D084F"/>
    <w:rsid w:val="009D3B11"/>
    <w:rsid w:val="009D79E1"/>
    <w:rsid w:val="009E2EE0"/>
    <w:rsid w:val="00A01874"/>
    <w:rsid w:val="00A120C4"/>
    <w:rsid w:val="00A200CB"/>
    <w:rsid w:val="00A21A11"/>
    <w:rsid w:val="00A244EC"/>
    <w:rsid w:val="00A24A8F"/>
    <w:rsid w:val="00A30454"/>
    <w:rsid w:val="00A343A5"/>
    <w:rsid w:val="00A52764"/>
    <w:rsid w:val="00A807E8"/>
    <w:rsid w:val="00A80AEB"/>
    <w:rsid w:val="00AD50B0"/>
    <w:rsid w:val="00AD7D1B"/>
    <w:rsid w:val="00AF1527"/>
    <w:rsid w:val="00AF16E7"/>
    <w:rsid w:val="00B163F2"/>
    <w:rsid w:val="00B21846"/>
    <w:rsid w:val="00B40530"/>
    <w:rsid w:val="00B53FF6"/>
    <w:rsid w:val="00B73DA0"/>
    <w:rsid w:val="00B83E03"/>
    <w:rsid w:val="00B963A6"/>
    <w:rsid w:val="00BA720B"/>
    <w:rsid w:val="00BD243C"/>
    <w:rsid w:val="00BF149E"/>
    <w:rsid w:val="00C13993"/>
    <w:rsid w:val="00C16A85"/>
    <w:rsid w:val="00C17529"/>
    <w:rsid w:val="00C308D9"/>
    <w:rsid w:val="00C70D6A"/>
    <w:rsid w:val="00C7185F"/>
    <w:rsid w:val="00C87521"/>
    <w:rsid w:val="00CB7629"/>
    <w:rsid w:val="00CC2C93"/>
    <w:rsid w:val="00CC76E2"/>
    <w:rsid w:val="00CD575A"/>
    <w:rsid w:val="00CE67F5"/>
    <w:rsid w:val="00D0678F"/>
    <w:rsid w:val="00D06DFC"/>
    <w:rsid w:val="00D13D33"/>
    <w:rsid w:val="00D24095"/>
    <w:rsid w:val="00D44F6E"/>
    <w:rsid w:val="00D5778F"/>
    <w:rsid w:val="00D63D35"/>
    <w:rsid w:val="00D8699D"/>
    <w:rsid w:val="00D9518F"/>
    <w:rsid w:val="00DC7F70"/>
    <w:rsid w:val="00DD78CF"/>
    <w:rsid w:val="00E05C2C"/>
    <w:rsid w:val="00E2206E"/>
    <w:rsid w:val="00E4008E"/>
    <w:rsid w:val="00E45B4F"/>
    <w:rsid w:val="00E51627"/>
    <w:rsid w:val="00E66263"/>
    <w:rsid w:val="00E9773B"/>
    <w:rsid w:val="00EC773B"/>
    <w:rsid w:val="00F02D28"/>
    <w:rsid w:val="00F10B05"/>
    <w:rsid w:val="00F20950"/>
    <w:rsid w:val="00F55893"/>
    <w:rsid w:val="00F97993"/>
    <w:rsid w:val="00FC46B8"/>
    <w:rsid w:val="00FD55C9"/>
    <w:rsid w:val="00FE4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DB82D74"/>
  <w15:docId w15:val="{629E5E61-D53A-44C2-963C-E7AB18845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69069A"/>
    <w:pPr>
      <w:spacing w:after="0" w:line="240" w:lineRule="auto"/>
    </w:pPr>
    <w:rPr>
      <w:rFonts w:ascii="Georgia" w:eastAsiaTheme="minorEastAsia" w:hAnsi="Georgia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20E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15EA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5EAB"/>
    <w:rPr>
      <w:rFonts w:ascii="Georgia" w:eastAsiaTheme="minorEastAsia" w:hAnsi="Georgia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15EA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5EAB"/>
    <w:rPr>
      <w:rFonts w:ascii="Georgia" w:eastAsiaTheme="minorEastAsia" w:hAnsi="Georgia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575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575A"/>
    <w:rPr>
      <w:rFonts w:ascii="Segoe UI" w:eastAsiaTheme="minorEastAsia" w:hAnsi="Segoe UI" w:cs="Segoe UI"/>
      <w:sz w:val="18"/>
      <w:szCs w:val="18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D69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69C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69C0"/>
    <w:rPr>
      <w:rFonts w:ascii="Georgia" w:eastAsiaTheme="minorEastAsia" w:hAnsi="Georgia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69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69C0"/>
    <w:rPr>
      <w:rFonts w:ascii="Georgia" w:eastAsiaTheme="minorEastAsia" w:hAnsi="Georgia"/>
      <w:b/>
      <w:bCs/>
      <w:sz w:val="20"/>
      <w:szCs w:val="20"/>
      <w:lang w:val="en-US"/>
    </w:rPr>
  </w:style>
  <w:style w:type="paragraph" w:styleId="NormalWeb">
    <w:name w:val="Normal (Web)"/>
    <w:basedOn w:val="Normal"/>
    <w:uiPriority w:val="99"/>
    <w:unhideWhenUsed/>
    <w:rsid w:val="00C7185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E67F5"/>
    <w:rPr>
      <w:rFonts w:asciiTheme="minorHAnsi" w:eastAsiaTheme="minorHAnsi" w:hAnsiTheme="minorHAns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E67F5"/>
    <w:rPr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9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99398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39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2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9387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087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8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0740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3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7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835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011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06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62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9426">
          <w:marLeft w:val="8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92813">
          <w:marLeft w:val="8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167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1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5421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900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828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598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0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2287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A75CC63-5FF0-4ACA-A605-7021CE68EBFA}"/>
</file>

<file path=customXml/itemProps2.xml><?xml version="1.0" encoding="utf-8"?>
<ds:datastoreItem xmlns:ds="http://schemas.openxmlformats.org/officeDocument/2006/customXml" ds:itemID="{41A16752-3A47-4814-B057-235564ABDFB2}"/>
</file>

<file path=customXml/itemProps3.xml><?xml version="1.0" encoding="utf-8"?>
<ds:datastoreItem xmlns:ds="http://schemas.openxmlformats.org/officeDocument/2006/customXml" ds:itemID="{FAC740DF-66D8-44AB-91FC-02D34CE5E0DA}"/>
</file>

<file path=docProps/app.xml><?xml version="1.0" encoding="utf-8"?>
<Properties xmlns="http://schemas.openxmlformats.org/officeDocument/2006/extended-properties" xmlns:vt="http://schemas.openxmlformats.org/officeDocument/2006/docPropsVTypes">
  <Template>FF4199C4.dotm</Template>
  <TotalTime>0</TotalTime>
  <Pages>9</Pages>
  <Words>1455</Words>
  <Characters>8297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Ralf Jurgens</dc:creator>
  <cp:keywords/>
  <dc:description/>
  <cp:lastModifiedBy>Ralf Jurgens</cp:lastModifiedBy>
  <cp:revision>2</cp:revision>
  <cp:lastPrinted>2018-11-13T11:06:00Z</cp:lastPrinted>
  <dcterms:created xsi:type="dcterms:W3CDTF">2019-02-12T11:15:00Z</dcterms:created>
  <dcterms:modified xsi:type="dcterms:W3CDTF">2019-02-12T11:15:00Z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