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7A7B" w14:textId="77777777" w:rsidR="006E1653" w:rsidRPr="00DD28FF" w:rsidRDefault="00133B92" w:rsidP="009334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DD28FF">
        <w:rPr>
          <w:rFonts w:ascii="Arial" w:eastAsia="Times New Roman" w:hAnsi="Arial" w:cs="Arial"/>
          <w:b/>
          <w:sz w:val="24"/>
          <w:szCs w:val="24"/>
          <w:lang w:val="en-GB"/>
        </w:rPr>
        <w:t>“Submission COVID-19 &amp; migrants report”</w:t>
      </w:r>
      <w:r w:rsidR="006F505C" w:rsidRPr="00DD28FF">
        <w:rPr>
          <w:rFonts w:ascii="Arial" w:hAnsi="Arial" w:cs="Arial"/>
          <w:b/>
          <w:sz w:val="24"/>
          <w:szCs w:val="24"/>
          <w:lang w:val="en-GB"/>
        </w:rPr>
        <w:t xml:space="preserve"> - </w:t>
      </w:r>
      <w:r w:rsidRPr="00DD28FF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Ecuador </w:t>
      </w:r>
    </w:p>
    <w:p w14:paraId="49218611" w14:textId="77777777" w:rsidR="00B91453" w:rsidRPr="004A4D86" w:rsidRDefault="00B91453" w:rsidP="004A4D86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 xml:space="preserve">Todos los establecimientos de primer nivel de atención de salud prestaron servicios, sin interrupción a la población en general, incluidas las </w:t>
      </w:r>
      <w:proofErr w:type="gramStart"/>
      <w:r w:rsidRPr="004A4D86">
        <w:rPr>
          <w:rFonts w:ascii="Arial" w:hAnsi="Arial" w:cs="Arial"/>
          <w:sz w:val="24"/>
          <w:szCs w:val="24"/>
          <w:lang w:val="es-ES_tradnl"/>
        </w:rPr>
        <w:t>personas migrante</w:t>
      </w:r>
      <w:proofErr w:type="gramEnd"/>
      <w:r w:rsidR="006E1653" w:rsidRPr="004A4D86">
        <w:rPr>
          <w:rFonts w:ascii="Arial" w:hAnsi="Arial" w:cs="Arial"/>
          <w:sz w:val="24"/>
          <w:szCs w:val="24"/>
          <w:lang w:val="es-ES_tradnl"/>
        </w:rPr>
        <w:t xml:space="preserve"> y recibió con</w:t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 flujos de atención diferenciados para pacientes con síntomas respiratorios y usuarios que acudieron a los establecimientos para recibir otros servicios</w:t>
      </w:r>
      <w:r w:rsidR="006E1653" w:rsidRPr="004A4D86">
        <w:rPr>
          <w:rFonts w:ascii="Arial" w:hAnsi="Arial" w:cs="Arial"/>
          <w:sz w:val="24"/>
          <w:szCs w:val="24"/>
          <w:lang w:val="es-ES_tradnl"/>
        </w:rPr>
        <w:t>. Adicionalmente,</w:t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1653" w:rsidRPr="004A4D86">
        <w:rPr>
          <w:rFonts w:ascii="Arial" w:hAnsi="Arial" w:cs="Arial"/>
          <w:sz w:val="24"/>
          <w:szCs w:val="24"/>
          <w:lang w:val="es-ES_tradnl"/>
        </w:rPr>
        <w:t xml:space="preserve">la atención sanitaria </w:t>
      </w:r>
      <w:r w:rsidRPr="004A4D86">
        <w:rPr>
          <w:rFonts w:ascii="Arial" w:hAnsi="Arial" w:cs="Arial"/>
          <w:sz w:val="24"/>
          <w:szCs w:val="24"/>
          <w:lang w:val="es-ES_tradnl"/>
        </w:rPr>
        <w:t>para la población migrante</w:t>
      </w:r>
      <w:r w:rsidR="006E1653" w:rsidRPr="004A4D86">
        <w:rPr>
          <w:rFonts w:ascii="Arial" w:hAnsi="Arial" w:cs="Arial"/>
          <w:sz w:val="24"/>
          <w:szCs w:val="24"/>
          <w:lang w:val="es-ES_tradnl"/>
        </w:rPr>
        <w:t xml:space="preserve"> se reforzó así</w:t>
      </w:r>
      <w:r w:rsidRPr="004A4D86">
        <w:rPr>
          <w:rFonts w:ascii="Arial" w:hAnsi="Arial" w:cs="Arial"/>
          <w:sz w:val="24"/>
          <w:szCs w:val="24"/>
          <w:lang w:val="es-ES_tradnl"/>
        </w:rPr>
        <w:t>:</w:t>
      </w:r>
    </w:p>
    <w:p w14:paraId="26211BA9" w14:textId="77777777" w:rsidR="00B91453" w:rsidRPr="004A4D86" w:rsidRDefault="00B91453" w:rsidP="0093348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sym w:font="Symbol" w:char="F0B7"/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 Jornadas de atención integral en salud para poblaciones migrantes con énfasis en niños, niñas y adolescentes, mujeres embarazadas y adultos mayores, realizadas en la ciudad de Loja, Huaquillas y Machala.</w:t>
      </w:r>
    </w:p>
    <w:p w14:paraId="5F2EE1EF" w14:textId="77777777" w:rsidR="00B91453" w:rsidRPr="004A4D86" w:rsidRDefault="00B91453" w:rsidP="0093348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sym w:font="Symbol" w:char="F0B7"/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 Aplicación de pruebas rápidas para COVID-19 a la población que acudió a las jornadas médicas. </w:t>
      </w:r>
    </w:p>
    <w:p w14:paraId="249E68DD" w14:textId="77777777" w:rsidR="00B91453" w:rsidRPr="004A4D86" w:rsidRDefault="00B91453" w:rsidP="0093348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sym w:font="Symbol" w:char="F0B7"/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 En articulación con CARE internacional se realizó el tamizaje de VIH a poblaciones migrantes, en las ciudades de Loja y Machala. </w:t>
      </w:r>
    </w:p>
    <w:p w14:paraId="6C29B45C" w14:textId="47F8C235" w:rsidR="00B91453" w:rsidRPr="004A4D86" w:rsidRDefault="00B91453" w:rsidP="0093348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sym w:font="Symbol" w:char="F0B7"/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 En articulación con el Ministerio de Inclusión Económica y Social</w:t>
      </w:r>
      <w:r w:rsidR="006E1653" w:rsidRPr="004A4D86">
        <w:rPr>
          <w:rFonts w:ascii="Arial" w:hAnsi="Arial" w:cs="Arial"/>
          <w:sz w:val="24"/>
          <w:szCs w:val="24"/>
          <w:lang w:val="es-ES_tradnl"/>
        </w:rPr>
        <w:t xml:space="preserve"> –MIES-</w:t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, los </w:t>
      </w:r>
      <w:r w:rsidR="006E1653" w:rsidRPr="004A4D86">
        <w:rPr>
          <w:rFonts w:ascii="Arial" w:hAnsi="Arial" w:cs="Arial"/>
          <w:sz w:val="24"/>
          <w:szCs w:val="24"/>
          <w:lang w:val="es-ES_tradnl"/>
        </w:rPr>
        <w:t>ayuntamientos</w:t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6E1653" w:rsidRPr="004A4D86">
        <w:rPr>
          <w:rFonts w:ascii="Arial" w:hAnsi="Arial" w:cs="Arial"/>
          <w:sz w:val="24"/>
          <w:szCs w:val="24"/>
          <w:lang w:val="es-ES_tradnl"/>
        </w:rPr>
        <w:t>j</w:t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untas de Protección de derechos, Policía Nacional y </w:t>
      </w:r>
      <w:r w:rsidR="00DD28FF" w:rsidRPr="004A4D86">
        <w:rPr>
          <w:rFonts w:ascii="Arial" w:hAnsi="Arial" w:cs="Arial"/>
          <w:sz w:val="24"/>
          <w:szCs w:val="24"/>
          <w:lang w:val="es-ES_tradnl"/>
        </w:rPr>
        <w:t>Fiscalía se</w:t>
      </w:r>
      <w:r w:rsidR="006E1653" w:rsidRPr="004A4D86">
        <w:rPr>
          <w:rFonts w:ascii="Arial" w:hAnsi="Arial" w:cs="Arial"/>
          <w:sz w:val="24"/>
          <w:szCs w:val="24"/>
          <w:lang w:val="es-ES_tradnl"/>
        </w:rPr>
        <w:t xml:space="preserve"> acogió a las personas migrantes en situación de calle</w:t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 en albergues temporales durante el estado de excepción. </w:t>
      </w:r>
    </w:p>
    <w:p w14:paraId="16F9119B" w14:textId="77777777" w:rsidR="00B91453" w:rsidRPr="004A4D86" w:rsidRDefault="00B91453" w:rsidP="0093348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sym w:font="Symbol" w:char="F0B7"/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E1653" w:rsidRPr="004A4D86">
        <w:rPr>
          <w:rFonts w:ascii="Arial" w:hAnsi="Arial" w:cs="Arial"/>
          <w:sz w:val="24"/>
          <w:szCs w:val="24"/>
          <w:lang w:val="es-ES_tradnl"/>
        </w:rPr>
        <w:t>En marcha el p</w:t>
      </w:r>
      <w:r w:rsidRPr="004A4D86">
        <w:rPr>
          <w:rFonts w:ascii="Arial" w:hAnsi="Arial" w:cs="Arial"/>
          <w:sz w:val="24"/>
          <w:szCs w:val="24"/>
          <w:lang w:val="es-ES_tradnl"/>
        </w:rPr>
        <w:t>royecto PROSALUD, a fin de mejorar los servicios de salud a favor de los migrantes en los cantones de Huaquillas y Macará.</w:t>
      </w:r>
    </w:p>
    <w:p w14:paraId="6C25153D" w14:textId="77777777" w:rsidR="00B91453" w:rsidRPr="00933489" w:rsidRDefault="00B91453" w:rsidP="0093348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 w:rsidRPr="00933489">
        <w:rPr>
          <w:rFonts w:ascii="Arial" w:hAnsi="Arial" w:cs="Arial"/>
          <w:sz w:val="24"/>
          <w:szCs w:val="24"/>
          <w:u w:val="single"/>
          <w:lang w:val="es-ES_tradnl"/>
        </w:rPr>
        <w:t>Tablas de atención a la población migrante por el Ministerio de Salud Pública</w:t>
      </w:r>
    </w:p>
    <w:p w14:paraId="65ACAC42" w14:textId="3BA91EE0" w:rsidR="00B91453" w:rsidRPr="004A4D86" w:rsidRDefault="00933489" w:rsidP="004A4D86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noProof/>
          <w:sz w:val="24"/>
          <w:szCs w:val="24"/>
          <w:lang w:val="es-ES_tradnl"/>
        </w:rPr>
        <w:drawing>
          <wp:inline distT="0" distB="0" distL="0" distR="0" wp14:anchorId="1A066C72" wp14:editId="60D08C74">
            <wp:extent cx="4343400" cy="4305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6044B" w14:textId="77777777" w:rsidR="00DA4CD9" w:rsidRPr="004A4D86" w:rsidRDefault="006F505C" w:rsidP="004A4D86">
      <w:pPr>
        <w:spacing w:after="0" w:line="240" w:lineRule="auto"/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lastRenderedPageBreak/>
        <w:t>A</w:t>
      </w:r>
      <w:r w:rsidR="00DA4CD9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15 de mayo de 2021, se han registrado 2.724 casos confirmados 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- positivos de Covid-19 - </w:t>
      </w:r>
      <w:r w:rsidR="00DA4CD9" w:rsidRPr="004A4D86">
        <w:rPr>
          <w:rStyle w:val="jlqj4b"/>
          <w:rFonts w:ascii="Arial" w:hAnsi="Arial" w:cs="Arial"/>
          <w:sz w:val="24"/>
          <w:szCs w:val="24"/>
          <w:lang w:val="es-ES_tradnl"/>
        </w:rPr>
        <w:t>de personas extranjeras contagiadas, de las cuales 1.666 personas venezolanas (61.2%) y 77 personas extranjeras fallecidos,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</w:t>
      </w:r>
      <w:r w:rsidR="00DA4CD9" w:rsidRPr="004A4D86">
        <w:rPr>
          <w:rStyle w:val="jlqj4b"/>
          <w:rFonts w:ascii="Arial" w:hAnsi="Arial" w:cs="Arial"/>
          <w:sz w:val="24"/>
          <w:szCs w:val="24"/>
          <w:lang w:val="es-ES_tradnl"/>
        </w:rPr>
        <w:t>de los cuales 32 son venezolanos.</w:t>
      </w:r>
    </w:p>
    <w:p w14:paraId="761F659E" w14:textId="77777777" w:rsidR="00DA4CD9" w:rsidRPr="004A4D86" w:rsidRDefault="00DA4CD9" w:rsidP="004A4D86">
      <w:pPr>
        <w:spacing w:after="0" w:line="240" w:lineRule="auto"/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</w:p>
    <w:p w14:paraId="054429BC" w14:textId="77777777" w:rsidR="00B91453" w:rsidRPr="004A4D86" w:rsidRDefault="00A72757" w:rsidP="004A4D8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A4D86">
        <w:rPr>
          <w:rFonts w:ascii="Arial" w:hAnsi="Arial" w:cs="Arial"/>
          <w:b/>
          <w:bCs/>
          <w:sz w:val="24"/>
          <w:szCs w:val="24"/>
          <w:lang w:val="es-ES_tradnl"/>
        </w:rPr>
        <w:t xml:space="preserve">2) </w:t>
      </w:r>
      <w:r w:rsidR="006F505C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 xml:space="preserve">Se creó una unidad de atención de movilidad humana en MIES, que </w:t>
      </w:r>
      <w:r w:rsidR="00B91453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>presta el servicio de atención a la población en contexto de movilidad humana con énfasis en niñas, niños, adolescentes y sus familias, como parte de las acciones emergentes frente al alto fluj</w:t>
      </w:r>
      <w:r w:rsidR="006F505C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>o de migrantes observado en</w:t>
      </w:r>
      <w:r w:rsidR="00B91453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 xml:space="preserve"> las fronteras norte y sur.</w:t>
      </w:r>
      <w:r w:rsidR="006E1653" w:rsidRPr="004A4D8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B91453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>Los casos son derivados a los servicios del sistema de protección social del Estado</w:t>
      </w:r>
      <w:r w:rsidR="006E1653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 xml:space="preserve"> en los ámbitos de </w:t>
      </w:r>
      <w:r w:rsidR="00B91453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 xml:space="preserve">Salud, Educación y a los servicios de Inclusión Social del MIES (Protección Especial, Desarrollo infantil, Discapacidades). </w:t>
      </w:r>
      <w:r w:rsidR="006F505C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 xml:space="preserve">Cifras oficiales </w:t>
      </w:r>
      <w:r w:rsidR="006E1653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 xml:space="preserve">registran </w:t>
      </w:r>
      <w:r w:rsidR="00B91453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>120 mil atenciones a población en situación de movilidad humana en las fronteras norte y sur</w:t>
      </w:r>
      <w:r w:rsidR="006F505C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>, de las cuales 2.430 fueron a</w:t>
      </w:r>
      <w:r w:rsidR="006E1653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 xml:space="preserve"> niños y adolescentes</w:t>
      </w:r>
      <w:r w:rsidR="006E1653"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91453" w:rsidRPr="004A4D86">
        <w:rPr>
          <w:rFonts w:ascii="Arial" w:hAnsi="Arial" w:cs="Arial"/>
          <w:sz w:val="24"/>
          <w:szCs w:val="24"/>
          <w:lang w:val="es-ES_tradnl"/>
        </w:rPr>
        <w:t>venezolan</w:t>
      </w:r>
      <w:r w:rsidR="006E1653" w:rsidRPr="004A4D86">
        <w:rPr>
          <w:rFonts w:ascii="Arial" w:hAnsi="Arial" w:cs="Arial"/>
          <w:sz w:val="24"/>
          <w:szCs w:val="24"/>
          <w:lang w:val="es-ES_tradnl"/>
        </w:rPr>
        <w:t>os</w:t>
      </w:r>
      <w:r w:rsidR="006F505C" w:rsidRPr="004A4D86">
        <w:rPr>
          <w:rFonts w:ascii="Arial" w:hAnsi="Arial" w:cs="Arial"/>
          <w:sz w:val="24"/>
          <w:szCs w:val="24"/>
          <w:lang w:val="es-ES_tradnl"/>
        </w:rPr>
        <w:t>.</w:t>
      </w:r>
    </w:p>
    <w:p w14:paraId="2301C453" w14:textId="77777777" w:rsidR="00B91453" w:rsidRPr="004A4D86" w:rsidRDefault="00B91453" w:rsidP="004A4D86">
      <w:pPr>
        <w:spacing w:line="240" w:lineRule="auto"/>
        <w:jc w:val="both"/>
        <w:rPr>
          <w:rFonts w:ascii="Arial" w:hAnsi="Arial" w:cs="Arial"/>
          <w:iCs/>
          <w:color w:val="222222"/>
          <w:sz w:val="24"/>
          <w:szCs w:val="24"/>
          <w:lang w:val="es-ES_tradnl"/>
        </w:rPr>
      </w:pPr>
      <w:r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>En 202</w:t>
      </w:r>
      <w:r w:rsidR="006F505C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>0</w:t>
      </w:r>
      <w:r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 xml:space="preserve">, </w:t>
      </w:r>
      <w:r w:rsidR="006F505C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 xml:space="preserve">MIES atendió </w:t>
      </w:r>
      <w:r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>integralmente a 8.157 personas en 15 ciudades: Quito, Guayaquil, Cuenca, Loja, Manta, Santo Domingo, Ibarra, Tulcán, Esmeraldas, Ambato, Babahoyo, Salinas, Huaquillas, Machala y Pedernales</w:t>
      </w:r>
      <w:r w:rsidR="005822D6"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>, según se detalla a continuación:</w:t>
      </w:r>
    </w:p>
    <w:p w14:paraId="15D57261" w14:textId="77777777" w:rsidR="00B0705C" w:rsidRPr="004A4D86" w:rsidRDefault="00B0705C" w:rsidP="004A4D86">
      <w:pPr>
        <w:spacing w:line="240" w:lineRule="auto"/>
        <w:jc w:val="both"/>
        <w:rPr>
          <w:rFonts w:ascii="Arial" w:hAnsi="Arial" w:cs="Arial"/>
          <w:iCs/>
          <w:color w:val="222222"/>
          <w:sz w:val="24"/>
          <w:szCs w:val="24"/>
          <w:lang w:val="es-ES_tradnl"/>
        </w:rPr>
      </w:pPr>
    </w:p>
    <w:p w14:paraId="3891BEFE" w14:textId="77777777" w:rsidR="006F505C" w:rsidRPr="00933489" w:rsidRDefault="00B91453" w:rsidP="004A4D86">
      <w:pPr>
        <w:pStyle w:val="Caption"/>
        <w:spacing w:after="0"/>
        <w:jc w:val="center"/>
        <w:rPr>
          <w:rFonts w:ascii="Arial" w:hAnsi="Arial" w:cs="Arial"/>
          <w:sz w:val="20"/>
          <w:szCs w:val="20"/>
          <w:lang w:val="es-ES_tradnl"/>
        </w:rPr>
      </w:pPr>
      <w:r w:rsidRPr="00933489">
        <w:rPr>
          <w:rFonts w:ascii="Arial" w:hAnsi="Arial" w:cs="Arial"/>
          <w:sz w:val="20"/>
          <w:szCs w:val="20"/>
          <w:lang w:val="es-ES_tradnl"/>
        </w:rPr>
        <w:t>Atenciones por género</w:t>
      </w:r>
      <w:r w:rsidR="00B0705C" w:rsidRPr="00DD2482">
        <w:rPr>
          <w:rFonts w:ascii="Arial" w:hAnsi="Arial" w:cs="Arial"/>
          <w:sz w:val="20"/>
          <w:szCs w:val="20"/>
          <w:lang w:val="es-ES_tradnl"/>
        </w:rPr>
        <w:t xml:space="preserve"> y</w:t>
      </w:r>
      <w:r w:rsidRPr="00933489">
        <w:rPr>
          <w:rFonts w:ascii="Arial" w:hAnsi="Arial" w:cs="Arial"/>
          <w:sz w:val="20"/>
          <w:szCs w:val="20"/>
          <w:lang w:val="es-ES_tradnl"/>
        </w:rPr>
        <w:t xml:space="preserve"> grupo etar</w:t>
      </w:r>
      <w:r w:rsidR="00B0705C" w:rsidRPr="00DD2482">
        <w:rPr>
          <w:rFonts w:ascii="Arial" w:hAnsi="Arial" w:cs="Arial"/>
          <w:sz w:val="20"/>
          <w:szCs w:val="20"/>
          <w:lang w:val="es-ES_tradnl"/>
        </w:rPr>
        <w:t>i</w:t>
      </w:r>
      <w:r w:rsidRPr="00933489">
        <w:rPr>
          <w:rFonts w:ascii="Arial" w:hAnsi="Arial" w:cs="Arial"/>
          <w:sz w:val="20"/>
          <w:szCs w:val="20"/>
          <w:lang w:val="es-ES_tradnl"/>
        </w:rPr>
        <w:t>o en 15 ciudades de acogida</w:t>
      </w:r>
      <w:r w:rsidRPr="00DD2482">
        <w:rPr>
          <w:rFonts w:ascii="Arial" w:hAnsi="Arial" w:cs="Arial"/>
          <w:sz w:val="20"/>
          <w:szCs w:val="20"/>
          <w:lang w:val="es-ES_tradnl"/>
        </w:rPr>
        <w:t xml:space="preserve"> a</w:t>
      </w:r>
      <w:r w:rsidRPr="00933489">
        <w:rPr>
          <w:rFonts w:ascii="Arial" w:hAnsi="Arial" w:cs="Arial"/>
          <w:sz w:val="20"/>
          <w:szCs w:val="20"/>
          <w:lang w:val="es-ES_tradnl"/>
        </w:rPr>
        <w:t xml:space="preserve"> población</w:t>
      </w:r>
      <w:r w:rsidR="00B0705C" w:rsidRPr="00DD2482">
        <w:rPr>
          <w:rFonts w:ascii="Arial" w:hAnsi="Arial" w:cs="Arial"/>
          <w:sz w:val="20"/>
          <w:szCs w:val="20"/>
          <w:lang w:val="es-ES_tradnl"/>
        </w:rPr>
        <w:t xml:space="preserve"> venezolana</w:t>
      </w:r>
      <w:r w:rsidRPr="00933489">
        <w:rPr>
          <w:rFonts w:ascii="Arial" w:hAnsi="Arial" w:cs="Arial"/>
          <w:sz w:val="20"/>
          <w:szCs w:val="20"/>
          <w:lang w:val="es-ES_tradnl"/>
        </w:rPr>
        <w:t xml:space="preserve"> en contexto de movilidad humana</w:t>
      </w:r>
      <w:r w:rsidR="00B0705C" w:rsidRPr="00DD2482">
        <w:rPr>
          <w:rFonts w:ascii="Arial" w:hAnsi="Arial" w:cs="Arial"/>
          <w:sz w:val="20"/>
          <w:szCs w:val="20"/>
          <w:lang w:val="es-ES_tradnl"/>
        </w:rPr>
        <w:t xml:space="preserve"> en</w:t>
      </w:r>
      <w:r w:rsidR="00B0705C" w:rsidRPr="00933489">
        <w:rPr>
          <w:rFonts w:ascii="Arial" w:hAnsi="Arial" w:cs="Arial"/>
          <w:sz w:val="20"/>
          <w:szCs w:val="20"/>
          <w:lang w:val="es-ES_tradnl"/>
        </w:rPr>
        <w:t xml:space="preserve"> situación de vulnerabilidad</w:t>
      </w:r>
      <w:r w:rsidRPr="00933489">
        <w:rPr>
          <w:rFonts w:ascii="Arial" w:hAnsi="Arial" w:cs="Arial"/>
          <w:sz w:val="20"/>
          <w:szCs w:val="20"/>
          <w:lang w:val="es-ES_tradnl"/>
        </w:rPr>
        <w:t xml:space="preserve"> </w:t>
      </w:r>
    </w:p>
    <w:tbl>
      <w:tblPr>
        <w:tblW w:w="7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1253"/>
        <w:gridCol w:w="23"/>
        <w:gridCol w:w="992"/>
        <w:gridCol w:w="865"/>
        <w:gridCol w:w="971"/>
      </w:tblGrid>
      <w:tr w:rsidR="00B91453" w:rsidRPr="00933489" w14:paraId="1B705E1D" w14:textId="77777777" w:rsidTr="000204CE">
        <w:trPr>
          <w:trHeight w:val="300"/>
          <w:jc w:val="center"/>
        </w:trPr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  <w:hideMark/>
          </w:tcPr>
          <w:p w14:paraId="4A58E240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  <w:t>ATENCIÓN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4EEC9222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64AEF6DE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  <w:t>2020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C6D9F1"/>
            <w:vAlign w:val="bottom"/>
          </w:tcPr>
          <w:p w14:paraId="27419EA8" w14:textId="77777777" w:rsidR="00B91453" w:rsidRPr="00933489" w:rsidRDefault="00B91453" w:rsidP="004A4D86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  <w:t>TOTAL</w:t>
            </w:r>
          </w:p>
        </w:tc>
      </w:tr>
      <w:tr w:rsidR="00B91453" w:rsidRPr="00933489" w14:paraId="3F25FB98" w14:textId="77777777" w:rsidTr="000204CE">
        <w:trPr>
          <w:trHeight w:val="315"/>
          <w:jc w:val="center"/>
        </w:trPr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40D73229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1AAC2E81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  <w:t>HOMBRE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5A80DC02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  <w:t>MUJER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C852E11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  <w:t>LGBTI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6D9F1"/>
            <w:noWrap/>
            <w:vAlign w:val="center"/>
            <w:hideMark/>
          </w:tcPr>
          <w:p w14:paraId="3C4506E3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</w:p>
        </w:tc>
      </w:tr>
      <w:tr w:rsidR="00B91453" w:rsidRPr="00933489" w14:paraId="15FC396C" w14:textId="77777777" w:rsidTr="000204CE">
        <w:trPr>
          <w:trHeight w:val="344"/>
          <w:jc w:val="center"/>
        </w:trPr>
        <w:tc>
          <w:tcPr>
            <w:tcW w:w="3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1DAD9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total de población en contexto de movilidad humana atendida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8E80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3489">
              <w:rPr>
                <w:rFonts w:ascii="Arial" w:hAnsi="Arial" w:cs="Arial"/>
                <w:sz w:val="20"/>
                <w:szCs w:val="20"/>
                <w:lang w:val="es-ES_tradnl"/>
              </w:rPr>
              <w:t>3.621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8BE8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3489">
              <w:rPr>
                <w:rFonts w:ascii="Arial" w:hAnsi="Arial" w:cs="Arial"/>
                <w:sz w:val="20"/>
                <w:szCs w:val="20"/>
                <w:lang w:val="es-ES_tradnl"/>
              </w:rPr>
              <w:t>4.526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2118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</w:pPr>
            <w:r w:rsidRPr="00933489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E5914" w14:textId="77777777" w:rsidR="00B91453" w:rsidRPr="00933489" w:rsidRDefault="00B91453" w:rsidP="004A4D86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933489"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8.157</w:t>
            </w:r>
          </w:p>
        </w:tc>
      </w:tr>
      <w:tr w:rsidR="00B91453" w:rsidRPr="00933489" w14:paraId="48338FF2" w14:textId="77777777" w:rsidTr="000204CE">
        <w:trPr>
          <w:trHeight w:val="218"/>
          <w:jc w:val="center"/>
        </w:trPr>
        <w:tc>
          <w:tcPr>
            <w:tcW w:w="3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9FF5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total de niños, niñas en movilidad humana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2490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1.510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88BE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1.415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D875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</w:pPr>
            <w:r w:rsidRPr="00933489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EF06" w14:textId="77777777" w:rsidR="00B91453" w:rsidRPr="00933489" w:rsidRDefault="00B91453" w:rsidP="004A4D86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933489"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2.925</w:t>
            </w:r>
          </w:p>
        </w:tc>
      </w:tr>
      <w:tr w:rsidR="00B91453" w:rsidRPr="00933489" w14:paraId="479C6D24" w14:textId="77777777" w:rsidTr="000204CE">
        <w:trPr>
          <w:trHeight w:val="420"/>
          <w:jc w:val="center"/>
        </w:trPr>
        <w:tc>
          <w:tcPr>
            <w:tcW w:w="3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61DCA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total de adolescentes en movilidad humana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B748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2A62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458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DAA7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</w:pPr>
            <w:r w:rsidRPr="00933489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8059F" w14:textId="77777777" w:rsidR="00B91453" w:rsidRPr="00933489" w:rsidRDefault="00B91453" w:rsidP="004A4D86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933489"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884</w:t>
            </w:r>
          </w:p>
        </w:tc>
      </w:tr>
      <w:tr w:rsidR="00B91453" w:rsidRPr="00933489" w14:paraId="4917A14C" w14:textId="77777777" w:rsidTr="000204CE">
        <w:trPr>
          <w:trHeight w:val="128"/>
          <w:jc w:val="center"/>
        </w:trPr>
        <w:tc>
          <w:tcPr>
            <w:tcW w:w="3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3E9C0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 xml:space="preserve">Número de niños, niñas no acompañadas en movilidad humana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4544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055E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9B74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</w:pPr>
            <w:r w:rsidRPr="00933489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F5C60" w14:textId="77777777" w:rsidR="00B91453" w:rsidRPr="00933489" w:rsidRDefault="00B91453" w:rsidP="004A4D86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933489"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2</w:t>
            </w:r>
          </w:p>
        </w:tc>
      </w:tr>
      <w:tr w:rsidR="00B91453" w:rsidRPr="00933489" w14:paraId="588A4CB7" w14:textId="77777777" w:rsidTr="000204CE">
        <w:trPr>
          <w:trHeight w:val="128"/>
          <w:jc w:val="center"/>
        </w:trPr>
        <w:tc>
          <w:tcPr>
            <w:tcW w:w="3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3B2F5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adolescentes no acompañados en movilidad humana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2C61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7B1A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63A5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</w:pPr>
            <w:r w:rsidRPr="00933489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28A8F" w14:textId="77777777" w:rsidR="00B91453" w:rsidRPr="00933489" w:rsidRDefault="00B91453" w:rsidP="004A4D86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933489"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20</w:t>
            </w:r>
          </w:p>
        </w:tc>
      </w:tr>
      <w:tr w:rsidR="00B91453" w:rsidRPr="00933489" w14:paraId="29CA410B" w14:textId="77777777" w:rsidTr="000204CE">
        <w:trPr>
          <w:trHeight w:val="128"/>
          <w:jc w:val="center"/>
        </w:trPr>
        <w:tc>
          <w:tcPr>
            <w:tcW w:w="3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EE3C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niños, niñas separadas en movilidad humana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40E6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8DDF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8772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</w:pPr>
            <w:r w:rsidRPr="00933489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ED550" w14:textId="77777777" w:rsidR="00B91453" w:rsidRPr="00933489" w:rsidRDefault="00B91453" w:rsidP="004A4D86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933489"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20</w:t>
            </w:r>
          </w:p>
        </w:tc>
      </w:tr>
      <w:tr w:rsidR="00B91453" w:rsidRPr="00933489" w14:paraId="1D4B038F" w14:textId="77777777" w:rsidTr="00B0705C">
        <w:trPr>
          <w:trHeight w:val="128"/>
          <w:jc w:val="center"/>
        </w:trPr>
        <w:tc>
          <w:tcPr>
            <w:tcW w:w="3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1AE3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adolescentes separados en movilidad humana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52C7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6DBE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D682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</w:pPr>
            <w:r w:rsidRPr="00933489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E13D1" w14:textId="77777777" w:rsidR="00B91453" w:rsidRPr="00933489" w:rsidRDefault="00B91453" w:rsidP="004A4D86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933489"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13</w:t>
            </w:r>
          </w:p>
        </w:tc>
      </w:tr>
      <w:tr w:rsidR="00B91453" w:rsidRPr="00933489" w14:paraId="5DC6BE08" w14:textId="77777777" w:rsidTr="00B0705C">
        <w:trPr>
          <w:trHeight w:val="128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520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Adultos Mayores identificados en movilidad humana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04F6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62045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37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0B4CF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</w:pPr>
            <w:r w:rsidRPr="00933489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53673" w14:textId="77777777" w:rsidR="00B91453" w:rsidRPr="00933489" w:rsidRDefault="00B91453" w:rsidP="004A4D86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933489"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61</w:t>
            </w:r>
          </w:p>
        </w:tc>
      </w:tr>
      <w:tr w:rsidR="00B91453" w:rsidRPr="00933489" w14:paraId="53854825" w14:textId="77777777" w:rsidTr="004A4D86">
        <w:trPr>
          <w:trHeight w:val="128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418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Personas con discapacidad identificadas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B8BC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B9DF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49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674FB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</w:pPr>
            <w:r w:rsidRPr="00933489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29A47" w14:textId="77777777" w:rsidR="00B91453" w:rsidRPr="00933489" w:rsidRDefault="00B91453" w:rsidP="004A4D86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933489"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128</w:t>
            </w:r>
          </w:p>
        </w:tc>
      </w:tr>
      <w:tr w:rsidR="00B91453" w:rsidRPr="00933489" w14:paraId="7600FDAA" w14:textId="77777777" w:rsidTr="004A4D86">
        <w:trPr>
          <w:trHeight w:val="128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8FAE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Personas identificadas con enfermedades catastróficas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DD0B0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BDEE9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67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3447F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</w:pPr>
            <w:r w:rsidRPr="00933489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78A4A" w14:textId="77777777" w:rsidR="00B91453" w:rsidRPr="00933489" w:rsidRDefault="00B91453" w:rsidP="004A4D86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933489"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113</w:t>
            </w:r>
          </w:p>
        </w:tc>
      </w:tr>
      <w:tr w:rsidR="00B91453" w:rsidRPr="00933489" w14:paraId="241DF827" w14:textId="77777777" w:rsidTr="000204CE">
        <w:trPr>
          <w:trHeight w:val="162"/>
          <w:jc w:val="center"/>
        </w:trPr>
        <w:tc>
          <w:tcPr>
            <w:tcW w:w="3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5939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Personas identificadas con necesidad de Protección Internacional (*Personas que está fuera de su país y no puede regresar porque allí su vida corre peligro.)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99ED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CF81B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383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709F0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</w:pPr>
            <w:r w:rsidRPr="00933489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E505D8" w14:textId="77777777" w:rsidR="00B91453" w:rsidRPr="00933489" w:rsidRDefault="00B91453" w:rsidP="004A4D86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933489"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672</w:t>
            </w:r>
          </w:p>
        </w:tc>
      </w:tr>
      <w:tr w:rsidR="00B91453" w:rsidRPr="00933489" w14:paraId="4AD2FD68" w14:textId="77777777" w:rsidTr="000204CE">
        <w:trPr>
          <w:trHeight w:val="162"/>
          <w:jc w:val="center"/>
        </w:trPr>
        <w:tc>
          <w:tcPr>
            <w:tcW w:w="3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5AAFD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93348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Mujeres embarazadas identificadas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D75F1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263B5" w14:textId="77777777" w:rsidR="00B91453" w:rsidRPr="00933489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809B1" w14:textId="77777777" w:rsidR="00B91453" w:rsidRPr="00933489" w:rsidRDefault="00B91453" w:rsidP="004A4D86">
            <w:pPr>
              <w:pStyle w:val="NormalWeb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_tradn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B38BDB7" w14:textId="77777777" w:rsidR="00B91453" w:rsidRPr="00933489" w:rsidRDefault="00B91453" w:rsidP="004A4D86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93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  <w:t>198</w:t>
            </w:r>
          </w:p>
        </w:tc>
      </w:tr>
    </w:tbl>
    <w:p w14:paraId="1B50563A" w14:textId="77777777" w:rsidR="00B91453" w:rsidRPr="004A4D86" w:rsidRDefault="00B91453" w:rsidP="004A4D86">
      <w:pPr>
        <w:pStyle w:val="ColorfulList-Accent11"/>
        <w:spacing w:line="240" w:lineRule="auto"/>
        <w:ind w:left="357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933489">
        <w:rPr>
          <w:rFonts w:ascii="Arial" w:hAnsi="Arial" w:cs="Arial"/>
          <w:b/>
          <w:color w:val="000000"/>
          <w:sz w:val="20"/>
          <w:szCs w:val="20"/>
          <w:lang w:val="es-ES_tradnl"/>
        </w:rPr>
        <w:t>Fuente:</w:t>
      </w:r>
      <w:r w:rsidRPr="00933489">
        <w:rPr>
          <w:rFonts w:ascii="Arial" w:hAnsi="Arial" w:cs="Arial"/>
          <w:color w:val="000000"/>
          <w:sz w:val="20"/>
          <w:szCs w:val="20"/>
          <w:lang w:val="es-ES_tradnl"/>
        </w:rPr>
        <w:t xml:space="preserve"> Subsecretaría de Protección Especial – Movilidad Humana </w:t>
      </w:r>
      <w:r w:rsidRPr="004A4D86">
        <w:rPr>
          <w:rFonts w:ascii="Arial" w:hAnsi="Arial" w:cs="Arial"/>
          <w:color w:val="000000"/>
          <w:sz w:val="20"/>
          <w:szCs w:val="20"/>
          <w:lang w:val="es-ES_tradnl"/>
        </w:rPr>
        <w:t xml:space="preserve">enero - </w:t>
      </w:r>
      <w:r w:rsidRPr="00933489">
        <w:rPr>
          <w:rFonts w:ascii="Arial" w:hAnsi="Arial" w:cs="Arial"/>
          <w:color w:val="000000"/>
          <w:sz w:val="20"/>
          <w:szCs w:val="20"/>
          <w:lang w:val="es-ES_tradnl"/>
        </w:rPr>
        <w:t xml:space="preserve">diciembre 2020 </w:t>
      </w:r>
      <w:r w:rsidR="00B0705C" w:rsidRPr="004A4D86">
        <w:rPr>
          <w:rFonts w:ascii="Arial" w:hAnsi="Arial" w:cs="Arial"/>
          <w:color w:val="000000"/>
          <w:sz w:val="20"/>
          <w:szCs w:val="20"/>
          <w:lang w:val="es-ES_tradnl"/>
        </w:rPr>
        <w:t>–</w:t>
      </w:r>
      <w:r w:rsidRPr="00933489">
        <w:rPr>
          <w:rFonts w:ascii="Arial" w:hAnsi="Arial" w:cs="Arial"/>
          <w:color w:val="000000"/>
          <w:sz w:val="20"/>
          <w:szCs w:val="20"/>
          <w:lang w:val="es-ES_tradnl"/>
        </w:rPr>
        <w:t xml:space="preserve"> MIES</w:t>
      </w:r>
    </w:p>
    <w:p w14:paraId="7408A192" w14:textId="77777777" w:rsidR="00B0705C" w:rsidRPr="00933489" w:rsidRDefault="00B0705C" w:rsidP="004A4D86">
      <w:pPr>
        <w:pStyle w:val="ColorfulList-Accent11"/>
        <w:spacing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0A2B4837" w14:textId="77777777" w:rsidR="00DA4CD9" w:rsidRPr="004A4D86" w:rsidRDefault="00B91453" w:rsidP="004A4D86">
      <w:pPr>
        <w:spacing w:line="240" w:lineRule="auto"/>
        <w:jc w:val="both"/>
        <w:rPr>
          <w:rFonts w:ascii="Arial" w:hAnsi="Arial" w:cs="Arial"/>
          <w:iCs/>
          <w:color w:val="222222"/>
          <w:sz w:val="24"/>
          <w:szCs w:val="24"/>
          <w:lang w:val="es-ES_tradnl"/>
        </w:rPr>
      </w:pPr>
      <w:proofErr w:type="gramStart"/>
      <w:r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lastRenderedPageBreak/>
        <w:t>En  2021</w:t>
      </w:r>
      <w:proofErr w:type="gramEnd"/>
      <w:r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 xml:space="preserve">, MIES suscribió 18 convenios de cooperación en 15 ciudades de acogida para aumentar la cobertura </w:t>
      </w:r>
      <w:r w:rsidRPr="004A4D86">
        <w:rPr>
          <w:rFonts w:ascii="Arial" w:hAnsi="Arial" w:cs="Arial"/>
          <w:sz w:val="24"/>
          <w:szCs w:val="24"/>
          <w:lang w:val="es-ES_tradnl"/>
        </w:rPr>
        <w:t>e incorporó 13 nuevos centros para la atención a personas en movilidad humana</w:t>
      </w:r>
      <w:r w:rsidRPr="004A4D86">
        <w:rPr>
          <w:rFonts w:ascii="Arial" w:hAnsi="Arial" w:cs="Arial"/>
          <w:iCs/>
          <w:color w:val="222222"/>
          <w:sz w:val="24"/>
          <w:szCs w:val="24"/>
          <w:lang w:val="es-ES_tradnl"/>
        </w:rPr>
        <w:t>.</w:t>
      </w:r>
      <w:r w:rsidRPr="004A4D86">
        <w:rPr>
          <w:rStyle w:val="FootnoteReference"/>
          <w:rFonts w:ascii="Arial" w:hAnsi="Arial" w:cs="Arial"/>
          <w:iCs/>
          <w:color w:val="222222"/>
          <w:sz w:val="24"/>
          <w:szCs w:val="24"/>
          <w:lang w:val="es-ES_tradnl"/>
        </w:rPr>
        <w:footnoteReference w:id="1"/>
      </w:r>
    </w:p>
    <w:p w14:paraId="397E284B" w14:textId="77777777" w:rsidR="00B91453" w:rsidRPr="004A4D86" w:rsidRDefault="00B91453" w:rsidP="004A4D86">
      <w:pPr>
        <w:pStyle w:val="Caption"/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>Tabla de Cobertura identificada por género, grupo y vulnerabilidad</w:t>
      </w:r>
    </w:p>
    <w:p w14:paraId="37DC9592" w14:textId="77777777" w:rsidR="00B91453" w:rsidRDefault="00B91453" w:rsidP="004A4D86">
      <w:pPr>
        <w:pStyle w:val="Caption"/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>en ciudades de acogida (</w:t>
      </w:r>
      <w:proofErr w:type="gramStart"/>
      <w:r w:rsidRPr="004A4D86">
        <w:rPr>
          <w:rFonts w:ascii="Arial" w:hAnsi="Arial" w:cs="Arial"/>
          <w:sz w:val="24"/>
          <w:szCs w:val="24"/>
          <w:lang w:val="es-ES_tradnl"/>
        </w:rPr>
        <w:t>Enero</w:t>
      </w:r>
      <w:proofErr w:type="gramEnd"/>
      <w:r w:rsidRPr="004A4D86">
        <w:rPr>
          <w:rFonts w:ascii="Arial" w:hAnsi="Arial" w:cs="Arial"/>
          <w:sz w:val="24"/>
          <w:szCs w:val="24"/>
          <w:lang w:val="es-ES_tradnl"/>
        </w:rPr>
        <w:t xml:space="preserve"> - abril de 2021)</w:t>
      </w:r>
    </w:p>
    <w:p w14:paraId="2462D117" w14:textId="77777777" w:rsidR="004A4D86" w:rsidRPr="00DD2482" w:rsidRDefault="004A4D86" w:rsidP="004A4D86">
      <w:pPr>
        <w:rPr>
          <w:sz w:val="20"/>
          <w:szCs w:val="20"/>
        </w:rPr>
      </w:pPr>
    </w:p>
    <w:tbl>
      <w:tblPr>
        <w:tblW w:w="82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8"/>
        <w:gridCol w:w="1171"/>
        <w:gridCol w:w="25"/>
        <w:gridCol w:w="1352"/>
        <w:gridCol w:w="740"/>
        <w:gridCol w:w="971"/>
      </w:tblGrid>
      <w:tr w:rsidR="00B91453" w:rsidRPr="00DD2482" w14:paraId="65AB131F" w14:textId="77777777" w:rsidTr="000204CE">
        <w:trPr>
          <w:trHeight w:val="300"/>
          <w:jc w:val="center"/>
        </w:trPr>
        <w:tc>
          <w:tcPr>
            <w:tcW w:w="4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/>
            <w:noWrap/>
            <w:vAlign w:val="center"/>
            <w:hideMark/>
          </w:tcPr>
          <w:p w14:paraId="7DFC2B08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  <w:t>ACCIÓN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5DCE4"/>
          </w:tcPr>
          <w:p w14:paraId="4E0BBD47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</w:p>
        </w:tc>
        <w:tc>
          <w:tcPr>
            <w:tcW w:w="28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noWrap/>
            <w:vAlign w:val="center"/>
            <w:hideMark/>
          </w:tcPr>
          <w:p w14:paraId="336931DF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</w:p>
        </w:tc>
      </w:tr>
      <w:tr w:rsidR="00B91453" w:rsidRPr="00DD2482" w14:paraId="494449A4" w14:textId="77777777" w:rsidTr="000204CE">
        <w:trPr>
          <w:trHeight w:val="315"/>
          <w:jc w:val="center"/>
        </w:trPr>
        <w:tc>
          <w:tcPr>
            <w:tcW w:w="4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6F0987AB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5BA68B2E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  <w:t>FEMENINO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1F363875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  <w:t>MASCULINO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E20A4AF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  <w:t>LGBTI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vAlign w:val="center"/>
            <w:hideMark/>
          </w:tcPr>
          <w:p w14:paraId="455AD904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C"/>
              </w:rPr>
              <w:t>TOTAL</w:t>
            </w:r>
          </w:p>
        </w:tc>
      </w:tr>
      <w:tr w:rsidR="00B91453" w:rsidRPr="00DD2482" w14:paraId="25373E01" w14:textId="77777777" w:rsidTr="000204CE">
        <w:trPr>
          <w:trHeight w:val="344"/>
          <w:jc w:val="center"/>
        </w:trPr>
        <w:tc>
          <w:tcPr>
            <w:tcW w:w="4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9F497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total de población en contexto de movilidad humana atendida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920CA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2216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BE0B6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1680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A5B9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CB9CA"/>
            <w:noWrap/>
            <w:vAlign w:val="center"/>
            <w:hideMark/>
          </w:tcPr>
          <w:p w14:paraId="1BDA6A93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3899</w:t>
            </w:r>
          </w:p>
        </w:tc>
      </w:tr>
      <w:tr w:rsidR="00B91453" w:rsidRPr="00DD2482" w14:paraId="52CB0C89" w14:textId="77777777" w:rsidTr="000204CE">
        <w:trPr>
          <w:trHeight w:val="218"/>
          <w:jc w:val="center"/>
        </w:trPr>
        <w:tc>
          <w:tcPr>
            <w:tcW w:w="4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27378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total de niños, niñas en movilidad humana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4AAE5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CE70A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725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827ED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078E7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1480</w:t>
            </w:r>
          </w:p>
        </w:tc>
      </w:tr>
      <w:tr w:rsidR="00B91453" w:rsidRPr="00DD2482" w14:paraId="59C2EB8C" w14:textId="77777777" w:rsidTr="000204CE">
        <w:trPr>
          <w:trHeight w:val="420"/>
          <w:jc w:val="center"/>
        </w:trPr>
        <w:tc>
          <w:tcPr>
            <w:tcW w:w="4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CBCB5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total de adolescentes en movilidad humana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05CE5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8A1AC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229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F0D36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AC6A0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467</w:t>
            </w:r>
          </w:p>
        </w:tc>
      </w:tr>
      <w:tr w:rsidR="00B91453" w:rsidRPr="00DD2482" w14:paraId="2D8CC4E8" w14:textId="77777777" w:rsidTr="000204CE">
        <w:trPr>
          <w:trHeight w:val="128"/>
          <w:jc w:val="center"/>
        </w:trPr>
        <w:tc>
          <w:tcPr>
            <w:tcW w:w="4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34AC7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 xml:space="preserve">Número de niños, niñas no acompañadas en movilidad humana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883DE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7B1BE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A948D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F1A67D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3</w:t>
            </w:r>
          </w:p>
        </w:tc>
      </w:tr>
      <w:tr w:rsidR="00B91453" w:rsidRPr="00DD2482" w14:paraId="5DEBA4D4" w14:textId="77777777" w:rsidTr="000204CE">
        <w:trPr>
          <w:trHeight w:val="128"/>
          <w:jc w:val="center"/>
        </w:trPr>
        <w:tc>
          <w:tcPr>
            <w:tcW w:w="4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AB44D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adolescentes no acompañados en movilidad humana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3B467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CC9BA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3DD95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685E05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25</w:t>
            </w:r>
          </w:p>
        </w:tc>
      </w:tr>
      <w:tr w:rsidR="00B91453" w:rsidRPr="00DD2482" w14:paraId="36D4885B" w14:textId="77777777" w:rsidTr="000204CE">
        <w:trPr>
          <w:trHeight w:val="128"/>
          <w:jc w:val="center"/>
        </w:trPr>
        <w:tc>
          <w:tcPr>
            <w:tcW w:w="4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5001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niños, niñas separadas en movilidad humana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CFAED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3114B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B30C0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8A3308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15</w:t>
            </w:r>
          </w:p>
        </w:tc>
      </w:tr>
      <w:tr w:rsidR="00B91453" w:rsidRPr="00DD2482" w14:paraId="20898E6C" w14:textId="77777777" w:rsidTr="000204CE">
        <w:trPr>
          <w:trHeight w:val="128"/>
          <w:jc w:val="center"/>
        </w:trPr>
        <w:tc>
          <w:tcPr>
            <w:tcW w:w="4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FEBB8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adolescentes separados en movilidad humana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2B175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EB783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2E68B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C3470D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15</w:t>
            </w:r>
          </w:p>
        </w:tc>
      </w:tr>
      <w:tr w:rsidR="00B91453" w:rsidRPr="00DD2482" w14:paraId="7A544276" w14:textId="77777777" w:rsidTr="000204CE">
        <w:trPr>
          <w:trHeight w:val="128"/>
          <w:jc w:val="center"/>
        </w:trPr>
        <w:tc>
          <w:tcPr>
            <w:tcW w:w="4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990C3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Adultos Mayores identificados en movilidad humana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36646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78AE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D583F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F22BC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24</w:t>
            </w:r>
          </w:p>
        </w:tc>
      </w:tr>
      <w:tr w:rsidR="00B91453" w:rsidRPr="00DD2482" w14:paraId="2D41D944" w14:textId="77777777" w:rsidTr="004A4D86">
        <w:trPr>
          <w:trHeight w:val="128"/>
          <w:jc w:val="center"/>
        </w:trPr>
        <w:tc>
          <w:tcPr>
            <w:tcW w:w="4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6A39A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Personas con discapacidad identificadas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12CE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23BA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48DEE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5D67A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73</w:t>
            </w:r>
          </w:p>
        </w:tc>
      </w:tr>
      <w:tr w:rsidR="00B91453" w:rsidRPr="00DD2482" w14:paraId="033B2E0B" w14:textId="77777777" w:rsidTr="004A4D86">
        <w:trPr>
          <w:trHeight w:val="128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277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Personas identificadas con enfermedades catastróficas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4C41F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4D1BF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F693A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48B91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41</w:t>
            </w:r>
          </w:p>
        </w:tc>
      </w:tr>
      <w:tr w:rsidR="00B91453" w:rsidRPr="00DD2482" w14:paraId="773D150F" w14:textId="77777777" w:rsidTr="000204CE">
        <w:trPr>
          <w:trHeight w:val="162"/>
          <w:jc w:val="center"/>
        </w:trPr>
        <w:tc>
          <w:tcPr>
            <w:tcW w:w="4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212D9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Personas identificadas con necesidad de Protección Internacional (*Personas que está fuera de su país y no puede regresar porque allí su vida corre peligro.)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9C0D0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6BBF5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5A262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37785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263</w:t>
            </w:r>
          </w:p>
        </w:tc>
      </w:tr>
      <w:tr w:rsidR="00B91453" w:rsidRPr="00DD2482" w14:paraId="596D63A3" w14:textId="77777777" w:rsidTr="000204CE">
        <w:trPr>
          <w:trHeight w:val="162"/>
          <w:jc w:val="center"/>
        </w:trPr>
        <w:tc>
          <w:tcPr>
            <w:tcW w:w="4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DE84A" w14:textId="77777777" w:rsidR="00B91453" w:rsidRPr="00DD2482" w:rsidRDefault="00B91453" w:rsidP="004A4D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</w:pPr>
            <w:r w:rsidRPr="00DD2482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C"/>
              </w:rPr>
              <w:t>Número de Mujeres embarazadas identificadas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56B3A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F4BC9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B554E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6471C4" w14:textId="77777777" w:rsidR="00B91453" w:rsidRPr="00DD2482" w:rsidRDefault="00B91453" w:rsidP="004A4D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D248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119</w:t>
            </w:r>
          </w:p>
        </w:tc>
      </w:tr>
    </w:tbl>
    <w:p w14:paraId="54945295" w14:textId="77777777" w:rsidR="00B91453" w:rsidRPr="00DD2482" w:rsidRDefault="00B91453" w:rsidP="004A4D86">
      <w:pPr>
        <w:pStyle w:val="ColorfulList-Accent11"/>
        <w:spacing w:line="240" w:lineRule="auto"/>
        <w:ind w:left="360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D2482">
        <w:rPr>
          <w:rFonts w:ascii="Arial" w:hAnsi="Arial" w:cs="Arial"/>
          <w:b/>
          <w:color w:val="000000"/>
          <w:sz w:val="20"/>
          <w:szCs w:val="20"/>
          <w:lang w:val="es-ES_tradnl"/>
        </w:rPr>
        <w:t>Fuente:</w:t>
      </w:r>
      <w:r w:rsidRPr="00DD2482">
        <w:rPr>
          <w:rFonts w:ascii="Arial" w:hAnsi="Arial" w:cs="Arial"/>
          <w:color w:val="000000"/>
          <w:sz w:val="20"/>
          <w:szCs w:val="20"/>
          <w:lang w:val="es-ES_tradnl"/>
        </w:rPr>
        <w:t xml:space="preserve"> Subsecretaría de Protección Especial </w:t>
      </w:r>
      <w:r w:rsidR="005B0358" w:rsidRPr="00DD2482">
        <w:rPr>
          <w:rFonts w:ascii="Arial" w:hAnsi="Arial" w:cs="Arial"/>
          <w:color w:val="000000"/>
          <w:sz w:val="20"/>
          <w:szCs w:val="20"/>
          <w:lang w:val="es-ES_tradnl"/>
        </w:rPr>
        <w:t>MREMH-</w:t>
      </w:r>
      <w:r w:rsidRPr="00DD2482">
        <w:rPr>
          <w:rFonts w:ascii="Arial" w:hAnsi="Arial" w:cs="Arial"/>
          <w:color w:val="000000"/>
          <w:sz w:val="20"/>
          <w:szCs w:val="20"/>
          <w:lang w:val="es-ES_tradnl"/>
        </w:rPr>
        <w:t>MIES</w:t>
      </w:r>
      <w:r w:rsidR="005B0358" w:rsidRPr="00DD2482">
        <w:rPr>
          <w:rFonts w:ascii="Arial" w:hAnsi="Arial" w:cs="Arial"/>
          <w:color w:val="000000"/>
          <w:sz w:val="20"/>
          <w:szCs w:val="20"/>
          <w:lang w:val="es-ES_tradnl"/>
        </w:rPr>
        <w:t xml:space="preserve"> abril 2021-</w:t>
      </w:r>
    </w:p>
    <w:p w14:paraId="59310D52" w14:textId="77777777" w:rsidR="004A4D86" w:rsidRPr="00DD2482" w:rsidRDefault="004A4D86" w:rsidP="004A4D86">
      <w:pPr>
        <w:spacing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9D8F1E8" w14:textId="47B14667" w:rsidR="002A27C3" w:rsidRPr="004A4D86" w:rsidRDefault="00133B92" w:rsidP="004A4D86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>L</w:t>
      </w:r>
      <w:r w:rsidR="005B0358" w:rsidRPr="004A4D86">
        <w:rPr>
          <w:rFonts w:ascii="Arial" w:hAnsi="Arial" w:cs="Arial"/>
          <w:sz w:val="24"/>
          <w:szCs w:val="24"/>
          <w:lang w:val="es-ES_tradnl"/>
        </w:rPr>
        <w:t>os comités de o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peraciones de Emergencia </w:t>
      </w:r>
      <w:r w:rsidR="0078342A" w:rsidRPr="004A4D86">
        <w:rPr>
          <w:rFonts w:ascii="Arial" w:hAnsi="Arial" w:cs="Arial"/>
          <w:sz w:val="24"/>
          <w:szCs w:val="24"/>
          <w:lang w:val="es-ES_tradnl"/>
        </w:rPr>
        <w:t>–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>COE</w:t>
      </w:r>
      <w:r w:rsidR="0078342A" w:rsidRPr="004A4D86">
        <w:rPr>
          <w:rFonts w:ascii="Arial" w:hAnsi="Arial" w:cs="Arial"/>
          <w:sz w:val="24"/>
          <w:szCs w:val="24"/>
          <w:lang w:val="es-ES_tradnl"/>
        </w:rPr>
        <w:t>- son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 instancias interinstitucionales</w:t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>responsables de coordinar las acciones para enfrentar la emergencia sanitaria desde el ámbito de competencia de cada entidad del Estado ecuatoriano</w:t>
      </w:r>
      <w:r w:rsidR="0078342A" w:rsidRPr="004A4D86">
        <w:rPr>
          <w:rStyle w:val="FootnoteReference"/>
          <w:rFonts w:ascii="Arial" w:hAnsi="Arial" w:cs="Arial"/>
          <w:sz w:val="24"/>
          <w:szCs w:val="24"/>
          <w:lang w:val="es-ES_tradnl"/>
        </w:rPr>
        <w:footnoteReference w:id="2"/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. Las </w:t>
      </w:r>
      <w:r w:rsidR="00DE6A92" w:rsidRPr="004A4D86">
        <w:rPr>
          <w:rFonts w:ascii="Arial" w:hAnsi="Arial" w:cs="Arial"/>
          <w:sz w:val="24"/>
          <w:szCs w:val="24"/>
          <w:lang w:val="es-ES_tradnl"/>
        </w:rPr>
        <w:t>m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esas </w:t>
      </w:r>
      <w:r w:rsidR="00DE6A92" w:rsidRPr="004A4D86">
        <w:rPr>
          <w:rFonts w:ascii="Arial" w:hAnsi="Arial" w:cs="Arial"/>
          <w:sz w:val="24"/>
          <w:szCs w:val="24"/>
          <w:lang w:val="es-ES_tradnl"/>
        </w:rPr>
        <w:t>t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>écnicas</w:t>
      </w:r>
      <w:r w:rsidR="00DE6A92"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y </w:t>
      </w:r>
      <w:r w:rsidR="00DE6A92" w:rsidRPr="004A4D86">
        <w:rPr>
          <w:rFonts w:ascii="Arial" w:hAnsi="Arial" w:cs="Arial"/>
          <w:sz w:val="24"/>
          <w:szCs w:val="24"/>
          <w:lang w:val="es-ES_tradnl"/>
        </w:rPr>
        <w:t>los g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rupos de </w:t>
      </w:r>
      <w:proofErr w:type="gramStart"/>
      <w:r w:rsidR="00DE6A92" w:rsidRPr="004A4D86">
        <w:rPr>
          <w:rFonts w:ascii="Arial" w:hAnsi="Arial" w:cs="Arial"/>
          <w:sz w:val="24"/>
          <w:szCs w:val="24"/>
          <w:lang w:val="es-ES_tradnl"/>
        </w:rPr>
        <w:t>t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>rabajo  han</w:t>
      </w:r>
      <w:proofErr w:type="gramEnd"/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 realizado una adecuada articulación a nivel nacional, provincial y municipal</w:t>
      </w:r>
      <w:r w:rsidR="00295BA9" w:rsidRPr="004A4D86">
        <w:rPr>
          <w:rFonts w:ascii="Arial" w:hAnsi="Arial" w:cs="Arial"/>
          <w:sz w:val="24"/>
          <w:szCs w:val="24"/>
          <w:lang w:val="es-ES_tradnl"/>
        </w:rPr>
        <w:t xml:space="preserve"> y se conformó un</w:t>
      </w:r>
      <w:r w:rsidR="002A27C3" w:rsidRPr="004A4D86">
        <w:rPr>
          <w:rFonts w:ascii="Arial" w:hAnsi="Arial" w:cs="Arial"/>
          <w:sz w:val="24"/>
          <w:szCs w:val="24"/>
          <w:lang w:val="es-ES_tradnl"/>
        </w:rPr>
        <w:t>a mesa</w:t>
      </w:r>
      <w:r w:rsidR="00AE009B"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95BA9" w:rsidRPr="004A4D86">
        <w:rPr>
          <w:rFonts w:ascii="Arial" w:hAnsi="Arial" w:cs="Arial"/>
          <w:sz w:val="24"/>
          <w:szCs w:val="24"/>
          <w:lang w:val="es-ES_tradnl"/>
        </w:rPr>
        <w:t>específica que atiende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 “Alojamientos Temporales y Asistencia Humanitaria”</w:t>
      </w:r>
      <w:r w:rsidR="002A27C3"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95BA9" w:rsidRPr="004A4D86">
        <w:rPr>
          <w:rFonts w:ascii="Arial" w:hAnsi="Arial" w:cs="Arial"/>
          <w:sz w:val="24"/>
          <w:szCs w:val="24"/>
          <w:lang w:val="es-ES_tradnl"/>
        </w:rPr>
        <w:t xml:space="preserve">(N°4) en la que </w:t>
      </w:r>
      <w:r w:rsidR="0078342A" w:rsidRPr="004A4D86">
        <w:rPr>
          <w:rFonts w:ascii="Arial" w:hAnsi="Arial" w:cs="Arial"/>
          <w:sz w:val="24"/>
          <w:szCs w:val="24"/>
          <w:lang w:val="es-ES_tradnl"/>
        </w:rPr>
        <w:t xml:space="preserve">participa el 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>Ministerio de Relaciones Exteriores y Movilidad Humana</w:t>
      </w:r>
      <w:r w:rsidR="00DA4CD9" w:rsidRPr="004A4D86">
        <w:rPr>
          <w:rFonts w:ascii="Arial" w:hAnsi="Arial" w:cs="Arial"/>
          <w:sz w:val="24"/>
          <w:szCs w:val="24"/>
          <w:lang w:val="es-ES_tradnl"/>
        </w:rPr>
        <w:t>,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 como ente rector en temas de movilidad humana.</w:t>
      </w:r>
      <w:r w:rsidR="00295BA9" w:rsidRPr="004A4D86">
        <w:rPr>
          <w:rFonts w:ascii="Arial" w:hAnsi="Arial" w:cs="Arial"/>
          <w:sz w:val="24"/>
          <w:szCs w:val="24"/>
          <w:lang w:val="es-ES_tradnl"/>
        </w:rPr>
        <w:t xml:space="preserve"> COE brinda servicios</w:t>
      </w:r>
      <w:r w:rsidR="002A27C3" w:rsidRPr="004A4D86">
        <w:rPr>
          <w:rFonts w:ascii="Arial" w:hAnsi="Arial" w:cs="Arial"/>
          <w:sz w:val="24"/>
          <w:szCs w:val="24"/>
          <w:lang w:val="es-ES_tradnl"/>
        </w:rPr>
        <w:t xml:space="preserve"> a todas las personas en situación de vulnerabilidad sin distinción de su condición migratoria.</w:t>
      </w:r>
    </w:p>
    <w:p w14:paraId="22C5396F" w14:textId="77777777" w:rsidR="002A27C3" w:rsidRPr="004A4D86" w:rsidRDefault="002A27C3" w:rsidP="004A4D86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lastRenderedPageBreak/>
        <w:t xml:space="preserve">Se </w:t>
      </w:r>
      <w:r w:rsidR="00295BA9" w:rsidRPr="004A4D86">
        <w:rPr>
          <w:rFonts w:ascii="Arial" w:hAnsi="Arial" w:cs="Arial"/>
          <w:sz w:val="24"/>
          <w:szCs w:val="24"/>
          <w:lang w:val="es-ES_tradnl"/>
        </w:rPr>
        <w:t>cuenta</w:t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 con la asistencia técnica del Equipo Humanitario País de las Naciones Unidas, </w:t>
      </w:r>
      <w:proofErr w:type="gramStart"/>
      <w:r w:rsidRPr="004A4D86">
        <w:rPr>
          <w:rFonts w:ascii="Arial" w:hAnsi="Arial" w:cs="Arial"/>
          <w:sz w:val="24"/>
          <w:szCs w:val="24"/>
          <w:lang w:val="es-ES_tradnl"/>
        </w:rPr>
        <w:t>que</w:t>
      </w:r>
      <w:proofErr w:type="gramEnd"/>
      <w:r w:rsidRPr="004A4D86">
        <w:rPr>
          <w:rFonts w:ascii="Arial" w:hAnsi="Arial" w:cs="Arial"/>
          <w:sz w:val="24"/>
          <w:szCs w:val="24"/>
          <w:lang w:val="es-ES_tradnl"/>
        </w:rPr>
        <w:t xml:space="preserve"> junto a varias instituciones, apoyaron en los temas de alojamientos temporales, educación, logística, nutrición, seguridad alimentaria, protección, recuperación temprana y medios de vida, salud, violencia basada en género y protección infantil, entre otros. Al momento se mantiene activo este mecanismo de coordinación para la atención a la emergencia sanitaria.</w:t>
      </w:r>
    </w:p>
    <w:p w14:paraId="03391D3D" w14:textId="77777777" w:rsidR="00295BA9" w:rsidRPr="004A4D86" w:rsidRDefault="00295BA9" w:rsidP="004A4D8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>Adicionalmente, el Servicio Nacional de Gestión de Riesgos y Emergencias dotó de infraestructuras estratégicas para extensiones hospitalarias, centros de aislamiento temporal o centros de acogida para la atención de pacientes COVID-19 con una inversión de 3,5 millones de dólares.</w:t>
      </w:r>
    </w:p>
    <w:p w14:paraId="41234C55" w14:textId="4608CB97" w:rsidR="004E079F" w:rsidRPr="004A4D86" w:rsidRDefault="005822D6" w:rsidP="004A4D8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A4D86">
        <w:rPr>
          <w:rFonts w:ascii="Arial" w:hAnsi="Arial" w:cs="Arial"/>
          <w:b/>
          <w:bCs/>
          <w:sz w:val="24"/>
          <w:szCs w:val="24"/>
          <w:lang w:val="es-ES_tradnl"/>
        </w:rPr>
        <w:t xml:space="preserve">3) </w:t>
      </w:r>
      <w:r w:rsidR="000204CE" w:rsidRPr="004A4D86">
        <w:rPr>
          <w:rFonts w:ascii="Arial" w:hAnsi="Arial" w:cs="Arial"/>
          <w:sz w:val="24"/>
          <w:szCs w:val="24"/>
          <w:lang w:val="es-ES_tradnl"/>
        </w:rPr>
        <w:t>En Ecuador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91453" w:rsidRPr="004A4D86">
        <w:rPr>
          <w:rFonts w:ascii="Arial" w:hAnsi="Arial" w:cs="Arial"/>
          <w:sz w:val="24"/>
          <w:szCs w:val="24"/>
          <w:lang w:val="es-ES_tradnl"/>
        </w:rPr>
        <w:t>no</w:t>
      </w:r>
      <w:r w:rsidR="000204CE" w:rsidRPr="004A4D86">
        <w:rPr>
          <w:rFonts w:ascii="Arial" w:hAnsi="Arial" w:cs="Arial"/>
          <w:sz w:val="24"/>
          <w:szCs w:val="24"/>
          <w:lang w:val="es-ES_tradnl"/>
        </w:rPr>
        <w:t xml:space="preserve"> se</w:t>
      </w:r>
      <w:r w:rsidR="00B91453"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>det</w:t>
      </w:r>
      <w:r w:rsidR="00B91453" w:rsidRPr="004A4D86">
        <w:rPr>
          <w:rFonts w:ascii="Arial" w:hAnsi="Arial" w:cs="Arial"/>
          <w:sz w:val="24"/>
          <w:szCs w:val="24"/>
          <w:lang w:val="es-ES_tradnl"/>
        </w:rPr>
        <w:t>iene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91453" w:rsidRPr="004A4D86">
        <w:rPr>
          <w:rFonts w:ascii="Arial" w:hAnsi="Arial" w:cs="Arial"/>
          <w:sz w:val="24"/>
          <w:szCs w:val="24"/>
          <w:lang w:val="es-ES_tradnl"/>
        </w:rPr>
        <w:t>a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 l</w:t>
      </w:r>
      <w:r w:rsidR="000204CE" w:rsidRPr="004A4D86">
        <w:rPr>
          <w:rFonts w:ascii="Arial" w:hAnsi="Arial" w:cs="Arial"/>
          <w:sz w:val="24"/>
          <w:szCs w:val="24"/>
          <w:lang w:val="es-ES_tradnl"/>
        </w:rPr>
        <w:t>as personas por infracciones de tipo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 migratori</w:t>
      </w:r>
      <w:r w:rsidR="000204CE" w:rsidRPr="004A4D86">
        <w:rPr>
          <w:rFonts w:ascii="Arial" w:hAnsi="Arial" w:cs="Arial"/>
          <w:sz w:val="24"/>
          <w:szCs w:val="24"/>
          <w:lang w:val="es-ES_tradnl"/>
        </w:rPr>
        <w:t>o. El país</w:t>
      </w:r>
      <w:r w:rsidR="00AE7981"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85F45" w:rsidRPr="004A4D86">
        <w:rPr>
          <w:rFonts w:ascii="Arial" w:hAnsi="Arial" w:cs="Arial"/>
          <w:sz w:val="24"/>
          <w:szCs w:val="24"/>
          <w:lang w:val="es-ES_tradnl"/>
        </w:rPr>
        <w:t xml:space="preserve">cumple con los principios de 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>"No devolución" e "</w:t>
      </w:r>
      <w:r w:rsidR="00B91453" w:rsidRPr="004A4D86">
        <w:rPr>
          <w:rFonts w:ascii="Arial" w:hAnsi="Arial" w:cs="Arial"/>
          <w:sz w:val="24"/>
          <w:szCs w:val="24"/>
          <w:lang w:val="es-ES_tradnl"/>
        </w:rPr>
        <w:t>i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>nterés superior del</w:t>
      </w:r>
      <w:r w:rsidR="00585F45"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niño", </w:t>
      </w:r>
      <w:r w:rsidR="00B91453" w:rsidRPr="004A4D86">
        <w:rPr>
          <w:rFonts w:ascii="Arial" w:hAnsi="Arial" w:cs="Arial"/>
          <w:sz w:val="24"/>
          <w:szCs w:val="24"/>
          <w:lang w:val="es-ES_tradnl"/>
        </w:rPr>
        <w:t>que están reconocidos en instrumentos internacionales y en la ley nacional (A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>rt</w:t>
      </w:r>
      <w:r w:rsidR="00B91453" w:rsidRPr="004A4D86">
        <w:rPr>
          <w:rFonts w:ascii="Arial" w:hAnsi="Arial" w:cs="Arial"/>
          <w:sz w:val="24"/>
          <w:szCs w:val="24"/>
          <w:lang w:val="es-ES_tradnl"/>
        </w:rPr>
        <w:t>.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 2 de la Ley Orgánica de Movilidad </w:t>
      </w:r>
      <w:proofErr w:type="gramStart"/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Humana </w:t>
      </w:r>
      <w:r w:rsidR="00B91453" w:rsidRPr="004A4D86">
        <w:rPr>
          <w:rFonts w:ascii="Arial" w:hAnsi="Arial" w:cs="Arial"/>
          <w:sz w:val="24"/>
          <w:szCs w:val="24"/>
          <w:lang w:val="es-ES_tradnl"/>
        </w:rPr>
        <w:t>)</w:t>
      </w:r>
      <w:proofErr w:type="gramEnd"/>
      <w:r w:rsidR="004E079F"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0F600823" w14:textId="43C8C65E" w:rsidR="00133B92" w:rsidRDefault="00A72757" w:rsidP="009334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b/>
          <w:bCs/>
          <w:sz w:val="24"/>
          <w:szCs w:val="24"/>
          <w:lang w:val="es-ES_tradnl"/>
        </w:rPr>
        <w:t xml:space="preserve">4) </w:t>
      </w:r>
      <w:r w:rsidR="0082261E" w:rsidRPr="004A4D86">
        <w:rPr>
          <w:rFonts w:ascii="Arial" w:hAnsi="Arial" w:cs="Arial"/>
          <w:sz w:val="24"/>
          <w:szCs w:val="24"/>
          <w:lang w:val="es-ES_tradnl"/>
        </w:rPr>
        <w:t xml:space="preserve">El Estado ecuatoriano está comprometido </w:t>
      </w:r>
      <w:r w:rsidR="00585F45" w:rsidRPr="004A4D86">
        <w:rPr>
          <w:rFonts w:ascii="Arial" w:hAnsi="Arial" w:cs="Arial"/>
          <w:sz w:val="24"/>
          <w:szCs w:val="24"/>
          <w:lang w:val="es-ES_tradnl"/>
        </w:rPr>
        <w:t xml:space="preserve">con la </w:t>
      </w:r>
      <w:r w:rsidR="0082261E" w:rsidRPr="004A4D86">
        <w:rPr>
          <w:rFonts w:ascii="Arial" w:hAnsi="Arial" w:cs="Arial"/>
          <w:sz w:val="24"/>
          <w:szCs w:val="24"/>
          <w:lang w:val="es-ES_tradnl"/>
        </w:rPr>
        <w:t>promo</w:t>
      </w:r>
      <w:r w:rsidR="00585F45" w:rsidRPr="004A4D86">
        <w:rPr>
          <w:rFonts w:ascii="Arial" w:hAnsi="Arial" w:cs="Arial"/>
          <w:sz w:val="24"/>
          <w:szCs w:val="24"/>
          <w:lang w:val="es-ES_tradnl"/>
        </w:rPr>
        <w:t xml:space="preserve">ción de las </w:t>
      </w:r>
      <w:r w:rsidR="0082261E" w:rsidRPr="004A4D86">
        <w:rPr>
          <w:rFonts w:ascii="Arial" w:hAnsi="Arial" w:cs="Arial"/>
          <w:sz w:val="24"/>
          <w:szCs w:val="24"/>
          <w:lang w:val="es-ES_tradnl"/>
        </w:rPr>
        <w:t>acciones para prevenir todo tipo de discriminación, entre ellas la xenofobia</w:t>
      </w:r>
      <w:r w:rsidR="00E86649" w:rsidRPr="004A4D86">
        <w:rPr>
          <w:rFonts w:ascii="Arial" w:hAnsi="Arial" w:cs="Arial"/>
          <w:sz w:val="24"/>
          <w:szCs w:val="24"/>
          <w:lang w:val="es-ES_tradnl"/>
        </w:rPr>
        <w:t>.</w:t>
      </w:r>
      <w:r w:rsidR="00DA4CD9"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261E" w:rsidRPr="004A4D86">
        <w:rPr>
          <w:rFonts w:ascii="Arial" w:hAnsi="Arial" w:cs="Arial"/>
          <w:sz w:val="24"/>
          <w:szCs w:val="24"/>
          <w:lang w:val="es-ES_tradnl"/>
        </w:rPr>
        <w:t>El Ministerio de Relaciones Exteriores y Movilidad Humana del Ecuador, desde 2016</w:t>
      </w:r>
      <w:r w:rsidR="00DA4CD9" w:rsidRPr="004A4D86">
        <w:rPr>
          <w:rFonts w:ascii="Arial" w:hAnsi="Arial" w:cs="Arial"/>
          <w:sz w:val="24"/>
          <w:szCs w:val="24"/>
          <w:lang w:val="es-ES_tradnl"/>
        </w:rPr>
        <w:t>,</w:t>
      </w:r>
      <w:r w:rsidR="0082261E" w:rsidRPr="004A4D86">
        <w:rPr>
          <w:rFonts w:ascii="Arial" w:hAnsi="Arial" w:cs="Arial"/>
          <w:sz w:val="24"/>
          <w:szCs w:val="24"/>
          <w:lang w:val="es-ES_tradnl"/>
        </w:rPr>
        <w:t xml:space="preserve"> ejecuta campañas de prevención y sensibilización en las instituciones educativas y en diferentes espacios comunitarios a favor de la inclusión y la diversidad</w:t>
      </w:r>
      <w:r w:rsidR="00585F45" w:rsidRPr="004A4D86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33B92" w:rsidRPr="004A4D86">
        <w:rPr>
          <w:rFonts w:ascii="Arial" w:hAnsi="Arial" w:cs="Arial"/>
          <w:sz w:val="24"/>
          <w:szCs w:val="24"/>
          <w:lang w:val="es-ES_tradnl"/>
        </w:rPr>
        <w:t>y</w:t>
      </w:r>
      <w:r w:rsidR="0082261E" w:rsidRPr="004A4D86">
        <w:rPr>
          <w:rFonts w:ascii="Arial" w:hAnsi="Arial" w:cs="Arial"/>
          <w:sz w:val="24"/>
          <w:szCs w:val="24"/>
          <w:lang w:val="es-ES_tradnl"/>
        </w:rPr>
        <w:t xml:space="preserve"> 86.093 </w:t>
      </w:r>
      <w:r w:rsidR="00133B92" w:rsidRPr="004A4D86">
        <w:rPr>
          <w:rFonts w:ascii="Arial" w:hAnsi="Arial" w:cs="Arial"/>
          <w:sz w:val="24"/>
          <w:szCs w:val="24"/>
          <w:lang w:val="es-ES_tradnl"/>
        </w:rPr>
        <w:t>estudiantes, padres y docentes</w:t>
      </w:r>
      <w:r w:rsidR="00133B92" w:rsidRPr="004A4D86" w:rsidDel="00133B9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67BC" w:rsidRPr="004A4D86">
        <w:rPr>
          <w:rFonts w:ascii="Arial" w:hAnsi="Arial" w:cs="Arial"/>
          <w:sz w:val="24"/>
          <w:szCs w:val="24"/>
          <w:lang w:val="es-ES_tradnl"/>
        </w:rPr>
        <w:t>han sido capacitado</w:t>
      </w:r>
      <w:r w:rsidR="00133B92" w:rsidRPr="004A4D86">
        <w:rPr>
          <w:rFonts w:ascii="Arial" w:hAnsi="Arial" w:cs="Arial"/>
          <w:sz w:val="24"/>
          <w:szCs w:val="24"/>
          <w:lang w:val="es-ES_tradnl"/>
        </w:rPr>
        <w:t>s.</w:t>
      </w:r>
      <w:r w:rsidR="00DA4CD9"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33B92" w:rsidRPr="004A4D86">
        <w:rPr>
          <w:rFonts w:ascii="Arial" w:hAnsi="Arial" w:cs="Arial"/>
          <w:sz w:val="24"/>
          <w:szCs w:val="24"/>
          <w:lang w:val="es-ES_tradnl"/>
        </w:rPr>
        <w:t xml:space="preserve">En </w:t>
      </w:r>
      <w:proofErr w:type="gramStart"/>
      <w:r w:rsidR="0082261E" w:rsidRPr="004A4D86">
        <w:rPr>
          <w:rFonts w:ascii="Arial" w:hAnsi="Arial" w:cs="Arial"/>
          <w:sz w:val="24"/>
          <w:szCs w:val="24"/>
          <w:lang w:val="es-ES_tradnl"/>
        </w:rPr>
        <w:t>2020</w:t>
      </w:r>
      <w:r w:rsidR="00DA4CD9" w:rsidRPr="004A4D86">
        <w:rPr>
          <w:rFonts w:ascii="Arial" w:hAnsi="Arial" w:cs="Arial"/>
          <w:sz w:val="24"/>
          <w:szCs w:val="24"/>
          <w:lang w:val="es-ES_tradnl"/>
        </w:rPr>
        <w:t>,</w:t>
      </w:r>
      <w:r w:rsidR="0082261E" w:rsidRPr="004A4D86">
        <w:rPr>
          <w:rFonts w:ascii="Arial" w:hAnsi="Arial" w:cs="Arial"/>
          <w:sz w:val="24"/>
          <w:szCs w:val="24"/>
          <w:lang w:val="es-ES_tradnl"/>
        </w:rPr>
        <w:t xml:space="preserve">  se</w:t>
      </w:r>
      <w:proofErr w:type="gramEnd"/>
      <w:r w:rsidR="0082261E"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33B92" w:rsidRPr="004A4D86">
        <w:rPr>
          <w:rFonts w:ascii="Arial" w:hAnsi="Arial" w:cs="Arial"/>
          <w:sz w:val="24"/>
          <w:szCs w:val="24"/>
          <w:lang w:val="es-ES_tradnl"/>
        </w:rPr>
        <w:t>puso en marcha</w:t>
      </w:r>
      <w:r w:rsidR="0082261E" w:rsidRPr="004A4D86">
        <w:rPr>
          <w:rFonts w:ascii="Arial" w:hAnsi="Arial" w:cs="Arial"/>
          <w:sz w:val="24"/>
          <w:szCs w:val="24"/>
          <w:lang w:val="es-ES_tradnl"/>
        </w:rPr>
        <w:t xml:space="preserve"> la "Campaña de prevención y sensibilización contra todas las formas de discriminación 2020-2021: UN SOLO RUMBO"</w:t>
      </w:r>
      <w:r w:rsidR="00133B92" w:rsidRPr="004A4D86">
        <w:rPr>
          <w:rFonts w:ascii="Arial" w:hAnsi="Arial" w:cs="Arial"/>
          <w:sz w:val="24"/>
          <w:szCs w:val="24"/>
          <w:lang w:val="es-ES_tradnl"/>
        </w:rPr>
        <w:t>.</w:t>
      </w:r>
    </w:p>
    <w:p w14:paraId="7224DF35" w14:textId="77777777" w:rsidR="004A4D86" w:rsidRPr="004A4D86" w:rsidRDefault="004A4D86" w:rsidP="004A4D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532EF51" w14:textId="6C62B55B" w:rsidR="00133B92" w:rsidRPr="004A4D86" w:rsidRDefault="00133B92" w:rsidP="004A4D86">
      <w:pPr>
        <w:pStyle w:val="MediumGrid21"/>
        <w:jc w:val="both"/>
        <w:rPr>
          <w:rFonts w:ascii="Arial" w:eastAsia="Calibri" w:hAnsi="Arial" w:cs="Arial"/>
          <w:lang w:val="es-ES_tradnl"/>
        </w:rPr>
      </w:pPr>
      <w:r w:rsidRPr="004A4D86">
        <w:rPr>
          <w:rFonts w:ascii="Arial" w:eastAsia="Calibri" w:hAnsi="Arial" w:cs="Arial"/>
          <w:lang w:val="es-ES_tradnl"/>
        </w:rPr>
        <w:t xml:space="preserve">En el plano internacional, Ecuador comparte la importancia </w:t>
      </w:r>
      <w:r w:rsidR="0082261E" w:rsidRPr="004A4D86">
        <w:rPr>
          <w:rFonts w:ascii="Arial" w:eastAsia="Calibri" w:hAnsi="Arial" w:cs="Arial"/>
          <w:lang w:val="es-ES_tradnl"/>
        </w:rPr>
        <w:t xml:space="preserve">de las narrativas públicas sobre la migración, especialmente en el contexto de la pandemia global para contrarrestar el incremento de la retórica </w:t>
      </w:r>
      <w:proofErr w:type="spellStart"/>
      <w:r w:rsidR="0082261E" w:rsidRPr="004A4D86">
        <w:rPr>
          <w:rFonts w:ascii="Arial" w:eastAsia="Calibri" w:hAnsi="Arial" w:cs="Arial"/>
          <w:lang w:val="es-ES_tradnl"/>
        </w:rPr>
        <w:t>anti-migrante</w:t>
      </w:r>
      <w:proofErr w:type="spellEnd"/>
      <w:r w:rsidR="0082261E" w:rsidRPr="004A4D86">
        <w:rPr>
          <w:rFonts w:ascii="Arial" w:eastAsia="Calibri" w:hAnsi="Arial" w:cs="Arial"/>
          <w:lang w:val="es-ES_tradnl"/>
        </w:rPr>
        <w:t xml:space="preserve"> en todo el mundo.</w:t>
      </w:r>
      <w:r w:rsidRPr="004A4D86">
        <w:rPr>
          <w:rFonts w:ascii="Arial" w:eastAsia="Calibri" w:hAnsi="Arial" w:cs="Arial"/>
          <w:lang w:val="es-ES_tradnl"/>
        </w:rPr>
        <w:t xml:space="preserve"> En el marco del Foro Global sobre Migración y Desarrollo (FGMD) el Ecuador es uno de los copresidentes del Grupo de Trabajo sobre Narrativas de la Migración, que promueve la campaña </w:t>
      </w:r>
      <w:r w:rsidRPr="004A4D86">
        <w:rPr>
          <w:rFonts w:ascii="Arial" w:eastAsia="Calibri" w:hAnsi="Arial" w:cs="Arial"/>
          <w:i/>
          <w:lang w:val="es-ES_tradnl"/>
        </w:rPr>
        <w:t>“</w:t>
      </w:r>
      <w:proofErr w:type="spellStart"/>
      <w:r w:rsidRPr="004A4D86">
        <w:rPr>
          <w:rFonts w:ascii="Arial" w:eastAsia="Calibri" w:hAnsi="Arial" w:cs="Arial"/>
          <w:i/>
          <w:lang w:val="es-ES_tradnl"/>
        </w:rPr>
        <w:t>It</w:t>
      </w:r>
      <w:proofErr w:type="spellEnd"/>
      <w:r w:rsidRPr="004A4D86">
        <w:rPr>
          <w:rFonts w:ascii="Arial" w:eastAsia="Calibri" w:hAnsi="Arial" w:cs="Arial"/>
          <w:i/>
          <w:lang w:val="es-ES_tradnl"/>
        </w:rPr>
        <w:t xml:space="preserve"> </w:t>
      </w:r>
      <w:proofErr w:type="spellStart"/>
      <w:r w:rsidRPr="004A4D86">
        <w:rPr>
          <w:rFonts w:ascii="Arial" w:eastAsia="Calibri" w:hAnsi="Arial" w:cs="Arial"/>
          <w:i/>
          <w:lang w:val="es-ES_tradnl"/>
        </w:rPr>
        <w:t>Takes</w:t>
      </w:r>
      <w:proofErr w:type="spellEnd"/>
      <w:r w:rsidRPr="004A4D86">
        <w:rPr>
          <w:rFonts w:ascii="Arial" w:eastAsia="Calibri" w:hAnsi="Arial" w:cs="Arial"/>
          <w:i/>
          <w:lang w:val="es-ES_tradnl"/>
        </w:rPr>
        <w:t xml:space="preserve"> a </w:t>
      </w:r>
      <w:proofErr w:type="spellStart"/>
      <w:r w:rsidRPr="004A4D86">
        <w:rPr>
          <w:rFonts w:ascii="Arial" w:eastAsia="Calibri" w:hAnsi="Arial" w:cs="Arial"/>
          <w:i/>
          <w:lang w:val="es-ES_tradnl"/>
        </w:rPr>
        <w:t>Community</w:t>
      </w:r>
      <w:proofErr w:type="spellEnd"/>
      <w:r w:rsidRPr="004A4D86">
        <w:rPr>
          <w:rFonts w:ascii="Arial" w:eastAsia="Calibri" w:hAnsi="Arial" w:cs="Arial"/>
          <w:i/>
          <w:lang w:val="es-ES_tradnl"/>
        </w:rPr>
        <w:t xml:space="preserve">” </w:t>
      </w:r>
      <w:r w:rsidRPr="004A4D86">
        <w:rPr>
          <w:rFonts w:ascii="Arial" w:eastAsia="Calibri" w:hAnsi="Arial" w:cs="Arial"/>
          <w:lang w:val="es-ES_tradnl"/>
        </w:rPr>
        <w:t xml:space="preserve">para ofrecer al gran público información objetiva y equilibrada sobre la migración y beneficiar a las comunidades.   </w:t>
      </w:r>
    </w:p>
    <w:p w14:paraId="673848BF" w14:textId="77777777" w:rsidR="00DA43C6" w:rsidRPr="004A4D86" w:rsidRDefault="00DA43C6" w:rsidP="004A4D86">
      <w:pPr>
        <w:pStyle w:val="MediumGrid21"/>
        <w:jc w:val="both"/>
        <w:rPr>
          <w:rFonts w:ascii="Arial" w:eastAsia="Calibri" w:hAnsi="Arial" w:cs="Arial"/>
          <w:lang w:val="es-ES_tradnl"/>
        </w:rPr>
      </w:pPr>
    </w:p>
    <w:p w14:paraId="754BB72D" w14:textId="77777777" w:rsidR="007F7E3A" w:rsidRPr="004A4D86" w:rsidRDefault="00A72757" w:rsidP="004A4D86">
      <w:pPr>
        <w:spacing w:line="240" w:lineRule="auto"/>
        <w:jc w:val="both"/>
        <w:rPr>
          <w:rStyle w:val="jlqj4b"/>
          <w:rFonts w:ascii="Arial" w:hAnsi="Arial" w:cs="Arial"/>
          <w:b/>
          <w:bCs/>
          <w:sz w:val="24"/>
          <w:szCs w:val="24"/>
          <w:lang w:val="es-ES_tradnl"/>
        </w:rPr>
      </w:pPr>
      <w:r w:rsidRPr="004A4D86">
        <w:rPr>
          <w:rFonts w:ascii="Arial" w:hAnsi="Arial" w:cs="Arial"/>
          <w:b/>
          <w:bCs/>
          <w:sz w:val="24"/>
          <w:szCs w:val="24"/>
          <w:lang w:val="es-ES_tradnl"/>
        </w:rPr>
        <w:t xml:space="preserve">5) </w:t>
      </w:r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>Durante la emergencia sanitaria provocada por la Pandemia del COVID-19, el Ecuador ha mostrado su compromiso para promover acciones en favor de la población en movilidad humana, particularmente mujeres migrantes. Entre las acciones se destacan:</w:t>
      </w:r>
    </w:p>
    <w:p w14:paraId="74BF39D9" w14:textId="7A798E7D" w:rsidR="007F7E3A" w:rsidRPr="004A4D86" w:rsidRDefault="008267BC" w:rsidP="00DD2482">
      <w:pPr>
        <w:spacing w:after="0" w:line="240" w:lineRule="auto"/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>Declaratori</w:t>
      </w:r>
      <w:r w:rsidR="00DA4CD9" w:rsidRPr="004A4D86">
        <w:rPr>
          <w:rStyle w:val="jlqj4b"/>
          <w:rFonts w:ascii="Arial" w:hAnsi="Arial" w:cs="Arial"/>
          <w:sz w:val="24"/>
          <w:szCs w:val="24"/>
          <w:lang w:val="es-ES_tradnl"/>
        </w:rPr>
        <w:t>a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d</w:t>
      </w:r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el 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>e</w:t>
      </w:r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stado de 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>e</w:t>
      </w:r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>xcepción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(marzo 2020)</w:t>
      </w:r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>;</w:t>
      </w:r>
    </w:p>
    <w:p w14:paraId="671B2773" w14:textId="77777777" w:rsidR="007F7E3A" w:rsidRPr="004A4D86" w:rsidRDefault="007F7E3A" w:rsidP="004A4D86">
      <w:pPr>
        <w:spacing w:after="0" w:line="240" w:lineRule="auto"/>
        <w:ind w:left="720"/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</w:p>
    <w:p w14:paraId="17C55D18" w14:textId="245C5DFA" w:rsidR="00DD2482" w:rsidRDefault="007F7E3A" w:rsidP="00DD2482">
      <w:pPr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>El 19 de marzo de 2020, se expidió el Acuerdo Ministerial No 35, para ampliar los plazos de permanencia de ciudadanos extranjeros en calidad de turistas, residentes temporales y residentes permanente</w:t>
      </w:r>
      <w:r w:rsidR="008267BC" w:rsidRPr="004A4D86">
        <w:rPr>
          <w:rStyle w:val="jlqj4b"/>
          <w:rFonts w:ascii="Arial" w:hAnsi="Arial" w:cs="Arial"/>
          <w:sz w:val="24"/>
          <w:szCs w:val="24"/>
          <w:lang w:val="es-ES_tradnl"/>
        </w:rPr>
        <w:t>s.</w:t>
      </w:r>
    </w:p>
    <w:p w14:paraId="7703FBBC" w14:textId="5261EEEA" w:rsidR="00DD2482" w:rsidRDefault="008267BC" w:rsidP="00DD2482">
      <w:pPr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  <w:r w:rsidRPr="00DD2482">
        <w:rPr>
          <w:rStyle w:val="jlqj4b"/>
          <w:rFonts w:ascii="Arial" w:hAnsi="Arial" w:cs="Arial"/>
          <w:sz w:val="24"/>
          <w:szCs w:val="24"/>
          <w:lang w:val="es-ES_tradnl"/>
        </w:rPr>
        <w:t>M</w:t>
      </w:r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>edidas de confinamiento nacional y una limitación a la circulación interna e internacional. Desde el 4 de mayo del 2020, se inició un proceso de “</w:t>
      </w:r>
      <w:proofErr w:type="spellStart"/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>semaforización</w:t>
      </w:r>
      <w:proofErr w:type="spellEnd"/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” de los cantones, ajustando las medidas de forma paulatina de acuerdo a la evolución de la pandemia en el país; </w:t>
      </w:r>
    </w:p>
    <w:p w14:paraId="04038D37" w14:textId="59593183" w:rsidR="00DA43C6" w:rsidRPr="004A4D86" w:rsidRDefault="007F7E3A" w:rsidP="00DD2482">
      <w:pPr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  <w:r w:rsidRPr="00DD2482">
        <w:rPr>
          <w:rStyle w:val="jlqj4b"/>
          <w:rFonts w:ascii="Arial" w:hAnsi="Arial" w:cs="Arial"/>
          <w:sz w:val="24"/>
          <w:szCs w:val="24"/>
          <w:lang w:val="es-ES_tradnl"/>
        </w:rPr>
        <w:t xml:space="preserve">Acuerdo Interministerial No. 6, de 18 de marzo de 2020, </w:t>
      </w:r>
      <w:r w:rsidR="008267BC" w:rsidRPr="00DD2482">
        <w:rPr>
          <w:rStyle w:val="jlqj4b"/>
          <w:rFonts w:ascii="Arial" w:hAnsi="Arial" w:cs="Arial"/>
          <w:sz w:val="24"/>
          <w:szCs w:val="24"/>
          <w:lang w:val="es-ES_tradnl"/>
        </w:rPr>
        <w:t xml:space="preserve">que </w:t>
      </w:r>
      <w:r w:rsidRPr="00DD2482">
        <w:rPr>
          <w:rStyle w:val="jlqj4b"/>
          <w:rFonts w:ascii="Arial" w:hAnsi="Arial" w:cs="Arial"/>
          <w:sz w:val="24"/>
          <w:szCs w:val="24"/>
          <w:lang w:val="es-ES_tradnl"/>
        </w:rPr>
        <w:t xml:space="preserve">estableció el Procedimiento para la </w:t>
      </w:r>
      <w:r w:rsidR="008267BC" w:rsidRPr="00DD2482">
        <w:rPr>
          <w:rStyle w:val="jlqj4b"/>
          <w:rFonts w:ascii="Arial" w:hAnsi="Arial" w:cs="Arial"/>
          <w:sz w:val="24"/>
          <w:szCs w:val="24"/>
          <w:lang w:val="es-ES_tradnl"/>
        </w:rPr>
        <w:t>r</w:t>
      </w:r>
      <w:r w:rsidRPr="00DD2482">
        <w:rPr>
          <w:rStyle w:val="jlqj4b"/>
          <w:rFonts w:ascii="Arial" w:hAnsi="Arial" w:cs="Arial"/>
          <w:sz w:val="24"/>
          <w:szCs w:val="24"/>
          <w:lang w:val="es-ES_tradnl"/>
        </w:rPr>
        <w:t xml:space="preserve">egularización de </w:t>
      </w:r>
      <w:r w:rsidR="008267BC" w:rsidRPr="00DD2482">
        <w:rPr>
          <w:rStyle w:val="jlqj4b"/>
          <w:rFonts w:ascii="Arial" w:hAnsi="Arial" w:cs="Arial"/>
          <w:sz w:val="24"/>
          <w:szCs w:val="24"/>
          <w:lang w:val="es-ES_tradnl"/>
        </w:rPr>
        <w:t>p</w:t>
      </w:r>
      <w:r w:rsidRPr="00DD2482">
        <w:rPr>
          <w:rStyle w:val="jlqj4b"/>
          <w:rFonts w:ascii="Arial" w:hAnsi="Arial" w:cs="Arial"/>
          <w:sz w:val="24"/>
          <w:szCs w:val="24"/>
          <w:lang w:val="es-ES_tradnl"/>
        </w:rPr>
        <w:t xml:space="preserve">ersonas </w:t>
      </w:r>
      <w:r w:rsidR="008267BC" w:rsidRPr="00DD2482">
        <w:rPr>
          <w:rStyle w:val="jlqj4b"/>
          <w:rFonts w:ascii="Arial" w:hAnsi="Arial" w:cs="Arial"/>
          <w:sz w:val="24"/>
          <w:szCs w:val="24"/>
          <w:lang w:val="es-ES_tradnl"/>
        </w:rPr>
        <w:t>e</w:t>
      </w:r>
      <w:r w:rsidRPr="00DD2482">
        <w:rPr>
          <w:rStyle w:val="jlqj4b"/>
          <w:rFonts w:ascii="Arial" w:hAnsi="Arial" w:cs="Arial"/>
          <w:sz w:val="24"/>
          <w:szCs w:val="24"/>
          <w:lang w:val="es-ES_tradnl"/>
        </w:rPr>
        <w:t>xtranjeras, padres de niños, niñas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o adolescentes ecuatorianos, que no han registrado su ingreso a través de los puntos de control migratorio 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lastRenderedPageBreak/>
        <w:t xml:space="preserve">oficiales., </w:t>
      </w:r>
      <w:r w:rsidR="008267BC" w:rsidRPr="004A4D86">
        <w:rPr>
          <w:rStyle w:val="jlqj4b"/>
          <w:rFonts w:ascii="Arial" w:hAnsi="Arial" w:cs="Arial"/>
          <w:sz w:val="24"/>
          <w:szCs w:val="24"/>
          <w:lang w:val="es-ES_tradnl"/>
        </w:rPr>
        <w:t>L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os padres extranjeros de </w:t>
      </w:r>
      <w:r w:rsidR="008267BC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hijos 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ecuatorianos pueden </w:t>
      </w:r>
      <w:r w:rsidR="008267BC" w:rsidRPr="004A4D86">
        <w:rPr>
          <w:rStyle w:val="jlqj4b"/>
          <w:rFonts w:ascii="Arial" w:hAnsi="Arial" w:cs="Arial"/>
          <w:sz w:val="24"/>
          <w:szCs w:val="24"/>
          <w:lang w:val="es-ES_tradnl"/>
        </w:rPr>
        <w:t>optar por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</w:t>
      </w:r>
      <w:r w:rsidR="008267BC" w:rsidRPr="004A4D86">
        <w:rPr>
          <w:rStyle w:val="jlqj4b"/>
          <w:rFonts w:ascii="Arial" w:hAnsi="Arial" w:cs="Arial"/>
          <w:sz w:val="24"/>
          <w:szCs w:val="24"/>
          <w:lang w:val="es-ES_tradnl"/>
        </w:rPr>
        <w:t>solicitar la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residencia permanente en </w:t>
      </w:r>
      <w:r w:rsidR="00340DE9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el 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>Ecuador.</w:t>
      </w:r>
    </w:p>
    <w:p w14:paraId="174D1DCC" w14:textId="77777777" w:rsidR="00DA4CD9" w:rsidRPr="004A4D86" w:rsidRDefault="00DA4CD9" w:rsidP="004A4D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47CD209" w14:textId="77777777" w:rsidR="007F7E3A" w:rsidRPr="004A4D86" w:rsidRDefault="00A72757" w:rsidP="004A4D86">
      <w:pPr>
        <w:spacing w:line="240" w:lineRule="auto"/>
        <w:jc w:val="both"/>
        <w:rPr>
          <w:rStyle w:val="jlqj4b"/>
          <w:rFonts w:ascii="Arial" w:hAnsi="Arial" w:cs="Arial"/>
          <w:color w:val="000000"/>
          <w:sz w:val="24"/>
          <w:szCs w:val="24"/>
          <w:lang w:val="es-ES_tradnl"/>
        </w:rPr>
      </w:pPr>
      <w:r w:rsidRPr="004A4D86">
        <w:rPr>
          <w:rFonts w:ascii="Arial" w:hAnsi="Arial" w:cs="Arial"/>
          <w:b/>
          <w:bCs/>
          <w:sz w:val="24"/>
          <w:szCs w:val="24"/>
          <w:lang w:val="es-ES_tradnl"/>
        </w:rPr>
        <w:t xml:space="preserve">6) </w:t>
      </w:r>
      <w:r w:rsidR="007F7E3A" w:rsidRPr="004A4D86">
        <w:rPr>
          <w:rStyle w:val="jlqj4b"/>
          <w:rFonts w:ascii="Arial" w:hAnsi="Arial" w:cs="Arial"/>
          <w:color w:val="000000"/>
          <w:sz w:val="24"/>
          <w:szCs w:val="24"/>
          <w:lang w:val="es-ES_tradnl"/>
        </w:rPr>
        <w:t>Entre las políticas públicas que aplica el Ecuador en materia migratoria se destacan:</w:t>
      </w:r>
    </w:p>
    <w:p w14:paraId="43925C37" w14:textId="77777777" w:rsidR="007F7E3A" w:rsidRPr="004A4D86" w:rsidRDefault="007F7E3A" w:rsidP="004A4D86">
      <w:pPr>
        <w:numPr>
          <w:ilvl w:val="0"/>
          <w:numId w:val="2"/>
        </w:numPr>
        <w:spacing w:line="240" w:lineRule="auto"/>
        <w:jc w:val="both"/>
        <w:rPr>
          <w:rStyle w:val="jlqj4b"/>
          <w:rFonts w:ascii="Arial" w:hAnsi="Arial" w:cs="Arial"/>
          <w:color w:val="000000"/>
          <w:sz w:val="24"/>
          <w:szCs w:val="24"/>
          <w:lang w:val="es-ES_tradnl"/>
        </w:rPr>
      </w:pPr>
      <w:r w:rsidRPr="004A4D86">
        <w:rPr>
          <w:rStyle w:val="jlqj4b"/>
          <w:rFonts w:ascii="Arial" w:hAnsi="Arial" w:cs="Arial"/>
          <w:color w:val="000000"/>
          <w:sz w:val="24"/>
          <w:szCs w:val="24"/>
          <w:lang w:val="es-ES_tradnl"/>
        </w:rPr>
        <w:t>El Estado garantiza los mismos derechos y obligaciones para población extranjera, independientemente de su estatus migratorio;</w:t>
      </w:r>
    </w:p>
    <w:p w14:paraId="60E8859E" w14:textId="77777777" w:rsidR="007F7E3A" w:rsidRPr="004A4D86" w:rsidRDefault="007F7E3A" w:rsidP="004A4D86">
      <w:pPr>
        <w:numPr>
          <w:ilvl w:val="0"/>
          <w:numId w:val="2"/>
        </w:numPr>
        <w:spacing w:line="240" w:lineRule="auto"/>
        <w:jc w:val="both"/>
        <w:rPr>
          <w:rStyle w:val="jlqj4b"/>
          <w:rFonts w:ascii="Arial" w:hAnsi="Arial" w:cs="Arial"/>
          <w:color w:val="000000"/>
          <w:sz w:val="24"/>
          <w:szCs w:val="24"/>
          <w:lang w:val="es-ES_tradnl"/>
        </w:rPr>
      </w:pPr>
      <w:r w:rsidRPr="004A4D86">
        <w:rPr>
          <w:rStyle w:val="jlqj4b"/>
          <w:rFonts w:ascii="Arial" w:hAnsi="Arial" w:cs="Arial"/>
          <w:color w:val="000000"/>
          <w:sz w:val="24"/>
          <w:szCs w:val="24"/>
          <w:lang w:val="es-ES_tradnl"/>
        </w:rPr>
        <w:t>Continuar implementando acciones para la regularización temporal y permanente de los ciudadanos venezolanos;</w:t>
      </w:r>
    </w:p>
    <w:p w14:paraId="535ADDDB" w14:textId="77777777" w:rsidR="007F7E3A" w:rsidRPr="004A4D86" w:rsidRDefault="007F7E3A" w:rsidP="004A4D86">
      <w:pPr>
        <w:numPr>
          <w:ilvl w:val="0"/>
          <w:numId w:val="2"/>
        </w:numPr>
        <w:spacing w:line="240" w:lineRule="auto"/>
        <w:jc w:val="both"/>
        <w:rPr>
          <w:rStyle w:val="jlqj4b"/>
          <w:rFonts w:ascii="Arial" w:hAnsi="Arial" w:cs="Arial"/>
          <w:color w:val="000000"/>
          <w:sz w:val="24"/>
          <w:szCs w:val="24"/>
          <w:lang w:val="es-ES_tradnl"/>
        </w:rPr>
      </w:pPr>
      <w:r w:rsidRPr="004A4D86">
        <w:rPr>
          <w:rStyle w:val="jlqj4b"/>
          <w:rFonts w:ascii="Arial" w:hAnsi="Arial" w:cs="Arial"/>
          <w:color w:val="000000"/>
          <w:sz w:val="24"/>
          <w:szCs w:val="24"/>
          <w:lang w:val="es-ES_tradnl"/>
        </w:rPr>
        <w:t>Registro migratorio de los ciudadanos venezolanos; y,</w:t>
      </w:r>
    </w:p>
    <w:p w14:paraId="5FFE0422" w14:textId="77777777" w:rsidR="007F7E3A" w:rsidRPr="004A4D86" w:rsidRDefault="007F7E3A" w:rsidP="004A4D86">
      <w:pPr>
        <w:numPr>
          <w:ilvl w:val="0"/>
          <w:numId w:val="2"/>
        </w:numPr>
        <w:spacing w:after="0" w:line="240" w:lineRule="auto"/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  <w:r w:rsidRPr="004A4D86">
        <w:rPr>
          <w:rStyle w:val="jlqj4b"/>
          <w:rFonts w:ascii="Arial" w:hAnsi="Arial" w:cs="Arial"/>
          <w:color w:val="000000"/>
          <w:sz w:val="24"/>
          <w:szCs w:val="24"/>
          <w:lang w:val="es-ES_tradnl"/>
        </w:rPr>
        <w:t>Digitalización y automatización de los procesos.</w:t>
      </w:r>
    </w:p>
    <w:p w14:paraId="2EF16392" w14:textId="77777777" w:rsidR="007F7E3A" w:rsidRPr="004A4D86" w:rsidRDefault="007F7E3A" w:rsidP="004A4D86">
      <w:pPr>
        <w:spacing w:after="0" w:line="240" w:lineRule="auto"/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</w:p>
    <w:p w14:paraId="7D859BFF" w14:textId="2C2B2C51" w:rsidR="007F7E3A" w:rsidRPr="004A4D86" w:rsidRDefault="004D3C7A" w:rsidP="004A4D86">
      <w:pPr>
        <w:spacing w:after="0" w:line="240" w:lineRule="auto"/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>La expedición del</w:t>
      </w:r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Decreto Ejecut</w:t>
      </w:r>
      <w:r w:rsidR="005822D6" w:rsidRPr="004A4D86">
        <w:rPr>
          <w:rStyle w:val="jlqj4b"/>
          <w:rFonts w:ascii="Arial" w:hAnsi="Arial" w:cs="Arial"/>
          <w:sz w:val="24"/>
          <w:szCs w:val="24"/>
          <w:lang w:val="es-ES_tradnl"/>
        </w:rPr>
        <w:t>ivo 826, de 25 de julio de 2019,</w:t>
      </w:r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>marca el inicio del</w:t>
      </w:r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proceso de regularización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del estatus migratorio de nacionales venezolanos, que amplió por la pandemia la recepción de solicitudes hasta </w:t>
      </w:r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>agosto de 2020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>, y comprende:</w:t>
      </w:r>
    </w:p>
    <w:p w14:paraId="09BE7C2D" w14:textId="77777777" w:rsidR="007F7E3A" w:rsidRPr="004A4D86" w:rsidRDefault="007F7E3A" w:rsidP="004A4D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BAE8B9C" w14:textId="77777777" w:rsidR="007F7E3A" w:rsidRPr="004A4D86" w:rsidRDefault="007F7E3A" w:rsidP="004A4D8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4A4D86">
        <w:rPr>
          <w:rFonts w:ascii="Arial" w:hAnsi="Arial" w:cs="Arial"/>
          <w:color w:val="000000"/>
          <w:sz w:val="24"/>
          <w:szCs w:val="24"/>
          <w:lang w:val="es-ES_tradnl"/>
        </w:rPr>
        <w:t>a) La creación de una visa de residencia temporal de excepción por razones humanitarias;</w:t>
      </w:r>
    </w:p>
    <w:p w14:paraId="222EC188" w14:textId="77777777" w:rsidR="007F7E3A" w:rsidRPr="004A4D86" w:rsidRDefault="007F7E3A" w:rsidP="004A4D8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4A4D86">
        <w:rPr>
          <w:rFonts w:ascii="Arial" w:hAnsi="Arial" w:cs="Arial"/>
          <w:color w:val="000000"/>
          <w:sz w:val="24"/>
          <w:szCs w:val="24"/>
          <w:lang w:val="es-ES_tradnl"/>
        </w:rPr>
        <w:t>b) El reconocimiento de pasaportes vencidos hasta por cinco años a partir de su caducidad;</w:t>
      </w:r>
    </w:p>
    <w:p w14:paraId="76C33A92" w14:textId="77777777" w:rsidR="007F7E3A" w:rsidRPr="004A4D86" w:rsidRDefault="007F7E3A" w:rsidP="004A4D8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4A4D86">
        <w:rPr>
          <w:rFonts w:ascii="Arial" w:hAnsi="Arial" w:cs="Arial"/>
          <w:color w:val="000000"/>
          <w:sz w:val="24"/>
          <w:szCs w:val="24"/>
          <w:lang w:val="es-ES_tradnl"/>
        </w:rPr>
        <w:t>c) La condonación de multas migratorias por permanencia irregular;</w:t>
      </w:r>
    </w:p>
    <w:p w14:paraId="3AAAEDC6" w14:textId="77777777" w:rsidR="007F7E3A" w:rsidRPr="004A4D86" w:rsidRDefault="007F7E3A" w:rsidP="004A4D8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4A4D86">
        <w:rPr>
          <w:rFonts w:ascii="Arial" w:hAnsi="Arial" w:cs="Arial"/>
          <w:color w:val="000000"/>
          <w:sz w:val="24"/>
          <w:szCs w:val="24"/>
          <w:lang w:val="es-ES_tradnl"/>
        </w:rPr>
        <w:t>d) El desarrollo de un registro o censo migratorio que sirvió para caracterizar a la población venezolana y permitió la adopción de nuevas políticas públicas; y</w:t>
      </w:r>
      <w:r w:rsidR="00340DE9" w:rsidRPr="004A4D86">
        <w:rPr>
          <w:rFonts w:ascii="Arial" w:hAnsi="Arial" w:cs="Arial"/>
          <w:color w:val="000000"/>
          <w:sz w:val="24"/>
          <w:szCs w:val="24"/>
          <w:lang w:val="es-ES_tradnl"/>
        </w:rPr>
        <w:t>,</w:t>
      </w:r>
    </w:p>
    <w:p w14:paraId="4A708CC9" w14:textId="070C9A8E" w:rsidR="007F7E3A" w:rsidRPr="004A4D86" w:rsidRDefault="007F7E3A" w:rsidP="004A4D86">
      <w:pPr>
        <w:spacing w:line="240" w:lineRule="auto"/>
        <w:jc w:val="both"/>
        <w:rPr>
          <w:rStyle w:val="jlqj4b"/>
          <w:rFonts w:ascii="Arial" w:hAnsi="Arial" w:cs="Arial"/>
          <w:color w:val="000000"/>
          <w:sz w:val="24"/>
          <w:szCs w:val="24"/>
          <w:lang w:val="es-ES_tradnl"/>
        </w:rPr>
      </w:pPr>
      <w:r w:rsidRPr="004A4D86">
        <w:rPr>
          <w:rFonts w:ascii="Arial" w:hAnsi="Arial" w:cs="Arial"/>
          <w:color w:val="000000"/>
          <w:sz w:val="24"/>
          <w:szCs w:val="24"/>
          <w:lang w:val="es-ES_tradnl"/>
        </w:rPr>
        <w:t xml:space="preserve">e) La </w:t>
      </w:r>
      <w:r w:rsidR="004D3C7A" w:rsidRPr="004A4D86">
        <w:rPr>
          <w:rFonts w:ascii="Arial" w:hAnsi="Arial" w:cs="Arial"/>
          <w:color w:val="000000"/>
          <w:sz w:val="24"/>
          <w:szCs w:val="24"/>
          <w:lang w:val="es-ES_tradnl"/>
        </w:rPr>
        <w:t>m</w:t>
      </w:r>
      <w:r w:rsidRPr="004A4D86">
        <w:rPr>
          <w:rFonts w:ascii="Arial" w:hAnsi="Arial" w:cs="Arial"/>
          <w:color w:val="000000"/>
          <w:sz w:val="24"/>
          <w:szCs w:val="24"/>
          <w:lang w:val="es-ES_tradnl"/>
        </w:rPr>
        <w:t>odernización de la gestión de emisión de visados mediante la adopción de la visa electrónica y la habilitación de un consulado virtual</w:t>
      </w:r>
      <w:r w:rsidR="004D3C7A" w:rsidRPr="004A4D86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473E0CC9" w14:textId="111F30CC" w:rsidR="004D3C7A" w:rsidRPr="004A4D86" w:rsidRDefault="007F7E3A" w:rsidP="004A4D86">
      <w:pPr>
        <w:spacing w:after="0" w:line="240" w:lineRule="auto"/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Adicionalmente, el 22 de octubre de 2019, </w:t>
      </w:r>
      <w:r w:rsidR="004D3C7A" w:rsidRPr="004A4D86">
        <w:rPr>
          <w:rStyle w:val="jlqj4b"/>
          <w:rFonts w:ascii="Arial" w:hAnsi="Arial" w:cs="Arial"/>
          <w:sz w:val="24"/>
          <w:szCs w:val="24"/>
          <w:lang w:val="es-ES_tradnl"/>
        </w:rPr>
        <w:t>entró en vigor el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“Protocolo especial para el procesamiento y concesión de visados de residencia temporal, por razones humanitarias, en favor de niños, niñas y adolescentes de nacionalidad venezolana”. Este protocolo facilitó la emi</w:t>
      </w:r>
      <w:r w:rsidR="00340DE9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sión de </w:t>
      </w:r>
      <w:r w:rsidR="005B0358" w:rsidRPr="004A4D86">
        <w:rPr>
          <w:rStyle w:val="jlqj4b"/>
          <w:rFonts w:ascii="Arial" w:hAnsi="Arial" w:cs="Arial"/>
          <w:sz w:val="24"/>
          <w:szCs w:val="24"/>
          <w:lang w:val="es-ES_tradnl"/>
        </w:rPr>
        <w:t>la visa de e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>xcepción por</w:t>
      </w:r>
      <w:r w:rsidR="005B0358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razones h</w:t>
      </w:r>
      <w:r w:rsidR="00340DE9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umanitarias (VERHU), con 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>la presentación de la partida de nacimiento debidamente apostillada, como documento alternativo al pasaporte.</w:t>
      </w:r>
      <w:r w:rsidR="004D3C7A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Más del 50% de la población venezolana </w:t>
      </w:r>
      <w:r w:rsidR="005B0358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tiene, a junio de 2021, </w:t>
      </w:r>
      <w:r w:rsidR="004D3C7A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un estatus migratorio regular según datos oficiales, </w:t>
      </w:r>
      <w:r w:rsidR="005B0358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y 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>93 mil ciudadanos venezolanos han obtenido una condición migratoria regular en el país durante el último año</w:t>
      </w:r>
      <w:r w:rsidR="004D3C7A" w:rsidRPr="004A4D86">
        <w:rPr>
          <w:rStyle w:val="jlqj4b"/>
          <w:rFonts w:ascii="Arial" w:hAnsi="Arial" w:cs="Arial"/>
          <w:sz w:val="24"/>
          <w:szCs w:val="24"/>
          <w:lang w:val="es-ES_tradnl"/>
        </w:rPr>
        <w:t>.</w:t>
      </w:r>
    </w:p>
    <w:p w14:paraId="0B3EE3D7" w14:textId="77777777" w:rsidR="00133B92" w:rsidRPr="004A4D86" w:rsidRDefault="00133B92" w:rsidP="004A4D86">
      <w:pPr>
        <w:spacing w:after="0" w:line="240" w:lineRule="auto"/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</w:p>
    <w:p w14:paraId="46F9E105" w14:textId="688E8316" w:rsidR="002A27C3" w:rsidRPr="004A4D86" w:rsidRDefault="002A27C3" w:rsidP="004A4D86">
      <w:pPr>
        <w:spacing w:after="0" w:line="240" w:lineRule="auto"/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Adicionalmente, Ecuador desde hace muchos años es un referente de buenas prácticas en materia de protección internacional, ya que ha reconocido como refugiados a más de 70 mil personas de 80 </w:t>
      </w:r>
      <w:r w:rsidR="005822D6" w:rsidRPr="004A4D86">
        <w:rPr>
          <w:rStyle w:val="jlqj4b"/>
          <w:rFonts w:ascii="Arial" w:hAnsi="Arial" w:cs="Arial"/>
          <w:sz w:val="24"/>
          <w:szCs w:val="24"/>
          <w:lang w:val="es-ES_tradnl"/>
        </w:rPr>
        <w:t>nacionalidades</w:t>
      </w:r>
      <w:r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y ha reforzado sus planes </w:t>
      </w:r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>de contingencia para la atención virtual a peticionarios de refugio</w:t>
      </w:r>
      <w:r w:rsidR="00CE313A" w:rsidRPr="004A4D86">
        <w:rPr>
          <w:rStyle w:val="jlqj4b"/>
          <w:rFonts w:ascii="Arial" w:hAnsi="Arial" w:cs="Arial"/>
          <w:sz w:val="24"/>
          <w:szCs w:val="24"/>
          <w:lang w:val="es-ES_tradnl"/>
        </w:rPr>
        <w:t>,</w:t>
      </w:r>
      <w:r w:rsidR="007F7E3A" w:rsidRPr="004A4D86">
        <w:rPr>
          <w:rStyle w:val="jlqj4b"/>
          <w:rFonts w:ascii="Arial" w:hAnsi="Arial" w:cs="Arial"/>
          <w:sz w:val="24"/>
          <w:szCs w:val="24"/>
          <w:lang w:val="es-ES_tradnl"/>
        </w:rPr>
        <w:t xml:space="preserve"> en el marco de la pandemia. </w:t>
      </w:r>
    </w:p>
    <w:p w14:paraId="0A8820C6" w14:textId="77777777" w:rsidR="007F7E3A" w:rsidRPr="004A4D86" w:rsidRDefault="007F7E3A" w:rsidP="004A4D86">
      <w:pPr>
        <w:spacing w:after="0" w:line="240" w:lineRule="auto"/>
        <w:jc w:val="both"/>
        <w:rPr>
          <w:rStyle w:val="jlqj4b"/>
          <w:rFonts w:ascii="Arial" w:hAnsi="Arial" w:cs="Arial"/>
          <w:sz w:val="24"/>
          <w:szCs w:val="24"/>
          <w:lang w:val="es-ES_tradnl"/>
        </w:rPr>
      </w:pPr>
    </w:p>
    <w:p w14:paraId="235DF751" w14:textId="0D40C356" w:rsidR="007F7E3A" w:rsidRPr="004A4D86" w:rsidRDefault="007F7E3A" w:rsidP="004A4D86">
      <w:pPr>
        <w:pStyle w:val="Default"/>
        <w:jc w:val="both"/>
        <w:rPr>
          <w:rFonts w:ascii="Arial" w:hAnsi="Arial" w:cs="Arial"/>
          <w:b/>
          <w:bCs/>
          <w:lang w:val="es-ES_tradnl"/>
        </w:rPr>
      </w:pPr>
      <w:r w:rsidRPr="004A4D86">
        <w:rPr>
          <w:rFonts w:ascii="Arial" w:hAnsi="Arial" w:cs="Arial"/>
          <w:lang w:val="es-ES_tradnl"/>
        </w:rPr>
        <w:t>La política del Estado con relación a los flujos de ciudadanos venezolanos se complementa con la Agenda Nacional para la Igualdad de Movilidad Humana (ANIMH 2017-2021) y el Plan Integral para la Atención y Protección de la Población Venezolana en Movilidad Hu</w:t>
      </w:r>
      <w:r w:rsidR="00133B92" w:rsidRPr="004A4D86">
        <w:rPr>
          <w:rFonts w:ascii="Arial" w:hAnsi="Arial" w:cs="Arial"/>
          <w:lang w:val="es-ES_tradnl"/>
        </w:rPr>
        <w:t>m</w:t>
      </w:r>
      <w:r w:rsidRPr="004A4D86">
        <w:rPr>
          <w:rFonts w:ascii="Arial" w:hAnsi="Arial" w:cs="Arial"/>
          <w:lang w:val="es-ES_tradnl"/>
        </w:rPr>
        <w:t>ana 2020-2021</w:t>
      </w:r>
      <w:r w:rsidR="003F63A6" w:rsidRPr="004A4D86">
        <w:rPr>
          <w:rFonts w:ascii="Arial" w:hAnsi="Arial" w:cs="Arial"/>
          <w:lang w:val="es-ES_tradnl"/>
        </w:rPr>
        <w:t>:</w:t>
      </w:r>
    </w:p>
    <w:p w14:paraId="66E5986B" w14:textId="77777777" w:rsidR="007F7E3A" w:rsidRPr="004A4D86" w:rsidRDefault="007F7E3A" w:rsidP="004A4D86">
      <w:pPr>
        <w:pStyle w:val="Default"/>
        <w:jc w:val="both"/>
        <w:rPr>
          <w:rFonts w:ascii="Arial" w:hAnsi="Arial" w:cs="Arial"/>
          <w:lang w:val="es-ES_tradnl"/>
        </w:rPr>
      </w:pPr>
    </w:p>
    <w:p w14:paraId="11153157" w14:textId="77777777" w:rsidR="007F7E3A" w:rsidRPr="004A4D86" w:rsidRDefault="007F7E3A" w:rsidP="004A4D86">
      <w:pPr>
        <w:pStyle w:val="Default"/>
        <w:jc w:val="both"/>
        <w:rPr>
          <w:rFonts w:ascii="Arial" w:hAnsi="Arial" w:cs="Arial"/>
          <w:lang w:val="es-ES_tradnl"/>
        </w:rPr>
      </w:pPr>
      <w:r w:rsidRPr="004A4D86">
        <w:rPr>
          <w:rFonts w:ascii="Arial" w:hAnsi="Arial" w:cs="Arial"/>
          <w:b/>
          <w:bCs/>
          <w:lang w:val="es-ES_tradnl"/>
        </w:rPr>
        <w:t xml:space="preserve">La Agenda Nacional para la Igualdad de Movilidad Humana (ANIMH 2017-2021) </w:t>
      </w:r>
      <w:r w:rsidRPr="004A4D86">
        <w:rPr>
          <w:rFonts w:ascii="Arial" w:hAnsi="Arial" w:cs="Arial"/>
          <w:lang w:val="es-ES_tradnl"/>
        </w:rPr>
        <w:t xml:space="preserve">es una guía de políticas orientadoras para todos los actores inmersos en la temática; propone </w:t>
      </w:r>
      <w:r w:rsidRPr="004A4D86">
        <w:rPr>
          <w:rFonts w:ascii="Arial" w:hAnsi="Arial" w:cs="Arial"/>
          <w:lang w:val="es-ES_tradnl"/>
        </w:rPr>
        <w:lastRenderedPageBreak/>
        <w:t xml:space="preserve">mecanismos de coordinación y acciones conjuntas entre todas las funciones y entes del Estado a fin de promover procesos migratorios seguros, ordenados y regulares, en consonancia con la normativa nacional e internacional, y enmarcándose en el Pacto Mundial de Migración y los Objetivos de Desarrollo Sostenible. </w:t>
      </w:r>
    </w:p>
    <w:p w14:paraId="7512A2BB" w14:textId="77777777" w:rsidR="003F63A6" w:rsidRPr="004A4D86" w:rsidRDefault="003F63A6" w:rsidP="004A4D86">
      <w:pPr>
        <w:pStyle w:val="Default"/>
        <w:jc w:val="both"/>
        <w:rPr>
          <w:rFonts w:ascii="Arial" w:hAnsi="Arial" w:cs="Arial"/>
          <w:lang w:val="es-ES_tradnl"/>
        </w:rPr>
      </w:pPr>
    </w:p>
    <w:p w14:paraId="66F9CEC0" w14:textId="77777777" w:rsidR="007F7E3A" w:rsidRPr="004A4D86" w:rsidRDefault="007F7E3A" w:rsidP="004A4D86">
      <w:pPr>
        <w:pStyle w:val="Default"/>
        <w:jc w:val="both"/>
        <w:rPr>
          <w:rFonts w:ascii="Arial" w:hAnsi="Arial" w:cs="Arial"/>
          <w:lang w:val="es-ES_tradnl"/>
        </w:rPr>
      </w:pPr>
      <w:r w:rsidRPr="004A4D86">
        <w:rPr>
          <w:rFonts w:ascii="Arial" w:hAnsi="Arial" w:cs="Arial"/>
          <w:b/>
          <w:bCs/>
          <w:lang w:val="es-ES_tradnl"/>
        </w:rPr>
        <w:t xml:space="preserve">El Plan Integral para la Atención y Protección de la Población Venezolana en Movilidad Humana 2020-2021. </w:t>
      </w:r>
      <w:r w:rsidR="003F63A6" w:rsidRPr="004A4D86">
        <w:rPr>
          <w:rFonts w:ascii="Arial" w:hAnsi="Arial" w:cs="Arial"/>
          <w:lang w:val="es-ES_tradnl"/>
        </w:rPr>
        <w:t xml:space="preserve">Tiene </w:t>
      </w:r>
      <w:r w:rsidRPr="004A4D86">
        <w:rPr>
          <w:rFonts w:ascii="Arial" w:hAnsi="Arial" w:cs="Arial"/>
          <w:lang w:val="es-ES_tradnl"/>
        </w:rPr>
        <w:t>como objetivo generar directrices para que el Estado ecuatoriano, en coordinación con Organismos Internacionales y otros actores involucrados, planifique, coordine y ejecute programas y acciones en favor de los migrantes venezolanos que ingresan, transitan, permanecen, solicitan refugio y salen del territorio ecuatoriano. De la misma manera considera la crisis sanitaria que vive el país a consecuencia de la pandemia generada por el COVID-19.</w:t>
      </w:r>
    </w:p>
    <w:p w14:paraId="187D8E78" w14:textId="77777777" w:rsidR="00854F3B" w:rsidRPr="004A4D86" w:rsidRDefault="00854F3B" w:rsidP="004A4D86">
      <w:pPr>
        <w:pStyle w:val="Default"/>
        <w:jc w:val="both"/>
        <w:rPr>
          <w:rFonts w:ascii="Arial" w:hAnsi="Arial" w:cs="Arial"/>
          <w:lang w:val="es-ES_tradnl"/>
        </w:rPr>
      </w:pPr>
    </w:p>
    <w:p w14:paraId="23CF4898" w14:textId="77777777" w:rsidR="007F7E3A" w:rsidRPr="004A4D86" w:rsidRDefault="007F7E3A" w:rsidP="004A4D86">
      <w:pPr>
        <w:pStyle w:val="Default"/>
        <w:jc w:val="both"/>
        <w:rPr>
          <w:rFonts w:ascii="Arial" w:hAnsi="Arial" w:cs="Arial"/>
          <w:lang w:val="es-ES_tradnl"/>
        </w:rPr>
      </w:pPr>
      <w:r w:rsidRPr="004A4D86">
        <w:rPr>
          <w:rFonts w:ascii="Arial" w:hAnsi="Arial" w:cs="Arial"/>
          <w:lang w:val="es-ES_tradnl"/>
        </w:rPr>
        <w:t xml:space="preserve">A través de la reforma a la </w:t>
      </w:r>
      <w:r w:rsidR="00854F3B" w:rsidRPr="004A4D86">
        <w:rPr>
          <w:rFonts w:ascii="Arial" w:hAnsi="Arial" w:cs="Arial"/>
          <w:lang w:val="es-ES_tradnl"/>
        </w:rPr>
        <w:t xml:space="preserve">Ley Orgánica de Movilidad Humana - </w:t>
      </w:r>
      <w:r w:rsidRPr="004A4D86">
        <w:rPr>
          <w:rFonts w:ascii="Arial" w:hAnsi="Arial" w:cs="Arial"/>
          <w:lang w:val="es-ES_tradnl"/>
        </w:rPr>
        <w:t xml:space="preserve">LOMH y a su </w:t>
      </w:r>
      <w:r w:rsidR="00854F3B" w:rsidRPr="004A4D86">
        <w:rPr>
          <w:rFonts w:ascii="Arial" w:hAnsi="Arial" w:cs="Arial"/>
          <w:lang w:val="es-ES_tradnl"/>
        </w:rPr>
        <w:t>r</w:t>
      </w:r>
      <w:r w:rsidRPr="004A4D86">
        <w:rPr>
          <w:rFonts w:ascii="Arial" w:hAnsi="Arial" w:cs="Arial"/>
          <w:lang w:val="es-ES_tradnl"/>
        </w:rPr>
        <w:t xml:space="preserve">eglamento, se prevé </w:t>
      </w:r>
      <w:r w:rsidR="00CE313A" w:rsidRPr="004A4D86">
        <w:rPr>
          <w:rFonts w:ascii="Arial" w:hAnsi="Arial" w:cs="Arial"/>
          <w:lang w:val="es-ES_tradnl"/>
        </w:rPr>
        <w:t xml:space="preserve">otorgar </w:t>
      </w:r>
      <w:r w:rsidRPr="004A4D86">
        <w:rPr>
          <w:rFonts w:ascii="Arial" w:hAnsi="Arial" w:cs="Arial"/>
          <w:lang w:val="es-ES_tradnl"/>
        </w:rPr>
        <w:t>visas humanitarias</w:t>
      </w:r>
      <w:r w:rsidR="00CE313A" w:rsidRPr="004A4D86">
        <w:rPr>
          <w:rFonts w:ascii="Arial" w:hAnsi="Arial" w:cs="Arial"/>
          <w:lang w:val="es-ES_tradnl"/>
        </w:rPr>
        <w:t>,</w:t>
      </w:r>
      <w:r w:rsidRPr="004A4D86">
        <w:rPr>
          <w:rFonts w:ascii="Arial" w:hAnsi="Arial" w:cs="Arial"/>
          <w:lang w:val="es-ES_tradnl"/>
        </w:rPr>
        <w:t xml:space="preserve"> sin costo alguno</w:t>
      </w:r>
      <w:r w:rsidR="00CE313A" w:rsidRPr="004A4D86">
        <w:rPr>
          <w:rFonts w:ascii="Arial" w:hAnsi="Arial" w:cs="Arial"/>
          <w:lang w:val="es-ES_tradnl"/>
        </w:rPr>
        <w:t>,</w:t>
      </w:r>
      <w:r w:rsidRPr="004A4D86">
        <w:rPr>
          <w:rFonts w:ascii="Arial" w:hAnsi="Arial" w:cs="Arial"/>
          <w:lang w:val="es-ES_tradnl"/>
        </w:rPr>
        <w:t xml:space="preserve"> a los solicitantes de la condición de refugiado o ap</w:t>
      </w:r>
      <w:r w:rsidR="00CE313A" w:rsidRPr="004A4D86">
        <w:rPr>
          <w:rFonts w:ascii="Arial" w:hAnsi="Arial" w:cs="Arial"/>
          <w:lang w:val="es-ES_tradnl"/>
        </w:rPr>
        <w:t>á</w:t>
      </w:r>
      <w:r w:rsidRPr="004A4D86">
        <w:rPr>
          <w:rFonts w:ascii="Arial" w:hAnsi="Arial" w:cs="Arial"/>
          <w:lang w:val="es-ES_tradnl"/>
        </w:rPr>
        <w:t>trida, a las personas que demuestran la existencia de razones excepcionales de índole humanitaria por ser víctimas de desastres naturales o ambientales, víctimas de trata de personas y otras que sean determinadas por la autoridad de movilidad humana.</w:t>
      </w:r>
    </w:p>
    <w:p w14:paraId="6220AF21" w14:textId="77777777" w:rsidR="005822D6" w:rsidRPr="004A4D86" w:rsidRDefault="005822D6" w:rsidP="004A4D86">
      <w:pPr>
        <w:pStyle w:val="Default"/>
        <w:jc w:val="both"/>
        <w:rPr>
          <w:rFonts w:ascii="Arial" w:hAnsi="Arial" w:cs="Arial"/>
          <w:color w:val="auto"/>
          <w:lang w:val="es-ES_tradnl"/>
        </w:rPr>
      </w:pPr>
    </w:p>
    <w:p w14:paraId="1AEB82DF" w14:textId="77777777" w:rsidR="005822D6" w:rsidRPr="004A4D86" w:rsidRDefault="00A72757" w:rsidP="004A4D86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b/>
          <w:bCs/>
          <w:sz w:val="24"/>
          <w:szCs w:val="24"/>
          <w:lang w:val="es-ES_tradnl"/>
        </w:rPr>
        <w:t xml:space="preserve">7) </w:t>
      </w:r>
      <w:r w:rsidR="005822D6" w:rsidRPr="004A4D86">
        <w:rPr>
          <w:rFonts w:ascii="Arial" w:hAnsi="Arial" w:cs="Arial"/>
          <w:sz w:val="24"/>
          <w:szCs w:val="24"/>
          <w:lang w:val="es-ES_tradnl"/>
        </w:rPr>
        <w:t>L</w:t>
      </w:r>
      <w:r w:rsidR="004E079F" w:rsidRPr="004A4D86">
        <w:rPr>
          <w:rFonts w:ascii="Arial" w:hAnsi="Arial" w:cs="Arial"/>
          <w:sz w:val="24"/>
          <w:szCs w:val="24"/>
          <w:lang w:val="es-ES_tradnl"/>
        </w:rPr>
        <w:t>os gabinetes sectoriales y las entid</w:t>
      </w:r>
      <w:r w:rsidR="005822D6" w:rsidRPr="004A4D86">
        <w:rPr>
          <w:rFonts w:ascii="Arial" w:hAnsi="Arial" w:cs="Arial"/>
          <w:sz w:val="24"/>
          <w:szCs w:val="24"/>
          <w:lang w:val="es-ES_tradnl"/>
        </w:rPr>
        <w:t>ades del Estado agrupadas en el COE evaluaron los efectos e impactos de la emergencia sanitaria en el país en los sectores productivo, seguridad, social y de infraestructura contenidos en el informe de evaluación post desastre - PDNA COVID-19-Ecuador.</w:t>
      </w:r>
    </w:p>
    <w:p w14:paraId="58085E7B" w14:textId="08926C73" w:rsidR="00530272" w:rsidRPr="004A4D86" w:rsidRDefault="00A72757" w:rsidP="004A4D8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A4D86">
        <w:rPr>
          <w:rFonts w:ascii="Arial" w:hAnsi="Arial" w:cs="Arial"/>
          <w:b/>
          <w:bCs/>
          <w:sz w:val="24"/>
          <w:szCs w:val="24"/>
          <w:lang w:val="es-ES_tradnl"/>
        </w:rPr>
        <w:t xml:space="preserve">8) </w:t>
      </w:r>
      <w:r w:rsidR="00530272" w:rsidRPr="004A4D86">
        <w:rPr>
          <w:rFonts w:ascii="Arial" w:hAnsi="Arial" w:cs="Arial"/>
          <w:sz w:val="24"/>
          <w:szCs w:val="24"/>
          <w:lang w:val="es-ES_tradnl"/>
        </w:rPr>
        <w:t>Principales desafíos:</w:t>
      </w:r>
    </w:p>
    <w:p w14:paraId="541D7ABC" w14:textId="77777777" w:rsidR="00F31719" w:rsidRPr="004A4D86" w:rsidRDefault="00643EBB" w:rsidP="004A4D86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 xml:space="preserve">Reapertura gradual y ordenada de fronteras.  </w:t>
      </w:r>
    </w:p>
    <w:p w14:paraId="09FA6746" w14:textId="77777777" w:rsidR="00F31719" w:rsidRPr="004A4D86" w:rsidRDefault="00643EBB" w:rsidP="004A4D86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>Ampliar el acceso y manejo virtual de los procesos.</w:t>
      </w:r>
    </w:p>
    <w:p w14:paraId="6658AE43" w14:textId="77777777" w:rsidR="00530272" w:rsidRPr="004A4D86" w:rsidRDefault="00643EBB" w:rsidP="004A4D86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 xml:space="preserve">Generar políticas que incentiven la </w:t>
      </w:r>
      <w:r w:rsidR="00530272" w:rsidRPr="004A4D86">
        <w:rPr>
          <w:rFonts w:ascii="Arial" w:hAnsi="Arial" w:cs="Arial"/>
          <w:sz w:val="24"/>
          <w:szCs w:val="24"/>
          <w:lang w:val="es-ES_tradnl"/>
        </w:rPr>
        <w:t>inversión</w:t>
      </w:r>
      <w:r w:rsidRPr="004A4D86">
        <w:rPr>
          <w:rFonts w:ascii="Arial" w:hAnsi="Arial" w:cs="Arial"/>
          <w:sz w:val="24"/>
          <w:szCs w:val="24"/>
          <w:lang w:val="es-ES_tradnl"/>
        </w:rPr>
        <w:t>, el empleo y la reactivación productiva.</w:t>
      </w:r>
    </w:p>
    <w:p w14:paraId="73222544" w14:textId="77777777" w:rsidR="00F31719" w:rsidRPr="004A4D86" w:rsidRDefault="00643EBB" w:rsidP="004A4D86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 xml:space="preserve">Fortalecer la capacidad de atención </w:t>
      </w:r>
      <w:r w:rsidR="00530272" w:rsidRPr="004A4D86">
        <w:rPr>
          <w:rFonts w:ascii="Arial" w:hAnsi="Arial" w:cs="Arial"/>
          <w:sz w:val="24"/>
          <w:szCs w:val="24"/>
          <w:lang w:val="es-ES_tradnl"/>
        </w:rPr>
        <w:t xml:space="preserve">de salud </w:t>
      </w:r>
      <w:r w:rsidRPr="004A4D86">
        <w:rPr>
          <w:rFonts w:ascii="Arial" w:hAnsi="Arial" w:cs="Arial"/>
          <w:sz w:val="24"/>
          <w:szCs w:val="24"/>
          <w:lang w:val="es-ES_tradnl"/>
        </w:rPr>
        <w:t>en casos de alojamiento temporal y asistencia alimentaria.</w:t>
      </w:r>
    </w:p>
    <w:p w14:paraId="7FFC953D" w14:textId="77777777" w:rsidR="00F31719" w:rsidRPr="004A4D86" w:rsidRDefault="00643EBB" w:rsidP="004A4D86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>Fortalecer capacidad de respuesta en situaciones de emergencia (en frontera).</w:t>
      </w:r>
    </w:p>
    <w:p w14:paraId="17F648F6" w14:textId="77777777" w:rsidR="00F31719" w:rsidRPr="004A4D86" w:rsidRDefault="00643EBB" w:rsidP="004A4D86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>Articular un sistema de protección regional.</w:t>
      </w:r>
    </w:p>
    <w:p w14:paraId="5E59CC53" w14:textId="77777777" w:rsidR="00F31719" w:rsidRPr="004A4D86" w:rsidRDefault="00643EBB" w:rsidP="004A4D86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>Reforzar campañas para la permanencia y continuidad de estudiantes migrantes en el sistema educativo.</w:t>
      </w:r>
    </w:p>
    <w:p w14:paraId="36006684" w14:textId="77777777" w:rsidR="00F31719" w:rsidRPr="004A4D86" w:rsidRDefault="00643EBB" w:rsidP="004A4D86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>Consolidar la transversalización del enfoque de movilidad humana a nivel normativo para garantizar el acceso y permanencia en el sistema educativo</w:t>
      </w:r>
      <w:r w:rsidR="00530272" w:rsidRPr="004A4D86">
        <w:rPr>
          <w:rFonts w:ascii="Arial" w:hAnsi="Arial" w:cs="Arial"/>
          <w:sz w:val="24"/>
          <w:szCs w:val="24"/>
          <w:lang w:val="es-ES_tradnl"/>
        </w:rPr>
        <w:t xml:space="preserve"> de los migrantes.</w:t>
      </w:r>
      <w:r w:rsidRPr="004A4D86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4869B20A" w14:textId="77777777" w:rsidR="00F31719" w:rsidRPr="00933489" w:rsidRDefault="00643EBB" w:rsidP="004A4D86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 xml:space="preserve">Reforzar el alcance de las campañas, al interior de las instituciones educativas para la prevención de la violencia, discriminación y xenofobia. </w:t>
      </w:r>
    </w:p>
    <w:p w14:paraId="19E00C8A" w14:textId="4D688233" w:rsidR="005B0358" w:rsidRPr="004A4D86" w:rsidRDefault="002A27C3" w:rsidP="004A4D86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A4D86">
        <w:rPr>
          <w:rFonts w:ascii="Arial" w:hAnsi="Arial" w:cs="Arial"/>
          <w:sz w:val="24"/>
          <w:szCs w:val="24"/>
          <w:lang w:val="es-ES_tradnl"/>
        </w:rPr>
        <w:t>Plan</w:t>
      </w:r>
      <w:r w:rsidR="00530272" w:rsidRPr="004A4D86">
        <w:rPr>
          <w:rFonts w:ascii="Arial" w:hAnsi="Arial" w:cs="Arial"/>
          <w:sz w:val="24"/>
          <w:szCs w:val="24"/>
          <w:lang w:val="es-ES_tradnl"/>
        </w:rPr>
        <w:t xml:space="preserve"> de v</w:t>
      </w:r>
      <w:r w:rsidR="00643EBB" w:rsidRPr="004A4D86">
        <w:rPr>
          <w:rFonts w:ascii="Arial" w:hAnsi="Arial" w:cs="Arial"/>
          <w:sz w:val="24"/>
          <w:szCs w:val="24"/>
          <w:lang w:val="es-ES_tradnl"/>
        </w:rPr>
        <w:t xml:space="preserve">acunación COVID-19 para personas en movilidad humana </w:t>
      </w:r>
      <w:r w:rsidR="00530272" w:rsidRPr="004A4D86">
        <w:rPr>
          <w:rFonts w:ascii="Arial" w:hAnsi="Arial" w:cs="Arial"/>
          <w:sz w:val="24"/>
          <w:szCs w:val="24"/>
          <w:lang w:val="es-ES_tradnl"/>
        </w:rPr>
        <w:t>(programado para agosto y septiembre de 2021).</w:t>
      </w:r>
    </w:p>
    <w:p w14:paraId="1CD6A8A7" w14:textId="08A12E5F" w:rsidR="00757FF9" w:rsidRPr="006F505C" w:rsidRDefault="00E86649" w:rsidP="004A4D86">
      <w:pPr>
        <w:jc w:val="right"/>
        <w:rPr>
          <w:rFonts w:ascii="Arial" w:hAnsi="Arial" w:cs="Arial"/>
          <w:sz w:val="24"/>
          <w:szCs w:val="24"/>
          <w:lang w:val="es-ES_tradnl"/>
        </w:rPr>
      </w:pPr>
      <w:r w:rsidRPr="006F505C">
        <w:rPr>
          <w:rFonts w:ascii="Arial" w:hAnsi="Arial" w:cs="Arial"/>
          <w:sz w:val="24"/>
          <w:szCs w:val="24"/>
          <w:lang w:val="es-ES_tradnl"/>
        </w:rPr>
        <w:t>Quito, junio de 2021</w:t>
      </w:r>
    </w:p>
    <w:sectPr w:rsidR="00757FF9" w:rsidRPr="006F505C" w:rsidSect="00DD2482">
      <w:footerReference w:type="even" r:id="rId9"/>
      <w:footerReference w:type="default" r:id="rId10"/>
      <w:pgSz w:w="11906" w:h="16838"/>
      <w:pgMar w:top="1417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8327" w14:textId="77777777" w:rsidR="00C7351C" w:rsidRDefault="00C7351C" w:rsidP="001C5210">
      <w:pPr>
        <w:spacing w:after="0" w:line="240" w:lineRule="auto"/>
      </w:pPr>
      <w:r>
        <w:separator/>
      </w:r>
    </w:p>
  </w:endnote>
  <w:endnote w:type="continuationSeparator" w:id="0">
    <w:p w14:paraId="4EC5A680" w14:textId="77777777" w:rsidR="00C7351C" w:rsidRDefault="00C7351C" w:rsidP="001C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3891" w14:textId="77777777" w:rsidR="004A4D86" w:rsidRDefault="004A4D86" w:rsidP="00133B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3EF36" w14:textId="77777777" w:rsidR="004A4D86" w:rsidRDefault="004A4D86" w:rsidP="009334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894" w14:textId="77777777" w:rsidR="004A4D86" w:rsidRDefault="004A4D86" w:rsidP="00133B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2482">
      <w:rPr>
        <w:rStyle w:val="PageNumber"/>
        <w:noProof/>
      </w:rPr>
      <w:t>6</w:t>
    </w:r>
    <w:r>
      <w:rPr>
        <w:rStyle w:val="PageNumber"/>
      </w:rPr>
      <w:fldChar w:fldCharType="end"/>
    </w:r>
  </w:p>
  <w:p w14:paraId="758F418D" w14:textId="77777777" w:rsidR="004A4D86" w:rsidRDefault="004A4D86" w:rsidP="009334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45EB" w14:textId="77777777" w:rsidR="00C7351C" w:rsidRDefault="00C7351C" w:rsidP="001C5210">
      <w:pPr>
        <w:spacing w:after="0" w:line="240" w:lineRule="auto"/>
      </w:pPr>
      <w:r>
        <w:separator/>
      </w:r>
    </w:p>
  </w:footnote>
  <w:footnote w:type="continuationSeparator" w:id="0">
    <w:p w14:paraId="368A2424" w14:textId="77777777" w:rsidR="00C7351C" w:rsidRDefault="00C7351C" w:rsidP="001C5210">
      <w:pPr>
        <w:spacing w:after="0" w:line="240" w:lineRule="auto"/>
      </w:pPr>
      <w:r>
        <w:continuationSeparator/>
      </w:r>
    </w:p>
  </w:footnote>
  <w:footnote w:id="1">
    <w:p w14:paraId="566C7711" w14:textId="77777777" w:rsidR="004A4D86" w:rsidRDefault="004A4D86">
      <w:pPr>
        <w:pStyle w:val="FootnoteText"/>
      </w:pPr>
      <w:r>
        <w:rPr>
          <w:rStyle w:val="FootnoteReference"/>
        </w:rPr>
        <w:footnoteRef/>
      </w:r>
      <w:r>
        <w:rPr>
          <w:rFonts w:cs="Arial"/>
          <w:iCs/>
          <w:color w:val="222222"/>
        </w:rPr>
        <w:t xml:space="preserve">MIES emitió la </w:t>
      </w:r>
      <w:r w:rsidRPr="00C226E1">
        <w:rPr>
          <w:rFonts w:cs="Arial"/>
          <w:i/>
          <w:iCs/>
          <w:color w:val="222222"/>
        </w:rPr>
        <w:t>“Norma Técnica de Atención a la Población en Contexto de Movilidad Humana de otro Origen Nacional en Situación de Vulnerabilidad en Ciudades de Acogida</w:t>
      </w:r>
      <w:r>
        <w:rPr>
          <w:rFonts w:cs="Arial"/>
          <w:i/>
          <w:iCs/>
          <w:color w:val="222222"/>
        </w:rPr>
        <w:t>” (</w:t>
      </w:r>
      <w:r>
        <w:rPr>
          <w:rFonts w:cs="Arial"/>
          <w:iCs/>
          <w:color w:val="222222"/>
        </w:rPr>
        <w:t>Acuerdo Ministerial Nro. 018, de 30 de marzo de 2021)</w:t>
      </w:r>
    </w:p>
  </w:footnote>
  <w:footnote w:id="2">
    <w:p w14:paraId="1A20B267" w14:textId="77777777" w:rsidR="004A4D86" w:rsidRDefault="004A4D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342A">
        <w:t>https://www.gestionderiesgos.gob.ec/participantes-de-las-sesiones-del-coe-nacional/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A085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334F3"/>
    <w:multiLevelType w:val="hybridMultilevel"/>
    <w:tmpl w:val="38EA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A6C"/>
    <w:multiLevelType w:val="hybridMultilevel"/>
    <w:tmpl w:val="64EAE23E"/>
    <w:lvl w:ilvl="0" w:tplc="105AA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EC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A7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8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C3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89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2F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6B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69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927F7B"/>
    <w:multiLevelType w:val="hybridMultilevel"/>
    <w:tmpl w:val="D6E0DEE4"/>
    <w:lvl w:ilvl="0" w:tplc="C34E3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51FDE"/>
    <w:multiLevelType w:val="hybridMultilevel"/>
    <w:tmpl w:val="DED08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E0B80"/>
    <w:multiLevelType w:val="hybridMultilevel"/>
    <w:tmpl w:val="E0D85B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B50F1"/>
    <w:multiLevelType w:val="hybridMultilevel"/>
    <w:tmpl w:val="D1FAF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57"/>
    <w:rsid w:val="000204CE"/>
    <w:rsid w:val="00061697"/>
    <w:rsid w:val="00061BB3"/>
    <w:rsid w:val="000660CC"/>
    <w:rsid w:val="000725C5"/>
    <w:rsid w:val="000B3CC4"/>
    <w:rsid w:val="00133B92"/>
    <w:rsid w:val="001C5210"/>
    <w:rsid w:val="00221FCB"/>
    <w:rsid w:val="00252F32"/>
    <w:rsid w:val="00295BA9"/>
    <w:rsid w:val="002A27C3"/>
    <w:rsid w:val="00340DE9"/>
    <w:rsid w:val="003625BA"/>
    <w:rsid w:val="003F63A6"/>
    <w:rsid w:val="004737A4"/>
    <w:rsid w:val="00482D63"/>
    <w:rsid w:val="004975EA"/>
    <w:rsid w:val="004A4D86"/>
    <w:rsid w:val="004D3C7A"/>
    <w:rsid w:val="004E079F"/>
    <w:rsid w:val="00530272"/>
    <w:rsid w:val="0054403E"/>
    <w:rsid w:val="005473F5"/>
    <w:rsid w:val="005822D6"/>
    <w:rsid w:val="005827AC"/>
    <w:rsid w:val="00585F45"/>
    <w:rsid w:val="005B0358"/>
    <w:rsid w:val="006329B0"/>
    <w:rsid w:val="00643EBB"/>
    <w:rsid w:val="00666CDD"/>
    <w:rsid w:val="006E1653"/>
    <w:rsid w:val="006F505C"/>
    <w:rsid w:val="00741175"/>
    <w:rsid w:val="00757FF9"/>
    <w:rsid w:val="0078342A"/>
    <w:rsid w:val="007F7E3A"/>
    <w:rsid w:val="00815E97"/>
    <w:rsid w:val="0082261E"/>
    <w:rsid w:val="008267BC"/>
    <w:rsid w:val="00854F3B"/>
    <w:rsid w:val="008A1C67"/>
    <w:rsid w:val="008C17D5"/>
    <w:rsid w:val="008E5A01"/>
    <w:rsid w:val="00922524"/>
    <w:rsid w:val="009305A3"/>
    <w:rsid w:val="00933489"/>
    <w:rsid w:val="00A53595"/>
    <w:rsid w:val="00A72757"/>
    <w:rsid w:val="00AB49F2"/>
    <w:rsid w:val="00AE009B"/>
    <w:rsid w:val="00AE08C6"/>
    <w:rsid w:val="00AE7981"/>
    <w:rsid w:val="00B0705C"/>
    <w:rsid w:val="00B10E0D"/>
    <w:rsid w:val="00B132A4"/>
    <w:rsid w:val="00B14F0A"/>
    <w:rsid w:val="00B276B7"/>
    <w:rsid w:val="00B3746B"/>
    <w:rsid w:val="00B91453"/>
    <w:rsid w:val="00C007E0"/>
    <w:rsid w:val="00C14DD6"/>
    <w:rsid w:val="00C7351C"/>
    <w:rsid w:val="00C77A63"/>
    <w:rsid w:val="00CD377E"/>
    <w:rsid w:val="00CE313A"/>
    <w:rsid w:val="00D538E2"/>
    <w:rsid w:val="00D75287"/>
    <w:rsid w:val="00DA43C6"/>
    <w:rsid w:val="00DA4CD9"/>
    <w:rsid w:val="00DC17AE"/>
    <w:rsid w:val="00DD2482"/>
    <w:rsid w:val="00DD28FF"/>
    <w:rsid w:val="00DE6A92"/>
    <w:rsid w:val="00E31F3A"/>
    <w:rsid w:val="00E456C1"/>
    <w:rsid w:val="00E86649"/>
    <w:rsid w:val="00E9646F"/>
    <w:rsid w:val="00F31719"/>
    <w:rsid w:val="00F37931"/>
    <w:rsid w:val="00F4342A"/>
    <w:rsid w:val="00F61C7E"/>
    <w:rsid w:val="00F672AB"/>
    <w:rsid w:val="00F9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02FCC"/>
  <w15:chartTrackingRefBased/>
  <w15:docId w15:val="{1B3EA12A-D7EA-411E-86E4-16AEE311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C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A1C67"/>
    <w:rPr>
      <w:b/>
      <w:bCs/>
    </w:rPr>
  </w:style>
  <w:style w:type="character" w:styleId="Emphasis">
    <w:name w:val="Emphasis"/>
    <w:uiPriority w:val="20"/>
    <w:qFormat/>
    <w:rsid w:val="008A1C67"/>
    <w:rPr>
      <w:i/>
      <w:iCs/>
    </w:rPr>
  </w:style>
  <w:style w:type="character" w:styleId="Hyperlink">
    <w:name w:val="Hyperlink"/>
    <w:uiPriority w:val="99"/>
    <w:semiHidden/>
    <w:unhideWhenUsed/>
    <w:rsid w:val="008A1C67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82261E"/>
    <w:rPr>
      <w:rFonts w:ascii="Times New Roman" w:eastAsia="Times New Roman" w:hAnsi="Times New Roman"/>
      <w:sz w:val="24"/>
      <w:szCs w:val="24"/>
      <w:lang w:val="uz-Cyrl-UZ" w:eastAsia="en-US"/>
    </w:rPr>
  </w:style>
  <w:style w:type="character" w:customStyle="1" w:styleId="jlqj4b">
    <w:name w:val="jlqj4b"/>
    <w:basedOn w:val="DefaultParagraphFont"/>
    <w:rsid w:val="007F7E3A"/>
  </w:style>
  <w:style w:type="paragraph" w:customStyle="1" w:styleId="Default">
    <w:name w:val="Default"/>
    <w:rsid w:val="007F7E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PY" w:eastAsia="es-PY"/>
    </w:rPr>
  </w:style>
  <w:style w:type="paragraph" w:styleId="NormalWeb">
    <w:name w:val="Normal (Web)"/>
    <w:basedOn w:val="Normal"/>
    <w:uiPriority w:val="99"/>
    <w:unhideWhenUsed/>
    <w:rsid w:val="001C5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ColorfulList-Accent11">
    <w:name w:val="Colorful List - Accent 11"/>
    <w:aliases w:val="titulo 5,Titulo 4,Texto,tEXTO,Capítulo,TIT 2 IND,List Paragraph1,Titulo parrafo,lp1,Cuadrícula media 1 - Énfasis 21,Párrafo de lista3,Párrafo de Viñeta,AATITULO,INDICE,Dot pt,No Spacing1,Bullet 1"/>
    <w:basedOn w:val="Normal"/>
    <w:link w:val="ColorfulList-Accent1Char"/>
    <w:uiPriority w:val="34"/>
    <w:qFormat/>
    <w:rsid w:val="001C5210"/>
    <w:pPr>
      <w:spacing w:after="200" w:line="276" w:lineRule="auto"/>
      <w:ind w:left="720"/>
      <w:contextualSpacing/>
    </w:pPr>
  </w:style>
  <w:style w:type="character" w:customStyle="1" w:styleId="ColorfulList-Accent1Char">
    <w:name w:val="Colorful List - Accent 1 Char"/>
    <w:aliases w:val="titulo 5 Char,Titulo 4 Char,Texto Char,tEXTO Char,Capítulo Char,TIT 2 IND Char,List Paragraph1 Char,Titulo parrafo Char,Colorful List - Accent 11 Char,lp1 Char,Cuadrícula media 1 - Énfasis 21 Char,Párrafo de lista3 Char"/>
    <w:link w:val="ColorfulList-Accent11"/>
    <w:uiPriority w:val="34"/>
    <w:qFormat/>
    <w:rsid w:val="001C5210"/>
    <w:rPr>
      <w:sz w:val="22"/>
      <w:szCs w:val="22"/>
      <w:lang w:eastAsia="en-US"/>
    </w:rPr>
  </w:style>
  <w:style w:type="paragraph" w:styleId="Caption">
    <w:name w:val="caption"/>
    <w:aliases w:val="caption"/>
    <w:basedOn w:val="Normal"/>
    <w:next w:val="Normal"/>
    <w:uiPriority w:val="35"/>
    <w:qFormat/>
    <w:rsid w:val="001C5210"/>
    <w:pPr>
      <w:spacing w:after="200" w:line="240" w:lineRule="auto"/>
    </w:pPr>
    <w:rPr>
      <w:rFonts w:ascii="Times New Roman" w:eastAsia="Times New Roman" w:hAnsi="Times New Roman"/>
      <w:i/>
      <w:iCs/>
      <w:color w:val="1F497D"/>
      <w:sz w:val="18"/>
      <w:szCs w:val="18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1C5210"/>
    <w:pPr>
      <w:spacing w:after="200" w:line="240" w:lineRule="auto"/>
    </w:pPr>
    <w:rPr>
      <w:rFonts w:ascii="Cambria" w:eastAsia="Cambria" w:hAnsi="Cambria"/>
      <w:sz w:val="20"/>
      <w:szCs w:val="20"/>
      <w:lang w:val="es-ES_tradnl"/>
    </w:rPr>
  </w:style>
  <w:style w:type="character" w:customStyle="1" w:styleId="FootnoteTextChar">
    <w:name w:val="Footnote Text Char"/>
    <w:link w:val="FootnoteText"/>
    <w:uiPriority w:val="99"/>
    <w:rsid w:val="001C5210"/>
    <w:rPr>
      <w:rFonts w:ascii="Cambria" w:eastAsia="Cambria" w:hAnsi="Cambria"/>
      <w:lang w:val="es-ES_tradnl" w:eastAsia="en-US"/>
    </w:rPr>
  </w:style>
  <w:style w:type="character" w:styleId="FootnoteReference">
    <w:name w:val="footnote reference"/>
    <w:uiPriority w:val="99"/>
    <w:unhideWhenUsed/>
    <w:rsid w:val="001C5210"/>
    <w:rPr>
      <w:vertAlign w:val="superscript"/>
    </w:rPr>
  </w:style>
  <w:style w:type="table" w:styleId="TableGrid">
    <w:name w:val="Table Grid"/>
    <w:basedOn w:val="TableNormal"/>
    <w:uiPriority w:val="39"/>
    <w:rsid w:val="0022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7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27AC"/>
    <w:rPr>
      <w:rFonts w:ascii="Lucida Grande" w:hAnsi="Lucida Grande" w:cs="Lucida Grande"/>
      <w:sz w:val="18"/>
      <w:szCs w:val="18"/>
      <w:lang w:val="es-EC"/>
    </w:rPr>
  </w:style>
  <w:style w:type="character" w:styleId="CommentReference">
    <w:name w:val="annotation reference"/>
    <w:uiPriority w:val="99"/>
    <w:semiHidden/>
    <w:unhideWhenUsed/>
    <w:rsid w:val="00DE6A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A9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DE6A92"/>
    <w:rPr>
      <w:sz w:val="24"/>
      <w:szCs w:val="24"/>
      <w:lang w:val="es-E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A9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E6A92"/>
    <w:rPr>
      <w:b/>
      <w:bCs/>
      <w:sz w:val="24"/>
      <w:szCs w:val="24"/>
      <w:lang w:val="es-EC"/>
    </w:rPr>
  </w:style>
  <w:style w:type="paragraph" w:styleId="Footer">
    <w:name w:val="footer"/>
    <w:basedOn w:val="Normal"/>
    <w:link w:val="FooterChar"/>
    <w:uiPriority w:val="99"/>
    <w:unhideWhenUsed/>
    <w:rsid w:val="00133B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33B92"/>
    <w:rPr>
      <w:sz w:val="22"/>
      <w:szCs w:val="22"/>
      <w:lang w:val="es-EC"/>
    </w:rPr>
  </w:style>
  <w:style w:type="character" w:styleId="PageNumber">
    <w:name w:val="page number"/>
    <w:uiPriority w:val="99"/>
    <w:semiHidden/>
    <w:unhideWhenUsed/>
    <w:rsid w:val="0013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A7E6FE-843A-6F44-91AA-EB1CA4DEF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4DCEA-94D8-44A1-8BB7-05F2E6B3F3FF}"/>
</file>

<file path=customXml/itemProps3.xml><?xml version="1.0" encoding="utf-8"?>
<ds:datastoreItem xmlns:ds="http://schemas.openxmlformats.org/officeDocument/2006/customXml" ds:itemID="{0B7C7A85-388C-4F54-B76B-436C4DF32CAD}"/>
</file>

<file path=customXml/itemProps4.xml><?xml version="1.0" encoding="utf-8"?>
<ds:datastoreItem xmlns:ds="http://schemas.openxmlformats.org/officeDocument/2006/customXml" ds:itemID="{B055F827-F839-4F47-B61C-CE8FCD677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Esther Oquendo Valdivieso</dc:creator>
  <cp:keywords/>
  <cp:lastModifiedBy>Michelle</cp:lastModifiedBy>
  <cp:revision>3</cp:revision>
  <dcterms:created xsi:type="dcterms:W3CDTF">2021-06-18T14:55:00Z</dcterms:created>
  <dcterms:modified xsi:type="dcterms:W3CDTF">2021-06-18T15:00:00Z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