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16D16" w14:textId="02FC6BA4" w:rsidR="00E5681D" w:rsidRPr="00E5681D" w:rsidRDefault="00E5681D" w:rsidP="002B30A9">
      <w:pPr>
        <w:rPr>
          <w:rFonts w:ascii="Times New Roman" w:hAnsi="Times New Roman" w:cs="Times New Roman"/>
          <w:sz w:val="24"/>
          <w:szCs w:val="24"/>
        </w:rPr>
      </w:pPr>
      <w:bookmarkStart w:id="0" w:name="_Hlk37855752"/>
      <w:r w:rsidRPr="00E5681D">
        <w:rPr>
          <w:rFonts w:ascii="Times New Roman" w:hAnsi="Times New Roman" w:cs="Times New Roman"/>
          <w:noProof/>
          <w:sz w:val="24"/>
          <w:szCs w:val="24"/>
        </w:rPr>
        <w:drawing>
          <wp:anchor distT="0" distB="0" distL="114300" distR="114300" simplePos="0" relativeHeight="251658240" behindDoc="1" locked="0" layoutInCell="1" allowOverlap="1" wp14:anchorId="42B68A4B" wp14:editId="4D98E464">
            <wp:simplePos x="0" y="0"/>
            <wp:positionH relativeFrom="margin">
              <wp:align>center</wp:align>
            </wp:positionH>
            <wp:positionV relativeFrom="paragraph">
              <wp:posOffset>0</wp:posOffset>
            </wp:positionV>
            <wp:extent cx="1013460" cy="1013460"/>
            <wp:effectExtent l="0" t="0" r="0" b="0"/>
            <wp:wrapTight wrapText="bothSides">
              <wp:wrapPolygon edited="0">
                <wp:start x="0" y="0"/>
                <wp:lineTo x="0" y="21113"/>
                <wp:lineTo x="21113" y="21113"/>
                <wp:lineTo x="21113" y="0"/>
                <wp:lineTo x="0" y="0"/>
              </wp:wrapPolygon>
            </wp:wrapTight>
            <wp:docPr id="1" name="Picture 1" descr="H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RW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FF2D0" w14:textId="5D6FAE97" w:rsidR="00E5681D" w:rsidRPr="00E5681D" w:rsidRDefault="00E5681D" w:rsidP="002B30A9">
      <w:pPr>
        <w:rPr>
          <w:rFonts w:ascii="Times New Roman" w:hAnsi="Times New Roman" w:cs="Times New Roman"/>
          <w:sz w:val="24"/>
          <w:szCs w:val="24"/>
        </w:rPr>
      </w:pPr>
    </w:p>
    <w:p w14:paraId="11AEB348" w14:textId="77777777" w:rsidR="00E5681D" w:rsidRPr="00E5681D" w:rsidRDefault="00E5681D" w:rsidP="002B30A9">
      <w:pPr>
        <w:rPr>
          <w:rFonts w:ascii="Times New Roman" w:hAnsi="Times New Roman" w:cs="Times New Roman"/>
          <w:sz w:val="24"/>
          <w:szCs w:val="24"/>
        </w:rPr>
      </w:pPr>
    </w:p>
    <w:p w14:paraId="5B672BAC" w14:textId="77777777" w:rsidR="00E5681D" w:rsidRPr="00E5681D" w:rsidRDefault="00E5681D" w:rsidP="002B30A9">
      <w:pPr>
        <w:rPr>
          <w:rFonts w:ascii="Times New Roman" w:hAnsi="Times New Roman" w:cs="Times New Roman"/>
          <w:sz w:val="24"/>
          <w:szCs w:val="24"/>
        </w:rPr>
      </w:pPr>
    </w:p>
    <w:p w14:paraId="79DA5334" w14:textId="093A8D3D" w:rsidR="00E5681D" w:rsidRDefault="00E5681D" w:rsidP="00E5681D">
      <w:pPr>
        <w:pStyle w:val="NoSpacing"/>
        <w:jc w:val="center"/>
        <w:rPr>
          <w:rFonts w:ascii="Times New Roman" w:hAnsi="Times New Roman"/>
          <w:b/>
          <w:sz w:val="24"/>
          <w:szCs w:val="24"/>
        </w:rPr>
      </w:pPr>
      <w:r w:rsidRPr="00E5681D">
        <w:rPr>
          <w:rFonts w:ascii="Times New Roman" w:hAnsi="Times New Roman"/>
          <w:b/>
          <w:sz w:val="24"/>
          <w:szCs w:val="24"/>
        </w:rPr>
        <w:t xml:space="preserve">Human Rights Watch </w:t>
      </w:r>
      <w:r>
        <w:rPr>
          <w:rFonts w:ascii="Times New Roman" w:hAnsi="Times New Roman"/>
          <w:b/>
          <w:sz w:val="24"/>
          <w:szCs w:val="24"/>
        </w:rPr>
        <w:t>S</w:t>
      </w:r>
      <w:r w:rsidRPr="00E5681D">
        <w:rPr>
          <w:rFonts w:ascii="Times New Roman" w:hAnsi="Times New Roman"/>
          <w:b/>
          <w:sz w:val="24"/>
          <w:szCs w:val="24"/>
        </w:rPr>
        <w:t>ubmission</w:t>
      </w:r>
      <w:r>
        <w:rPr>
          <w:rFonts w:ascii="Times New Roman" w:hAnsi="Times New Roman"/>
          <w:b/>
          <w:sz w:val="24"/>
          <w:szCs w:val="24"/>
        </w:rPr>
        <w:t xml:space="preserve"> </w:t>
      </w:r>
      <w:r w:rsidRPr="00E5681D">
        <w:rPr>
          <w:rFonts w:ascii="Times New Roman" w:hAnsi="Times New Roman"/>
          <w:b/>
          <w:sz w:val="24"/>
          <w:szCs w:val="24"/>
        </w:rPr>
        <w:t xml:space="preserve">on </w:t>
      </w:r>
      <w:r>
        <w:rPr>
          <w:rFonts w:ascii="Times New Roman" w:hAnsi="Times New Roman"/>
          <w:b/>
          <w:sz w:val="24"/>
          <w:szCs w:val="24"/>
        </w:rPr>
        <w:t>E</w:t>
      </w:r>
      <w:r w:rsidRPr="00E5681D">
        <w:rPr>
          <w:rFonts w:ascii="Times New Roman" w:hAnsi="Times New Roman"/>
          <w:b/>
          <w:sz w:val="24"/>
          <w:szCs w:val="24"/>
        </w:rPr>
        <w:t xml:space="preserve">nding </w:t>
      </w:r>
      <w:r>
        <w:rPr>
          <w:rFonts w:ascii="Times New Roman" w:hAnsi="Times New Roman"/>
          <w:b/>
          <w:sz w:val="24"/>
          <w:szCs w:val="24"/>
        </w:rPr>
        <w:t>I</w:t>
      </w:r>
      <w:r w:rsidRPr="00E5681D">
        <w:rPr>
          <w:rFonts w:ascii="Times New Roman" w:hAnsi="Times New Roman"/>
          <w:b/>
          <w:sz w:val="24"/>
          <w:szCs w:val="24"/>
        </w:rPr>
        <w:t xml:space="preserve">mmigration </w:t>
      </w:r>
      <w:r>
        <w:rPr>
          <w:rFonts w:ascii="Times New Roman" w:hAnsi="Times New Roman"/>
          <w:b/>
          <w:sz w:val="24"/>
          <w:szCs w:val="24"/>
        </w:rPr>
        <w:t>D</w:t>
      </w:r>
      <w:r w:rsidRPr="00E5681D">
        <w:rPr>
          <w:rFonts w:ascii="Times New Roman" w:hAnsi="Times New Roman"/>
          <w:b/>
          <w:sz w:val="24"/>
          <w:szCs w:val="24"/>
        </w:rPr>
        <w:t xml:space="preserve">etention of </w:t>
      </w:r>
      <w:r>
        <w:rPr>
          <w:rFonts w:ascii="Times New Roman" w:hAnsi="Times New Roman"/>
          <w:b/>
          <w:sz w:val="24"/>
          <w:szCs w:val="24"/>
        </w:rPr>
        <w:t>C</w:t>
      </w:r>
      <w:r w:rsidRPr="00E5681D">
        <w:rPr>
          <w:rFonts w:ascii="Times New Roman" w:hAnsi="Times New Roman"/>
          <w:b/>
          <w:sz w:val="24"/>
          <w:szCs w:val="24"/>
        </w:rPr>
        <w:t xml:space="preserve">hildren and </w:t>
      </w:r>
      <w:r>
        <w:rPr>
          <w:rFonts w:ascii="Times New Roman" w:hAnsi="Times New Roman"/>
          <w:b/>
          <w:sz w:val="24"/>
          <w:szCs w:val="24"/>
        </w:rPr>
        <w:t>S</w:t>
      </w:r>
      <w:r w:rsidRPr="00E5681D">
        <w:rPr>
          <w:rFonts w:ascii="Times New Roman" w:hAnsi="Times New Roman"/>
          <w:b/>
          <w:sz w:val="24"/>
          <w:szCs w:val="24"/>
        </w:rPr>
        <w:t xml:space="preserve">eeking </w:t>
      </w:r>
      <w:r>
        <w:rPr>
          <w:rFonts w:ascii="Times New Roman" w:hAnsi="Times New Roman"/>
          <w:b/>
          <w:sz w:val="24"/>
          <w:szCs w:val="24"/>
        </w:rPr>
        <w:t>A</w:t>
      </w:r>
      <w:r w:rsidRPr="00E5681D">
        <w:rPr>
          <w:rFonts w:ascii="Times New Roman" w:hAnsi="Times New Roman"/>
          <w:b/>
          <w:sz w:val="24"/>
          <w:szCs w:val="24"/>
        </w:rPr>
        <w:t xml:space="preserve">dequate </w:t>
      </w:r>
      <w:r>
        <w:rPr>
          <w:rFonts w:ascii="Times New Roman" w:hAnsi="Times New Roman"/>
          <w:b/>
          <w:sz w:val="24"/>
          <w:szCs w:val="24"/>
        </w:rPr>
        <w:t>R</w:t>
      </w:r>
      <w:r w:rsidRPr="00E5681D">
        <w:rPr>
          <w:rFonts w:ascii="Times New Roman" w:hAnsi="Times New Roman"/>
          <w:b/>
          <w:sz w:val="24"/>
          <w:szCs w:val="24"/>
        </w:rPr>
        <w:t xml:space="preserve">eception and </w:t>
      </w:r>
      <w:r>
        <w:rPr>
          <w:rFonts w:ascii="Times New Roman" w:hAnsi="Times New Roman"/>
          <w:b/>
          <w:sz w:val="24"/>
          <w:szCs w:val="24"/>
        </w:rPr>
        <w:t>C</w:t>
      </w:r>
      <w:r w:rsidRPr="00E5681D">
        <w:rPr>
          <w:rFonts w:ascii="Times New Roman" w:hAnsi="Times New Roman"/>
          <w:b/>
          <w:sz w:val="24"/>
          <w:szCs w:val="24"/>
        </w:rPr>
        <w:t>are for them</w:t>
      </w:r>
    </w:p>
    <w:p w14:paraId="57CB8AA6" w14:textId="77777777" w:rsidR="00E5681D" w:rsidRPr="00E5681D" w:rsidRDefault="00E5681D" w:rsidP="00E5681D">
      <w:pPr>
        <w:pStyle w:val="NoSpacing"/>
        <w:jc w:val="center"/>
        <w:rPr>
          <w:rFonts w:ascii="Times New Roman" w:hAnsi="Times New Roman"/>
          <w:b/>
          <w:sz w:val="24"/>
          <w:szCs w:val="24"/>
        </w:rPr>
      </w:pPr>
    </w:p>
    <w:p w14:paraId="47386654" w14:textId="47BB5C8C" w:rsidR="00385A59" w:rsidRPr="00E5681D" w:rsidRDefault="00385A59" w:rsidP="002B30A9">
      <w:pPr>
        <w:rPr>
          <w:rFonts w:ascii="Times New Roman" w:hAnsi="Times New Roman" w:cs="Times New Roman"/>
          <w:sz w:val="24"/>
          <w:szCs w:val="24"/>
        </w:rPr>
      </w:pPr>
      <w:r w:rsidRPr="00E5681D">
        <w:rPr>
          <w:rFonts w:ascii="Times New Roman" w:hAnsi="Times New Roman" w:cs="Times New Roman"/>
          <w:sz w:val="24"/>
          <w:szCs w:val="24"/>
        </w:rPr>
        <w:t>Human Rights Watch welcomes the Special Rapporteur</w:t>
      </w:r>
      <w:r w:rsidR="002B30A9" w:rsidRPr="00E5681D">
        <w:rPr>
          <w:rFonts w:ascii="Times New Roman" w:hAnsi="Times New Roman" w:cs="Times New Roman"/>
          <w:sz w:val="24"/>
          <w:szCs w:val="24"/>
        </w:rPr>
        <w:t>’s decision to devote his forthcoming report to the means of ending immigration detention of children and seeking adequate reception and care for them.</w:t>
      </w:r>
    </w:p>
    <w:p w14:paraId="2EC2A74A" w14:textId="157DFBE2" w:rsidR="0015474F" w:rsidRPr="00E5681D" w:rsidRDefault="003F0445">
      <w:pPr>
        <w:rPr>
          <w:rFonts w:ascii="Times New Roman" w:hAnsi="Times New Roman" w:cs="Times New Roman"/>
          <w:sz w:val="24"/>
          <w:szCs w:val="24"/>
        </w:rPr>
      </w:pPr>
      <w:bookmarkStart w:id="1" w:name="_Hlk37183806"/>
      <w:r w:rsidRPr="00E5681D">
        <w:rPr>
          <w:rFonts w:ascii="Times New Roman" w:hAnsi="Times New Roman" w:cs="Times New Roman"/>
          <w:sz w:val="24"/>
          <w:szCs w:val="24"/>
        </w:rPr>
        <w:t>A</w:t>
      </w:r>
      <w:r w:rsidR="002B30A9" w:rsidRPr="00E5681D">
        <w:rPr>
          <w:rFonts w:ascii="Times New Roman" w:hAnsi="Times New Roman" w:cs="Times New Roman"/>
          <w:sz w:val="24"/>
          <w:szCs w:val="24"/>
        </w:rPr>
        <w:t>t</w:t>
      </w:r>
      <w:r w:rsidR="003964B8" w:rsidRPr="00E5681D">
        <w:rPr>
          <w:rFonts w:ascii="Times New Roman" w:hAnsi="Times New Roman" w:cs="Times New Roman"/>
          <w:sz w:val="24"/>
          <w:szCs w:val="24"/>
        </w:rPr>
        <w:t xml:space="preserve"> least 80 states deprive children of liberty for migration purposes</w:t>
      </w:r>
      <w:r w:rsidR="00BC619F" w:rsidRPr="00E5681D">
        <w:rPr>
          <w:rFonts w:ascii="Times New Roman" w:hAnsi="Times New Roman" w:cs="Times New Roman"/>
          <w:sz w:val="24"/>
          <w:szCs w:val="24"/>
        </w:rPr>
        <w:t xml:space="preserve">, </w:t>
      </w:r>
      <w:r w:rsidR="003964B8" w:rsidRPr="00E5681D">
        <w:rPr>
          <w:rFonts w:ascii="Times New Roman" w:hAnsi="Times New Roman" w:cs="Times New Roman"/>
          <w:sz w:val="24"/>
          <w:szCs w:val="24"/>
        </w:rPr>
        <w:t>with at least 330,000 children deprived of liberty each year for reasons related to migration</w:t>
      </w:r>
      <w:r w:rsidR="007A4AE9" w:rsidRPr="00E5681D">
        <w:rPr>
          <w:rFonts w:ascii="Times New Roman" w:hAnsi="Times New Roman" w:cs="Times New Roman"/>
          <w:sz w:val="24"/>
          <w:szCs w:val="24"/>
        </w:rPr>
        <w:t>, according to the UN independent expert on deprivation of liberty of children.</w:t>
      </w:r>
      <w:r w:rsidR="003964B8" w:rsidRPr="00E5681D">
        <w:rPr>
          <w:rStyle w:val="FootnoteReference"/>
          <w:rFonts w:ascii="Times New Roman" w:hAnsi="Times New Roman" w:cs="Times New Roman"/>
          <w:sz w:val="24"/>
          <w:szCs w:val="24"/>
        </w:rPr>
        <w:footnoteReference w:id="1"/>
      </w:r>
      <w:r w:rsidR="003964B8" w:rsidRPr="00E5681D">
        <w:rPr>
          <w:rFonts w:ascii="Times New Roman" w:hAnsi="Times New Roman" w:cs="Times New Roman"/>
          <w:sz w:val="24"/>
          <w:szCs w:val="24"/>
        </w:rPr>
        <w:t xml:space="preserve"> </w:t>
      </w:r>
      <w:r w:rsidR="0015474F" w:rsidRPr="00E5681D">
        <w:rPr>
          <w:rFonts w:ascii="Times New Roman" w:hAnsi="Times New Roman" w:cs="Times New Roman"/>
          <w:sz w:val="24"/>
          <w:szCs w:val="24"/>
          <w:lang w:val="en-GB"/>
        </w:rPr>
        <w:t>That number “is likely to be a significant under-estimation of the true figure, due to limitations regarding the quality, consistency and coverage of information around the world</w:t>
      </w:r>
      <w:r w:rsidR="007A4AE9" w:rsidRPr="00E5681D">
        <w:rPr>
          <w:rFonts w:ascii="Times New Roman" w:hAnsi="Times New Roman" w:cs="Times New Roman"/>
          <w:sz w:val="24"/>
          <w:szCs w:val="24"/>
          <w:lang w:val="en-GB"/>
        </w:rPr>
        <w:t>,</w:t>
      </w:r>
      <w:r w:rsidR="0015474F" w:rsidRPr="00E5681D">
        <w:rPr>
          <w:rFonts w:ascii="Times New Roman" w:hAnsi="Times New Roman" w:cs="Times New Roman"/>
          <w:sz w:val="24"/>
          <w:szCs w:val="24"/>
          <w:lang w:val="en-GB"/>
        </w:rPr>
        <w:t>”</w:t>
      </w:r>
      <w:r w:rsidR="007A4AE9" w:rsidRPr="00E5681D">
        <w:rPr>
          <w:rFonts w:ascii="Times New Roman" w:hAnsi="Times New Roman" w:cs="Times New Roman"/>
          <w:sz w:val="24"/>
          <w:szCs w:val="24"/>
          <w:lang w:val="en-GB"/>
        </w:rPr>
        <w:t xml:space="preserve"> the independent expert found.</w:t>
      </w:r>
      <w:r w:rsidR="0015474F" w:rsidRPr="00E5681D">
        <w:rPr>
          <w:rStyle w:val="FootnoteReference"/>
          <w:rFonts w:ascii="Times New Roman" w:hAnsi="Times New Roman" w:cs="Times New Roman"/>
          <w:sz w:val="24"/>
          <w:szCs w:val="24"/>
          <w:lang w:val="en-GB"/>
        </w:rPr>
        <w:footnoteReference w:id="2"/>
      </w:r>
    </w:p>
    <w:p w14:paraId="3BECD850" w14:textId="424B1320" w:rsidR="00DF5867" w:rsidRDefault="00DF5867">
      <w:pPr>
        <w:rPr>
          <w:rFonts w:ascii="Times New Roman" w:hAnsi="Times New Roman" w:cs="Times New Roman"/>
          <w:sz w:val="24"/>
          <w:szCs w:val="24"/>
        </w:rPr>
      </w:pPr>
      <w:r w:rsidRPr="00E5681D">
        <w:rPr>
          <w:rFonts w:ascii="Times New Roman" w:hAnsi="Times New Roman" w:cs="Times New Roman"/>
          <w:sz w:val="24"/>
          <w:szCs w:val="24"/>
        </w:rPr>
        <w:t>Human Rights Watch has researched and reported on the immigration detention of children in countries that do so in large numbers (for instance, the United States and Mexico) and that hold children in particularly abusive conditions (including Australia’s use of offshore processing on Nauru</w:t>
      </w:r>
      <w:r w:rsidR="00642549" w:rsidRPr="00E5681D">
        <w:rPr>
          <w:rFonts w:ascii="Times New Roman" w:hAnsi="Times New Roman" w:cs="Times New Roman"/>
          <w:sz w:val="24"/>
          <w:szCs w:val="24"/>
        </w:rPr>
        <w:t>,</w:t>
      </w:r>
      <w:r w:rsidRPr="00E5681D">
        <w:rPr>
          <w:rFonts w:ascii="Times New Roman" w:hAnsi="Times New Roman" w:cs="Times New Roman"/>
          <w:sz w:val="24"/>
          <w:szCs w:val="24"/>
        </w:rPr>
        <w:t xml:space="preserve"> and in Greece, Indonesia,</w:t>
      </w:r>
      <w:r w:rsidR="00CF63B1" w:rsidRPr="00E5681D">
        <w:rPr>
          <w:rFonts w:ascii="Times New Roman" w:hAnsi="Times New Roman" w:cs="Times New Roman"/>
          <w:sz w:val="24"/>
          <w:szCs w:val="24"/>
        </w:rPr>
        <w:t xml:space="preserve"> </w:t>
      </w:r>
      <w:r w:rsidR="006E5FEC" w:rsidRPr="00E5681D">
        <w:rPr>
          <w:rFonts w:ascii="Times New Roman" w:hAnsi="Times New Roman" w:cs="Times New Roman"/>
          <w:sz w:val="24"/>
          <w:szCs w:val="24"/>
        </w:rPr>
        <w:t xml:space="preserve">and </w:t>
      </w:r>
      <w:r w:rsidRPr="00E5681D">
        <w:rPr>
          <w:rFonts w:ascii="Times New Roman" w:hAnsi="Times New Roman" w:cs="Times New Roman"/>
          <w:sz w:val="24"/>
          <w:szCs w:val="24"/>
        </w:rPr>
        <w:t xml:space="preserve">Thailand </w:t>
      </w:r>
      <w:r w:rsidR="00CF63B1" w:rsidRPr="00E5681D">
        <w:rPr>
          <w:rFonts w:ascii="Times New Roman" w:hAnsi="Times New Roman" w:cs="Times New Roman"/>
          <w:sz w:val="24"/>
          <w:szCs w:val="24"/>
        </w:rPr>
        <w:t>a</w:t>
      </w:r>
      <w:r w:rsidR="000A73F5" w:rsidRPr="00E5681D">
        <w:rPr>
          <w:rFonts w:ascii="Times New Roman" w:hAnsi="Times New Roman" w:cs="Times New Roman"/>
          <w:sz w:val="24"/>
          <w:szCs w:val="24"/>
        </w:rPr>
        <w:t xml:space="preserve">s well as </w:t>
      </w:r>
      <w:r w:rsidRPr="00E5681D">
        <w:rPr>
          <w:rFonts w:ascii="Times New Roman" w:hAnsi="Times New Roman" w:cs="Times New Roman"/>
          <w:sz w:val="24"/>
          <w:szCs w:val="24"/>
        </w:rPr>
        <w:t>the United States), a</w:t>
      </w:r>
      <w:r w:rsidR="000A73F5" w:rsidRPr="00E5681D">
        <w:rPr>
          <w:rFonts w:ascii="Times New Roman" w:hAnsi="Times New Roman" w:cs="Times New Roman"/>
          <w:sz w:val="24"/>
          <w:szCs w:val="24"/>
        </w:rPr>
        <w:t>long with</w:t>
      </w:r>
      <w:r w:rsidRPr="00E5681D">
        <w:rPr>
          <w:rFonts w:ascii="Times New Roman" w:hAnsi="Times New Roman" w:cs="Times New Roman"/>
          <w:sz w:val="24"/>
          <w:szCs w:val="24"/>
        </w:rPr>
        <w:t xml:space="preserve"> more isolated but no</w:t>
      </w:r>
      <w:r w:rsidR="00606951" w:rsidRPr="00E5681D">
        <w:rPr>
          <w:rFonts w:ascii="Times New Roman" w:hAnsi="Times New Roman" w:cs="Times New Roman"/>
          <w:sz w:val="24"/>
          <w:szCs w:val="24"/>
        </w:rPr>
        <w:t xml:space="preserve"> </w:t>
      </w:r>
      <w:r w:rsidRPr="00E5681D">
        <w:rPr>
          <w:rFonts w:ascii="Times New Roman" w:hAnsi="Times New Roman" w:cs="Times New Roman"/>
          <w:sz w:val="24"/>
          <w:szCs w:val="24"/>
        </w:rPr>
        <w:t>less damaging instances of immigration detention of children</w:t>
      </w:r>
      <w:r w:rsidR="00606951" w:rsidRPr="00E5681D">
        <w:rPr>
          <w:rFonts w:ascii="Times New Roman" w:hAnsi="Times New Roman" w:cs="Times New Roman"/>
          <w:sz w:val="24"/>
          <w:szCs w:val="24"/>
        </w:rPr>
        <w:t xml:space="preserve"> elsewhere in the world</w:t>
      </w:r>
      <w:r w:rsidRPr="00E5681D">
        <w:rPr>
          <w:rFonts w:ascii="Times New Roman" w:hAnsi="Times New Roman" w:cs="Times New Roman"/>
          <w:sz w:val="24"/>
          <w:szCs w:val="24"/>
        </w:rPr>
        <w:t xml:space="preserve"> (such as in Lebanon and Turkey).</w:t>
      </w:r>
      <w:r w:rsidRPr="00E5681D">
        <w:rPr>
          <w:rStyle w:val="FootnoteReference"/>
          <w:rFonts w:ascii="Times New Roman" w:hAnsi="Times New Roman" w:cs="Times New Roman"/>
          <w:sz w:val="24"/>
          <w:szCs w:val="24"/>
        </w:rPr>
        <w:footnoteReference w:id="3"/>
      </w:r>
    </w:p>
    <w:p w14:paraId="55297A68" w14:textId="77777777" w:rsidR="00057173" w:rsidRPr="00E5681D" w:rsidRDefault="00057173">
      <w:pPr>
        <w:rPr>
          <w:rFonts w:ascii="Times New Roman" w:hAnsi="Times New Roman" w:cs="Times New Roman"/>
          <w:sz w:val="24"/>
          <w:szCs w:val="24"/>
        </w:rPr>
      </w:pPr>
    </w:p>
    <w:p w14:paraId="6174E886" w14:textId="031AE95E" w:rsidR="00A019D8" w:rsidRPr="00E5681D" w:rsidRDefault="00A34E23">
      <w:pPr>
        <w:rPr>
          <w:rFonts w:ascii="Times New Roman" w:hAnsi="Times New Roman" w:cs="Times New Roman"/>
          <w:b/>
          <w:bCs/>
          <w:sz w:val="24"/>
          <w:szCs w:val="24"/>
        </w:rPr>
      </w:pPr>
      <w:r w:rsidRPr="00E5681D">
        <w:rPr>
          <w:rFonts w:ascii="Times New Roman" w:hAnsi="Times New Roman" w:cs="Times New Roman"/>
          <w:b/>
          <w:bCs/>
          <w:sz w:val="24"/>
          <w:szCs w:val="24"/>
        </w:rPr>
        <w:t>Legislation or policies restricting immigration detention of children</w:t>
      </w:r>
    </w:p>
    <w:p w14:paraId="21D6D6E2" w14:textId="2AFB2689" w:rsidR="00C05AA3" w:rsidRPr="00E5681D" w:rsidRDefault="00BC619F">
      <w:pPr>
        <w:rPr>
          <w:rFonts w:ascii="Times New Roman" w:hAnsi="Times New Roman" w:cs="Times New Roman"/>
          <w:sz w:val="24"/>
          <w:szCs w:val="24"/>
        </w:rPr>
      </w:pPr>
      <w:r w:rsidRPr="00E5681D">
        <w:rPr>
          <w:rFonts w:ascii="Times New Roman" w:hAnsi="Times New Roman" w:cs="Times New Roman"/>
          <w:sz w:val="24"/>
          <w:szCs w:val="24"/>
        </w:rPr>
        <w:t xml:space="preserve">Twenty-four </w:t>
      </w:r>
      <w:r w:rsidR="00DF5067" w:rsidRPr="00E5681D">
        <w:rPr>
          <w:rFonts w:ascii="Times New Roman" w:hAnsi="Times New Roman" w:cs="Times New Roman"/>
          <w:sz w:val="24"/>
          <w:szCs w:val="24"/>
        </w:rPr>
        <w:t>jurisdictions do not detain children for migration-related reasons. That list includes many states in South and Central America; seven states in sub-Saharan Africa; in the Asia-Pacific region, Japan, Laos, and Taiwan; and Ireland.</w:t>
      </w:r>
      <w:r w:rsidR="00DF5067" w:rsidRPr="00E5681D">
        <w:rPr>
          <w:rStyle w:val="FootnoteReference"/>
          <w:rFonts w:ascii="Times New Roman" w:hAnsi="Times New Roman" w:cs="Times New Roman"/>
          <w:sz w:val="24"/>
          <w:szCs w:val="24"/>
        </w:rPr>
        <w:footnoteReference w:id="4"/>
      </w:r>
    </w:p>
    <w:p w14:paraId="1424875D" w14:textId="2D7899EF" w:rsidR="00DF5067" w:rsidRPr="00E5681D" w:rsidRDefault="00DF5067">
      <w:pPr>
        <w:rPr>
          <w:rFonts w:ascii="Times New Roman" w:hAnsi="Times New Roman" w:cs="Times New Roman"/>
          <w:sz w:val="24"/>
          <w:szCs w:val="24"/>
        </w:rPr>
      </w:pPr>
      <w:r w:rsidRPr="00E5681D">
        <w:rPr>
          <w:rFonts w:ascii="Times New Roman" w:hAnsi="Times New Roman" w:cs="Times New Roman"/>
          <w:sz w:val="24"/>
          <w:szCs w:val="24"/>
        </w:rPr>
        <w:lastRenderedPageBreak/>
        <w:t>In some countries that do employ immigration detention of children, legislation or policies in principle limit the practice in ways that would offer significant protections if fully implemented. Too often, however, exceptions in law or policy blunt the</w:t>
      </w:r>
      <w:r w:rsidR="00BC619F" w:rsidRPr="00E5681D">
        <w:rPr>
          <w:rFonts w:ascii="Times New Roman" w:hAnsi="Times New Roman" w:cs="Times New Roman"/>
          <w:sz w:val="24"/>
          <w:szCs w:val="24"/>
        </w:rPr>
        <w:t>se measures’</w:t>
      </w:r>
      <w:r w:rsidRPr="00E5681D">
        <w:rPr>
          <w:rFonts w:ascii="Times New Roman" w:hAnsi="Times New Roman" w:cs="Times New Roman"/>
          <w:sz w:val="24"/>
          <w:szCs w:val="24"/>
        </w:rPr>
        <w:t xml:space="preserve"> effectivenes</w:t>
      </w:r>
      <w:r w:rsidR="00BC619F" w:rsidRPr="00E5681D">
        <w:rPr>
          <w:rFonts w:ascii="Times New Roman" w:hAnsi="Times New Roman" w:cs="Times New Roman"/>
          <w:sz w:val="24"/>
          <w:szCs w:val="24"/>
        </w:rPr>
        <w:t>s.</w:t>
      </w:r>
    </w:p>
    <w:p w14:paraId="4C37DFD7" w14:textId="77777777" w:rsidR="0015474F" w:rsidRPr="00E5681D" w:rsidRDefault="00DF5067">
      <w:pPr>
        <w:rPr>
          <w:rFonts w:ascii="Times New Roman" w:hAnsi="Times New Roman" w:cs="Times New Roman"/>
          <w:sz w:val="24"/>
          <w:szCs w:val="24"/>
        </w:rPr>
      </w:pPr>
      <w:r w:rsidRPr="00E5681D">
        <w:rPr>
          <w:rFonts w:ascii="Times New Roman" w:hAnsi="Times New Roman" w:cs="Times New Roman"/>
          <w:sz w:val="24"/>
          <w:szCs w:val="24"/>
        </w:rPr>
        <w:t>For example, in the United States, law and policy require expeditious transfer of children to specialized facilities and favor release to family members or foster care settings.</w:t>
      </w:r>
      <w:r w:rsidR="004B4E7D" w:rsidRPr="00E5681D">
        <w:rPr>
          <w:rFonts w:ascii="Times New Roman" w:hAnsi="Times New Roman" w:cs="Times New Roman"/>
          <w:sz w:val="24"/>
          <w:szCs w:val="24"/>
        </w:rPr>
        <w:t xml:space="preserve"> </w:t>
      </w:r>
      <w:r w:rsidRPr="00E5681D">
        <w:rPr>
          <w:rFonts w:ascii="Times New Roman" w:hAnsi="Times New Roman" w:cs="Times New Roman"/>
          <w:sz w:val="24"/>
          <w:szCs w:val="24"/>
        </w:rPr>
        <w:t>Nevertheless,</w:t>
      </w:r>
      <w:r w:rsidR="004B4E7D" w:rsidRPr="00E5681D">
        <w:rPr>
          <w:rFonts w:ascii="Times New Roman" w:hAnsi="Times New Roman" w:cs="Times New Roman"/>
          <w:sz w:val="24"/>
          <w:szCs w:val="24"/>
        </w:rPr>
        <w:t xml:space="preserve"> US immigration authorities regularly hold unaccompanied children and families with children for far longer than the </w:t>
      </w:r>
      <w:r w:rsidR="00BC619F" w:rsidRPr="00E5681D">
        <w:rPr>
          <w:rFonts w:ascii="Times New Roman" w:hAnsi="Times New Roman" w:cs="Times New Roman"/>
          <w:sz w:val="24"/>
          <w:szCs w:val="24"/>
        </w:rPr>
        <w:t xml:space="preserve">established </w:t>
      </w:r>
      <w:r w:rsidR="004B4E7D" w:rsidRPr="00E5681D">
        <w:rPr>
          <w:rFonts w:ascii="Times New Roman" w:hAnsi="Times New Roman" w:cs="Times New Roman"/>
          <w:sz w:val="24"/>
          <w:szCs w:val="24"/>
        </w:rPr>
        <w:t>time limits</w:t>
      </w:r>
      <w:r w:rsidR="001B47DF" w:rsidRPr="00E5681D">
        <w:rPr>
          <w:rFonts w:ascii="Times New Roman" w:hAnsi="Times New Roman" w:cs="Times New Roman"/>
          <w:sz w:val="24"/>
          <w:szCs w:val="24"/>
        </w:rPr>
        <w:t>.</w:t>
      </w:r>
      <w:r w:rsidR="0015474F" w:rsidRPr="00E5681D">
        <w:rPr>
          <w:rFonts w:ascii="Times New Roman" w:hAnsi="Times New Roman" w:cs="Times New Roman"/>
          <w:sz w:val="24"/>
          <w:szCs w:val="24"/>
        </w:rPr>
        <w:t xml:space="preserve"> In a stark illustration of this tendency, 250 unaccompanied children were held in a small border station near El Paso, Texas, for weeks in mid-2019, left to care for themselves, deprived of regular access to soap or showers, and afforded little communication, if any, with their parents or other family members.</w:t>
      </w:r>
      <w:r w:rsidR="0099665D" w:rsidRPr="00E5681D">
        <w:rPr>
          <w:rStyle w:val="FootnoteReference"/>
          <w:rFonts w:ascii="Times New Roman" w:hAnsi="Times New Roman" w:cs="Times New Roman"/>
          <w:sz w:val="24"/>
          <w:szCs w:val="24"/>
        </w:rPr>
        <w:footnoteReference w:id="5"/>
      </w:r>
    </w:p>
    <w:p w14:paraId="4B5CBC61" w14:textId="1D34CBF8" w:rsidR="004429B2" w:rsidRPr="00E5681D" w:rsidRDefault="0015474F">
      <w:pPr>
        <w:rPr>
          <w:rFonts w:ascii="Times New Roman" w:hAnsi="Times New Roman" w:cs="Times New Roman"/>
          <w:sz w:val="24"/>
          <w:szCs w:val="24"/>
        </w:rPr>
      </w:pPr>
      <w:r w:rsidRPr="00E5681D">
        <w:rPr>
          <w:rFonts w:ascii="Times New Roman" w:hAnsi="Times New Roman" w:cs="Times New Roman"/>
          <w:sz w:val="24"/>
          <w:szCs w:val="24"/>
        </w:rPr>
        <w:t>Moreover, most of the standards relating to immigration detention of children in the United States are contained in a consent decree, an agreement reached by the government to settle a lawsuit. The government has periodically sought modification of the agreement to give it greater flexibility with respect to the length and conditions of immigration detention of children. For instance, the US Department of Justice argued in federal court in June 2019 that the requirement to hold children in “safe and sanitary” conditions did not necessarily require regular access to showers, soap, toothbrushes and toothpaste, and other means of maintaining personal hygiene.</w:t>
      </w:r>
      <w:r w:rsidR="007A4AE9" w:rsidRPr="00E5681D">
        <w:rPr>
          <w:rStyle w:val="FootnoteReference"/>
          <w:rFonts w:ascii="Times New Roman" w:hAnsi="Times New Roman" w:cs="Times New Roman"/>
          <w:sz w:val="24"/>
          <w:szCs w:val="24"/>
        </w:rPr>
        <w:footnoteReference w:id="6"/>
      </w:r>
      <w:r w:rsidRPr="00E5681D">
        <w:rPr>
          <w:rFonts w:ascii="Times New Roman" w:hAnsi="Times New Roman" w:cs="Times New Roman"/>
          <w:sz w:val="24"/>
          <w:szCs w:val="24"/>
        </w:rPr>
        <w:t xml:space="preserve"> More recently, it has attempted to introduce regulations that would supersede and significantly weaken the standards set forth in the consent decree.</w:t>
      </w:r>
      <w:r w:rsidR="007C42D8" w:rsidRPr="00E5681D">
        <w:rPr>
          <w:rStyle w:val="FootnoteReference"/>
          <w:rFonts w:ascii="Times New Roman" w:hAnsi="Times New Roman" w:cs="Times New Roman"/>
          <w:sz w:val="24"/>
          <w:szCs w:val="24"/>
        </w:rPr>
        <w:footnoteReference w:id="7"/>
      </w:r>
    </w:p>
    <w:p w14:paraId="72E24D0B" w14:textId="6C044436" w:rsidR="0015474F" w:rsidRPr="00E5681D" w:rsidRDefault="00D638E1" w:rsidP="00012EE6">
      <w:pPr>
        <w:rPr>
          <w:rFonts w:ascii="Times New Roman" w:hAnsi="Times New Roman" w:cs="Times New Roman"/>
          <w:sz w:val="24"/>
          <w:szCs w:val="24"/>
        </w:rPr>
      </w:pPr>
      <w:r w:rsidRPr="00E5681D">
        <w:rPr>
          <w:rFonts w:ascii="Times New Roman" w:hAnsi="Times New Roman" w:cs="Times New Roman"/>
          <w:sz w:val="24"/>
          <w:szCs w:val="24"/>
        </w:rPr>
        <w:t>In Greece,</w:t>
      </w:r>
      <w:r w:rsidR="0015474F" w:rsidRPr="00E5681D">
        <w:rPr>
          <w:rFonts w:ascii="Times New Roman" w:hAnsi="Times New Roman" w:cs="Times New Roman"/>
          <w:sz w:val="24"/>
          <w:szCs w:val="24"/>
        </w:rPr>
        <w:t xml:space="preserve"> </w:t>
      </w:r>
      <w:r w:rsidR="00012EE6" w:rsidRPr="00E5681D">
        <w:rPr>
          <w:rFonts w:ascii="Times New Roman" w:hAnsi="Times New Roman" w:cs="Times New Roman"/>
          <w:sz w:val="24"/>
          <w:szCs w:val="24"/>
        </w:rPr>
        <w:t>unaccompanied children have been</w:t>
      </w:r>
      <w:r w:rsidR="00BC619F" w:rsidRPr="00E5681D">
        <w:rPr>
          <w:rFonts w:ascii="Times New Roman" w:hAnsi="Times New Roman" w:cs="Times New Roman"/>
          <w:sz w:val="24"/>
          <w:szCs w:val="24"/>
        </w:rPr>
        <w:t xml:space="preserve"> routinely</w:t>
      </w:r>
      <w:r w:rsidR="00012EE6" w:rsidRPr="00E5681D">
        <w:rPr>
          <w:rFonts w:ascii="Times New Roman" w:hAnsi="Times New Roman" w:cs="Times New Roman"/>
          <w:sz w:val="24"/>
          <w:szCs w:val="24"/>
        </w:rPr>
        <w:t xml:space="preserve"> detained for prolonged periods</w:t>
      </w:r>
      <w:r w:rsidR="00055537" w:rsidRPr="00E5681D">
        <w:rPr>
          <w:rFonts w:ascii="Times New Roman" w:hAnsi="Times New Roman" w:cs="Times New Roman"/>
          <w:sz w:val="24"/>
          <w:szCs w:val="24"/>
        </w:rPr>
        <w:t>,</w:t>
      </w:r>
      <w:r w:rsidR="00BC619F" w:rsidRPr="00E5681D">
        <w:rPr>
          <w:rFonts w:ascii="Times New Roman" w:hAnsi="Times New Roman" w:cs="Times New Roman"/>
          <w:sz w:val="24"/>
          <w:szCs w:val="24"/>
        </w:rPr>
        <w:t xml:space="preserve"> sometimes </w:t>
      </w:r>
      <w:r w:rsidR="0015474F" w:rsidRPr="00E5681D">
        <w:rPr>
          <w:rFonts w:ascii="Times New Roman" w:hAnsi="Times New Roman" w:cs="Times New Roman"/>
          <w:sz w:val="24"/>
          <w:szCs w:val="24"/>
        </w:rPr>
        <w:t xml:space="preserve">in facilities that </w:t>
      </w:r>
      <w:r w:rsidR="00BC619F" w:rsidRPr="00E5681D">
        <w:rPr>
          <w:rFonts w:ascii="Times New Roman" w:hAnsi="Times New Roman" w:cs="Times New Roman"/>
          <w:sz w:val="24"/>
          <w:szCs w:val="24"/>
        </w:rPr>
        <w:t>hold boys and girls together</w:t>
      </w:r>
      <w:r w:rsidR="0015474F" w:rsidRPr="00E5681D">
        <w:rPr>
          <w:rFonts w:ascii="Times New Roman" w:hAnsi="Times New Roman" w:cs="Times New Roman"/>
          <w:sz w:val="24"/>
          <w:szCs w:val="24"/>
        </w:rPr>
        <w:t>. In particular, Greek law allows police to hold unaccompanied children in “protective custody” while awaiting transfer to a shelter for 25 days, and under very limited circumstances for up to 45 days, but in practice children are held for longer than these already lengthy periods, some for up to two months.</w:t>
      </w:r>
      <w:r w:rsidR="0015474F" w:rsidRPr="00E5681D">
        <w:rPr>
          <w:rStyle w:val="FootnoteReference"/>
          <w:rFonts w:ascii="Times New Roman" w:hAnsi="Times New Roman" w:cs="Times New Roman"/>
          <w:sz w:val="24"/>
          <w:szCs w:val="24"/>
        </w:rPr>
        <w:footnoteReference w:id="8"/>
      </w:r>
      <w:r w:rsidR="0015474F" w:rsidRPr="00E5681D">
        <w:rPr>
          <w:rFonts w:ascii="Times New Roman" w:hAnsi="Times New Roman" w:cs="Times New Roman"/>
          <w:sz w:val="24"/>
          <w:szCs w:val="24"/>
        </w:rPr>
        <w:t xml:space="preserve"> </w:t>
      </w:r>
    </w:p>
    <w:p w14:paraId="056DC5BB" w14:textId="34922C23" w:rsidR="00D048B9" w:rsidRPr="00E5681D" w:rsidRDefault="0015474F" w:rsidP="00012EE6">
      <w:pPr>
        <w:rPr>
          <w:rFonts w:ascii="Times New Roman" w:hAnsi="Times New Roman" w:cs="Times New Roman"/>
          <w:sz w:val="24"/>
          <w:szCs w:val="24"/>
        </w:rPr>
      </w:pPr>
      <w:r w:rsidRPr="00E5681D">
        <w:rPr>
          <w:rFonts w:ascii="Times New Roman" w:hAnsi="Times New Roman" w:cs="Times New Roman"/>
          <w:sz w:val="24"/>
          <w:szCs w:val="24"/>
        </w:rPr>
        <w:t>In 2019, the European Court of Human Rights ruled twice against Greece’s abusive practice of detaining unaccompanied migrant and asylum-seeking children in police cells under its “protective custody” regime, and the European Committee on Social Rights also ordered the immediate release of unaccompanied children from “protective custody.”</w:t>
      </w:r>
      <w:r w:rsidR="00055537" w:rsidRPr="00E5681D">
        <w:rPr>
          <w:rStyle w:val="FootnoteReference"/>
          <w:rFonts w:ascii="Times New Roman" w:hAnsi="Times New Roman" w:cs="Times New Roman"/>
          <w:sz w:val="24"/>
          <w:szCs w:val="24"/>
        </w:rPr>
        <w:footnoteReference w:id="9"/>
      </w:r>
      <w:bookmarkStart w:id="2" w:name="_Hlk37853613"/>
      <w:r w:rsidRPr="00E5681D">
        <w:rPr>
          <w:rFonts w:ascii="Times New Roman" w:hAnsi="Times New Roman" w:cs="Times New Roman"/>
          <w:sz w:val="24"/>
          <w:szCs w:val="24"/>
        </w:rPr>
        <w:t xml:space="preserve"> In at least three other cases, in 2019, the European Court of Human Rights issued interim measures against Greece </w:t>
      </w:r>
      <w:r w:rsidRPr="00E5681D">
        <w:rPr>
          <w:rFonts w:ascii="Times New Roman" w:hAnsi="Times New Roman" w:cs="Times New Roman"/>
          <w:sz w:val="24"/>
          <w:szCs w:val="24"/>
        </w:rPr>
        <w:lastRenderedPageBreak/>
        <w:t>ordering authorities to immediately transfer unaccompanied children out of detention and to suitable accommodations.</w:t>
      </w:r>
      <w:r w:rsidRPr="00E5681D">
        <w:rPr>
          <w:rStyle w:val="FootnoteReference"/>
          <w:rFonts w:ascii="Times New Roman" w:hAnsi="Times New Roman" w:cs="Times New Roman"/>
          <w:sz w:val="24"/>
          <w:szCs w:val="24"/>
        </w:rPr>
        <w:footnoteReference w:id="10"/>
      </w:r>
      <w:r w:rsidR="005009D7" w:rsidRPr="00E5681D">
        <w:rPr>
          <w:rFonts w:ascii="Times New Roman" w:hAnsi="Times New Roman" w:cs="Times New Roman"/>
          <w:sz w:val="24"/>
          <w:szCs w:val="24"/>
        </w:rPr>
        <w:t xml:space="preserve"> </w:t>
      </w:r>
      <w:bookmarkEnd w:id="2"/>
      <w:r w:rsidRPr="00E5681D">
        <w:rPr>
          <w:rFonts w:ascii="Times New Roman" w:hAnsi="Times New Roman" w:cs="Times New Roman"/>
          <w:sz w:val="24"/>
          <w:szCs w:val="24"/>
        </w:rPr>
        <w:t>Nonetheless, as of March 31, 2020, police stations throughout Greece held 331 unaccompanied migrant children in “protective custody.”</w:t>
      </w:r>
      <w:r w:rsidRPr="00E5681D">
        <w:rPr>
          <w:rStyle w:val="FootnoteReference"/>
          <w:rFonts w:ascii="Times New Roman" w:hAnsi="Times New Roman" w:cs="Times New Roman"/>
          <w:sz w:val="24"/>
          <w:szCs w:val="24"/>
        </w:rPr>
        <w:footnoteReference w:id="11"/>
      </w:r>
    </w:p>
    <w:p w14:paraId="0A3E1F0B" w14:textId="77777777" w:rsidR="0015474F" w:rsidRPr="00E5681D" w:rsidRDefault="00BB00C2" w:rsidP="00BB00C2">
      <w:pPr>
        <w:rPr>
          <w:rFonts w:ascii="Times New Roman" w:hAnsi="Times New Roman" w:cs="Times New Roman"/>
          <w:sz w:val="24"/>
          <w:szCs w:val="24"/>
        </w:rPr>
      </w:pPr>
      <w:r w:rsidRPr="00E5681D">
        <w:rPr>
          <w:rFonts w:ascii="Times New Roman" w:hAnsi="Times New Roman" w:cs="Times New Roman"/>
          <w:sz w:val="24"/>
          <w:szCs w:val="24"/>
        </w:rPr>
        <w:t xml:space="preserve">As in Greece, </w:t>
      </w:r>
      <w:r w:rsidR="002E2D4F" w:rsidRPr="00E5681D">
        <w:rPr>
          <w:rFonts w:ascii="Times New Roman" w:hAnsi="Times New Roman" w:cs="Times New Roman"/>
          <w:sz w:val="24"/>
          <w:szCs w:val="24"/>
        </w:rPr>
        <w:t xml:space="preserve">states </w:t>
      </w:r>
      <w:r w:rsidR="00637CAB" w:rsidRPr="00E5681D">
        <w:rPr>
          <w:rFonts w:ascii="Times New Roman" w:hAnsi="Times New Roman" w:cs="Times New Roman"/>
          <w:sz w:val="24"/>
          <w:szCs w:val="24"/>
        </w:rPr>
        <w:t xml:space="preserve">often employ </w:t>
      </w:r>
      <w:r w:rsidR="004A3373" w:rsidRPr="00E5681D">
        <w:rPr>
          <w:rFonts w:ascii="Times New Roman" w:hAnsi="Times New Roman" w:cs="Times New Roman"/>
          <w:sz w:val="24"/>
          <w:szCs w:val="24"/>
        </w:rPr>
        <w:t>Orwellian euphemisms to feign compliance with international standards</w:t>
      </w:r>
      <w:r w:rsidR="00637CAB" w:rsidRPr="00E5681D">
        <w:rPr>
          <w:rFonts w:ascii="Times New Roman" w:hAnsi="Times New Roman" w:cs="Times New Roman"/>
          <w:sz w:val="24"/>
          <w:szCs w:val="24"/>
        </w:rPr>
        <w:t>.</w:t>
      </w:r>
      <w:r w:rsidR="00637CAB" w:rsidRPr="00E5681D">
        <w:rPr>
          <w:rStyle w:val="FootnoteReference"/>
          <w:rFonts w:ascii="Times New Roman" w:hAnsi="Times New Roman" w:cs="Times New Roman"/>
          <w:sz w:val="24"/>
          <w:szCs w:val="24"/>
        </w:rPr>
        <w:footnoteReference w:id="12"/>
      </w:r>
    </w:p>
    <w:p w14:paraId="7F5B5FCF" w14:textId="77777777" w:rsidR="0015474F" w:rsidRPr="00E5681D" w:rsidRDefault="00637CAB" w:rsidP="00BB00C2">
      <w:pPr>
        <w:rPr>
          <w:rFonts w:ascii="Times New Roman" w:hAnsi="Times New Roman" w:cs="Times New Roman"/>
          <w:sz w:val="24"/>
          <w:szCs w:val="24"/>
        </w:rPr>
      </w:pPr>
      <w:r w:rsidRPr="00E5681D">
        <w:rPr>
          <w:rFonts w:ascii="Times New Roman" w:hAnsi="Times New Roman" w:cs="Times New Roman"/>
          <w:sz w:val="24"/>
          <w:szCs w:val="24"/>
        </w:rPr>
        <w:t xml:space="preserve">In Mexico, where 10,000 </w:t>
      </w:r>
      <w:r w:rsidR="00BC619F" w:rsidRPr="00E5681D">
        <w:rPr>
          <w:rFonts w:ascii="Times New Roman" w:hAnsi="Times New Roman" w:cs="Times New Roman"/>
          <w:sz w:val="24"/>
          <w:szCs w:val="24"/>
        </w:rPr>
        <w:t>to</w:t>
      </w:r>
      <w:r w:rsidRPr="00E5681D">
        <w:rPr>
          <w:rFonts w:ascii="Times New Roman" w:hAnsi="Times New Roman" w:cs="Times New Roman"/>
          <w:sz w:val="24"/>
          <w:szCs w:val="24"/>
        </w:rPr>
        <w:t xml:space="preserve"> </w:t>
      </w:r>
      <w:r w:rsidR="006656B3" w:rsidRPr="00E5681D">
        <w:rPr>
          <w:rFonts w:ascii="Times New Roman" w:hAnsi="Times New Roman" w:cs="Times New Roman"/>
          <w:sz w:val="24"/>
          <w:szCs w:val="24"/>
        </w:rPr>
        <w:t>4</w:t>
      </w:r>
      <w:r w:rsidRPr="00E5681D">
        <w:rPr>
          <w:rFonts w:ascii="Times New Roman" w:hAnsi="Times New Roman" w:cs="Times New Roman"/>
          <w:sz w:val="24"/>
          <w:szCs w:val="24"/>
        </w:rPr>
        <w:t>0,000 children have been held in immigration detention in each of the last five years,</w:t>
      </w:r>
      <w:r w:rsidR="00BB00C2" w:rsidRPr="00E5681D">
        <w:rPr>
          <w:rStyle w:val="FootnoteReference"/>
          <w:rFonts w:ascii="Times New Roman" w:hAnsi="Times New Roman" w:cs="Times New Roman"/>
          <w:sz w:val="24"/>
          <w:szCs w:val="24"/>
        </w:rPr>
        <w:footnoteReference w:id="13"/>
      </w:r>
      <w:r w:rsidRPr="00E5681D">
        <w:rPr>
          <w:rFonts w:ascii="Times New Roman" w:hAnsi="Times New Roman" w:cs="Times New Roman"/>
          <w:sz w:val="24"/>
          <w:szCs w:val="24"/>
        </w:rPr>
        <w:t xml:space="preserve"> immigration officials have </w:t>
      </w:r>
      <w:r w:rsidR="008B3FD6" w:rsidRPr="00E5681D">
        <w:rPr>
          <w:rFonts w:ascii="Times New Roman" w:hAnsi="Times New Roman" w:cs="Times New Roman"/>
          <w:sz w:val="24"/>
          <w:szCs w:val="24"/>
        </w:rPr>
        <w:t xml:space="preserve">sometimes </w:t>
      </w:r>
      <w:r w:rsidRPr="00E5681D">
        <w:rPr>
          <w:rFonts w:ascii="Times New Roman" w:hAnsi="Times New Roman" w:cs="Times New Roman"/>
          <w:sz w:val="24"/>
          <w:szCs w:val="24"/>
        </w:rPr>
        <w:t>claimed that no children are apprehended and detained because</w:t>
      </w:r>
      <w:r w:rsidR="00137B29" w:rsidRPr="00E5681D">
        <w:rPr>
          <w:rFonts w:ascii="Times New Roman" w:hAnsi="Times New Roman" w:cs="Times New Roman"/>
          <w:sz w:val="24"/>
          <w:szCs w:val="24"/>
        </w:rPr>
        <w:t xml:space="preserve"> </w:t>
      </w:r>
      <w:r w:rsidR="00BC619F" w:rsidRPr="00E5681D">
        <w:rPr>
          <w:rFonts w:ascii="Times New Roman" w:hAnsi="Times New Roman" w:cs="Times New Roman"/>
          <w:sz w:val="24"/>
          <w:szCs w:val="24"/>
        </w:rPr>
        <w:t xml:space="preserve">Mexican law describes these actions as </w:t>
      </w:r>
      <w:r w:rsidR="00137B29" w:rsidRPr="00E5681D">
        <w:rPr>
          <w:rFonts w:ascii="Times New Roman" w:hAnsi="Times New Roman" w:cs="Times New Roman"/>
          <w:sz w:val="24"/>
          <w:szCs w:val="24"/>
        </w:rPr>
        <w:t>children’s “rescue” and “lodging</w:t>
      </w:r>
      <w:r w:rsidR="0013233F" w:rsidRPr="00E5681D">
        <w:rPr>
          <w:rFonts w:ascii="Times New Roman" w:hAnsi="Times New Roman" w:cs="Times New Roman"/>
          <w:sz w:val="24"/>
          <w:szCs w:val="24"/>
        </w:rPr>
        <w:t>.</w:t>
      </w:r>
      <w:r w:rsidR="00137B29" w:rsidRPr="00E5681D">
        <w:rPr>
          <w:rFonts w:ascii="Times New Roman" w:hAnsi="Times New Roman" w:cs="Times New Roman"/>
          <w:sz w:val="24"/>
          <w:szCs w:val="24"/>
        </w:rPr>
        <w:t>”</w:t>
      </w:r>
      <w:r w:rsidR="00137B29" w:rsidRPr="00E5681D">
        <w:rPr>
          <w:rStyle w:val="FootnoteReference"/>
          <w:rFonts w:ascii="Times New Roman" w:hAnsi="Times New Roman" w:cs="Times New Roman"/>
          <w:sz w:val="24"/>
          <w:szCs w:val="24"/>
        </w:rPr>
        <w:footnoteReference w:id="14"/>
      </w:r>
    </w:p>
    <w:p w14:paraId="28899CA4" w14:textId="2FA701A9" w:rsidR="00057173" w:rsidRDefault="00BB00C2" w:rsidP="00BB00C2">
      <w:pPr>
        <w:rPr>
          <w:rFonts w:ascii="Times New Roman" w:hAnsi="Times New Roman" w:cs="Times New Roman"/>
          <w:sz w:val="24"/>
          <w:szCs w:val="24"/>
        </w:rPr>
      </w:pPr>
      <w:r w:rsidRPr="00E5681D">
        <w:rPr>
          <w:rFonts w:ascii="Times New Roman" w:hAnsi="Times New Roman" w:cs="Times New Roman"/>
          <w:sz w:val="24"/>
          <w:szCs w:val="24"/>
        </w:rPr>
        <w:t xml:space="preserve">In Canada, authorities distinguish between children who are </w:t>
      </w:r>
      <w:r w:rsidR="00683B57" w:rsidRPr="00E5681D">
        <w:rPr>
          <w:rFonts w:ascii="Times New Roman" w:hAnsi="Times New Roman" w:cs="Times New Roman"/>
          <w:sz w:val="24"/>
          <w:szCs w:val="24"/>
        </w:rPr>
        <w:t>subject to</w:t>
      </w:r>
      <w:r w:rsidRPr="00E5681D">
        <w:rPr>
          <w:rFonts w:ascii="Times New Roman" w:hAnsi="Times New Roman" w:cs="Times New Roman"/>
          <w:sz w:val="24"/>
          <w:szCs w:val="24"/>
        </w:rPr>
        <w:t xml:space="preserve"> formal detention orders and those who are “housed” </w:t>
      </w:r>
      <w:r w:rsidR="00683B57" w:rsidRPr="00E5681D">
        <w:rPr>
          <w:rFonts w:ascii="Times New Roman" w:hAnsi="Times New Roman" w:cs="Times New Roman"/>
          <w:sz w:val="24"/>
          <w:szCs w:val="24"/>
        </w:rPr>
        <w:t>with d</w:t>
      </w:r>
      <w:r w:rsidRPr="00E5681D">
        <w:rPr>
          <w:rFonts w:ascii="Times New Roman" w:hAnsi="Times New Roman" w:cs="Times New Roman"/>
          <w:sz w:val="24"/>
          <w:szCs w:val="24"/>
        </w:rPr>
        <w:t>etained parents.</w:t>
      </w:r>
      <w:r w:rsidR="0015474F" w:rsidRPr="00E5681D">
        <w:rPr>
          <w:rFonts w:ascii="Times New Roman" w:hAnsi="Times New Roman" w:cs="Times New Roman"/>
          <w:sz w:val="24"/>
          <w:szCs w:val="24"/>
        </w:rPr>
        <w:t xml:space="preserve"> </w:t>
      </w:r>
      <w:proofErr w:type="gramStart"/>
      <w:r w:rsidR="0015474F" w:rsidRPr="00E5681D">
        <w:rPr>
          <w:rFonts w:ascii="Times New Roman" w:hAnsi="Times New Roman" w:cs="Times New Roman"/>
          <w:sz w:val="24"/>
          <w:szCs w:val="24"/>
        </w:rPr>
        <w:t>In reality, children</w:t>
      </w:r>
      <w:proofErr w:type="gramEnd"/>
      <w:r w:rsidR="0015474F" w:rsidRPr="00E5681D">
        <w:rPr>
          <w:rFonts w:ascii="Times New Roman" w:hAnsi="Times New Roman" w:cs="Times New Roman"/>
          <w:sz w:val="24"/>
          <w:szCs w:val="24"/>
        </w:rPr>
        <w:t xml:space="preserve"> who are “housed” in detention facilities, a category that includes Canadian citizen children, are subject to the same detention conditions as children who are under formal detention orders. But because Canada’s immigration authorities do not regard them as legally detained, the tribunal that conducts detention review hearings does not consider their situations.</w:t>
      </w:r>
      <w:r w:rsidRPr="00E5681D">
        <w:rPr>
          <w:rStyle w:val="FootnoteReference"/>
          <w:rFonts w:ascii="Times New Roman" w:hAnsi="Times New Roman" w:cs="Times New Roman"/>
          <w:sz w:val="24"/>
          <w:szCs w:val="24"/>
        </w:rPr>
        <w:footnoteReference w:id="15"/>
      </w:r>
      <w:r w:rsidR="0015474F" w:rsidRPr="00E5681D">
        <w:rPr>
          <w:rFonts w:ascii="Times New Roman" w:hAnsi="Times New Roman" w:cs="Times New Roman"/>
          <w:sz w:val="24"/>
          <w:szCs w:val="24"/>
        </w:rPr>
        <w:t xml:space="preserve"> In 2018-2019, the category of children “housed” in detention but not technically subject to detention orders constituted approximately 87 percent of all children who spent time in immigration detention. “Housed” children spent an average of 19.1 days in detention—nearly five times as long as children subject to formal detention orders.</w:t>
      </w:r>
      <w:r w:rsidR="0015474F" w:rsidRPr="00E5681D">
        <w:rPr>
          <w:rStyle w:val="FootnoteReference"/>
          <w:rFonts w:ascii="Times New Roman" w:hAnsi="Times New Roman" w:cs="Times New Roman"/>
          <w:sz w:val="24"/>
          <w:szCs w:val="24"/>
        </w:rPr>
        <w:footnoteReference w:id="16"/>
      </w:r>
    </w:p>
    <w:p w14:paraId="34F7710F" w14:textId="77777777" w:rsidR="00057173" w:rsidRPr="00E5681D" w:rsidRDefault="00057173" w:rsidP="00BB00C2">
      <w:pPr>
        <w:rPr>
          <w:rFonts w:ascii="Times New Roman" w:hAnsi="Times New Roman" w:cs="Times New Roman"/>
          <w:sz w:val="24"/>
          <w:szCs w:val="24"/>
        </w:rPr>
      </w:pPr>
    </w:p>
    <w:p w14:paraId="69124CDA" w14:textId="1B7114CD" w:rsidR="00A34E23" w:rsidRPr="00E5681D" w:rsidRDefault="00CA374C">
      <w:pPr>
        <w:rPr>
          <w:rFonts w:ascii="Times New Roman" w:hAnsi="Times New Roman" w:cs="Times New Roman"/>
          <w:sz w:val="24"/>
          <w:szCs w:val="24"/>
        </w:rPr>
      </w:pPr>
      <w:r w:rsidRPr="00E5681D">
        <w:rPr>
          <w:rFonts w:ascii="Times New Roman" w:hAnsi="Times New Roman" w:cs="Times New Roman"/>
          <w:b/>
          <w:bCs/>
          <w:sz w:val="24"/>
          <w:szCs w:val="24"/>
        </w:rPr>
        <w:t xml:space="preserve">Non-custodial </w:t>
      </w:r>
      <w:r w:rsidR="00B00A4E" w:rsidRPr="00E5681D">
        <w:rPr>
          <w:rFonts w:ascii="Times New Roman" w:hAnsi="Times New Roman" w:cs="Times New Roman"/>
          <w:b/>
          <w:bCs/>
          <w:sz w:val="24"/>
          <w:szCs w:val="24"/>
        </w:rPr>
        <w:t>measures and better practices</w:t>
      </w:r>
    </w:p>
    <w:p w14:paraId="36DB756A" w14:textId="1655CD56" w:rsidR="00FF428F" w:rsidRPr="00E5681D" w:rsidRDefault="00424DE6">
      <w:pPr>
        <w:rPr>
          <w:rFonts w:ascii="Times New Roman" w:eastAsia="MetaPro-Norm" w:hAnsi="Times New Roman" w:cs="Times New Roman"/>
          <w:color w:val="000000"/>
          <w:sz w:val="24"/>
          <w:szCs w:val="24"/>
        </w:rPr>
      </w:pPr>
      <w:r w:rsidRPr="00E5681D">
        <w:rPr>
          <w:rFonts w:ascii="Times New Roman" w:eastAsia="MetaPro-Norm" w:hAnsi="Times New Roman" w:cs="Times New Roman"/>
          <w:color w:val="000000"/>
          <w:sz w:val="24"/>
          <w:szCs w:val="24"/>
        </w:rPr>
        <w:t xml:space="preserve">While migration to Europe, North America, and Australia from the Global South generates considerable attention, much of the world’s migration is </w:t>
      </w:r>
      <w:r w:rsidR="004E0EFD" w:rsidRPr="00E5681D">
        <w:rPr>
          <w:rFonts w:ascii="Times New Roman" w:eastAsia="MetaPro-Norm" w:hAnsi="Times New Roman" w:cs="Times New Roman"/>
          <w:color w:val="000000"/>
          <w:sz w:val="24"/>
          <w:szCs w:val="24"/>
        </w:rPr>
        <w:t>within t</w:t>
      </w:r>
      <w:r w:rsidRPr="00E5681D">
        <w:rPr>
          <w:rFonts w:ascii="Times New Roman" w:eastAsia="MetaPro-Norm" w:hAnsi="Times New Roman" w:cs="Times New Roman"/>
          <w:color w:val="000000"/>
          <w:sz w:val="24"/>
          <w:szCs w:val="24"/>
        </w:rPr>
        <w:t>he Global South.</w:t>
      </w:r>
    </w:p>
    <w:p w14:paraId="76CEB248" w14:textId="19472A90" w:rsidR="00A845D2" w:rsidRPr="00E5681D" w:rsidRDefault="00BC619F" w:rsidP="00A845D2">
      <w:pPr>
        <w:rPr>
          <w:rFonts w:ascii="Times New Roman" w:eastAsia="MetaPro-Norm" w:hAnsi="Times New Roman" w:cs="Times New Roman"/>
          <w:color w:val="000000"/>
          <w:sz w:val="24"/>
          <w:szCs w:val="24"/>
        </w:rPr>
      </w:pPr>
      <w:bookmarkStart w:id="3" w:name="_Hlk37861005"/>
      <w:r w:rsidRPr="00E5681D">
        <w:rPr>
          <w:rFonts w:ascii="Times New Roman" w:eastAsia="MetaPro-Norm" w:hAnsi="Times New Roman" w:cs="Times New Roman"/>
          <w:color w:val="000000"/>
          <w:sz w:val="24"/>
          <w:szCs w:val="24"/>
        </w:rPr>
        <w:lastRenderedPageBreak/>
        <w:t>M</w:t>
      </w:r>
      <w:r w:rsidR="00424DE6" w:rsidRPr="00E5681D">
        <w:rPr>
          <w:rFonts w:ascii="Times New Roman" w:eastAsia="MetaPro-Norm" w:hAnsi="Times New Roman" w:cs="Times New Roman"/>
          <w:color w:val="000000"/>
          <w:sz w:val="24"/>
          <w:szCs w:val="24"/>
        </w:rPr>
        <w:t>any countries in the Global South that receive large numbers of migrants do not hold children in immigration detention.</w:t>
      </w:r>
      <w:r w:rsidR="00BB00C2" w:rsidRPr="00E5681D">
        <w:rPr>
          <w:rStyle w:val="FootnoteReference"/>
          <w:rFonts w:ascii="Times New Roman" w:eastAsia="MetaPro-Norm" w:hAnsi="Times New Roman" w:cs="Times New Roman"/>
          <w:color w:val="000000"/>
          <w:sz w:val="24"/>
          <w:szCs w:val="24"/>
        </w:rPr>
        <w:footnoteReference w:id="17"/>
      </w:r>
      <w:r w:rsidR="00424DE6" w:rsidRPr="00E5681D">
        <w:rPr>
          <w:rFonts w:ascii="Times New Roman" w:eastAsia="MetaPro-Norm" w:hAnsi="Times New Roman" w:cs="Times New Roman"/>
          <w:color w:val="000000"/>
          <w:sz w:val="24"/>
          <w:szCs w:val="24"/>
        </w:rPr>
        <w:t xml:space="preserve"> Some of those that do </w:t>
      </w:r>
      <w:r w:rsidR="007E3147" w:rsidRPr="00E5681D">
        <w:rPr>
          <w:rFonts w:ascii="Times New Roman" w:eastAsia="MetaPro-Norm" w:hAnsi="Times New Roman" w:cs="Times New Roman"/>
          <w:color w:val="000000"/>
          <w:sz w:val="24"/>
          <w:szCs w:val="24"/>
        </w:rPr>
        <w:t xml:space="preserve">detain children </w:t>
      </w:r>
      <w:r w:rsidR="00424DE6" w:rsidRPr="00E5681D">
        <w:rPr>
          <w:rFonts w:ascii="Times New Roman" w:eastAsia="MetaPro-Norm" w:hAnsi="Times New Roman" w:cs="Times New Roman"/>
          <w:color w:val="000000"/>
          <w:sz w:val="24"/>
          <w:szCs w:val="24"/>
        </w:rPr>
        <w:t xml:space="preserve">have </w:t>
      </w:r>
      <w:r w:rsidR="007E3147" w:rsidRPr="00E5681D">
        <w:rPr>
          <w:rFonts w:ascii="Times New Roman" w:eastAsia="MetaPro-Norm" w:hAnsi="Times New Roman" w:cs="Times New Roman"/>
          <w:color w:val="000000"/>
          <w:sz w:val="24"/>
          <w:szCs w:val="24"/>
        </w:rPr>
        <w:t xml:space="preserve">also </w:t>
      </w:r>
      <w:r w:rsidR="00424DE6" w:rsidRPr="00E5681D">
        <w:rPr>
          <w:rFonts w:ascii="Times New Roman" w:eastAsia="MetaPro-Norm" w:hAnsi="Times New Roman" w:cs="Times New Roman"/>
          <w:color w:val="000000"/>
          <w:sz w:val="24"/>
          <w:szCs w:val="24"/>
        </w:rPr>
        <w:t>introduced non-custodial measures</w:t>
      </w:r>
      <w:r w:rsidRPr="00E5681D">
        <w:rPr>
          <w:rFonts w:ascii="Times New Roman" w:eastAsia="MetaPro-Norm" w:hAnsi="Times New Roman" w:cs="Times New Roman"/>
          <w:color w:val="000000"/>
          <w:sz w:val="24"/>
          <w:szCs w:val="24"/>
        </w:rPr>
        <w:t>.</w:t>
      </w:r>
      <w:r w:rsidR="007E3147" w:rsidRPr="00E5681D">
        <w:rPr>
          <w:rFonts w:ascii="Times New Roman" w:eastAsia="MetaPro-Norm" w:hAnsi="Times New Roman" w:cs="Times New Roman"/>
          <w:color w:val="000000"/>
          <w:sz w:val="24"/>
          <w:szCs w:val="24"/>
        </w:rPr>
        <w:t xml:space="preserve"> For instance, </w:t>
      </w:r>
      <w:r w:rsidR="00642549" w:rsidRPr="00E5681D">
        <w:rPr>
          <w:rFonts w:ascii="Times New Roman" w:eastAsia="MetaPro-Norm" w:hAnsi="Times New Roman" w:cs="Times New Roman"/>
          <w:color w:val="000000"/>
          <w:sz w:val="24"/>
          <w:szCs w:val="24"/>
        </w:rPr>
        <w:t>the United Nations High Commissioner for Refugees (</w:t>
      </w:r>
      <w:r w:rsidR="007E3147" w:rsidRPr="00E5681D">
        <w:rPr>
          <w:rFonts w:ascii="Times New Roman" w:eastAsia="MetaPro-Norm" w:hAnsi="Times New Roman" w:cs="Times New Roman"/>
          <w:color w:val="000000"/>
          <w:sz w:val="24"/>
          <w:szCs w:val="24"/>
        </w:rPr>
        <w:t>UNHCR</w:t>
      </w:r>
      <w:r w:rsidR="00642549" w:rsidRPr="00E5681D">
        <w:rPr>
          <w:rFonts w:ascii="Times New Roman" w:eastAsia="MetaPro-Norm" w:hAnsi="Times New Roman" w:cs="Times New Roman"/>
          <w:color w:val="000000"/>
          <w:sz w:val="24"/>
          <w:szCs w:val="24"/>
        </w:rPr>
        <w:t>)</w:t>
      </w:r>
      <w:r w:rsidR="007E3147" w:rsidRPr="00E5681D">
        <w:rPr>
          <w:rFonts w:ascii="Times New Roman" w:eastAsia="MetaPro-Norm" w:hAnsi="Times New Roman" w:cs="Times New Roman"/>
          <w:color w:val="000000"/>
          <w:sz w:val="24"/>
          <w:szCs w:val="24"/>
        </w:rPr>
        <w:t xml:space="preserve"> has reported that in Indonesia “women and children and other vulnerable asylum-seekers whose status is confirmed by UNHCR are released to community accommodation </w:t>
      </w:r>
      <w:proofErr w:type="spellStart"/>
      <w:r w:rsidR="007E3147" w:rsidRPr="00E5681D">
        <w:rPr>
          <w:rFonts w:ascii="Times New Roman" w:eastAsia="MetaPro-Norm" w:hAnsi="Times New Roman" w:cs="Times New Roman"/>
          <w:color w:val="000000"/>
          <w:sz w:val="24"/>
          <w:szCs w:val="24"/>
        </w:rPr>
        <w:t>centres</w:t>
      </w:r>
      <w:proofErr w:type="spellEnd"/>
      <w:r w:rsidR="007E3147" w:rsidRPr="00E5681D">
        <w:rPr>
          <w:rFonts w:ascii="Times New Roman" w:eastAsia="MetaPro-Norm" w:hAnsi="Times New Roman" w:cs="Times New Roman"/>
          <w:color w:val="000000"/>
          <w:sz w:val="24"/>
          <w:szCs w:val="24"/>
        </w:rPr>
        <w:t xml:space="preserve"> operated by IOM, or to shelters for unaccompanied minors operated by UNHCR through its partner, CWS</w:t>
      </w:r>
      <w:r w:rsidR="00642549" w:rsidRPr="00E5681D">
        <w:rPr>
          <w:rFonts w:ascii="Times New Roman" w:eastAsia="MetaPro-Norm" w:hAnsi="Times New Roman" w:cs="Times New Roman"/>
          <w:color w:val="000000"/>
          <w:sz w:val="24"/>
          <w:szCs w:val="24"/>
        </w:rPr>
        <w:t xml:space="preserve"> [Church World Service]</w:t>
      </w:r>
      <w:r w:rsidR="007E3147" w:rsidRPr="00E5681D">
        <w:rPr>
          <w:rFonts w:ascii="Times New Roman" w:eastAsia="MetaPro-Norm" w:hAnsi="Times New Roman" w:cs="Times New Roman"/>
          <w:color w:val="000000"/>
          <w:sz w:val="24"/>
          <w:szCs w:val="24"/>
        </w:rPr>
        <w:t>.”</w:t>
      </w:r>
      <w:r w:rsidR="00A845D2" w:rsidRPr="00E5681D">
        <w:rPr>
          <w:rStyle w:val="FootnoteReference"/>
          <w:rFonts w:ascii="Times New Roman" w:eastAsia="MetaPro-Norm" w:hAnsi="Times New Roman" w:cs="Times New Roman"/>
          <w:color w:val="000000"/>
          <w:sz w:val="24"/>
          <w:szCs w:val="24"/>
        </w:rPr>
        <w:footnoteReference w:id="18"/>
      </w:r>
      <w:r w:rsidR="00A845D2" w:rsidRPr="00E5681D">
        <w:rPr>
          <w:rFonts w:ascii="Times New Roman" w:eastAsia="MetaPro-Norm" w:hAnsi="Times New Roman" w:cs="Times New Roman"/>
          <w:color w:val="000000"/>
          <w:sz w:val="24"/>
          <w:szCs w:val="24"/>
        </w:rPr>
        <w:t xml:space="preserve"> </w:t>
      </w:r>
    </w:p>
    <w:bookmarkEnd w:id="3"/>
    <w:p w14:paraId="0AED6A34" w14:textId="432C91D6" w:rsidR="00E43AAF" w:rsidRPr="00E5681D" w:rsidRDefault="0094351A">
      <w:pPr>
        <w:rPr>
          <w:rFonts w:ascii="Times New Roman" w:eastAsia="MetaPro-Norm" w:hAnsi="Times New Roman" w:cs="Times New Roman"/>
          <w:color w:val="000000"/>
          <w:sz w:val="24"/>
          <w:szCs w:val="24"/>
        </w:rPr>
      </w:pPr>
      <w:r w:rsidRPr="00E5681D">
        <w:rPr>
          <w:rFonts w:ascii="Times New Roman" w:eastAsia="MetaPro-Norm" w:hAnsi="Times New Roman" w:cs="Times New Roman"/>
          <w:color w:val="000000"/>
          <w:sz w:val="24"/>
          <w:szCs w:val="24"/>
        </w:rPr>
        <w:t>In 2018, Canadian authorities implemented community case management</w:t>
      </w:r>
      <w:r w:rsidR="00561E88" w:rsidRPr="00E5681D">
        <w:rPr>
          <w:rFonts w:ascii="Times New Roman" w:eastAsia="MetaPro-Norm" w:hAnsi="Times New Roman" w:cs="Times New Roman"/>
          <w:color w:val="000000"/>
          <w:sz w:val="24"/>
          <w:szCs w:val="24"/>
        </w:rPr>
        <w:t xml:space="preserve">, </w:t>
      </w:r>
      <w:r w:rsidRPr="00E5681D">
        <w:rPr>
          <w:rFonts w:ascii="Times New Roman" w:eastAsia="MetaPro-Norm" w:hAnsi="Times New Roman" w:cs="Times New Roman"/>
          <w:color w:val="000000"/>
          <w:sz w:val="24"/>
          <w:szCs w:val="24"/>
        </w:rPr>
        <w:t>voice reporting</w:t>
      </w:r>
      <w:r w:rsidR="00561E88" w:rsidRPr="00E5681D">
        <w:rPr>
          <w:rFonts w:ascii="Times New Roman" w:eastAsia="MetaPro-Norm" w:hAnsi="Times New Roman" w:cs="Times New Roman"/>
          <w:color w:val="000000"/>
          <w:sz w:val="24"/>
          <w:szCs w:val="24"/>
        </w:rPr>
        <w:t xml:space="preserve">, and other alternatives </w:t>
      </w:r>
      <w:r w:rsidRPr="00E5681D">
        <w:rPr>
          <w:rFonts w:ascii="Times New Roman" w:eastAsia="MetaPro-Norm" w:hAnsi="Times New Roman" w:cs="Times New Roman"/>
          <w:color w:val="000000"/>
          <w:sz w:val="24"/>
          <w:szCs w:val="24"/>
        </w:rPr>
        <w:t xml:space="preserve">to </w:t>
      </w:r>
      <w:r w:rsidR="00561E88" w:rsidRPr="00E5681D">
        <w:rPr>
          <w:rFonts w:ascii="Times New Roman" w:eastAsia="MetaPro-Norm" w:hAnsi="Times New Roman" w:cs="Times New Roman"/>
          <w:color w:val="000000"/>
          <w:sz w:val="24"/>
          <w:szCs w:val="24"/>
        </w:rPr>
        <w:t>detention</w:t>
      </w:r>
      <w:r w:rsidR="004E0EFD" w:rsidRPr="00E5681D">
        <w:rPr>
          <w:rFonts w:ascii="Times New Roman" w:eastAsia="MetaPro-Norm" w:hAnsi="Times New Roman" w:cs="Times New Roman"/>
          <w:color w:val="000000"/>
          <w:sz w:val="24"/>
          <w:szCs w:val="24"/>
        </w:rPr>
        <w:t>,</w:t>
      </w:r>
      <w:r w:rsidRPr="00E5681D">
        <w:rPr>
          <w:rFonts w:ascii="Times New Roman" w:eastAsia="MetaPro-Norm" w:hAnsi="Times New Roman" w:cs="Times New Roman"/>
          <w:color w:val="000000"/>
          <w:sz w:val="24"/>
          <w:szCs w:val="24"/>
          <w:vertAlign w:val="superscript"/>
        </w:rPr>
        <w:footnoteReference w:id="19"/>
      </w:r>
      <w:r w:rsidR="004E0EFD" w:rsidRPr="00E5681D">
        <w:rPr>
          <w:rFonts w:ascii="Times New Roman" w:eastAsia="MetaPro-Norm" w:hAnsi="Times New Roman" w:cs="Times New Roman"/>
          <w:color w:val="000000"/>
          <w:sz w:val="24"/>
          <w:szCs w:val="24"/>
        </w:rPr>
        <w:t xml:space="preserve"> reducing t</w:t>
      </w:r>
      <w:r w:rsidRPr="00E5681D">
        <w:rPr>
          <w:rFonts w:ascii="Times New Roman" w:eastAsia="MetaPro-Norm" w:hAnsi="Times New Roman" w:cs="Times New Roman"/>
          <w:color w:val="000000"/>
          <w:sz w:val="24"/>
          <w:szCs w:val="24"/>
        </w:rPr>
        <w:t>he number of children in immigration detention</w:t>
      </w:r>
      <w:r w:rsidR="0009101C" w:rsidRPr="00E5681D">
        <w:rPr>
          <w:rFonts w:ascii="Times New Roman" w:eastAsia="MetaPro-Norm" w:hAnsi="Times New Roman" w:cs="Times New Roman"/>
          <w:color w:val="000000"/>
          <w:sz w:val="24"/>
          <w:szCs w:val="24"/>
        </w:rPr>
        <w:t>.</w:t>
      </w:r>
      <w:r w:rsidR="0009101C" w:rsidRPr="00E5681D">
        <w:rPr>
          <w:rStyle w:val="FootnoteReference"/>
          <w:rFonts w:ascii="Times New Roman" w:eastAsia="MetaPro-Norm" w:hAnsi="Times New Roman" w:cs="Times New Roman"/>
          <w:color w:val="000000"/>
          <w:sz w:val="24"/>
          <w:szCs w:val="24"/>
        </w:rPr>
        <w:footnoteReference w:id="20"/>
      </w:r>
      <w:r w:rsidR="0009101C" w:rsidRPr="00E5681D">
        <w:rPr>
          <w:rFonts w:ascii="Times New Roman" w:eastAsia="MetaPro-Norm" w:hAnsi="Times New Roman" w:cs="Times New Roman"/>
          <w:color w:val="000000"/>
          <w:sz w:val="24"/>
          <w:szCs w:val="24"/>
        </w:rPr>
        <w:t xml:space="preserve"> </w:t>
      </w:r>
    </w:p>
    <w:p w14:paraId="12BEF702" w14:textId="128CB8FC" w:rsidR="00057173" w:rsidRDefault="00FF428F" w:rsidP="00057173">
      <w:pPr>
        <w:rPr>
          <w:rFonts w:ascii="Times New Roman" w:eastAsia="MetaPro-Norm" w:hAnsi="Times New Roman" w:cs="Times New Roman"/>
          <w:color w:val="000000"/>
          <w:sz w:val="24"/>
          <w:szCs w:val="24"/>
        </w:rPr>
      </w:pPr>
      <w:r w:rsidRPr="00E5681D">
        <w:rPr>
          <w:rFonts w:ascii="Times New Roman" w:eastAsia="MetaPro-Norm" w:hAnsi="Times New Roman" w:cs="Times New Roman"/>
          <w:color w:val="000000"/>
          <w:sz w:val="24"/>
          <w:szCs w:val="24"/>
        </w:rPr>
        <w:t xml:space="preserve">Greece’s </w:t>
      </w:r>
      <w:r w:rsidRPr="00E5681D">
        <w:rPr>
          <w:rFonts w:ascii="Times New Roman" w:hAnsi="Times New Roman" w:cs="Times New Roman"/>
          <w:sz w:val="24"/>
          <w:szCs w:val="24"/>
        </w:rPr>
        <w:t>Supported Semi-Independent Living Program</w:t>
      </w:r>
      <w:r w:rsidR="00561E88" w:rsidRPr="00E5681D">
        <w:rPr>
          <w:rFonts w:ascii="Times New Roman" w:hAnsi="Times New Roman" w:cs="Times New Roman"/>
          <w:sz w:val="24"/>
          <w:szCs w:val="24"/>
        </w:rPr>
        <w:t xml:space="preserve"> </w:t>
      </w:r>
      <w:r w:rsidRPr="00E5681D">
        <w:rPr>
          <w:rFonts w:ascii="Times New Roman" w:hAnsi="Times New Roman" w:cs="Times New Roman"/>
          <w:sz w:val="24"/>
          <w:szCs w:val="24"/>
        </w:rPr>
        <w:t xml:space="preserve">provides supervised independent living arrangements for </w:t>
      </w:r>
      <w:r w:rsidR="00561E88" w:rsidRPr="00E5681D">
        <w:rPr>
          <w:rFonts w:ascii="Times New Roman" w:hAnsi="Times New Roman" w:cs="Times New Roman"/>
          <w:sz w:val="24"/>
          <w:szCs w:val="24"/>
        </w:rPr>
        <w:t xml:space="preserve">16- to 18-year-old </w:t>
      </w:r>
      <w:r w:rsidRPr="00E5681D">
        <w:rPr>
          <w:rFonts w:ascii="Times New Roman" w:hAnsi="Times New Roman" w:cs="Times New Roman"/>
          <w:sz w:val="24"/>
          <w:szCs w:val="24"/>
        </w:rPr>
        <w:t>unaccompanied asylum seekers.</w:t>
      </w:r>
      <w:r w:rsidR="00C961A7" w:rsidRPr="00E5681D">
        <w:rPr>
          <w:rFonts w:ascii="Times New Roman" w:hAnsi="Times New Roman" w:cs="Times New Roman"/>
          <w:sz w:val="24"/>
          <w:szCs w:val="24"/>
        </w:rPr>
        <w:t xml:space="preserve"> In addition to housing, the program links children with education, health, psychosocial development, legal aid, and interpretation. An interdisciplinary team that includes a social worker, a psychologist, and other specialists “offers psychosocial support with a view to the teenagers’ gradual independence.”</w:t>
      </w:r>
      <w:r w:rsidRPr="00E5681D">
        <w:rPr>
          <w:rStyle w:val="FootnoteReference"/>
          <w:rFonts w:ascii="Times New Roman" w:hAnsi="Times New Roman" w:cs="Times New Roman"/>
          <w:sz w:val="24"/>
          <w:szCs w:val="24"/>
        </w:rPr>
        <w:footnoteReference w:id="21"/>
      </w:r>
      <w:r w:rsidR="00D638E1" w:rsidRPr="00E5681D">
        <w:rPr>
          <w:rFonts w:ascii="Times New Roman" w:eastAsia="MetaPro-Norm" w:hAnsi="Times New Roman" w:cs="Times New Roman"/>
          <w:color w:val="000000"/>
          <w:sz w:val="24"/>
          <w:szCs w:val="24"/>
        </w:rPr>
        <w:t xml:space="preserve"> </w:t>
      </w:r>
    </w:p>
    <w:p w14:paraId="3BA15F6F" w14:textId="77777777" w:rsidR="00057173" w:rsidRDefault="00057173" w:rsidP="00057173">
      <w:pPr>
        <w:rPr>
          <w:rFonts w:ascii="Times New Roman" w:eastAsia="MetaPro-Norm" w:hAnsi="Times New Roman" w:cs="Times New Roman"/>
          <w:color w:val="000000"/>
          <w:sz w:val="24"/>
          <w:szCs w:val="24"/>
        </w:rPr>
      </w:pPr>
    </w:p>
    <w:p w14:paraId="196353A6" w14:textId="77777777" w:rsidR="00057173" w:rsidRDefault="00CA374C" w:rsidP="00057173">
      <w:pPr>
        <w:rPr>
          <w:rFonts w:ascii="Times New Roman" w:eastAsia="MetaPro-Norm" w:hAnsi="Times New Roman" w:cs="Times New Roman"/>
          <w:color w:val="000000"/>
          <w:sz w:val="24"/>
          <w:szCs w:val="24"/>
        </w:rPr>
      </w:pPr>
      <w:r w:rsidRPr="00E5681D">
        <w:rPr>
          <w:rFonts w:ascii="Times New Roman" w:hAnsi="Times New Roman" w:cs="Times New Roman"/>
          <w:b/>
          <w:bCs/>
          <w:sz w:val="24"/>
          <w:szCs w:val="24"/>
        </w:rPr>
        <w:t>Challenges and obstacles in implementation of alternatives to detention</w:t>
      </w:r>
    </w:p>
    <w:p w14:paraId="38ACEBCA" w14:textId="71BA7690" w:rsidR="007A4AE9" w:rsidRPr="00057173" w:rsidRDefault="00BB00C2" w:rsidP="00057173">
      <w:pPr>
        <w:rPr>
          <w:rFonts w:ascii="Times New Roman" w:eastAsia="MetaPro-Norm" w:hAnsi="Times New Roman" w:cs="Times New Roman"/>
          <w:color w:val="000000"/>
          <w:sz w:val="24"/>
          <w:szCs w:val="24"/>
        </w:rPr>
      </w:pPr>
      <w:r w:rsidRPr="00E5681D">
        <w:rPr>
          <w:rFonts w:ascii="Times New Roman" w:eastAsia="MetaPro-Norm" w:hAnsi="Times New Roman" w:cs="Times New Roman"/>
          <w:color w:val="000000"/>
          <w:sz w:val="24"/>
          <w:szCs w:val="24"/>
        </w:rPr>
        <w:t>Too often, promising practices are unevenly implemented</w:t>
      </w:r>
      <w:r w:rsidR="006C5720" w:rsidRPr="00E5681D">
        <w:rPr>
          <w:rFonts w:ascii="Times New Roman" w:eastAsia="MetaPro-Norm" w:hAnsi="Times New Roman" w:cs="Times New Roman"/>
          <w:color w:val="000000"/>
          <w:sz w:val="24"/>
          <w:szCs w:val="24"/>
        </w:rPr>
        <w:t xml:space="preserve"> or </w:t>
      </w:r>
      <w:r w:rsidR="00635825" w:rsidRPr="00E5681D">
        <w:rPr>
          <w:rFonts w:ascii="Times New Roman" w:eastAsia="MetaPro-Norm" w:hAnsi="Times New Roman" w:cs="Times New Roman"/>
          <w:color w:val="000000"/>
          <w:sz w:val="24"/>
          <w:szCs w:val="24"/>
        </w:rPr>
        <w:t>underutilized</w:t>
      </w:r>
      <w:r w:rsidR="00C961A7" w:rsidRPr="00E5681D">
        <w:rPr>
          <w:rFonts w:ascii="Times New Roman" w:eastAsia="MetaPro-Norm" w:hAnsi="Times New Roman" w:cs="Times New Roman"/>
          <w:color w:val="000000"/>
          <w:sz w:val="24"/>
          <w:szCs w:val="24"/>
        </w:rPr>
        <w:t xml:space="preserve">. For instance, the </w:t>
      </w:r>
      <w:r w:rsidR="00635825" w:rsidRPr="00E5681D">
        <w:rPr>
          <w:rFonts w:ascii="Times New Roman" w:eastAsia="MetaPro-Norm" w:hAnsi="Times New Roman" w:cs="Times New Roman"/>
          <w:color w:val="000000"/>
          <w:sz w:val="24"/>
          <w:szCs w:val="24"/>
        </w:rPr>
        <w:t>United States</w:t>
      </w:r>
      <w:r w:rsidR="00C961A7" w:rsidRPr="00E5681D">
        <w:rPr>
          <w:rFonts w:ascii="Times New Roman" w:eastAsia="MetaPro-Norm" w:hAnsi="Times New Roman" w:cs="Times New Roman"/>
          <w:color w:val="000000"/>
          <w:sz w:val="24"/>
          <w:szCs w:val="24"/>
        </w:rPr>
        <w:t xml:space="preserve"> abandoned its</w:t>
      </w:r>
      <w:r w:rsidR="00635825" w:rsidRPr="00E5681D">
        <w:rPr>
          <w:rFonts w:ascii="Times New Roman" w:eastAsia="MetaPro-Norm" w:hAnsi="Times New Roman" w:cs="Times New Roman"/>
          <w:color w:val="000000"/>
          <w:sz w:val="24"/>
          <w:szCs w:val="24"/>
        </w:rPr>
        <w:t xml:space="preserve"> </w:t>
      </w:r>
      <w:r w:rsidR="00F51916" w:rsidRPr="00E5681D">
        <w:rPr>
          <w:rFonts w:ascii="Times New Roman" w:eastAsia="MetaPro-Norm" w:hAnsi="Times New Roman" w:cs="Times New Roman"/>
          <w:color w:val="000000"/>
          <w:sz w:val="24"/>
          <w:szCs w:val="24"/>
        </w:rPr>
        <w:t>Family Case Management Program</w:t>
      </w:r>
      <w:r w:rsidR="00C961A7" w:rsidRPr="00E5681D">
        <w:rPr>
          <w:rFonts w:ascii="Times New Roman" w:eastAsia="MetaPro-Norm" w:hAnsi="Times New Roman" w:cs="Times New Roman"/>
          <w:color w:val="000000"/>
          <w:sz w:val="24"/>
          <w:szCs w:val="24"/>
        </w:rPr>
        <w:t xml:space="preserve"> in 2017 even though “[a]</w:t>
      </w:r>
      <w:proofErr w:type="spellStart"/>
      <w:r w:rsidR="00C961A7" w:rsidRPr="00E5681D">
        <w:rPr>
          <w:rFonts w:ascii="Times New Roman" w:eastAsia="MetaPro-Norm" w:hAnsi="Times New Roman" w:cs="Times New Roman"/>
          <w:color w:val="000000"/>
          <w:sz w:val="24"/>
          <w:szCs w:val="24"/>
        </w:rPr>
        <w:t>ccording</w:t>
      </w:r>
      <w:proofErr w:type="spellEnd"/>
      <w:r w:rsidR="00C961A7" w:rsidRPr="00E5681D">
        <w:rPr>
          <w:rFonts w:ascii="Times New Roman" w:eastAsia="MetaPro-Norm" w:hAnsi="Times New Roman" w:cs="Times New Roman"/>
          <w:color w:val="000000"/>
          <w:sz w:val="24"/>
          <w:szCs w:val="24"/>
        </w:rPr>
        <w:t xml:space="preserve"> to ICE [US Immigration and Customs Enforcement], overall program compliance for all five regions [was] an average of 99 percent for ICE check-ins and appointments, as well as 100 percent attendance at court hearings.”</w:t>
      </w:r>
      <w:r w:rsidR="00F51916" w:rsidRPr="00E5681D">
        <w:rPr>
          <w:rStyle w:val="FootnoteReference"/>
          <w:rFonts w:ascii="Times New Roman" w:eastAsia="MetaPro-Norm" w:hAnsi="Times New Roman" w:cs="Times New Roman"/>
          <w:color w:val="000000"/>
          <w:sz w:val="24"/>
          <w:szCs w:val="24"/>
        </w:rPr>
        <w:footnoteReference w:id="22"/>
      </w:r>
      <w:r w:rsidR="007A4AE9" w:rsidRPr="00E5681D">
        <w:rPr>
          <w:rFonts w:ascii="Times New Roman" w:eastAsia="MetaPro-Norm" w:hAnsi="Times New Roman" w:cs="Times New Roman"/>
          <w:color w:val="000000"/>
          <w:sz w:val="24"/>
          <w:szCs w:val="24"/>
        </w:rPr>
        <w:t xml:space="preserve"> </w:t>
      </w:r>
      <w:r w:rsidR="00C961A7" w:rsidRPr="00E5681D">
        <w:rPr>
          <w:rFonts w:ascii="Times New Roman" w:eastAsia="MetaPro-Norm" w:hAnsi="Times New Roman" w:cs="Times New Roman"/>
          <w:color w:val="000000"/>
          <w:sz w:val="24"/>
          <w:szCs w:val="24"/>
        </w:rPr>
        <w:t>A</w:t>
      </w:r>
      <w:r w:rsidR="00635825" w:rsidRPr="00E5681D">
        <w:rPr>
          <w:rFonts w:ascii="Times New Roman" w:hAnsi="Times New Roman" w:cs="Times New Roman"/>
          <w:sz w:val="24"/>
          <w:szCs w:val="24"/>
        </w:rPr>
        <w:t xml:space="preserve"> </w:t>
      </w:r>
      <w:r w:rsidR="00EC1600" w:rsidRPr="00E5681D">
        <w:rPr>
          <w:rFonts w:ascii="Times New Roman" w:hAnsi="Times New Roman" w:cs="Times New Roman"/>
          <w:sz w:val="24"/>
          <w:szCs w:val="24"/>
        </w:rPr>
        <w:t>community-based pilot</w:t>
      </w:r>
      <w:r w:rsidR="00C961A7" w:rsidRPr="00E5681D">
        <w:rPr>
          <w:rFonts w:ascii="Times New Roman" w:hAnsi="Times New Roman" w:cs="Times New Roman"/>
          <w:sz w:val="24"/>
          <w:szCs w:val="24"/>
        </w:rPr>
        <w:t xml:space="preserve"> project in Mexico that placed unaccompanied children in supervised, open group homes was only serving</w:t>
      </w:r>
      <w:r w:rsidR="007A4AE9" w:rsidRPr="00E5681D">
        <w:rPr>
          <w:rFonts w:ascii="Times New Roman" w:hAnsi="Times New Roman" w:cs="Times New Roman"/>
          <w:sz w:val="24"/>
          <w:szCs w:val="24"/>
        </w:rPr>
        <w:t xml:space="preserve"> 20 children in 2018, several years after it began</w:t>
      </w:r>
      <w:r w:rsidR="00EC1600" w:rsidRPr="00E5681D">
        <w:rPr>
          <w:rFonts w:ascii="Times New Roman" w:hAnsi="Times New Roman" w:cs="Times New Roman"/>
          <w:sz w:val="24"/>
          <w:szCs w:val="24"/>
        </w:rPr>
        <w:t>.</w:t>
      </w:r>
      <w:r w:rsidR="00EC1600" w:rsidRPr="00E5681D">
        <w:rPr>
          <w:rStyle w:val="FootnoteReference"/>
          <w:rFonts w:ascii="Times New Roman" w:hAnsi="Times New Roman" w:cs="Times New Roman"/>
          <w:sz w:val="24"/>
          <w:szCs w:val="24"/>
        </w:rPr>
        <w:footnoteReference w:id="23"/>
      </w:r>
    </w:p>
    <w:p w14:paraId="3C57EE27" w14:textId="459CA926" w:rsidR="003E682C" w:rsidRPr="00E5681D" w:rsidRDefault="003E682C" w:rsidP="006C5720">
      <w:pPr>
        <w:keepNext/>
        <w:keepLines/>
        <w:rPr>
          <w:rFonts w:ascii="Times New Roman" w:hAnsi="Times New Roman" w:cs="Times New Roman"/>
          <w:sz w:val="24"/>
          <w:szCs w:val="24"/>
        </w:rPr>
      </w:pPr>
      <w:r w:rsidRPr="00E5681D">
        <w:rPr>
          <w:rFonts w:ascii="Times New Roman" w:hAnsi="Times New Roman" w:cs="Times New Roman"/>
          <w:sz w:val="24"/>
          <w:szCs w:val="24"/>
        </w:rPr>
        <w:lastRenderedPageBreak/>
        <w:t>In Canada, there have been serious gaps in implementing policy changes</w:t>
      </w:r>
      <w:r w:rsidR="007A4AE9" w:rsidRPr="00E5681D">
        <w:rPr>
          <w:rFonts w:ascii="Times New Roman" w:hAnsi="Times New Roman" w:cs="Times New Roman"/>
          <w:sz w:val="24"/>
          <w:szCs w:val="24"/>
        </w:rPr>
        <w:t xml:space="preserve"> that require the best interests of the child to be a primary consideration and provide that the detention or “housing” of children should be employed only in “extremely limited circumstances” involving risks to public safety or national security. Nevertheless, 99 percent of cases of children “housed” in 2018 and 2019 where children did not involve public safety or national security concerns. In addition, there is significant regional variation, with more children in Québec than elsewhere in Canada “housed” in detention and separated from their families; in addition, children in Québec are detained for longer periods than elsewhere in Canada.</w:t>
      </w:r>
      <w:r w:rsidRPr="00E5681D">
        <w:rPr>
          <w:rStyle w:val="FootnoteReference"/>
          <w:rFonts w:ascii="Times New Roman" w:hAnsi="Times New Roman" w:cs="Times New Roman"/>
          <w:sz w:val="24"/>
          <w:szCs w:val="24"/>
        </w:rPr>
        <w:footnoteReference w:id="24"/>
      </w:r>
    </w:p>
    <w:bookmarkEnd w:id="0"/>
    <w:bookmarkEnd w:id="1"/>
    <w:p w14:paraId="226E8EC8" w14:textId="2A1D8001" w:rsidR="006664DC" w:rsidRPr="00E5681D" w:rsidRDefault="006664DC" w:rsidP="006C5720">
      <w:pPr>
        <w:keepNext/>
        <w:keepLines/>
        <w:rPr>
          <w:rFonts w:ascii="Times New Roman" w:hAnsi="Times New Roman" w:cs="Times New Roman"/>
        </w:rPr>
      </w:pPr>
    </w:p>
    <w:sectPr w:rsidR="006664DC" w:rsidRPr="00E5681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F873D" w14:textId="77777777" w:rsidR="009A0E3F" w:rsidRDefault="009A0E3F" w:rsidP="00385A59">
      <w:pPr>
        <w:spacing w:after="0" w:line="240" w:lineRule="auto"/>
      </w:pPr>
      <w:r>
        <w:separator/>
      </w:r>
    </w:p>
  </w:endnote>
  <w:endnote w:type="continuationSeparator" w:id="0">
    <w:p w14:paraId="75F5D237" w14:textId="77777777" w:rsidR="009A0E3F" w:rsidRDefault="009A0E3F" w:rsidP="00385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etaPro-Norm">
    <w:panose1 w:val="020B0504030101020102"/>
    <w:charset w:val="00"/>
    <w:family w:val="swiss"/>
    <w:notTrueType/>
    <w:pitch w:val="variable"/>
    <w:sig w:usb0="A00002F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57206400"/>
      <w:docPartObj>
        <w:docPartGallery w:val="Page Numbers (Bottom of Page)"/>
        <w:docPartUnique/>
      </w:docPartObj>
    </w:sdtPr>
    <w:sdtEndPr>
      <w:rPr>
        <w:noProof/>
        <w:sz w:val="19"/>
        <w:szCs w:val="19"/>
      </w:rPr>
    </w:sdtEndPr>
    <w:sdtContent>
      <w:p w14:paraId="6D8E1373" w14:textId="05254426" w:rsidR="00DF5867" w:rsidRPr="00DA0139" w:rsidRDefault="00DF5867">
        <w:pPr>
          <w:pStyle w:val="Footer"/>
          <w:jc w:val="center"/>
          <w:rPr>
            <w:rFonts w:ascii="Times New Roman" w:hAnsi="Times New Roman" w:cs="Times New Roman"/>
            <w:sz w:val="19"/>
            <w:szCs w:val="19"/>
          </w:rPr>
        </w:pPr>
        <w:r w:rsidRPr="00DA0139">
          <w:rPr>
            <w:rFonts w:ascii="Times New Roman" w:hAnsi="Times New Roman" w:cs="Times New Roman"/>
            <w:sz w:val="19"/>
            <w:szCs w:val="19"/>
          </w:rPr>
          <w:fldChar w:fldCharType="begin"/>
        </w:r>
        <w:r w:rsidRPr="00DA0139">
          <w:rPr>
            <w:rFonts w:ascii="Times New Roman" w:hAnsi="Times New Roman" w:cs="Times New Roman"/>
            <w:sz w:val="19"/>
            <w:szCs w:val="19"/>
          </w:rPr>
          <w:instrText xml:space="preserve"> PAGE   \* MERGEFORMAT </w:instrText>
        </w:r>
        <w:r w:rsidRPr="00DA0139">
          <w:rPr>
            <w:rFonts w:ascii="Times New Roman" w:hAnsi="Times New Roman" w:cs="Times New Roman"/>
            <w:sz w:val="19"/>
            <w:szCs w:val="19"/>
          </w:rPr>
          <w:fldChar w:fldCharType="separate"/>
        </w:r>
        <w:r w:rsidRPr="00DA0139">
          <w:rPr>
            <w:rFonts w:ascii="Times New Roman" w:hAnsi="Times New Roman" w:cs="Times New Roman"/>
            <w:noProof/>
            <w:sz w:val="19"/>
            <w:szCs w:val="19"/>
          </w:rPr>
          <w:t>2</w:t>
        </w:r>
        <w:r w:rsidRPr="00DA0139">
          <w:rPr>
            <w:rFonts w:ascii="Times New Roman" w:hAnsi="Times New Roman" w:cs="Times New Roman"/>
            <w:noProof/>
            <w:sz w:val="19"/>
            <w:szCs w:val="19"/>
          </w:rPr>
          <w:fldChar w:fldCharType="end"/>
        </w:r>
      </w:p>
    </w:sdtContent>
  </w:sdt>
  <w:p w14:paraId="40040C60" w14:textId="77777777" w:rsidR="00DF5867" w:rsidRDefault="00DF5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4122A" w14:textId="77777777" w:rsidR="009A0E3F" w:rsidRDefault="009A0E3F" w:rsidP="00385A59">
      <w:pPr>
        <w:spacing w:after="0" w:line="240" w:lineRule="auto"/>
      </w:pPr>
      <w:r>
        <w:separator/>
      </w:r>
    </w:p>
  </w:footnote>
  <w:footnote w:type="continuationSeparator" w:id="0">
    <w:p w14:paraId="6E28143B" w14:textId="77777777" w:rsidR="009A0E3F" w:rsidRDefault="009A0E3F" w:rsidP="00385A59">
      <w:pPr>
        <w:spacing w:after="0" w:line="240" w:lineRule="auto"/>
      </w:pPr>
      <w:r>
        <w:continuationSeparator/>
      </w:r>
    </w:p>
  </w:footnote>
  <w:footnote w:id="1">
    <w:p w14:paraId="70C3B5F1" w14:textId="63B76814" w:rsidR="00DF5867" w:rsidRPr="00E5681D" w:rsidRDefault="00DF5867">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Manfred Nowak, </w:t>
      </w:r>
      <w:r w:rsidRPr="00E5681D">
        <w:rPr>
          <w:rFonts w:ascii="Times New Roman" w:hAnsi="Times New Roman" w:cs="Times New Roman"/>
          <w:i/>
          <w:iCs/>
          <w:sz w:val="16"/>
          <w:szCs w:val="16"/>
        </w:rPr>
        <w:t xml:space="preserve">The United Nations Global Study on Children Deprived of Liberty </w:t>
      </w:r>
      <w:r w:rsidRPr="00E5681D">
        <w:rPr>
          <w:rFonts w:ascii="Times New Roman" w:hAnsi="Times New Roman" w:cs="Times New Roman"/>
          <w:sz w:val="16"/>
          <w:szCs w:val="16"/>
        </w:rPr>
        <w:t>(2019), pp. 455, 465.</w:t>
      </w:r>
    </w:p>
  </w:footnote>
  <w:footnote w:id="2">
    <w:p w14:paraId="621D7CE1" w14:textId="295E09C1" w:rsidR="0015474F" w:rsidRPr="00E5681D" w:rsidRDefault="0015474F">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w:t>
      </w:r>
      <w:r w:rsidRPr="00E5681D">
        <w:rPr>
          <w:rFonts w:ascii="Times New Roman" w:hAnsi="Times New Roman" w:cs="Times New Roman"/>
          <w:sz w:val="16"/>
          <w:szCs w:val="16"/>
          <w:lang w:val="en-GB"/>
        </w:rPr>
        <w:t>Ibid., p. 465.</w:t>
      </w:r>
    </w:p>
  </w:footnote>
  <w:footnote w:id="3">
    <w:p w14:paraId="4CB11A37" w14:textId="4E4471E3" w:rsidR="00DF5867" w:rsidRPr="00E5681D" w:rsidRDefault="00DF5867">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See, for example, Human Rights Watch, </w:t>
      </w:r>
      <w:r w:rsidR="00606951" w:rsidRPr="00E5681D">
        <w:rPr>
          <w:rFonts w:ascii="Times New Roman" w:hAnsi="Times New Roman" w:cs="Times New Roman"/>
          <w:i/>
          <w:iCs/>
          <w:sz w:val="16"/>
          <w:szCs w:val="16"/>
        </w:rPr>
        <w:t>In the Freezer: Abusive Conditions for Women and Children in US Immigration Holding Cells</w:t>
      </w:r>
      <w:r w:rsidR="00606951" w:rsidRPr="00E5681D">
        <w:rPr>
          <w:rFonts w:ascii="Times New Roman" w:hAnsi="Times New Roman" w:cs="Times New Roman"/>
          <w:sz w:val="16"/>
          <w:szCs w:val="16"/>
        </w:rPr>
        <w:t xml:space="preserve"> (New York: Human Rights Watch, 2018), </w:t>
      </w:r>
      <w:hyperlink r:id="rId1" w:history="1">
        <w:r w:rsidR="00606951" w:rsidRPr="00E5681D">
          <w:rPr>
            <w:rStyle w:val="Hyperlink"/>
            <w:rFonts w:ascii="Times New Roman" w:hAnsi="Times New Roman" w:cs="Times New Roman"/>
            <w:color w:val="auto"/>
            <w:sz w:val="16"/>
            <w:szCs w:val="16"/>
            <w:u w:val="none"/>
          </w:rPr>
          <w:t>https://www.hrw.org/report/2018/02/28/freezer/abusive-conditions-women-and-children-us-immigration-holding-cells</w:t>
        </w:r>
      </w:hyperlink>
      <w:r w:rsidR="00606951" w:rsidRPr="00E5681D">
        <w:rPr>
          <w:rFonts w:ascii="Times New Roman" w:hAnsi="Times New Roman" w:cs="Times New Roman"/>
          <w:sz w:val="16"/>
          <w:szCs w:val="16"/>
        </w:rPr>
        <w:t xml:space="preserve">; Human Rights Watch, </w:t>
      </w:r>
      <w:r w:rsidR="00606951" w:rsidRPr="00E5681D">
        <w:rPr>
          <w:rFonts w:ascii="Times New Roman" w:hAnsi="Times New Roman" w:cs="Times New Roman"/>
          <w:i/>
          <w:iCs/>
          <w:sz w:val="16"/>
          <w:szCs w:val="16"/>
        </w:rPr>
        <w:t xml:space="preserve">Closed Doors: Mexico’s Failure to Protect Central American Refugee and Migrant Children </w:t>
      </w:r>
      <w:r w:rsidR="00606951" w:rsidRPr="00E5681D">
        <w:rPr>
          <w:rFonts w:ascii="Times New Roman" w:hAnsi="Times New Roman" w:cs="Times New Roman"/>
          <w:sz w:val="16"/>
          <w:szCs w:val="16"/>
        </w:rPr>
        <w:t xml:space="preserve">(New York: Human Rights Watch, 2016), </w:t>
      </w:r>
      <w:hyperlink r:id="rId2" w:history="1">
        <w:r w:rsidR="00606951" w:rsidRPr="00E5681D">
          <w:rPr>
            <w:rStyle w:val="Hyperlink"/>
            <w:rFonts w:ascii="Times New Roman" w:hAnsi="Times New Roman" w:cs="Times New Roman"/>
            <w:color w:val="auto"/>
            <w:sz w:val="16"/>
            <w:szCs w:val="16"/>
            <w:u w:val="none"/>
          </w:rPr>
          <w:t>https://www.hrw.org/report/2016/03/31/closed-doors/mexicos-failure-protect-central-american-refugee-and-migrant-children</w:t>
        </w:r>
      </w:hyperlink>
      <w:r w:rsidR="00606951" w:rsidRPr="00E5681D">
        <w:rPr>
          <w:rFonts w:ascii="Times New Roman" w:hAnsi="Times New Roman" w:cs="Times New Roman"/>
          <w:sz w:val="16"/>
          <w:szCs w:val="16"/>
        </w:rPr>
        <w:t xml:space="preserve">; Amnesty International and Human Rights Watch, “Appalling Abuse, Neglect of Refugees on Nauru: Investigation on Remote Pacific Island Finds Deliberate Abuse Hidden Behind Wall of Secrecy,” August 2, 2016, </w:t>
      </w:r>
      <w:hyperlink r:id="rId3" w:history="1">
        <w:r w:rsidR="00606951" w:rsidRPr="00E5681D">
          <w:rPr>
            <w:rStyle w:val="Hyperlink"/>
            <w:rFonts w:ascii="Times New Roman" w:hAnsi="Times New Roman" w:cs="Times New Roman"/>
            <w:color w:val="auto"/>
            <w:sz w:val="16"/>
            <w:szCs w:val="16"/>
            <w:u w:val="none"/>
          </w:rPr>
          <w:t>https://www.hrw.org/news/2016/08/02/australia-appalling-abuse-neglect-refugees-nauru</w:t>
        </w:r>
      </w:hyperlink>
      <w:r w:rsidR="00606951" w:rsidRPr="00E5681D">
        <w:rPr>
          <w:rFonts w:ascii="Times New Roman" w:hAnsi="Times New Roman" w:cs="Times New Roman"/>
          <w:sz w:val="16"/>
          <w:szCs w:val="16"/>
        </w:rPr>
        <w:t xml:space="preserve">; Human Rights Watch, </w:t>
      </w:r>
      <w:r w:rsidR="00606951" w:rsidRPr="00E5681D">
        <w:rPr>
          <w:rFonts w:ascii="Times New Roman" w:hAnsi="Times New Roman" w:cs="Times New Roman"/>
          <w:i/>
          <w:iCs/>
          <w:sz w:val="16"/>
          <w:szCs w:val="16"/>
        </w:rPr>
        <w:t>“Why Are You Keeping Me Here?</w:t>
      </w:r>
      <w:r w:rsidR="00800865" w:rsidRPr="00E5681D">
        <w:rPr>
          <w:rFonts w:ascii="Times New Roman" w:hAnsi="Times New Roman" w:cs="Times New Roman"/>
          <w:i/>
          <w:iCs/>
          <w:sz w:val="16"/>
          <w:szCs w:val="16"/>
        </w:rPr>
        <w:t>”</w:t>
      </w:r>
      <w:r w:rsidR="00606951" w:rsidRPr="00E5681D">
        <w:rPr>
          <w:rFonts w:ascii="Times New Roman" w:hAnsi="Times New Roman" w:cs="Times New Roman"/>
          <w:i/>
          <w:iCs/>
          <w:sz w:val="16"/>
          <w:szCs w:val="16"/>
        </w:rPr>
        <w:t xml:space="preserve"> Unaccompanied Children Detained in Greece </w:t>
      </w:r>
      <w:r w:rsidR="00606951" w:rsidRPr="00E5681D">
        <w:rPr>
          <w:rFonts w:ascii="Times New Roman" w:hAnsi="Times New Roman" w:cs="Times New Roman"/>
          <w:sz w:val="16"/>
          <w:szCs w:val="16"/>
        </w:rPr>
        <w:t xml:space="preserve">(New York: Human Rights Watch, 2016), </w:t>
      </w:r>
      <w:hyperlink r:id="rId4" w:history="1">
        <w:r w:rsidR="00606951" w:rsidRPr="00E5681D">
          <w:rPr>
            <w:rStyle w:val="Hyperlink"/>
            <w:rFonts w:ascii="Times New Roman" w:hAnsi="Times New Roman" w:cs="Times New Roman"/>
            <w:color w:val="auto"/>
            <w:sz w:val="16"/>
            <w:szCs w:val="16"/>
            <w:u w:val="none"/>
          </w:rPr>
          <w:t>https://www.hrw.org/report/2016/09/08/why-are-you-keeping-me-here/unaccompanied-children-detained-greece</w:t>
        </w:r>
      </w:hyperlink>
      <w:r w:rsidR="00606951" w:rsidRPr="00E5681D">
        <w:rPr>
          <w:rFonts w:ascii="Times New Roman" w:hAnsi="Times New Roman" w:cs="Times New Roman"/>
          <w:sz w:val="16"/>
          <w:szCs w:val="16"/>
        </w:rPr>
        <w:t xml:space="preserve">; Human Rights Watch, </w:t>
      </w:r>
      <w:r w:rsidR="00606951" w:rsidRPr="00E5681D">
        <w:rPr>
          <w:rFonts w:ascii="Times New Roman" w:hAnsi="Times New Roman" w:cs="Times New Roman"/>
          <w:i/>
          <w:iCs/>
          <w:sz w:val="16"/>
          <w:szCs w:val="16"/>
        </w:rPr>
        <w:t xml:space="preserve">Barely Surviving: Detention, Abuse, and Neglect of Migrant Children in Indonesia </w:t>
      </w:r>
      <w:r w:rsidR="00606951" w:rsidRPr="00E5681D">
        <w:rPr>
          <w:rFonts w:ascii="Times New Roman" w:hAnsi="Times New Roman" w:cs="Times New Roman"/>
          <w:sz w:val="16"/>
          <w:szCs w:val="16"/>
        </w:rPr>
        <w:t xml:space="preserve">(New York: Human Rights Watch, 2013), </w:t>
      </w:r>
      <w:hyperlink r:id="rId5" w:history="1">
        <w:r w:rsidR="00606951" w:rsidRPr="00E5681D">
          <w:rPr>
            <w:rStyle w:val="Hyperlink"/>
            <w:rFonts w:ascii="Times New Roman" w:hAnsi="Times New Roman" w:cs="Times New Roman"/>
            <w:color w:val="auto"/>
            <w:sz w:val="16"/>
            <w:szCs w:val="16"/>
            <w:u w:val="none"/>
          </w:rPr>
          <w:t>https://www.hrw.org/report/2013/06/23/barely-surviving/detention-abuse-and-neglect-migrant-children-indonesia</w:t>
        </w:r>
      </w:hyperlink>
      <w:r w:rsidR="00606951" w:rsidRPr="00E5681D">
        <w:rPr>
          <w:rFonts w:ascii="Times New Roman" w:hAnsi="Times New Roman" w:cs="Times New Roman"/>
          <w:sz w:val="16"/>
          <w:szCs w:val="16"/>
        </w:rPr>
        <w:t xml:space="preserve">; Human Rights Watch, </w:t>
      </w:r>
      <w:r w:rsidR="00606951" w:rsidRPr="00E5681D">
        <w:rPr>
          <w:rFonts w:ascii="Times New Roman" w:hAnsi="Times New Roman" w:cs="Times New Roman"/>
          <w:i/>
          <w:iCs/>
          <w:sz w:val="16"/>
          <w:szCs w:val="16"/>
        </w:rPr>
        <w:t xml:space="preserve">Two Years with No Moon: Immigration Detention of Children in Thailand </w:t>
      </w:r>
      <w:r w:rsidR="00606951" w:rsidRPr="00E5681D">
        <w:rPr>
          <w:rFonts w:ascii="Times New Roman" w:hAnsi="Times New Roman" w:cs="Times New Roman"/>
          <w:sz w:val="16"/>
          <w:szCs w:val="16"/>
        </w:rPr>
        <w:t xml:space="preserve">(New York: Human Rights Watch, 2014); </w:t>
      </w:r>
      <w:r w:rsidRPr="00E5681D">
        <w:rPr>
          <w:rFonts w:ascii="Times New Roman" w:hAnsi="Times New Roman" w:cs="Times New Roman"/>
          <w:sz w:val="16"/>
          <w:szCs w:val="16"/>
        </w:rPr>
        <w:t xml:space="preserve">Human Rights Watch, “Lebanon: Migrant Family Detained,” August 29, 2019, </w:t>
      </w:r>
      <w:hyperlink r:id="rId6" w:history="1">
        <w:r w:rsidRPr="00E5681D">
          <w:rPr>
            <w:rStyle w:val="Hyperlink"/>
            <w:rFonts w:ascii="Times New Roman" w:hAnsi="Times New Roman" w:cs="Times New Roman"/>
            <w:color w:val="auto"/>
            <w:sz w:val="16"/>
            <w:szCs w:val="16"/>
            <w:u w:val="none"/>
          </w:rPr>
          <w:t>https://www.hrw.org/news/2019/08/29/lebanon-migrant-family-detained</w:t>
        </w:r>
      </w:hyperlink>
      <w:r w:rsidRPr="00E5681D">
        <w:rPr>
          <w:rFonts w:ascii="Times New Roman" w:hAnsi="Times New Roman" w:cs="Times New Roman"/>
          <w:sz w:val="16"/>
          <w:szCs w:val="16"/>
        </w:rPr>
        <w:t xml:space="preserve">; Human Rights Watch, “Turkey: Syrians Being Deported to Danger,” October 24, 2019, </w:t>
      </w:r>
      <w:hyperlink r:id="rId7" w:history="1">
        <w:r w:rsidRPr="00E5681D">
          <w:rPr>
            <w:rStyle w:val="Hyperlink"/>
            <w:rFonts w:ascii="Times New Roman" w:hAnsi="Times New Roman" w:cs="Times New Roman"/>
            <w:color w:val="auto"/>
            <w:sz w:val="16"/>
            <w:szCs w:val="16"/>
            <w:u w:val="none"/>
          </w:rPr>
          <w:t>https://www.hrw.org/news/2019/10/24/turkey-syrians-being-deported-danger</w:t>
        </w:r>
      </w:hyperlink>
      <w:r w:rsidRPr="00E5681D">
        <w:rPr>
          <w:rFonts w:ascii="Times New Roman" w:hAnsi="Times New Roman" w:cs="Times New Roman"/>
          <w:sz w:val="16"/>
          <w:szCs w:val="16"/>
        </w:rPr>
        <w:t>.</w:t>
      </w:r>
    </w:p>
  </w:footnote>
  <w:footnote w:id="4">
    <w:p w14:paraId="241554A2" w14:textId="5C2EF244" w:rsidR="00DF5867" w:rsidRPr="00E5681D" w:rsidRDefault="00DF5867">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w:t>
      </w:r>
      <w:r w:rsidRPr="00E5681D">
        <w:rPr>
          <w:rFonts w:ascii="Times New Roman" w:hAnsi="Times New Roman" w:cs="Times New Roman"/>
          <w:i/>
          <w:iCs/>
          <w:sz w:val="16"/>
          <w:szCs w:val="16"/>
        </w:rPr>
        <w:t>Global Study on Children Deprived of Liberty</w:t>
      </w:r>
      <w:r w:rsidRPr="00E5681D">
        <w:rPr>
          <w:rFonts w:ascii="Times New Roman" w:hAnsi="Times New Roman" w:cs="Times New Roman"/>
          <w:sz w:val="16"/>
          <w:szCs w:val="16"/>
        </w:rPr>
        <w:t>, p. 463.</w:t>
      </w:r>
    </w:p>
  </w:footnote>
  <w:footnote w:id="5">
    <w:p w14:paraId="21A77A15" w14:textId="0FC1CEF7" w:rsidR="00DF5867" w:rsidRPr="00E5681D" w:rsidRDefault="00DF5867">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w:t>
      </w:r>
      <w:r w:rsidRPr="00E5681D">
        <w:rPr>
          <w:rFonts w:ascii="Times New Roman" w:hAnsi="Times New Roman" w:cs="Times New Roman"/>
          <w:sz w:val="16"/>
          <w:szCs w:val="16"/>
          <w:lang w:val="en-GB"/>
        </w:rPr>
        <w:t xml:space="preserve">See Clara Long (Human Rights Watch), “Children at Risk in US Jails,” Dispatch, June 20, 2019, </w:t>
      </w:r>
      <w:hyperlink r:id="rId8" w:history="1">
        <w:r w:rsidRPr="00E5681D">
          <w:rPr>
            <w:rStyle w:val="Hyperlink"/>
            <w:rFonts w:ascii="Times New Roman" w:hAnsi="Times New Roman" w:cs="Times New Roman"/>
            <w:color w:val="auto"/>
            <w:sz w:val="16"/>
            <w:szCs w:val="16"/>
            <w:u w:val="none"/>
          </w:rPr>
          <w:t>https://www.hrw.org/news/2019/06/20/children-risk-us-border-jails</w:t>
        </w:r>
      </w:hyperlink>
      <w:r w:rsidRPr="00E5681D">
        <w:rPr>
          <w:rStyle w:val="Hyperlink"/>
          <w:rFonts w:ascii="Times New Roman" w:hAnsi="Times New Roman" w:cs="Times New Roman"/>
          <w:color w:val="auto"/>
          <w:sz w:val="16"/>
          <w:szCs w:val="16"/>
          <w:u w:val="none"/>
        </w:rPr>
        <w:t>;</w:t>
      </w:r>
      <w:r w:rsidRPr="00E5681D">
        <w:rPr>
          <w:rFonts w:ascii="Times New Roman" w:hAnsi="Times New Roman" w:cs="Times New Roman"/>
          <w:sz w:val="16"/>
          <w:szCs w:val="16"/>
        </w:rPr>
        <w:t xml:space="preserve"> Nicole Austin-Hillary and Clara Long (Human Rights Watch), “We Went to a US Border Detention Center for Children. What We Saw Was Awful,” </w:t>
      </w:r>
      <w:r w:rsidRPr="00E5681D">
        <w:rPr>
          <w:rFonts w:ascii="Times New Roman" w:hAnsi="Times New Roman" w:cs="Times New Roman"/>
          <w:i/>
          <w:iCs/>
          <w:sz w:val="16"/>
          <w:szCs w:val="16"/>
        </w:rPr>
        <w:t>CNN</w:t>
      </w:r>
      <w:r w:rsidRPr="00E5681D">
        <w:rPr>
          <w:rFonts w:ascii="Times New Roman" w:hAnsi="Times New Roman" w:cs="Times New Roman"/>
          <w:sz w:val="16"/>
          <w:szCs w:val="16"/>
        </w:rPr>
        <w:t xml:space="preserve">, June 25, 2019, </w:t>
      </w:r>
      <w:hyperlink r:id="rId9" w:history="1">
        <w:r w:rsidRPr="00E5681D">
          <w:rPr>
            <w:rStyle w:val="Hyperlink"/>
            <w:rFonts w:ascii="Times New Roman" w:hAnsi="Times New Roman" w:cs="Times New Roman"/>
            <w:color w:val="auto"/>
            <w:sz w:val="16"/>
            <w:szCs w:val="16"/>
            <w:u w:val="none"/>
          </w:rPr>
          <w:t>https://www.cnn.com/2019/06/24/opinions/children-migrant-centers-at-border-long-austin-hillery/index.html</w:t>
        </w:r>
      </w:hyperlink>
      <w:r w:rsidRPr="00E5681D">
        <w:rPr>
          <w:rFonts w:ascii="Times New Roman" w:hAnsi="Times New Roman" w:cs="Times New Roman"/>
          <w:sz w:val="16"/>
          <w:szCs w:val="16"/>
        </w:rPr>
        <w:t xml:space="preserve"> (viewed April 2, 2020); Michael Garcia Bochenek (Human Rights Watch), “Candidates’ Homestead Visits Will Highlight the Plight of Detained Migrant Children,” </w:t>
      </w:r>
      <w:r w:rsidRPr="00E5681D">
        <w:rPr>
          <w:rFonts w:ascii="Times New Roman" w:hAnsi="Times New Roman" w:cs="Times New Roman"/>
          <w:i/>
          <w:iCs/>
          <w:sz w:val="16"/>
          <w:szCs w:val="16"/>
        </w:rPr>
        <w:t>USA Today</w:t>
      </w:r>
      <w:r w:rsidRPr="00E5681D">
        <w:rPr>
          <w:rFonts w:ascii="Times New Roman" w:hAnsi="Times New Roman" w:cs="Times New Roman"/>
          <w:sz w:val="16"/>
          <w:szCs w:val="16"/>
        </w:rPr>
        <w:t xml:space="preserve">, June 27, 2019, </w:t>
      </w:r>
      <w:hyperlink r:id="rId10" w:history="1">
        <w:r w:rsidRPr="00E5681D">
          <w:rPr>
            <w:rStyle w:val="Hyperlink"/>
            <w:rFonts w:ascii="Times New Roman" w:hAnsi="Times New Roman" w:cs="Times New Roman"/>
            <w:color w:val="auto"/>
            <w:sz w:val="16"/>
            <w:szCs w:val="16"/>
            <w:u w:val="none"/>
          </w:rPr>
          <w:t>https://www.hrw.org/news/2019/06/27/candidates-homestead-visits-will-highlight-plight-detained-migrant-children</w:t>
        </w:r>
      </w:hyperlink>
      <w:r w:rsidRPr="00E5681D">
        <w:rPr>
          <w:rStyle w:val="Hyperlink"/>
          <w:rFonts w:ascii="Times New Roman" w:hAnsi="Times New Roman" w:cs="Times New Roman"/>
          <w:color w:val="auto"/>
          <w:sz w:val="16"/>
          <w:szCs w:val="16"/>
          <w:u w:val="none"/>
        </w:rPr>
        <w:t>.</w:t>
      </w:r>
      <w:r w:rsidRPr="00E5681D">
        <w:rPr>
          <w:rFonts w:ascii="Times New Roman" w:hAnsi="Times New Roman" w:cs="Times New Roman"/>
          <w:sz w:val="16"/>
          <w:szCs w:val="16"/>
        </w:rPr>
        <w:t xml:space="preserve">  </w:t>
      </w:r>
    </w:p>
  </w:footnote>
  <w:footnote w:id="6">
    <w:p w14:paraId="0D81ABC9" w14:textId="3715A534" w:rsidR="007A4AE9" w:rsidRPr="00E5681D" w:rsidRDefault="007A4AE9">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See Manny Fernandez, “Lawyer Draws Outrage for Defending Lack of Toothbrushes in Border Detention,” </w:t>
      </w:r>
      <w:r w:rsidRPr="00E5681D">
        <w:rPr>
          <w:rFonts w:ascii="Times New Roman" w:hAnsi="Times New Roman" w:cs="Times New Roman"/>
          <w:i/>
          <w:iCs/>
          <w:sz w:val="16"/>
          <w:szCs w:val="16"/>
        </w:rPr>
        <w:t xml:space="preserve">New York Times, </w:t>
      </w:r>
      <w:r w:rsidRPr="00E5681D">
        <w:rPr>
          <w:rFonts w:ascii="Times New Roman" w:hAnsi="Times New Roman" w:cs="Times New Roman"/>
          <w:sz w:val="16"/>
          <w:szCs w:val="16"/>
        </w:rPr>
        <w:t xml:space="preserve">June 25, 2019, </w:t>
      </w:r>
      <w:hyperlink r:id="rId11" w:history="1">
        <w:r w:rsidRPr="00E5681D">
          <w:rPr>
            <w:rStyle w:val="Hyperlink"/>
            <w:rFonts w:ascii="Times New Roman" w:hAnsi="Times New Roman" w:cs="Times New Roman"/>
            <w:color w:val="auto"/>
            <w:sz w:val="16"/>
            <w:szCs w:val="16"/>
            <w:u w:val="none"/>
          </w:rPr>
          <w:t>https://www.nytimes.com/2019/06/25/us/sarah-fabian-migrant-lawyer-doj.html</w:t>
        </w:r>
      </w:hyperlink>
      <w:r w:rsidRPr="00E5681D">
        <w:rPr>
          <w:rFonts w:ascii="Times New Roman" w:hAnsi="Times New Roman" w:cs="Times New Roman"/>
          <w:sz w:val="16"/>
          <w:szCs w:val="16"/>
        </w:rPr>
        <w:t xml:space="preserve"> (viewed April 2, 2020); Caitlyn Dickerson, “Migrant Children Are Entitled to Toothbrushes and Soap, Federal Court Rules,” </w:t>
      </w:r>
      <w:r w:rsidRPr="00E5681D">
        <w:rPr>
          <w:rFonts w:ascii="Times New Roman" w:hAnsi="Times New Roman" w:cs="Times New Roman"/>
          <w:i/>
          <w:iCs/>
          <w:sz w:val="16"/>
          <w:szCs w:val="16"/>
        </w:rPr>
        <w:t xml:space="preserve">New York Times, </w:t>
      </w:r>
      <w:r w:rsidRPr="00E5681D">
        <w:rPr>
          <w:rFonts w:ascii="Times New Roman" w:hAnsi="Times New Roman" w:cs="Times New Roman"/>
          <w:sz w:val="16"/>
          <w:szCs w:val="16"/>
        </w:rPr>
        <w:t xml:space="preserve">August 15, 2019, </w:t>
      </w:r>
      <w:hyperlink r:id="rId12" w:history="1">
        <w:r w:rsidRPr="00E5681D">
          <w:rPr>
            <w:rStyle w:val="Hyperlink"/>
            <w:rFonts w:ascii="Times New Roman" w:hAnsi="Times New Roman" w:cs="Times New Roman"/>
            <w:color w:val="auto"/>
            <w:sz w:val="16"/>
            <w:szCs w:val="16"/>
            <w:u w:val="none"/>
          </w:rPr>
          <w:t>https://www.nytimes.com/2019/08/15/us/migrant-children-toothbrushes-court.html</w:t>
        </w:r>
      </w:hyperlink>
      <w:r w:rsidRPr="00E5681D">
        <w:rPr>
          <w:rFonts w:ascii="Times New Roman" w:hAnsi="Times New Roman" w:cs="Times New Roman"/>
          <w:sz w:val="16"/>
          <w:szCs w:val="16"/>
        </w:rPr>
        <w:t xml:space="preserve"> (viewed April 2, 2020).</w:t>
      </w:r>
    </w:p>
  </w:footnote>
  <w:footnote w:id="7">
    <w:p w14:paraId="09D16827" w14:textId="73A82E2C" w:rsidR="00DF5867" w:rsidRPr="00E5681D" w:rsidRDefault="00DF5867">
      <w:pPr>
        <w:pStyle w:val="FootnoteText"/>
        <w:rPr>
          <w:rFonts w:ascii="Times New Roman" w:hAnsi="Times New Roman" w:cs="Times New Roman"/>
          <w:sz w:val="16"/>
          <w:szCs w:val="16"/>
          <w:lang w:val="en-GB"/>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w:t>
      </w:r>
      <w:r w:rsidRPr="00E5681D">
        <w:rPr>
          <w:rFonts w:ascii="Times New Roman" w:hAnsi="Times New Roman" w:cs="Times New Roman"/>
          <w:sz w:val="16"/>
          <w:szCs w:val="16"/>
          <w:lang w:val="en-GB"/>
        </w:rPr>
        <w:t xml:space="preserve">Human Rights Watch, “New Rules Allow Indefinite Detention of Children: Detention Has Severe Consequences for Children’s Health and Safety,” August 21, 2019, </w:t>
      </w:r>
      <w:hyperlink r:id="rId13" w:history="1">
        <w:r w:rsidRPr="00E5681D">
          <w:rPr>
            <w:rStyle w:val="Hyperlink"/>
            <w:rFonts w:ascii="Times New Roman" w:hAnsi="Times New Roman" w:cs="Times New Roman"/>
            <w:color w:val="auto"/>
            <w:sz w:val="16"/>
            <w:szCs w:val="16"/>
            <w:u w:val="none"/>
          </w:rPr>
          <w:t>https://www.hrw.org/news/2019/08/21/us-new-rules-allow-indefinite-detention-children</w:t>
        </w:r>
      </w:hyperlink>
      <w:r w:rsidRPr="00E5681D">
        <w:rPr>
          <w:rFonts w:ascii="Times New Roman" w:hAnsi="Times New Roman" w:cs="Times New Roman"/>
          <w:sz w:val="16"/>
          <w:szCs w:val="16"/>
        </w:rPr>
        <w:t>.</w:t>
      </w:r>
    </w:p>
  </w:footnote>
  <w:footnote w:id="8">
    <w:p w14:paraId="5749E764" w14:textId="5E7ECAF0" w:rsidR="0015474F" w:rsidRPr="00E5681D" w:rsidRDefault="0015474F">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See Human Rights Watch, </w:t>
      </w:r>
      <w:r w:rsidRPr="00E5681D">
        <w:rPr>
          <w:rFonts w:ascii="Times New Roman" w:hAnsi="Times New Roman" w:cs="Times New Roman"/>
          <w:i/>
          <w:iCs/>
          <w:sz w:val="16"/>
          <w:szCs w:val="16"/>
        </w:rPr>
        <w:t>“Why Are You Keeping Me Here?”</w:t>
      </w:r>
      <w:r w:rsidRPr="00E5681D">
        <w:rPr>
          <w:rFonts w:ascii="Times New Roman" w:hAnsi="Times New Roman" w:cs="Times New Roman"/>
          <w:sz w:val="16"/>
          <w:szCs w:val="16"/>
        </w:rPr>
        <w:t>; Human Rights Watch interviews in Greece, February 2020.</w:t>
      </w:r>
    </w:p>
  </w:footnote>
  <w:footnote w:id="9">
    <w:p w14:paraId="4AD6FB65" w14:textId="0D5B83E8" w:rsidR="00DF5867" w:rsidRPr="00E5681D" w:rsidRDefault="00DF5867">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See</w:t>
      </w:r>
      <w:r w:rsidRPr="00E5681D">
        <w:rPr>
          <w:rFonts w:ascii="Times New Roman" w:hAnsi="Times New Roman" w:cs="Times New Roman"/>
          <w:i/>
          <w:iCs/>
          <w:sz w:val="16"/>
          <w:szCs w:val="16"/>
        </w:rPr>
        <w:t xml:space="preserve"> Affaire H.A. et </w:t>
      </w:r>
      <w:proofErr w:type="spellStart"/>
      <w:r w:rsidRPr="00E5681D">
        <w:rPr>
          <w:rFonts w:ascii="Times New Roman" w:hAnsi="Times New Roman" w:cs="Times New Roman"/>
          <w:i/>
          <w:iCs/>
          <w:sz w:val="16"/>
          <w:szCs w:val="16"/>
        </w:rPr>
        <w:t>Autres</w:t>
      </w:r>
      <w:proofErr w:type="spellEnd"/>
      <w:r w:rsidRPr="00E5681D">
        <w:rPr>
          <w:rFonts w:ascii="Times New Roman" w:hAnsi="Times New Roman" w:cs="Times New Roman"/>
          <w:i/>
          <w:iCs/>
          <w:sz w:val="16"/>
          <w:szCs w:val="16"/>
        </w:rPr>
        <w:t xml:space="preserve"> c. </w:t>
      </w:r>
      <w:proofErr w:type="spellStart"/>
      <w:r w:rsidRPr="00E5681D">
        <w:rPr>
          <w:rFonts w:ascii="Times New Roman" w:hAnsi="Times New Roman" w:cs="Times New Roman"/>
          <w:i/>
          <w:iCs/>
          <w:sz w:val="16"/>
          <w:szCs w:val="16"/>
        </w:rPr>
        <w:t>Grèce</w:t>
      </w:r>
      <w:proofErr w:type="spellEnd"/>
      <w:r w:rsidRPr="00E5681D">
        <w:rPr>
          <w:rFonts w:ascii="Times New Roman" w:hAnsi="Times New Roman" w:cs="Times New Roman"/>
          <w:sz w:val="16"/>
          <w:szCs w:val="16"/>
        </w:rPr>
        <w:t xml:space="preserve">, </w:t>
      </w:r>
      <w:proofErr w:type="spellStart"/>
      <w:r w:rsidRPr="00E5681D">
        <w:rPr>
          <w:rFonts w:ascii="Times New Roman" w:hAnsi="Times New Roman" w:cs="Times New Roman"/>
          <w:sz w:val="16"/>
          <w:szCs w:val="16"/>
        </w:rPr>
        <w:t>Arrêt</w:t>
      </w:r>
      <w:proofErr w:type="spellEnd"/>
      <w:r w:rsidRPr="00E5681D">
        <w:rPr>
          <w:rFonts w:ascii="Times New Roman" w:hAnsi="Times New Roman" w:cs="Times New Roman"/>
          <w:sz w:val="16"/>
          <w:szCs w:val="16"/>
        </w:rPr>
        <w:t xml:space="preserve">, </w:t>
      </w:r>
      <w:proofErr w:type="spellStart"/>
      <w:r w:rsidRPr="00E5681D">
        <w:rPr>
          <w:rFonts w:ascii="Times New Roman" w:hAnsi="Times New Roman" w:cs="Times New Roman"/>
          <w:sz w:val="16"/>
          <w:szCs w:val="16"/>
        </w:rPr>
        <w:t>Requête</w:t>
      </w:r>
      <w:proofErr w:type="spellEnd"/>
      <w:r w:rsidRPr="00E5681D">
        <w:rPr>
          <w:rFonts w:ascii="Times New Roman" w:hAnsi="Times New Roman" w:cs="Times New Roman"/>
          <w:sz w:val="16"/>
          <w:szCs w:val="16"/>
        </w:rPr>
        <w:t xml:space="preserve"> N° 19951/16 (Eur. Ct. H.R. February 28, 2019); </w:t>
      </w:r>
      <w:r w:rsidRPr="00E5681D">
        <w:rPr>
          <w:rFonts w:ascii="Times New Roman" w:hAnsi="Times New Roman" w:cs="Times New Roman"/>
          <w:i/>
          <w:iCs/>
          <w:sz w:val="16"/>
          <w:szCs w:val="16"/>
        </w:rPr>
        <w:t xml:space="preserve">Affaire </w:t>
      </w:r>
      <w:proofErr w:type="spellStart"/>
      <w:r w:rsidRPr="00E5681D">
        <w:rPr>
          <w:rFonts w:ascii="Times New Roman" w:hAnsi="Times New Roman" w:cs="Times New Roman"/>
          <w:i/>
          <w:iCs/>
          <w:sz w:val="16"/>
          <w:szCs w:val="16"/>
        </w:rPr>
        <w:t>Sh.D</w:t>
      </w:r>
      <w:proofErr w:type="spellEnd"/>
      <w:r w:rsidRPr="00E5681D">
        <w:rPr>
          <w:rFonts w:ascii="Times New Roman" w:hAnsi="Times New Roman" w:cs="Times New Roman"/>
          <w:i/>
          <w:iCs/>
          <w:sz w:val="16"/>
          <w:szCs w:val="16"/>
        </w:rPr>
        <w:t xml:space="preserve">. et </w:t>
      </w:r>
      <w:proofErr w:type="spellStart"/>
      <w:r w:rsidRPr="00E5681D">
        <w:rPr>
          <w:rFonts w:ascii="Times New Roman" w:hAnsi="Times New Roman" w:cs="Times New Roman"/>
          <w:i/>
          <w:iCs/>
          <w:sz w:val="16"/>
          <w:szCs w:val="16"/>
        </w:rPr>
        <w:t>Autres</w:t>
      </w:r>
      <w:proofErr w:type="spellEnd"/>
      <w:r w:rsidRPr="00E5681D">
        <w:rPr>
          <w:rFonts w:ascii="Times New Roman" w:hAnsi="Times New Roman" w:cs="Times New Roman"/>
          <w:i/>
          <w:iCs/>
          <w:sz w:val="16"/>
          <w:szCs w:val="16"/>
        </w:rPr>
        <w:t xml:space="preserve"> c. </w:t>
      </w:r>
      <w:proofErr w:type="spellStart"/>
      <w:r w:rsidRPr="00E5681D">
        <w:rPr>
          <w:rFonts w:ascii="Times New Roman" w:hAnsi="Times New Roman" w:cs="Times New Roman"/>
          <w:i/>
          <w:iCs/>
          <w:sz w:val="16"/>
          <w:szCs w:val="16"/>
        </w:rPr>
        <w:t>Grèce</w:t>
      </w:r>
      <w:proofErr w:type="spellEnd"/>
      <w:r w:rsidRPr="00E5681D">
        <w:rPr>
          <w:rFonts w:ascii="Times New Roman" w:hAnsi="Times New Roman" w:cs="Times New Roman"/>
          <w:i/>
          <w:iCs/>
          <w:sz w:val="16"/>
          <w:szCs w:val="16"/>
        </w:rPr>
        <w:t xml:space="preserve">, </w:t>
      </w:r>
      <w:proofErr w:type="spellStart"/>
      <w:r w:rsidRPr="00E5681D">
        <w:rPr>
          <w:rFonts w:ascii="Times New Roman" w:hAnsi="Times New Roman" w:cs="Times New Roman"/>
          <w:i/>
          <w:iCs/>
          <w:sz w:val="16"/>
          <w:szCs w:val="16"/>
        </w:rPr>
        <w:t>Autriche</w:t>
      </w:r>
      <w:proofErr w:type="spellEnd"/>
      <w:r w:rsidRPr="00E5681D">
        <w:rPr>
          <w:rFonts w:ascii="Times New Roman" w:hAnsi="Times New Roman" w:cs="Times New Roman"/>
          <w:i/>
          <w:iCs/>
          <w:sz w:val="16"/>
          <w:szCs w:val="16"/>
        </w:rPr>
        <w:t xml:space="preserve">, </w:t>
      </w:r>
      <w:proofErr w:type="spellStart"/>
      <w:r w:rsidRPr="00E5681D">
        <w:rPr>
          <w:rFonts w:ascii="Times New Roman" w:hAnsi="Times New Roman" w:cs="Times New Roman"/>
          <w:i/>
          <w:iCs/>
          <w:sz w:val="16"/>
          <w:szCs w:val="16"/>
        </w:rPr>
        <w:t>Croatie</w:t>
      </w:r>
      <w:proofErr w:type="spellEnd"/>
      <w:r w:rsidRPr="00E5681D">
        <w:rPr>
          <w:rFonts w:ascii="Times New Roman" w:hAnsi="Times New Roman" w:cs="Times New Roman"/>
          <w:i/>
          <w:iCs/>
          <w:sz w:val="16"/>
          <w:szCs w:val="16"/>
        </w:rPr>
        <w:t xml:space="preserve">, </w:t>
      </w:r>
      <w:proofErr w:type="spellStart"/>
      <w:r w:rsidRPr="00E5681D">
        <w:rPr>
          <w:rFonts w:ascii="Times New Roman" w:hAnsi="Times New Roman" w:cs="Times New Roman"/>
          <w:i/>
          <w:iCs/>
          <w:sz w:val="16"/>
          <w:szCs w:val="16"/>
        </w:rPr>
        <w:t>Hongrie</w:t>
      </w:r>
      <w:proofErr w:type="spellEnd"/>
      <w:r w:rsidRPr="00E5681D">
        <w:rPr>
          <w:rFonts w:ascii="Times New Roman" w:hAnsi="Times New Roman" w:cs="Times New Roman"/>
          <w:i/>
          <w:iCs/>
          <w:sz w:val="16"/>
          <w:szCs w:val="16"/>
        </w:rPr>
        <w:t xml:space="preserve">, </w:t>
      </w:r>
      <w:proofErr w:type="spellStart"/>
      <w:r w:rsidRPr="00E5681D">
        <w:rPr>
          <w:rFonts w:ascii="Times New Roman" w:hAnsi="Times New Roman" w:cs="Times New Roman"/>
          <w:i/>
          <w:iCs/>
          <w:sz w:val="16"/>
          <w:szCs w:val="16"/>
        </w:rPr>
        <w:t>Macédoine</w:t>
      </w:r>
      <w:proofErr w:type="spellEnd"/>
      <w:r w:rsidRPr="00E5681D">
        <w:rPr>
          <w:rFonts w:ascii="Times New Roman" w:hAnsi="Times New Roman" w:cs="Times New Roman"/>
          <w:i/>
          <w:iCs/>
          <w:sz w:val="16"/>
          <w:szCs w:val="16"/>
        </w:rPr>
        <w:t xml:space="preserve"> du Nord, </w:t>
      </w:r>
      <w:proofErr w:type="spellStart"/>
      <w:r w:rsidRPr="00E5681D">
        <w:rPr>
          <w:rFonts w:ascii="Times New Roman" w:hAnsi="Times New Roman" w:cs="Times New Roman"/>
          <w:i/>
          <w:iCs/>
          <w:sz w:val="16"/>
          <w:szCs w:val="16"/>
        </w:rPr>
        <w:t>Serbie</w:t>
      </w:r>
      <w:proofErr w:type="spellEnd"/>
      <w:r w:rsidRPr="00E5681D">
        <w:rPr>
          <w:rFonts w:ascii="Times New Roman" w:hAnsi="Times New Roman" w:cs="Times New Roman"/>
          <w:i/>
          <w:iCs/>
          <w:sz w:val="16"/>
          <w:szCs w:val="16"/>
        </w:rPr>
        <w:t xml:space="preserve"> et </w:t>
      </w:r>
      <w:proofErr w:type="spellStart"/>
      <w:r w:rsidRPr="00E5681D">
        <w:rPr>
          <w:rFonts w:ascii="Times New Roman" w:hAnsi="Times New Roman" w:cs="Times New Roman"/>
          <w:i/>
          <w:iCs/>
          <w:sz w:val="16"/>
          <w:szCs w:val="16"/>
        </w:rPr>
        <w:t>Slovénie</w:t>
      </w:r>
      <w:proofErr w:type="spellEnd"/>
      <w:r w:rsidRPr="00E5681D">
        <w:rPr>
          <w:rFonts w:ascii="Times New Roman" w:hAnsi="Times New Roman" w:cs="Times New Roman"/>
          <w:sz w:val="16"/>
          <w:szCs w:val="16"/>
        </w:rPr>
        <w:t xml:space="preserve">, </w:t>
      </w:r>
      <w:proofErr w:type="spellStart"/>
      <w:r w:rsidRPr="00E5681D">
        <w:rPr>
          <w:rFonts w:ascii="Times New Roman" w:hAnsi="Times New Roman" w:cs="Times New Roman"/>
          <w:sz w:val="16"/>
          <w:szCs w:val="16"/>
        </w:rPr>
        <w:t>Arrêt</w:t>
      </w:r>
      <w:proofErr w:type="spellEnd"/>
      <w:r w:rsidRPr="00E5681D">
        <w:rPr>
          <w:rFonts w:ascii="Times New Roman" w:hAnsi="Times New Roman" w:cs="Times New Roman"/>
          <w:sz w:val="16"/>
          <w:szCs w:val="16"/>
        </w:rPr>
        <w:t xml:space="preserve">, </w:t>
      </w:r>
      <w:proofErr w:type="spellStart"/>
      <w:r w:rsidRPr="00E5681D">
        <w:rPr>
          <w:rFonts w:ascii="Times New Roman" w:hAnsi="Times New Roman" w:cs="Times New Roman"/>
          <w:sz w:val="16"/>
          <w:szCs w:val="16"/>
        </w:rPr>
        <w:t>Requête</w:t>
      </w:r>
      <w:proofErr w:type="spellEnd"/>
      <w:r w:rsidRPr="00E5681D">
        <w:rPr>
          <w:rFonts w:ascii="Times New Roman" w:hAnsi="Times New Roman" w:cs="Times New Roman"/>
          <w:sz w:val="16"/>
          <w:szCs w:val="16"/>
        </w:rPr>
        <w:t xml:space="preserve"> N° 14165/16 (Eur. Ct. H.R. June 13, 2019); </w:t>
      </w:r>
      <w:r w:rsidRPr="00E5681D">
        <w:rPr>
          <w:rFonts w:ascii="Times New Roman" w:hAnsi="Times New Roman" w:cs="Times New Roman"/>
          <w:i/>
          <w:iCs/>
          <w:sz w:val="16"/>
          <w:szCs w:val="16"/>
        </w:rPr>
        <w:t>International Commission of Jurists (ICJ) and European Council for Refugees and Exiles (ECRE) v. Greece</w:t>
      </w:r>
      <w:r w:rsidRPr="00E5681D">
        <w:rPr>
          <w:rFonts w:ascii="Times New Roman" w:hAnsi="Times New Roman" w:cs="Times New Roman"/>
          <w:sz w:val="16"/>
          <w:szCs w:val="16"/>
        </w:rPr>
        <w:t xml:space="preserve">, Decision on Admissibility and on Immediate Measures, Complaint No. 173/2018 (European Committee on Social Rights May 23, 2019). </w:t>
      </w:r>
    </w:p>
  </w:footnote>
  <w:footnote w:id="10">
    <w:p w14:paraId="0D04D7B4" w14:textId="0AE01401" w:rsidR="0015474F" w:rsidRPr="00E5681D" w:rsidRDefault="0015474F">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See Greek Council for Refugees, “The European Court of Human Rights Grants Interim Measures in </w:t>
      </w:r>
      <w:proofErr w:type="spellStart"/>
      <w:r w:rsidRPr="00E5681D">
        <w:rPr>
          <w:rFonts w:ascii="Times New Roman" w:hAnsi="Times New Roman" w:cs="Times New Roman"/>
          <w:sz w:val="16"/>
          <w:szCs w:val="16"/>
        </w:rPr>
        <w:t>Favour</w:t>
      </w:r>
      <w:proofErr w:type="spellEnd"/>
      <w:r w:rsidRPr="00E5681D">
        <w:rPr>
          <w:rFonts w:ascii="Times New Roman" w:hAnsi="Times New Roman" w:cs="Times New Roman"/>
          <w:sz w:val="16"/>
          <w:szCs w:val="16"/>
        </w:rPr>
        <w:t xml:space="preserve"> of Two Detained Unaccompanied Girls,” March 28, 2019, </w:t>
      </w:r>
      <w:hyperlink r:id="rId14" w:history="1">
        <w:r w:rsidRPr="00E5681D">
          <w:rPr>
            <w:rStyle w:val="Hyperlink"/>
            <w:rFonts w:ascii="Times New Roman" w:hAnsi="Times New Roman" w:cs="Times New Roman"/>
            <w:color w:val="auto"/>
            <w:sz w:val="16"/>
            <w:szCs w:val="16"/>
            <w:u w:val="none"/>
          </w:rPr>
          <w:t>https://www.gcr.gr/en/news/press-releases-announcements/item/1069-the-european-court-of-human-rights-grants-interim-measures-in-favour-of-two-detained-unaccompanied-girls</w:t>
        </w:r>
      </w:hyperlink>
      <w:r w:rsidRPr="00E5681D">
        <w:rPr>
          <w:rFonts w:ascii="Times New Roman" w:hAnsi="Times New Roman" w:cs="Times New Roman"/>
          <w:sz w:val="16"/>
          <w:szCs w:val="16"/>
        </w:rPr>
        <w:t xml:space="preserve"> (viewed April 8, 2020); Association for the Social Support of Youth, “The ECHR Grants Interim Measures Putting an End to the Detention of Unaccompanied Minors in Police Stations,” October 12, 2019, </w:t>
      </w:r>
      <w:hyperlink r:id="rId15" w:history="1">
        <w:r w:rsidRPr="00E5681D">
          <w:rPr>
            <w:rStyle w:val="Hyperlink"/>
            <w:rFonts w:ascii="Times New Roman" w:hAnsi="Times New Roman" w:cs="Times New Roman"/>
            <w:color w:val="auto"/>
            <w:sz w:val="16"/>
            <w:szCs w:val="16"/>
            <w:u w:val="none"/>
          </w:rPr>
          <w:t>http://www.arsis.gr/en/press-release-the-echr-grants-interim-measures-putting-an-end-to-the-detention-of-unaccompanied-minors-in-police-stations/</w:t>
        </w:r>
      </w:hyperlink>
      <w:r w:rsidRPr="00E5681D">
        <w:rPr>
          <w:rFonts w:ascii="Times New Roman" w:hAnsi="Times New Roman" w:cs="Times New Roman"/>
          <w:sz w:val="16"/>
          <w:szCs w:val="16"/>
        </w:rPr>
        <w:t xml:space="preserve"> (viewed April 8, 2020); Refugee Support Aegean, “European Court of Human Rights Asks Greece to Transfer Two Unaccompanied Boys Detained in Police Station to Suitable Shelter,” November 6, 2019, </w:t>
      </w:r>
      <w:hyperlink r:id="rId16" w:history="1">
        <w:r w:rsidRPr="00E5681D">
          <w:rPr>
            <w:rStyle w:val="Hyperlink"/>
            <w:rFonts w:ascii="Times New Roman" w:hAnsi="Times New Roman" w:cs="Times New Roman"/>
            <w:color w:val="auto"/>
            <w:sz w:val="16"/>
            <w:szCs w:val="16"/>
            <w:u w:val="none"/>
          </w:rPr>
          <w:t>https://rsaegean.org/en/european-court-of-human-rights-asks-greece-to-transfer-two-unaccompanied-boys-detained-in-police-station-to-suitable-shelter/</w:t>
        </w:r>
      </w:hyperlink>
      <w:r w:rsidRPr="00E5681D">
        <w:rPr>
          <w:rFonts w:ascii="Times New Roman" w:hAnsi="Times New Roman" w:cs="Times New Roman"/>
          <w:sz w:val="16"/>
          <w:szCs w:val="16"/>
        </w:rPr>
        <w:t xml:space="preserve"> (viewed April 8, 2020).</w:t>
      </w:r>
    </w:p>
  </w:footnote>
  <w:footnote w:id="11">
    <w:p w14:paraId="25E6AC89" w14:textId="77777777" w:rsidR="0015474F" w:rsidRPr="00E5681D" w:rsidRDefault="0015474F" w:rsidP="0015474F">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National Centre for Social Solidarity, “Situation Update: Unaccompanied Children (UAC) in Greece,” March 31, 2020, </w:t>
      </w:r>
      <w:hyperlink r:id="rId17" w:history="1">
        <w:r w:rsidRPr="00E5681D">
          <w:rPr>
            <w:rStyle w:val="Hyperlink"/>
            <w:rFonts w:ascii="Times New Roman" w:hAnsi="Times New Roman" w:cs="Times New Roman"/>
            <w:color w:val="auto"/>
            <w:sz w:val="16"/>
            <w:szCs w:val="16"/>
            <w:u w:val="none"/>
          </w:rPr>
          <w:t>http://www.ekka.org.gr/images/ΣΤΑΤΙΣΤΙΚΑ_2020/EKKA%20Dashboard%2031-3-2020.pdf</w:t>
        </w:r>
      </w:hyperlink>
      <w:r w:rsidRPr="00E5681D">
        <w:rPr>
          <w:rFonts w:ascii="Times New Roman" w:hAnsi="Times New Roman" w:cs="Times New Roman"/>
          <w:sz w:val="16"/>
          <w:szCs w:val="16"/>
        </w:rPr>
        <w:t xml:space="preserve"> (viewed April 8, 2020). </w:t>
      </w:r>
    </w:p>
  </w:footnote>
  <w:footnote w:id="12">
    <w:p w14:paraId="5F687FCF" w14:textId="77777777" w:rsidR="00DF5867" w:rsidRPr="00E5681D" w:rsidRDefault="00DF5867" w:rsidP="00637CAB">
      <w:pPr>
        <w:pStyle w:val="FootnoteText"/>
        <w:rPr>
          <w:rFonts w:ascii="Times New Roman" w:hAnsi="Times New Roman" w:cs="Times New Roman"/>
          <w:sz w:val="16"/>
          <w:szCs w:val="16"/>
          <w:lang w:val="es-419"/>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w:t>
      </w:r>
      <w:r w:rsidRPr="00E5681D">
        <w:rPr>
          <w:rFonts w:ascii="Times New Roman" w:hAnsi="Times New Roman" w:cs="Times New Roman"/>
          <w:sz w:val="16"/>
          <w:szCs w:val="16"/>
          <w:lang w:val="en-GB"/>
        </w:rPr>
        <w:t xml:space="preserve">See generally Report of the Working Group on Arbitrary Detention, A/HRC/36/37, July 19, 2017, para. </w:t>
      </w:r>
      <w:r w:rsidRPr="00E5681D">
        <w:rPr>
          <w:rFonts w:ascii="Times New Roman" w:hAnsi="Times New Roman" w:cs="Times New Roman"/>
          <w:sz w:val="16"/>
          <w:szCs w:val="16"/>
          <w:lang w:val="es-419"/>
        </w:rPr>
        <w:t>53</w:t>
      </w:r>
    </w:p>
  </w:footnote>
  <w:footnote w:id="13">
    <w:p w14:paraId="32BC7E3F" w14:textId="1E29D685" w:rsidR="00DF5867" w:rsidRPr="00E5681D" w:rsidRDefault="00DF5867">
      <w:pPr>
        <w:pStyle w:val="FootnoteText"/>
        <w:rPr>
          <w:rFonts w:ascii="Times New Roman" w:hAnsi="Times New Roman" w:cs="Times New Roman"/>
          <w:b/>
          <w:bCs/>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lang w:val="es-419"/>
        </w:rPr>
        <w:t xml:space="preserve"> </w:t>
      </w:r>
      <w:proofErr w:type="spellStart"/>
      <w:r w:rsidR="00523059" w:rsidRPr="00E5681D">
        <w:rPr>
          <w:rFonts w:ascii="Times New Roman" w:hAnsi="Times New Roman" w:cs="Times New Roman"/>
          <w:sz w:val="16"/>
          <w:szCs w:val="16"/>
          <w:lang w:val="es-419"/>
        </w:rPr>
        <w:t>See</w:t>
      </w:r>
      <w:proofErr w:type="spellEnd"/>
      <w:r w:rsidR="00523059" w:rsidRPr="00E5681D">
        <w:rPr>
          <w:rFonts w:ascii="Times New Roman" w:hAnsi="Times New Roman" w:cs="Times New Roman"/>
          <w:sz w:val="16"/>
          <w:szCs w:val="16"/>
          <w:lang w:val="es-419"/>
        </w:rPr>
        <w:t xml:space="preserve">, </w:t>
      </w:r>
      <w:proofErr w:type="spellStart"/>
      <w:r w:rsidR="00523059" w:rsidRPr="00E5681D">
        <w:rPr>
          <w:rFonts w:ascii="Times New Roman" w:hAnsi="Times New Roman" w:cs="Times New Roman"/>
          <w:sz w:val="16"/>
          <w:szCs w:val="16"/>
          <w:lang w:val="es-419"/>
        </w:rPr>
        <w:t>for</w:t>
      </w:r>
      <w:proofErr w:type="spellEnd"/>
      <w:r w:rsidR="00523059" w:rsidRPr="00E5681D">
        <w:rPr>
          <w:rFonts w:ascii="Times New Roman" w:hAnsi="Times New Roman" w:cs="Times New Roman"/>
          <w:sz w:val="16"/>
          <w:szCs w:val="16"/>
          <w:lang w:val="es-419"/>
        </w:rPr>
        <w:t xml:space="preserve"> </w:t>
      </w:r>
      <w:proofErr w:type="spellStart"/>
      <w:r w:rsidR="00523059" w:rsidRPr="00E5681D">
        <w:rPr>
          <w:rFonts w:ascii="Times New Roman" w:hAnsi="Times New Roman" w:cs="Times New Roman"/>
          <w:sz w:val="16"/>
          <w:szCs w:val="16"/>
          <w:lang w:val="es-419"/>
        </w:rPr>
        <w:t>example</w:t>
      </w:r>
      <w:proofErr w:type="spellEnd"/>
      <w:r w:rsidR="00523059" w:rsidRPr="00E5681D">
        <w:rPr>
          <w:rFonts w:ascii="Times New Roman" w:hAnsi="Times New Roman" w:cs="Times New Roman"/>
          <w:sz w:val="16"/>
          <w:szCs w:val="16"/>
          <w:lang w:val="es-419"/>
        </w:rPr>
        <w:t xml:space="preserve">, </w:t>
      </w:r>
      <w:proofErr w:type="spellStart"/>
      <w:r w:rsidR="00523059" w:rsidRPr="00E5681D">
        <w:rPr>
          <w:rFonts w:ascii="Times New Roman" w:hAnsi="Times New Roman" w:cs="Times New Roman"/>
          <w:sz w:val="16"/>
          <w:szCs w:val="16"/>
          <w:lang w:val="es-419"/>
        </w:rPr>
        <w:t>Rebekah</w:t>
      </w:r>
      <w:proofErr w:type="spellEnd"/>
      <w:r w:rsidR="00523059" w:rsidRPr="00E5681D">
        <w:rPr>
          <w:rFonts w:ascii="Times New Roman" w:hAnsi="Times New Roman" w:cs="Times New Roman"/>
          <w:sz w:val="16"/>
          <w:szCs w:val="16"/>
          <w:lang w:val="es-419"/>
        </w:rPr>
        <w:t xml:space="preserve"> F. Ward, “México retiene a niños en estación migratoria pese a orden judicial,” Reuters, August 10, 2019, </w:t>
      </w:r>
      <w:r w:rsidR="009A0E3F">
        <w:fldChar w:fldCharType="begin"/>
      </w:r>
      <w:r w:rsidR="009A0E3F" w:rsidRPr="00057173">
        <w:rPr>
          <w:lang w:val="es-419"/>
        </w:rPr>
        <w:instrText xml:space="preserve"> HYPERLINK "https</w:instrText>
      </w:r>
      <w:r w:rsidR="009A0E3F" w:rsidRPr="00057173">
        <w:rPr>
          <w:lang w:val="es-419"/>
        </w:rPr>
        <w:instrText xml:space="preserve">://lta.reuters.com/articulo/inmigracion-mexico-eeuu-idLTAKCN1V00M4-OUSLT" </w:instrText>
      </w:r>
      <w:r w:rsidR="009A0E3F">
        <w:fldChar w:fldCharType="separate"/>
      </w:r>
      <w:r w:rsidR="00523059" w:rsidRPr="00E5681D">
        <w:rPr>
          <w:rStyle w:val="Hyperlink"/>
          <w:rFonts w:ascii="Times New Roman" w:hAnsi="Times New Roman" w:cs="Times New Roman"/>
          <w:color w:val="auto"/>
          <w:sz w:val="16"/>
          <w:szCs w:val="16"/>
          <w:u w:val="none"/>
          <w:lang w:val="es-419"/>
        </w:rPr>
        <w:t>https://lta.reuters.com/articulo/inmigracion-mexico-eeuu-idLTAKCN1V00M4-OUSLT</w:t>
      </w:r>
      <w:r w:rsidR="009A0E3F">
        <w:rPr>
          <w:rStyle w:val="Hyperlink"/>
          <w:rFonts w:ascii="Times New Roman" w:hAnsi="Times New Roman" w:cs="Times New Roman"/>
          <w:color w:val="auto"/>
          <w:sz w:val="16"/>
          <w:szCs w:val="16"/>
          <w:u w:val="none"/>
          <w:lang w:val="es-419"/>
        </w:rPr>
        <w:fldChar w:fldCharType="end"/>
      </w:r>
      <w:r w:rsidR="00523059" w:rsidRPr="00E5681D">
        <w:rPr>
          <w:rFonts w:ascii="Times New Roman" w:hAnsi="Times New Roman" w:cs="Times New Roman"/>
          <w:sz w:val="16"/>
          <w:szCs w:val="16"/>
          <w:lang w:val="es-419"/>
        </w:rPr>
        <w:t xml:space="preserve"> (viewed April 14, 2020). </w:t>
      </w:r>
      <w:r w:rsidRPr="00E5681D">
        <w:rPr>
          <w:rFonts w:ascii="Times New Roman" w:hAnsi="Times New Roman" w:cs="Times New Roman"/>
          <w:sz w:val="16"/>
          <w:szCs w:val="16"/>
          <w:lang w:val="es-419"/>
        </w:rPr>
        <w:t xml:space="preserve">For Mexico’s official data on apprehension and immigration detention of children, see Gobierno de México, Dirección de Estadística, “Boletines Estadísticos,” </w:t>
      </w:r>
      <w:r w:rsidR="009A0E3F">
        <w:fldChar w:fldCharType="begin"/>
      </w:r>
      <w:r w:rsidR="009A0E3F" w:rsidRPr="00057173">
        <w:rPr>
          <w:lang w:val="es-419"/>
        </w:rPr>
        <w:instrText xml:space="preserve"> HYPERLINK "http://www.politicamigratoria.gob.mx/es/PoliticaMigratoria/Boletines_Estadisticos" </w:instrText>
      </w:r>
      <w:r w:rsidR="009A0E3F">
        <w:fldChar w:fldCharType="separate"/>
      </w:r>
      <w:r w:rsidRPr="00E5681D">
        <w:rPr>
          <w:rStyle w:val="Hyperlink"/>
          <w:rFonts w:ascii="Times New Roman" w:hAnsi="Times New Roman" w:cs="Times New Roman"/>
          <w:color w:val="auto"/>
          <w:sz w:val="16"/>
          <w:szCs w:val="16"/>
          <w:u w:val="none"/>
          <w:lang w:val="es-419"/>
        </w:rPr>
        <w:t>http://www.politicamigratoria.gob.mx/es/PoliticaMigratoria/Boletines_Estadisticos</w:t>
      </w:r>
      <w:r w:rsidR="009A0E3F">
        <w:rPr>
          <w:rStyle w:val="Hyperlink"/>
          <w:rFonts w:ascii="Times New Roman" w:hAnsi="Times New Roman" w:cs="Times New Roman"/>
          <w:color w:val="auto"/>
          <w:sz w:val="16"/>
          <w:szCs w:val="16"/>
          <w:u w:val="none"/>
          <w:lang w:val="es-419"/>
        </w:rPr>
        <w:fldChar w:fldCharType="end"/>
      </w:r>
      <w:r w:rsidRPr="00E5681D">
        <w:rPr>
          <w:rFonts w:ascii="Times New Roman" w:hAnsi="Times New Roman" w:cs="Times New Roman"/>
          <w:sz w:val="16"/>
          <w:szCs w:val="16"/>
          <w:lang w:val="es-419"/>
        </w:rPr>
        <w:t xml:space="preserve"> (viewed April 9, 2020). </w:t>
      </w:r>
      <w:r w:rsidRPr="00E5681D">
        <w:rPr>
          <w:rFonts w:ascii="Times New Roman" w:hAnsi="Times New Roman" w:cs="Times New Roman"/>
          <w:sz w:val="16"/>
          <w:szCs w:val="16"/>
        </w:rPr>
        <w:t xml:space="preserve">See also Human Rights Watch, </w:t>
      </w:r>
      <w:r w:rsidRPr="00E5681D">
        <w:rPr>
          <w:rFonts w:ascii="Times New Roman" w:hAnsi="Times New Roman" w:cs="Times New Roman"/>
          <w:i/>
          <w:iCs/>
          <w:sz w:val="16"/>
          <w:szCs w:val="16"/>
        </w:rPr>
        <w:t>Closed Doors</w:t>
      </w:r>
      <w:r w:rsidR="00800865" w:rsidRPr="00E5681D">
        <w:rPr>
          <w:rFonts w:ascii="Times New Roman" w:hAnsi="Times New Roman" w:cs="Times New Roman"/>
          <w:sz w:val="16"/>
          <w:szCs w:val="16"/>
        </w:rPr>
        <w:t xml:space="preserve">, </w:t>
      </w:r>
      <w:r w:rsidRPr="00E5681D">
        <w:rPr>
          <w:rFonts w:ascii="Times New Roman" w:hAnsi="Times New Roman" w:cs="Times New Roman"/>
          <w:sz w:val="16"/>
          <w:szCs w:val="16"/>
        </w:rPr>
        <w:t>Appendix: Analysis of Apprehension, Returns, and Refugee Recognition Data.</w:t>
      </w:r>
    </w:p>
  </w:footnote>
  <w:footnote w:id="14">
    <w:p w14:paraId="47551BEB" w14:textId="23E9D543" w:rsidR="00EA0F91" w:rsidRPr="00E5681D" w:rsidRDefault="00DF5867">
      <w:pPr>
        <w:pStyle w:val="FootnoteText"/>
        <w:rPr>
          <w:rFonts w:ascii="Times New Roman" w:hAnsi="Times New Roman" w:cs="Times New Roman"/>
          <w:sz w:val="16"/>
          <w:szCs w:val="16"/>
          <w:lang w:val="es-419"/>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lang w:val="es-419"/>
        </w:rPr>
        <w:t xml:space="preserve"> See</w:t>
      </w:r>
      <w:r w:rsidR="00EA0F91" w:rsidRPr="00E5681D">
        <w:rPr>
          <w:rFonts w:ascii="Times New Roman" w:hAnsi="Times New Roman" w:cs="Times New Roman"/>
          <w:sz w:val="16"/>
          <w:szCs w:val="16"/>
          <w:lang w:val="es-419"/>
        </w:rPr>
        <w:t xml:space="preserve"> Ley de Migración [Immigration Law], Diario Oficial de la Federación, May 25, 2011, as amended, Diario Oficial de la Federación, October 30, 2014, </w:t>
      </w:r>
      <w:r w:rsidR="009A0E3F">
        <w:fldChar w:fldCharType="begin"/>
      </w:r>
      <w:r w:rsidR="009A0E3F" w:rsidRPr="00057173">
        <w:rPr>
          <w:lang w:val="es-419"/>
        </w:rPr>
        <w:instrText xml:space="preserve"> HYPERLINK "http://www.diputados.gob.mx/LeyesBiblio/pdf/LMigra_301014.pdf" </w:instrText>
      </w:r>
      <w:r w:rsidR="009A0E3F">
        <w:fldChar w:fldCharType="separate"/>
      </w:r>
      <w:r w:rsidR="00EA0F91" w:rsidRPr="00E5681D">
        <w:rPr>
          <w:rStyle w:val="Hyperlink"/>
          <w:rFonts w:ascii="Times New Roman" w:hAnsi="Times New Roman" w:cs="Times New Roman"/>
          <w:color w:val="auto"/>
          <w:sz w:val="16"/>
          <w:szCs w:val="16"/>
          <w:u w:val="none"/>
          <w:lang w:val="es-419"/>
        </w:rPr>
        <w:t>http://www.diputados.gob.mx/LeyesBiblio/pdf/LMigra_301014.pdf</w:t>
      </w:r>
      <w:r w:rsidR="009A0E3F">
        <w:rPr>
          <w:rStyle w:val="Hyperlink"/>
          <w:rFonts w:ascii="Times New Roman" w:hAnsi="Times New Roman" w:cs="Times New Roman"/>
          <w:color w:val="auto"/>
          <w:sz w:val="16"/>
          <w:szCs w:val="16"/>
          <w:u w:val="none"/>
          <w:lang w:val="es-419"/>
        </w:rPr>
        <w:fldChar w:fldCharType="end"/>
      </w:r>
      <w:r w:rsidR="00EA0F91" w:rsidRPr="00E5681D">
        <w:rPr>
          <w:rStyle w:val="Hyperlink"/>
          <w:rFonts w:ascii="Times New Roman" w:hAnsi="Times New Roman" w:cs="Times New Roman"/>
          <w:color w:val="auto"/>
          <w:sz w:val="16"/>
          <w:szCs w:val="16"/>
          <w:u w:val="none"/>
          <w:lang w:val="es-419"/>
        </w:rPr>
        <w:t xml:space="preserve"> </w:t>
      </w:r>
      <w:r w:rsidR="00EA0F91" w:rsidRPr="00E5681D">
        <w:rPr>
          <w:rFonts w:ascii="Times New Roman" w:hAnsi="Times New Roman" w:cs="Times New Roman"/>
          <w:sz w:val="16"/>
          <w:szCs w:val="16"/>
          <w:lang w:val="es-419"/>
        </w:rPr>
        <w:t>(</w:t>
      </w:r>
      <w:proofErr w:type="spellStart"/>
      <w:r w:rsidR="00EA0F91" w:rsidRPr="00E5681D">
        <w:rPr>
          <w:rFonts w:ascii="Times New Roman" w:hAnsi="Times New Roman" w:cs="Times New Roman"/>
          <w:sz w:val="16"/>
          <w:szCs w:val="16"/>
          <w:lang w:val="es-419"/>
        </w:rPr>
        <w:t>viewed</w:t>
      </w:r>
      <w:proofErr w:type="spellEnd"/>
      <w:r w:rsidR="00EA0F91" w:rsidRPr="00E5681D">
        <w:rPr>
          <w:rFonts w:ascii="Times New Roman" w:hAnsi="Times New Roman" w:cs="Times New Roman"/>
          <w:sz w:val="16"/>
          <w:szCs w:val="16"/>
          <w:lang w:val="es-419"/>
        </w:rPr>
        <w:t xml:space="preserve"> April 14, 2020).</w:t>
      </w:r>
    </w:p>
  </w:footnote>
  <w:footnote w:id="15">
    <w:p w14:paraId="0A671ADA" w14:textId="7FCB0D4F" w:rsidR="00DF5867" w:rsidRPr="00E5681D" w:rsidRDefault="00DF5867" w:rsidP="00BB00C2">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w:t>
      </w:r>
      <w:r w:rsidR="002E2D4F" w:rsidRPr="00E5681D">
        <w:rPr>
          <w:rFonts w:ascii="Times New Roman" w:hAnsi="Times New Roman" w:cs="Times New Roman"/>
          <w:sz w:val="16"/>
          <w:szCs w:val="16"/>
        </w:rPr>
        <w:t xml:space="preserve">See Immigration and Refugee Board of Canada, “Persons Subject to a Detention Review,” February 20, 2020, </w:t>
      </w:r>
      <w:hyperlink r:id="rId18" w:history="1">
        <w:r w:rsidR="002E2D4F" w:rsidRPr="00E5681D">
          <w:rPr>
            <w:rStyle w:val="Hyperlink"/>
            <w:rFonts w:ascii="Times New Roman" w:hAnsi="Times New Roman" w:cs="Times New Roman"/>
            <w:color w:val="auto"/>
            <w:sz w:val="16"/>
            <w:szCs w:val="16"/>
            <w:u w:val="none"/>
          </w:rPr>
          <w:t>https://irb-cisr.gc.ca/en/statistics/detentions-reviews/Pages/dentenSub.aspx</w:t>
        </w:r>
      </w:hyperlink>
      <w:r w:rsidR="002E2D4F" w:rsidRPr="00E5681D">
        <w:rPr>
          <w:rFonts w:ascii="Times New Roman" w:hAnsi="Times New Roman" w:cs="Times New Roman"/>
          <w:sz w:val="16"/>
          <w:szCs w:val="16"/>
        </w:rPr>
        <w:t xml:space="preserve"> (viewed April 6, 2020); Immigration and Refugee Protection Regulations (SOR/2002-227), s 248, s 248.1, and s 249 (Canada); </w:t>
      </w:r>
      <w:r w:rsidRPr="00E5681D">
        <w:rPr>
          <w:rFonts w:ascii="Times New Roman" w:hAnsi="Times New Roman" w:cs="Times New Roman"/>
          <w:sz w:val="16"/>
          <w:szCs w:val="16"/>
        </w:rPr>
        <w:t xml:space="preserve">Joint Submission by Human Rights Watch and the University of Toronto’s International Human Rights Program to the Committee on the Rights of the Child’s Consideration of Canada’s fifth and sixth periodic reports, March 2020, </w:t>
      </w:r>
      <w:hyperlink r:id="rId19" w:history="1">
        <w:r w:rsidRPr="00E5681D">
          <w:rPr>
            <w:rStyle w:val="Hyperlink"/>
            <w:rFonts w:ascii="Times New Roman" w:hAnsi="Times New Roman" w:cs="Times New Roman"/>
            <w:color w:val="auto"/>
            <w:sz w:val="16"/>
            <w:szCs w:val="16"/>
            <w:u w:val="none"/>
          </w:rPr>
          <w:t>https://www.hrw.org/news/2020/03/04/joint-submission-committee-rights-childs-review-canada</w:t>
        </w:r>
      </w:hyperlink>
      <w:r w:rsidRPr="00E5681D">
        <w:rPr>
          <w:rFonts w:ascii="Times New Roman" w:hAnsi="Times New Roman" w:cs="Times New Roman"/>
          <w:sz w:val="16"/>
          <w:szCs w:val="16"/>
        </w:rPr>
        <w:t>.</w:t>
      </w:r>
    </w:p>
  </w:footnote>
  <w:footnote w:id="16">
    <w:p w14:paraId="55591362" w14:textId="626585A5" w:rsidR="0015474F" w:rsidRPr="00E5681D" w:rsidRDefault="0015474F">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w:t>
      </w:r>
      <w:r w:rsidR="00D339A1" w:rsidRPr="00E5681D">
        <w:rPr>
          <w:rFonts w:ascii="Times New Roman" w:eastAsia="MetaPro-Norm" w:hAnsi="Times New Roman" w:cs="Times New Roman"/>
          <w:sz w:val="16"/>
          <w:szCs w:val="16"/>
        </w:rPr>
        <w:t xml:space="preserve">Canada Border Services Agency, “Annual Detention Statistics – 2012-2019,” August 20, 2019, </w:t>
      </w:r>
      <w:hyperlink r:id="rId20" w:tgtFrame="_blank" w:history="1">
        <w:r w:rsidR="00D339A1" w:rsidRPr="00E5681D">
          <w:rPr>
            <w:rStyle w:val="Hyperlink"/>
            <w:rFonts w:ascii="Times New Roman" w:hAnsi="Times New Roman" w:cs="Times New Roman"/>
            <w:color w:val="auto"/>
            <w:sz w:val="16"/>
            <w:szCs w:val="16"/>
            <w:u w:val="none"/>
          </w:rPr>
          <w:t>https://www.cbsa-asfc.gc.ca/security-securite/detent/stat-2012-2019-eng.html</w:t>
        </w:r>
      </w:hyperlink>
      <w:r w:rsidR="00D339A1" w:rsidRPr="00E5681D">
        <w:rPr>
          <w:rFonts w:ascii="Times New Roman" w:eastAsia="Times New Roman" w:hAnsi="Times New Roman" w:cs="Times New Roman"/>
          <w:sz w:val="16"/>
          <w:szCs w:val="16"/>
          <w:shd w:val="clear" w:color="auto" w:fill="FFFFFF"/>
        </w:rPr>
        <w:t xml:space="preserve"> (viewed April 6, 2020).</w:t>
      </w:r>
    </w:p>
  </w:footnote>
  <w:footnote w:id="17">
    <w:p w14:paraId="495615B2" w14:textId="4B45214B" w:rsidR="00DF5867" w:rsidRPr="00E5681D" w:rsidRDefault="00DF5867">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See, for example, Pablo Ceriani </w:t>
      </w:r>
      <w:proofErr w:type="spellStart"/>
      <w:r w:rsidRPr="00E5681D">
        <w:rPr>
          <w:rFonts w:ascii="Times New Roman" w:hAnsi="Times New Roman" w:cs="Times New Roman"/>
          <w:sz w:val="16"/>
          <w:szCs w:val="16"/>
        </w:rPr>
        <w:t>Cernadas</w:t>
      </w:r>
      <w:proofErr w:type="spellEnd"/>
      <w:r w:rsidRPr="00E5681D">
        <w:rPr>
          <w:rFonts w:ascii="Times New Roman" w:hAnsi="Times New Roman" w:cs="Times New Roman"/>
          <w:sz w:val="16"/>
          <w:szCs w:val="16"/>
        </w:rPr>
        <w:t>, “Immigration Detention Through the Lens of International Human Rights: Lessons from South America,” Global Detention Project Working Paper No. 23, September 2017 (noting that “[o]</w:t>
      </w:r>
      <w:proofErr w:type="spellStart"/>
      <w:r w:rsidRPr="00E5681D">
        <w:rPr>
          <w:rFonts w:ascii="Times New Roman" w:hAnsi="Times New Roman" w:cs="Times New Roman"/>
          <w:sz w:val="16"/>
          <w:szCs w:val="16"/>
        </w:rPr>
        <w:t>ver</w:t>
      </w:r>
      <w:proofErr w:type="spellEnd"/>
      <w:r w:rsidRPr="00E5681D">
        <w:rPr>
          <w:rFonts w:ascii="Times New Roman" w:hAnsi="Times New Roman" w:cs="Times New Roman"/>
          <w:sz w:val="16"/>
          <w:szCs w:val="16"/>
        </w:rPr>
        <w:t xml:space="preserve"> the last decade, many South American countries have explicitly and repeatedly rejected policies aimed at criminalizing irregular migration and enforcing punitive tools such as detention . . .”); </w:t>
      </w:r>
      <w:r w:rsidRPr="00E5681D">
        <w:rPr>
          <w:rFonts w:ascii="Times New Roman" w:hAnsi="Times New Roman" w:cs="Times New Roman"/>
          <w:i/>
          <w:iCs/>
          <w:sz w:val="16"/>
          <w:szCs w:val="16"/>
        </w:rPr>
        <w:t xml:space="preserve">Global Study on Children Deprived of Liberty, </w:t>
      </w:r>
      <w:r w:rsidRPr="00E5681D">
        <w:rPr>
          <w:rFonts w:ascii="Times New Roman" w:hAnsi="Times New Roman" w:cs="Times New Roman"/>
          <w:sz w:val="16"/>
          <w:szCs w:val="16"/>
        </w:rPr>
        <w:t>pp. 484-85</w:t>
      </w:r>
      <w:r w:rsidR="00C80960" w:rsidRPr="00E5681D">
        <w:rPr>
          <w:rFonts w:ascii="Times New Roman" w:hAnsi="Times New Roman" w:cs="Times New Roman"/>
          <w:sz w:val="16"/>
          <w:szCs w:val="16"/>
        </w:rPr>
        <w:t>.</w:t>
      </w:r>
    </w:p>
  </w:footnote>
  <w:footnote w:id="18">
    <w:p w14:paraId="6277A324" w14:textId="1D29E8B8" w:rsidR="00DF5867" w:rsidRPr="00E5681D" w:rsidRDefault="00DF5867">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UNHCR, “Beyond Detention 2014-2019: National Action Plan: Indonesia,” June 2017, </w:t>
      </w:r>
      <w:hyperlink r:id="rId21" w:history="1">
        <w:r w:rsidRPr="00E5681D">
          <w:rPr>
            <w:rStyle w:val="Hyperlink"/>
            <w:rFonts w:ascii="Times New Roman" w:hAnsi="Times New Roman" w:cs="Times New Roman"/>
            <w:color w:val="auto"/>
            <w:sz w:val="16"/>
            <w:szCs w:val="16"/>
            <w:u w:val="none"/>
          </w:rPr>
          <w:t>https://www.unhcr.org/5666a2ea9.pdf</w:t>
        </w:r>
      </w:hyperlink>
      <w:r w:rsidRPr="00E5681D">
        <w:rPr>
          <w:rFonts w:ascii="Times New Roman" w:hAnsi="Times New Roman" w:cs="Times New Roman"/>
          <w:sz w:val="16"/>
          <w:szCs w:val="16"/>
        </w:rPr>
        <w:t xml:space="preserve"> (viewed April 7, 2020). As of 2015, Indonesia detained 830 children for immigration-related purposes. UNHCR, “Indonesia: Progress Under the Global Strategy Beyond Detention 2014-2019, Mid-2016,” August 2016, </w:t>
      </w:r>
      <w:hyperlink r:id="rId22" w:history="1">
        <w:r w:rsidRPr="00E5681D">
          <w:rPr>
            <w:rStyle w:val="Hyperlink"/>
            <w:rFonts w:ascii="Times New Roman" w:hAnsi="Times New Roman" w:cs="Times New Roman"/>
            <w:color w:val="auto"/>
            <w:sz w:val="16"/>
            <w:szCs w:val="16"/>
            <w:u w:val="none"/>
          </w:rPr>
          <w:t>https://www.unhcr.org/57b583457</w:t>
        </w:r>
      </w:hyperlink>
      <w:r w:rsidRPr="00E5681D">
        <w:rPr>
          <w:rFonts w:ascii="Times New Roman" w:hAnsi="Times New Roman" w:cs="Times New Roman"/>
          <w:sz w:val="16"/>
          <w:szCs w:val="16"/>
        </w:rPr>
        <w:t xml:space="preserve"> (viewed April 7, 2020). For background on immigration detention of children in Indonesia, see, for example, Human Rights Watch, </w:t>
      </w:r>
      <w:r w:rsidRPr="00E5681D">
        <w:rPr>
          <w:rFonts w:ascii="Times New Roman" w:hAnsi="Times New Roman" w:cs="Times New Roman"/>
          <w:i/>
          <w:iCs/>
          <w:sz w:val="16"/>
          <w:szCs w:val="16"/>
        </w:rPr>
        <w:t>Barely Surviving</w:t>
      </w:r>
      <w:r w:rsidR="00800865" w:rsidRPr="00E5681D">
        <w:rPr>
          <w:rFonts w:ascii="Times New Roman" w:hAnsi="Times New Roman" w:cs="Times New Roman"/>
          <w:sz w:val="16"/>
          <w:szCs w:val="16"/>
        </w:rPr>
        <w:t>.</w:t>
      </w:r>
    </w:p>
  </w:footnote>
  <w:footnote w:id="19">
    <w:p w14:paraId="704A79F6" w14:textId="63DB8706" w:rsidR="00DF5867" w:rsidRPr="00E5681D" w:rsidRDefault="00DF5867" w:rsidP="0094351A">
      <w:pPr>
        <w:pStyle w:val="Normal1"/>
        <w:pBdr>
          <w:top w:val="nil"/>
          <w:left w:val="nil"/>
          <w:bottom w:val="nil"/>
          <w:right w:val="nil"/>
          <w:between w:val="nil"/>
        </w:pBdr>
        <w:spacing w:after="0" w:line="240" w:lineRule="auto"/>
        <w:rPr>
          <w:rFonts w:ascii="Times New Roman" w:eastAsia="MetaPro-Norm" w:hAnsi="Times New Roman" w:cs="Times New Roman"/>
          <w:sz w:val="16"/>
          <w:szCs w:val="16"/>
        </w:rPr>
      </w:pPr>
      <w:r w:rsidRPr="00E5681D">
        <w:rPr>
          <w:rFonts w:ascii="Times New Roman" w:hAnsi="Times New Roman" w:cs="Times New Roman"/>
          <w:sz w:val="16"/>
          <w:szCs w:val="16"/>
          <w:vertAlign w:val="superscript"/>
        </w:rPr>
        <w:footnoteRef/>
      </w:r>
      <w:r w:rsidRPr="00E5681D">
        <w:rPr>
          <w:rFonts w:ascii="Times New Roman" w:eastAsia="MetaPro-Norm" w:hAnsi="Times New Roman" w:cs="Times New Roman"/>
          <w:sz w:val="16"/>
          <w:szCs w:val="16"/>
        </w:rPr>
        <w:t xml:space="preserve"> Canada Border Services Agency, “Alternatives to </w:t>
      </w:r>
      <w:r w:rsidR="007659B3" w:rsidRPr="00E5681D">
        <w:rPr>
          <w:rFonts w:ascii="Times New Roman" w:eastAsia="MetaPro-Norm" w:hAnsi="Times New Roman" w:cs="Times New Roman"/>
          <w:sz w:val="16"/>
          <w:szCs w:val="16"/>
        </w:rPr>
        <w:t>D</w:t>
      </w:r>
      <w:r w:rsidRPr="00E5681D">
        <w:rPr>
          <w:rFonts w:ascii="Times New Roman" w:eastAsia="MetaPro-Norm" w:hAnsi="Times New Roman" w:cs="Times New Roman"/>
          <w:sz w:val="16"/>
          <w:szCs w:val="16"/>
        </w:rPr>
        <w:t xml:space="preserve">etention: Questions and Answers,” (July 24, 2018) </w:t>
      </w:r>
      <w:hyperlink r:id="rId23" w:history="1">
        <w:r w:rsidRPr="00E5681D">
          <w:rPr>
            <w:rStyle w:val="Hyperlink"/>
            <w:rFonts w:ascii="Times New Roman" w:eastAsiaTheme="minorHAnsi" w:hAnsi="Times New Roman" w:cs="Times New Roman"/>
            <w:color w:val="auto"/>
            <w:sz w:val="16"/>
            <w:szCs w:val="16"/>
            <w:u w:val="none"/>
          </w:rPr>
          <w:t>https://www.cbsa-asfc.gc.ca/security-securite/detent/qa-qr-eng.html</w:t>
        </w:r>
      </w:hyperlink>
      <w:r w:rsidRPr="00E5681D">
        <w:rPr>
          <w:rFonts w:ascii="Times New Roman" w:hAnsi="Times New Roman" w:cs="Times New Roman"/>
          <w:sz w:val="16"/>
          <w:szCs w:val="16"/>
        </w:rPr>
        <w:t>.</w:t>
      </w:r>
    </w:p>
  </w:footnote>
  <w:footnote w:id="20">
    <w:p w14:paraId="42750536" w14:textId="22A0A05E" w:rsidR="00DF5867" w:rsidRPr="00E5681D" w:rsidRDefault="00DF5867">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w:t>
      </w:r>
      <w:r w:rsidRPr="00E5681D">
        <w:rPr>
          <w:rFonts w:ascii="Times New Roman" w:eastAsia="MetaPro-Norm" w:hAnsi="Times New Roman" w:cs="Times New Roman"/>
          <w:sz w:val="16"/>
          <w:szCs w:val="16"/>
        </w:rPr>
        <w:t xml:space="preserve">Canada Border Services Agency, “Annual Detention Statistics – 2012-2019,” August 20, 2019, </w:t>
      </w:r>
      <w:hyperlink r:id="rId24" w:tgtFrame="_blank" w:history="1">
        <w:r w:rsidRPr="00E5681D">
          <w:rPr>
            <w:rStyle w:val="Hyperlink"/>
            <w:rFonts w:ascii="Times New Roman" w:hAnsi="Times New Roman" w:cs="Times New Roman"/>
            <w:color w:val="auto"/>
            <w:sz w:val="16"/>
            <w:szCs w:val="16"/>
            <w:u w:val="none"/>
          </w:rPr>
          <w:t>https://www.cbsa-asfc.gc.ca/security-securite/detent/stat-2012-2019-eng.html</w:t>
        </w:r>
      </w:hyperlink>
      <w:r w:rsidRPr="00E5681D">
        <w:rPr>
          <w:rFonts w:ascii="Times New Roman" w:eastAsia="Times New Roman" w:hAnsi="Times New Roman" w:cs="Times New Roman"/>
          <w:sz w:val="16"/>
          <w:szCs w:val="16"/>
          <w:shd w:val="clear" w:color="auto" w:fill="FFFFFF"/>
        </w:rPr>
        <w:t>.</w:t>
      </w:r>
    </w:p>
  </w:footnote>
  <w:footnote w:id="21">
    <w:p w14:paraId="612BC0E2" w14:textId="4A2CAE05" w:rsidR="00DF5867" w:rsidRPr="00E5681D" w:rsidRDefault="00DF5867">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w:t>
      </w:r>
      <w:proofErr w:type="spellStart"/>
      <w:r w:rsidRPr="00E5681D">
        <w:rPr>
          <w:rFonts w:ascii="Times New Roman" w:hAnsi="Times New Roman" w:cs="Times New Roman"/>
          <w:sz w:val="16"/>
          <w:szCs w:val="16"/>
        </w:rPr>
        <w:t>METAdrasi</w:t>
      </w:r>
      <w:proofErr w:type="spellEnd"/>
      <w:r w:rsidRPr="00E5681D">
        <w:rPr>
          <w:rFonts w:ascii="Times New Roman" w:hAnsi="Times New Roman" w:cs="Times New Roman"/>
          <w:sz w:val="16"/>
          <w:szCs w:val="16"/>
        </w:rPr>
        <w:t xml:space="preserve">, “Supported Independent Living for Unaccompanied Minors,” n.d., </w:t>
      </w:r>
      <w:hyperlink r:id="rId25" w:history="1">
        <w:r w:rsidRPr="00E5681D">
          <w:rPr>
            <w:rStyle w:val="Hyperlink"/>
            <w:rFonts w:ascii="Times New Roman" w:hAnsi="Times New Roman" w:cs="Times New Roman"/>
            <w:color w:val="auto"/>
            <w:sz w:val="16"/>
            <w:szCs w:val="16"/>
            <w:u w:val="none"/>
          </w:rPr>
          <w:t>https://metadrasi.org/en/campaigns/supported-semi-independent-living-for-unaccompanied-minors/</w:t>
        </w:r>
      </w:hyperlink>
      <w:r w:rsidRPr="00E5681D">
        <w:rPr>
          <w:rFonts w:ascii="Times New Roman" w:hAnsi="Times New Roman" w:cs="Times New Roman"/>
          <w:sz w:val="16"/>
          <w:szCs w:val="16"/>
        </w:rPr>
        <w:t xml:space="preserve"> (viewed April 7, 2020).</w:t>
      </w:r>
    </w:p>
  </w:footnote>
  <w:footnote w:id="22">
    <w:p w14:paraId="5D350565" w14:textId="5CDE6A5D" w:rsidR="00DF5867" w:rsidRPr="00E5681D" w:rsidRDefault="00DF5867">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See US Department of Homeland Security, Office of Inspector General, “U.S. Immigration and Custom Enforcement’s Award of the Family Case Management Program Contract (Redacted),” OIG-18-22, November 30, 2017, p. 5; Aria Bendix, “ICE Shuts Down Program for Asylum Seekers,” </w:t>
      </w:r>
      <w:r w:rsidRPr="00E5681D">
        <w:rPr>
          <w:rFonts w:ascii="Times New Roman" w:hAnsi="Times New Roman" w:cs="Times New Roman"/>
          <w:i/>
          <w:iCs/>
          <w:sz w:val="16"/>
          <w:szCs w:val="16"/>
        </w:rPr>
        <w:t>Atlantic</w:t>
      </w:r>
      <w:r w:rsidRPr="00E5681D">
        <w:rPr>
          <w:rFonts w:ascii="Times New Roman" w:hAnsi="Times New Roman" w:cs="Times New Roman"/>
          <w:sz w:val="16"/>
          <w:szCs w:val="16"/>
        </w:rPr>
        <w:t xml:space="preserve">, June 9, 2017, </w:t>
      </w:r>
      <w:hyperlink r:id="rId26" w:history="1">
        <w:r w:rsidRPr="00E5681D">
          <w:rPr>
            <w:rStyle w:val="Hyperlink"/>
            <w:rFonts w:ascii="Times New Roman" w:hAnsi="Times New Roman" w:cs="Times New Roman"/>
            <w:color w:val="auto"/>
            <w:sz w:val="16"/>
            <w:szCs w:val="16"/>
            <w:u w:val="none"/>
          </w:rPr>
          <w:t>https://www.theatlantic.com/news/archive/2017/06/ice-shuts-down-program-for-asylum-seekers/529887/</w:t>
        </w:r>
      </w:hyperlink>
      <w:r w:rsidRPr="00E5681D">
        <w:rPr>
          <w:rFonts w:ascii="Times New Roman" w:hAnsi="Times New Roman" w:cs="Times New Roman"/>
          <w:sz w:val="16"/>
          <w:szCs w:val="16"/>
        </w:rPr>
        <w:t xml:space="preserve"> (viewed April 9, 2020).</w:t>
      </w:r>
    </w:p>
  </w:footnote>
  <w:footnote w:id="23">
    <w:p w14:paraId="3094A793" w14:textId="37DA60FE" w:rsidR="00DF5867" w:rsidRPr="00E5681D" w:rsidRDefault="00DF5867">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See UNHCR, </w:t>
      </w:r>
      <w:r w:rsidRPr="00E5681D">
        <w:rPr>
          <w:rFonts w:ascii="Times New Roman" w:hAnsi="Times New Roman" w:cs="Times New Roman"/>
          <w:i/>
          <w:iCs/>
          <w:sz w:val="16"/>
          <w:szCs w:val="16"/>
        </w:rPr>
        <w:t xml:space="preserve">Progress Report Mid-2016: Beyond Detention </w:t>
      </w:r>
      <w:r w:rsidRPr="00E5681D">
        <w:rPr>
          <w:rFonts w:ascii="Times New Roman" w:hAnsi="Times New Roman" w:cs="Times New Roman"/>
          <w:sz w:val="16"/>
          <w:szCs w:val="16"/>
        </w:rPr>
        <w:t>(Geneva: UNHCR, 2016),</w:t>
      </w:r>
      <w:r w:rsidRPr="00E5681D">
        <w:rPr>
          <w:rFonts w:ascii="Times New Roman" w:hAnsi="Times New Roman" w:cs="Times New Roman"/>
          <w:i/>
          <w:iCs/>
          <w:sz w:val="16"/>
          <w:szCs w:val="16"/>
        </w:rPr>
        <w:t xml:space="preserve"> </w:t>
      </w:r>
      <w:r w:rsidRPr="00E5681D">
        <w:rPr>
          <w:rFonts w:ascii="Times New Roman" w:hAnsi="Times New Roman" w:cs="Times New Roman"/>
          <w:sz w:val="16"/>
          <w:szCs w:val="16"/>
        </w:rPr>
        <w:t xml:space="preserve">p. 24, </w:t>
      </w:r>
      <w:hyperlink r:id="rId27" w:history="1">
        <w:r w:rsidRPr="00E5681D">
          <w:rPr>
            <w:rStyle w:val="Hyperlink"/>
            <w:rFonts w:ascii="Times New Roman" w:hAnsi="Times New Roman" w:cs="Times New Roman"/>
            <w:color w:val="auto"/>
            <w:sz w:val="16"/>
            <w:szCs w:val="16"/>
            <w:u w:val="none"/>
          </w:rPr>
          <w:t>https://www.refworld.org/pdfid/57b850dba.pdf</w:t>
        </w:r>
      </w:hyperlink>
      <w:r w:rsidRPr="00E5681D">
        <w:rPr>
          <w:rFonts w:ascii="Times New Roman" w:hAnsi="Times New Roman" w:cs="Times New Roman"/>
          <w:sz w:val="16"/>
          <w:szCs w:val="16"/>
        </w:rPr>
        <w:t xml:space="preserve"> (viewed April 9, 2020); “Alternatives to Detention: Fostering Effective Results: Practical Guidance,” 1</w:t>
      </w:r>
      <w:r w:rsidRPr="00E5681D">
        <w:rPr>
          <w:rFonts w:ascii="Times New Roman" w:hAnsi="Times New Roman" w:cs="Times New Roman"/>
          <w:sz w:val="16"/>
          <w:szCs w:val="16"/>
          <w:vertAlign w:val="superscript"/>
        </w:rPr>
        <w:t>st</w:t>
      </w:r>
      <w:r w:rsidRPr="00E5681D">
        <w:rPr>
          <w:rFonts w:ascii="Times New Roman" w:hAnsi="Times New Roman" w:cs="Times New Roman"/>
          <w:sz w:val="16"/>
          <w:szCs w:val="16"/>
        </w:rPr>
        <w:t xml:space="preserve"> preliminary draft, September 2018, p. 21, </w:t>
      </w:r>
      <w:hyperlink r:id="rId28" w:history="1">
        <w:r w:rsidRPr="00E5681D">
          <w:rPr>
            <w:rStyle w:val="Hyperlink"/>
            <w:rFonts w:ascii="Times New Roman" w:hAnsi="Times New Roman" w:cs="Times New Roman"/>
            <w:color w:val="auto"/>
            <w:sz w:val="16"/>
            <w:szCs w:val="16"/>
            <w:u w:val="none"/>
          </w:rPr>
          <w:t>https://rm.coe.int/alternatives-to-immigration-detention-practical-guidance-1st-draft/16808e49c8</w:t>
        </w:r>
      </w:hyperlink>
      <w:r w:rsidRPr="00E5681D">
        <w:rPr>
          <w:rFonts w:ascii="Times New Roman" w:hAnsi="Times New Roman" w:cs="Times New Roman"/>
          <w:sz w:val="16"/>
          <w:szCs w:val="16"/>
        </w:rPr>
        <w:t xml:space="preserve"> (viewed April 9, 2020).</w:t>
      </w:r>
    </w:p>
  </w:footnote>
  <w:footnote w:id="24">
    <w:p w14:paraId="1479AC9C" w14:textId="441E34FB" w:rsidR="003E682C" w:rsidRPr="00E5681D" w:rsidRDefault="003E682C">
      <w:pPr>
        <w:pStyle w:val="FootnoteText"/>
        <w:rPr>
          <w:rFonts w:ascii="Times New Roman" w:hAnsi="Times New Roman" w:cs="Times New Roman"/>
          <w:sz w:val="16"/>
          <w:szCs w:val="16"/>
        </w:rPr>
      </w:pPr>
      <w:r w:rsidRPr="00E5681D">
        <w:rPr>
          <w:rStyle w:val="FootnoteReference"/>
          <w:rFonts w:ascii="Times New Roman" w:hAnsi="Times New Roman" w:cs="Times New Roman"/>
          <w:sz w:val="16"/>
          <w:szCs w:val="16"/>
        </w:rPr>
        <w:footnoteRef/>
      </w:r>
      <w:r w:rsidRPr="00E5681D">
        <w:rPr>
          <w:rFonts w:ascii="Times New Roman" w:hAnsi="Times New Roman" w:cs="Times New Roman"/>
          <w:sz w:val="16"/>
          <w:szCs w:val="16"/>
        </w:rPr>
        <w:t xml:space="preserve"> See Joint Submission by Human Rights Watch and the University of Toronto’s International Human Rights Program to the Committee on the Rights of the Child’s Consideration of Canada’s fifth and sixth periodic reports,” March 2020, </w:t>
      </w:r>
      <w:hyperlink r:id="rId29" w:history="1">
        <w:r w:rsidRPr="00E5681D">
          <w:rPr>
            <w:rStyle w:val="Hyperlink"/>
            <w:rFonts w:ascii="Times New Roman" w:hAnsi="Times New Roman" w:cs="Times New Roman"/>
            <w:color w:val="auto"/>
            <w:sz w:val="16"/>
            <w:szCs w:val="16"/>
            <w:u w:val="none"/>
          </w:rPr>
          <w:t>https://www.hrw.org/news/2020/03/04/joint-submission-committee-rights-childs-review-canada</w:t>
        </w:r>
      </w:hyperlink>
      <w:r w:rsidRPr="00E5681D">
        <w:rPr>
          <w:rFonts w:ascii="Times New Roman" w:hAnsi="Times New Roman" w:cs="Times New Roman"/>
          <w:sz w:val="16"/>
          <w:szCs w:val="16"/>
        </w:rPr>
        <w:t xml:space="preserve"> (viewed April 6, 2020); Canadian Council for Refugees, “Immigration detention and children: Rights still ignored, two years later,” November 2019, </w:t>
      </w:r>
      <w:hyperlink r:id="rId30" w:history="1">
        <w:r w:rsidRPr="00E5681D">
          <w:rPr>
            <w:rStyle w:val="Hyperlink"/>
            <w:rFonts w:ascii="Times New Roman" w:hAnsi="Times New Roman" w:cs="Times New Roman"/>
            <w:color w:val="auto"/>
            <w:sz w:val="16"/>
            <w:szCs w:val="16"/>
            <w:u w:val="none"/>
          </w:rPr>
          <w:t>https://ccrweb.ca/sites/ccrweb.ca/files/children-detention-nov-2019.pdf</w:t>
        </w:r>
      </w:hyperlink>
      <w:r w:rsidRPr="00E5681D">
        <w:rPr>
          <w:rFonts w:ascii="Times New Roman" w:hAnsi="Times New Roman" w:cs="Times New Roman"/>
          <w:sz w:val="16"/>
          <w:szCs w:val="16"/>
        </w:rPr>
        <w:t xml:space="preserve"> (viewed April 6, 2020); </w:t>
      </w:r>
      <w:r w:rsidRPr="00E5681D">
        <w:rPr>
          <w:rFonts w:ascii="Times New Roman" w:eastAsia="MetaPro-Norm" w:hAnsi="Times New Roman" w:cs="Times New Roman"/>
          <w:sz w:val="16"/>
          <w:szCs w:val="16"/>
        </w:rPr>
        <w:t>Canada Border Services Agency, “Annual Detention Statistics – 2012-2019</w:t>
      </w:r>
      <w:r w:rsidR="007659B3" w:rsidRPr="00E5681D">
        <w:rPr>
          <w:rFonts w:ascii="Times New Roman" w:eastAsia="MetaPro-Norm" w:hAnsi="Times New Roman" w:cs="Times New Roman"/>
          <w:sz w:val="16"/>
          <w:szCs w:val="16"/>
        </w:rPr>
        <w:t>.</w:t>
      </w:r>
      <w:r w:rsidRPr="00E5681D">
        <w:rPr>
          <w:rFonts w:ascii="Times New Roman" w:eastAsia="MetaPro-Norm" w:hAnsi="Times New Roman" w:cs="Times New Roman"/>
          <w:sz w:val="16"/>
          <w:szCs w:val="16"/>
        </w:rPr>
        <w:t>”</w:t>
      </w:r>
      <w:r w:rsidR="007659B3" w:rsidRPr="00E5681D">
        <w:rPr>
          <w:rFonts w:ascii="Times New Roman" w:eastAsia="MetaPro-Norm" w:hAnsi="Times New Roman" w:cs="Times New Roman"/>
          <w:sz w:val="16"/>
          <w:szCs w:val="16"/>
        </w:rPr>
        <w:t xml:space="preserve"> </w:t>
      </w:r>
      <w:r w:rsidRPr="00E5681D">
        <w:rPr>
          <w:rFonts w:ascii="Times New Roman" w:eastAsia="Times New Roman" w:hAnsi="Times New Roman" w:cs="Times New Roman"/>
          <w:sz w:val="16"/>
          <w:szCs w:val="16"/>
          <w:shd w:val="clear" w:color="auto" w:fill="FFFFFF"/>
        </w:rPr>
        <w:t xml:space="preserve">For details of the policy changes, see </w:t>
      </w:r>
      <w:r w:rsidRPr="00E5681D">
        <w:rPr>
          <w:rFonts w:ascii="Times New Roman" w:eastAsia="MetaPro-Norm" w:hAnsi="Times New Roman" w:cs="Times New Roman"/>
          <w:sz w:val="16"/>
          <w:szCs w:val="16"/>
        </w:rPr>
        <w:t>Immigration and Refugee Protection Regulations (SOR/2002-227), s 248 and s 248.1; Public Safety Canada, “Ministerial Direction to the Canada Border Services Agency: Minors in Canada’s Immigration Detention System,”</w:t>
      </w:r>
      <w:r w:rsidRPr="00E5681D">
        <w:rPr>
          <w:rFonts w:ascii="Times New Roman" w:eastAsia="MetaPro-Norm" w:hAnsi="Times New Roman" w:cs="Times New Roman"/>
          <w:i/>
          <w:sz w:val="16"/>
          <w:szCs w:val="16"/>
        </w:rPr>
        <w:t xml:space="preserve"> </w:t>
      </w:r>
      <w:r w:rsidRPr="00E5681D">
        <w:rPr>
          <w:rFonts w:ascii="Times New Roman" w:eastAsia="MetaPro-Norm" w:hAnsi="Times New Roman" w:cs="Times New Roman"/>
          <w:sz w:val="16"/>
          <w:szCs w:val="16"/>
        </w:rPr>
        <w:t xml:space="preserve">November 6, 2017, </w:t>
      </w:r>
      <w:hyperlink r:id="rId31" w:history="1">
        <w:r w:rsidRPr="00E5681D">
          <w:rPr>
            <w:rStyle w:val="Hyperlink"/>
            <w:rFonts w:ascii="Times New Roman" w:hAnsi="Times New Roman" w:cs="Times New Roman"/>
            <w:color w:val="auto"/>
            <w:sz w:val="16"/>
            <w:szCs w:val="16"/>
            <w:u w:val="none"/>
          </w:rPr>
          <w:t>https://www.publicsafety.gc.ca/cnt/trnsprnc/ns-trnsprnc/mnstrl-drctn-cbsa-en.aspx</w:t>
        </w:r>
      </w:hyperlink>
      <w:r w:rsidRPr="00E5681D">
        <w:rPr>
          <w:rFonts w:ascii="Times New Roman" w:hAnsi="Times New Roman" w:cs="Times New Roman"/>
          <w:sz w:val="16"/>
          <w:szCs w:val="16"/>
        </w:rPr>
        <w:t xml:space="preserve">; </w:t>
      </w:r>
      <w:r w:rsidRPr="00E5681D">
        <w:rPr>
          <w:rFonts w:ascii="Times New Roman" w:eastAsia="MetaPro-Norm" w:hAnsi="Times New Roman" w:cs="Times New Roman"/>
          <w:sz w:val="16"/>
          <w:szCs w:val="16"/>
        </w:rPr>
        <w:t>Canada Border Services Agency, “National Directive for the Detention or Housing of Minors,” September 26, 2019,</w:t>
      </w:r>
      <w:r w:rsidRPr="00E5681D">
        <w:rPr>
          <w:rFonts w:ascii="Times New Roman" w:eastAsia="MetaPro-Norm" w:hAnsi="Times New Roman" w:cs="Times New Roman"/>
          <w:i/>
          <w:sz w:val="16"/>
          <w:szCs w:val="16"/>
        </w:rPr>
        <w:t xml:space="preserve"> </w:t>
      </w:r>
      <w:hyperlink r:id="rId32" w:history="1">
        <w:r w:rsidRPr="00E5681D">
          <w:rPr>
            <w:rStyle w:val="Hyperlink"/>
            <w:rFonts w:ascii="Times New Roman" w:hAnsi="Times New Roman" w:cs="Times New Roman"/>
            <w:color w:val="auto"/>
            <w:sz w:val="16"/>
            <w:szCs w:val="16"/>
            <w:u w:val="none"/>
          </w:rPr>
          <w:t>https://www.cbsa-asfc.gc.ca/security-securite/detent/nddhm-dndhm-eng.html</w:t>
        </w:r>
      </w:hyperlink>
      <w:r w:rsidRPr="00E5681D">
        <w:rPr>
          <w:rFonts w:ascii="Times New Roman" w:eastAsia="MetaPro-Norm" w:hAnsi="Times New Roman" w:cs="Times New Roman"/>
          <w:sz w:val="16"/>
          <w:szCs w:val="16"/>
        </w:rPr>
        <w:t xml:space="preserve">; Immigration and Refugee board of Canada, “Guidelines Issued by the Chairperson, Pursuant to paragraph 159(1)(h) of the Immigration and Refugee Protection Act,” April 1, 2019, </w:t>
      </w:r>
      <w:hyperlink r:id="rId33" w:history="1">
        <w:r w:rsidRPr="00E5681D">
          <w:rPr>
            <w:rStyle w:val="Hyperlink"/>
            <w:rFonts w:ascii="Times New Roman" w:hAnsi="Times New Roman" w:cs="Times New Roman"/>
            <w:color w:val="auto"/>
            <w:sz w:val="16"/>
            <w:szCs w:val="16"/>
            <w:u w:val="none"/>
          </w:rPr>
          <w:t>https://irb-cisr.gc.ca/en/legal-policy/policies/Pages/GuideDir02.aspx</w:t>
        </w:r>
      </w:hyperlink>
      <w:r w:rsidRPr="00E5681D">
        <w:rPr>
          <w:rFonts w:ascii="Times New Roman" w:eastAsia="Times New Roman" w:hAnsi="Times New Roman" w:cs="Times New Roman"/>
          <w:sz w:val="16"/>
          <w:szCs w:val="16"/>
          <w:shd w:val="clear" w:color="auto" w:fill="FFFFFF"/>
        </w:rPr>
        <w:t xml:space="preserve"> (viewed April 6,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3AB5"/>
    <w:multiLevelType w:val="hybridMultilevel"/>
    <w:tmpl w:val="E474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C6AB2"/>
    <w:multiLevelType w:val="hybridMultilevel"/>
    <w:tmpl w:val="D5CE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C5569"/>
    <w:multiLevelType w:val="multilevel"/>
    <w:tmpl w:val="EBA6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945FBA"/>
    <w:multiLevelType w:val="hybridMultilevel"/>
    <w:tmpl w:val="EE22363C"/>
    <w:lvl w:ilvl="0" w:tplc="821283F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23"/>
    <w:rsid w:val="00004207"/>
    <w:rsid w:val="00012EE6"/>
    <w:rsid w:val="00016B14"/>
    <w:rsid w:val="00033ED1"/>
    <w:rsid w:val="000532BE"/>
    <w:rsid w:val="00055537"/>
    <w:rsid w:val="00057173"/>
    <w:rsid w:val="0008729F"/>
    <w:rsid w:val="000906F0"/>
    <w:rsid w:val="0009101C"/>
    <w:rsid w:val="000A73F5"/>
    <w:rsid w:val="000A7518"/>
    <w:rsid w:val="000C083E"/>
    <w:rsid w:val="000F0F95"/>
    <w:rsid w:val="000F182B"/>
    <w:rsid w:val="001201E3"/>
    <w:rsid w:val="0013233F"/>
    <w:rsid w:val="00137B29"/>
    <w:rsid w:val="0015474F"/>
    <w:rsid w:val="00154D8E"/>
    <w:rsid w:val="00181D25"/>
    <w:rsid w:val="00182650"/>
    <w:rsid w:val="00191315"/>
    <w:rsid w:val="00193F11"/>
    <w:rsid w:val="001A3F2F"/>
    <w:rsid w:val="001B09D8"/>
    <w:rsid w:val="001B47DF"/>
    <w:rsid w:val="001C4303"/>
    <w:rsid w:val="00267CAE"/>
    <w:rsid w:val="002B30A9"/>
    <w:rsid w:val="002B6260"/>
    <w:rsid w:val="002C7E3C"/>
    <w:rsid w:val="002E2D4F"/>
    <w:rsid w:val="00330F47"/>
    <w:rsid w:val="00346DD1"/>
    <w:rsid w:val="00385A59"/>
    <w:rsid w:val="00386DB4"/>
    <w:rsid w:val="003964B8"/>
    <w:rsid w:val="003D370A"/>
    <w:rsid w:val="003E682C"/>
    <w:rsid w:val="003F0445"/>
    <w:rsid w:val="00402D2F"/>
    <w:rsid w:val="0041177E"/>
    <w:rsid w:val="00424DE6"/>
    <w:rsid w:val="00436A71"/>
    <w:rsid w:val="004429B2"/>
    <w:rsid w:val="0046518C"/>
    <w:rsid w:val="00483B75"/>
    <w:rsid w:val="00495552"/>
    <w:rsid w:val="004A3373"/>
    <w:rsid w:val="004B4E7D"/>
    <w:rsid w:val="004E0EFD"/>
    <w:rsid w:val="004F0984"/>
    <w:rsid w:val="005009D7"/>
    <w:rsid w:val="00510769"/>
    <w:rsid w:val="00523059"/>
    <w:rsid w:val="00561E88"/>
    <w:rsid w:val="0057221E"/>
    <w:rsid w:val="005C4A7C"/>
    <w:rsid w:val="005E25C6"/>
    <w:rsid w:val="00606951"/>
    <w:rsid w:val="00635825"/>
    <w:rsid w:val="00637CAB"/>
    <w:rsid w:val="00642549"/>
    <w:rsid w:val="00646BAF"/>
    <w:rsid w:val="006655A0"/>
    <w:rsid w:val="006656B3"/>
    <w:rsid w:val="006664DC"/>
    <w:rsid w:val="00683B57"/>
    <w:rsid w:val="006B1514"/>
    <w:rsid w:val="006C5720"/>
    <w:rsid w:val="006E5FEC"/>
    <w:rsid w:val="006E6773"/>
    <w:rsid w:val="006F4CC4"/>
    <w:rsid w:val="007172EC"/>
    <w:rsid w:val="00717783"/>
    <w:rsid w:val="00760F5E"/>
    <w:rsid w:val="007659B3"/>
    <w:rsid w:val="007A4AE9"/>
    <w:rsid w:val="007B1B9F"/>
    <w:rsid w:val="007C42D8"/>
    <w:rsid w:val="007C60AF"/>
    <w:rsid w:val="007E3147"/>
    <w:rsid w:val="00800865"/>
    <w:rsid w:val="00850176"/>
    <w:rsid w:val="008520B0"/>
    <w:rsid w:val="00865820"/>
    <w:rsid w:val="008844A3"/>
    <w:rsid w:val="00887D04"/>
    <w:rsid w:val="008B3FD6"/>
    <w:rsid w:val="008C3DE1"/>
    <w:rsid w:val="008E4E86"/>
    <w:rsid w:val="00905181"/>
    <w:rsid w:val="0094351A"/>
    <w:rsid w:val="00975844"/>
    <w:rsid w:val="009841C1"/>
    <w:rsid w:val="0099665D"/>
    <w:rsid w:val="009A0E3F"/>
    <w:rsid w:val="009C0E54"/>
    <w:rsid w:val="009D1ADD"/>
    <w:rsid w:val="009D5320"/>
    <w:rsid w:val="009E79D1"/>
    <w:rsid w:val="00A019D8"/>
    <w:rsid w:val="00A17198"/>
    <w:rsid w:val="00A322C6"/>
    <w:rsid w:val="00A34E23"/>
    <w:rsid w:val="00A61843"/>
    <w:rsid w:val="00A845D2"/>
    <w:rsid w:val="00AA3AB1"/>
    <w:rsid w:val="00AC3B1A"/>
    <w:rsid w:val="00B00A4E"/>
    <w:rsid w:val="00B11343"/>
    <w:rsid w:val="00B24807"/>
    <w:rsid w:val="00B24B17"/>
    <w:rsid w:val="00B26EA0"/>
    <w:rsid w:val="00B3747D"/>
    <w:rsid w:val="00B46368"/>
    <w:rsid w:val="00B54533"/>
    <w:rsid w:val="00B662E5"/>
    <w:rsid w:val="00B74924"/>
    <w:rsid w:val="00BB00C2"/>
    <w:rsid w:val="00BB137B"/>
    <w:rsid w:val="00BC619F"/>
    <w:rsid w:val="00BD0039"/>
    <w:rsid w:val="00BE7074"/>
    <w:rsid w:val="00C0392D"/>
    <w:rsid w:val="00C05AA3"/>
    <w:rsid w:val="00C14BB0"/>
    <w:rsid w:val="00C155BD"/>
    <w:rsid w:val="00C25468"/>
    <w:rsid w:val="00C33E56"/>
    <w:rsid w:val="00C54BDA"/>
    <w:rsid w:val="00C61D58"/>
    <w:rsid w:val="00C80960"/>
    <w:rsid w:val="00C8339A"/>
    <w:rsid w:val="00C92623"/>
    <w:rsid w:val="00C961A7"/>
    <w:rsid w:val="00CA312F"/>
    <w:rsid w:val="00CA374C"/>
    <w:rsid w:val="00CA706F"/>
    <w:rsid w:val="00CB647F"/>
    <w:rsid w:val="00CB690B"/>
    <w:rsid w:val="00CC3AFF"/>
    <w:rsid w:val="00CD0D2A"/>
    <w:rsid w:val="00CE24D3"/>
    <w:rsid w:val="00CF5D35"/>
    <w:rsid w:val="00CF63B1"/>
    <w:rsid w:val="00D048B9"/>
    <w:rsid w:val="00D108B1"/>
    <w:rsid w:val="00D16F98"/>
    <w:rsid w:val="00D339A1"/>
    <w:rsid w:val="00D638E1"/>
    <w:rsid w:val="00D87A81"/>
    <w:rsid w:val="00DA0139"/>
    <w:rsid w:val="00DF0A12"/>
    <w:rsid w:val="00DF5067"/>
    <w:rsid w:val="00DF5867"/>
    <w:rsid w:val="00E042AF"/>
    <w:rsid w:val="00E260B3"/>
    <w:rsid w:val="00E35457"/>
    <w:rsid w:val="00E41190"/>
    <w:rsid w:val="00E43AAF"/>
    <w:rsid w:val="00E5681D"/>
    <w:rsid w:val="00E615EE"/>
    <w:rsid w:val="00EA0969"/>
    <w:rsid w:val="00EA0F91"/>
    <w:rsid w:val="00EC1600"/>
    <w:rsid w:val="00EC2533"/>
    <w:rsid w:val="00F13A87"/>
    <w:rsid w:val="00F2437D"/>
    <w:rsid w:val="00F35CDF"/>
    <w:rsid w:val="00F362E2"/>
    <w:rsid w:val="00F479D8"/>
    <w:rsid w:val="00F51916"/>
    <w:rsid w:val="00F54DAE"/>
    <w:rsid w:val="00FA1160"/>
    <w:rsid w:val="00FF42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9494C"/>
  <w15:docId w15:val="{C1103D9F-0AFA-4C13-8862-9F10CD3D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5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42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74C"/>
    <w:rPr>
      <w:rFonts w:ascii="Segoe UI" w:hAnsi="Segoe UI" w:cs="Segoe UI"/>
      <w:sz w:val="18"/>
      <w:szCs w:val="18"/>
    </w:rPr>
  </w:style>
  <w:style w:type="paragraph" w:styleId="FootnoteText">
    <w:name w:val="footnote text"/>
    <w:basedOn w:val="Normal"/>
    <w:link w:val="FootnoteTextChar"/>
    <w:uiPriority w:val="99"/>
    <w:unhideWhenUsed/>
    <w:rsid w:val="00385A59"/>
    <w:pPr>
      <w:spacing w:after="0" w:line="240" w:lineRule="auto"/>
    </w:pPr>
    <w:rPr>
      <w:sz w:val="20"/>
      <w:szCs w:val="20"/>
    </w:rPr>
  </w:style>
  <w:style w:type="character" w:customStyle="1" w:styleId="FootnoteTextChar">
    <w:name w:val="Footnote Text Char"/>
    <w:basedOn w:val="DefaultParagraphFont"/>
    <w:link w:val="FootnoteText"/>
    <w:uiPriority w:val="99"/>
    <w:rsid w:val="00385A59"/>
    <w:rPr>
      <w:sz w:val="20"/>
      <w:szCs w:val="20"/>
    </w:rPr>
  </w:style>
  <w:style w:type="character" w:styleId="FootnoteReference">
    <w:name w:val="footnote reference"/>
    <w:basedOn w:val="DefaultParagraphFont"/>
    <w:uiPriority w:val="99"/>
    <w:unhideWhenUsed/>
    <w:rsid w:val="00385A59"/>
    <w:rPr>
      <w:vertAlign w:val="superscript"/>
    </w:rPr>
  </w:style>
  <w:style w:type="character" w:styleId="Hyperlink">
    <w:name w:val="Hyperlink"/>
    <w:basedOn w:val="DefaultParagraphFont"/>
    <w:uiPriority w:val="99"/>
    <w:unhideWhenUsed/>
    <w:rsid w:val="0008729F"/>
    <w:rPr>
      <w:color w:val="0000FF"/>
      <w:u w:val="single"/>
    </w:rPr>
  </w:style>
  <w:style w:type="character" w:customStyle="1" w:styleId="UnresolvedMention1">
    <w:name w:val="Unresolved Mention1"/>
    <w:basedOn w:val="DefaultParagraphFont"/>
    <w:uiPriority w:val="99"/>
    <w:semiHidden/>
    <w:unhideWhenUsed/>
    <w:rsid w:val="00AA3AB1"/>
    <w:rPr>
      <w:color w:val="605E5C"/>
      <w:shd w:val="clear" w:color="auto" w:fill="E1DFDD"/>
    </w:rPr>
  </w:style>
  <w:style w:type="paragraph" w:styleId="ListParagraph">
    <w:name w:val="List Paragraph"/>
    <w:basedOn w:val="Normal"/>
    <w:uiPriority w:val="34"/>
    <w:qFormat/>
    <w:rsid w:val="008844A3"/>
    <w:pPr>
      <w:ind w:left="720"/>
      <w:contextualSpacing/>
    </w:pPr>
  </w:style>
  <w:style w:type="paragraph" w:customStyle="1" w:styleId="Normal1">
    <w:name w:val="Normal1"/>
    <w:rsid w:val="000F0F95"/>
    <w:rPr>
      <w:rFonts w:ascii="Calibri" w:eastAsia="Calibri" w:hAnsi="Calibri" w:cs="Calibri"/>
    </w:rPr>
  </w:style>
  <w:style w:type="character" w:styleId="CommentReference">
    <w:name w:val="annotation reference"/>
    <w:basedOn w:val="DefaultParagraphFont"/>
    <w:uiPriority w:val="99"/>
    <w:semiHidden/>
    <w:unhideWhenUsed/>
    <w:rsid w:val="00CB647F"/>
    <w:rPr>
      <w:sz w:val="16"/>
      <w:szCs w:val="16"/>
    </w:rPr>
  </w:style>
  <w:style w:type="paragraph" w:styleId="CommentText">
    <w:name w:val="annotation text"/>
    <w:basedOn w:val="Normal"/>
    <w:link w:val="CommentTextChar"/>
    <w:uiPriority w:val="99"/>
    <w:semiHidden/>
    <w:unhideWhenUsed/>
    <w:rsid w:val="00CB647F"/>
    <w:pPr>
      <w:spacing w:line="240" w:lineRule="auto"/>
    </w:pPr>
    <w:rPr>
      <w:sz w:val="20"/>
      <w:szCs w:val="20"/>
    </w:rPr>
  </w:style>
  <w:style w:type="character" w:customStyle="1" w:styleId="CommentTextChar">
    <w:name w:val="Comment Text Char"/>
    <w:basedOn w:val="DefaultParagraphFont"/>
    <w:link w:val="CommentText"/>
    <w:uiPriority w:val="99"/>
    <w:semiHidden/>
    <w:rsid w:val="00CB647F"/>
    <w:rPr>
      <w:sz w:val="20"/>
      <w:szCs w:val="20"/>
    </w:rPr>
  </w:style>
  <w:style w:type="paragraph" w:styleId="CommentSubject">
    <w:name w:val="annotation subject"/>
    <w:basedOn w:val="CommentText"/>
    <w:next w:val="CommentText"/>
    <w:link w:val="CommentSubjectChar"/>
    <w:uiPriority w:val="99"/>
    <w:semiHidden/>
    <w:unhideWhenUsed/>
    <w:rsid w:val="00CB647F"/>
    <w:rPr>
      <w:b/>
      <w:bCs/>
    </w:rPr>
  </w:style>
  <w:style w:type="character" w:customStyle="1" w:styleId="CommentSubjectChar">
    <w:name w:val="Comment Subject Char"/>
    <w:basedOn w:val="CommentTextChar"/>
    <w:link w:val="CommentSubject"/>
    <w:uiPriority w:val="99"/>
    <w:semiHidden/>
    <w:rsid w:val="00CB647F"/>
    <w:rPr>
      <w:b/>
      <w:bCs/>
      <w:sz w:val="20"/>
      <w:szCs w:val="20"/>
    </w:rPr>
  </w:style>
  <w:style w:type="character" w:styleId="UnresolvedMention">
    <w:name w:val="Unresolved Mention"/>
    <w:basedOn w:val="DefaultParagraphFont"/>
    <w:uiPriority w:val="99"/>
    <w:semiHidden/>
    <w:unhideWhenUsed/>
    <w:rsid w:val="00D638E1"/>
    <w:rPr>
      <w:color w:val="605E5C"/>
      <w:shd w:val="clear" w:color="auto" w:fill="E1DFDD"/>
    </w:rPr>
  </w:style>
  <w:style w:type="character" w:customStyle="1" w:styleId="Heading3Char">
    <w:name w:val="Heading 3 Char"/>
    <w:basedOn w:val="DefaultParagraphFont"/>
    <w:link w:val="Heading3"/>
    <w:uiPriority w:val="9"/>
    <w:semiHidden/>
    <w:rsid w:val="00FF428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A751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1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2EC"/>
  </w:style>
  <w:style w:type="paragraph" w:styleId="Footer">
    <w:name w:val="footer"/>
    <w:basedOn w:val="Normal"/>
    <w:link w:val="FooterChar"/>
    <w:uiPriority w:val="99"/>
    <w:unhideWhenUsed/>
    <w:rsid w:val="0071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2EC"/>
  </w:style>
  <w:style w:type="paragraph" w:styleId="NoSpacing">
    <w:name w:val="No Spacing"/>
    <w:uiPriority w:val="1"/>
    <w:qFormat/>
    <w:rsid w:val="00E5681D"/>
    <w:pPr>
      <w:suppressAutoHyphens/>
      <w:spacing w:after="0" w:line="240" w:lineRule="auto"/>
    </w:pPr>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5181">
      <w:bodyDiv w:val="1"/>
      <w:marLeft w:val="0"/>
      <w:marRight w:val="0"/>
      <w:marTop w:val="0"/>
      <w:marBottom w:val="0"/>
      <w:divBdr>
        <w:top w:val="none" w:sz="0" w:space="0" w:color="auto"/>
        <w:left w:val="none" w:sz="0" w:space="0" w:color="auto"/>
        <w:bottom w:val="none" w:sz="0" w:space="0" w:color="auto"/>
        <w:right w:val="none" w:sz="0" w:space="0" w:color="auto"/>
      </w:divBdr>
    </w:div>
    <w:div w:id="83889946">
      <w:bodyDiv w:val="1"/>
      <w:marLeft w:val="0"/>
      <w:marRight w:val="0"/>
      <w:marTop w:val="0"/>
      <w:marBottom w:val="0"/>
      <w:divBdr>
        <w:top w:val="none" w:sz="0" w:space="0" w:color="auto"/>
        <w:left w:val="none" w:sz="0" w:space="0" w:color="auto"/>
        <w:bottom w:val="none" w:sz="0" w:space="0" w:color="auto"/>
        <w:right w:val="none" w:sz="0" w:space="0" w:color="auto"/>
      </w:divBdr>
    </w:div>
    <w:div w:id="101923458">
      <w:bodyDiv w:val="1"/>
      <w:marLeft w:val="0"/>
      <w:marRight w:val="0"/>
      <w:marTop w:val="0"/>
      <w:marBottom w:val="0"/>
      <w:divBdr>
        <w:top w:val="none" w:sz="0" w:space="0" w:color="auto"/>
        <w:left w:val="none" w:sz="0" w:space="0" w:color="auto"/>
        <w:bottom w:val="none" w:sz="0" w:space="0" w:color="auto"/>
        <w:right w:val="none" w:sz="0" w:space="0" w:color="auto"/>
      </w:divBdr>
    </w:div>
    <w:div w:id="163514834">
      <w:bodyDiv w:val="1"/>
      <w:marLeft w:val="0"/>
      <w:marRight w:val="0"/>
      <w:marTop w:val="0"/>
      <w:marBottom w:val="0"/>
      <w:divBdr>
        <w:top w:val="none" w:sz="0" w:space="0" w:color="auto"/>
        <w:left w:val="none" w:sz="0" w:space="0" w:color="auto"/>
        <w:bottom w:val="none" w:sz="0" w:space="0" w:color="auto"/>
        <w:right w:val="none" w:sz="0" w:space="0" w:color="auto"/>
      </w:divBdr>
    </w:div>
    <w:div w:id="243418372">
      <w:bodyDiv w:val="1"/>
      <w:marLeft w:val="0"/>
      <w:marRight w:val="0"/>
      <w:marTop w:val="0"/>
      <w:marBottom w:val="0"/>
      <w:divBdr>
        <w:top w:val="none" w:sz="0" w:space="0" w:color="auto"/>
        <w:left w:val="none" w:sz="0" w:space="0" w:color="auto"/>
        <w:bottom w:val="none" w:sz="0" w:space="0" w:color="auto"/>
        <w:right w:val="none" w:sz="0" w:space="0" w:color="auto"/>
      </w:divBdr>
    </w:div>
    <w:div w:id="337389285">
      <w:bodyDiv w:val="1"/>
      <w:marLeft w:val="0"/>
      <w:marRight w:val="0"/>
      <w:marTop w:val="0"/>
      <w:marBottom w:val="0"/>
      <w:divBdr>
        <w:top w:val="none" w:sz="0" w:space="0" w:color="auto"/>
        <w:left w:val="none" w:sz="0" w:space="0" w:color="auto"/>
        <w:bottom w:val="none" w:sz="0" w:space="0" w:color="auto"/>
        <w:right w:val="none" w:sz="0" w:space="0" w:color="auto"/>
      </w:divBdr>
    </w:div>
    <w:div w:id="368914164">
      <w:bodyDiv w:val="1"/>
      <w:marLeft w:val="0"/>
      <w:marRight w:val="0"/>
      <w:marTop w:val="0"/>
      <w:marBottom w:val="0"/>
      <w:divBdr>
        <w:top w:val="none" w:sz="0" w:space="0" w:color="auto"/>
        <w:left w:val="none" w:sz="0" w:space="0" w:color="auto"/>
        <w:bottom w:val="none" w:sz="0" w:space="0" w:color="auto"/>
        <w:right w:val="none" w:sz="0" w:space="0" w:color="auto"/>
      </w:divBdr>
    </w:div>
    <w:div w:id="461963662">
      <w:bodyDiv w:val="1"/>
      <w:marLeft w:val="0"/>
      <w:marRight w:val="0"/>
      <w:marTop w:val="0"/>
      <w:marBottom w:val="0"/>
      <w:divBdr>
        <w:top w:val="none" w:sz="0" w:space="0" w:color="auto"/>
        <w:left w:val="none" w:sz="0" w:space="0" w:color="auto"/>
        <w:bottom w:val="none" w:sz="0" w:space="0" w:color="auto"/>
        <w:right w:val="none" w:sz="0" w:space="0" w:color="auto"/>
      </w:divBdr>
    </w:div>
    <w:div w:id="501356956">
      <w:bodyDiv w:val="1"/>
      <w:marLeft w:val="0"/>
      <w:marRight w:val="0"/>
      <w:marTop w:val="0"/>
      <w:marBottom w:val="0"/>
      <w:divBdr>
        <w:top w:val="none" w:sz="0" w:space="0" w:color="auto"/>
        <w:left w:val="none" w:sz="0" w:space="0" w:color="auto"/>
        <w:bottom w:val="none" w:sz="0" w:space="0" w:color="auto"/>
        <w:right w:val="none" w:sz="0" w:space="0" w:color="auto"/>
      </w:divBdr>
    </w:div>
    <w:div w:id="527184880">
      <w:bodyDiv w:val="1"/>
      <w:marLeft w:val="0"/>
      <w:marRight w:val="0"/>
      <w:marTop w:val="0"/>
      <w:marBottom w:val="0"/>
      <w:divBdr>
        <w:top w:val="none" w:sz="0" w:space="0" w:color="auto"/>
        <w:left w:val="none" w:sz="0" w:space="0" w:color="auto"/>
        <w:bottom w:val="none" w:sz="0" w:space="0" w:color="auto"/>
        <w:right w:val="none" w:sz="0" w:space="0" w:color="auto"/>
      </w:divBdr>
    </w:div>
    <w:div w:id="657463390">
      <w:bodyDiv w:val="1"/>
      <w:marLeft w:val="0"/>
      <w:marRight w:val="0"/>
      <w:marTop w:val="0"/>
      <w:marBottom w:val="0"/>
      <w:divBdr>
        <w:top w:val="none" w:sz="0" w:space="0" w:color="auto"/>
        <w:left w:val="none" w:sz="0" w:space="0" w:color="auto"/>
        <w:bottom w:val="none" w:sz="0" w:space="0" w:color="auto"/>
        <w:right w:val="none" w:sz="0" w:space="0" w:color="auto"/>
      </w:divBdr>
    </w:div>
    <w:div w:id="742990632">
      <w:bodyDiv w:val="1"/>
      <w:marLeft w:val="0"/>
      <w:marRight w:val="0"/>
      <w:marTop w:val="0"/>
      <w:marBottom w:val="0"/>
      <w:divBdr>
        <w:top w:val="none" w:sz="0" w:space="0" w:color="auto"/>
        <w:left w:val="none" w:sz="0" w:space="0" w:color="auto"/>
        <w:bottom w:val="none" w:sz="0" w:space="0" w:color="auto"/>
        <w:right w:val="none" w:sz="0" w:space="0" w:color="auto"/>
      </w:divBdr>
    </w:div>
    <w:div w:id="879197816">
      <w:bodyDiv w:val="1"/>
      <w:marLeft w:val="0"/>
      <w:marRight w:val="0"/>
      <w:marTop w:val="0"/>
      <w:marBottom w:val="0"/>
      <w:divBdr>
        <w:top w:val="none" w:sz="0" w:space="0" w:color="auto"/>
        <w:left w:val="none" w:sz="0" w:space="0" w:color="auto"/>
        <w:bottom w:val="none" w:sz="0" w:space="0" w:color="auto"/>
        <w:right w:val="none" w:sz="0" w:space="0" w:color="auto"/>
      </w:divBdr>
    </w:div>
    <w:div w:id="944730323">
      <w:bodyDiv w:val="1"/>
      <w:marLeft w:val="0"/>
      <w:marRight w:val="0"/>
      <w:marTop w:val="0"/>
      <w:marBottom w:val="0"/>
      <w:divBdr>
        <w:top w:val="none" w:sz="0" w:space="0" w:color="auto"/>
        <w:left w:val="none" w:sz="0" w:space="0" w:color="auto"/>
        <w:bottom w:val="none" w:sz="0" w:space="0" w:color="auto"/>
        <w:right w:val="none" w:sz="0" w:space="0" w:color="auto"/>
      </w:divBdr>
    </w:div>
    <w:div w:id="1155993474">
      <w:bodyDiv w:val="1"/>
      <w:marLeft w:val="0"/>
      <w:marRight w:val="0"/>
      <w:marTop w:val="0"/>
      <w:marBottom w:val="0"/>
      <w:divBdr>
        <w:top w:val="none" w:sz="0" w:space="0" w:color="auto"/>
        <w:left w:val="none" w:sz="0" w:space="0" w:color="auto"/>
        <w:bottom w:val="none" w:sz="0" w:space="0" w:color="auto"/>
        <w:right w:val="none" w:sz="0" w:space="0" w:color="auto"/>
      </w:divBdr>
    </w:div>
    <w:div w:id="1190139772">
      <w:bodyDiv w:val="1"/>
      <w:marLeft w:val="0"/>
      <w:marRight w:val="0"/>
      <w:marTop w:val="0"/>
      <w:marBottom w:val="0"/>
      <w:divBdr>
        <w:top w:val="none" w:sz="0" w:space="0" w:color="auto"/>
        <w:left w:val="none" w:sz="0" w:space="0" w:color="auto"/>
        <w:bottom w:val="none" w:sz="0" w:space="0" w:color="auto"/>
        <w:right w:val="none" w:sz="0" w:space="0" w:color="auto"/>
      </w:divBdr>
    </w:div>
    <w:div w:id="1242253689">
      <w:bodyDiv w:val="1"/>
      <w:marLeft w:val="0"/>
      <w:marRight w:val="0"/>
      <w:marTop w:val="0"/>
      <w:marBottom w:val="0"/>
      <w:divBdr>
        <w:top w:val="none" w:sz="0" w:space="0" w:color="auto"/>
        <w:left w:val="none" w:sz="0" w:space="0" w:color="auto"/>
        <w:bottom w:val="none" w:sz="0" w:space="0" w:color="auto"/>
        <w:right w:val="none" w:sz="0" w:space="0" w:color="auto"/>
      </w:divBdr>
    </w:div>
    <w:div w:id="1485466046">
      <w:bodyDiv w:val="1"/>
      <w:marLeft w:val="0"/>
      <w:marRight w:val="0"/>
      <w:marTop w:val="0"/>
      <w:marBottom w:val="0"/>
      <w:divBdr>
        <w:top w:val="none" w:sz="0" w:space="0" w:color="auto"/>
        <w:left w:val="none" w:sz="0" w:space="0" w:color="auto"/>
        <w:bottom w:val="none" w:sz="0" w:space="0" w:color="auto"/>
        <w:right w:val="none" w:sz="0" w:space="0" w:color="auto"/>
      </w:divBdr>
    </w:div>
    <w:div w:id="1526942832">
      <w:bodyDiv w:val="1"/>
      <w:marLeft w:val="0"/>
      <w:marRight w:val="0"/>
      <w:marTop w:val="0"/>
      <w:marBottom w:val="0"/>
      <w:divBdr>
        <w:top w:val="none" w:sz="0" w:space="0" w:color="auto"/>
        <w:left w:val="none" w:sz="0" w:space="0" w:color="auto"/>
        <w:bottom w:val="none" w:sz="0" w:space="0" w:color="auto"/>
        <w:right w:val="none" w:sz="0" w:space="0" w:color="auto"/>
      </w:divBdr>
    </w:div>
    <w:div w:id="1550679320">
      <w:bodyDiv w:val="1"/>
      <w:marLeft w:val="0"/>
      <w:marRight w:val="0"/>
      <w:marTop w:val="0"/>
      <w:marBottom w:val="0"/>
      <w:divBdr>
        <w:top w:val="none" w:sz="0" w:space="0" w:color="auto"/>
        <w:left w:val="none" w:sz="0" w:space="0" w:color="auto"/>
        <w:bottom w:val="none" w:sz="0" w:space="0" w:color="auto"/>
        <w:right w:val="none" w:sz="0" w:space="0" w:color="auto"/>
      </w:divBdr>
    </w:div>
    <w:div w:id="1595361508">
      <w:bodyDiv w:val="1"/>
      <w:marLeft w:val="0"/>
      <w:marRight w:val="0"/>
      <w:marTop w:val="0"/>
      <w:marBottom w:val="0"/>
      <w:divBdr>
        <w:top w:val="none" w:sz="0" w:space="0" w:color="auto"/>
        <w:left w:val="none" w:sz="0" w:space="0" w:color="auto"/>
        <w:bottom w:val="none" w:sz="0" w:space="0" w:color="auto"/>
        <w:right w:val="none" w:sz="0" w:space="0" w:color="auto"/>
      </w:divBdr>
    </w:div>
    <w:div w:id="1621186906">
      <w:bodyDiv w:val="1"/>
      <w:marLeft w:val="0"/>
      <w:marRight w:val="0"/>
      <w:marTop w:val="0"/>
      <w:marBottom w:val="0"/>
      <w:divBdr>
        <w:top w:val="none" w:sz="0" w:space="0" w:color="auto"/>
        <w:left w:val="none" w:sz="0" w:space="0" w:color="auto"/>
        <w:bottom w:val="none" w:sz="0" w:space="0" w:color="auto"/>
        <w:right w:val="none" w:sz="0" w:space="0" w:color="auto"/>
      </w:divBdr>
    </w:div>
    <w:div w:id="1727140422">
      <w:bodyDiv w:val="1"/>
      <w:marLeft w:val="0"/>
      <w:marRight w:val="0"/>
      <w:marTop w:val="0"/>
      <w:marBottom w:val="0"/>
      <w:divBdr>
        <w:top w:val="none" w:sz="0" w:space="0" w:color="auto"/>
        <w:left w:val="none" w:sz="0" w:space="0" w:color="auto"/>
        <w:bottom w:val="none" w:sz="0" w:space="0" w:color="auto"/>
        <w:right w:val="none" w:sz="0" w:space="0" w:color="auto"/>
      </w:divBdr>
    </w:div>
    <w:div w:id="1774590073">
      <w:bodyDiv w:val="1"/>
      <w:marLeft w:val="0"/>
      <w:marRight w:val="0"/>
      <w:marTop w:val="0"/>
      <w:marBottom w:val="0"/>
      <w:divBdr>
        <w:top w:val="none" w:sz="0" w:space="0" w:color="auto"/>
        <w:left w:val="none" w:sz="0" w:space="0" w:color="auto"/>
        <w:bottom w:val="none" w:sz="0" w:space="0" w:color="auto"/>
        <w:right w:val="none" w:sz="0" w:space="0" w:color="auto"/>
      </w:divBdr>
    </w:div>
    <w:div w:id="1808473281">
      <w:bodyDiv w:val="1"/>
      <w:marLeft w:val="0"/>
      <w:marRight w:val="0"/>
      <w:marTop w:val="0"/>
      <w:marBottom w:val="0"/>
      <w:divBdr>
        <w:top w:val="none" w:sz="0" w:space="0" w:color="auto"/>
        <w:left w:val="none" w:sz="0" w:space="0" w:color="auto"/>
        <w:bottom w:val="none" w:sz="0" w:space="0" w:color="auto"/>
        <w:right w:val="none" w:sz="0" w:space="0" w:color="auto"/>
      </w:divBdr>
    </w:div>
    <w:div w:id="1814298960">
      <w:bodyDiv w:val="1"/>
      <w:marLeft w:val="0"/>
      <w:marRight w:val="0"/>
      <w:marTop w:val="0"/>
      <w:marBottom w:val="0"/>
      <w:divBdr>
        <w:top w:val="none" w:sz="0" w:space="0" w:color="auto"/>
        <w:left w:val="none" w:sz="0" w:space="0" w:color="auto"/>
        <w:bottom w:val="none" w:sz="0" w:space="0" w:color="auto"/>
        <w:right w:val="none" w:sz="0" w:space="0" w:color="auto"/>
      </w:divBdr>
    </w:div>
    <w:div w:id="1846244180">
      <w:bodyDiv w:val="1"/>
      <w:marLeft w:val="0"/>
      <w:marRight w:val="0"/>
      <w:marTop w:val="0"/>
      <w:marBottom w:val="0"/>
      <w:divBdr>
        <w:top w:val="none" w:sz="0" w:space="0" w:color="auto"/>
        <w:left w:val="none" w:sz="0" w:space="0" w:color="auto"/>
        <w:bottom w:val="none" w:sz="0" w:space="0" w:color="auto"/>
        <w:right w:val="none" w:sz="0" w:space="0" w:color="auto"/>
      </w:divBdr>
    </w:div>
    <w:div w:id="1858033393">
      <w:bodyDiv w:val="1"/>
      <w:marLeft w:val="0"/>
      <w:marRight w:val="0"/>
      <w:marTop w:val="0"/>
      <w:marBottom w:val="0"/>
      <w:divBdr>
        <w:top w:val="none" w:sz="0" w:space="0" w:color="auto"/>
        <w:left w:val="none" w:sz="0" w:space="0" w:color="auto"/>
        <w:bottom w:val="none" w:sz="0" w:space="0" w:color="auto"/>
        <w:right w:val="none" w:sz="0" w:space="0" w:color="auto"/>
      </w:divBdr>
    </w:div>
    <w:div w:id="1916863543">
      <w:bodyDiv w:val="1"/>
      <w:marLeft w:val="0"/>
      <w:marRight w:val="0"/>
      <w:marTop w:val="0"/>
      <w:marBottom w:val="0"/>
      <w:divBdr>
        <w:top w:val="none" w:sz="0" w:space="0" w:color="auto"/>
        <w:left w:val="none" w:sz="0" w:space="0" w:color="auto"/>
        <w:bottom w:val="none" w:sz="0" w:space="0" w:color="auto"/>
        <w:right w:val="none" w:sz="0" w:space="0" w:color="auto"/>
      </w:divBdr>
    </w:div>
    <w:div w:id="1960868710">
      <w:bodyDiv w:val="1"/>
      <w:marLeft w:val="0"/>
      <w:marRight w:val="0"/>
      <w:marTop w:val="0"/>
      <w:marBottom w:val="0"/>
      <w:divBdr>
        <w:top w:val="none" w:sz="0" w:space="0" w:color="auto"/>
        <w:left w:val="none" w:sz="0" w:space="0" w:color="auto"/>
        <w:bottom w:val="none" w:sz="0" w:space="0" w:color="auto"/>
        <w:right w:val="none" w:sz="0" w:space="0" w:color="auto"/>
      </w:divBdr>
    </w:div>
    <w:div w:id="19639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hrw.org/news/2019/08/21/us-new-rules-allow-indefinite-detention-children" TargetMode="External"/><Relationship Id="rId18" Type="http://schemas.openxmlformats.org/officeDocument/2006/relationships/hyperlink" Target="https://irb-cisr.gc.ca/en/statistics/detentions-reviews/Pages/dentenSub.aspx" TargetMode="External"/><Relationship Id="rId26" Type="http://schemas.openxmlformats.org/officeDocument/2006/relationships/hyperlink" Target="https://www.theatlantic.com/news/archive/2017/06/ice-shuts-down-program-for-asylum-seekers/529887/" TargetMode="External"/><Relationship Id="rId3" Type="http://schemas.openxmlformats.org/officeDocument/2006/relationships/hyperlink" Target="https://www.hrw.org/news/2016/08/02/australia-appalling-abuse-neglect-refugees-nauru" TargetMode="External"/><Relationship Id="rId21" Type="http://schemas.openxmlformats.org/officeDocument/2006/relationships/hyperlink" Target="https://www.unhcr.org/5666a2ea9.pdf" TargetMode="External"/><Relationship Id="rId7" Type="http://schemas.openxmlformats.org/officeDocument/2006/relationships/hyperlink" Target="https://www.hrw.org/news/2019/10/24/turkey-syrians-being-deported-danger" TargetMode="External"/><Relationship Id="rId12" Type="http://schemas.openxmlformats.org/officeDocument/2006/relationships/hyperlink" Target="https://www.nytimes.com/2019/08/15/us/migrant-children-toothbrushes-court.html" TargetMode="External"/><Relationship Id="rId17" Type="http://schemas.openxmlformats.org/officeDocument/2006/relationships/hyperlink" Target="http://www.ekka.org.gr/images/&#931;&#932;&#913;&#932;&#921;&#931;&#932;&#921;&#922;&#913;_2020/EKKA%20Dashboard%2031-3-2020.pdf" TargetMode="External"/><Relationship Id="rId25" Type="http://schemas.openxmlformats.org/officeDocument/2006/relationships/hyperlink" Target="https://metadrasi.org/en/campaigns/supported-semi-independent-living-for-unaccompanied-minors/" TargetMode="External"/><Relationship Id="rId33" Type="http://schemas.openxmlformats.org/officeDocument/2006/relationships/hyperlink" Target="https://irb-cisr.gc.ca/en/legal-policy/policies/Pages/GuideDir02.aspx" TargetMode="External"/><Relationship Id="rId2" Type="http://schemas.openxmlformats.org/officeDocument/2006/relationships/hyperlink" Target="https://www.hrw.org/report/2016/03/31/closed-doors/mexicos-failure-protect-central-american-refugee-and-migrant-children" TargetMode="External"/><Relationship Id="rId16" Type="http://schemas.openxmlformats.org/officeDocument/2006/relationships/hyperlink" Target="https://rsaegean.org/en/european-court-of-human-rights-asks-greece-to-transfer-two-unaccompanied-boys-detained-in-police-station-to-suitable-shelter/" TargetMode="External"/><Relationship Id="rId20" Type="http://schemas.openxmlformats.org/officeDocument/2006/relationships/hyperlink" Target="https://www.cbsa-asfc.gc.ca/security-securite/detent/stat-2012-2019-eng.html" TargetMode="External"/><Relationship Id="rId29" Type="http://schemas.openxmlformats.org/officeDocument/2006/relationships/hyperlink" Target="https://www.hrw.org/news/2020/03/04/joint-submission-committee-rights-childs-review-canada" TargetMode="External"/><Relationship Id="rId1" Type="http://schemas.openxmlformats.org/officeDocument/2006/relationships/hyperlink" Target="https://www.hrw.org/report/2018/02/28/freezer/abusive-conditions-women-and-children-us-immigration-holding-cells" TargetMode="External"/><Relationship Id="rId6" Type="http://schemas.openxmlformats.org/officeDocument/2006/relationships/hyperlink" Target="https://www.hrw.org/news/2019/08/29/lebanon-migrant-family-detained" TargetMode="External"/><Relationship Id="rId11" Type="http://schemas.openxmlformats.org/officeDocument/2006/relationships/hyperlink" Target="https://www.nytimes.com/2019/06/25/us/sarah-fabian-migrant-lawyer-doj.html" TargetMode="External"/><Relationship Id="rId24" Type="http://schemas.openxmlformats.org/officeDocument/2006/relationships/hyperlink" Target="https://www.cbsa-asfc.gc.ca/security-securite/detent/stat-2012-2019-eng.html" TargetMode="External"/><Relationship Id="rId32" Type="http://schemas.openxmlformats.org/officeDocument/2006/relationships/hyperlink" Target="https://www.cbsa-asfc.gc.ca/security-securite/detent/nddhm-dndhm-eng.html" TargetMode="External"/><Relationship Id="rId5" Type="http://schemas.openxmlformats.org/officeDocument/2006/relationships/hyperlink" Target="https://www.hrw.org/report/2013/06/23/barely-surviving/detention-abuse-and-neglect-migrant-children-indonesia" TargetMode="External"/><Relationship Id="rId15" Type="http://schemas.openxmlformats.org/officeDocument/2006/relationships/hyperlink" Target="http://www.arsis.gr/en/press-release-the-echr-grants-interim-measures-putting-an-end-to-the-detention-of-unaccompanied-minors-in-police-stations/" TargetMode="External"/><Relationship Id="rId23" Type="http://schemas.openxmlformats.org/officeDocument/2006/relationships/hyperlink" Target="https://www.cbsa-asfc.gc.ca/security-securite/detent/qa-qr-eng.html" TargetMode="External"/><Relationship Id="rId28" Type="http://schemas.openxmlformats.org/officeDocument/2006/relationships/hyperlink" Target="https://rm.coe.int/alternatives-to-immigration-detention-practical-guidance-1st-draft/16808e49c8" TargetMode="External"/><Relationship Id="rId10" Type="http://schemas.openxmlformats.org/officeDocument/2006/relationships/hyperlink" Target="https://www.hrw.org/news/2019/06/27/candidates-homestead-visits-will-highlight-plight-detained-migrant-children" TargetMode="External"/><Relationship Id="rId19" Type="http://schemas.openxmlformats.org/officeDocument/2006/relationships/hyperlink" Target="https://www.hrw.org/news/2020/03/04/joint-submission-committee-rights-childs-review-canada" TargetMode="External"/><Relationship Id="rId31" Type="http://schemas.openxmlformats.org/officeDocument/2006/relationships/hyperlink" Target="https://www.publicsafety.gc.ca/cnt/trnsprnc/ns-trnsprnc/mnstrl-drctn-cbsa-en.aspx" TargetMode="External"/><Relationship Id="rId4" Type="http://schemas.openxmlformats.org/officeDocument/2006/relationships/hyperlink" Target="https://www.hrw.org/report/2016/09/08/why-are-you-keeping-me-here/unaccompanied-children-detained-greece" TargetMode="External"/><Relationship Id="rId9" Type="http://schemas.openxmlformats.org/officeDocument/2006/relationships/hyperlink" Target="https://www.cnn.com/2019/06/24/opinions/children-migrant-centers-at-border-long-austin-hillery/index.html" TargetMode="External"/><Relationship Id="rId14" Type="http://schemas.openxmlformats.org/officeDocument/2006/relationships/hyperlink" Target="https://www.gcr.gr/en/news/press-releases-announcements/item/1069-the-european-court-of-human-rights-grants-interim-measures-in-favour-of-two-detained-unaccompanied-girls" TargetMode="External"/><Relationship Id="rId22" Type="http://schemas.openxmlformats.org/officeDocument/2006/relationships/hyperlink" Target="https://www.unhcr.org/57b583457" TargetMode="External"/><Relationship Id="rId27" Type="http://schemas.openxmlformats.org/officeDocument/2006/relationships/hyperlink" Target="https://www.refworld.org/pdfid/57b850dba.pdf" TargetMode="External"/><Relationship Id="rId30" Type="http://schemas.openxmlformats.org/officeDocument/2006/relationships/hyperlink" Target="https://ccrweb.ca/sites/ccrweb.ca/files/children-detention-nov-2019.pdf" TargetMode="External"/><Relationship Id="rId8" Type="http://schemas.openxmlformats.org/officeDocument/2006/relationships/hyperlink" Target="https://www.hrw.org/news/2019/06/20/children-risk-us-border-j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7E68-B1E3-4CA9-9FEC-0300266B3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1050AA-B14B-4A40-994B-EC4F370173BF}">
  <ds:schemaRefs>
    <ds:schemaRef ds:uri="http://schemas.microsoft.com/sharepoint/v3/contenttype/forms"/>
  </ds:schemaRefs>
</ds:datastoreItem>
</file>

<file path=customXml/itemProps3.xml><?xml version="1.0" encoding="utf-8"?>
<ds:datastoreItem xmlns:ds="http://schemas.openxmlformats.org/officeDocument/2006/customXml" ds:itemID="{517C6D67-3590-4813-A7C3-297EB73796F1}"/>
</file>

<file path=customXml/itemProps4.xml><?xml version="1.0" encoding="utf-8"?>
<ds:datastoreItem xmlns:ds="http://schemas.openxmlformats.org/officeDocument/2006/customXml" ds:itemID="{7AB28484-6C10-4481-8CE3-A4A6D4C6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Bochenek</dc:creator>
  <cp:keywords/>
  <dc:description/>
  <cp:lastModifiedBy>Michael Bochenek</cp:lastModifiedBy>
  <cp:revision>3</cp:revision>
  <dcterms:created xsi:type="dcterms:W3CDTF">2020-04-20T10:48:00Z</dcterms:created>
  <dcterms:modified xsi:type="dcterms:W3CDTF">2020-04-20T10:49:00Z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