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C3A9F" w14:textId="6758C274" w:rsidR="00CD7153" w:rsidRPr="00F93FC0" w:rsidRDefault="000B7F1C" w:rsidP="00F93FC0">
      <w:pPr>
        <w:jc w:val="center"/>
        <w:rPr>
          <w:b/>
          <w:sz w:val="28"/>
          <w:szCs w:val="28"/>
        </w:rPr>
      </w:pPr>
      <w:bookmarkStart w:id="0" w:name="_GoBack"/>
      <w:bookmarkEnd w:id="0"/>
      <w:r w:rsidRPr="00F93FC0">
        <w:rPr>
          <w:b/>
          <w:sz w:val="28"/>
          <w:szCs w:val="28"/>
        </w:rPr>
        <w:t>EU</w:t>
      </w:r>
      <w:r w:rsidR="00CD7153" w:rsidRPr="00F93FC0">
        <w:rPr>
          <w:b/>
          <w:sz w:val="28"/>
          <w:szCs w:val="28"/>
        </w:rPr>
        <w:t xml:space="preserve"> </w:t>
      </w:r>
      <w:r w:rsidRPr="00F93FC0">
        <w:rPr>
          <w:b/>
          <w:sz w:val="28"/>
          <w:szCs w:val="28"/>
        </w:rPr>
        <w:t>contribution to UN H</w:t>
      </w:r>
      <w:r w:rsidR="00082262" w:rsidRPr="00F93FC0">
        <w:rPr>
          <w:b/>
          <w:sz w:val="28"/>
          <w:szCs w:val="28"/>
        </w:rPr>
        <w:t xml:space="preserve">uman </w:t>
      </w:r>
      <w:r w:rsidRPr="00F93FC0">
        <w:rPr>
          <w:b/>
          <w:sz w:val="28"/>
          <w:szCs w:val="28"/>
        </w:rPr>
        <w:t>R</w:t>
      </w:r>
      <w:r w:rsidR="00082262" w:rsidRPr="00F93FC0">
        <w:rPr>
          <w:b/>
          <w:sz w:val="28"/>
          <w:szCs w:val="28"/>
        </w:rPr>
        <w:t>ights</w:t>
      </w:r>
      <w:r w:rsidR="005F62DE" w:rsidRPr="00F93FC0">
        <w:rPr>
          <w:b/>
          <w:sz w:val="28"/>
          <w:szCs w:val="28"/>
        </w:rPr>
        <w:t xml:space="preserve"> and Migration</w:t>
      </w:r>
      <w:r w:rsidRPr="00F93FC0">
        <w:rPr>
          <w:b/>
          <w:sz w:val="28"/>
          <w:szCs w:val="28"/>
        </w:rPr>
        <w:t xml:space="preserve"> report </w:t>
      </w:r>
      <w:r w:rsidR="00CD7153" w:rsidRPr="00F93FC0">
        <w:rPr>
          <w:b/>
          <w:sz w:val="28"/>
          <w:szCs w:val="28"/>
        </w:rPr>
        <w:t xml:space="preserve">– </w:t>
      </w:r>
      <w:r w:rsidR="005F62DE" w:rsidRPr="00F93FC0">
        <w:rPr>
          <w:b/>
          <w:sz w:val="28"/>
          <w:szCs w:val="28"/>
        </w:rPr>
        <w:t xml:space="preserve">April </w:t>
      </w:r>
      <w:r w:rsidR="00CD7153" w:rsidRPr="00F93FC0">
        <w:rPr>
          <w:b/>
          <w:sz w:val="28"/>
          <w:szCs w:val="28"/>
        </w:rPr>
        <w:t>2020</w:t>
      </w:r>
    </w:p>
    <w:p w14:paraId="66FB7A47" w14:textId="71A7090C" w:rsidR="009738C8" w:rsidRPr="0028218C" w:rsidRDefault="009F647C" w:rsidP="00155FBD">
      <w:pPr>
        <w:spacing w:line="240" w:lineRule="auto"/>
        <w:jc w:val="both"/>
        <w:rPr>
          <w:szCs w:val="24"/>
        </w:rPr>
      </w:pPr>
      <w:r w:rsidRPr="0028218C">
        <w:rPr>
          <w:szCs w:val="24"/>
        </w:rPr>
        <w:t xml:space="preserve">Protecting and upholding human rights and fundamental freedoms </w:t>
      </w:r>
      <w:r w:rsidR="00C8142B">
        <w:rPr>
          <w:szCs w:val="24"/>
        </w:rPr>
        <w:t>is a</w:t>
      </w:r>
      <w:r w:rsidR="000403EB">
        <w:rPr>
          <w:szCs w:val="24"/>
        </w:rPr>
        <w:t>n</w:t>
      </w:r>
      <w:r w:rsidR="00C8142B">
        <w:rPr>
          <w:szCs w:val="24"/>
        </w:rPr>
        <w:t xml:space="preserve"> essential component of</w:t>
      </w:r>
      <w:r w:rsidRPr="0028218C">
        <w:rPr>
          <w:szCs w:val="24"/>
        </w:rPr>
        <w:t xml:space="preserve"> EU asylum and migration </w:t>
      </w:r>
      <w:r w:rsidR="00C8142B">
        <w:rPr>
          <w:szCs w:val="24"/>
        </w:rPr>
        <w:t>policies</w:t>
      </w:r>
      <w:r w:rsidRPr="0028218C">
        <w:rPr>
          <w:szCs w:val="24"/>
        </w:rPr>
        <w:t xml:space="preserve">. The EU </w:t>
      </w:r>
      <w:r w:rsidR="00C8142B">
        <w:rPr>
          <w:szCs w:val="24"/>
        </w:rPr>
        <w:t>is engaged</w:t>
      </w:r>
      <w:r w:rsidRPr="0028218C">
        <w:rPr>
          <w:szCs w:val="24"/>
        </w:rPr>
        <w:t xml:space="preserve"> to protect and promote these rights through existing policy and legislative frameworks</w:t>
      </w:r>
      <w:r w:rsidR="00A57E2E" w:rsidRPr="0028218C">
        <w:rPr>
          <w:szCs w:val="24"/>
        </w:rPr>
        <w:t>, as well as EU-funded programmes and projects</w:t>
      </w:r>
      <w:r w:rsidRPr="0028218C">
        <w:rPr>
          <w:szCs w:val="24"/>
        </w:rPr>
        <w:t xml:space="preserve">. </w:t>
      </w:r>
    </w:p>
    <w:p w14:paraId="53B1ADC4" w14:textId="4D6DA3E4" w:rsidR="009F647C" w:rsidRDefault="009F647C" w:rsidP="00155FBD">
      <w:pPr>
        <w:spacing w:line="240" w:lineRule="auto"/>
        <w:jc w:val="both"/>
        <w:rPr>
          <w:szCs w:val="24"/>
        </w:rPr>
      </w:pPr>
      <w:r w:rsidRPr="0028218C">
        <w:rPr>
          <w:szCs w:val="24"/>
        </w:rPr>
        <w:t>The EU continue</w:t>
      </w:r>
      <w:r w:rsidR="00B40FAC" w:rsidRPr="0028218C">
        <w:rPr>
          <w:szCs w:val="24"/>
        </w:rPr>
        <w:t>s</w:t>
      </w:r>
      <w:r w:rsidRPr="0028218C">
        <w:rPr>
          <w:szCs w:val="24"/>
        </w:rPr>
        <w:t xml:space="preserve"> to work relentlessly, inside and outside the EU, to save lives, protect the rights of refugees</w:t>
      </w:r>
      <w:r w:rsidR="00116E31" w:rsidRPr="0028218C">
        <w:rPr>
          <w:szCs w:val="24"/>
        </w:rPr>
        <w:t>, internally displaced persons (</w:t>
      </w:r>
      <w:r w:rsidRPr="0028218C">
        <w:rPr>
          <w:szCs w:val="24"/>
        </w:rPr>
        <w:t>IDPs</w:t>
      </w:r>
      <w:r w:rsidR="00116E31" w:rsidRPr="0028218C">
        <w:rPr>
          <w:szCs w:val="24"/>
        </w:rPr>
        <w:t>) and migrants</w:t>
      </w:r>
      <w:r w:rsidRPr="0028218C">
        <w:rPr>
          <w:szCs w:val="24"/>
        </w:rPr>
        <w:t>, address human rights issues associated with</w:t>
      </w:r>
      <w:r w:rsidRPr="0028218C" w:rsidDel="003E4596">
        <w:rPr>
          <w:szCs w:val="24"/>
        </w:rPr>
        <w:t xml:space="preserve"> </w:t>
      </w:r>
      <w:r w:rsidRPr="0028218C">
        <w:rPr>
          <w:szCs w:val="24"/>
        </w:rPr>
        <w:t xml:space="preserve">migrant smuggling but also to create safe and legal pathways to Europe and to address the </w:t>
      </w:r>
      <w:r w:rsidR="00116E31" w:rsidRPr="0028218C">
        <w:rPr>
          <w:szCs w:val="24"/>
        </w:rPr>
        <w:t>drivers</w:t>
      </w:r>
      <w:r w:rsidRPr="0028218C">
        <w:rPr>
          <w:szCs w:val="24"/>
        </w:rPr>
        <w:t xml:space="preserve"> that force people to leav</w:t>
      </w:r>
      <w:r w:rsidR="000A7B25">
        <w:rPr>
          <w:szCs w:val="24"/>
        </w:rPr>
        <w:t>e their homes</w:t>
      </w:r>
      <w:r w:rsidRPr="0028218C">
        <w:rPr>
          <w:szCs w:val="24"/>
        </w:rPr>
        <w:t xml:space="preserve">. </w:t>
      </w:r>
    </w:p>
    <w:p w14:paraId="5B0ABE7D" w14:textId="3B032B8D" w:rsidR="002D6D29" w:rsidRPr="002D6D29" w:rsidRDefault="002D6D29" w:rsidP="002D6D29">
      <w:pPr>
        <w:spacing w:line="252" w:lineRule="auto"/>
        <w:jc w:val="both"/>
        <w:rPr>
          <w:sz w:val="22"/>
        </w:rPr>
      </w:pPr>
      <w:r w:rsidRPr="002D6D29">
        <w:t xml:space="preserve">In its external action, the EU continues to advocate for the promotion and protection of human rights in the context of migration, including at the highest political level. The EU Special Representative for Human Rights, Mr Eamon Gilmore, is engaged on these issues, </w:t>
      </w:r>
      <w:r w:rsidRPr="002D6D29">
        <w:rPr>
          <w:bCs/>
        </w:rPr>
        <w:t>including during his country visits, most recently in his mission to the Middle East.</w:t>
      </w:r>
      <w:r w:rsidRPr="002D6D29">
        <w:t xml:space="preserve"> </w:t>
      </w:r>
    </w:p>
    <w:p w14:paraId="4FD1BCE7" w14:textId="6FF8ED90" w:rsidR="00B832F7" w:rsidRPr="00B832F7" w:rsidRDefault="00B832F7" w:rsidP="00B832F7">
      <w:pPr>
        <w:spacing w:after="160" w:line="259" w:lineRule="auto"/>
        <w:jc w:val="both"/>
        <w:rPr>
          <w:rFonts w:eastAsia="Calibri"/>
          <w:iCs/>
          <w:szCs w:val="24"/>
        </w:rPr>
      </w:pPr>
      <w:r w:rsidRPr="00B832F7">
        <w:rPr>
          <w:rFonts w:eastAsia="Calibri"/>
          <w:iCs/>
          <w:szCs w:val="24"/>
        </w:rPr>
        <w:t xml:space="preserve">The COVID-19 crisis </w:t>
      </w:r>
      <w:r w:rsidR="00C8142B" w:rsidRPr="000403EB">
        <w:rPr>
          <w:rFonts w:eastAsia="Calibri"/>
          <w:iCs/>
          <w:szCs w:val="24"/>
        </w:rPr>
        <w:t xml:space="preserve">is </w:t>
      </w:r>
      <w:r w:rsidRPr="00B832F7">
        <w:rPr>
          <w:rFonts w:eastAsia="Calibri"/>
          <w:iCs/>
          <w:szCs w:val="24"/>
        </w:rPr>
        <w:t>ha</w:t>
      </w:r>
      <w:r w:rsidR="00C8142B" w:rsidRPr="000403EB">
        <w:rPr>
          <w:rFonts w:eastAsia="Calibri"/>
          <w:iCs/>
          <w:szCs w:val="24"/>
        </w:rPr>
        <w:t>ving</w:t>
      </w:r>
      <w:r w:rsidRPr="00B832F7">
        <w:rPr>
          <w:rFonts w:eastAsia="Calibri"/>
          <w:iCs/>
          <w:szCs w:val="24"/>
        </w:rPr>
        <w:t xml:space="preserve"> an exacerbated impact on the most vulnerable, including refugees, migrants, internally displaced and stateless persons. The European Union remains determined to actively protect, assist and advocate for these groups.</w:t>
      </w:r>
      <w:r w:rsidR="00C8142B">
        <w:rPr>
          <w:rFonts w:eastAsia="Calibri"/>
          <w:iCs/>
          <w:szCs w:val="24"/>
        </w:rPr>
        <w:t xml:space="preserve">  </w:t>
      </w:r>
      <w:r w:rsidRPr="00B832F7">
        <w:rPr>
          <w:rFonts w:eastAsia="Calibri"/>
          <w:iCs/>
          <w:szCs w:val="24"/>
        </w:rPr>
        <w:t xml:space="preserve">The EU response </w:t>
      </w:r>
      <w:r w:rsidR="00C8142B">
        <w:rPr>
          <w:rFonts w:eastAsia="Calibri"/>
          <w:iCs/>
          <w:szCs w:val="24"/>
        </w:rPr>
        <w:t xml:space="preserve">to the pandemic </w:t>
      </w:r>
      <w:r w:rsidR="000A7B25">
        <w:rPr>
          <w:rFonts w:eastAsia="Calibri"/>
          <w:iCs/>
          <w:szCs w:val="24"/>
        </w:rPr>
        <w:t>is</w:t>
      </w:r>
      <w:r w:rsidRPr="00B832F7">
        <w:rPr>
          <w:rFonts w:eastAsia="Calibri"/>
          <w:iCs/>
          <w:szCs w:val="24"/>
        </w:rPr>
        <w:t xml:space="preserve"> focus</w:t>
      </w:r>
      <w:r w:rsidR="000A7B25">
        <w:rPr>
          <w:rFonts w:eastAsia="Calibri"/>
          <w:iCs/>
          <w:szCs w:val="24"/>
        </w:rPr>
        <w:t>ing</w:t>
      </w:r>
      <w:r w:rsidRPr="00B832F7">
        <w:rPr>
          <w:rFonts w:eastAsia="Calibri"/>
          <w:iCs/>
          <w:szCs w:val="24"/>
        </w:rPr>
        <w:t xml:space="preserve"> on the needs of those that are most at risk of marginalisation, stigmatisation, hate crime and other forms of discrimination. </w:t>
      </w:r>
    </w:p>
    <w:p w14:paraId="4CB10476" w14:textId="5A5DCB45" w:rsidR="00C8142B" w:rsidRPr="0028218C" w:rsidRDefault="00C8142B" w:rsidP="00C8142B">
      <w:pPr>
        <w:spacing w:line="240" w:lineRule="auto"/>
        <w:ind w:left="69"/>
        <w:jc w:val="both"/>
        <w:rPr>
          <w:szCs w:val="24"/>
        </w:rPr>
      </w:pPr>
      <w:r w:rsidRPr="0028218C">
        <w:rPr>
          <w:szCs w:val="24"/>
        </w:rPr>
        <w:t xml:space="preserve">The </w:t>
      </w:r>
      <w:r w:rsidR="00BE0E79">
        <w:rPr>
          <w:szCs w:val="24"/>
        </w:rPr>
        <w:t>recently adopted</w:t>
      </w:r>
      <w:r w:rsidRPr="0028218C">
        <w:rPr>
          <w:szCs w:val="24"/>
        </w:rPr>
        <w:t xml:space="preserve"> EU Action Plan on Human Rights and Democracy </w:t>
      </w:r>
      <w:r w:rsidR="000403EB">
        <w:rPr>
          <w:szCs w:val="24"/>
        </w:rPr>
        <w:t xml:space="preserve">(for </w:t>
      </w:r>
      <w:r w:rsidRPr="0028218C">
        <w:rPr>
          <w:szCs w:val="24"/>
        </w:rPr>
        <w:t>2020-2024</w:t>
      </w:r>
      <w:r w:rsidR="000403EB">
        <w:rPr>
          <w:szCs w:val="24"/>
        </w:rPr>
        <w:t>)</w:t>
      </w:r>
      <w:r w:rsidRPr="0028218C">
        <w:rPr>
          <w:szCs w:val="24"/>
        </w:rPr>
        <w:t xml:space="preserve"> calls for a specific protection of migrants, refugees and internally displaced persons and support measures to improve integration, social cohesion and access to basic services. </w:t>
      </w:r>
      <w:r w:rsidR="00BE0E79">
        <w:rPr>
          <w:szCs w:val="24"/>
        </w:rPr>
        <w:t xml:space="preserve">It also </w:t>
      </w:r>
      <w:r w:rsidR="00B832F7" w:rsidRPr="00B832F7">
        <w:rPr>
          <w:rFonts w:eastAsia="Calibri"/>
          <w:szCs w:val="24"/>
        </w:rPr>
        <w:t>underscores the right to benefit from medical treatment at all times as well as non-discriminatory access to quality and affordable healthcare.</w:t>
      </w:r>
    </w:p>
    <w:p w14:paraId="39048544" w14:textId="09E5E3DC" w:rsidR="00B832F7" w:rsidRPr="00B832F7" w:rsidRDefault="000403EB" w:rsidP="00B832F7">
      <w:pPr>
        <w:spacing w:after="160" w:line="252" w:lineRule="auto"/>
        <w:jc w:val="both"/>
        <w:rPr>
          <w:rFonts w:eastAsia="Calibri"/>
          <w:szCs w:val="24"/>
        </w:rPr>
      </w:pPr>
      <w:r>
        <w:rPr>
          <w:rFonts w:eastAsia="Calibri"/>
          <w:szCs w:val="24"/>
        </w:rPr>
        <w:t xml:space="preserve">The EU considers </w:t>
      </w:r>
      <w:r w:rsidR="00B64231">
        <w:rPr>
          <w:rFonts w:eastAsia="Calibri"/>
          <w:szCs w:val="24"/>
        </w:rPr>
        <w:t>imperative</w:t>
      </w:r>
      <w:r w:rsidR="00B832F7" w:rsidRPr="00B832F7">
        <w:rPr>
          <w:rFonts w:eastAsia="Calibri"/>
          <w:szCs w:val="24"/>
        </w:rPr>
        <w:t xml:space="preserve"> to base responses to the virus on facts and science. Under no circumstances should they fu</w:t>
      </w:r>
      <w:r w:rsidR="000A7B25">
        <w:rPr>
          <w:rFonts w:eastAsia="Calibri"/>
          <w:szCs w:val="24"/>
        </w:rPr>
        <w:t>el racism or xenophobia. We all</w:t>
      </w:r>
      <w:r w:rsidR="00B832F7" w:rsidRPr="00B832F7">
        <w:rPr>
          <w:rFonts w:eastAsia="Calibri"/>
          <w:szCs w:val="24"/>
        </w:rPr>
        <w:t xml:space="preserve"> have to fight disinformatio</w:t>
      </w:r>
      <w:r>
        <w:rPr>
          <w:rFonts w:eastAsia="Calibri"/>
          <w:szCs w:val="24"/>
        </w:rPr>
        <w:t xml:space="preserve">n, which, </w:t>
      </w:r>
      <w:r w:rsidR="00B832F7" w:rsidRPr="00B832F7">
        <w:rPr>
          <w:rFonts w:eastAsia="Calibri"/>
          <w:szCs w:val="24"/>
        </w:rPr>
        <w:t>under current circumstances</w:t>
      </w:r>
      <w:r>
        <w:rPr>
          <w:rFonts w:eastAsia="Calibri"/>
          <w:szCs w:val="24"/>
        </w:rPr>
        <w:t xml:space="preserve">, can </w:t>
      </w:r>
      <w:r w:rsidR="00B832F7" w:rsidRPr="00B832F7">
        <w:rPr>
          <w:rFonts w:eastAsia="Calibri"/>
          <w:szCs w:val="24"/>
        </w:rPr>
        <w:t>stigmatise vulnerable groups, including migrants or refugees.</w:t>
      </w:r>
    </w:p>
    <w:p w14:paraId="325DE4D1" w14:textId="33062331" w:rsidR="00B832F7" w:rsidRPr="00B832F7" w:rsidRDefault="000A7B25" w:rsidP="00B832F7">
      <w:pPr>
        <w:spacing w:after="160" w:line="252" w:lineRule="auto"/>
        <w:jc w:val="both"/>
        <w:rPr>
          <w:rFonts w:eastAsia="Calibri"/>
          <w:szCs w:val="24"/>
        </w:rPr>
      </w:pPr>
      <w:r>
        <w:rPr>
          <w:rFonts w:eastAsia="Calibri"/>
          <w:szCs w:val="24"/>
        </w:rPr>
        <w:t>The EU is</w:t>
      </w:r>
      <w:r w:rsidR="00B832F7" w:rsidRPr="00B832F7">
        <w:rPr>
          <w:rFonts w:eastAsia="Calibri"/>
          <w:szCs w:val="24"/>
        </w:rPr>
        <w:t xml:space="preserve"> committed to international cooperation and mul</w:t>
      </w:r>
      <w:r>
        <w:rPr>
          <w:rFonts w:eastAsia="Calibri"/>
          <w:szCs w:val="24"/>
        </w:rPr>
        <w:t>tilateral solutions and is</w:t>
      </w:r>
      <w:r w:rsidR="000403EB">
        <w:rPr>
          <w:rFonts w:eastAsia="Calibri"/>
          <w:szCs w:val="24"/>
        </w:rPr>
        <w:t xml:space="preserve"> working</w:t>
      </w:r>
      <w:r w:rsidR="00B832F7" w:rsidRPr="00B832F7">
        <w:rPr>
          <w:rFonts w:eastAsia="Calibri"/>
          <w:szCs w:val="24"/>
        </w:rPr>
        <w:t xml:space="preserve"> hand in hand with international partners such as the World Health Organisation, the International Organisation for Migration and the UN High Commissioner for Refugees, sharing information and coordinating concrete action on the ground.</w:t>
      </w:r>
    </w:p>
    <w:p w14:paraId="3E8CB0B0" w14:textId="77777777" w:rsidR="00D35055" w:rsidRDefault="00B832F7" w:rsidP="00D35055">
      <w:pPr>
        <w:spacing w:after="160" w:line="259" w:lineRule="auto"/>
        <w:jc w:val="both"/>
        <w:rPr>
          <w:rFonts w:eastAsia="Calibri"/>
          <w:color w:val="000000"/>
          <w:szCs w:val="24"/>
          <w:lang w:eastAsia="en-GB"/>
        </w:rPr>
      </w:pPr>
      <w:r w:rsidRPr="00B832F7">
        <w:rPr>
          <w:rFonts w:eastAsia="Calibri"/>
          <w:color w:val="000000"/>
          <w:szCs w:val="24"/>
        </w:rPr>
        <w:t xml:space="preserve">In Europe, measures to contain and limit the further spread of the coronavirus are responsibility of national authorities, which are focusing on reducing the risks linked to the coronavirus within reception centres and structures. </w:t>
      </w:r>
      <w:r w:rsidRPr="00B832F7">
        <w:rPr>
          <w:rFonts w:eastAsia="Calibri"/>
          <w:color w:val="000000"/>
          <w:szCs w:val="24"/>
          <w:lang w:eastAsia="en-GB"/>
        </w:rPr>
        <w:t xml:space="preserve">The EU is identifying, together with Member States, areas where </w:t>
      </w:r>
      <w:r w:rsidR="000403EB">
        <w:rPr>
          <w:rFonts w:eastAsia="Calibri"/>
          <w:color w:val="000000"/>
          <w:szCs w:val="24"/>
          <w:lang w:eastAsia="en-GB"/>
        </w:rPr>
        <w:t>to</w:t>
      </w:r>
      <w:r w:rsidRPr="00B832F7">
        <w:rPr>
          <w:rFonts w:eastAsia="Calibri"/>
          <w:color w:val="000000"/>
          <w:szCs w:val="24"/>
          <w:lang w:eastAsia="en-GB"/>
        </w:rPr>
        <w:t xml:space="preserve"> support the implementation of those measures, and </w:t>
      </w:r>
      <w:r w:rsidR="00996C81">
        <w:rPr>
          <w:rFonts w:eastAsia="Calibri"/>
          <w:color w:val="000000"/>
          <w:szCs w:val="24"/>
          <w:lang w:eastAsia="en-GB"/>
        </w:rPr>
        <w:t xml:space="preserve">to </w:t>
      </w:r>
      <w:r w:rsidRPr="00B832F7">
        <w:rPr>
          <w:rFonts w:eastAsia="Calibri"/>
          <w:color w:val="000000"/>
          <w:szCs w:val="24"/>
          <w:lang w:eastAsia="en-GB"/>
        </w:rPr>
        <w:t xml:space="preserve">help with further prevention measures. </w:t>
      </w:r>
    </w:p>
    <w:p w14:paraId="1325AE2C" w14:textId="27561CF8" w:rsidR="00D35055" w:rsidRPr="00B832F7" w:rsidRDefault="00D35055" w:rsidP="00D35055">
      <w:pPr>
        <w:spacing w:after="160" w:line="259" w:lineRule="auto"/>
        <w:jc w:val="both"/>
        <w:rPr>
          <w:rFonts w:eastAsia="Calibri"/>
          <w:color w:val="000000"/>
          <w:szCs w:val="24"/>
          <w:lang w:eastAsia="en-GB"/>
        </w:rPr>
      </w:pPr>
      <w:r w:rsidRPr="00D21E96">
        <w:rPr>
          <w:szCs w:val="24"/>
          <w:lang w:val="en-IE"/>
        </w:rPr>
        <w:t>I</w:t>
      </w:r>
      <w:r w:rsidRPr="00D21E96">
        <w:rPr>
          <w:szCs w:val="24"/>
        </w:rPr>
        <w:t>n order to assist Member States’ responses, the European Commission issued a guidance note</w:t>
      </w:r>
      <w:r w:rsidRPr="00D21E96">
        <w:rPr>
          <w:rStyle w:val="FootnoteReference"/>
          <w:szCs w:val="24"/>
          <w:lang w:val="en-IE"/>
        </w:rPr>
        <w:footnoteReference w:id="1"/>
      </w:r>
      <w:r w:rsidRPr="00D21E96">
        <w:rPr>
          <w:szCs w:val="24"/>
          <w:lang w:val="en-IE"/>
        </w:rPr>
        <w:t xml:space="preserve"> with practical suggestions to Member States on the implementation of the EU rules on asylum and return procedures and on resettlement while at the same time safeguarding people’s health and rights in line with the EU Charter of Fundamental Rights.</w:t>
      </w:r>
    </w:p>
    <w:p w14:paraId="74607936" w14:textId="37D2C414" w:rsidR="00B832F7" w:rsidRPr="00B832F7" w:rsidRDefault="00B832F7" w:rsidP="00996C81">
      <w:pPr>
        <w:spacing w:after="100" w:afterAutospacing="1" w:line="240" w:lineRule="auto"/>
        <w:jc w:val="both"/>
        <w:rPr>
          <w:rFonts w:eastAsia="Times New Roman"/>
          <w:color w:val="000000"/>
          <w:szCs w:val="24"/>
        </w:rPr>
      </w:pPr>
      <w:r w:rsidRPr="00B832F7">
        <w:rPr>
          <w:rFonts w:eastAsia="Times New Roman"/>
          <w:bCs/>
          <w:color w:val="000000"/>
          <w:szCs w:val="24"/>
        </w:rPr>
        <w:lastRenderedPageBreak/>
        <w:t>In third countries, t</w:t>
      </w:r>
      <w:r w:rsidRPr="00B832F7">
        <w:rPr>
          <w:rFonts w:eastAsia="Times New Roman"/>
          <w:color w:val="000000"/>
          <w:szCs w:val="24"/>
        </w:rPr>
        <w:t xml:space="preserve">he </w:t>
      </w:r>
      <w:r w:rsidRPr="00B832F7">
        <w:rPr>
          <w:rFonts w:eastAsia="Times New Roman"/>
          <w:bCs/>
          <w:color w:val="000000"/>
          <w:szCs w:val="24"/>
        </w:rPr>
        <w:t xml:space="preserve">EU’s response to COVID19 </w:t>
      </w:r>
      <w:r w:rsidRPr="00B832F7">
        <w:rPr>
          <w:rFonts w:eastAsia="Times New Roman"/>
          <w:color w:val="000000"/>
          <w:szCs w:val="24"/>
        </w:rPr>
        <w:t xml:space="preserve">will strive to have </w:t>
      </w:r>
      <w:r w:rsidRPr="00B832F7">
        <w:rPr>
          <w:rFonts w:eastAsia="Times New Roman"/>
          <w:bCs/>
          <w:color w:val="000000"/>
          <w:szCs w:val="24"/>
        </w:rPr>
        <w:t>migrants and forcibly displaced pe</w:t>
      </w:r>
      <w:r w:rsidR="00996C81">
        <w:rPr>
          <w:rFonts w:eastAsia="Times New Roman"/>
          <w:bCs/>
          <w:color w:val="000000"/>
          <w:szCs w:val="24"/>
        </w:rPr>
        <w:t>rsons</w:t>
      </w:r>
      <w:r w:rsidRPr="00B832F7">
        <w:rPr>
          <w:rFonts w:eastAsia="Times New Roman"/>
          <w:bCs/>
          <w:color w:val="000000"/>
          <w:szCs w:val="24"/>
        </w:rPr>
        <w:t xml:space="preserve"> benefit from health care systems</w:t>
      </w:r>
      <w:r w:rsidRPr="00B832F7">
        <w:rPr>
          <w:rFonts w:eastAsia="Times New Roman"/>
          <w:color w:val="000000"/>
          <w:szCs w:val="24"/>
        </w:rPr>
        <w:t xml:space="preserve">, as well as to broaden short and long term </w:t>
      </w:r>
      <w:r w:rsidRPr="00B832F7">
        <w:rPr>
          <w:rFonts w:eastAsia="Times New Roman"/>
          <w:bCs/>
          <w:color w:val="000000"/>
          <w:szCs w:val="24"/>
        </w:rPr>
        <w:t>strategies related to COVID 19 in order to include these groups</w:t>
      </w:r>
      <w:r w:rsidRPr="00B832F7">
        <w:rPr>
          <w:rFonts w:eastAsia="Times New Roman"/>
          <w:color w:val="000000"/>
          <w:szCs w:val="24"/>
        </w:rPr>
        <w:t xml:space="preserve">. The EU will support partner countries bilaterally as well as through multilateral efforts in partnership with </w:t>
      </w:r>
      <w:r w:rsidR="000403EB" w:rsidRPr="000403EB">
        <w:rPr>
          <w:rFonts w:eastAsia="Times New Roman"/>
          <w:color w:val="000000"/>
          <w:szCs w:val="24"/>
        </w:rPr>
        <w:t>relevant</w:t>
      </w:r>
      <w:r w:rsidRPr="00B832F7">
        <w:rPr>
          <w:rFonts w:eastAsia="Times New Roman"/>
          <w:color w:val="000000"/>
          <w:szCs w:val="24"/>
        </w:rPr>
        <w:t xml:space="preserve"> organizations. </w:t>
      </w:r>
    </w:p>
    <w:p w14:paraId="3416F90A" w14:textId="77777777" w:rsidR="00B832F7" w:rsidRPr="00B832F7" w:rsidRDefault="00B832F7" w:rsidP="00996C81">
      <w:pPr>
        <w:spacing w:after="100" w:afterAutospacing="1" w:line="240" w:lineRule="auto"/>
        <w:jc w:val="both"/>
        <w:rPr>
          <w:rFonts w:eastAsia="Times New Roman"/>
          <w:color w:val="000000"/>
          <w:szCs w:val="24"/>
        </w:rPr>
      </w:pPr>
      <w:r w:rsidRPr="00B832F7">
        <w:rPr>
          <w:rFonts w:eastAsia="Times New Roman"/>
          <w:color w:val="000000"/>
          <w:szCs w:val="24"/>
        </w:rPr>
        <w:t xml:space="preserve">The EU’s response will also take into account the </w:t>
      </w:r>
      <w:r w:rsidRPr="00B832F7">
        <w:rPr>
          <w:rFonts w:eastAsia="Times New Roman"/>
          <w:bCs/>
          <w:color w:val="000000"/>
          <w:szCs w:val="24"/>
        </w:rPr>
        <w:t>longer-term impact of the pandemic on migrants and forcibly displaced persons</w:t>
      </w:r>
      <w:r w:rsidRPr="00B832F7">
        <w:rPr>
          <w:rFonts w:eastAsia="Times New Roman"/>
          <w:color w:val="000000"/>
          <w:szCs w:val="24"/>
        </w:rPr>
        <w:t>, including by fostering strong and coordinated multilateral action and responsibility sharing.</w:t>
      </w:r>
    </w:p>
    <w:p w14:paraId="705CC82D" w14:textId="77777777" w:rsidR="00B832F7" w:rsidRPr="00B832F7" w:rsidRDefault="00B832F7" w:rsidP="00996C81">
      <w:pPr>
        <w:spacing w:after="100" w:afterAutospacing="1" w:line="240" w:lineRule="auto"/>
        <w:jc w:val="both"/>
        <w:rPr>
          <w:rFonts w:eastAsia="Times New Roman"/>
          <w:color w:val="000000"/>
          <w:szCs w:val="24"/>
        </w:rPr>
      </w:pPr>
      <w:r w:rsidRPr="00B832F7">
        <w:rPr>
          <w:rFonts w:eastAsia="Times New Roman"/>
          <w:color w:val="000000"/>
          <w:szCs w:val="24"/>
        </w:rPr>
        <w:t>Funds are already being redirected from the current budget to provide personal protective equipment (PPE), hygiene materials and training in protection centers and at borders. These funds will also help local authorities, residents and migrants to address and mitigate the spread of the virus.</w:t>
      </w:r>
    </w:p>
    <w:p w14:paraId="25489D19" w14:textId="7A6712D7" w:rsidR="00700BF8" w:rsidRPr="008F28CF" w:rsidRDefault="00700BF8" w:rsidP="008F28CF">
      <w:pPr>
        <w:spacing w:after="100" w:afterAutospacing="1" w:line="240" w:lineRule="auto"/>
        <w:jc w:val="both"/>
        <w:rPr>
          <w:rFonts w:eastAsia="Times New Roman"/>
          <w:color w:val="000000"/>
          <w:szCs w:val="24"/>
        </w:rPr>
      </w:pPr>
      <w:r w:rsidRPr="008F28CF">
        <w:rPr>
          <w:rFonts w:eastAsia="Times New Roman"/>
          <w:color w:val="000000"/>
          <w:szCs w:val="24"/>
        </w:rPr>
        <w:t>In April 2020 the European Unio</w:t>
      </w:r>
      <w:r w:rsidR="005E0221" w:rsidRPr="008F28CF">
        <w:rPr>
          <w:rFonts w:eastAsia="Times New Roman"/>
          <w:color w:val="000000"/>
          <w:szCs w:val="24"/>
        </w:rPr>
        <w:t>n Agency for Fundamental Rights (FRA)</w:t>
      </w:r>
      <w:r w:rsidRPr="008F28CF">
        <w:rPr>
          <w:rFonts w:eastAsia="Times New Roman"/>
          <w:color w:val="000000"/>
          <w:szCs w:val="24"/>
        </w:rPr>
        <w:t xml:space="preserve"> published </w:t>
      </w:r>
      <w:r w:rsidR="005E0221" w:rsidRPr="008F28CF">
        <w:rPr>
          <w:rFonts w:eastAsia="Times New Roman"/>
          <w:color w:val="000000"/>
          <w:szCs w:val="24"/>
        </w:rPr>
        <w:t>a n</w:t>
      </w:r>
      <w:r w:rsidRPr="008F28CF">
        <w:rPr>
          <w:rFonts w:eastAsia="Times New Roman"/>
          <w:color w:val="000000"/>
          <w:szCs w:val="24"/>
        </w:rPr>
        <w:t xml:space="preserve">ote on the </w:t>
      </w:r>
      <w:r w:rsidR="005E0221" w:rsidRPr="008F28CF">
        <w:rPr>
          <w:rFonts w:eastAsia="Times New Roman"/>
          <w:color w:val="000000"/>
          <w:szCs w:val="24"/>
        </w:rPr>
        <w:t>fundamental rights implications</w:t>
      </w:r>
      <w:r w:rsidRPr="008F28CF">
        <w:rPr>
          <w:rFonts w:eastAsia="Times New Roman"/>
          <w:color w:val="000000"/>
          <w:szCs w:val="24"/>
        </w:rPr>
        <w:t xml:space="preserve"> of the </w:t>
      </w:r>
      <w:r w:rsidR="005E0221" w:rsidRPr="008F28CF">
        <w:rPr>
          <w:rFonts w:eastAsia="Times New Roman"/>
          <w:color w:val="000000"/>
          <w:szCs w:val="24"/>
        </w:rPr>
        <w:t xml:space="preserve">Coronavirus pandemic in the </w:t>
      </w:r>
      <w:r w:rsidRPr="008F28CF">
        <w:rPr>
          <w:rFonts w:eastAsia="Times New Roman"/>
          <w:color w:val="000000"/>
          <w:szCs w:val="24"/>
        </w:rPr>
        <w:t>EU.</w:t>
      </w:r>
    </w:p>
    <w:p w14:paraId="3ED13D36" w14:textId="470B3ADF" w:rsidR="00700BF8" w:rsidRPr="008F28CF" w:rsidRDefault="005E0221" w:rsidP="008F28CF">
      <w:pPr>
        <w:spacing w:after="100" w:afterAutospacing="1" w:line="240" w:lineRule="auto"/>
        <w:jc w:val="both"/>
        <w:rPr>
          <w:rFonts w:eastAsia="Times New Roman"/>
          <w:color w:val="000000"/>
          <w:szCs w:val="24"/>
        </w:rPr>
      </w:pPr>
      <w:r w:rsidRPr="008F28CF">
        <w:rPr>
          <w:rFonts w:eastAsia="Times New Roman"/>
          <w:color w:val="000000"/>
          <w:szCs w:val="24"/>
        </w:rPr>
        <w:t>FRA outlined that the</w:t>
      </w:r>
      <w:r w:rsidR="00700BF8" w:rsidRPr="00700BF8">
        <w:rPr>
          <w:rFonts w:eastAsia="Times New Roman"/>
          <w:color w:val="000000"/>
          <w:szCs w:val="24"/>
        </w:rPr>
        <w:t xml:space="preserve"> current situation powerfully underlines that human rights and public health are not an ‘either/or’ choice</w:t>
      </w:r>
      <w:r w:rsidRPr="008F28CF">
        <w:rPr>
          <w:rFonts w:eastAsia="Times New Roman"/>
          <w:color w:val="000000"/>
          <w:szCs w:val="24"/>
        </w:rPr>
        <w:t xml:space="preserve"> and</w:t>
      </w:r>
      <w:r w:rsidR="00700BF8" w:rsidRPr="00700BF8">
        <w:rPr>
          <w:rFonts w:eastAsia="Times New Roman"/>
          <w:color w:val="000000"/>
          <w:szCs w:val="24"/>
        </w:rPr>
        <w:t xml:space="preserve"> that public health measures that respect human rights will prove to the most effective in terms of health outcomes. </w:t>
      </w:r>
      <w:r w:rsidR="00700BF8" w:rsidRPr="008F28CF">
        <w:rPr>
          <w:rFonts w:eastAsia="Times New Roman"/>
          <w:color w:val="000000"/>
          <w:szCs w:val="24"/>
        </w:rPr>
        <w:t xml:space="preserve">A human and fundamental rights approach to the pandemic </w:t>
      </w:r>
      <w:r w:rsidR="008F28CF" w:rsidRPr="008F28CF">
        <w:rPr>
          <w:rFonts w:eastAsia="Times New Roman"/>
          <w:color w:val="000000"/>
          <w:szCs w:val="24"/>
        </w:rPr>
        <w:t>is recommended in order to</w:t>
      </w:r>
      <w:r w:rsidR="00700BF8" w:rsidRPr="008F28CF">
        <w:rPr>
          <w:rFonts w:eastAsia="Times New Roman"/>
          <w:color w:val="000000"/>
          <w:szCs w:val="24"/>
        </w:rPr>
        <w:t xml:space="preserve"> ensure that </w:t>
      </w:r>
      <w:r w:rsidR="008F28CF">
        <w:rPr>
          <w:rFonts w:eastAsia="Times New Roman"/>
          <w:color w:val="000000"/>
          <w:szCs w:val="24"/>
        </w:rPr>
        <w:t>vulnerable</w:t>
      </w:r>
      <w:r w:rsidR="008F28CF" w:rsidRPr="008F28CF">
        <w:rPr>
          <w:rFonts w:eastAsia="Times New Roman"/>
          <w:color w:val="000000"/>
          <w:szCs w:val="24"/>
        </w:rPr>
        <w:t xml:space="preserve"> groups</w:t>
      </w:r>
      <w:r w:rsidR="00700BF8" w:rsidRPr="008F28CF">
        <w:rPr>
          <w:rFonts w:eastAsia="Times New Roman"/>
          <w:color w:val="000000"/>
          <w:szCs w:val="24"/>
        </w:rPr>
        <w:t xml:space="preserve"> remain to the forefront of </w:t>
      </w:r>
      <w:r w:rsidR="008F28CF">
        <w:rPr>
          <w:rFonts w:eastAsia="Times New Roman"/>
          <w:color w:val="000000"/>
          <w:szCs w:val="24"/>
        </w:rPr>
        <w:t>the</w:t>
      </w:r>
      <w:r w:rsidR="00700BF8" w:rsidRPr="008F28CF">
        <w:rPr>
          <w:rFonts w:eastAsia="Times New Roman"/>
          <w:color w:val="000000"/>
          <w:szCs w:val="24"/>
        </w:rPr>
        <w:t xml:space="preserve"> attention </w:t>
      </w:r>
      <w:r w:rsidR="008F28CF" w:rsidRPr="008F28CF">
        <w:rPr>
          <w:rFonts w:eastAsia="Times New Roman"/>
          <w:color w:val="000000"/>
          <w:szCs w:val="24"/>
        </w:rPr>
        <w:t>and</w:t>
      </w:r>
      <w:r w:rsidR="00700BF8" w:rsidRPr="008F28CF">
        <w:rPr>
          <w:rFonts w:eastAsia="Times New Roman"/>
          <w:color w:val="000000"/>
          <w:szCs w:val="24"/>
        </w:rPr>
        <w:t xml:space="preserve"> that government measures respond to the needs of our populations in all their diversity.</w:t>
      </w:r>
    </w:p>
    <w:p w14:paraId="59F6B1E7" w14:textId="51EE5E62" w:rsidR="00700BF8" w:rsidRDefault="005E0221" w:rsidP="008F28CF">
      <w:pPr>
        <w:spacing w:after="100" w:afterAutospacing="1" w:line="240" w:lineRule="auto"/>
        <w:jc w:val="both"/>
        <w:rPr>
          <w:rFonts w:eastAsia="Times New Roman"/>
          <w:color w:val="000000"/>
          <w:szCs w:val="24"/>
        </w:rPr>
      </w:pPr>
      <w:r w:rsidRPr="008F28CF">
        <w:rPr>
          <w:rFonts w:eastAsia="Times New Roman"/>
          <w:color w:val="000000"/>
          <w:szCs w:val="24"/>
        </w:rPr>
        <w:t>The</w:t>
      </w:r>
      <w:r w:rsidR="00700BF8" w:rsidRPr="00700BF8">
        <w:rPr>
          <w:rFonts w:eastAsia="Times New Roman"/>
          <w:color w:val="000000"/>
          <w:szCs w:val="24"/>
        </w:rPr>
        <w:t xml:space="preserve"> report outlines some of the measures EU Member States have put in place to protect public health dur</w:t>
      </w:r>
      <w:r w:rsidRPr="008F28CF">
        <w:rPr>
          <w:rFonts w:eastAsia="Times New Roman"/>
          <w:color w:val="000000"/>
          <w:szCs w:val="24"/>
        </w:rPr>
        <w:t>ing the Coronavirus pandemic, highlighting</w:t>
      </w:r>
      <w:r w:rsidR="00700BF8" w:rsidRPr="00700BF8">
        <w:rPr>
          <w:rFonts w:eastAsia="Times New Roman"/>
          <w:color w:val="000000"/>
          <w:szCs w:val="24"/>
        </w:rPr>
        <w:t xml:space="preserve"> how they may affect fundamental rights</w:t>
      </w:r>
      <w:r w:rsidRPr="008F28CF">
        <w:rPr>
          <w:rFonts w:eastAsia="Times New Roman"/>
          <w:color w:val="000000"/>
          <w:szCs w:val="24"/>
        </w:rPr>
        <w:t xml:space="preserve"> and with particular attention to </w:t>
      </w:r>
      <w:r w:rsidR="00700BF8" w:rsidRPr="008F28CF">
        <w:rPr>
          <w:rFonts w:eastAsia="Times New Roman"/>
          <w:color w:val="000000"/>
          <w:szCs w:val="24"/>
        </w:rPr>
        <w:t>the impact of the virus and efforts to limit its spread o</w:t>
      </w:r>
      <w:r w:rsidRPr="008F28CF">
        <w:rPr>
          <w:rFonts w:eastAsia="Times New Roman"/>
          <w:color w:val="000000"/>
          <w:szCs w:val="24"/>
        </w:rPr>
        <w:t xml:space="preserve">n particular groups in society and </w:t>
      </w:r>
      <w:r w:rsidR="00700BF8" w:rsidRPr="008F28CF">
        <w:rPr>
          <w:rFonts w:eastAsia="Times New Roman"/>
          <w:color w:val="000000"/>
          <w:szCs w:val="24"/>
        </w:rPr>
        <w:t>incidents of xenophobic and racist discri</w:t>
      </w:r>
      <w:r w:rsidRPr="008F28CF">
        <w:rPr>
          <w:rFonts w:eastAsia="Times New Roman"/>
          <w:color w:val="000000"/>
          <w:szCs w:val="24"/>
        </w:rPr>
        <w:t>mination, including hate crime.</w:t>
      </w:r>
    </w:p>
    <w:p w14:paraId="6EF76455" w14:textId="77777777" w:rsidR="008F28CF" w:rsidRPr="00700BF8" w:rsidRDefault="008F28CF" w:rsidP="008F28CF">
      <w:pPr>
        <w:spacing w:after="100" w:afterAutospacing="1" w:line="240" w:lineRule="auto"/>
        <w:jc w:val="both"/>
        <w:rPr>
          <w:rFonts w:eastAsia="Times New Roman"/>
          <w:color w:val="000000"/>
          <w:szCs w:val="24"/>
        </w:rPr>
      </w:pPr>
    </w:p>
    <w:p w14:paraId="62642765" w14:textId="455BF510" w:rsidR="004D2625" w:rsidRPr="0028218C" w:rsidRDefault="009738C8" w:rsidP="00082262">
      <w:pPr>
        <w:ind w:left="426"/>
        <w:rPr>
          <w:b/>
          <w:bCs/>
          <w:sz w:val="28"/>
          <w:szCs w:val="28"/>
          <w:u w:val="single"/>
        </w:rPr>
      </w:pPr>
      <w:r w:rsidRPr="0028218C">
        <w:rPr>
          <w:b/>
          <w:bCs/>
          <w:sz w:val="28"/>
          <w:szCs w:val="28"/>
          <w:u w:val="single"/>
        </w:rPr>
        <w:t>P</w:t>
      </w:r>
      <w:r w:rsidR="004D2625" w:rsidRPr="0028218C">
        <w:rPr>
          <w:b/>
          <w:bCs/>
          <w:sz w:val="28"/>
          <w:szCs w:val="28"/>
          <w:u w:val="single"/>
        </w:rPr>
        <w:t>rotection of migrants in vulnerable situation</w:t>
      </w:r>
    </w:p>
    <w:p w14:paraId="37483CD0" w14:textId="77777777" w:rsidR="009F647C" w:rsidRPr="0028218C" w:rsidRDefault="009F647C" w:rsidP="00457AFD">
      <w:pPr>
        <w:ind w:left="66"/>
        <w:rPr>
          <w:b/>
          <w:color w:val="000000" w:themeColor="text1"/>
          <w:szCs w:val="24"/>
        </w:rPr>
      </w:pPr>
      <w:r w:rsidRPr="0028218C">
        <w:rPr>
          <w:b/>
          <w:color w:val="000000" w:themeColor="text1"/>
          <w:szCs w:val="24"/>
        </w:rPr>
        <w:t xml:space="preserve">Children and adolescents </w:t>
      </w:r>
    </w:p>
    <w:p w14:paraId="6951B959" w14:textId="7631A580" w:rsidR="009F647C" w:rsidRPr="0028218C" w:rsidRDefault="009F647C" w:rsidP="00116E31">
      <w:pPr>
        <w:pStyle w:val="ListParagraph"/>
        <w:numPr>
          <w:ilvl w:val="0"/>
          <w:numId w:val="32"/>
        </w:numPr>
        <w:spacing w:after="120" w:line="240" w:lineRule="auto"/>
        <w:ind w:left="426" w:hanging="357"/>
        <w:contextualSpacing w:val="0"/>
        <w:jc w:val="both"/>
        <w:rPr>
          <w:rFonts w:ascii="Times New Roman" w:hAnsi="Times New Roman" w:cs="Times New Roman"/>
          <w:sz w:val="24"/>
          <w:szCs w:val="24"/>
        </w:rPr>
      </w:pPr>
      <w:r w:rsidRPr="0028218C">
        <w:rPr>
          <w:rFonts w:ascii="Times New Roman" w:hAnsi="Times New Roman" w:cs="Times New Roman"/>
          <w:sz w:val="24"/>
          <w:szCs w:val="24"/>
        </w:rPr>
        <w:t xml:space="preserve">Migrant children are exposed to violence, exploitation, poverty, discrimination and exclusion; deprived of the protection of their own families, they </w:t>
      </w:r>
      <w:r w:rsidR="00496B70">
        <w:rPr>
          <w:rFonts w:ascii="Times New Roman" w:hAnsi="Times New Roman" w:cs="Times New Roman"/>
          <w:sz w:val="24"/>
          <w:szCs w:val="24"/>
        </w:rPr>
        <w:t>risk to</w:t>
      </w:r>
      <w:r w:rsidR="00926568" w:rsidRPr="0028218C">
        <w:rPr>
          <w:rFonts w:ascii="Times New Roman" w:hAnsi="Times New Roman" w:cs="Times New Roman"/>
          <w:sz w:val="24"/>
          <w:szCs w:val="24"/>
        </w:rPr>
        <w:t xml:space="preserve"> </w:t>
      </w:r>
      <w:r w:rsidRPr="0028218C">
        <w:rPr>
          <w:rFonts w:ascii="Times New Roman" w:hAnsi="Times New Roman" w:cs="Times New Roman"/>
          <w:sz w:val="24"/>
          <w:szCs w:val="24"/>
        </w:rPr>
        <w:t xml:space="preserve">go missing. </w:t>
      </w:r>
      <w:r w:rsidRPr="0028218C">
        <w:rPr>
          <w:rFonts w:ascii="Times New Roman" w:hAnsi="Times New Roman" w:cs="Times New Roman"/>
          <w:b/>
          <w:sz w:val="24"/>
          <w:szCs w:val="24"/>
        </w:rPr>
        <w:t>In the EU, migrant children have the right to be protected, in line with the relevant provisions of EU asylum and return law,</w:t>
      </w:r>
      <w:r w:rsidRPr="0028218C">
        <w:rPr>
          <w:rFonts w:ascii="Times New Roman" w:hAnsi="Times New Roman" w:cs="Times New Roman"/>
          <w:sz w:val="24"/>
          <w:szCs w:val="24"/>
        </w:rPr>
        <w:t xml:space="preserve"> including the EU Charter of Fundamental Rights, and the UN Convention on the Rights of the Child</w:t>
      </w:r>
      <w:r w:rsidR="00E65F00" w:rsidRPr="0028218C">
        <w:rPr>
          <w:rFonts w:ascii="Times New Roman" w:hAnsi="Times New Roman" w:cs="Times New Roman"/>
          <w:sz w:val="24"/>
          <w:szCs w:val="24"/>
        </w:rPr>
        <w:t xml:space="preserve"> (CRC)</w:t>
      </w:r>
      <w:r w:rsidRPr="0028218C">
        <w:rPr>
          <w:rFonts w:ascii="Times New Roman" w:hAnsi="Times New Roman" w:cs="Times New Roman"/>
          <w:sz w:val="24"/>
          <w:szCs w:val="24"/>
        </w:rPr>
        <w:t xml:space="preserve">. Several </w:t>
      </w:r>
      <w:r w:rsidR="00116E31" w:rsidRPr="0028218C">
        <w:rPr>
          <w:rFonts w:ascii="Times New Roman" w:hAnsi="Times New Roman" w:cs="Times New Roman"/>
          <w:sz w:val="24"/>
          <w:szCs w:val="24"/>
        </w:rPr>
        <w:t xml:space="preserve">EU </w:t>
      </w:r>
      <w:r w:rsidRPr="0028218C">
        <w:rPr>
          <w:rFonts w:ascii="Times New Roman" w:hAnsi="Times New Roman" w:cs="Times New Roman"/>
          <w:sz w:val="24"/>
          <w:szCs w:val="24"/>
        </w:rPr>
        <w:t xml:space="preserve">Member States have legislation that guarantees to unaccompanied migrant children </w:t>
      </w:r>
      <w:r w:rsidR="00116E31" w:rsidRPr="0028218C">
        <w:rPr>
          <w:rFonts w:ascii="Times New Roman" w:hAnsi="Times New Roman" w:cs="Times New Roman"/>
          <w:sz w:val="24"/>
          <w:szCs w:val="24"/>
        </w:rPr>
        <w:t xml:space="preserve">the same level of protection </w:t>
      </w:r>
      <w:r w:rsidRPr="0028218C">
        <w:rPr>
          <w:rFonts w:ascii="Times New Roman" w:hAnsi="Times New Roman" w:cs="Times New Roman"/>
          <w:sz w:val="24"/>
          <w:szCs w:val="24"/>
        </w:rPr>
        <w:t xml:space="preserve">as  national children deprived of parental care. </w:t>
      </w:r>
    </w:p>
    <w:p w14:paraId="7F40779A" w14:textId="77777777" w:rsidR="009F647C" w:rsidRPr="0028218C" w:rsidRDefault="009F647C" w:rsidP="00F93BEB">
      <w:pPr>
        <w:pStyle w:val="ListParagraph"/>
        <w:numPr>
          <w:ilvl w:val="0"/>
          <w:numId w:val="32"/>
        </w:numPr>
        <w:spacing w:after="120" w:line="240" w:lineRule="auto"/>
        <w:ind w:left="426" w:hanging="357"/>
        <w:contextualSpacing w:val="0"/>
        <w:jc w:val="both"/>
        <w:rPr>
          <w:rFonts w:ascii="Times New Roman" w:hAnsi="Times New Roman" w:cs="Times New Roman"/>
          <w:sz w:val="24"/>
          <w:szCs w:val="24"/>
        </w:rPr>
      </w:pPr>
      <w:r w:rsidRPr="0028218C">
        <w:rPr>
          <w:rFonts w:ascii="Times New Roman" w:hAnsi="Times New Roman" w:cs="Times New Roman"/>
          <w:sz w:val="24"/>
          <w:szCs w:val="24"/>
        </w:rPr>
        <w:t xml:space="preserve">In April 2017, the European Commission issued a Communication on the protection of children in migration (COM(2017) 211 final). The Communication </w:t>
      </w:r>
      <w:r w:rsidRPr="001A263A">
        <w:rPr>
          <w:rFonts w:ascii="Times New Roman" w:hAnsi="Times New Roman" w:cs="Times New Roman"/>
          <w:b/>
          <w:sz w:val="24"/>
          <w:szCs w:val="24"/>
        </w:rPr>
        <w:t>identified the main protection gaps</w:t>
      </w:r>
      <w:r w:rsidRPr="0028218C">
        <w:rPr>
          <w:rFonts w:ascii="Times New Roman" w:hAnsi="Times New Roman" w:cs="Times New Roman"/>
          <w:sz w:val="24"/>
          <w:szCs w:val="24"/>
        </w:rPr>
        <w:t xml:space="preserve"> and needs of migrant children along the migratory route and upon arrival in the EU. </w:t>
      </w:r>
    </w:p>
    <w:p w14:paraId="67393AD7" w14:textId="1BDF8D9B" w:rsidR="009F647C" w:rsidRPr="0028218C" w:rsidRDefault="009F647C" w:rsidP="00F93BEB">
      <w:pPr>
        <w:pStyle w:val="ListParagraph"/>
        <w:numPr>
          <w:ilvl w:val="0"/>
          <w:numId w:val="32"/>
        </w:numPr>
        <w:spacing w:after="120" w:line="240" w:lineRule="auto"/>
        <w:ind w:left="426" w:hanging="357"/>
        <w:contextualSpacing w:val="0"/>
        <w:jc w:val="both"/>
        <w:rPr>
          <w:rFonts w:ascii="Times New Roman" w:hAnsi="Times New Roman" w:cs="Times New Roman"/>
          <w:sz w:val="24"/>
          <w:szCs w:val="24"/>
        </w:rPr>
      </w:pPr>
      <w:r w:rsidRPr="0028218C">
        <w:rPr>
          <w:rFonts w:ascii="Times New Roman" w:hAnsi="Times New Roman" w:cs="Times New Roman"/>
          <w:sz w:val="24"/>
          <w:szCs w:val="24"/>
        </w:rPr>
        <w:t xml:space="preserve">On this basis, the Commission recommended actions to strengthen the protection of migrant children. The Common European Asylum System reform proposals </w:t>
      </w:r>
      <w:r w:rsidRPr="001A263A">
        <w:rPr>
          <w:rFonts w:ascii="Times New Roman" w:hAnsi="Times New Roman" w:cs="Times New Roman"/>
          <w:b/>
          <w:sz w:val="24"/>
          <w:szCs w:val="24"/>
        </w:rPr>
        <w:t>contain provisions that will reinforce the protection of child asylum applicants</w:t>
      </w:r>
      <w:r w:rsidRPr="0028218C">
        <w:rPr>
          <w:rFonts w:ascii="Times New Roman" w:hAnsi="Times New Roman" w:cs="Times New Roman"/>
          <w:sz w:val="24"/>
          <w:szCs w:val="24"/>
        </w:rPr>
        <w:t xml:space="preserve"> - notably on aspects such as secure prompt and effective guardianship for unaccompanied children, measures facilitating the tracing of </w:t>
      </w:r>
      <w:r w:rsidR="00DC5A6E" w:rsidRPr="0028218C">
        <w:rPr>
          <w:rFonts w:ascii="Times New Roman" w:hAnsi="Times New Roman" w:cs="Times New Roman"/>
          <w:sz w:val="24"/>
          <w:szCs w:val="24"/>
        </w:rPr>
        <w:t xml:space="preserve">missing </w:t>
      </w:r>
      <w:r w:rsidRPr="0028218C">
        <w:rPr>
          <w:rFonts w:ascii="Times New Roman" w:hAnsi="Times New Roman" w:cs="Times New Roman"/>
          <w:sz w:val="24"/>
          <w:szCs w:val="24"/>
        </w:rPr>
        <w:t xml:space="preserve">migrant children, and </w:t>
      </w:r>
      <w:r w:rsidR="00DC5A6E" w:rsidRPr="0028218C">
        <w:rPr>
          <w:rFonts w:ascii="Times New Roman" w:hAnsi="Times New Roman" w:cs="Times New Roman"/>
          <w:sz w:val="24"/>
          <w:szCs w:val="24"/>
        </w:rPr>
        <w:t>ens</w:t>
      </w:r>
      <w:r w:rsidRPr="0028218C">
        <w:rPr>
          <w:rFonts w:ascii="Times New Roman" w:hAnsi="Times New Roman" w:cs="Times New Roman"/>
          <w:sz w:val="24"/>
          <w:szCs w:val="24"/>
        </w:rPr>
        <w:t xml:space="preserve">uring that all decisions regarding  asylum-seeking children </w:t>
      </w:r>
      <w:r w:rsidR="00712A52">
        <w:rPr>
          <w:rFonts w:ascii="Times New Roman" w:hAnsi="Times New Roman" w:cs="Times New Roman"/>
          <w:sz w:val="24"/>
          <w:szCs w:val="24"/>
        </w:rPr>
        <w:t>are</w:t>
      </w:r>
      <w:r w:rsidRPr="0028218C">
        <w:rPr>
          <w:rFonts w:ascii="Times New Roman" w:hAnsi="Times New Roman" w:cs="Times New Roman"/>
          <w:sz w:val="24"/>
          <w:szCs w:val="24"/>
        </w:rPr>
        <w:t xml:space="preserve"> based on a solid assessment of the best interests of the child. </w:t>
      </w:r>
    </w:p>
    <w:p w14:paraId="19933987" w14:textId="77777777" w:rsidR="009F647C" w:rsidRPr="0028218C" w:rsidRDefault="009F647C" w:rsidP="009F647C">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On 8th June 2017, the Council of the European Union and the Representatives of the governments of the Member States adopted conclusions on the protection of children in migration which emphasised that </w:t>
      </w:r>
      <w:r w:rsidRPr="0028218C">
        <w:rPr>
          <w:rFonts w:ascii="Times New Roman" w:hAnsi="Times New Roman" w:cs="Times New Roman"/>
          <w:b/>
          <w:bCs/>
          <w:color w:val="000000" w:themeColor="text1"/>
          <w:sz w:val="24"/>
          <w:szCs w:val="24"/>
        </w:rPr>
        <w:t>protecting all children in migration is a priority at all stages of migration</w:t>
      </w:r>
      <w:r w:rsidRPr="0028218C">
        <w:rPr>
          <w:rFonts w:ascii="Times New Roman" w:hAnsi="Times New Roman" w:cs="Times New Roman"/>
          <w:color w:val="000000" w:themeColor="text1"/>
          <w:sz w:val="24"/>
          <w:szCs w:val="24"/>
        </w:rPr>
        <w:t xml:space="preserve">. </w:t>
      </w:r>
    </w:p>
    <w:p w14:paraId="4012A757" w14:textId="77777777" w:rsidR="009F647C" w:rsidRPr="0028218C" w:rsidRDefault="009F647C" w:rsidP="009F647C">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The Conclusions recalled the objectives of </w:t>
      </w:r>
      <w:r w:rsidRPr="0028218C">
        <w:rPr>
          <w:rFonts w:ascii="Times New Roman" w:hAnsi="Times New Roman" w:cs="Times New Roman"/>
          <w:b/>
          <w:bCs/>
          <w:color w:val="000000" w:themeColor="text1"/>
          <w:sz w:val="24"/>
          <w:szCs w:val="24"/>
        </w:rPr>
        <w:t>addressing the root causes of irregular migration and forced displacement</w:t>
      </w:r>
      <w:r w:rsidRPr="0028218C">
        <w:rPr>
          <w:rFonts w:ascii="Times New Roman" w:hAnsi="Times New Roman" w:cs="Times New Roman"/>
          <w:color w:val="000000" w:themeColor="text1"/>
          <w:sz w:val="24"/>
          <w:szCs w:val="24"/>
        </w:rPr>
        <w:t>, so that migrant children, including unaccompanied minors, do not move irregularly to Europe, risking their lives during the journey. They recalled the Conclusions on the promotion and protection of the rights of the child of 18 November 2014 in which the Council invited the Member States and the Commission "to give full recognition to children as rights holders and ensure respect for the principle of the best interests of the child in all policies affecting children".</w:t>
      </w:r>
    </w:p>
    <w:p w14:paraId="26AA9065" w14:textId="77777777" w:rsidR="009F647C" w:rsidRPr="0028218C" w:rsidRDefault="009F647C" w:rsidP="009F647C">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The Conclusions also recognised the need to </w:t>
      </w:r>
      <w:r w:rsidRPr="0028218C">
        <w:rPr>
          <w:rFonts w:ascii="Times New Roman" w:hAnsi="Times New Roman" w:cs="Times New Roman"/>
          <w:b/>
          <w:bCs/>
          <w:color w:val="000000" w:themeColor="text1"/>
          <w:sz w:val="24"/>
          <w:szCs w:val="24"/>
        </w:rPr>
        <w:t>protect children from violence and exploitation</w:t>
      </w:r>
      <w:r w:rsidRPr="0028218C">
        <w:rPr>
          <w:rFonts w:ascii="Times New Roman" w:hAnsi="Times New Roman" w:cs="Times New Roman"/>
          <w:color w:val="000000" w:themeColor="text1"/>
          <w:sz w:val="24"/>
          <w:szCs w:val="24"/>
        </w:rPr>
        <w:t xml:space="preserve"> and to quickly and reliably assess their age to avoid abuses and to protect their rights, in accordance with EU law and international obligations. The importance of raising awareness and of the involvement of local communities in relation to the protection of children in migration was also underlined.</w:t>
      </w:r>
    </w:p>
    <w:p w14:paraId="787239B8" w14:textId="6E915290" w:rsidR="009F647C" w:rsidRPr="0028218C" w:rsidRDefault="009F647C" w:rsidP="00712A52">
      <w:pPr>
        <w:pStyle w:val="Briefingsp"/>
      </w:pPr>
      <w:r w:rsidRPr="0028218C">
        <w:t xml:space="preserve">Periodic follow-up on the implementation of the Children Communication is made through </w:t>
      </w:r>
      <w:r w:rsidRPr="0028218C">
        <w:rPr>
          <w:b/>
        </w:rPr>
        <w:t xml:space="preserve">bi-annual joint </w:t>
      </w:r>
      <w:r w:rsidR="00712A52">
        <w:rPr>
          <w:b/>
        </w:rPr>
        <w:t xml:space="preserve">DG </w:t>
      </w:r>
      <w:r w:rsidRPr="0028218C">
        <w:rPr>
          <w:b/>
        </w:rPr>
        <w:t xml:space="preserve">HOME and </w:t>
      </w:r>
      <w:r w:rsidR="00712A52">
        <w:rPr>
          <w:b/>
        </w:rPr>
        <w:t xml:space="preserve">DG </w:t>
      </w:r>
      <w:r w:rsidRPr="0028218C">
        <w:rPr>
          <w:b/>
        </w:rPr>
        <w:t>JUST expert group meetings</w:t>
      </w:r>
      <w:r w:rsidRPr="0028218C">
        <w:t xml:space="preserve"> and </w:t>
      </w:r>
      <w:r w:rsidR="00712A52">
        <w:t>monitoring</w:t>
      </w:r>
      <w:r w:rsidRPr="0028218C">
        <w:t xml:space="preserve"> progress made by the Commission and EU agencies on key actions.   </w:t>
      </w:r>
    </w:p>
    <w:p w14:paraId="511D4F8A" w14:textId="60ED4A9C" w:rsidR="009F647C" w:rsidRPr="0028218C" w:rsidRDefault="009F647C" w:rsidP="00712A52">
      <w:pPr>
        <w:pStyle w:val="Briefingsp"/>
      </w:pPr>
      <w:r w:rsidRPr="0028218C">
        <w:t xml:space="preserve">The entry point of the EU response is the </w:t>
      </w:r>
      <w:r w:rsidRPr="0028218C">
        <w:rPr>
          <w:b/>
          <w:iCs/>
        </w:rPr>
        <w:t>systems-strengthening approach</w:t>
      </w:r>
      <w:r w:rsidRPr="0028218C">
        <w:t xml:space="preserve"> that is </w:t>
      </w:r>
      <w:r w:rsidRPr="0028218C">
        <w:rPr>
          <w:iCs/>
        </w:rPr>
        <w:t xml:space="preserve">aligned with the </w:t>
      </w:r>
      <w:r w:rsidR="00B25424" w:rsidRPr="00B25424">
        <w:t>EU Guidelines on the Promotion and Protection of the rights of the child</w:t>
      </w:r>
      <w:r w:rsidRPr="0028218C">
        <w:rPr>
          <w:iCs/>
        </w:rPr>
        <w:t xml:space="preserve"> from 2017. </w:t>
      </w:r>
    </w:p>
    <w:p w14:paraId="04AB6F07" w14:textId="3F80C8BF" w:rsidR="001E421E" w:rsidRPr="0028218C" w:rsidRDefault="00631B8B" w:rsidP="00712A52">
      <w:pPr>
        <w:pStyle w:val="Briefingsp"/>
      </w:pPr>
      <w:r w:rsidRPr="0028218C">
        <w:rPr>
          <w:iCs/>
        </w:rPr>
        <w:t>On 29</w:t>
      </w:r>
      <w:r w:rsidRPr="0028218C">
        <w:rPr>
          <w:iCs/>
          <w:vertAlign w:val="superscript"/>
        </w:rPr>
        <w:t>th</w:t>
      </w:r>
      <w:r w:rsidRPr="0028218C">
        <w:rPr>
          <w:iCs/>
        </w:rPr>
        <w:t xml:space="preserve"> </w:t>
      </w:r>
      <w:r w:rsidRPr="0028218C">
        <w:t xml:space="preserve">November 2019 the European Parliament adopted resolution 2019/2876(RSP) on children’s rights on the occasion of the 30th anniversary of the UN Convention on the Rights of the Child. </w:t>
      </w:r>
      <w:r w:rsidR="003A7030" w:rsidRPr="0028218C">
        <w:t xml:space="preserve">Unaccompanied children were given particular attention and </w:t>
      </w:r>
      <w:r w:rsidR="003A7030" w:rsidRPr="0028218C">
        <w:rPr>
          <w:b/>
        </w:rPr>
        <w:t xml:space="preserve">the need </w:t>
      </w:r>
      <w:r w:rsidRPr="0028218C">
        <w:rPr>
          <w:b/>
        </w:rPr>
        <w:t>to step up action to end the detention of children in the context of migration</w:t>
      </w:r>
      <w:r w:rsidRPr="0028218C">
        <w:t xml:space="preserve"> and to work out community-based alternatives to detention, as well as prioritising integration, education and psychologic</w:t>
      </w:r>
      <w:r w:rsidR="003A7030" w:rsidRPr="0028218C">
        <w:t xml:space="preserve">al support </w:t>
      </w:r>
      <w:r w:rsidR="009738C8" w:rsidRPr="0028218C">
        <w:t xml:space="preserve">were </w:t>
      </w:r>
      <w:r w:rsidR="003A7030" w:rsidRPr="0028218C">
        <w:t xml:space="preserve">underscored. </w:t>
      </w:r>
      <w:r w:rsidR="009738C8" w:rsidRPr="0028218C">
        <w:t>The Resolution</w:t>
      </w:r>
      <w:r w:rsidR="003A7030" w:rsidRPr="0028218C">
        <w:t xml:space="preserve"> highlighted the need </w:t>
      </w:r>
      <w:r w:rsidRPr="0028218C">
        <w:t xml:space="preserve">to facilitate family reunification in a positive, humane and expeditious manner, in </w:t>
      </w:r>
      <w:r w:rsidR="003A7030" w:rsidRPr="0028218C">
        <w:t>line with Article 10 of the CRC. The Parliament expressed</w:t>
      </w:r>
      <w:r w:rsidRPr="0028218C">
        <w:t xml:space="preserve"> its concern that children continue to be born stateless, including within the EU, and continue to be excluded from accessing basic rights, including healthcare, e</w:t>
      </w:r>
      <w:r w:rsidR="003A7030" w:rsidRPr="0028218C">
        <w:t xml:space="preserve">ducation and social protection. </w:t>
      </w:r>
    </w:p>
    <w:p w14:paraId="1C4778A2" w14:textId="77777777" w:rsidR="0019240F" w:rsidRDefault="001E421E" w:rsidP="00712A52">
      <w:pPr>
        <w:pStyle w:val="Briefingsp"/>
        <w:rPr>
          <w:color w:val="000000" w:themeColor="text1"/>
        </w:rPr>
      </w:pPr>
      <w:r w:rsidRPr="0028218C">
        <w:t>Specifically related to external action</w:t>
      </w:r>
      <w:r w:rsidR="00EA00B4" w:rsidRPr="0028218C">
        <w:t>,</w:t>
      </w:r>
      <w:r w:rsidRPr="0028218C">
        <w:t xml:space="preserve"> the </w:t>
      </w:r>
      <w:r w:rsidR="00EA00B4" w:rsidRPr="0028218C">
        <w:t>EP R</w:t>
      </w:r>
      <w:r w:rsidRPr="0028218C">
        <w:t xml:space="preserve">esolution </w:t>
      </w:r>
      <w:r w:rsidR="003A7030" w:rsidRPr="0028218C">
        <w:t xml:space="preserve">called on countries </w:t>
      </w:r>
      <w:r w:rsidR="00631B8B" w:rsidRPr="0028218C">
        <w:t xml:space="preserve">that have not yet ratified </w:t>
      </w:r>
      <w:r w:rsidR="00631B8B" w:rsidRPr="0019240F">
        <w:rPr>
          <w:b/>
        </w:rPr>
        <w:t xml:space="preserve">the </w:t>
      </w:r>
      <w:r w:rsidR="00E65F00" w:rsidRPr="0019240F">
        <w:rPr>
          <w:b/>
        </w:rPr>
        <w:t>Conven</w:t>
      </w:r>
      <w:r w:rsidR="00226740" w:rsidRPr="0019240F">
        <w:rPr>
          <w:b/>
        </w:rPr>
        <w:t>tion on the Rights of the Child</w:t>
      </w:r>
      <w:r w:rsidR="00631B8B" w:rsidRPr="0028218C">
        <w:t xml:space="preserve"> and its additional protocols to do so as a matter of urgenc</w:t>
      </w:r>
      <w:r w:rsidR="003A7030" w:rsidRPr="0028218C">
        <w:t>y and</w:t>
      </w:r>
      <w:r w:rsidR="00631B8B" w:rsidRPr="0028218C">
        <w:t xml:space="preserve"> on the </w:t>
      </w:r>
      <w:r w:rsidR="00EA00B4" w:rsidRPr="0028218C">
        <w:t xml:space="preserve">EU </w:t>
      </w:r>
      <w:r w:rsidR="00631B8B" w:rsidRPr="0028218C">
        <w:t xml:space="preserve">Member States to step up their cooperation and dialogue with third countries, with the aim of raising awareness and advocating for children’s rights to be respected everywhere in the world and </w:t>
      </w:r>
      <w:r w:rsidR="003A7030" w:rsidRPr="0028218C">
        <w:t>for no child to be left behind.</w:t>
      </w:r>
      <w:r w:rsidR="003A7030" w:rsidRPr="0028218C">
        <w:rPr>
          <w:rFonts w:eastAsia="Times New Roman"/>
          <w:color w:val="666666"/>
          <w:lang w:val="en-US"/>
        </w:rPr>
        <w:t xml:space="preserve"> </w:t>
      </w:r>
    </w:p>
    <w:p w14:paraId="30196668" w14:textId="6CD36601" w:rsidR="00631B8B" w:rsidRPr="0028218C" w:rsidRDefault="0019240F" w:rsidP="00712A52">
      <w:pPr>
        <w:pStyle w:val="Briefingsp"/>
        <w:rPr>
          <w:color w:val="000000" w:themeColor="text1"/>
        </w:rPr>
      </w:pPr>
      <w:r>
        <w:rPr>
          <w:color w:val="000000" w:themeColor="text1"/>
        </w:rPr>
        <w:t>The Resolution</w:t>
      </w:r>
      <w:r w:rsidR="001E421E" w:rsidRPr="0028218C">
        <w:rPr>
          <w:color w:val="000000" w:themeColor="text1"/>
        </w:rPr>
        <w:t xml:space="preserve"> called for a prioritization of</w:t>
      </w:r>
      <w:r w:rsidR="00631B8B" w:rsidRPr="0028218C">
        <w:rPr>
          <w:color w:val="000000" w:themeColor="text1"/>
        </w:rPr>
        <w:t xml:space="preserve"> children’s rights and child protection in all EU external action, </w:t>
      </w:r>
      <w:r w:rsidR="00EA00B4" w:rsidRPr="0028218C">
        <w:rPr>
          <w:b/>
          <w:color w:val="000000" w:themeColor="text1"/>
        </w:rPr>
        <w:t xml:space="preserve">including </w:t>
      </w:r>
      <w:r w:rsidR="00631B8B" w:rsidRPr="0028218C">
        <w:rPr>
          <w:b/>
          <w:color w:val="000000" w:themeColor="text1"/>
        </w:rPr>
        <w:t xml:space="preserve">natural disasters, internally displaced children and child migrants and refugees, </w:t>
      </w:r>
      <w:r w:rsidR="00631B8B" w:rsidRPr="0028218C">
        <w:rPr>
          <w:color w:val="000000" w:themeColor="text1"/>
        </w:rPr>
        <w:t>and to ensure that their basics rights are respected</w:t>
      </w:r>
      <w:r w:rsidR="001E421E" w:rsidRPr="0028218C">
        <w:rPr>
          <w:color w:val="000000" w:themeColor="text1"/>
        </w:rPr>
        <w:t xml:space="preserve">. </w:t>
      </w:r>
      <w:r>
        <w:rPr>
          <w:color w:val="000000" w:themeColor="text1"/>
        </w:rPr>
        <w:t>The Resolution also</w:t>
      </w:r>
      <w:r w:rsidR="001E421E" w:rsidRPr="0028218C">
        <w:rPr>
          <w:color w:val="000000" w:themeColor="text1"/>
        </w:rPr>
        <w:t xml:space="preserve"> </w:t>
      </w:r>
      <w:r w:rsidR="00631B8B" w:rsidRPr="0028218C">
        <w:rPr>
          <w:color w:val="000000" w:themeColor="text1"/>
        </w:rPr>
        <w:t>ask</w:t>
      </w:r>
      <w:r w:rsidR="001E421E" w:rsidRPr="0028218C">
        <w:rPr>
          <w:color w:val="000000" w:themeColor="text1"/>
        </w:rPr>
        <w:t xml:space="preserve">ed </w:t>
      </w:r>
      <w:r w:rsidR="00EA00B4" w:rsidRPr="0028218C">
        <w:rPr>
          <w:color w:val="000000" w:themeColor="text1"/>
        </w:rPr>
        <w:t xml:space="preserve">EU </w:t>
      </w:r>
      <w:r w:rsidR="00631B8B" w:rsidRPr="0028218C">
        <w:rPr>
          <w:color w:val="000000" w:themeColor="text1"/>
        </w:rPr>
        <w:t xml:space="preserve">Member States </w:t>
      </w:r>
      <w:r w:rsidR="001E421E" w:rsidRPr="0028218C">
        <w:rPr>
          <w:color w:val="000000" w:themeColor="text1"/>
        </w:rPr>
        <w:t>for t</w:t>
      </w:r>
      <w:r w:rsidR="00631B8B" w:rsidRPr="0028218C">
        <w:rPr>
          <w:color w:val="000000" w:themeColor="text1"/>
        </w:rPr>
        <w:t xml:space="preserve">he non-recognition of marriage of migrant children arriving in Europe, and to adopt national measures to prevent foreign travel of children for the purpose of </w:t>
      </w:r>
      <w:r w:rsidR="00226740" w:rsidRPr="00226740">
        <w:rPr>
          <w:color w:val="000000" w:themeColor="text1"/>
        </w:rPr>
        <w:t xml:space="preserve">child early and forced </w:t>
      </w:r>
      <w:r w:rsidR="00226740">
        <w:rPr>
          <w:color w:val="000000" w:themeColor="text1"/>
        </w:rPr>
        <w:t xml:space="preserve">marriage </w:t>
      </w:r>
      <w:r w:rsidR="00631B8B" w:rsidRPr="0028218C">
        <w:rPr>
          <w:color w:val="000000" w:themeColor="text1"/>
        </w:rPr>
        <w:t>outside the EU</w:t>
      </w:r>
      <w:r w:rsidR="001E421E" w:rsidRPr="0028218C">
        <w:rPr>
          <w:color w:val="000000" w:themeColor="text1"/>
        </w:rPr>
        <w:t>.</w:t>
      </w:r>
    </w:p>
    <w:p w14:paraId="6C81392C" w14:textId="1E607FBF" w:rsidR="009F647C" w:rsidRPr="0028218C" w:rsidRDefault="009F647C" w:rsidP="00712A52">
      <w:pPr>
        <w:pStyle w:val="Briefingsp"/>
      </w:pPr>
      <w:r w:rsidRPr="0028218C">
        <w:t xml:space="preserve">EU funding contributes to the protection of children in migration and supports national integrated child protection systems along the migration path, in order to </w:t>
      </w:r>
      <w:r w:rsidRPr="0028218C">
        <w:rPr>
          <w:b/>
        </w:rPr>
        <w:t xml:space="preserve">protect </w:t>
      </w:r>
      <w:r w:rsidR="0019240F">
        <w:rPr>
          <w:b/>
        </w:rPr>
        <w:t xml:space="preserve">and </w:t>
      </w:r>
      <w:r w:rsidR="0019240F" w:rsidRPr="0028218C">
        <w:rPr>
          <w:b/>
        </w:rPr>
        <w:t xml:space="preserve">reintegrate </w:t>
      </w:r>
      <w:r w:rsidRPr="0028218C">
        <w:rPr>
          <w:b/>
        </w:rPr>
        <w:t>their rights</w:t>
      </w:r>
      <w:r w:rsidRPr="0028218C">
        <w:t xml:space="preserve"> and </w:t>
      </w:r>
      <w:r w:rsidRPr="0028218C">
        <w:rPr>
          <w:b/>
        </w:rPr>
        <w:t>strengthen knowledge</w:t>
      </w:r>
      <w:r w:rsidRPr="0028218C">
        <w:t xml:space="preserve"> on the issue. </w:t>
      </w:r>
    </w:p>
    <w:p w14:paraId="347B373C" w14:textId="77777777" w:rsidR="009F647C" w:rsidRPr="0028218C" w:rsidRDefault="009F647C" w:rsidP="009F647C">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With a total budget of 1.9 million EUR, the 3 year project </w:t>
      </w:r>
      <w:r w:rsidRPr="0028218C">
        <w:rPr>
          <w:rFonts w:ascii="Times New Roman" w:hAnsi="Times New Roman" w:cs="Times New Roman"/>
          <w:b/>
          <w:bCs/>
          <w:color w:val="000000" w:themeColor="text1"/>
          <w:sz w:val="24"/>
          <w:szCs w:val="24"/>
        </w:rPr>
        <w:t>Protection of migrant children along the Abidjan-Lagos corridor</w:t>
      </w:r>
      <w:r w:rsidRPr="0028218C">
        <w:rPr>
          <w:rFonts w:ascii="Times New Roman" w:hAnsi="Times New Roman" w:cs="Times New Roman"/>
          <w:color w:val="000000" w:themeColor="text1"/>
          <w:sz w:val="24"/>
          <w:szCs w:val="24"/>
        </w:rPr>
        <w:t xml:space="preserve"> implemented by Terre des Hommes, aims to better protect migrant children from mobility risks including exploitation and trafficking. Located in Nigeria, Benin, Togo, Ghana and Cote d’Ivoire, the project is helping up to 25.000 migrant children to access community protection mechanisms. It also helps to sensitize border guards, police and other officials to the protection of children in migration.  Now in its final year, the project reports excellent cooperation with public authorities in these countries. </w:t>
      </w:r>
    </w:p>
    <w:p w14:paraId="7602C226" w14:textId="72A58C09" w:rsidR="009F647C" w:rsidRPr="0028218C" w:rsidRDefault="009F647C" w:rsidP="009F647C">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With a total budget of over </w:t>
      </w:r>
      <w:r w:rsidR="00EA2B42">
        <w:rPr>
          <w:rFonts w:ascii="Times New Roman" w:hAnsi="Times New Roman" w:cs="Times New Roman"/>
          <w:color w:val="000000" w:themeColor="text1"/>
          <w:sz w:val="24"/>
          <w:szCs w:val="24"/>
        </w:rPr>
        <w:t xml:space="preserve">EUR 12 </w:t>
      </w:r>
      <w:r w:rsidRPr="0028218C">
        <w:rPr>
          <w:rFonts w:ascii="Times New Roman" w:hAnsi="Times New Roman" w:cs="Times New Roman"/>
          <w:color w:val="000000" w:themeColor="text1"/>
          <w:sz w:val="24"/>
          <w:szCs w:val="24"/>
        </w:rPr>
        <w:t xml:space="preserve">million, and running until June 2021 the project </w:t>
      </w:r>
      <w:r w:rsidRPr="0028218C">
        <w:rPr>
          <w:rFonts w:ascii="Times New Roman" w:hAnsi="Times New Roman" w:cs="Times New Roman"/>
          <w:b/>
          <w:bCs/>
          <w:color w:val="000000" w:themeColor="text1"/>
          <w:sz w:val="24"/>
          <w:szCs w:val="24"/>
        </w:rPr>
        <w:t>Protecting children affected by migration in Southeast, South and Central Asia</w:t>
      </w:r>
      <w:r w:rsidRPr="0028218C">
        <w:rPr>
          <w:rFonts w:ascii="Times New Roman" w:hAnsi="Times New Roman" w:cs="Times New Roman"/>
          <w:color w:val="000000" w:themeColor="text1"/>
          <w:sz w:val="24"/>
          <w:szCs w:val="24"/>
        </w:rPr>
        <w:t>, implemented by UNICEF, aims to ensure</w:t>
      </w:r>
      <w:r w:rsidR="00D15209">
        <w:rPr>
          <w:rFonts w:ascii="Times New Roman" w:hAnsi="Times New Roman" w:cs="Times New Roman"/>
          <w:color w:val="000000" w:themeColor="text1"/>
          <w:sz w:val="24"/>
          <w:szCs w:val="24"/>
        </w:rPr>
        <w:t xml:space="preserve"> that</w:t>
      </w:r>
      <w:r w:rsidRPr="0028218C">
        <w:rPr>
          <w:rFonts w:ascii="Times New Roman" w:hAnsi="Times New Roman" w:cs="Times New Roman"/>
          <w:color w:val="000000" w:themeColor="text1"/>
          <w:sz w:val="24"/>
          <w:szCs w:val="24"/>
        </w:rPr>
        <w:t xml:space="preserve"> children affected by migration are effectively protected and their rights promoted. The beneficiaries include children, often unaccompanied, who are migrating or are forcibly displaced within their own country, and across borders, including asylum seekers.  In its</w:t>
      </w:r>
      <w:r w:rsidR="00D15209">
        <w:rPr>
          <w:rFonts w:ascii="Times New Roman" w:hAnsi="Times New Roman" w:cs="Times New Roman"/>
          <w:color w:val="000000" w:themeColor="text1"/>
          <w:sz w:val="24"/>
          <w:szCs w:val="24"/>
        </w:rPr>
        <w:t xml:space="preserve"> first year</w:t>
      </w:r>
      <w:r w:rsidRPr="0028218C">
        <w:rPr>
          <w:rFonts w:ascii="Times New Roman" w:hAnsi="Times New Roman" w:cs="Times New Roman"/>
          <w:color w:val="000000" w:themeColor="text1"/>
          <w:sz w:val="24"/>
          <w:szCs w:val="24"/>
        </w:rPr>
        <w:t>, the project gave in service training with a focus on children affected by migration, to 1800 authorities across Thailand, Bangladesh, Tajikistan and Uzbekistan. The project also provided additional child protection services at the Thailand/Myanmar border, with the positioning of a child protection officer at major checkpoints.</w:t>
      </w:r>
    </w:p>
    <w:p w14:paraId="5414AF42" w14:textId="5AE8CB78" w:rsidR="00B40FAC" w:rsidRPr="0028218C" w:rsidRDefault="00B40FAC" w:rsidP="00B40FAC">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With a total budget of </w:t>
      </w:r>
      <w:r w:rsidR="00EA2B42">
        <w:rPr>
          <w:rFonts w:ascii="Times New Roman" w:hAnsi="Times New Roman" w:cs="Times New Roman"/>
          <w:color w:val="000000" w:themeColor="text1"/>
          <w:sz w:val="24"/>
          <w:szCs w:val="24"/>
        </w:rPr>
        <w:t>EUR 1,2</w:t>
      </w:r>
      <w:r w:rsidRPr="0028218C">
        <w:rPr>
          <w:rFonts w:ascii="Times New Roman" w:hAnsi="Times New Roman" w:cs="Times New Roman"/>
          <w:color w:val="000000" w:themeColor="text1"/>
          <w:sz w:val="24"/>
          <w:szCs w:val="24"/>
        </w:rPr>
        <w:t xml:space="preserve"> million, the </w:t>
      </w:r>
      <w:r w:rsidRPr="0028218C">
        <w:rPr>
          <w:rFonts w:ascii="Times New Roman" w:hAnsi="Times New Roman" w:cs="Times New Roman"/>
          <w:b/>
          <w:color w:val="000000" w:themeColor="text1"/>
          <w:sz w:val="24"/>
          <w:szCs w:val="24"/>
        </w:rPr>
        <w:t>Global technical assistance and capacity building programme to prevent detention of children and to protect children and other asylum-seekers in detention</w:t>
      </w:r>
      <w:r w:rsidRPr="0028218C">
        <w:rPr>
          <w:rFonts w:ascii="Times New Roman" w:hAnsi="Times New Roman" w:cs="Times New Roman"/>
          <w:color w:val="000000" w:themeColor="text1"/>
          <w:sz w:val="24"/>
          <w:szCs w:val="24"/>
        </w:rPr>
        <w:t xml:space="preserve">, </w:t>
      </w:r>
      <w:r w:rsidR="00EA00B4" w:rsidRPr="0028218C">
        <w:rPr>
          <w:rFonts w:ascii="Times New Roman" w:hAnsi="Times New Roman" w:cs="Times New Roman"/>
          <w:color w:val="000000" w:themeColor="text1"/>
          <w:sz w:val="24"/>
          <w:szCs w:val="24"/>
        </w:rPr>
        <w:t xml:space="preserve">funded by the EU and </w:t>
      </w:r>
      <w:r w:rsidRPr="0028218C">
        <w:rPr>
          <w:rFonts w:ascii="Times New Roman" w:hAnsi="Times New Roman" w:cs="Times New Roman"/>
          <w:color w:val="000000" w:themeColor="text1"/>
          <w:sz w:val="24"/>
          <w:szCs w:val="24"/>
        </w:rPr>
        <w:t xml:space="preserve">implemented by UNHCR between 2016 and 2019, has supported the creation of community-based care arrangements for children in detention and children in families, through technical assistance to various stakeholders. The action has had a clear impact on the situation of asylum-seekers and migrants in the five target countries (Indonesia, Iraq Malaysia, Mexico, and North Macedonia) by fostering cooperation and activities among different stakeholders involved and the realisation of various high level regional and global events. Of major significance, the number of children in immigration detention decreased in all five countries. While the Action’s interventions may not have been the sole catalyst for change, this is a clear indication of a positive shift in policy and practice. </w:t>
      </w:r>
    </w:p>
    <w:p w14:paraId="7CEBA386" w14:textId="2C564446" w:rsidR="00B40FAC" w:rsidRPr="0028218C" w:rsidRDefault="00B40FAC" w:rsidP="00B40FAC">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The EU contributed to the </w:t>
      </w:r>
      <w:r w:rsidRPr="0028218C">
        <w:rPr>
          <w:rFonts w:ascii="Times New Roman" w:hAnsi="Times New Roman" w:cs="Times New Roman"/>
          <w:b/>
          <w:color w:val="000000" w:themeColor="text1"/>
          <w:sz w:val="24"/>
          <w:szCs w:val="24"/>
        </w:rPr>
        <w:t>UN</w:t>
      </w:r>
      <w:r w:rsidRPr="0028218C">
        <w:rPr>
          <w:rFonts w:ascii="Times New Roman" w:hAnsi="Times New Roman" w:cs="Times New Roman"/>
          <w:color w:val="000000" w:themeColor="text1"/>
          <w:sz w:val="24"/>
          <w:szCs w:val="24"/>
        </w:rPr>
        <w:t xml:space="preserve"> </w:t>
      </w:r>
      <w:r w:rsidRPr="0028218C">
        <w:rPr>
          <w:rFonts w:ascii="Times New Roman" w:hAnsi="Times New Roman" w:cs="Times New Roman"/>
          <w:b/>
          <w:color w:val="000000" w:themeColor="text1"/>
          <w:sz w:val="24"/>
          <w:szCs w:val="24"/>
        </w:rPr>
        <w:t>Global Study on Children deprived of liberty</w:t>
      </w:r>
      <w:r w:rsidRPr="0028218C">
        <w:rPr>
          <w:rFonts w:ascii="Times New Roman" w:hAnsi="Times New Roman" w:cs="Times New Roman"/>
          <w:color w:val="000000" w:themeColor="text1"/>
          <w:sz w:val="24"/>
          <w:szCs w:val="24"/>
        </w:rPr>
        <w:t xml:space="preserve"> commissioned by UNGA and released in November 2019. The core objectives of this in-depth Global Study, which includes a whole chapter on Children in detention for migration related reasons, were to assess the magnitude of the phenomenon of children in detention, to promote a change in stigmatising attitudes and behaviour towards children deprived of liberty, and to provide recommendations for law, policy and practice. </w:t>
      </w:r>
    </w:p>
    <w:p w14:paraId="55EF0422" w14:textId="07CD2BBE" w:rsidR="001E421E" w:rsidRPr="0028218C" w:rsidRDefault="001E421E" w:rsidP="00467391">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lang w:val="en-US"/>
        </w:rPr>
      </w:pPr>
      <w:r w:rsidRPr="0028218C">
        <w:rPr>
          <w:rFonts w:ascii="Times New Roman" w:hAnsi="Times New Roman" w:cs="Times New Roman"/>
          <w:color w:val="000000" w:themeColor="text1"/>
          <w:sz w:val="24"/>
          <w:szCs w:val="24"/>
          <w:lang w:val="fr-BE"/>
        </w:rPr>
        <w:t xml:space="preserve">With a total budget of </w:t>
      </w:r>
      <w:r w:rsidR="00467391" w:rsidRPr="0028218C">
        <w:rPr>
          <w:rFonts w:ascii="Times New Roman" w:hAnsi="Times New Roman" w:cs="Times New Roman"/>
          <w:color w:val="000000" w:themeColor="text1"/>
          <w:sz w:val="24"/>
          <w:szCs w:val="24"/>
          <w:lang w:val="fr-BE"/>
        </w:rPr>
        <w:t xml:space="preserve">EUR 4.6 million </w:t>
      </w:r>
      <w:r w:rsidR="009E0792" w:rsidRPr="0028218C">
        <w:rPr>
          <w:rFonts w:ascii="Times New Roman" w:hAnsi="Times New Roman" w:cs="Times New Roman"/>
          <w:color w:val="000000" w:themeColor="text1"/>
          <w:sz w:val="24"/>
          <w:szCs w:val="24"/>
          <w:lang w:val="fr-BE"/>
        </w:rPr>
        <w:t xml:space="preserve">(EUR 2 million EU-funded) </w:t>
      </w:r>
      <w:r w:rsidR="00745D6E" w:rsidRPr="0028218C">
        <w:rPr>
          <w:rFonts w:ascii="Times New Roman" w:hAnsi="Times New Roman" w:cs="Times New Roman"/>
          <w:color w:val="000000" w:themeColor="text1"/>
          <w:sz w:val="24"/>
          <w:szCs w:val="24"/>
          <w:lang w:val="fr-BE"/>
        </w:rPr>
        <w:t>and running for 36 months until December 2019</w:t>
      </w:r>
      <w:r w:rsidR="002E4722" w:rsidRPr="0028218C">
        <w:rPr>
          <w:rFonts w:ascii="Times New Roman" w:hAnsi="Times New Roman" w:cs="Times New Roman"/>
          <w:color w:val="000000" w:themeColor="text1"/>
          <w:sz w:val="24"/>
          <w:szCs w:val="24"/>
          <w:lang w:val="fr-BE"/>
        </w:rPr>
        <w:t>,</w:t>
      </w:r>
      <w:r w:rsidR="00745D6E" w:rsidRPr="0028218C">
        <w:rPr>
          <w:rFonts w:ascii="Times New Roman" w:hAnsi="Times New Roman" w:cs="Times New Roman"/>
          <w:color w:val="000000" w:themeColor="text1"/>
          <w:sz w:val="24"/>
          <w:szCs w:val="24"/>
          <w:lang w:val="fr-BE"/>
        </w:rPr>
        <w:t xml:space="preserve"> </w:t>
      </w:r>
      <w:r w:rsidR="00745D6E" w:rsidRPr="0028218C">
        <w:rPr>
          <w:rFonts w:ascii="Times New Roman" w:hAnsi="Times New Roman" w:cs="Times New Roman"/>
          <w:b/>
          <w:bCs/>
          <w:color w:val="000000" w:themeColor="text1"/>
          <w:sz w:val="24"/>
          <w:szCs w:val="24"/>
          <w:lang w:val="fr-BE"/>
        </w:rPr>
        <w:t xml:space="preserve">the project </w:t>
      </w:r>
      <w:r w:rsidR="00745D6E" w:rsidRPr="0028218C">
        <w:rPr>
          <w:rFonts w:ascii="Times New Roman" w:hAnsi="Times New Roman" w:cs="Times New Roman"/>
          <w:b/>
          <w:bCs/>
          <w:sz w:val="24"/>
          <w:szCs w:val="16"/>
          <w:lang w:val="fr-FR"/>
        </w:rPr>
        <w:t>Développement et renforcement de mécanismes transnationaux de référencement des enfants et jeunes migrants en Afrique de l’Ouest et au Maghreb</w:t>
      </w:r>
      <w:r w:rsidR="00745D6E" w:rsidRPr="0028218C">
        <w:rPr>
          <w:rFonts w:ascii="Times New Roman" w:hAnsi="Times New Roman" w:cs="Times New Roman"/>
          <w:sz w:val="24"/>
          <w:szCs w:val="16"/>
          <w:lang w:val="fr-FR"/>
        </w:rPr>
        <w:t xml:space="preserve"> was </w:t>
      </w:r>
      <w:r w:rsidR="0028218C">
        <w:rPr>
          <w:rFonts w:ascii="Times New Roman" w:hAnsi="Times New Roman" w:cs="Times New Roman"/>
          <w:sz w:val="24"/>
          <w:szCs w:val="16"/>
          <w:lang w:val="fr-FR"/>
        </w:rPr>
        <w:t>implemented by Fondation S</w:t>
      </w:r>
      <w:r w:rsidR="00745D6E" w:rsidRPr="0028218C">
        <w:rPr>
          <w:rFonts w:ascii="Times New Roman" w:hAnsi="Times New Roman" w:cs="Times New Roman"/>
          <w:sz w:val="24"/>
          <w:szCs w:val="16"/>
          <w:lang w:val="fr-FR"/>
        </w:rPr>
        <w:t>uisse du Service Soci</w:t>
      </w:r>
      <w:r w:rsidR="0028218C">
        <w:rPr>
          <w:rFonts w:ascii="Times New Roman" w:hAnsi="Times New Roman" w:cs="Times New Roman"/>
          <w:sz w:val="24"/>
          <w:szCs w:val="16"/>
          <w:lang w:val="fr-FR"/>
        </w:rPr>
        <w:t>al International and Fondation S</w:t>
      </w:r>
      <w:r w:rsidR="00745D6E" w:rsidRPr="0028218C">
        <w:rPr>
          <w:rFonts w:ascii="Times New Roman" w:hAnsi="Times New Roman" w:cs="Times New Roman"/>
          <w:sz w:val="24"/>
          <w:szCs w:val="16"/>
          <w:lang w:val="fr-FR"/>
        </w:rPr>
        <w:t>uisse du Service Social Afrique d</w:t>
      </w:r>
      <w:r w:rsidR="0028218C">
        <w:rPr>
          <w:rFonts w:ascii="Times New Roman" w:hAnsi="Times New Roman" w:cs="Times New Roman"/>
          <w:sz w:val="24"/>
          <w:szCs w:val="16"/>
          <w:lang w:val="fr-FR"/>
        </w:rPr>
        <w:t>e l</w:t>
      </w:r>
      <w:r w:rsidR="00745D6E" w:rsidRPr="0028218C">
        <w:rPr>
          <w:rFonts w:ascii="Times New Roman" w:hAnsi="Times New Roman" w:cs="Times New Roman"/>
          <w:sz w:val="24"/>
          <w:szCs w:val="16"/>
          <w:lang w:val="fr-FR"/>
        </w:rPr>
        <w:t xml:space="preserve">’Ouest. </w:t>
      </w:r>
      <w:r w:rsidR="00745D6E" w:rsidRPr="0028218C">
        <w:rPr>
          <w:rFonts w:ascii="Times New Roman" w:hAnsi="Times New Roman" w:cs="Times New Roman"/>
          <w:sz w:val="24"/>
          <w:szCs w:val="16"/>
          <w:lang w:val="en-US"/>
        </w:rPr>
        <w:t xml:space="preserve">It sought to improve the transnational protection of young children on children and young migrants in 15 countries in Western Africa as well as in the Maghreb. This also included </w:t>
      </w:r>
      <w:r w:rsidR="00745D6E" w:rsidRPr="0028218C">
        <w:rPr>
          <w:rFonts w:ascii="Times New Roman" w:hAnsi="Times New Roman" w:cs="Times New Roman"/>
          <w:sz w:val="24"/>
          <w:szCs w:val="24"/>
          <w:lang w:val="en-US"/>
        </w:rPr>
        <w:t xml:space="preserve">victims of trafficking and supported their sustainable return and reintegration.  </w:t>
      </w:r>
    </w:p>
    <w:p w14:paraId="4223F49F" w14:textId="7B021115" w:rsidR="00566F9F" w:rsidRPr="0028218C" w:rsidRDefault="00566F9F" w:rsidP="00082262">
      <w:pPr>
        <w:pStyle w:val="ListParagraph"/>
        <w:spacing w:after="120" w:line="240" w:lineRule="auto"/>
        <w:ind w:left="426"/>
        <w:contextualSpacing w:val="0"/>
        <w:jc w:val="both"/>
        <w:rPr>
          <w:rFonts w:ascii="Times New Roman" w:hAnsi="Times New Roman" w:cs="Times New Roman"/>
          <w:color w:val="000000" w:themeColor="text1"/>
          <w:sz w:val="24"/>
          <w:szCs w:val="24"/>
          <w:lang w:val="en-US"/>
        </w:rPr>
      </w:pPr>
      <w:r w:rsidRPr="0028218C">
        <w:rPr>
          <w:rFonts w:ascii="Times New Roman" w:hAnsi="Times New Roman" w:cs="Times New Roman"/>
          <w:sz w:val="24"/>
          <w:szCs w:val="24"/>
          <w:lang w:val="en-US"/>
        </w:rPr>
        <w:t xml:space="preserve">In 2020 UNICEF and UNHCR will </w:t>
      </w:r>
      <w:r w:rsidR="002E4722" w:rsidRPr="0028218C">
        <w:rPr>
          <w:rFonts w:ascii="Times New Roman" w:hAnsi="Times New Roman" w:cs="Times New Roman"/>
          <w:sz w:val="24"/>
          <w:szCs w:val="24"/>
          <w:lang w:val="en-US"/>
        </w:rPr>
        <w:t>start the implementation of</w:t>
      </w:r>
      <w:r w:rsidRPr="0028218C">
        <w:rPr>
          <w:rFonts w:ascii="Times New Roman" w:hAnsi="Times New Roman" w:cs="Times New Roman"/>
          <w:sz w:val="24"/>
          <w:szCs w:val="24"/>
          <w:lang w:val="en-US"/>
        </w:rPr>
        <w:t xml:space="preserve"> a project with a global budget of approximately</w:t>
      </w:r>
      <w:r w:rsidR="002E4722" w:rsidRPr="0028218C">
        <w:rPr>
          <w:rFonts w:ascii="Times New Roman" w:hAnsi="Times New Roman" w:cs="Times New Roman"/>
          <w:sz w:val="24"/>
          <w:szCs w:val="24"/>
          <w:lang w:val="en-US"/>
        </w:rPr>
        <w:t xml:space="preserve"> EUR </w:t>
      </w:r>
      <w:r w:rsidRPr="0028218C">
        <w:rPr>
          <w:rFonts w:ascii="Times New Roman" w:hAnsi="Times New Roman" w:cs="Times New Roman"/>
          <w:sz w:val="24"/>
          <w:szCs w:val="24"/>
          <w:lang w:val="en-US"/>
        </w:rPr>
        <w:t xml:space="preserve">7 million on </w:t>
      </w:r>
      <w:r w:rsidRPr="0028218C">
        <w:rPr>
          <w:rFonts w:ascii="Times New Roman" w:eastAsia="Times New Roman" w:hAnsi="Times New Roman" w:cs="Times New Roman"/>
          <w:b/>
          <w:bCs/>
          <w:sz w:val="24"/>
          <w:szCs w:val="24"/>
          <w:lang w:eastAsia="en-GB"/>
        </w:rPr>
        <w:t>EU global promotion of best practices for children in migration</w:t>
      </w:r>
      <w:r w:rsidRPr="0028218C">
        <w:rPr>
          <w:rFonts w:ascii="Times New Roman" w:eastAsia="Times New Roman" w:hAnsi="Times New Roman" w:cs="Times New Roman"/>
          <w:sz w:val="24"/>
          <w:szCs w:val="24"/>
          <w:lang w:eastAsia="en-GB"/>
        </w:rPr>
        <w:t xml:space="preserve">. Implemented in Mexico, El Salvador, Zambia and South Africa the objective of this programme </w:t>
      </w:r>
      <w:bookmarkStart w:id="1" w:name="_Hlk2095546"/>
      <w:r w:rsidRPr="0028218C">
        <w:rPr>
          <w:rFonts w:ascii="Times New Roman" w:eastAsia="Times New Roman" w:hAnsi="Times New Roman" w:cs="Times New Roman"/>
          <w:sz w:val="24"/>
          <w:szCs w:val="24"/>
          <w:lang w:eastAsia="en-GB"/>
        </w:rPr>
        <w:t xml:space="preserve">is that </w:t>
      </w:r>
      <w:r w:rsidRPr="0028218C">
        <w:rPr>
          <w:rFonts w:ascii="Times New Roman" w:hAnsi="Times New Roman" w:cs="Times New Roman"/>
          <w:sz w:val="24"/>
          <w:szCs w:val="24"/>
        </w:rPr>
        <w:t>children in migration are effectively protected and their rights realized</w:t>
      </w:r>
      <w:bookmarkEnd w:id="1"/>
      <w:r w:rsidRPr="0028218C">
        <w:rPr>
          <w:rFonts w:ascii="Times New Roman" w:hAnsi="Times New Roman" w:cs="Times New Roman"/>
          <w:sz w:val="24"/>
          <w:szCs w:val="24"/>
        </w:rPr>
        <w:t xml:space="preserve">. The aim is to involve </w:t>
      </w:r>
      <w:r w:rsidRPr="0028218C">
        <w:rPr>
          <w:rFonts w:ascii="Times New Roman" w:eastAsia="Times New Roman" w:hAnsi="Times New Roman" w:cs="Times New Roman"/>
          <w:sz w:val="24"/>
          <w:szCs w:val="24"/>
          <w:lang w:eastAsia="en-GB"/>
        </w:rPr>
        <w:t xml:space="preserve">gender </w:t>
      </w:r>
      <w:r w:rsidRPr="0028218C">
        <w:rPr>
          <w:rFonts w:ascii="Times New Roman" w:hAnsi="Times New Roman" w:cs="Times New Roman"/>
          <w:sz w:val="24"/>
          <w:szCs w:val="24"/>
        </w:rPr>
        <w:t xml:space="preserve"> responsive systems incl</w:t>
      </w:r>
      <w:bookmarkStart w:id="2" w:name="_Hlk2095583"/>
      <w:r w:rsidRPr="0028218C">
        <w:rPr>
          <w:rFonts w:ascii="Times New Roman" w:hAnsi="Times New Roman" w:cs="Times New Roman"/>
          <w:sz w:val="24"/>
          <w:szCs w:val="24"/>
        </w:rPr>
        <w:t xml:space="preserve">uding integrated basic services including </w:t>
      </w:r>
      <w:r w:rsidRPr="0028218C">
        <w:rPr>
          <w:rFonts w:ascii="Times New Roman" w:eastAsia="Times New Roman" w:hAnsi="Times New Roman" w:cs="Times New Roman"/>
          <w:sz w:val="24"/>
          <w:szCs w:val="24"/>
          <w:lang w:eastAsia="en-GB"/>
        </w:rPr>
        <w:t>mental health and psychosocial services and prevention mechanisms addressing gender-based violence</w:t>
      </w:r>
      <w:bookmarkEnd w:id="2"/>
      <w:r w:rsidRPr="0028218C">
        <w:rPr>
          <w:rFonts w:ascii="Times New Roman" w:eastAsia="Times New Roman" w:hAnsi="Times New Roman" w:cs="Times New Roman"/>
          <w:sz w:val="24"/>
          <w:szCs w:val="24"/>
          <w:lang w:eastAsia="en-GB"/>
        </w:rPr>
        <w:t xml:space="preserve"> and other structural challenges. Child protection systems shall provide alternative care options, with emphasis on community and family-based alternatives. Exchanges of good </w:t>
      </w:r>
      <w:bookmarkStart w:id="3" w:name="_Hlk2779533"/>
      <w:r w:rsidRPr="0028218C">
        <w:rPr>
          <w:rFonts w:ascii="Times New Roman" w:eastAsia="Times New Roman" w:hAnsi="Times New Roman" w:cs="Times New Roman"/>
          <w:sz w:val="24"/>
          <w:szCs w:val="24"/>
          <w:lang w:eastAsia="en-GB"/>
        </w:rPr>
        <w:t>practices and lessons learnt across the two regions and four countries will serve as evidence for the protection of children on the move in different contexts</w:t>
      </w:r>
      <w:bookmarkEnd w:id="3"/>
      <w:r w:rsidRPr="0028218C">
        <w:rPr>
          <w:rFonts w:ascii="Times New Roman" w:eastAsia="Times New Roman" w:hAnsi="Times New Roman" w:cs="Times New Roman"/>
          <w:sz w:val="24"/>
          <w:szCs w:val="24"/>
          <w:lang w:eastAsia="en-GB"/>
        </w:rPr>
        <w:t>.</w:t>
      </w:r>
    </w:p>
    <w:p w14:paraId="62DF2556" w14:textId="10E0D02E" w:rsidR="009F647C" w:rsidRPr="0028218C" w:rsidRDefault="009F647C" w:rsidP="00082262">
      <w:pPr>
        <w:pStyle w:val="ListParagraph"/>
        <w:numPr>
          <w:ilvl w:val="3"/>
          <w:numId w:val="32"/>
        </w:numPr>
        <w:autoSpaceDE w:val="0"/>
        <w:autoSpaceDN w:val="0"/>
        <w:adjustRightInd w:val="0"/>
        <w:spacing w:after="120" w:line="240" w:lineRule="auto"/>
        <w:ind w:left="426"/>
        <w:contextualSpacing w:val="0"/>
        <w:jc w:val="both"/>
        <w:outlineLvl w:val="0"/>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In the </w:t>
      </w:r>
      <w:r w:rsidRPr="0028218C">
        <w:rPr>
          <w:rFonts w:ascii="Times New Roman" w:hAnsi="Times New Roman" w:cs="Times New Roman"/>
          <w:b/>
          <w:color w:val="000000" w:themeColor="text1"/>
          <w:sz w:val="24"/>
          <w:szCs w:val="24"/>
        </w:rPr>
        <w:t>Western Balkans area</w:t>
      </w:r>
      <w:r w:rsidRPr="0028218C">
        <w:rPr>
          <w:rFonts w:ascii="Times New Roman" w:hAnsi="Times New Roman" w:cs="Times New Roman"/>
          <w:color w:val="000000" w:themeColor="text1"/>
          <w:sz w:val="24"/>
          <w:szCs w:val="24"/>
        </w:rPr>
        <w:t xml:space="preserve"> the EU is working to strengthen the capacity of the Western Balkan countries to manage migration flows across the borders, to fight the smuggling networks and to ensure appropriate treatment</w:t>
      </w:r>
      <w:r w:rsidR="000B3D96">
        <w:rPr>
          <w:rFonts w:ascii="Times New Roman" w:hAnsi="Times New Roman" w:cs="Times New Roman"/>
          <w:color w:val="000000" w:themeColor="text1"/>
          <w:sz w:val="24"/>
          <w:szCs w:val="24"/>
        </w:rPr>
        <w:t xml:space="preserve"> of asylum seekers and refugees.</w:t>
      </w:r>
      <w:r w:rsidRPr="0028218C">
        <w:rPr>
          <w:rFonts w:ascii="Times New Roman" w:hAnsi="Times New Roman" w:cs="Times New Roman"/>
          <w:color w:val="000000" w:themeColor="text1"/>
          <w:sz w:val="24"/>
          <w:szCs w:val="24"/>
        </w:rPr>
        <w:t xml:space="preserve"> </w:t>
      </w:r>
      <w:r w:rsidR="00EA2B42">
        <w:rPr>
          <w:rFonts w:ascii="Times New Roman" w:hAnsi="Times New Roman" w:cs="Times New Roman"/>
          <w:color w:val="000000" w:themeColor="text1"/>
          <w:sz w:val="24"/>
          <w:szCs w:val="24"/>
        </w:rPr>
        <w:t>EUR 31.4 million in</w:t>
      </w:r>
      <w:r w:rsidRPr="0028218C">
        <w:rPr>
          <w:rFonts w:ascii="Times New Roman" w:hAnsi="Times New Roman" w:cs="Times New Roman"/>
          <w:color w:val="000000" w:themeColor="text1"/>
          <w:sz w:val="24"/>
          <w:szCs w:val="24"/>
        </w:rPr>
        <w:t xml:space="preserve"> humanitarian aid has been mobilized with </w:t>
      </w:r>
      <w:r w:rsidRPr="0028218C">
        <w:rPr>
          <w:rFonts w:ascii="Times New Roman" w:hAnsi="Times New Roman" w:cs="Times New Roman"/>
          <w:b/>
          <w:color w:val="000000" w:themeColor="text1"/>
          <w:sz w:val="24"/>
          <w:szCs w:val="24"/>
        </w:rPr>
        <w:t xml:space="preserve">an emphasis on the protection of child migrants/refugees,  </w:t>
      </w:r>
      <w:r w:rsidRPr="0028218C">
        <w:rPr>
          <w:rFonts w:ascii="Times New Roman" w:hAnsi="Times New Roman" w:cs="Times New Roman"/>
          <w:color w:val="000000" w:themeColor="text1"/>
          <w:sz w:val="24"/>
          <w:szCs w:val="24"/>
        </w:rPr>
        <w:t>providing them with essentials such as temporary shelter, food, health, protection.</w:t>
      </w:r>
    </w:p>
    <w:p w14:paraId="25A8460F" w14:textId="77777777" w:rsidR="009F647C" w:rsidRPr="0028218C" w:rsidRDefault="009F647C" w:rsidP="009F647C">
      <w:pPr>
        <w:ind w:left="66"/>
        <w:rPr>
          <w:b/>
          <w:color w:val="000000" w:themeColor="text1"/>
          <w:szCs w:val="24"/>
        </w:rPr>
      </w:pPr>
      <w:r w:rsidRPr="0028218C">
        <w:rPr>
          <w:b/>
          <w:color w:val="000000" w:themeColor="text1"/>
          <w:szCs w:val="24"/>
        </w:rPr>
        <w:t xml:space="preserve">Migrant women and girls </w:t>
      </w:r>
    </w:p>
    <w:p w14:paraId="439483EB" w14:textId="42EEAC3E" w:rsidR="000A1392" w:rsidRPr="0028218C" w:rsidRDefault="000A1392" w:rsidP="00D06FDF">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It is important to highlight that </w:t>
      </w:r>
      <w:r w:rsidRPr="0028218C">
        <w:rPr>
          <w:rFonts w:ascii="Times New Roman" w:hAnsi="Times New Roman" w:cs="Times New Roman"/>
          <w:b/>
          <w:bCs/>
          <w:color w:val="000000" w:themeColor="text1"/>
          <w:sz w:val="24"/>
          <w:szCs w:val="24"/>
        </w:rPr>
        <w:t>migrant and refugee women and girls are not inherently vulnerable</w:t>
      </w:r>
      <w:r w:rsidRPr="0028218C">
        <w:rPr>
          <w:rFonts w:ascii="Times New Roman" w:hAnsi="Times New Roman" w:cs="Times New Roman"/>
          <w:color w:val="000000" w:themeColor="text1"/>
          <w:sz w:val="24"/>
          <w:szCs w:val="24"/>
        </w:rPr>
        <w:t xml:space="preserve">, nor they lack resilience and agency and </w:t>
      </w:r>
      <w:r w:rsidR="009237EA">
        <w:rPr>
          <w:rFonts w:ascii="Times New Roman" w:hAnsi="Times New Roman" w:cs="Times New Roman"/>
          <w:color w:val="000000" w:themeColor="text1"/>
          <w:sz w:val="24"/>
          <w:szCs w:val="24"/>
        </w:rPr>
        <w:t>that</w:t>
      </w:r>
      <w:r w:rsidRPr="0028218C">
        <w:rPr>
          <w:rFonts w:ascii="Times New Roman" w:hAnsi="Times New Roman" w:cs="Times New Roman"/>
          <w:color w:val="000000" w:themeColor="text1"/>
          <w:sz w:val="24"/>
          <w:szCs w:val="24"/>
        </w:rPr>
        <w:t xml:space="preserve"> "vulnerability" </w:t>
      </w:r>
      <w:r w:rsidR="009237EA" w:rsidRPr="0028218C">
        <w:rPr>
          <w:rFonts w:ascii="Times New Roman" w:hAnsi="Times New Roman" w:cs="Times New Roman"/>
          <w:color w:val="000000" w:themeColor="text1"/>
          <w:sz w:val="24"/>
          <w:szCs w:val="24"/>
        </w:rPr>
        <w:t xml:space="preserve">should not </w:t>
      </w:r>
      <w:r w:rsidR="009237EA">
        <w:rPr>
          <w:rFonts w:ascii="Times New Roman" w:hAnsi="Times New Roman" w:cs="Times New Roman"/>
          <w:color w:val="000000" w:themeColor="text1"/>
          <w:sz w:val="24"/>
          <w:szCs w:val="24"/>
        </w:rPr>
        <w:t xml:space="preserve">be </w:t>
      </w:r>
      <w:r w:rsidR="009237EA" w:rsidRPr="0028218C">
        <w:rPr>
          <w:rFonts w:ascii="Times New Roman" w:hAnsi="Times New Roman" w:cs="Times New Roman"/>
          <w:color w:val="000000" w:themeColor="text1"/>
          <w:sz w:val="24"/>
          <w:szCs w:val="24"/>
        </w:rPr>
        <w:t>base</w:t>
      </w:r>
      <w:r w:rsidR="009237EA">
        <w:rPr>
          <w:rFonts w:ascii="Times New Roman" w:hAnsi="Times New Roman" w:cs="Times New Roman"/>
          <w:color w:val="000000" w:themeColor="text1"/>
          <w:sz w:val="24"/>
          <w:szCs w:val="24"/>
        </w:rPr>
        <w:t>d</w:t>
      </w:r>
      <w:r w:rsidR="009237EA" w:rsidRPr="0028218C">
        <w:rPr>
          <w:rFonts w:ascii="Times New Roman" w:hAnsi="Times New Roman" w:cs="Times New Roman"/>
          <w:color w:val="000000" w:themeColor="text1"/>
          <w:sz w:val="24"/>
          <w:szCs w:val="24"/>
        </w:rPr>
        <w:t xml:space="preserve"> </w:t>
      </w:r>
      <w:r w:rsidRPr="0028218C">
        <w:rPr>
          <w:rFonts w:ascii="Times New Roman" w:hAnsi="Times New Roman" w:cs="Times New Roman"/>
          <w:color w:val="000000" w:themeColor="text1"/>
          <w:sz w:val="24"/>
          <w:szCs w:val="24"/>
        </w:rPr>
        <w:t xml:space="preserve">solely on membership to a particular group, as this is simplistic, at worst discriminatory. However, it is true that </w:t>
      </w:r>
      <w:r w:rsidR="00116E31" w:rsidRPr="0028218C">
        <w:rPr>
          <w:rFonts w:ascii="Times New Roman" w:hAnsi="Times New Roman" w:cs="Times New Roman"/>
          <w:color w:val="000000" w:themeColor="text1"/>
          <w:sz w:val="24"/>
          <w:szCs w:val="24"/>
        </w:rPr>
        <w:t>migrant women and girls</w:t>
      </w:r>
      <w:r w:rsidRPr="0028218C">
        <w:rPr>
          <w:rFonts w:ascii="Times New Roman" w:hAnsi="Times New Roman" w:cs="Times New Roman"/>
          <w:color w:val="000000" w:themeColor="text1"/>
          <w:sz w:val="24"/>
          <w:szCs w:val="24"/>
        </w:rPr>
        <w:t xml:space="preserve"> </w:t>
      </w:r>
      <w:r w:rsidR="00D06FDF" w:rsidRPr="0028218C">
        <w:rPr>
          <w:rFonts w:ascii="Times New Roman" w:hAnsi="Times New Roman" w:cs="Times New Roman"/>
          <w:color w:val="000000" w:themeColor="text1"/>
          <w:sz w:val="24"/>
          <w:szCs w:val="24"/>
        </w:rPr>
        <w:t>are</w:t>
      </w:r>
      <w:r w:rsidR="009237EA">
        <w:rPr>
          <w:rFonts w:ascii="Times New Roman" w:hAnsi="Times New Roman" w:cs="Times New Roman"/>
          <w:color w:val="000000" w:themeColor="text1"/>
          <w:sz w:val="24"/>
          <w:szCs w:val="24"/>
        </w:rPr>
        <w:t xml:space="preserve"> disproportionately exposed to </w:t>
      </w:r>
      <w:r w:rsidR="00D06FDF" w:rsidRPr="0028218C">
        <w:rPr>
          <w:rFonts w:ascii="Times New Roman" w:hAnsi="Times New Roman" w:cs="Times New Roman"/>
          <w:color w:val="000000" w:themeColor="text1"/>
          <w:sz w:val="24"/>
          <w:szCs w:val="24"/>
        </w:rPr>
        <w:t>sexual violence and abuses and gender- based or racist discrimination</w:t>
      </w:r>
      <w:r w:rsidRPr="0028218C">
        <w:rPr>
          <w:rFonts w:ascii="Times New Roman" w:hAnsi="Times New Roman" w:cs="Times New Roman"/>
          <w:color w:val="000000" w:themeColor="text1"/>
          <w:sz w:val="24"/>
          <w:szCs w:val="24"/>
        </w:rPr>
        <w:t xml:space="preserve">. </w:t>
      </w:r>
    </w:p>
    <w:p w14:paraId="33959960" w14:textId="4D483A01" w:rsidR="000A1392" w:rsidRPr="0028218C" w:rsidRDefault="000A1392" w:rsidP="000A1392">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In Article 17 of the </w:t>
      </w:r>
      <w:r w:rsidRPr="009237EA">
        <w:rPr>
          <w:rFonts w:ascii="Times New Roman" w:hAnsi="Times New Roman" w:cs="Times New Roman"/>
          <w:color w:val="000000" w:themeColor="text1"/>
          <w:sz w:val="24"/>
          <w:szCs w:val="24"/>
        </w:rPr>
        <w:t>Asylum, Migration and Integration Fund</w:t>
      </w:r>
      <w:r w:rsidRPr="0028218C">
        <w:rPr>
          <w:rFonts w:ascii="Times New Roman" w:hAnsi="Times New Roman" w:cs="Times New Roman"/>
          <w:color w:val="000000" w:themeColor="text1"/>
          <w:sz w:val="24"/>
          <w:szCs w:val="24"/>
        </w:rPr>
        <w:t xml:space="preserve"> (AMIF) </w:t>
      </w:r>
      <w:r w:rsidR="009237EA">
        <w:rPr>
          <w:rFonts w:ascii="Times New Roman" w:hAnsi="Times New Roman" w:cs="Times New Roman"/>
          <w:color w:val="000000" w:themeColor="text1"/>
          <w:sz w:val="24"/>
          <w:szCs w:val="24"/>
        </w:rPr>
        <w:t xml:space="preserve">EU </w:t>
      </w:r>
      <w:r w:rsidRPr="0028218C">
        <w:rPr>
          <w:rFonts w:ascii="Times New Roman" w:hAnsi="Times New Roman" w:cs="Times New Roman"/>
          <w:color w:val="000000" w:themeColor="text1"/>
          <w:sz w:val="24"/>
          <w:szCs w:val="24"/>
        </w:rPr>
        <w:t xml:space="preserve">Regulation, which defines the </w:t>
      </w:r>
      <w:r w:rsidRPr="0028218C">
        <w:rPr>
          <w:rFonts w:ascii="Times New Roman" w:hAnsi="Times New Roman" w:cs="Times New Roman"/>
          <w:b/>
          <w:color w:val="000000" w:themeColor="text1"/>
          <w:sz w:val="24"/>
          <w:szCs w:val="24"/>
        </w:rPr>
        <w:t>vulnerable groups for resettlement</w:t>
      </w:r>
      <w:r w:rsidR="00116E31" w:rsidRPr="0028218C">
        <w:rPr>
          <w:rFonts w:ascii="Times New Roman" w:hAnsi="Times New Roman" w:cs="Times New Roman"/>
          <w:b/>
          <w:color w:val="000000" w:themeColor="text1"/>
          <w:sz w:val="24"/>
          <w:szCs w:val="24"/>
        </w:rPr>
        <w:t>,</w:t>
      </w:r>
      <w:r w:rsidRPr="0028218C">
        <w:rPr>
          <w:rFonts w:ascii="Times New Roman" w:hAnsi="Times New Roman" w:cs="Times New Roman"/>
          <w:color w:val="000000" w:themeColor="text1"/>
          <w:sz w:val="24"/>
          <w:szCs w:val="24"/>
        </w:rPr>
        <w:t xml:space="preserve"> the first category is women and children at risk.  So the particular vulnerability of women (and children) is recognised and special attention is given to them in the resettlement process.</w:t>
      </w:r>
    </w:p>
    <w:p w14:paraId="5F05F994" w14:textId="09AAD1A1" w:rsidR="00D06FDF" w:rsidRPr="0028218C" w:rsidRDefault="00D06FDF" w:rsidP="00082262">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bCs/>
          <w:color w:val="000000" w:themeColor="text1"/>
          <w:sz w:val="24"/>
          <w:szCs w:val="24"/>
        </w:rPr>
        <w:t>Girls’ and women’s full enjoyment of all human rights</w:t>
      </w:r>
      <w:r w:rsidRPr="0028218C">
        <w:rPr>
          <w:rFonts w:ascii="Times New Roman" w:hAnsi="Times New Roman" w:cs="Times New Roman"/>
          <w:b/>
          <w:bCs/>
          <w:color w:val="000000" w:themeColor="text1"/>
          <w:sz w:val="24"/>
          <w:szCs w:val="24"/>
        </w:rPr>
        <w:t xml:space="preserve"> </w:t>
      </w:r>
      <w:r w:rsidR="009F647C" w:rsidRPr="0028218C">
        <w:rPr>
          <w:rFonts w:ascii="Times New Roman" w:hAnsi="Times New Roman" w:cs="Times New Roman"/>
          <w:b/>
          <w:bCs/>
          <w:color w:val="000000" w:themeColor="text1"/>
          <w:sz w:val="24"/>
          <w:szCs w:val="24"/>
        </w:rPr>
        <w:t>is central to any discussion on the causes and consequences of migration</w:t>
      </w:r>
      <w:r w:rsidR="009F647C" w:rsidRPr="0028218C">
        <w:rPr>
          <w:rFonts w:ascii="Times New Roman" w:hAnsi="Times New Roman" w:cs="Times New Roman"/>
          <w:color w:val="000000" w:themeColor="text1"/>
          <w:sz w:val="24"/>
          <w:szCs w:val="24"/>
        </w:rPr>
        <w:t xml:space="preserve">, whether forced or voluntary. </w:t>
      </w:r>
      <w:r w:rsidR="00C363A7" w:rsidRPr="0028218C">
        <w:rPr>
          <w:rFonts w:ascii="Times New Roman" w:hAnsi="Times New Roman" w:cs="Times New Roman"/>
          <w:color w:val="000000" w:themeColor="text1"/>
          <w:sz w:val="24"/>
          <w:szCs w:val="24"/>
        </w:rPr>
        <w:t>S</w:t>
      </w:r>
      <w:r w:rsidR="009F647C" w:rsidRPr="0028218C">
        <w:rPr>
          <w:rFonts w:ascii="Times New Roman" w:hAnsi="Times New Roman" w:cs="Times New Roman"/>
          <w:color w:val="000000" w:themeColor="text1"/>
          <w:sz w:val="24"/>
          <w:szCs w:val="24"/>
        </w:rPr>
        <w:t xml:space="preserve">ex, gender, gender identity and sexual orientation </w:t>
      </w:r>
      <w:r w:rsidR="00C363A7" w:rsidRPr="0028218C">
        <w:rPr>
          <w:rFonts w:ascii="Times New Roman" w:hAnsi="Times New Roman" w:cs="Times New Roman"/>
          <w:color w:val="000000" w:themeColor="text1"/>
          <w:sz w:val="24"/>
          <w:szCs w:val="24"/>
        </w:rPr>
        <w:t xml:space="preserve">related arguments </w:t>
      </w:r>
      <w:r w:rsidR="009F647C" w:rsidRPr="0028218C">
        <w:rPr>
          <w:rFonts w:ascii="Times New Roman" w:hAnsi="Times New Roman" w:cs="Times New Roman"/>
          <w:color w:val="000000" w:themeColor="text1"/>
          <w:sz w:val="24"/>
          <w:szCs w:val="24"/>
        </w:rPr>
        <w:t>shape every stage of the migration experience.</w:t>
      </w:r>
    </w:p>
    <w:p w14:paraId="175996EC" w14:textId="623BD5D6" w:rsidR="009F647C" w:rsidRPr="0028218C" w:rsidRDefault="00C363A7" w:rsidP="00C363A7">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The specific needs of girls and women, in all their diversity, decisively influence </w:t>
      </w:r>
      <w:r w:rsidR="009F647C" w:rsidRPr="0028218C">
        <w:rPr>
          <w:rFonts w:ascii="Times New Roman" w:hAnsi="Times New Roman" w:cs="Times New Roman"/>
          <w:color w:val="000000" w:themeColor="text1"/>
          <w:sz w:val="24"/>
          <w:szCs w:val="24"/>
        </w:rPr>
        <w:t>migrati</w:t>
      </w:r>
      <w:r w:rsidRPr="0028218C">
        <w:rPr>
          <w:rFonts w:ascii="Times New Roman" w:hAnsi="Times New Roman" w:cs="Times New Roman"/>
          <w:color w:val="000000" w:themeColor="text1"/>
          <w:sz w:val="24"/>
          <w:szCs w:val="24"/>
        </w:rPr>
        <w:t>on decisions</w:t>
      </w:r>
      <w:r w:rsidR="009F647C" w:rsidRPr="0028218C">
        <w:rPr>
          <w:rFonts w:ascii="Times New Roman" w:hAnsi="Times New Roman" w:cs="Times New Roman"/>
          <w:color w:val="000000" w:themeColor="text1"/>
          <w:sz w:val="24"/>
          <w:szCs w:val="24"/>
        </w:rPr>
        <w:t xml:space="preserve">, who migrates and to where, how people migrate and the networks they use, opportunities and resources available at destinations, and relations with the country of origin. It is therefore </w:t>
      </w:r>
      <w:r w:rsidR="009F647C" w:rsidRPr="0028218C">
        <w:rPr>
          <w:rFonts w:ascii="Times New Roman" w:hAnsi="Times New Roman" w:cs="Times New Roman"/>
          <w:b/>
          <w:bCs/>
          <w:color w:val="000000" w:themeColor="text1"/>
          <w:sz w:val="24"/>
          <w:szCs w:val="24"/>
        </w:rPr>
        <w:t>crucial to understand how gender interacts with migration</w:t>
      </w:r>
      <w:r w:rsidR="009F647C" w:rsidRPr="0028218C">
        <w:rPr>
          <w:rFonts w:ascii="Times New Roman" w:hAnsi="Times New Roman" w:cs="Times New Roman"/>
          <w:color w:val="000000" w:themeColor="text1"/>
          <w:sz w:val="24"/>
          <w:szCs w:val="24"/>
        </w:rPr>
        <w:t xml:space="preserve"> and to respond accordingly.</w:t>
      </w:r>
    </w:p>
    <w:p w14:paraId="62FFAC81" w14:textId="2C875460" w:rsidR="009F647C" w:rsidRPr="0028218C" w:rsidRDefault="009F647C" w:rsidP="003B705D">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Given the </w:t>
      </w:r>
      <w:r w:rsidRPr="0028218C">
        <w:rPr>
          <w:rFonts w:ascii="Times New Roman" w:hAnsi="Times New Roman" w:cs="Times New Roman"/>
          <w:b/>
          <w:color w:val="000000" w:themeColor="text1"/>
          <w:sz w:val="24"/>
          <w:szCs w:val="24"/>
        </w:rPr>
        <w:t xml:space="preserve">gender-specific </w:t>
      </w:r>
      <w:r w:rsidR="00C363A7" w:rsidRPr="0028218C">
        <w:rPr>
          <w:rFonts w:ascii="Times New Roman" w:hAnsi="Times New Roman" w:cs="Times New Roman"/>
          <w:b/>
          <w:color w:val="000000" w:themeColor="text1"/>
          <w:sz w:val="24"/>
          <w:szCs w:val="24"/>
        </w:rPr>
        <w:t xml:space="preserve">impact </w:t>
      </w:r>
      <w:r w:rsidRPr="0028218C">
        <w:rPr>
          <w:rFonts w:ascii="Times New Roman" w:hAnsi="Times New Roman" w:cs="Times New Roman"/>
          <w:b/>
          <w:color w:val="000000" w:themeColor="text1"/>
          <w:sz w:val="24"/>
          <w:szCs w:val="24"/>
        </w:rPr>
        <w:t>of migration</w:t>
      </w:r>
      <w:r w:rsidRPr="0028218C">
        <w:rPr>
          <w:rFonts w:ascii="Times New Roman" w:hAnsi="Times New Roman" w:cs="Times New Roman"/>
          <w:color w:val="000000" w:themeColor="text1"/>
          <w:sz w:val="24"/>
          <w:szCs w:val="24"/>
        </w:rPr>
        <w:t xml:space="preserve">, it is important to consider the following aspects when working to strengthen migration governance: </w:t>
      </w:r>
    </w:p>
    <w:p w14:paraId="0589C9BA" w14:textId="77777777" w:rsidR="009F647C" w:rsidRPr="0028218C" w:rsidRDefault="009F647C" w:rsidP="003B705D">
      <w:pPr>
        <w:pStyle w:val="ListParagraph"/>
        <w:numPr>
          <w:ilvl w:val="0"/>
          <w:numId w:val="36"/>
        </w:numPr>
        <w:spacing w:after="0" w:line="240" w:lineRule="auto"/>
        <w:ind w:left="782" w:hanging="357"/>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advocating for equal rights under the law in employment and mobility; </w:t>
      </w:r>
    </w:p>
    <w:p w14:paraId="120C9786" w14:textId="77777777" w:rsidR="009F647C" w:rsidRPr="0028218C" w:rsidRDefault="009F647C" w:rsidP="003B705D">
      <w:pPr>
        <w:pStyle w:val="ListParagraph"/>
        <w:numPr>
          <w:ilvl w:val="0"/>
          <w:numId w:val="36"/>
        </w:numPr>
        <w:spacing w:after="0" w:line="240" w:lineRule="auto"/>
        <w:ind w:left="782" w:hanging="357"/>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combatting discriminatory migration practices; </w:t>
      </w:r>
    </w:p>
    <w:p w14:paraId="081DB6F1" w14:textId="77777777" w:rsidR="009F647C" w:rsidRPr="0028218C" w:rsidRDefault="009F647C" w:rsidP="003B705D">
      <w:pPr>
        <w:pStyle w:val="ListParagraph"/>
        <w:numPr>
          <w:ilvl w:val="0"/>
          <w:numId w:val="36"/>
        </w:numPr>
        <w:spacing w:after="0" w:line="240" w:lineRule="auto"/>
        <w:ind w:left="782" w:hanging="357"/>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understanding how gender affects the types of migration undertaken; </w:t>
      </w:r>
    </w:p>
    <w:p w14:paraId="76FFE50F" w14:textId="77777777" w:rsidR="009F647C" w:rsidRPr="0028218C" w:rsidRDefault="009F647C" w:rsidP="003B705D">
      <w:pPr>
        <w:pStyle w:val="ListParagraph"/>
        <w:numPr>
          <w:ilvl w:val="0"/>
          <w:numId w:val="36"/>
        </w:numPr>
        <w:spacing w:after="0" w:line="240" w:lineRule="auto"/>
        <w:ind w:left="782" w:hanging="357"/>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responding to how gender influences access to social services, economic growth, capacities, risks and vulnerabilities; </w:t>
      </w:r>
    </w:p>
    <w:p w14:paraId="5203626A" w14:textId="77777777" w:rsidR="009F647C" w:rsidRPr="0028218C" w:rsidRDefault="009F647C" w:rsidP="003B705D">
      <w:pPr>
        <w:pStyle w:val="ListParagraph"/>
        <w:numPr>
          <w:ilvl w:val="0"/>
          <w:numId w:val="36"/>
        </w:numPr>
        <w:spacing w:after="120" w:line="240" w:lineRule="auto"/>
        <w:ind w:left="782" w:hanging="357"/>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ensuring diversity and inclusiveness in consultations and participation in activities; </w:t>
      </w:r>
    </w:p>
    <w:p w14:paraId="66E360FC" w14:textId="1F785B6C" w:rsidR="009F647C" w:rsidRDefault="009F647C" w:rsidP="003B705D">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Thus, </w:t>
      </w:r>
      <w:r w:rsidRPr="0028218C">
        <w:rPr>
          <w:rFonts w:ascii="Times New Roman" w:hAnsi="Times New Roman" w:cs="Times New Roman"/>
          <w:b/>
          <w:bCs/>
          <w:color w:val="000000" w:themeColor="text1"/>
          <w:sz w:val="24"/>
          <w:szCs w:val="24"/>
        </w:rPr>
        <w:t>including gender-</w:t>
      </w:r>
      <w:r w:rsidR="00C363A7" w:rsidRPr="0028218C">
        <w:rPr>
          <w:rFonts w:ascii="Times New Roman" w:hAnsi="Times New Roman" w:cs="Times New Roman"/>
          <w:b/>
          <w:bCs/>
          <w:color w:val="000000" w:themeColor="text1"/>
          <w:sz w:val="24"/>
          <w:szCs w:val="24"/>
        </w:rPr>
        <w:t xml:space="preserve">responsive </w:t>
      </w:r>
      <w:r w:rsidRPr="0028218C">
        <w:rPr>
          <w:rFonts w:ascii="Times New Roman" w:hAnsi="Times New Roman" w:cs="Times New Roman"/>
          <w:b/>
          <w:bCs/>
          <w:color w:val="000000" w:themeColor="text1"/>
          <w:sz w:val="24"/>
          <w:szCs w:val="24"/>
        </w:rPr>
        <w:t>considerations in policymaking and planning</w:t>
      </w:r>
      <w:r w:rsidRPr="0028218C">
        <w:rPr>
          <w:rFonts w:ascii="Times New Roman" w:hAnsi="Times New Roman" w:cs="Times New Roman"/>
          <w:color w:val="000000" w:themeColor="text1"/>
          <w:sz w:val="24"/>
          <w:szCs w:val="24"/>
        </w:rPr>
        <w:t xml:space="preserve"> can contribute to promote gender equality</w:t>
      </w:r>
      <w:r w:rsidR="00D76B34" w:rsidRPr="0028218C">
        <w:rPr>
          <w:rFonts w:ascii="Times New Roman" w:hAnsi="Times New Roman" w:cs="Times New Roman"/>
          <w:color w:val="000000" w:themeColor="text1"/>
          <w:sz w:val="24"/>
          <w:szCs w:val="24"/>
        </w:rPr>
        <w:t xml:space="preserve"> and empower girls and women in all their diversity</w:t>
      </w:r>
      <w:r w:rsidRPr="0028218C">
        <w:rPr>
          <w:rFonts w:ascii="Times New Roman" w:hAnsi="Times New Roman" w:cs="Times New Roman"/>
          <w:color w:val="000000" w:themeColor="text1"/>
          <w:sz w:val="24"/>
          <w:szCs w:val="24"/>
        </w:rPr>
        <w:t xml:space="preserve">; leaving </w:t>
      </w:r>
      <w:r w:rsidR="00691AC7" w:rsidRPr="0028218C">
        <w:rPr>
          <w:rFonts w:ascii="Times New Roman" w:hAnsi="Times New Roman" w:cs="Times New Roman"/>
          <w:color w:val="000000" w:themeColor="text1"/>
          <w:sz w:val="24"/>
          <w:szCs w:val="24"/>
        </w:rPr>
        <w:t xml:space="preserve">out </w:t>
      </w:r>
      <w:r w:rsidRPr="0028218C">
        <w:rPr>
          <w:rFonts w:ascii="Times New Roman" w:hAnsi="Times New Roman" w:cs="Times New Roman"/>
          <w:color w:val="000000" w:themeColor="text1"/>
          <w:sz w:val="24"/>
          <w:szCs w:val="24"/>
        </w:rPr>
        <w:t xml:space="preserve">such considerations can expose </w:t>
      </w:r>
      <w:r w:rsidR="00116E31" w:rsidRPr="0028218C">
        <w:rPr>
          <w:rFonts w:ascii="Times New Roman" w:hAnsi="Times New Roman" w:cs="Times New Roman"/>
          <w:color w:val="000000" w:themeColor="text1"/>
          <w:sz w:val="24"/>
          <w:szCs w:val="24"/>
        </w:rPr>
        <w:t>migrants</w:t>
      </w:r>
      <w:r w:rsidRPr="0028218C">
        <w:rPr>
          <w:rFonts w:ascii="Times New Roman" w:hAnsi="Times New Roman" w:cs="Times New Roman"/>
          <w:color w:val="000000" w:themeColor="text1"/>
          <w:sz w:val="24"/>
          <w:szCs w:val="24"/>
        </w:rPr>
        <w:t xml:space="preserve"> to further risks and </w:t>
      </w:r>
      <w:r w:rsidR="00116E31" w:rsidRPr="0028218C">
        <w:rPr>
          <w:rFonts w:ascii="Times New Roman" w:hAnsi="Times New Roman" w:cs="Times New Roman"/>
          <w:color w:val="000000" w:themeColor="text1"/>
          <w:sz w:val="24"/>
          <w:szCs w:val="24"/>
        </w:rPr>
        <w:t xml:space="preserve">situations of </w:t>
      </w:r>
      <w:r w:rsidRPr="0028218C">
        <w:rPr>
          <w:rFonts w:ascii="Times New Roman" w:hAnsi="Times New Roman" w:cs="Times New Roman"/>
          <w:color w:val="000000" w:themeColor="text1"/>
          <w:sz w:val="24"/>
          <w:szCs w:val="24"/>
        </w:rPr>
        <w:t>vulnerabilit</w:t>
      </w:r>
      <w:r w:rsidR="00116E31" w:rsidRPr="0028218C">
        <w:rPr>
          <w:rFonts w:ascii="Times New Roman" w:hAnsi="Times New Roman" w:cs="Times New Roman"/>
          <w:color w:val="000000" w:themeColor="text1"/>
          <w:sz w:val="24"/>
          <w:szCs w:val="24"/>
        </w:rPr>
        <w:t>y</w:t>
      </w:r>
      <w:r w:rsidRPr="0028218C">
        <w:rPr>
          <w:rFonts w:ascii="Times New Roman" w:hAnsi="Times New Roman" w:cs="Times New Roman"/>
          <w:color w:val="000000" w:themeColor="text1"/>
          <w:sz w:val="24"/>
          <w:szCs w:val="24"/>
        </w:rPr>
        <w:t xml:space="preserve"> and perpetuate or exacerbate inequalities. </w:t>
      </w:r>
    </w:p>
    <w:p w14:paraId="4C7F51F1" w14:textId="7765AA0A" w:rsidR="00D35055" w:rsidRPr="00D21E96" w:rsidRDefault="00D35055" w:rsidP="00D35055">
      <w:pPr>
        <w:pStyle w:val="Briefingsp"/>
        <w:rPr>
          <w:rFonts w:eastAsiaTheme="minorHAnsi"/>
          <w:color w:val="000000" w:themeColor="text1"/>
          <w:lang w:eastAsia="en-US"/>
        </w:rPr>
      </w:pPr>
      <w:r w:rsidRPr="00D21E96">
        <w:rPr>
          <w:rFonts w:eastAsiaTheme="minorHAnsi"/>
          <w:color w:val="000000" w:themeColor="text1"/>
          <w:lang w:eastAsia="en-US"/>
        </w:rPr>
        <w:t xml:space="preserve">The European Commission adopted the </w:t>
      </w:r>
      <w:r w:rsidRPr="00D21E96">
        <w:rPr>
          <w:rFonts w:eastAsiaTheme="minorHAnsi"/>
          <w:b/>
          <w:color w:val="000000" w:themeColor="text1"/>
          <w:lang w:eastAsia="en-US"/>
        </w:rPr>
        <w:t>Strategy on gender equality policy objectives and actions</w:t>
      </w:r>
      <w:r w:rsidRPr="00D21E96">
        <w:rPr>
          <w:rFonts w:eastAsiaTheme="minorHAnsi"/>
          <w:color w:val="000000" w:themeColor="text1"/>
          <w:lang w:eastAsia="en-US"/>
        </w:rPr>
        <w:t xml:space="preserve"> to make significant progress by 2025</w:t>
      </w:r>
      <w:r w:rsidRPr="00D21E96">
        <w:rPr>
          <w:rStyle w:val="FootnoteReference"/>
          <w:rFonts w:eastAsiaTheme="minorHAnsi"/>
          <w:color w:val="000000" w:themeColor="text1"/>
          <w:lang w:eastAsia="en-US"/>
        </w:rPr>
        <w:footnoteReference w:id="2"/>
      </w:r>
      <w:r w:rsidRPr="00D21E96">
        <w:rPr>
          <w:rFonts w:eastAsiaTheme="minorHAnsi"/>
          <w:color w:val="000000" w:themeColor="text1"/>
          <w:lang w:eastAsia="en-US"/>
        </w:rPr>
        <w:t>, which pursues a dual approach of gender mainstreaming combined with targeted actions, and intersectionality is a horizontal principle for its implementation. While the Strategy focuses on actions within the EU, it is coherent with the EU’s external policy on gender equality and women’s empowerment.</w:t>
      </w:r>
    </w:p>
    <w:p w14:paraId="3C0C93A4" w14:textId="04D6D50A" w:rsidR="009F647C" w:rsidRPr="0028218C" w:rsidRDefault="009F647C" w:rsidP="00116E31">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The </w:t>
      </w:r>
      <w:hyperlink r:id="rId11" w:history="1">
        <w:r w:rsidRPr="0028218C">
          <w:rPr>
            <w:rStyle w:val="Hyperlink"/>
            <w:rFonts w:ascii="Times New Roman" w:hAnsi="Times New Roman" w:cs="Times New Roman"/>
            <w:color w:val="000000" w:themeColor="text1"/>
            <w:sz w:val="24"/>
            <w:szCs w:val="24"/>
            <w:u w:val="none"/>
          </w:rPr>
          <w:t>Global Compact for Migration</w:t>
        </w:r>
      </w:hyperlink>
      <w:r w:rsidRPr="0028218C">
        <w:rPr>
          <w:rFonts w:ascii="Times New Roman" w:hAnsi="Times New Roman" w:cs="Times New Roman"/>
          <w:color w:val="000000" w:themeColor="text1"/>
          <w:sz w:val="24"/>
          <w:szCs w:val="24"/>
        </w:rPr>
        <w:t xml:space="preserve"> and the </w:t>
      </w:r>
      <w:hyperlink r:id="rId12" w:tgtFrame="_blank" w:history="1">
        <w:r w:rsidRPr="0028218C">
          <w:rPr>
            <w:rStyle w:val="Hyperlink"/>
            <w:rFonts w:ascii="Times New Roman" w:hAnsi="Times New Roman" w:cs="Times New Roman"/>
            <w:color w:val="000000" w:themeColor="text1"/>
            <w:sz w:val="24"/>
            <w:szCs w:val="24"/>
            <w:u w:val="none"/>
          </w:rPr>
          <w:t>New York Declaration for Refugees and Migrants</w:t>
        </w:r>
      </w:hyperlink>
      <w:r w:rsidRPr="0028218C">
        <w:rPr>
          <w:rFonts w:ascii="Times New Roman" w:hAnsi="Times New Roman" w:cs="Times New Roman"/>
          <w:color w:val="000000" w:themeColor="text1"/>
          <w:sz w:val="24"/>
          <w:szCs w:val="24"/>
        </w:rPr>
        <w:t xml:space="preserve"> call for </w:t>
      </w:r>
      <w:r w:rsidRPr="0028218C">
        <w:rPr>
          <w:rFonts w:ascii="Times New Roman" w:hAnsi="Times New Roman" w:cs="Times New Roman"/>
          <w:b/>
          <w:bCs/>
          <w:color w:val="000000" w:themeColor="text1"/>
          <w:sz w:val="24"/>
          <w:szCs w:val="24"/>
        </w:rPr>
        <w:t>more migration data to be disaggregated by sex and age</w:t>
      </w:r>
      <w:r w:rsidRPr="0028218C">
        <w:rPr>
          <w:rFonts w:ascii="Times New Roman" w:hAnsi="Times New Roman" w:cs="Times New Roman"/>
          <w:color w:val="000000" w:themeColor="text1"/>
          <w:sz w:val="24"/>
          <w:szCs w:val="24"/>
        </w:rPr>
        <w:t xml:space="preserve">. </w:t>
      </w:r>
      <w:r w:rsidR="00116E31" w:rsidRPr="0028218C">
        <w:rPr>
          <w:rFonts w:ascii="Times New Roman" w:hAnsi="Times New Roman" w:cs="Times New Roman"/>
          <w:color w:val="000000" w:themeColor="text1"/>
          <w:sz w:val="24"/>
          <w:szCs w:val="24"/>
        </w:rPr>
        <w:t xml:space="preserve">International organisations, regional organisations and  states </w:t>
      </w:r>
      <w:r w:rsidRPr="0028218C">
        <w:rPr>
          <w:rFonts w:ascii="Times New Roman" w:hAnsi="Times New Roman" w:cs="Times New Roman"/>
          <w:color w:val="000000" w:themeColor="text1"/>
          <w:sz w:val="24"/>
          <w:szCs w:val="24"/>
        </w:rPr>
        <w:t>need to invest in this aspect. Sex-disaggregated data allow for the identification and analysis of specific vulnerabilities and capacities of women and men, revealing gaps and inequalities.</w:t>
      </w:r>
    </w:p>
    <w:p w14:paraId="301C44D3" w14:textId="77777777" w:rsidR="001A263A" w:rsidRPr="001A263A" w:rsidRDefault="009F647C" w:rsidP="00467391">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lang w:val="en-IE"/>
        </w:rPr>
      </w:pPr>
      <w:r w:rsidRPr="0028218C">
        <w:rPr>
          <w:rFonts w:ascii="Times New Roman" w:hAnsi="Times New Roman" w:cs="Times New Roman"/>
          <w:color w:val="000000" w:themeColor="text1"/>
          <w:sz w:val="24"/>
          <w:szCs w:val="24"/>
        </w:rPr>
        <w:t xml:space="preserve">The EU-UN </w:t>
      </w:r>
      <w:r w:rsidRPr="0028218C">
        <w:rPr>
          <w:rFonts w:ascii="Times New Roman" w:hAnsi="Times New Roman" w:cs="Times New Roman"/>
          <w:b/>
          <w:color w:val="000000" w:themeColor="text1"/>
          <w:sz w:val="24"/>
          <w:szCs w:val="24"/>
        </w:rPr>
        <w:t>‘Spotlight Initiative’</w:t>
      </w:r>
      <w:r w:rsidRPr="0028218C">
        <w:rPr>
          <w:rFonts w:ascii="Times New Roman" w:hAnsi="Times New Roman" w:cs="Times New Roman"/>
          <w:color w:val="000000" w:themeColor="text1"/>
          <w:sz w:val="24"/>
          <w:szCs w:val="24"/>
        </w:rPr>
        <w:t xml:space="preserve"> to eliminate all forms of violence against women and girls, funded by the EU with a budget of EUR 500 million, was launched in 2017 together with i</w:t>
      </w:r>
      <w:r w:rsidR="003B705D" w:rsidRPr="0028218C">
        <w:rPr>
          <w:rFonts w:ascii="Times New Roman" w:hAnsi="Times New Roman" w:cs="Times New Roman"/>
          <w:color w:val="000000" w:themeColor="text1"/>
          <w:sz w:val="24"/>
          <w:szCs w:val="24"/>
        </w:rPr>
        <w:t>ts first project ‘</w:t>
      </w:r>
      <w:r w:rsidR="003B705D" w:rsidRPr="0028218C">
        <w:rPr>
          <w:rFonts w:ascii="Times New Roman" w:hAnsi="Times New Roman" w:cs="Times New Roman"/>
          <w:b/>
          <w:i/>
          <w:color w:val="000000" w:themeColor="text1"/>
          <w:sz w:val="24"/>
          <w:szCs w:val="24"/>
        </w:rPr>
        <w:t>Safe and Fair:</w:t>
      </w:r>
      <w:r w:rsidR="003B705D" w:rsidRPr="0028218C">
        <w:rPr>
          <w:rFonts w:ascii="Times New Roman" w:hAnsi="Times New Roman" w:cs="Times New Roman"/>
          <w:b/>
          <w:i/>
          <w:iCs/>
          <w:color w:val="000000" w:themeColor="text1"/>
          <w:sz w:val="24"/>
          <w:szCs w:val="24"/>
        </w:rPr>
        <w:t xml:space="preserve"> Realizing women migrant workers’ rights and opportunities in </w:t>
      </w:r>
      <w:r w:rsidR="003B705D" w:rsidRPr="0028218C">
        <w:rPr>
          <w:rFonts w:ascii="Times New Roman" w:hAnsi="Times New Roman" w:cs="Times New Roman"/>
          <w:b/>
          <w:i/>
          <w:color w:val="000000" w:themeColor="text1"/>
          <w:sz w:val="24"/>
          <w:szCs w:val="24"/>
        </w:rPr>
        <w:t>the ASEAN region’</w:t>
      </w:r>
      <w:r w:rsidRPr="0028218C">
        <w:rPr>
          <w:rFonts w:ascii="Times New Roman" w:hAnsi="Times New Roman" w:cs="Times New Roman"/>
          <w:color w:val="000000" w:themeColor="text1"/>
          <w:sz w:val="24"/>
          <w:szCs w:val="24"/>
        </w:rPr>
        <w:t xml:space="preserve">. With </w:t>
      </w:r>
      <w:r w:rsidR="00116E31" w:rsidRPr="0028218C">
        <w:rPr>
          <w:rFonts w:ascii="Times New Roman" w:hAnsi="Times New Roman" w:cs="Times New Roman"/>
          <w:color w:val="000000" w:themeColor="text1"/>
          <w:sz w:val="24"/>
          <w:szCs w:val="24"/>
        </w:rPr>
        <w:t xml:space="preserve">a </w:t>
      </w:r>
      <w:r w:rsidRPr="0028218C">
        <w:rPr>
          <w:rFonts w:ascii="Times New Roman" w:hAnsi="Times New Roman" w:cs="Times New Roman"/>
          <w:color w:val="000000" w:themeColor="text1"/>
          <w:sz w:val="24"/>
          <w:szCs w:val="24"/>
        </w:rPr>
        <w:t xml:space="preserve">financial support of EUR 25 million, the regional project ‘Safe and Fair’ contributes to improving labour migration </w:t>
      </w:r>
      <w:r w:rsidR="00116E31" w:rsidRPr="0028218C">
        <w:rPr>
          <w:rFonts w:ascii="Times New Roman" w:hAnsi="Times New Roman" w:cs="Times New Roman"/>
          <w:color w:val="000000" w:themeColor="text1"/>
          <w:sz w:val="24"/>
          <w:szCs w:val="24"/>
        </w:rPr>
        <w:t xml:space="preserve">governance </w:t>
      </w:r>
      <w:r w:rsidRPr="0028218C">
        <w:rPr>
          <w:rFonts w:ascii="Times New Roman" w:hAnsi="Times New Roman" w:cs="Times New Roman"/>
          <w:color w:val="000000" w:themeColor="text1"/>
          <w:sz w:val="24"/>
          <w:szCs w:val="24"/>
        </w:rPr>
        <w:t>for women in the ASEAN region</w:t>
      </w:r>
      <w:r w:rsidR="00116E31" w:rsidRPr="0028218C">
        <w:rPr>
          <w:rFonts w:ascii="Times New Roman" w:hAnsi="Times New Roman" w:cs="Times New Roman"/>
          <w:color w:val="000000" w:themeColor="text1"/>
          <w:sz w:val="24"/>
          <w:szCs w:val="24"/>
        </w:rPr>
        <w:t xml:space="preserve"> with the ultimate objective to prevent violence, harassment and trafficking of migrant women and girls</w:t>
      </w:r>
      <w:r w:rsidRPr="0028218C">
        <w:rPr>
          <w:rFonts w:ascii="Times New Roman" w:hAnsi="Times New Roman" w:cs="Times New Roman"/>
          <w:color w:val="000000" w:themeColor="text1"/>
          <w:sz w:val="24"/>
          <w:szCs w:val="24"/>
        </w:rPr>
        <w:t>. Together with UN Women</w:t>
      </w:r>
      <w:r w:rsidR="00116E31" w:rsidRPr="0028218C">
        <w:rPr>
          <w:rFonts w:ascii="Times New Roman" w:hAnsi="Times New Roman" w:cs="Times New Roman"/>
          <w:color w:val="000000" w:themeColor="text1"/>
          <w:sz w:val="24"/>
          <w:szCs w:val="24"/>
        </w:rPr>
        <w:t xml:space="preserve">, </w:t>
      </w:r>
      <w:r w:rsidRPr="0028218C">
        <w:rPr>
          <w:rFonts w:ascii="Times New Roman" w:hAnsi="Times New Roman" w:cs="Times New Roman"/>
          <w:color w:val="000000" w:themeColor="text1"/>
          <w:sz w:val="24"/>
          <w:szCs w:val="24"/>
        </w:rPr>
        <w:t xml:space="preserve">the ILO, </w:t>
      </w:r>
      <w:r w:rsidR="00116E31" w:rsidRPr="0028218C">
        <w:rPr>
          <w:rFonts w:ascii="Times New Roman" w:hAnsi="Times New Roman" w:cs="Times New Roman"/>
          <w:color w:val="000000" w:themeColor="text1"/>
          <w:sz w:val="24"/>
          <w:szCs w:val="24"/>
        </w:rPr>
        <w:t xml:space="preserve">and UNODC, </w:t>
      </w:r>
      <w:r w:rsidRPr="0028218C">
        <w:rPr>
          <w:rFonts w:ascii="Times New Roman" w:hAnsi="Times New Roman" w:cs="Times New Roman"/>
          <w:color w:val="000000" w:themeColor="text1"/>
          <w:sz w:val="24"/>
          <w:szCs w:val="24"/>
        </w:rPr>
        <w:t xml:space="preserve">the EU works with governments, community-based organisations, civil society </w:t>
      </w:r>
      <w:r w:rsidR="00116E31" w:rsidRPr="0028218C">
        <w:rPr>
          <w:rFonts w:ascii="Times New Roman" w:hAnsi="Times New Roman" w:cs="Times New Roman"/>
          <w:color w:val="000000" w:themeColor="text1"/>
          <w:sz w:val="24"/>
          <w:szCs w:val="24"/>
        </w:rPr>
        <w:t xml:space="preserve">organisations </w:t>
      </w:r>
      <w:r w:rsidRPr="0028218C">
        <w:rPr>
          <w:rFonts w:ascii="Times New Roman" w:hAnsi="Times New Roman" w:cs="Times New Roman"/>
          <w:color w:val="000000" w:themeColor="text1"/>
          <w:sz w:val="24"/>
          <w:szCs w:val="24"/>
        </w:rPr>
        <w:t xml:space="preserve">and service providers to improve labour laws and access to information and services, and to prevent and put an end to violence and trafficking of women and girls. </w:t>
      </w:r>
    </w:p>
    <w:p w14:paraId="4988CA3A" w14:textId="09EBA4C1" w:rsidR="009F647C" w:rsidRPr="0028218C" w:rsidRDefault="00467391" w:rsidP="00467391">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lang w:val="en-IE"/>
        </w:rPr>
      </w:pPr>
      <w:r w:rsidRPr="0028218C">
        <w:rPr>
          <w:rFonts w:ascii="Times New Roman" w:hAnsi="Times New Roman" w:cs="Times New Roman"/>
          <w:color w:val="000000" w:themeColor="text1"/>
          <w:sz w:val="24"/>
          <w:szCs w:val="24"/>
        </w:rPr>
        <w:t xml:space="preserve">From 2017, </w:t>
      </w:r>
      <w:r w:rsidRPr="0028218C">
        <w:rPr>
          <w:rFonts w:ascii="Times New Roman" w:hAnsi="Times New Roman" w:cs="Times New Roman"/>
          <w:color w:val="000000" w:themeColor="text1"/>
          <w:sz w:val="24"/>
          <w:szCs w:val="24"/>
          <w:lang w:val="en-IE"/>
        </w:rPr>
        <w:t>Safe and Fair reached 1,276,471 migrants and their families through campaigns in 2019;</w:t>
      </w:r>
      <w:r w:rsidRPr="0028218C">
        <w:rPr>
          <w:rFonts w:ascii="Times New Roman" w:hAnsi="Times New Roman" w:cs="Times New Roman"/>
          <w:sz w:val="24"/>
          <w:lang w:val="en-IE"/>
        </w:rPr>
        <w:t xml:space="preserve"> </w:t>
      </w:r>
      <w:r w:rsidRPr="0028218C">
        <w:rPr>
          <w:rFonts w:ascii="Times New Roman" w:hAnsi="Times New Roman" w:cs="Times New Roman"/>
          <w:color w:val="000000" w:themeColor="text1"/>
          <w:sz w:val="24"/>
          <w:szCs w:val="24"/>
          <w:lang w:val="en-IE"/>
        </w:rPr>
        <w:t xml:space="preserve">The project supported formulation and review of 19 laws and policies, enhanced capacity of 2,081 actors, partnered with 67 CSOs, developed 20 research publications and knowledge management products, provided services and information to 8,687 women migrant workers. </w:t>
      </w:r>
      <w:r w:rsidR="009F647C" w:rsidRPr="001A263A">
        <w:rPr>
          <w:rFonts w:ascii="Times New Roman" w:hAnsi="Times New Roman" w:cs="Times New Roman"/>
          <w:b/>
          <w:color w:val="000000" w:themeColor="text1"/>
          <w:sz w:val="24"/>
          <w:szCs w:val="24"/>
        </w:rPr>
        <w:t>Safe and Fair’s work is helping to change the narrative around female migrant workers</w:t>
      </w:r>
      <w:r w:rsidR="009F647C" w:rsidRPr="0028218C">
        <w:rPr>
          <w:rFonts w:ascii="Times New Roman" w:hAnsi="Times New Roman" w:cs="Times New Roman"/>
          <w:color w:val="000000" w:themeColor="text1"/>
          <w:sz w:val="24"/>
          <w:szCs w:val="24"/>
        </w:rPr>
        <w:t xml:space="preserve"> in the ASEAN region, shifting negative perceptions and challenging deep-rooted gender stereotypes.</w:t>
      </w:r>
    </w:p>
    <w:p w14:paraId="1FC2F022" w14:textId="77777777" w:rsidR="009F647C" w:rsidRPr="0028218C" w:rsidRDefault="009F647C" w:rsidP="009F647C">
      <w:pPr>
        <w:rPr>
          <w:b/>
          <w:color w:val="000000" w:themeColor="text1"/>
          <w:szCs w:val="24"/>
        </w:rPr>
      </w:pPr>
      <w:r w:rsidRPr="0028218C">
        <w:rPr>
          <w:b/>
          <w:color w:val="000000" w:themeColor="text1"/>
          <w:szCs w:val="24"/>
        </w:rPr>
        <w:t xml:space="preserve">Internally Displaced Persons </w:t>
      </w:r>
    </w:p>
    <w:p w14:paraId="148312C2" w14:textId="59EDCDA7" w:rsidR="009F647C" w:rsidRPr="0028218C" w:rsidRDefault="009F647C" w:rsidP="00A57E2E">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Around 40 - 50% of the funding of the EU’s humanitarian aid instrument goes annually to address </w:t>
      </w:r>
      <w:r w:rsidR="00A57E2E" w:rsidRPr="00691AC7">
        <w:rPr>
          <w:rFonts w:ascii="Times New Roman" w:hAnsi="Times New Roman" w:cs="Times New Roman"/>
          <w:b/>
          <w:color w:val="000000" w:themeColor="text1"/>
          <w:sz w:val="24"/>
          <w:szCs w:val="24"/>
        </w:rPr>
        <w:t>the specific needs of IDPs</w:t>
      </w:r>
      <w:r w:rsidR="00A57E2E" w:rsidRPr="0028218C">
        <w:rPr>
          <w:rFonts w:ascii="Times New Roman" w:hAnsi="Times New Roman" w:cs="Times New Roman"/>
          <w:color w:val="000000" w:themeColor="text1"/>
          <w:sz w:val="24"/>
          <w:szCs w:val="24"/>
        </w:rPr>
        <w:t xml:space="preserve"> and their host communities</w:t>
      </w:r>
      <w:r w:rsidR="00691AC7">
        <w:rPr>
          <w:rFonts w:ascii="Times New Roman" w:hAnsi="Times New Roman" w:cs="Times New Roman"/>
          <w:color w:val="000000" w:themeColor="text1"/>
          <w:sz w:val="24"/>
          <w:szCs w:val="24"/>
        </w:rPr>
        <w:t>:</w:t>
      </w:r>
      <w:r w:rsidRPr="0028218C">
        <w:rPr>
          <w:rFonts w:ascii="Times New Roman" w:hAnsi="Times New Roman" w:cs="Times New Roman"/>
          <w:color w:val="000000" w:themeColor="text1"/>
          <w:sz w:val="24"/>
          <w:szCs w:val="24"/>
        </w:rPr>
        <w:t xml:space="preserve"> Iraq, Syria, Yemen, Ethiopia, South Sudan, Nigeria</w:t>
      </w:r>
      <w:r w:rsidR="00496B70">
        <w:rPr>
          <w:rFonts w:ascii="Times New Roman" w:hAnsi="Times New Roman" w:cs="Times New Roman"/>
          <w:color w:val="000000" w:themeColor="text1"/>
          <w:sz w:val="24"/>
          <w:szCs w:val="24"/>
        </w:rPr>
        <w:t>, Colombia</w:t>
      </w:r>
      <w:r w:rsidRPr="0028218C">
        <w:rPr>
          <w:rFonts w:ascii="Times New Roman" w:hAnsi="Times New Roman" w:cs="Times New Roman"/>
          <w:color w:val="000000" w:themeColor="text1"/>
          <w:sz w:val="24"/>
          <w:szCs w:val="24"/>
        </w:rPr>
        <w:t xml:space="preserve"> are just a few examples. Overall, the EU’s humanitarian aid department has consistently responded to the needs of internally displaced </w:t>
      </w:r>
      <w:r w:rsidR="00A57E2E" w:rsidRPr="0028218C">
        <w:rPr>
          <w:rFonts w:ascii="Times New Roman" w:hAnsi="Times New Roman" w:cs="Times New Roman"/>
          <w:color w:val="000000" w:themeColor="text1"/>
          <w:sz w:val="24"/>
          <w:szCs w:val="24"/>
        </w:rPr>
        <w:t xml:space="preserve">persons </w:t>
      </w:r>
      <w:r w:rsidRPr="0028218C">
        <w:rPr>
          <w:rFonts w:ascii="Times New Roman" w:hAnsi="Times New Roman" w:cs="Times New Roman"/>
          <w:color w:val="000000" w:themeColor="text1"/>
          <w:sz w:val="24"/>
          <w:szCs w:val="24"/>
        </w:rPr>
        <w:t xml:space="preserve">in most of the top 20 affected countries. </w:t>
      </w:r>
    </w:p>
    <w:p w14:paraId="7BEE5CDE" w14:textId="044945B8" w:rsidR="00BE66F0" w:rsidRPr="0028218C" w:rsidRDefault="00BE66F0" w:rsidP="00BE66F0">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The </w:t>
      </w:r>
      <w:r w:rsidRPr="0028218C">
        <w:rPr>
          <w:rFonts w:ascii="Times New Roman" w:hAnsi="Times New Roman" w:cs="Times New Roman"/>
          <w:b/>
          <w:bCs/>
          <w:color w:val="000000" w:themeColor="text1"/>
          <w:sz w:val="24"/>
          <w:szCs w:val="24"/>
        </w:rPr>
        <w:t xml:space="preserve">EU </w:t>
      </w:r>
      <w:r w:rsidR="00AA1A79">
        <w:rPr>
          <w:rFonts w:ascii="Times New Roman" w:hAnsi="Times New Roman" w:cs="Times New Roman"/>
          <w:b/>
          <w:bCs/>
          <w:color w:val="000000" w:themeColor="text1"/>
          <w:sz w:val="24"/>
          <w:szCs w:val="24"/>
        </w:rPr>
        <w:t>advocated for</w:t>
      </w:r>
      <w:r w:rsidRPr="0028218C">
        <w:rPr>
          <w:rFonts w:ascii="Times New Roman" w:hAnsi="Times New Roman" w:cs="Times New Roman"/>
          <w:b/>
          <w:bCs/>
          <w:color w:val="000000" w:themeColor="text1"/>
          <w:sz w:val="24"/>
          <w:szCs w:val="24"/>
        </w:rPr>
        <w:t xml:space="preserve"> the establishment of a High Level Panel on Internal Displacement</w:t>
      </w:r>
      <w:r w:rsidR="00AA1A79">
        <w:rPr>
          <w:rFonts w:ascii="Times New Roman" w:hAnsi="Times New Roman" w:cs="Times New Roman"/>
          <w:color w:val="000000" w:themeColor="text1"/>
          <w:sz w:val="24"/>
          <w:szCs w:val="24"/>
        </w:rPr>
        <w:t xml:space="preserve"> </w:t>
      </w:r>
      <w:r w:rsidRPr="0028218C">
        <w:rPr>
          <w:rFonts w:ascii="Times New Roman" w:hAnsi="Times New Roman" w:cs="Times New Roman"/>
          <w:color w:val="000000" w:themeColor="text1"/>
          <w:sz w:val="24"/>
          <w:szCs w:val="24"/>
        </w:rPr>
        <w:t xml:space="preserve"> </w:t>
      </w:r>
      <w:r w:rsidR="00AA1A79">
        <w:rPr>
          <w:rFonts w:ascii="Times New Roman" w:hAnsi="Times New Roman" w:cs="Times New Roman"/>
          <w:color w:val="000000" w:themeColor="text1"/>
          <w:sz w:val="24"/>
          <w:szCs w:val="24"/>
        </w:rPr>
        <w:t>and</w:t>
      </w:r>
      <w:r w:rsidR="00AA1A79" w:rsidRPr="005A3890">
        <w:rPr>
          <w:rFonts w:ascii="Times New Roman" w:hAnsi="Times New Roman" w:cs="Times New Roman"/>
          <w:color w:val="000000" w:themeColor="text1"/>
          <w:sz w:val="24"/>
          <w:szCs w:val="24"/>
        </w:rPr>
        <w:t xml:space="preserve"> ha</w:t>
      </w:r>
      <w:r w:rsidR="00AA1A79">
        <w:rPr>
          <w:rFonts w:ascii="Times New Roman" w:hAnsi="Times New Roman" w:cs="Times New Roman"/>
          <w:color w:val="000000" w:themeColor="text1"/>
          <w:sz w:val="24"/>
          <w:szCs w:val="24"/>
        </w:rPr>
        <w:t>s</w:t>
      </w:r>
      <w:r w:rsidR="00AA1A79" w:rsidRPr="005A3890">
        <w:rPr>
          <w:rFonts w:ascii="Times New Roman" w:hAnsi="Times New Roman" w:cs="Times New Roman"/>
          <w:color w:val="000000" w:themeColor="text1"/>
          <w:sz w:val="24"/>
          <w:szCs w:val="24"/>
        </w:rPr>
        <w:t xml:space="preserve"> shown its full support for this initiative by becoming a member of the </w:t>
      </w:r>
      <w:r w:rsidR="00AA1A79">
        <w:rPr>
          <w:rFonts w:ascii="Times New Roman" w:hAnsi="Times New Roman" w:cs="Times New Roman"/>
          <w:color w:val="000000" w:themeColor="text1"/>
          <w:sz w:val="24"/>
          <w:szCs w:val="24"/>
        </w:rPr>
        <w:t>New York-based core group l</w:t>
      </w:r>
      <w:r w:rsidR="00AA1A79" w:rsidRPr="005A3890">
        <w:rPr>
          <w:rFonts w:ascii="Times New Roman" w:hAnsi="Times New Roman" w:cs="Times New Roman"/>
          <w:color w:val="000000" w:themeColor="text1"/>
          <w:sz w:val="24"/>
          <w:szCs w:val="24"/>
        </w:rPr>
        <w:t>e</w:t>
      </w:r>
      <w:r w:rsidR="00AA1A79">
        <w:rPr>
          <w:rFonts w:ascii="Times New Roman" w:hAnsi="Times New Roman" w:cs="Times New Roman"/>
          <w:color w:val="000000" w:themeColor="text1"/>
          <w:sz w:val="24"/>
          <w:szCs w:val="24"/>
        </w:rPr>
        <w:t>a</w:t>
      </w:r>
      <w:r w:rsidR="00AA1A79" w:rsidRPr="005A3890">
        <w:rPr>
          <w:rFonts w:ascii="Times New Roman" w:hAnsi="Times New Roman" w:cs="Times New Roman"/>
          <w:color w:val="000000" w:themeColor="text1"/>
          <w:sz w:val="24"/>
          <w:szCs w:val="24"/>
        </w:rPr>
        <w:t>d</w:t>
      </w:r>
      <w:r w:rsidR="00AA1A79">
        <w:rPr>
          <w:rFonts w:ascii="Times New Roman" w:hAnsi="Times New Roman" w:cs="Times New Roman"/>
          <w:color w:val="000000" w:themeColor="text1"/>
          <w:sz w:val="24"/>
          <w:szCs w:val="24"/>
        </w:rPr>
        <w:t>ing</w:t>
      </w:r>
      <w:r w:rsidR="00AA1A79" w:rsidRPr="005A3890">
        <w:rPr>
          <w:rFonts w:ascii="Times New Roman" w:hAnsi="Times New Roman" w:cs="Times New Roman"/>
          <w:color w:val="000000" w:themeColor="text1"/>
          <w:sz w:val="24"/>
          <w:szCs w:val="24"/>
        </w:rPr>
        <w:t xml:space="preserve"> the advoca</w:t>
      </w:r>
      <w:r w:rsidR="00AA1A79" w:rsidRPr="00590939">
        <w:rPr>
          <w:rFonts w:ascii="Times New Roman" w:hAnsi="Times New Roman" w:cs="Times New Roman"/>
          <w:color w:val="000000" w:themeColor="text1"/>
          <w:sz w:val="24"/>
          <w:szCs w:val="24"/>
        </w:rPr>
        <w:t xml:space="preserve">cy efforts on this initiative. </w:t>
      </w:r>
    </w:p>
    <w:p w14:paraId="68E17C07" w14:textId="77777777" w:rsidR="000464F7" w:rsidRPr="000464F7" w:rsidRDefault="009F647C" w:rsidP="00834BF9">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0464F7">
        <w:rPr>
          <w:rFonts w:ascii="Times New Roman" w:hAnsi="Times New Roman" w:cs="Times New Roman"/>
          <w:b/>
          <w:color w:val="000000" w:themeColor="text1"/>
          <w:sz w:val="24"/>
          <w:szCs w:val="24"/>
        </w:rPr>
        <w:t>The EU has supported the Nansen Initiative</w:t>
      </w:r>
      <w:r w:rsidRPr="000464F7">
        <w:rPr>
          <w:rFonts w:ascii="Times New Roman" w:hAnsi="Times New Roman" w:cs="Times New Roman"/>
          <w:color w:val="000000" w:themeColor="text1"/>
          <w:sz w:val="24"/>
          <w:szCs w:val="24"/>
        </w:rPr>
        <w:t xml:space="preserve"> </w:t>
      </w:r>
      <w:r w:rsidR="000464F7" w:rsidRPr="00C10331">
        <w:rPr>
          <w:rFonts w:ascii="Times New Roman" w:hAnsi="Times New Roman" w:cs="Times New Roman"/>
          <w:color w:val="000000" w:themeColor="text1"/>
          <w:sz w:val="24"/>
          <w:szCs w:val="24"/>
        </w:rPr>
        <w:t xml:space="preserve">and the Platform on Disaster Displacement (PDD), established in July 2016 as a state-led initiative to follow-up on the work of the Nansen Initiative. The PDD supports the implementation of global policy frameworks on human mobility, climate change action and disaster risk reduction that are relevant for disaster displaced persons, promotes policy and normative development to address gaps in the protection of persons at risk of displacement or displaced across borders, and fosters exchange of knowledge, lessons learned and data collection on disaster displacement and its impacts. The EU is part of the PDD Steering group and is </w:t>
      </w:r>
      <w:r w:rsidR="000464F7">
        <w:rPr>
          <w:rFonts w:ascii="Times New Roman" w:hAnsi="Times New Roman" w:cs="Times New Roman"/>
          <w:color w:val="000000" w:themeColor="text1"/>
          <w:sz w:val="24"/>
          <w:szCs w:val="24"/>
        </w:rPr>
        <w:t xml:space="preserve">currently </w:t>
      </w:r>
      <w:r w:rsidR="000464F7" w:rsidRPr="00C10331">
        <w:rPr>
          <w:rFonts w:ascii="Times New Roman" w:hAnsi="Times New Roman" w:cs="Times New Roman"/>
          <w:color w:val="000000" w:themeColor="text1"/>
          <w:sz w:val="24"/>
          <w:szCs w:val="24"/>
        </w:rPr>
        <w:t>co-chairing the Group of Friends of the PDD</w:t>
      </w:r>
      <w:r w:rsidR="000464F7">
        <w:rPr>
          <w:rFonts w:ascii="Times New Roman" w:hAnsi="Times New Roman" w:cs="Times New Roman"/>
          <w:color w:val="000000" w:themeColor="text1"/>
          <w:sz w:val="24"/>
          <w:szCs w:val="24"/>
        </w:rPr>
        <w:t>.</w:t>
      </w:r>
      <w:r w:rsidR="000464F7" w:rsidRPr="00F34D6C">
        <w:rPr>
          <w:color w:val="1F497D"/>
        </w:rPr>
        <w:t xml:space="preserve"> </w:t>
      </w:r>
    </w:p>
    <w:p w14:paraId="59B879FF" w14:textId="4E1DD0D6" w:rsidR="009F647C" w:rsidRPr="000464F7" w:rsidRDefault="00BE66F0" w:rsidP="00834BF9">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0464F7">
        <w:rPr>
          <w:rFonts w:ascii="Times New Roman" w:hAnsi="Times New Roman" w:cs="Times New Roman"/>
          <w:color w:val="000000" w:themeColor="text1"/>
          <w:sz w:val="24"/>
          <w:szCs w:val="24"/>
        </w:rPr>
        <w:t>The EU has</w:t>
      </w:r>
      <w:r w:rsidR="009F647C" w:rsidRPr="000464F7">
        <w:rPr>
          <w:rFonts w:ascii="Times New Roman" w:hAnsi="Times New Roman" w:cs="Times New Roman"/>
          <w:color w:val="000000" w:themeColor="text1"/>
          <w:sz w:val="24"/>
          <w:szCs w:val="24"/>
        </w:rPr>
        <w:t xml:space="preserve"> signed an interesting project with IDMC in the lead and in cooperation with IOM and </w:t>
      </w:r>
      <w:r w:rsidR="00A57E2E" w:rsidRPr="000464F7">
        <w:rPr>
          <w:rFonts w:ascii="Times New Roman" w:hAnsi="Times New Roman" w:cs="Times New Roman"/>
          <w:color w:val="000000" w:themeColor="text1"/>
          <w:sz w:val="24"/>
          <w:szCs w:val="24"/>
        </w:rPr>
        <w:t>the Platform on Disaster Displacement (</w:t>
      </w:r>
      <w:r w:rsidR="009F647C" w:rsidRPr="000464F7">
        <w:rPr>
          <w:rFonts w:ascii="Times New Roman" w:hAnsi="Times New Roman" w:cs="Times New Roman"/>
          <w:color w:val="000000" w:themeColor="text1"/>
          <w:sz w:val="24"/>
          <w:szCs w:val="24"/>
        </w:rPr>
        <w:t>PDD</w:t>
      </w:r>
      <w:r w:rsidR="00A57E2E" w:rsidRPr="000464F7">
        <w:rPr>
          <w:rFonts w:ascii="Times New Roman" w:hAnsi="Times New Roman" w:cs="Times New Roman"/>
          <w:color w:val="000000" w:themeColor="text1"/>
          <w:sz w:val="24"/>
          <w:szCs w:val="24"/>
        </w:rPr>
        <w:t>)</w:t>
      </w:r>
      <w:r w:rsidR="009F647C" w:rsidRPr="000464F7">
        <w:rPr>
          <w:rFonts w:ascii="Times New Roman" w:hAnsi="Times New Roman" w:cs="Times New Roman"/>
          <w:color w:val="000000" w:themeColor="text1"/>
          <w:sz w:val="24"/>
          <w:szCs w:val="24"/>
        </w:rPr>
        <w:t xml:space="preserve"> on </w:t>
      </w:r>
      <w:r w:rsidR="009F647C" w:rsidRPr="000464F7">
        <w:rPr>
          <w:rFonts w:ascii="Times New Roman" w:hAnsi="Times New Roman" w:cs="Times New Roman"/>
          <w:b/>
          <w:color w:val="000000" w:themeColor="text1"/>
          <w:sz w:val="24"/>
          <w:szCs w:val="24"/>
        </w:rPr>
        <w:t>understanding displacement and strengthening response in the Pacific</w:t>
      </w:r>
      <w:r w:rsidR="009F647C" w:rsidRPr="000464F7">
        <w:rPr>
          <w:rFonts w:ascii="Times New Roman" w:hAnsi="Times New Roman" w:cs="Times New Roman"/>
          <w:color w:val="000000" w:themeColor="text1"/>
          <w:sz w:val="24"/>
          <w:szCs w:val="24"/>
        </w:rPr>
        <w:t xml:space="preserve">. It will cover 21 </w:t>
      </w:r>
      <w:r w:rsidR="00A57E2E" w:rsidRPr="000464F7">
        <w:rPr>
          <w:rFonts w:ascii="Times New Roman" w:hAnsi="Times New Roman" w:cs="Times New Roman"/>
          <w:color w:val="000000" w:themeColor="text1"/>
          <w:sz w:val="24"/>
          <w:szCs w:val="24"/>
        </w:rPr>
        <w:t>small island developing states (</w:t>
      </w:r>
      <w:r w:rsidR="009F647C" w:rsidRPr="000464F7">
        <w:rPr>
          <w:rFonts w:ascii="Times New Roman" w:hAnsi="Times New Roman" w:cs="Times New Roman"/>
          <w:color w:val="000000" w:themeColor="text1"/>
          <w:sz w:val="24"/>
          <w:szCs w:val="24"/>
        </w:rPr>
        <w:t>SIDS</w:t>
      </w:r>
      <w:r w:rsidR="00A57E2E" w:rsidRPr="000464F7">
        <w:rPr>
          <w:rFonts w:ascii="Times New Roman" w:hAnsi="Times New Roman" w:cs="Times New Roman"/>
          <w:color w:val="000000" w:themeColor="text1"/>
          <w:sz w:val="24"/>
          <w:szCs w:val="24"/>
        </w:rPr>
        <w:t>)</w:t>
      </w:r>
      <w:r w:rsidR="009F647C" w:rsidRPr="000464F7">
        <w:rPr>
          <w:rFonts w:ascii="Times New Roman" w:hAnsi="Times New Roman" w:cs="Times New Roman"/>
          <w:color w:val="000000" w:themeColor="text1"/>
          <w:sz w:val="24"/>
          <w:szCs w:val="24"/>
        </w:rPr>
        <w:t xml:space="preserve">  with the objective to reduce the risk and impact of disaster displacement for people living along the coastal areas and improve assistance to those that might be displaced.  </w:t>
      </w:r>
    </w:p>
    <w:p w14:paraId="7E0852A5" w14:textId="4BEE8DE4" w:rsidR="00FC0246" w:rsidRPr="00FC0246" w:rsidRDefault="00FC0246" w:rsidP="00FC0246">
      <w:pPr>
        <w:ind w:left="66"/>
        <w:rPr>
          <w:b/>
          <w:color w:val="000000" w:themeColor="text1"/>
          <w:szCs w:val="24"/>
        </w:rPr>
      </w:pPr>
      <w:r w:rsidRPr="00FC0246">
        <w:rPr>
          <w:b/>
          <w:color w:val="000000" w:themeColor="text1"/>
          <w:szCs w:val="24"/>
        </w:rPr>
        <w:t xml:space="preserve">Forcibly Displaced Persons </w:t>
      </w:r>
    </w:p>
    <w:p w14:paraId="164A4426" w14:textId="26E670FF" w:rsidR="00FC0246" w:rsidRPr="0028218C" w:rsidRDefault="00FC0246" w:rsidP="00FC0246">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D21E96">
        <w:rPr>
          <w:rFonts w:ascii="Times New Roman" w:hAnsi="Times New Roman" w:cs="Times New Roman"/>
          <w:b/>
          <w:color w:val="000000" w:themeColor="text1"/>
          <w:sz w:val="24"/>
          <w:szCs w:val="24"/>
        </w:rPr>
        <w:t>Internal displacement is an integral part of the EU policy on forced displacement and development</w:t>
      </w:r>
      <w:r w:rsidRPr="0028218C">
        <w:rPr>
          <w:rFonts w:ascii="Times New Roman" w:hAnsi="Times New Roman" w:cs="Times New Roman"/>
          <w:color w:val="000000" w:themeColor="text1"/>
          <w:sz w:val="24"/>
          <w:szCs w:val="24"/>
        </w:rPr>
        <w:t xml:space="preserve">, notably with the 2016 Communication of the European Commission </w:t>
      </w:r>
      <w:r w:rsidRPr="00FC0246">
        <w:rPr>
          <w:rFonts w:ascii="Times New Roman" w:hAnsi="Times New Roman" w:cs="Times New Roman"/>
          <w:color w:val="000000" w:themeColor="text1"/>
          <w:sz w:val="24"/>
          <w:szCs w:val="24"/>
        </w:rPr>
        <w:t>Lives in Dignity</w:t>
      </w:r>
      <w:r w:rsidRPr="0028218C">
        <w:rPr>
          <w:rFonts w:ascii="Times New Roman" w:hAnsi="Times New Roman" w:cs="Times New Roman"/>
          <w:color w:val="000000" w:themeColor="text1"/>
          <w:sz w:val="24"/>
          <w:szCs w:val="24"/>
        </w:rPr>
        <w:t xml:space="preserve">.  The EU addresses the issue of internal displacement addressing both humanitarian and long-term needs of the affected populations, and linking the response to the national systems. Despite efforts for a more coherent response, including humanitarian, development and peace actors, as relevant, the solutions to internal displacement are still challenging. The EU has also an important role in terms of advocacy and bringing attention to the issue. </w:t>
      </w:r>
    </w:p>
    <w:p w14:paraId="19C644DD" w14:textId="2AC9696E" w:rsidR="00FC0246" w:rsidRPr="00FC0246" w:rsidRDefault="00FC0246" w:rsidP="00FC0246">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FC0246">
        <w:rPr>
          <w:rFonts w:ascii="Times New Roman" w:hAnsi="Times New Roman" w:cs="Times New Roman"/>
          <w:color w:val="000000" w:themeColor="text1"/>
          <w:sz w:val="24"/>
          <w:szCs w:val="24"/>
        </w:rPr>
        <w:t xml:space="preserve">The </w:t>
      </w:r>
      <w:r w:rsidR="00D21E96">
        <w:rPr>
          <w:rFonts w:ascii="Times New Roman" w:hAnsi="Times New Roman" w:cs="Times New Roman"/>
          <w:color w:val="000000" w:themeColor="text1"/>
          <w:sz w:val="24"/>
          <w:szCs w:val="24"/>
        </w:rPr>
        <w:t xml:space="preserve">EU </w:t>
      </w:r>
      <w:r w:rsidRPr="00FC0246">
        <w:rPr>
          <w:rFonts w:ascii="Times New Roman" w:hAnsi="Times New Roman" w:cs="Times New Roman"/>
          <w:color w:val="000000" w:themeColor="text1"/>
          <w:sz w:val="24"/>
          <w:szCs w:val="24"/>
        </w:rPr>
        <w:t xml:space="preserve">Communication </w:t>
      </w:r>
      <w:r>
        <w:rPr>
          <w:rFonts w:ascii="Times New Roman" w:hAnsi="Times New Roman" w:cs="Times New Roman"/>
          <w:color w:val="000000" w:themeColor="text1"/>
          <w:sz w:val="24"/>
          <w:szCs w:val="24"/>
        </w:rPr>
        <w:t>‘</w:t>
      </w:r>
      <w:r w:rsidRPr="00FC0246">
        <w:rPr>
          <w:rFonts w:ascii="Times New Roman" w:hAnsi="Times New Roman" w:cs="Times New Roman"/>
          <w:color w:val="000000" w:themeColor="text1"/>
          <w:sz w:val="24"/>
          <w:szCs w:val="24"/>
        </w:rPr>
        <w:t>Lives in Dignity</w:t>
      </w:r>
      <w:r>
        <w:rPr>
          <w:rFonts w:ascii="Times New Roman" w:hAnsi="Times New Roman" w:cs="Times New Roman"/>
          <w:color w:val="000000" w:themeColor="text1"/>
          <w:sz w:val="24"/>
          <w:szCs w:val="24"/>
        </w:rPr>
        <w:t>’</w:t>
      </w:r>
      <w:r w:rsidRPr="00FC0246">
        <w:rPr>
          <w:rFonts w:ascii="Times New Roman" w:hAnsi="Times New Roman" w:cs="Times New Roman"/>
          <w:color w:val="000000" w:themeColor="text1"/>
          <w:sz w:val="24"/>
          <w:szCs w:val="24"/>
        </w:rPr>
        <w:t xml:space="preserve"> states that </w:t>
      </w:r>
      <w:r w:rsidRPr="00D21E96">
        <w:rPr>
          <w:rFonts w:ascii="Times New Roman" w:hAnsi="Times New Roman" w:cs="Times New Roman"/>
          <w:b/>
          <w:color w:val="000000" w:themeColor="text1"/>
          <w:sz w:val="24"/>
          <w:szCs w:val="24"/>
        </w:rPr>
        <w:t>the specific protection needs of the forcibly displaced must be addressed, including based on disability</w:t>
      </w:r>
      <w:r w:rsidRPr="00FC0246">
        <w:rPr>
          <w:rFonts w:ascii="Times New Roman" w:hAnsi="Times New Roman" w:cs="Times New Roman"/>
          <w:color w:val="000000" w:themeColor="text1"/>
          <w:sz w:val="24"/>
          <w:szCs w:val="24"/>
        </w:rPr>
        <w:t>. In addition, as signatory of the Convention on the Rights of Persons with Disabilities and the Charter on Inclusion of Persons with Disabilities in Humanitarian Action, and in line with the EU’s Disability Strategy 2010-2020, the EU has taken measures towards a more inclusive humanitarian action, including in terms of supporting the needs and protection of forcibly displaced persons with disabilities.</w:t>
      </w:r>
    </w:p>
    <w:p w14:paraId="38AB45B1" w14:textId="77777777" w:rsidR="00F5089D" w:rsidRDefault="00F5089D" w:rsidP="00082262">
      <w:pPr>
        <w:spacing w:line="240" w:lineRule="auto"/>
        <w:ind w:left="426"/>
        <w:jc w:val="both"/>
        <w:rPr>
          <w:b/>
          <w:bCs/>
          <w:sz w:val="28"/>
          <w:szCs w:val="28"/>
          <w:u w:val="single"/>
        </w:rPr>
      </w:pPr>
    </w:p>
    <w:p w14:paraId="0366EC3D" w14:textId="76DA8849" w:rsidR="00E65F00" w:rsidRPr="0028218C" w:rsidRDefault="00E65F00" w:rsidP="00082262">
      <w:pPr>
        <w:spacing w:line="240" w:lineRule="auto"/>
        <w:ind w:left="426"/>
        <w:jc w:val="both"/>
        <w:rPr>
          <w:b/>
          <w:bCs/>
          <w:sz w:val="28"/>
          <w:szCs w:val="28"/>
          <w:u w:val="single"/>
        </w:rPr>
      </w:pPr>
      <w:r w:rsidRPr="0028218C">
        <w:rPr>
          <w:b/>
          <w:bCs/>
          <w:sz w:val="28"/>
          <w:szCs w:val="28"/>
          <w:u w:val="single"/>
        </w:rPr>
        <w:t>I</w:t>
      </w:r>
      <w:r w:rsidR="00B754EE" w:rsidRPr="0028218C">
        <w:rPr>
          <w:b/>
          <w:bCs/>
          <w:sz w:val="28"/>
          <w:szCs w:val="28"/>
          <w:u w:val="single"/>
        </w:rPr>
        <w:t xml:space="preserve">nternational, regional and bilateral cooperation </w:t>
      </w:r>
    </w:p>
    <w:p w14:paraId="76C7B23E" w14:textId="77777777" w:rsidR="00E12A54" w:rsidRPr="0028218C" w:rsidRDefault="00B754EE" w:rsidP="00082262">
      <w:pPr>
        <w:pStyle w:val="ListParagraph"/>
        <w:numPr>
          <w:ilvl w:val="3"/>
          <w:numId w:val="32"/>
        </w:numPr>
        <w:spacing w:before="120" w:after="0" w:line="240" w:lineRule="auto"/>
        <w:ind w:left="425" w:hanging="357"/>
        <w:contextualSpacing w:val="0"/>
        <w:jc w:val="both"/>
        <w:rPr>
          <w:rFonts w:ascii="Times New Roman" w:hAnsi="Times New Roman" w:cs="Times New Roman"/>
          <w:color w:val="000000" w:themeColor="text1"/>
          <w:sz w:val="24"/>
          <w:szCs w:val="24"/>
        </w:rPr>
      </w:pPr>
      <w:r w:rsidRPr="000C4A3C">
        <w:rPr>
          <w:rFonts w:ascii="Times New Roman" w:hAnsi="Times New Roman" w:cs="Times New Roman"/>
          <w:color w:val="000000" w:themeColor="text1"/>
          <w:sz w:val="24"/>
          <w:szCs w:val="24"/>
        </w:rPr>
        <w:t>The EU emphasizes</w:t>
      </w:r>
      <w:r w:rsidR="00F865B4" w:rsidRPr="000C4A3C">
        <w:rPr>
          <w:rFonts w:ascii="Times New Roman" w:hAnsi="Times New Roman" w:cs="Times New Roman"/>
          <w:color w:val="000000" w:themeColor="text1"/>
          <w:sz w:val="24"/>
          <w:szCs w:val="24"/>
        </w:rPr>
        <w:t xml:space="preserve"> the need to work with all our partners around the world, including</w:t>
      </w:r>
      <w:r w:rsidR="00F865B4" w:rsidRPr="0028218C">
        <w:rPr>
          <w:rFonts w:ascii="Times New Roman" w:hAnsi="Times New Roman" w:cs="Times New Roman"/>
          <w:color w:val="000000" w:themeColor="text1"/>
          <w:sz w:val="24"/>
          <w:szCs w:val="24"/>
        </w:rPr>
        <w:t xml:space="preserve"> in the framework of the United Nations, because </w:t>
      </w:r>
      <w:r w:rsidR="00F865B4" w:rsidRPr="000C4A3C">
        <w:rPr>
          <w:rFonts w:ascii="Times New Roman" w:hAnsi="Times New Roman" w:cs="Times New Roman"/>
          <w:b/>
          <w:color w:val="000000" w:themeColor="text1"/>
          <w:sz w:val="24"/>
          <w:szCs w:val="24"/>
        </w:rPr>
        <w:t>migration and forced displacement require global, cooperative alliances with countries of origin, transit and destination and international organisations</w:t>
      </w:r>
      <w:r w:rsidR="00F865B4" w:rsidRPr="0028218C">
        <w:rPr>
          <w:rFonts w:ascii="Times New Roman" w:hAnsi="Times New Roman" w:cs="Times New Roman"/>
          <w:color w:val="000000" w:themeColor="text1"/>
          <w:sz w:val="24"/>
          <w:szCs w:val="24"/>
        </w:rPr>
        <w:t xml:space="preserve">. </w:t>
      </w:r>
      <w:r w:rsidR="00E12A54" w:rsidRPr="0028218C">
        <w:rPr>
          <w:rFonts w:ascii="Times New Roman" w:hAnsi="Times New Roman" w:cs="Times New Roman"/>
          <w:color w:val="000000" w:themeColor="text1"/>
          <w:sz w:val="24"/>
          <w:szCs w:val="24"/>
        </w:rPr>
        <w:t>The EU has been strongly engaged in supporting partner countries to strengthen their capacities on asylum and migration management and migration governance, as well as providing support for persons in need of protection.</w:t>
      </w:r>
    </w:p>
    <w:p w14:paraId="44490C9B" w14:textId="6C674AB2" w:rsidR="00BE6874" w:rsidRPr="0028218C" w:rsidRDefault="00BE6874" w:rsidP="00B938DD">
      <w:pPr>
        <w:pStyle w:val="ListParagraph"/>
        <w:numPr>
          <w:ilvl w:val="3"/>
          <w:numId w:val="32"/>
        </w:numPr>
        <w:spacing w:before="120" w:after="0" w:line="240" w:lineRule="auto"/>
        <w:ind w:left="425" w:hanging="357"/>
        <w:contextualSpacing w:val="0"/>
        <w:jc w:val="both"/>
        <w:rPr>
          <w:rFonts w:ascii="Times New Roman" w:hAnsi="Times New Roman" w:cs="Times New Roman"/>
          <w:color w:val="000000" w:themeColor="text1"/>
          <w:szCs w:val="24"/>
        </w:rPr>
      </w:pPr>
      <w:r w:rsidRPr="0028218C">
        <w:rPr>
          <w:rFonts w:ascii="Times New Roman" w:hAnsi="Times New Roman" w:cs="Times New Roman"/>
          <w:color w:val="000000" w:themeColor="text1"/>
          <w:sz w:val="24"/>
          <w:szCs w:val="24"/>
        </w:rPr>
        <w:t>Continuous dialogues, both at technical and political level, are key to build trust and shared understanding of migration governance, most notably on the issue of migrants’ human rights and situations of vulnerability.</w:t>
      </w:r>
      <w:r w:rsidR="000C4A3C">
        <w:rPr>
          <w:rFonts w:ascii="Times New Roman" w:hAnsi="Times New Roman" w:cs="Times New Roman"/>
          <w:color w:val="000000" w:themeColor="text1"/>
          <w:sz w:val="24"/>
          <w:szCs w:val="24"/>
        </w:rPr>
        <w:t xml:space="preserve"> </w:t>
      </w:r>
      <w:r w:rsidRPr="0028218C">
        <w:rPr>
          <w:rFonts w:ascii="Times New Roman" w:hAnsi="Times New Roman" w:cs="Times New Roman"/>
          <w:color w:val="000000" w:themeColor="text1"/>
          <w:sz w:val="24"/>
          <w:szCs w:val="24"/>
        </w:rPr>
        <w:t xml:space="preserve">The African Union Commission (AUC) and the European institutions are working on the future framework of </w:t>
      </w:r>
      <w:r w:rsidRPr="0028218C">
        <w:rPr>
          <w:rFonts w:ascii="Times New Roman" w:hAnsi="Times New Roman" w:cs="Times New Roman"/>
          <w:b/>
          <w:bCs/>
          <w:color w:val="000000" w:themeColor="text1"/>
          <w:sz w:val="24"/>
          <w:szCs w:val="24"/>
        </w:rPr>
        <w:t>AU-EU cooperation on migration</w:t>
      </w:r>
      <w:r w:rsidRPr="0028218C">
        <w:rPr>
          <w:rFonts w:ascii="Times New Roman" w:hAnsi="Times New Roman" w:cs="Times New Roman"/>
          <w:color w:val="000000" w:themeColor="text1"/>
          <w:sz w:val="24"/>
          <w:szCs w:val="24"/>
        </w:rPr>
        <w:t xml:space="preserve">, which should complement the </w:t>
      </w:r>
      <w:r w:rsidRPr="0028218C">
        <w:rPr>
          <w:rFonts w:ascii="Times New Roman" w:hAnsi="Times New Roman" w:cs="Times New Roman"/>
          <w:b/>
          <w:bCs/>
          <w:color w:val="000000" w:themeColor="text1"/>
          <w:sz w:val="24"/>
          <w:szCs w:val="24"/>
        </w:rPr>
        <w:t>Khartoum and Rabat regional processes</w:t>
      </w:r>
      <w:r w:rsidRPr="0028218C">
        <w:rPr>
          <w:rFonts w:ascii="Times New Roman" w:hAnsi="Times New Roman" w:cs="Times New Roman"/>
          <w:color w:val="000000" w:themeColor="text1"/>
          <w:sz w:val="24"/>
          <w:szCs w:val="24"/>
        </w:rPr>
        <w:t xml:space="preserve">. Human rights considerations are integrated in the work with the African Union, and in the Rabat Process and Khartoum Processes and </w:t>
      </w:r>
      <w:r w:rsidR="000C4A3C">
        <w:rPr>
          <w:rFonts w:ascii="Times New Roman" w:hAnsi="Times New Roman" w:cs="Times New Roman"/>
          <w:color w:val="000000" w:themeColor="text1"/>
          <w:sz w:val="24"/>
          <w:szCs w:val="24"/>
        </w:rPr>
        <w:t>in</w:t>
      </w:r>
      <w:r w:rsidRPr="0028218C">
        <w:rPr>
          <w:rFonts w:ascii="Times New Roman" w:hAnsi="Times New Roman" w:cs="Times New Roman"/>
          <w:color w:val="000000" w:themeColor="text1"/>
          <w:sz w:val="24"/>
          <w:szCs w:val="24"/>
        </w:rPr>
        <w:t xml:space="preserve"> the Joint Valletta Action Plan.</w:t>
      </w:r>
    </w:p>
    <w:p w14:paraId="60B750D2" w14:textId="0D1ABD86" w:rsidR="003D653B" w:rsidRPr="006D2DED" w:rsidRDefault="00F865B4" w:rsidP="00B938DD">
      <w:pPr>
        <w:pStyle w:val="Briefingsp"/>
        <w:spacing w:before="120"/>
        <w:rPr>
          <w:rFonts w:eastAsiaTheme="minorHAnsi"/>
          <w:color w:val="000000" w:themeColor="text1"/>
          <w:lang w:eastAsia="en-US"/>
        </w:rPr>
      </w:pPr>
      <w:r w:rsidRPr="0028218C">
        <w:t>Building on past initiatives, the EU’s policies</w:t>
      </w:r>
      <w:r w:rsidR="00237FC8" w:rsidRPr="0028218C">
        <w:t xml:space="preserve"> and programmes</w:t>
      </w:r>
      <w:r w:rsidRPr="0028218C">
        <w:t xml:space="preserve"> generated clear results for the promotion and protection of migrants’ rights. </w:t>
      </w:r>
      <w:r w:rsidRPr="0028218C">
        <w:rPr>
          <w:b/>
          <w:bCs/>
        </w:rPr>
        <w:t>The trilateral African Union-European Union-United Nations (AU-EU-UN) Task Force</w:t>
      </w:r>
      <w:r w:rsidRPr="0028218C">
        <w:t xml:space="preserve"> created in November 2017 in the margins of the AU-EU Summit in Abidjan continued its work to address the situation of migrants and refugees in Libya. </w:t>
      </w:r>
      <w:r w:rsidR="00D97BFB">
        <w:rPr>
          <w:rFonts w:eastAsiaTheme="minorHAnsi"/>
          <w:color w:val="000000" w:themeColor="text1"/>
          <w:lang w:eastAsia="en-US"/>
        </w:rPr>
        <w:t>Thanks to the work of the Task Force, o</w:t>
      </w:r>
      <w:r w:rsidR="00D97BFB" w:rsidRPr="00D97BFB">
        <w:rPr>
          <w:rFonts w:eastAsiaTheme="minorHAnsi"/>
          <w:color w:val="000000" w:themeColor="text1"/>
          <w:lang w:eastAsia="en-US"/>
        </w:rPr>
        <w:t xml:space="preserve">ver 52,000 </w:t>
      </w:r>
      <w:r w:rsidR="00D97BFB">
        <w:rPr>
          <w:rFonts w:eastAsiaTheme="minorHAnsi"/>
          <w:color w:val="000000" w:themeColor="text1"/>
          <w:lang w:eastAsia="en-US"/>
        </w:rPr>
        <w:t xml:space="preserve">voluntary humanitarian returns have taken place since 2017 and </w:t>
      </w:r>
      <w:r w:rsidR="00D97BFB" w:rsidRPr="00D97BFB">
        <w:rPr>
          <w:rFonts w:eastAsiaTheme="minorHAnsi"/>
          <w:color w:val="000000" w:themeColor="text1"/>
          <w:lang w:eastAsia="en-US"/>
        </w:rPr>
        <w:t xml:space="preserve">5,700 evacuations </w:t>
      </w:r>
      <w:r w:rsidR="00D97BFB">
        <w:rPr>
          <w:rFonts w:eastAsiaTheme="minorHAnsi"/>
          <w:color w:val="000000" w:themeColor="text1"/>
          <w:lang w:eastAsia="en-US"/>
        </w:rPr>
        <w:t xml:space="preserve">were carried out </w:t>
      </w:r>
      <w:r w:rsidR="00D97BFB" w:rsidRPr="00D97BFB">
        <w:rPr>
          <w:rFonts w:eastAsiaTheme="minorHAnsi"/>
          <w:color w:val="000000" w:themeColor="text1"/>
          <w:lang w:eastAsia="en-US"/>
        </w:rPr>
        <w:t>by UNHCR, including with a view to  resettlement</w:t>
      </w:r>
      <w:r w:rsidR="00D97BFB">
        <w:rPr>
          <w:rFonts w:eastAsiaTheme="minorHAnsi"/>
          <w:color w:val="000000" w:themeColor="text1"/>
          <w:lang w:eastAsia="en-US"/>
        </w:rPr>
        <w:t>.</w:t>
      </w:r>
    </w:p>
    <w:p w14:paraId="0391F9A2" w14:textId="7A26FA41" w:rsidR="00D31EBD" w:rsidRPr="0028218C" w:rsidRDefault="00F105AE" w:rsidP="00082262">
      <w:pPr>
        <w:pStyle w:val="ListParagraph"/>
        <w:numPr>
          <w:ilvl w:val="3"/>
          <w:numId w:val="32"/>
        </w:numPr>
        <w:spacing w:before="120" w:after="0" w:line="240" w:lineRule="auto"/>
        <w:ind w:left="426" w:hanging="357"/>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With EU development assistance and stabilisation efforts, the EU supported partner countries to improve their capacity to deal with the long-term and structural root causes of irregular migration and forced displacement. The </w:t>
      </w:r>
      <w:r w:rsidR="002E4722" w:rsidRPr="0028218C">
        <w:rPr>
          <w:rFonts w:ascii="Times New Roman" w:hAnsi="Times New Roman" w:cs="Times New Roman"/>
          <w:b/>
          <w:bCs/>
          <w:color w:val="000000" w:themeColor="text1"/>
          <w:sz w:val="24"/>
          <w:szCs w:val="24"/>
        </w:rPr>
        <w:t>EU Emergency Trust Fund for Africa (EUTF)</w:t>
      </w:r>
      <w:r w:rsidR="000C4A3C">
        <w:rPr>
          <w:rFonts w:ascii="Times New Roman" w:hAnsi="Times New Roman" w:cs="Times New Roman"/>
          <w:b/>
          <w:bCs/>
          <w:color w:val="000000" w:themeColor="text1"/>
          <w:sz w:val="24"/>
          <w:szCs w:val="24"/>
        </w:rPr>
        <w:t>,</w:t>
      </w:r>
      <w:r w:rsidR="000C4A3C" w:rsidRPr="000C4A3C">
        <w:rPr>
          <w:rFonts w:ascii="Times New Roman" w:hAnsi="Times New Roman" w:cs="Times New Roman"/>
          <w:bCs/>
          <w:color w:val="000000" w:themeColor="text1"/>
          <w:sz w:val="24"/>
          <w:szCs w:val="24"/>
        </w:rPr>
        <w:t xml:space="preserve"> which</w:t>
      </w:r>
      <w:r w:rsidRPr="0028218C">
        <w:rPr>
          <w:rFonts w:ascii="Times New Roman" w:hAnsi="Times New Roman" w:cs="Times New Roman"/>
          <w:color w:val="000000" w:themeColor="text1"/>
          <w:sz w:val="24"/>
          <w:szCs w:val="24"/>
        </w:rPr>
        <w:t xml:space="preserve"> complements off</w:t>
      </w:r>
      <w:r w:rsidR="000C4A3C">
        <w:rPr>
          <w:rFonts w:ascii="Times New Roman" w:hAnsi="Times New Roman" w:cs="Times New Roman"/>
          <w:color w:val="000000" w:themeColor="text1"/>
          <w:sz w:val="24"/>
          <w:szCs w:val="24"/>
        </w:rPr>
        <w:t>icial EU development assistance</w:t>
      </w:r>
      <w:r w:rsidRPr="0028218C">
        <w:rPr>
          <w:rFonts w:ascii="Times New Roman" w:hAnsi="Times New Roman" w:cs="Times New Roman"/>
          <w:color w:val="000000" w:themeColor="text1"/>
          <w:sz w:val="24"/>
          <w:szCs w:val="24"/>
        </w:rPr>
        <w:t xml:space="preserve"> with a general budget of over EUR 4.7 billion, allowed the EU and its Member States to work jointly with African partners faster and with more flexibility, resulting in greater efficiency. The projects under the Trust Fund, implemented in the Sahel and Lake Chad, the Horn of Africa and in the North of Africa</w:t>
      </w:r>
      <w:r w:rsidR="00237FC8" w:rsidRPr="0028218C">
        <w:rPr>
          <w:rFonts w:ascii="Times New Roman" w:hAnsi="Times New Roman" w:cs="Times New Roman"/>
          <w:color w:val="000000" w:themeColor="text1"/>
          <w:sz w:val="24"/>
          <w:szCs w:val="24"/>
        </w:rPr>
        <w:t xml:space="preserve"> regions</w:t>
      </w:r>
      <w:r w:rsidRPr="0028218C">
        <w:rPr>
          <w:rFonts w:ascii="Times New Roman" w:hAnsi="Times New Roman" w:cs="Times New Roman"/>
          <w:color w:val="000000" w:themeColor="text1"/>
          <w:sz w:val="24"/>
          <w:szCs w:val="24"/>
        </w:rPr>
        <w:t>, focused on the creation of jobs and economic development; better migration management, including international protection and asylum, legal migration and mobility; and enhancing synergies between migration and development.</w:t>
      </w:r>
      <w:r w:rsidR="00D31EBD" w:rsidRPr="0028218C">
        <w:rPr>
          <w:rFonts w:ascii="Times New Roman" w:hAnsi="Times New Roman" w:cs="Times New Roman"/>
          <w:color w:val="000000" w:themeColor="text1"/>
          <w:sz w:val="24"/>
          <w:szCs w:val="24"/>
        </w:rPr>
        <w:t xml:space="preserve"> </w:t>
      </w:r>
    </w:p>
    <w:p w14:paraId="3763B0DA" w14:textId="5985BF5E" w:rsidR="00496B70" w:rsidRPr="006D2DED" w:rsidRDefault="00D31EBD" w:rsidP="00496B70">
      <w:pPr>
        <w:pStyle w:val="ListParagraph"/>
        <w:numPr>
          <w:ilvl w:val="3"/>
          <w:numId w:val="32"/>
        </w:numPr>
        <w:spacing w:before="120" w:after="0" w:line="240" w:lineRule="auto"/>
        <w:ind w:left="426" w:hanging="357"/>
        <w:contextualSpacing w:val="0"/>
        <w:jc w:val="both"/>
        <w:rPr>
          <w:rFonts w:ascii="Times New Roman" w:hAnsi="Times New Roman" w:cs="Times New Roman"/>
          <w:color w:val="000000" w:themeColor="text1"/>
          <w:szCs w:val="24"/>
        </w:rPr>
      </w:pPr>
      <w:r w:rsidRPr="0028218C">
        <w:rPr>
          <w:rFonts w:ascii="Times New Roman" w:hAnsi="Times New Roman" w:cs="Times New Roman"/>
          <w:color w:val="000000" w:themeColor="text1"/>
          <w:sz w:val="24"/>
          <w:szCs w:val="24"/>
        </w:rPr>
        <w:t xml:space="preserve">With funding under the </w:t>
      </w:r>
      <w:r w:rsidR="000C4A3C">
        <w:rPr>
          <w:rFonts w:ascii="Times New Roman" w:hAnsi="Times New Roman" w:cs="Times New Roman"/>
          <w:color w:val="000000" w:themeColor="text1"/>
          <w:sz w:val="24"/>
          <w:szCs w:val="24"/>
        </w:rPr>
        <w:t>Trust Fund for Africa</w:t>
      </w:r>
      <w:r w:rsidRPr="0028218C">
        <w:rPr>
          <w:rFonts w:ascii="Times New Roman" w:hAnsi="Times New Roman" w:cs="Times New Roman"/>
          <w:color w:val="000000" w:themeColor="text1"/>
          <w:sz w:val="24"/>
          <w:szCs w:val="24"/>
        </w:rPr>
        <w:t xml:space="preserve">, the </w:t>
      </w:r>
      <w:r w:rsidRPr="0028218C">
        <w:rPr>
          <w:rFonts w:ascii="Times New Roman" w:hAnsi="Times New Roman" w:cs="Times New Roman"/>
          <w:b/>
          <w:bCs/>
          <w:color w:val="000000" w:themeColor="text1"/>
          <w:sz w:val="24"/>
          <w:szCs w:val="24"/>
        </w:rPr>
        <w:t>EU-IOM Joint Initiative for Migrant Protection and Reintegration</w:t>
      </w:r>
      <w:r w:rsidRPr="0028218C">
        <w:rPr>
          <w:rFonts w:ascii="Times New Roman" w:hAnsi="Times New Roman" w:cs="Times New Roman"/>
          <w:color w:val="000000" w:themeColor="text1"/>
          <w:sz w:val="24"/>
          <w:szCs w:val="24"/>
        </w:rPr>
        <w:t xml:space="preserve"> has been designed to provide a coherent framework to save lives, protect and assist migrants along the Ce</w:t>
      </w:r>
      <w:r w:rsidR="000C4A3C">
        <w:rPr>
          <w:rFonts w:ascii="Times New Roman" w:hAnsi="Times New Roman" w:cs="Times New Roman"/>
          <w:color w:val="000000" w:themeColor="text1"/>
          <w:sz w:val="24"/>
          <w:szCs w:val="24"/>
        </w:rPr>
        <w:t>ntral Mediterranean Routes</w:t>
      </w:r>
      <w:r w:rsidRPr="0028218C">
        <w:rPr>
          <w:rFonts w:ascii="Times New Roman" w:hAnsi="Times New Roman" w:cs="Times New Roman"/>
          <w:color w:val="000000" w:themeColor="text1"/>
          <w:sz w:val="24"/>
          <w:szCs w:val="24"/>
        </w:rPr>
        <w:t>.</w:t>
      </w:r>
    </w:p>
    <w:p w14:paraId="32036F83" w14:textId="738C0EA9" w:rsidR="001A263A" w:rsidRPr="001A263A" w:rsidRDefault="00D31EBD" w:rsidP="00EA2B42">
      <w:pPr>
        <w:pStyle w:val="ListParagraph"/>
        <w:numPr>
          <w:ilvl w:val="3"/>
          <w:numId w:val="32"/>
        </w:numPr>
        <w:spacing w:before="120" w:after="0" w:line="240" w:lineRule="auto"/>
        <w:ind w:left="425" w:hanging="357"/>
        <w:contextualSpacing w:val="0"/>
        <w:jc w:val="both"/>
        <w:rPr>
          <w:rFonts w:ascii="Times New Roman" w:hAnsi="Times New Roman" w:cs="Times New Roman"/>
          <w:color w:val="000000" w:themeColor="text1"/>
          <w:szCs w:val="24"/>
        </w:rPr>
      </w:pPr>
      <w:r w:rsidRPr="0028218C">
        <w:rPr>
          <w:rFonts w:ascii="Times New Roman" w:hAnsi="Times New Roman" w:cs="Times New Roman"/>
          <w:color w:val="000000" w:themeColor="text1"/>
          <w:sz w:val="24"/>
          <w:szCs w:val="24"/>
        </w:rPr>
        <w:t xml:space="preserve"> </w:t>
      </w:r>
      <w:r w:rsidR="00496B70">
        <w:rPr>
          <w:rFonts w:ascii="Times New Roman" w:hAnsi="Times New Roman" w:cs="Times New Roman"/>
          <w:color w:val="000000" w:themeColor="text1"/>
          <w:sz w:val="24"/>
          <w:szCs w:val="24"/>
        </w:rPr>
        <w:t>Since</w:t>
      </w:r>
      <w:r w:rsidR="00496B70" w:rsidRPr="0028218C">
        <w:rPr>
          <w:rFonts w:ascii="Times New Roman" w:hAnsi="Times New Roman" w:cs="Times New Roman"/>
          <w:color w:val="000000" w:themeColor="text1"/>
          <w:sz w:val="24"/>
          <w:szCs w:val="24"/>
        </w:rPr>
        <w:t xml:space="preserve"> </w:t>
      </w:r>
      <w:r w:rsidR="00496B70">
        <w:rPr>
          <w:rFonts w:ascii="Times New Roman" w:hAnsi="Times New Roman" w:cs="Times New Roman"/>
          <w:color w:val="000000" w:themeColor="text1"/>
          <w:sz w:val="24"/>
          <w:szCs w:val="24"/>
        </w:rPr>
        <w:t>its</w:t>
      </w:r>
      <w:r w:rsidR="00496B70" w:rsidRPr="0028218C">
        <w:rPr>
          <w:rFonts w:ascii="Times New Roman" w:hAnsi="Times New Roman" w:cs="Times New Roman"/>
          <w:color w:val="000000" w:themeColor="text1"/>
          <w:sz w:val="24"/>
          <w:szCs w:val="24"/>
        </w:rPr>
        <w:t xml:space="preserve"> </w:t>
      </w:r>
      <w:r w:rsidRPr="0028218C">
        <w:rPr>
          <w:rFonts w:ascii="Times New Roman" w:hAnsi="Times New Roman" w:cs="Times New Roman"/>
          <w:color w:val="000000" w:themeColor="text1"/>
          <w:sz w:val="24"/>
          <w:szCs w:val="24"/>
        </w:rPr>
        <w:t>beginn</w:t>
      </w:r>
      <w:r w:rsidR="000C4A3C">
        <w:rPr>
          <w:rFonts w:ascii="Times New Roman" w:hAnsi="Times New Roman" w:cs="Times New Roman"/>
          <w:color w:val="000000" w:themeColor="text1"/>
          <w:sz w:val="24"/>
          <w:szCs w:val="24"/>
        </w:rPr>
        <w:t>ing ,</w:t>
      </w:r>
      <w:r w:rsidRPr="0028218C">
        <w:rPr>
          <w:rFonts w:ascii="Times New Roman" w:hAnsi="Times New Roman" w:cs="Times New Roman"/>
          <w:color w:val="000000" w:themeColor="text1"/>
          <w:sz w:val="24"/>
          <w:szCs w:val="24"/>
        </w:rPr>
        <w:t xml:space="preserve"> the EU-funded Initiative contributed to assist </w:t>
      </w:r>
      <w:r w:rsidRPr="0028218C">
        <w:rPr>
          <w:rFonts w:ascii="Times New Roman" w:hAnsi="Times New Roman" w:cs="Times New Roman"/>
          <w:sz w:val="24"/>
          <w:szCs w:val="24"/>
          <w:shd w:val="clear" w:color="auto" w:fill="FFFEF7"/>
        </w:rPr>
        <w:t>more than 7</w:t>
      </w:r>
      <w:r w:rsidR="00496B70">
        <w:rPr>
          <w:rFonts w:ascii="Times New Roman" w:hAnsi="Times New Roman" w:cs="Times New Roman"/>
          <w:sz w:val="24"/>
          <w:szCs w:val="24"/>
          <w:shd w:val="clear" w:color="auto" w:fill="FFFEF7"/>
        </w:rPr>
        <w:t>8</w:t>
      </w:r>
      <w:r w:rsidRPr="0028218C">
        <w:rPr>
          <w:rFonts w:ascii="Times New Roman" w:hAnsi="Times New Roman" w:cs="Times New Roman"/>
          <w:sz w:val="24"/>
          <w:szCs w:val="24"/>
          <w:shd w:val="clear" w:color="auto" w:fill="FFFEF7"/>
        </w:rPr>
        <w:t>,000 migrants to return to their country of origin, mainly from Libya; and more than 8</w:t>
      </w:r>
      <w:r w:rsidR="00496B70">
        <w:rPr>
          <w:rFonts w:ascii="Times New Roman" w:hAnsi="Times New Roman" w:cs="Times New Roman"/>
          <w:sz w:val="24"/>
          <w:szCs w:val="24"/>
          <w:shd w:val="clear" w:color="auto" w:fill="FFFEF7"/>
        </w:rPr>
        <w:t>9</w:t>
      </w:r>
      <w:r w:rsidRPr="0028218C">
        <w:rPr>
          <w:rFonts w:ascii="Times New Roman" w:hAnsi="Times New Roman" w:cs="Times New Roman"/>
          <w:sz w:val="24"/>
          <w:szCs w:val="24"/>
          <w:shd w:val="clear" w:color="auto" w:fill="FFFEF7"/>
        </w:rPr>
        <w:t>,000 migrants were assisted after their return, of which more than 65,000 have engaged in reintegration support in their country of origin</w:t>
      </w:r>
      <w:r w:rsidRPr="0028218C">
        <w:rPr>
          <w:rFonts w:ascii="Times New Roman" w:hAnsi="Times New Roman" w:cs="Times New Roman"/>
          <w:sz w:val="24"/>
          <w:szCs w:val="24"/>
        </w:rPr>
        <w:t xml:space="preserve">. </w:t>
      </w:r>
      <w:r w:rsidR="00496B70">
        <w:rPr>
          <w:rFonts w:ascii="Times New Roman" w:hAnsi="Times New Roman" w:cs="Times New Roman"/>
          <w:color w:val="000000" w:themeColor="text1"/>
          <w:sz w:val="24"/>
          <w:szCs w:val="24"/>
        </w:rPr>
        <w:t>More than</w:t>
      </w:r>
      <w:r w:rsidR="00496B70" w:rsidRPr="0028218C">
        <w:rPr>
          <w:rFonts w:ascii="Times New Roman" w:hAnsi="Times New Roman" w:cs="Times New Roman"/>
          <w:color w:val="000000" w:themeColor="text1"/>
          <w:sz w:val="24"/>
          <w:szCs w:val="24"/>
        </w:rPr>
        <w:t xml:space="preserve"> </w:t>
      </w:r>
      <w:r w:rsidRPr="0028218C">
        <w:rPr>
          <w:rFonts w:ascii="Times New Roman" w:hAnsi="Times New Roman" w:cs="Times New Roman"/>
          <w:color w:val="000000" w:themeColor="text1"/>
          <w:sz w:val="24"/>
          <w:szCs w:val="24"/>
        </w:rPr>
        <w:t>5</w:t>
      </w:r>
      <w:r w:rsidR="000C4A3C">
        <w:rPr>
          <w:rFonts w:ascii="Times New Roman" w:hAnsi="Times New Roman" w:cs="Times New Roman"/>
          <w:color w:val="000000" w:themeColor="text1"/>
          <w:sz w:val="24"/>
          <w:szCs w:val="24"/>
        </w:rPr>
        <w:t>,</w:t>
      </w:r>
      <w:r w:rsidRPr="0028218C">
        <w:rPr>
          <w:rFonts w:ascii="Times New Roman" w:hAnsi="Times New Roman" w:cs="Times New Roman"/>
          <w:color w:val="000000" w:themeColor="text1"/>
          <w:sz w:val="24"/>
          <w:szCs w:val="24"/>
        </w:rPr>
        <w:t xml:space="preserve">500 persons of concern were evacuated from Libya in preparation for their resettlement or other long-term solutions. </w:t>
      </w:r>
    </w:p>
    <w:p w14:paraId="60AC9DCE" w14:textId="1B0488FC" w:rsidR="00D31EBD" w:rsidRPr="0028218C" w:rsidRDefault="000C4A3C" w:rsidP="00EA2B42">
      <w:pPr>
        <w:pStyle w:val="Briefingsp"/>
        <w:spacing w:before="120"/>
        <w:ind w:left="425"/>
      </w:pPr>
      <w:r>
        <w:t>In 2019, the European Union</w:t>
      </w:r>
      <w:r w:rsidR="00D31EBD" w:rsidRPr="0028218C">
        <w:t xml:space="preserve"> </w:t>
      </w:r>
      <w:r w:rsidR="007B62D1">
        <w:t>renewed</w:t>
      </w:r>
      <w:r w:rsidR="00D31EBD" w:rsidRPr="0028218C">
        <w:t xml:space="preserve"> efforts to improve the situation of migrants, asylum seekers and refugees stranded in Libya, who have been put even further at risk following the renewed outbreak of the conflict. This included the provision of assistance at disembarkation points, at detention centres when access is possible, and support to host communities, as well as promoting alternatives to detention. In addition to the </w:t>
      </w:r>
      <w:r w:rsidR="00D31EBD" w:rsidRPr="0028218C">
        <w:rPr>
          <w:b/>
          <w:bCs/>
        </w:rPr>
        <w:t>Emergency Transit Mechanism (ETM)</w:t>
      </w:r>
      <w:r w:rsidR="007B62D1">
        <w:t xml:space="preserve"> in Niger, a new </w:t>
      </w:r>
      <w:r w:rsidR="00D31EBD" w:rsidRPr="0028218C">
        <w:t>M</w:t>
      </w:r>
      <w:r w:rsidR="007B62D1">
        <w:t>echanism</w:t>
      </w:r>
      <w:r w:rsidR="00D31EBD" w:rsidRPr="0028218C">
        <w:t xml:space="preserve"> was created </w:t>
      </w:r>
      <w:r w:rsidR="00D500E2" w:rsidRPr="00D500E2">
        <w:rPr>
          <w:rFonts w:eastAsiaTheme="minorHAnsi"/>
          <w:color w:val="000000" w:themeColor="text1"/>
          <w:lang w:eastAsia="en-US"/>
        </w:rPr>
        <w:t>to facilitate the relocation of up to 500 people of concern from the conflict zon</w:t>
      </w:r>
      <w:r w:rsidR="00D500E2">
        <w:rPr>
          <w:rFonts w:eastAsiaTheme="minorHAnsi"/>
          <w:color w:val="000000" w:themeColor="text1"/>
          <w:lang w:eastAsia="en-US"/>
        </w:rPr>
        <w:t>es in Libya to safety in Rwanda</w:t>
      </w:r>
      <w:r w:rsidR="00D500E2">
        <w:t xml:space="preserve"> </w:t>
      </w:r>
      <w:r w:rsidR="00D31EBD" w:rsidRPr="0028218C">
        <w:t>The EU Trust Fund is supporting the Rwanda ETM with EUR 10.3 million.</w:t>
      </w:r>
    </w:p>
    <w:p w14:paraId="69F9B700" w14:textId="77777777" w:rsidR="001A263A" w:rsidRDefault="00F105AE" w:rsidP="00082262">
      <w:pPr>
        <w:pStyle w:val="ListParagraph"/>
        <w:numPr>
          <w:ilvl w:val="0"/>
          <w:numId w:val="32"/>
        </w:numPr>
        <w:spacing w:before="120" w:after="0" w:line="240" w:lineRule="auto"/>
        <w:ind w:left="425" w:hanging="357"/>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New projects have been undertaken in partner countries and regions</w:t>
      </w:r>
      <w:r w:rsidR="00237FC8" w:rsidRPr="0028218C">
        <w:rPr>
          <w:rFonts w:ascii="Times New Roman" w:hAnsi="Times New Roman" w:cs="Times New Roman"/>
          <w:color w:val="000000" w:themeColor="text1"/>
          <w:sz w:val="24"/>
          <w:szCs w:val="24"/>
        </w:rPr>
        <w:t>, such as</w:t>
      </w:r>
      <w:r w:rsidRPr="0028218C">
        <w:rPr>
          <w:rFonts w:ascii="Times New Roman" w:hAnsi="Times New Roman" w:cs="Times New Roman"/>
          <w:color w:val="000000" w:themeColor="text1"/>
          <w:sz w:val="24"/>
          <w:szCs w:val="24"/>
        </w:rPr>
        <w:t xml:space="preserve"> the start of the UN Office on Drugs and Crime (UNODC)-led regional programmes in North Africa </w:t>
      </w:r>
      <w:r w:rsidRPr="00D75CFB">
        <w:rPr>
          <w:rFonts w:ascii="Times New Roman" w:hAnsi="Times New Roman" w:cs="Times New Roman"/>
          <w:b/>
          <w:color w:val="000000" w:themeColor="text1"/>
          <w:sz w:val="24"/>
          <w:szCs w:val="24"/>
        </w:rPr>
        <w:t xml:space="preserve">(‘Dismantling the criminal networks operating in North Africa and involved in </w:t>
      </w:r>
      <w:r w:rsidRPr="00D75CFB">
        <w:rPr>
          <w:rFonts w:ascii="Times New Roman" w:hAnsi="Times New Roman" w:cs="Times New Roman"/>
          <w:b/>
          <w:bCs/>
          <w:color w:val="000000" w:themeColor="text1"/>
          <w:sz w:val="24"/>
          <w:szCs w:val="24"/>
        </w:rPr>
        <w:t>migra</w:t>
      </w:r>
      <w:r w:rsidRPr="0028218C">
        <w:rPr>
          <w:rFonts w:ascii="Times New Roman" w:hAnsi="Times New Roman" w:cs="Times New Roman"/>
          <w:b/>
          <w:bCs/>
          <w:color w:val="000000" w:themeColor="text1"/>
          <w:sz w:val="24"/>
          <w:szCs w:val="24"/>
        </w:rPr>
        <w:t>nt smuggling and human trafficking’</w:t>
      </w:r>
      <w:r w:rsidRPr="0028218C">
        <w:rPr>
          <w:rFonts w:ascii="Times New Roman" w:hAnsi="Times New Roman" w:cs="Times New Roman"/>
          <w:color w:val="000000" w:themeColor="text1"/>
          <w:sz w:val="24"/>
          <w:szCs w:val="24"/>
        </w:rPr>
        <w:t xml:space="preserve">) and Asia and the Middle East (‘Global Action against Trafficking in Persons and the Smuggling of Migrants - Asia and the Middle East’). In Niger, a joint investigation team bringing together Nigerien, French and Spanish authorities has led so far to 288 judicial cases. New projects with Senegal and Guinea were developed in 2019 to support these partner countries’ efforts to fight trafficking in human beings, and migrant smuggling. </w:t>
      </w:r>
    </w:p>
    <w:p w14:paraId="40F14FEF" w14:textId="77777777" w:rsidR="001A263A" w:rsidRDefault="003D653B" w:rsidP="00082262">
      <w:pPr>
        <w:pStyle w:val="ListParagraph"/>
        <w:numPr>
          <w:ilvl w:val="0"/>
          <w:numId w:val="32"/>
        </w:numPr>
        <w:spacing w:before="120" w:after="0" w:line="240" w:lineRule="auto"/>
        <w:ind w:left="425" w:hanging="357"/>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In the Horn of Africa, the second phase of the </w:t>
      </w:r>
      <w:r w:rsidRPr="0028218C">
        <w:rPr>
          <w:rFonts w:ascii="Times New Roman" w:hAnsi="Times New Roman" w:cs="Times New Roman"/>
          <w:b/>
          <w:bCs/>
          <w:color w:val="000000" w:themeColor="text1"/>
          <w:sz w:val="24"/>
          <w:szCs w:val="24"/>
        </w:rPr>
        <w:t>Better Migration Management Programme</w:t>
      </w:r>
      <w:r w:rsidRPr="0028218C">
        <w:rPr>
          <w:rFonts w:ascii="Times New Roman" w:hAnsi="Times New Roman" w:cs="Times New Roman"/>
          <w:color w:val="000000" w:themeColor="text1"/>
          <w:sz w:val="24"/>
          <w:szCs w:val="24"/>
        </w:rPr>
        <w:t xml:space="preserve"> was launched, aiming among others at strengthening migration governance in accordance to human rights standards, and improving the prevention of trafficking in persons and the protection of victims of trafficking and vulnerable migrants. </w:t>
      </w:r>
    </w:p>
    <w:p w14:paraId="1B158A0B" w14:textId="31C89ACF" w:rsidR="00F105AE" w:rsidRPr="0028218C" w:rsidRDefault="00F105AE" w:rsidP="002A649D">
      <w:pPr>
        <w:pStyle w:val="ListParagraph"/>
        <w:numPr>
          <w:ilvl w:val="0"/>
          <w:numId w:val="32"/>
        </w:numPr>
        <w:spacing w:before="120" w:after="0" w:line="240" w:lineRule="auto"/>
        <w:ind w:left="426"/>
        <w:contextualSpacing w:val="0"/>
        <w:jc w:val="both"/>
        <w:rPr>
          <w:rFonts w:ascii="Times New Roman" w:hAnsi="Times New Roman" w:cs="Times New Roman"/>
          <w:color w:val="000000" w:themeColor="text1"/>
          <w:sz w:val="24"/>
          <w:szCs w:val="24"/>
        </w:rPr>
      </w:pPr>
      <w:r w:rsidRPr="001A263A">
        <w:rPr>
          <w:rFonts w:ascii="Times New Roman" w:hAnsi="Times New Roman" w:cs="Times New Roman"/>
          <w:b/>
          <w:color w:val="000000" w:themeColor="text1"/>
          <w:sz w:val="24"/>
          <w:szCs w:val="24"/>
        </w:rPr>
        <w:t>Tackling migrant smuggling</w:t>
      </w:r>
      <w:r w:rsidR="00172F7C">
        <w:rPr>
          <w:rFonts w:ascii="Times New Roman" w:hAnsi="Times New Roman" w:cs="Times New Roman"/>
          <w:b/>
          <w:color w:val="000000" w:themeColor="text1"/>
          <w:sz w:val="24"/>
          <w:szCs w:val="24"/>
        </w:rPr>
        <w:t xml:space="preserve"> and trafficking in human beings,</w:t>
      </w:r>
      <w:r w:rsidRPr="001A263A">
        <w:rPr>
          <w:rFonts w:ascii="Times New Roman" w:hAnsi="Times New Roman" w:cs="Times New Roman"/>
          <w:b/>
          <w:color w:val="000000" w:themeColor="text1"/>
          <w:sz w:val="24"/>
          <w:szCs w:val="24"/>
        </w:rPr>
        <w:t xml:space="preserve"> and enhancing border management</w:t>
      </w:r>
      <w:r w:rsidRPr="0028218C">
        <w:rPr>
          <w:rFonts w:ascii="Times New Roman" w:hAnsi="Times New Roman" w:cs="Times New Roman"/>
          <w:color w:val="000000" w:themeColor="text1"/>
          <w:sz w:val="24"/>
          <w:szCs w:val="24"/>
        </w:rPr>
        <w:t xml:space="preserve"> were also key parts of the work of </w:t>
      </w:r>
      <w:r w:rsidR="00D75CFB">
        <w:rPr>
          <w:rFonts w:ascii="Times New Roman" w:hAnsi="Times New Roman" w:cs="Times New Roman"/>
          <w:color w:val="000000" w:themeColor="text1"/>
          <w:sz w:val="24"/>
          <w:szCs w:val="24"/>
        </w:rPr>
        <w:t xml:space="preserve">several </w:t>
      </w:r>
      <w:r w:rsidR="00D67879" w:rsidRPr="0028218C">
        <w:rPr>
          <w:rFonts w:ascii="Times New Roman" w:hAnsi="Times New Roman" w:cs="Times New Roman"/>
          <w:color w:val="000000" w:themeColor="text1"/>
          <w:sz w:val="24"/>
          <w:szCs w:val="24"/>
        </w:rPr>
        <w:t>Common Security and Defence Policy</w:t>
      </w:r>
      <w:r w:rsidRPr="0028218C">
        <w:rPr>
          <w:rFonts w:ascii="Times New Roman" w:hAnsi="Times New Roman" w:cs="Times New Roman"/>
          <w:color w:val="000000" w:themeColor="text1"/>
          <w:sz w:val="24"/>
          <w:szCs w:val="24"/>
        </w:rPr>
        <w:t xml:space="preserve"> missions and operations, such as </w:t>
      </w:r>
      <w:r w:rsidR="00017BB0">
        <w:rPr>
          <w:rFonts w:ascii="Times New Roman" w:hAnsi="Times New Roman" w:cs="Times New Roman"/>
          <w:color w:val="000000" w:themeColor="text1"/>
          <w:sz w:val="24"/>
          <w:szCs w:val="24"/>
        </w:rPr>
        <w:t xml:space="preserve">EUNAVFOR Med </w:t>
      </w:r>
      <w:r w:rsidRPr="0028218C">
        <w:rPr>
          <w:rFonts w:ascii="Times New Roman" w:hAnsi="Times New Roman" w:cs="Times New Roman"/>
          <w:color w:val="000000" w:themeColor="text1"/>
          <w:sz w:val="24"/>
          <w:szCs w:val="24"/>
        </w:rPr>
        <w:t>Operation Sophia</w:t>
      </w:r>
      <w:r w:rsidR="002A649D">
        <w:rPr>
          <w:rFonts w:ascii="Times New Roman" w:hAnsi="Times New Roman" w:cs="Times New Roman"/>
          <w:color w:val="000000" w:themeColor="text1"/>
          <w:sz w:val="24"/>
          <w:szCs w:val="24"/>
        </w:rPr>
        <w:t>,</w:t>
      </w:r>
      <w:r w:rsidRPr="0028218C">
        <w:rPr>
          <w:rFonts w:ascii="Times New Roman" w:hAnsi="Times New Roman" w:cs="Times New Roman"/>
          <w:color w:val="000000" w:themeColor="text1"/>
          <w:sz w:val="24"/>
          <w:szCs w:val="24"/>
        </w:rPr>
        <w:t xml:space="preserve"> the EU integrated border management assistance mission in Libya (EUBAM Libya)</w:t>
      </w:r>
      <w:r w:rsidR="00017BB0">
        <w:rPr>
          <w:rFonts w:ascii="Times New Roman" w:hAnsi="Times New Roman" w:cs="Times New Roman"/>
          <w:color w:val="000000" w:themeColor="text1"/>
          <w:sz w:val="24"/>
          <w:szCs w:val="24"/>
        </w:rPr>
        <w:t xml:space="preserve">, </w:t>
      </w:r>
      <w:r w:rsidR="00172F7C">
        <w:rPr>
          <w:rFonts w:ascii="Times New Roman" w:hAnsi="Times New Roman" w:cs="Times New Roman"/>
          <w:color w:val="000000" w:themeColor="text1"/>
          <w:sz w:val="24"/>
          <w:szCs w:val="24"/>
        </w:rPr>
        <w:t xml:space="preserve">or </w:t>
      </w:r>
      <w:r w:rsidR="00017BB0" w:rsidRPr="00017BB0">
        <w:rPr>
          <w:rFonts w:ascii="Times New Roman" w:hAnsi="Times New Roman" w:cs="Times New Roman"/>
          <w:color w:val="000000" w:themeColor="text1"/>
          <w:sz w:val="24"/>
          <w:szCs w:val="24"/>
        </w:rPr>
        <w:t>EUCAP Sahel Niger</w:t>
      </w:r>
      <w:r w:rsidR="002A649D">
        <w:rPr>
          <w:rFonts w:ascii="Times New Roman" w:hAnsi="Times New Roman" w:cs="Times New Roman"/>
          <w:color w:val="000000" w:themeColor="text1"/>
          <w:sz w:val="24"/>
          <w:szCs w:val="24"/>
        </w:rPr>
        <w:t>.</w:t>
      </w:r>
    </w:p>
    <w:p w14:paraId="3432337F" w14:textId="02DDA211" w:rsidR="0028218C" w:rsidRDefault="002F25BD" w:rsidP="00082262">
      <w:pPr>
        <w:pStyle w:val="ListParagraph"/>
        <w:numPr>
          <w:ilvl w:val="3"/>
          <w:numId w:val="32"/>
        </w:numPr>
        <w:spacing w:before="120" w:after="120" w:line="240" w:lineRule="auto"/>
        <w:ind w:left="425" w:hanging="357"/>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The </w:t>
      </w:r>
      <w:r w:rsidRPr="0028218C">
        <w:rPr>
          <w:rFonts w:ascii="Times New Roman" w:hAnsi="Times New Roman" w:cs="Times New Roman"/>
          <w:b/>
          <w:bCs/>
          <w:color w:val="000000" w:themeColor="text1"/>
          <w:sz w:val="24"/>
          <w:szCs w:val="24"/>
        </w:rPr>
        <w:t>EU has been at the forefront of the response to the Venezuelan refugee and migration crisis</w:t>
      </w:r>
      <w:r w:rsidRPr="0028218C">
        <w:rPr>
          <w:rFonts w:ascii="Times New Roman" w:hAnsi="Times New Roman" w:cs="Times New Roman"/>
          <w:color w:val="000000" w:themeColor="text1"/>
          <w:sz w:val="24"/>
          <w:szCs w:val="24"/>
        </w:rPr>
        <w:t xml:space="preserve">, one of the biggest displacement crises in the world, with 4.8 million Venezuelans having left their country by the end of 2019. In 2018/2019, the EU had mobilised around EUR 172 million in humanitarian and development aid inside and outside Venezuela, including EUR 89 million in humanitarian assistance. The majority of EU humanitarian funds have been </w:t>
      </w:r>
      <w:r w:rsidR="00237FC8" w:rsidRPr="0028218C">
        <w:rPr>
          <w:rFonts w:ascii="Times New Roman" w:hAnsi="Times New Roman" w:cs="Times New Roman"/>
          <w:color w:val="000000" w:themeColor="text1"/>
          <w:sz w:val="24"/>
          <w:szCs w:val="24"/>
        </w:rPr>
        <w:t>directed to activities</w:t>
      </w:r>
      <w:r w:rsidRPr="0028218C">
        <w:rPr>
          <w:rFonts w:ascii="Times New Roman" w:hAnsi="Times New Roman" w:cs="Times New Roman"/>
          <w:color w:val="000000" w:themeColor="text1"/>
          <w:sz w:val="24"/>
          <w:szCs w:val="24"/>
        </w:rPr>
        <w:t xml:space="preserve"> inside Venezuela as the epicentre of the crisis, but support has also been provided to Venezuelan migrants and refugees, as well as to host communities in neighbouring countries</w:t>
      </w:r>
      <w:r w:rsidR="006B1BAB" w:rsidRPr="0028218C">
        <w:rPr>
          <w:rFonts w:ascii="Times New Roman" w:hAnsi="Times New Roman" w:cs="Times New Roman"/>
          <w:sz w:val="24"/>
        </w:rPr>
        <w:t xml:space="preserve"> </w:t>
      </w:r>
      <w:r w:rsidR="006B1BAB" w:rsidRPr="0028218C">
        <w:rPr>
          <w:rFonts w:ascii="Times New Roman" w:hAnsi="Times New Roman" w:cs="Times New Roman"/>
          <w:color w:val="000000" w:themeColor="text1"/>
          <w:sz w:val="24"/>
          <w:szCs w:val="24"/>
        </w:rPr>
        <w:t>in fostering the social inclusion of forcibly displaced persons and resilience of host communities</w:t>
      </w:r>
      <w:r w:rsidRPr="0028218C">
        <w:rPr>
          <w:rFonts w:ascii="Times New Roman" w:hAnsi="Times New Roman" w:cs="Times New Roman"/>
          <w:color w:val="000000" w:themeColor="text1"/>
          <w:sz w:val="24"/>
          <w:szCs w:val="24"/>
        </w:rPr>
        <w:t xml:space="preserve">. EU support includes emergency shelter, medical assistance, child protection, and prevention of child trafficking and sexual abuse. </w:t>
      </w:r>
    </w:p>
    <w:p w14:paraId="245D76AE" w14:textId="05F5DC25" w:rsidR="00DC5679" w:rsidRPr="0028218C" w:rsidRDefault="0028218C" w:rsidP="00082262">
      <w:pPr>
        <w:pStyle w:val="ListParagraph"/>
        <w:numPr>
          <w:ilvl w:val="3"/>
          <w:numId w:val="32"/>
        </w:numPr>
        <w:spacing w:before="120" w:after="120" w:line="240" w:lineRule="auto"/>
        <w:ind w:left="425" w:hanging="357"/>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b/>
          <w:color w:val="000000" w:themeColor="text1"/>
          <w:sz w:val="24"/>
          <w:szCs w:val="24"/>
        </w:rPr>
        <w:t>O</w:t>
      </w:r>
      <w:r w:rsidR="006B1BAB" w:rsidRPr="0028218C">
        <w:rPr>
          <w:rFonts w:ascii="Times New Roman" w:hAnsi="Times New Roman" w:cs="Times New Roman"/>
          <w:b/>
          <w:color w:val="000000" w:themeColor="text1"/>
          <w:sz w:val="24"/>
          <w:szCs w:val="24"/>
        </w:rPr>
        <w:t>ther bilateral, regional or thematic EU-funded projects will contribute to cope with the regional migration crisis</w:t>
      </w:r>
      <w:r w:rsidR="006B1BAB" w:rsidRPr="0028218C">
        <w:rPr>
          <w:rFonts w:ascii="Times New Roman" w:hAnsi="Times New Roman" w:cs="Times New Roman"/>
          <w:color w:val="000000" w:themeColor="text1"/>
          <w:sz w:val="24"/>
          <w:szCs w:val="24"/>
        </w:rPr>
        <w:t xml:space="preserve"> (EUROFRONT, EUROSOCIAL, LAIF and MIEUX). The EU response approach is comprehensive and balanced and addresses all aspects of migration and forced displacement. The EU is committed to operationalise such approach in a spirit of genuine partnership and shared responsibility, in full respect of international law, including international human rights law and taking into account division of competences between different levels of government. The EU also supports regional coordination efforts and participates in the Quito Process meetings</w:t>
      </w:r>
      <w:r>
        <w:rPr>
          <w:rFonts w:ascii="Times New Roman" w:hAnsi="Times New Roman" w:cs="Times New Roman"/>
          <w:color w:val="000000" w:themeColor="text1"/>
          <w:sz w:val="24"/>
          <w:szCs w:val="24"/>
        </w:rPr>
        <w:t>.</w:t>
      </w:r>
    </w:p>
    <w:p w14:paraId="309EAAE8" w14:textId="04F2D441" w:rsidR="002F25BD" w:rsidRPr="0028218C" w:rsidRDefault="002F25BD" w:rsidP="00334BC3">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On 28-29 October 2019, HR/VP Mogherini, together with UN High Commissioner for Refugees Filippo Grandi and IOM Director General António Vitorino, co-chaired the </w:t>
      </w:r>
      <w:r w:rsidRPr="0028218C">
        <w:rPr>
          <w:rFonts w:ascii="Times New Roman" w:hAnsi="Times New Roman" w:cs="Times New Roman"/>
          <w:b/>
          <w:bCs/>
          <w:color w:val="000000" w:themeColor="text1"/>
          <w:sz w:val="24"/>
          <w:szCs w:val="24"/>
        </w:rPr>
        <w:t>international solidarity conference on the Venezuelan refugee and migrant crisis</w:t>
      </w:r>
      <w:r w:rsidRPr="0028218C">
        <w:rPr>
          <w:rFonts w:ascii="Times New Roman" w:hAnsi="Times New Roman" w:cs="Times New Roman"/>
          <w:color w:val="000000" w:themeColor="text1"/>
          <w:sz w:val="24"/>
          <w:szCs w:val="24"/>
        </w:rPr>
        <w:t xml:space="preserve">. The event recognised the effort made by the host countries, including through the coordinated response framed by the Quito process. </w:t>
      </w:r>
      <w:r w:rsidR="001A263A">
        <w:rPr>
          <w:rFonts w:ascii="Times New Roman" w:hAnsi="Times New Roman" w:cs="Times New Roman"/>
          <w:color w:val="000000" w:themeColor="text1"/>
          <w:sz w:val="24"/>
          <w:szCs w:val="24"/>
        </w:rPr>
        <w:t>It also</w:t>
      </w:r>
      <w:r w:rsidRPr="0028218C">
        <w:rPr>
          <w:rFonts w:ascii="Times New Roman" w:hAnsi="Times New Roman" w:cs="Times New Roman"/>
          <w:color w:val="000000" w:themeColor="text1"/>
          <w:sz w:val="24"/>
          <w:szCs w:val="24"/>
        </w:rPr>
        <w:t xml:space="preserve"> confirmed the need for a substantial funding increase and expressed support to the creation of the Group of Friends of the Quito process, chaired by the EU.</w:t>
      </w:r>
    </w:p>
    <w:p w14:paraId="520F5AE0" w14:textId="77777777" w:rsidR="002F25BD" w:rsidRPr="0028218C" w:rsidRDefault="002F25BD" w:rsidP="00334BC3">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In response to the </w:t>
      </w:r>
      <w:r w:rsidRPr="0028218C">
        <w:rPr>
          <w:rFonts w:ascii="Times New Roman" w:hAnsi="Times New Roman" w:cs="Times New Roman"/>
          <w:b/>
          <w:bCs/>
          <w:color w:val="000000" w:themeColor="text1"/>
          <w:sz w:val="24"/>
          <w:szCs w:val="24"/>
        </w:rPr>
        <w:t>crisis in Syria</w:t>
      </w:r>
      <w:r w:rsidRPr="0028218C">
        <w:rPr>
          <w:rFonts w:ascii="Times New Roman" w:hAnsi="Times New Roman" w:cs="Times New Roman"/>
          <w:color w:val="000000" w:themeColor="text1"/>
          <w:sz w:val="24"/>
          <w:szCs w:val="24"/>
        </w:rPr>
        <w:t>, the EU and its Member States allocated over EUR 17.209 billion to provide assistance inside Syria and to assist those who fled to neighbouring countries and need support to access education and healthcare and meet their basic needs. In an effort to support Turkey in hosting 3.7 million Syrian refugees, the Facility for Refugees in Turkey, set up in February 2016 with a total budget of EUR 6 billion for 2016-2019, focused on protection, education, health, municipal infrastructure, and socio-economic support. To date, the full budget of EUR 6 billion</w:t>
      </w:r>
      <w:r w:rsidR="00334BC3" w:rsidRPr="0028218C">
        <w:rPr>
          <w:rFonts w:ascii="Times New Roman" w:hAnsi="Times New Roman" w:cs="Times New Roman"/>
          <w:color w:val="000000" w:themeColor="text1"/>
          <w:sz w:val="24"/>
          <w:szCs w:val="24"/>
        </w:rPr>
        <w:t xml:space="preserve"> </w:t>
      </w:r>
      <w:r w:rsidRPr="0028218C">
        <w:rPr>
          <w:rFonts w:ascii="Times New Roman" w:hAnsi="Times New Roman" w:cs="Times New Roman"/>
          <w:color w:val="000000" w:themeColor="text1"/>
          <w:sz w:val="24"/>
          <w:szCs w:val="24"/>
        </w:rPr>
        <w:t>has been allocated.</w:t>
      </w:r>
    </w:p>
    <w:p w14:paraId="65372145" w14:textId="005E730B" w:rsidR="00EA2B42" w:rsidRPr="00EA2B42" w:rsidRDefault="002F25BD" w:rsidP="00EA2B42">
      <w:pPr>
        <w:pStyle w:val="ListParagraph"/>
        <w:numPr>
          <w:ilvl w:val="3"/>
          <w:numId w:val="32"/>
        </w:numPr>
        <w:spacing w:after="120" w:line="240" w:lineRule="auto"/>
        <w:ind w:left="426"/>
        <w:contextualSpacing w:val="0"/>
        <w:jc w:val="both"/>
        <w:rPr>
          <w:rFonts w:ascii="Times New Roman" w:hAnsi="Times New Roman" w:cs="Times New Roman"/>
          <w:color w:val="000000" w:themeColor="text1"/>
          <w:sz w:val="24"/>
          <w:szCs w:val="24"/>
        </w:rPr>
      </w:pPr>
      <w:r w:rsidRPr="0028218C">
        <w:rPr>
          <w:rFonts w:ascii="Times New Roman" w:hAnsi="Times New Roman" w:cs="Times New Roman"/>
          <w:color w:val="000000" w:themeColor="text1"/>
          <w:sz w:val="24"/>
          <w:szCs w:val="24"/>
        </w:rPr>
        <w:t xml:space="preserve">In 2019, the EU provided EUR 36 million in </w:t>
      </w:r>
      <w:r w:rsidRPr="0028218C">
        <w:rPr>
          <w:rFonts w:ascii="Times New Roman" w:hAnsi="Times New Roman" w:cs="Times New Roman"/>
          <w:b/>
          <w:bCs/>
          <w:color w:val="000000" w:themeColor="text1"/>
          <w:sz w:val="24"/>
          <w:szCs w:val="24"/>
        </w:rPr>
        <w:t>humanitarian assistance for the Rohingya crisis</w:t>
      </w:r>
      <w:r w:rsidRPr="0028218C">
        <w:rPr>
          <w:rFonts w:ascii="Times New Roman" w:hAnsi="Times New Roman" w:cs="Times New Roman"/>
          <w:color w:val="000000" w:themeColor="text1"/>
          <w:sz w:val="24"/>
          <w:szCs w:val="24"/>
        </w:rPr>
        <w:t xml:space="preserve"> in Bangladesh and Myanmar/Burma, in the form of basic services, protection and preparedness for monsoon and cyclone-related disasters. From 2017 to 2019, the EU disbursed over EUR 150 million in humanitarian and development assistance to respond to the Rohingya crisis in Bangladesh and Myanmar/Burma.</w:t>
      </w:r>
    </w:p>
    <w:sectPr w:rsidR="00EA2B42" w:rsidRPr="00EA2B42" w:rsidSect="00342AD8">
      <w:headerReference w:type="default" r:id="rId13"/>
      <w:footerReference w:type="default" r:id="rId14"/>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E3DEC" w14:textId="77777777" w:rsidR="00AA61BB" w:rsidRDefault="00AA61BB" w:rsidP="001B675E">
      <w:pPr>
        <w:spacing w:before="0" w:after="0" w:line="240" w:lineRule="auto"/>
      </w:pPr>
      <w:r>
        <w:separator/>
      </w:r>
    </w:p>
  </w:endnote>
  <w:endnote w:type="continuationSeparator" w:id="0">
    <w:p w14:paraId="7A192E35" w14:textId="77777777" w:rsidR="00AA61BB" w:rsidRDefault="00AA61BB" w:rsidP="001B675E">
      <w:pPr>
        <w:spacing w:before="0" w:after="0" w:line="240" w:lineRule="auto"/>
      </w:pPr>
      <w:r>
        <w:continuationSeparator/>
      </w:r>
    </w:p>
  </w:endnote>
  <w:endnote w:type="continuationNotice" w:id="1">
    <w:p w14:paraId="54074794" w14:textId="77777777" w:rsidR="00AA61BB" w:rsidRDefault="00AA61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EC Square Sans Pro">
    <w:charset w:val="00"/>
    <w:family w:val="swiss"/>
    <w:pitch w:val="variable"/>
    <w:sig w:usb0="A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DaxlinePro-Regular">
    <w:altName w:val="DaxlinePro-Regular"/>
    <w:panose1 w:val="00000000000000000000"/>
    <w:charset w:val="00"/>
    <w:family w:val="swiss"/>
    <w:notTrueType/>
    <w:pitch w:val="default"/>
    <w:sig w:usb0="00000003" w:usb1="00000000" w:usb2="00000000" w:usb3="00000000" w:csb0="00000001" w:csb1="00000000"/>
  </w:font>
  <w:font w:name="DaxlinePro-ExtraBold">
    <w:altName w:val="DaxlinePro-Extr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E642" w14:textId="77777777" w:rsidR="0042157A" w:rsidRPr="003E07C7" w:rsidRDefault="0042157A" w:rsidP="00266EEF">
    <w:pPr>
      <w:widowControl w:val="0"/>
      <w:pBdr>
        <w:bottom w:val="single" w:sz="4" w:space="1" w:color="auto"/>
      </w:pBdr>
      <w:tabs>
        <w:tab w:val="center" w:pos="4820"/>
        <w:tab w:val="center" w:pos="7371"/>
        <w:tab w:val="right" w:pos="9639"/>
      </w:tabs>
      <w:spacing w:before="0" w:after="60" w:line="240" w:lineRule="auto"/>
      <w:rPr>
        <w:rFonts w:eastAsia="Times New Roman"/>
        <w:szCs w:val="20"/>
        <w:lang w:eastAsia="fr-BE"/>
      </w:rPr>
    </w:pPr>
  </w:p>
  <w:p w14:paraId="53EB4A8A" w14:textId="66D7DEB7" w:rsidR="0042157A" w:rsidRDefault="0042157A" w:rsidP="00266EEF">
    <w:pPr>
      <w:pStyle w:val="Footer"/>
    </w:pPr>
    <w:r w:rsidRPr="003E07C7">
      <w:rPr>
        <w:rFonts w:eastAsia="Times New Roman"/>
        <w:szCs w:val="24"/>
        <w:lang w:eastAsia="fr-BE"/>
      </w:rPr>
      <w:tab/>
    </w:r>
    <w:r w:rsidRPr="003E07C7">
      <w:rPr>
        <w:rFonts w:eastAsia="Times New Roman"/>
        <w:szCs w:val="24"/>
        <w:lang w:eastAsia="fr-BE"/>
      </w:rPr>
      <w:tab/>
    </w:r>
    <w:r w:rsidRPr="003E07C7">
      <w:rPr>
        <w:rFonts w:eastAsia="Times New Roman"/>
        <w:szCs w:val="24"/>
        <w:lang w:eastAsia="fr-BE"/>
      </w:rPr>
      <w:fldChar w:fldCharType="begin"/>
    </w:r>
    <w:r w:rsidRPr="003E07C7">
      <w:rPr>
        <w:rFonts w:eastAsia="Times New Roman"/>
        <w:szCs w:val="24"/>
        <w:lang w:eastAsia="fr-BE"/>
      </w:rPr>
      <w:instrText xml:space="preserve"> PAGE   \* MERGEFORMAT </w:instrText>
    </w:r>
    <w:r w:rsidRPr="003E07C7">
      <w:rPr>
        <w:rFonts w:eastAsia="Times New Roman"/>
        <w:szCs w:val="24"/>
        <w:lang w:eastAsia="fr-BE"/>
      </w:rPr>
      <w:fldChar w:fldCharType="separate"/>
    </w:r>
    <w:r w:rsidR="00894A5C">
      <w:rPr>
        <w:rFonts w:eastAsia="Times New Roman"/>
        <w:noProof/>
        <w:szCs w:val="24"/>
        <w:lang w:eastAsia="fr-BE"/>
      </w:rPr>
      <w:t>1</w:t>
    </w:r>
    <w:r w:rsidRPr="003E07C7">
      <w:rPr>
        <w:rFonts w:eastAsia="Times New Roman"/>
        <w:noProof/>
        <w:szCs w:val="24"/>
        <w:lang w:eastAsia="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B1112" w14:textId="77777777" w:rsidR="00AA61BB" w:rsidRDefault="00AA61BB" w:rsidP="008D3C9A">
      <w:pPr>
        <w:spacing w:before="0" w:after="0" w:line="240" w:lineRule="auto"/>
      </w:pPr>
      <w:r>
        <w:separator/>
      </w:r>
    </w:p>
  </w:footnote>
  <w:footnote w:type="continuationSeparator" w:id="0">
    <w:p w14:paraId="62C4D00E" w14:textId="77777777" w:rsidR="00AA61BB" w:rsidRDefault="00AA61BB" w:rsidP="00EC3B25">
      <w:pPr>
        <w:spacing w:before="0" w:after="0" w:line="240" w:lineRule="auto"/>
      </w:pPr>
      <w:r>
        <w:continuationSeparator/>
      </w:r>
    </w:p>
  </w:footnote>
  <w:footnote w:id="1">
    <w:p w14:paraId="27978296" w14:textId="77777777" w:rsidR="00D35055" w:rsidRPr="00062F92" w:rsidRDefault="00D35055" w:rsidP="00D35055">
      <w:pPr>
        <w:pStyle w:val="FootnoteText"/>
        <w:rPr>
          <w:lang w:val="en-IE"/>
        </w:rPr>
      </w:pPr>
      <w:r>
        <w:rPr>
          <w:rStyle w:val="FootnoteReference"/>
        </w:rPr>
        <w:footnoteRef/>
      </w:r>
      <w:r>
        <w:t xml:space="preserve"> </w:t>
      </w:r>
      <w:r w:rsidRPr="00D35055">
        <w:rPr>
          <w:sz w:val="22"/>
          <w:szCs w:val="22"/>
        </w:rPr>
        <w:t>COVID-19: Guidance on the implementation of relevant EU provisions in the area of asylum and return procedures and on resettlement, C(2020) 2516, 16.4.2020.</w:t>
      </w:r>
    </w:p>
  </w:footnote>
  <w:footnote w:id="2">
    <w:p w14:paraId="6D6AAE09" w14:textId="0B5CE24C" w:rsidR="00D35055" w:rsidRDefault="00D35055">
      <w:pPr>
        <w:pStyle w:val="FootnoteText"/>
      </w:pPr>
      <w:r>
        <w:rPr>
          <w:rStyle w:val="FootnoteReference"/>
        </w:rPr>
        <w:footnoteRef/>
      </w:r>
      <w:r>
        <w:t xml:space="preserve"> </w:t>
      </w:r>
      <w:r w:rsidRPr="00D35055">
        <w:t xml:space="preserve"> </w:t>
      </w:r>
      <w:r w:rsidRPr="00D35055">
        <w:rPr>
          <w:sz w:val="22"/>
          <w:szCs w:val="22"/>
        </w:rPr>
        <w:t xml:space="preserve"> A Union of Equality: Gender Equality Strategy 2020-202</w:t>
      </w:r>
      <w:r>
        <w:rPr>
          <w:sz w:val="22"/>
          <w:szCs w:val="22"/>
        </w:rPr>
        <w:t>5, 5.3.2020, COM/2020/152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DA3B" w14:textId="77777777" w:rsidR="0042157A" w:rsidRPr="00266EEF" w:rsidRDefault="0042157A" w:rsidP="00266EEF">
    <w:pPr>
      <w:tabs>
        <w:tab w:val="center" w:pos="4153"/>
        <w:tab w:val="right" w:pos="8306"/>
      </w:tabs>
      <w:spacing w:before="0" w:after="0" w:line="240" w:lineRule="auto"/>
      <w:jc w:val="center"/>
      <w:rPr>
        <w:rFonts w:ascii="Arial" w:eastAsia="Times New Roman" w:hAnsi="Arial" w:cs="Arial"/>
        <w:i/>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816"/>
    <w:multiLevelType w:val="hybridMultilevel"/>
    <w:tmpl w:val="A824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02E0"/>
    <w:multiLevelType w:val="hybridMultilevel"/>
    <w:tmpl w:val="D316A552"/>
    <w:lvl w:ilvl="0" w:tplc="CCB84E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4" w15:restartNumberingAfterBreak="0">
    <w:nsid w:val="08F7112C"/>
    <w:multiLevelType w:val="hybridMultilevel"/>
    <w:tmpl w:val="0476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6" w15:restartNumberingAfterBreak="0">
    <w:nsid w:val="13931E88"/>
    <w:multiLevelType w:val="hybridMultilevel"/>
    <w:tmpl w:val="1F0A2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4801C2"/>
    <w:multiLevelType w:val="hybridMultilevel"/>
    <w:tmpl w:val="364C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15:restartNumberingAfterBreak="0">
    <w:nsid w:val="1EA13AA2"/>
    <w:multiLevelType w:val="hybridMultilevel"/>
    <w:tmpl w:val="23222A9C"/>
    <w:lvl w:ilvl="0" w:tplc="F6CEC3D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2" w15:restartNumberingAfterBreak="0">
    <w:nsid w:val="21E757BC"/>
    <w:multiLevelType w:val="hybridMultilevel"/>
    <w:tmpl w:val="43D841C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37C79CB"/>
    <w:multiLevelType w:val="hybridMultilevel"/>
    <w:tmpl w:val="65AE3F30"/>
    <w:lvl w:ilvl="0" w:tplc="19648E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164F44"/>
    <w:multiLevelType w:val="hybridMultilevel"/>
    <w:tmpl w:val="23222A9C"/>
    <w:lvl w:ilvl="0" w:tplc="F6CEC3D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296B99"/>
    <w:multiLevelType w:val="hybridMultilevel"/>
    <w:tmpl w:val="57E45C36"/>
    <w:lvl w:ilvl="0" w:tplc="0809000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FA03CF9"/>
    <w:multiLevelType w:val="hybridMultilevel"/>
    <w:tmpl w:val="2F8426FC"/>
    <w:lvl w:ilvl="0" w:tplc="DBD0706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3AF0180"/>
    <w:multiLevelType w:val="hybridMultilevel"/>
    <w:tmpl w:val="4E76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0165D"/>
    <w:multiLevelType w:val="hybridMultilevel"/>
    <w:tmpl w:val="A372D4E6"/>
    <w:lvl w:ilvl="0" w:tplc="F6CEC3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5B129D"/>
    <w:multiLevelType w:val="hybridMultilevel"/>
    <w:tmpl w:val="23222A9C"/>
    <w:lvl w:ilvl="0" w:tplc="F6CEC3D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413F5C08"/>
    <w:multiLevelType w:val="hybridMultilevel"/>
    <w:tmpl w:val="D2DAA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4" w15:restartNumberingAfterBreak="0">
    <w:nsid w:val="47D57343"/>
    <w:multiLevelType w:val="hybridMultilevel"/>
    <w:tmpl w:val="3FF8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545C90"/>
    <w:multiLevelType w:val="hybridMultilevel"/>
    <w:tmpl w:val="7C8A3FB4"/>
    <w:lvl w:ilvl="0" w:tplc="04090003">
      <w:start w:val="1"/>
      <w:numFmt w:val="bullet"/>
      <w:lvlText w:val="o"/>
      <w:lvlJc w:val="left"/>
      <w:pPr>
        <w:ind w:left="1074" w:hanging="360"/>
      </w:pPr>
      <w:rPr>
        <w:rFonts w:ascii="Courier New" w:hAnsi="Courier New" w:cs="Courier New"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26"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081BD5"/>
    <w:multiLevelType w:val="hybridMultilevel"/>
    <w:tmpl w:val="E236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9"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2" w15:restartNumberingAfterBreak="0">
    <w:nsid w:val="631D2C52"/>
    <w:multiLevelType w:val="hybridMultilevel"/>
    <w:tmpl w:val="0E98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A6589"/>
    <w:multiLevelType w:val="hybridMultilevel"/>
    <w:tmpl w:val="0B10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5"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36"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37" w15:restartNumberingAfterBreak="0">
    <w:nsid w:val="6F351776"/>
    <w:multiLevelType w:val="hybridMultilevel"/>
    <w:tmpl w:val="6358B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CD0D48C">
      <w:start w:val="1"/>
      <w:numFmt w:val="bullet"/>
      <w:pStyle w:val="Briefingsp"/>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9" w15:restartNumberingAfterBreak="0">
    <w:nsid w:val="6F67026D"/>
    <w:multiLevelType w:val="hybridMultilevel"/>
    <w:tmpl w:val="874CE5A8"/>
    <w:lvl w:ilvl="0" w:tplc="7EFABDC2">
      <w:numFmt w:val="bullet"/>
      <w:lvlText w:val="-"/>
      <w:lvlJc w:val="left"/>
      <w:pPr>
        <w:ind w:left="786" w:hanging="3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1"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2"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43" w15:restartNumberingAfterBreak="0">
    <w:nsid w:val="7A3D4A35"/>
    <w:multiLevelType w:val="hybridMultilevel"/>
    <w:tmpl w:val="A372D4E6"/>
    <w:lvl w:ilvl="0" w:tplc="F6CEC3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5" w15:restartNumberingAfterBreak="0">
    <w:nsid w:val="7E654A36"/>
    <w:multiLevelType w:val="hybridMultilevel"/>
    <w:tmpl w:val="90302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
  </w:num>
  <w:num w:numId="3">
    <w:abstractNumId w:val="38"/>
  </w:num>
  <w:num w:numId="4">
    <w:abstractNumId w:val="31"/>
  </w:num>
  <w:num w:numId="5">
    <w:abstractNumId w:val="5"/>
  </w:num>
  <w:num w:numId="6">
    <w:abstractNumId w:val="41"/>
  </w:num>
  <w:num w:numId="7">
    <w:abstractNumId w:val="44"/>
  </w:num>
  <w:num w:numId="8">
    <w:abstractNumId w:val="28"/>
  </w:num>
  <w:num w:numId="9">
    <w:abstractNumId w:val="40"/>
  </w:num>
  <w:num w:numId="10">
    <w:abstractNumId w:val="34"/>
  </w:num>
  <w:num w:numId="11">
    <w:abstractNumId w:val="23"/>
  </w:num>
  <w:num w:numId="12">
    <w:abstractNumId w:val="11"/>
  </w:num>
  <w:num w:numId="13">
    <w:abstractNumId w:val="9"/>
  </w:num>
  <w:num w:numId="14">
    <w:abstractNumId w:val="35"/>
  </w:num>
  <w:num w:numId="15">
    <w:abstractNumId w:val="42"/>
  </w:num>
  <w:num w:numId="16">
    <w:abstractNumId w:val="2"/>
  </w:num>
  <w:num w:numId="17">
    <w:abstractNumId w:val="15"/>
  </w:num>
  <w:num w:numId="18">
    <w:abstractNumId w:val="8"/>
  </w:num>
  <w:num w:numId="19">
    <w:abstractNumId w:val="16"/>
  </w:num>
  <w:num w:numId="20">
    <w:abstractNumId w:val="29"/>
  </w:num>
  <w:num w:numId="21">
    <w:abstractNumId w:val="4"/>
  </w:num>
  <w:num w:numId="22">
    <w:abstractNumId w:val="33"/>
  </w:num>
  <w:num w:numId="23">
    <w:abstractNumId w:val="22"/>
  </w:num>
  <w:num w:numId="24">
    <w:abstractNumId w:val="6"/>
  </w:num>
  <w:num w:numId="25">
    <w:abstractNumId w:val="7"/>
  </w:num>
  <w:num w:numId="26">
    <w:abstractNumId w:val="27"/>
  </w:num>
  <w:num w:numId="27">
    <w:abstractNumId w:val="32"/>
  </w:num>
  <w:num w:numId="28">
    <w:abstractNumId w:val="45"/>
  </w:num>
  <w:num w:numId="29">
    <w:abstractNumId w:val="19"/>
  </w:num>
  <w:num w:numId="30">
    <w:abstractNumId w:val="18"/>
  </w:num>
  <w:num w:numId="31">
    <w:abstractNumId w:val="0"/>
  </w:num>
  <w:num w:numId="32">
    <w:abstractNumId w:val="37"/>
  </w:num>
  <w:num w:numId="33">
    <w:abstractNumId w:val="25"/>
  </w:num>
  <w:num w:numId="34">
    <w:abstractNumId w:val="13"/>
  </w:num>
  <w:num w:numId="35">
    <w:abstractNumId w:val="1"/>
  </w:num>
  <w:num w:numId="36">
    <w:abstractNumId w:val="39"/>
  </w:num>
  <w:num w:numId="37">
    <w:abstractNumId w:val="24"/>
  </w:num>
  <w:num w:numId="38">
    <w:abstractNumId w:val="43"/>
  </w:num>
  <w:num w:numId="39">
    <w:abstractNumId w:val="20"/>
  </w:num>
  <w:num w:numId="40">
    <w:abstractNumId w:val="10"/>
  </w:num>
  <w:num w:numId="41">
    <w:abstractNumId w:val="14"/>
  </w:num>
  <w:num w:numId="42">
    <w:abstractNumId w:val="21"/>
  </w:num>
  <w:num w:numId="43">
    <w:abstractNumId w:val="17"/>
    <w:lvlOverride w:ilvl="0">
      <w:startOverride w:val="1"/>
    </w:lvlOverride>
    <w:lvlOverride w:ilvl="1"/>
    <w:lvlOverride w:ilvl="2"/>
    <w:lvlOverride w:ilvl="3"/>
    <w:lvlOverride w:ilvl="4"/>
    <w:lvlOverride w:ilvl="5"/>
    <w:lvlOverride w:ilvl="6"/>
    <w:lvlOverride w:ilvl="7"/>
    <w:lvlOverride w:ilvl="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attachedTemplate r:id="rId1"/>
  <w:defaultTabStop w:val="567"/>
  <w:hyphenationZone w:val="425"/>
  <w:characterSpacingControl w:val="doNotCompress"/>
  <w:hdrShapeDefaults>
    <o:shapedefaults v:ext="edit" spidmax="4097"/>
  </w:hdrShapeDefaults>
  <w:footnotePr>
    <w:footnote w:id="-1"/>
    <w:footnote w:id="0"/>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3.12&quot; technicalblockguid=&quot;474464958340578513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3&quot; text=&quot;WORKING DOCUMENT&quot; /&gt;_x000d__x000a_    &lt;/basicdatatype&gt;_x000d__x000a_  &lt;/metadata&gt;_x000d__x000a_  &lt;metadata key=&quot;md_HeadingText&quot;&gt;_x000d__x000a_    &lt;headingtext text=&quot;WORKING DOCUMENT&quot;&gt;_x000d__x000a_      &lt;formattedtext&gt;_x000d__x000a_        &lt;xaml text=&quot;WORKING DOCUMENT&quot;&gt;&amp;lt;FlowDocument xmlns=&quot;http://schemas.microsoft.com/winfx/2006/xaml/presentation&quot;&amp;gt;&amp;lt;Paragraph&amp;gt;WORKING DOCUMENT&amp;lt;/Paragraph&amp;gt;&amp;lt;/FlowDocument&amp;gt;&lt;/xaml&gt;_x000d__x000a_      &lt;/formattedtext&gt;_x000d__x000a_    &lt;/headingtext&gt;_x000d__x000a_  &lt;/metadata&gt;_x000d__x000a_  &lt;metadata key=&quot;md_DocumentGroup&quot;&gt;_x000d__x000a_    &lt;basicdatatype&gt;_x000d__x000a_      &lt;document_group key=&quot;dg_11&quot; text=&quot;Working Documents&quot; /&gt;_x000d__x000a_    &lt;/basicdatatype&gt;_x000d__x000a_  &lt;/metadata&gt;_x000d__x000a_  &lt;metadata key=&quot;md_DocumentType&quot;&gt;_x000d__x000a_    &lt;basicdatatype&gt;_x000d__x000a_      &lt;doc_type key=&quot;dt_SN&quot; text=&quot;SN&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0-03-04&lt;/text&gt;_x000d__x000a_  &lt;/metadata&gt;_x000d__x000a_  &lt;metadata key=&quot;md_Prefix&quot;&gt;_x000d__x000a_    &lt;text&gt;SN&lt;/text&gt;_x000d__x000a_  &lt;/metadata&gt;_x000d__x000a_  &lt;metadata key=&quot;md_DocumentNumber&quot;&gt;_x000d__x000a_    &lt;text&gt;1270&lt;/text&gt;_x000d__x000a_  &lt;/metadata&gt;_x000d__x000a_  &lt;metadata key=&quot;md_YearDocumentNumber&quot;&gt;_x000d__x000a_    &lt;text&gt;2020&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 /&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quot;&gt;&amp;lt;FlowDocument PagePadding=&quot;5,0,5,0&quot; AllowDrop=&quot;True&quot; NumberSubstitution.CultureSource=&quot;User&quot; xmlns=&quot;http://schemas.microsoft.com/winfx/2006/xaml/presentation&quot; /&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Prefix&quot;&gt;_x000d__x000a_    &lt;text&gt;&lt;/text&gt;_x000d__x000a_  &lt;/metadata&gt;_x000d__x000a_  &lt;metadata key=&quot;md_Subject&quot;&gt;_x000d__x000a_    &lt;xaml text=&quot;EU Annual Report on Human Rights and Democracy in the World 2019&quot;&gt;&amp;lt;FlowDocument FontFamily=&quot;Segoe UI&quot; FontSize=&quot;12&quot; LineHeight=&quot;6&quot; PageWidth=&quot;329&quot; PagePadding=&quot;2,2,2,2&quot; AllowDrop=&quot;False&quot; xmlns=&quot;http://schemas.microsoft.com/winfx/2006/xaml/presentation&quot;&amp;gt;&amp;lt;Paragraph&amp;gt;&amp;lt;Run xml:lang=&quot;en-gb&quot;&amp;gt;EU Annual Report on Human Rights and Democracy in the World 2019&amp;lt;/Run&amp;gt;&amp;lt;/Paragraph&amp;gt;&amp;lt;/FlowDocument&amp;gt;&lt;/xaml&gt;_x000d__x000a_  &lt;/metadata&gt;_x000d__x000a_  &lt;metadata key=&quot;md_SubjectFootnote&quot; /&gt;_x000d__x000a_  &lt;metadata key=&quot;md_DG&quot;&gt;_x000d__x000a_    &lt;text&gt;RELEX 2B&lt;/text&gt;_x000d__x000a_  &lt;/metadata&gt;_x000d__x000a_  &lt;metadata key=&quot;md_Initials&quot;&gt;_x000d__x000a_    &lt;text&gt;OZ&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0&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0&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FB3C83"/>
    <w:rsid w:val="00000F93"/>
    <w:rsid w:val="00017BB0"/>
    <w:rsid w:val="00021C8A"/>
    <w:rsid w:val="000332EA"/>
    <w:rsid w:val="00033FD8"/>
    <w:rsid w:val="00035862"/>
    <w:rsid w:val="000403EB"/>
    <w:rsid w:val="00046245"/>
    <w:rsid w:val="000464F7"/>
    <w:rsid w:val="00050B7A"/>
    <w:rsid w:val="000555A7"/>
    <w:rsid w:val="0006103D"/>
    <w:rsid w:val="00072554"/>
    <w:rsid w:val="00082262"/>
    <w:rsid w:val="00082AD6"/>
    <w:rsid w:val="00095A90"/>
    <w:rsid w:val="000A1392"/>
    <w:rsid w:val="000A7B25"/>
    <w:rsid w:val="000B3D96"/>
    <w:rsid w:val="000B7F1C"/>
    <w:rsid w:val="000C1D16"/>
    <w:rsid w:val="000C2BCB"/>
    <w:rsid w:val="000C4A3C"/>
    <w:rsid w:val="000D3E29"/>
    <w:rsid w:val="000E4BB4"/>
    <w:rsid w:val="000E6703"/>
    <w:rsid w:val="000F0E3E"/>
    <w:rsid w:val="000F6C59"/>
    <w:rsid w:val="00101E93"/>
    <w:rsid w:val="00103015"/>
    <w:rsid w:val="001136AD"/>
    <w:rsid w:val="00113BE8"/>
    <w:rsid w:val="00115493"/>
    <w:rsid w:val="00116E31"/>
    <w:rsid w:val="0011783F"/>
    <w:rsid w:val="0012468E"/>
    <w:rsid w:val="0012663E"/>
    <w:rsid w:val="00126E3B"/>
    <w:rsid w:val="00136F06"/>
    <w:rsid w:val="0014073E"/>
    <w:rsid w:val="0014112F"/>
    <w:rsid w:val="00141704"/>
    <w:rsid w:val="0014549B"/>
    <w:rsid w:val="001524F0"/>
    <w:rsid w:val="001551B1"/>
    <w:rsid w:val="00155FBD"/>
    <w:rsid w:val="001636B2"/>
    <w:rsid w:val="00164511"/>
    <w:rsid w:val="00166F62"/>
    <w:rsid w:val="00172323"/>
    <w:rsid w:val="00172DAC"/>
    <w:rsid w:val="00172F7C"/>
    <w:rsid w:val="00174C76"/>
    <w:rsid w:val="00177832"/>
    <w:rsid w:val="0018090B"/>
    <w:rsid w:val="00186A91"/>
    <w:rsid w:val="0019032B"/>
    <w:rsid w:val="0019240F"/>
    <w:rsid w:val="001A263A"/>
    <w:rsid w:val="001A399F"/>
    <w:rsid w:val="001A7055"/>
    <w:rsid w:val="001B21B9"/>
    <w:rsid w:val="001B675E"/>
    <w:rsid w:val="001C014B"/>
    <w:rsid w:val="001D7BEF"/>
    <w:rsid w:val="001E021B"/>
    <w:rsid w:val="001E421E"/>
    <w:rsid w:val="001F1C83"/>
    <w:rsid w:val="001F58DA"/>
    <w:rsid w:val="0020449F"/>
    <w:rsid w:val="00212D6C"/>
    <w:rsid w:val="002219D1"/>
    <w:rsid w:val="002264FA"/>
    <w:rsid w:val="00226740"/>
    <w:rsid w:val="00236B8E"/>
    <w:rsid w:val="00237FC8"/>
    <w:rsid w:val="00242B30"/>
    <w:rsid w:val="002440CD"/>
    <w:rsid w:val="002477E5"/>
    <w:rsid w:val="0025700A"/>
    <w:rsid w:val="00266A3B"/>
    <w:rsid w:val="00266EEF"/>
    <w:rsid w:val="002720EE"/>
    <w:rsid w:val="0027653E"/>
    <w:rsid w:val="0028218C"/>
    <w:rsid w:val="002844A2"/>
    <w:rsid w:val="00285CA0"/>
    <w:rsid w:val="002A649D"/>
    <w:rsid w:val="002C3512"/>
    <w:rsid w:val="002D2BF2"/>
    <w:rsid w:val="002D6D29"/>
    <w:rsid w:val="002E01D0"/>
    <w:rsid w:val="002E4722"/>
    <w:rsid w:val="002F25BD"/>
    <w:rsid w:val="002F5DFF"/>
    <w:rsid w:val="002F7E11"/>
    <w:rsid w:val="00324C79"/>
    <w:rsid w:val="00334BC3"/>
    <w:rsid w:val="003357DF"/>
    <w:rsid w:val="00336F72"/>
    <w:rsid w:val="00342AD8"/>
    <w:rsid w:val="00344BAE"/>
    <w:rsid w:val="003464F3"/>
    <w:rsid w:val="00346EFB"/>
    <w:rsid w:val="00365A39"/>
    <w:rsid w:val="00367CC9"/>
    <w:rsid w:val="003723FF"/>
    <w:rsid w:val="00394599"/>
    <w:rsid w:val="003A7030"/>
    <w:rsid w:val="003B0816"/>
    <w:rsid w:val="003B705D"/>
    <w:rsid w:val="003C0BF8"/>
    <w:rsid w:val="003C2A44"/>
    <w:rsid w:val="003D3AF8"/>
    <w:rsid w:val="003D653B"/>
    <w:rsid w:val="003D7EF5"/>
    <w:rsid w:val="003E06A6"/>
    <w:rsid w:val="003E1DFC"/>
    <w:rsid w:val="003E4596"/>
    <w:rsid w:val="003F07D5"/>
    <w:rsid w:val="004030A6"/>
    <w:rsid w:val="00405454"/>
    <w:rsid w:val="004105EB"/>
    <w:rsid w:val="00417D01"/>
    <w:rsid w:val="00421543"/>
    <w:rsid w:val="0042157A"/>
    <w:rsid w:val="00436047"/>
    <w:rsid w:val="00443090"/>
    <w:rsid w:val="00457AFD"/>
    <w:rsid w:val="00460C67"/>
    <w:rsid w:val="00462FCB"/>
    <w:rsid w:val="00467391"/>
    <w:rsid w:val="00472A24"/>
    <w:rsid w:val="00480B3B"/>
    <w:rsid w:val="00485A8D"/>
    <w:rsid w:val="004909A6"/>
    <w:rsid w:val="00496B70"/>
    <w:rsid w:val="004C224E"/>
    <w:rsid w:val="004D2625"/>
    <w:rsid w:val="004D29B3"/>
    <w:rsid w:val="004E3CBB"/>
    <w:rsid w:val="004E3D6B"/>
    <w:rsid w:val="005165FC"/>
    <w:rsid w:val="00517185"/>
    <w:rsid w:val="00532F61"/>
    <w:rsid w:val="00541D8E"/>
    <w:rsid w:val="00543B20"/>
    <w:rsid w:val="00546A50"/>
    <w:rsid w:val="0054710D"/>
    <w:rsid w:val="005514D9"/>
    <w:rsid w:val="005573CD"/>
    <w:rsid w:val="005576BB"/>
    <w:rsid w:val="00560050"/>
    <w:rsid w:val="00561C2F"/>
    <w:rsid w:val="005631E6"/>
    <w:rsid w:val="00563228"/>
    <w:rsid w:val="00566F9F"/>
    <w:rsid w:val="0057666E"/>
    <w:rsid w:val="005A0609"/>
    <w:rsid w:val="005C17FB"/>
    <w:rsid w:val="005C39A0"/>
    <w:rsid w:val="005D1C90"/>
    <w:rsid w:val="005D5A96"/>
    <w:rsid w:val="005E0221"/>
    <w:rsid w:val="005F5EFC"/>
    <w:rsid w:val="005F62DE"/>
    <w:rsid w:val="00600573"/>
    <w:rsid w:val="00611D23"/>
    <w:rsid w:val="00615124"/>
    <w:rsid w:val="00617C65"/>
    <w:rsid w:val="00620F5F"/>
    <w:rsid w:val="00621040"/>
    <w:rsid w:val="00631B8B"/>
    <w:rsid w:val="006410C7"/>
    <w:rsid w:val="00642EFA"/>
    <w:rsid w:val="006474EB"/>
    <w:rsid w:val="00651E8E"/>
    <w:rsid w:val="00662A62"/>
    <w:rsid w:val="00662AD7"/>
    <w:rsid w:val="00663F68"/>
    <w:rsid w:val="00671BB0"/>
    <w:rsid w:val="00681B9B"/>
    <w:rsid w:val="00681F08"/>
    <w:rsid w:val="00691AC7"/>
    <w:rsid w:val="006A0ED9"/>
    <w:rsid w:val="006A1BF9"/>
    <w:rsid w:val="006A7C19"/>
    <w:rsid w:val="006A7F72"/>
    <w:rsid w:val="006B1BAB"/>
    <w:rsid w:val="006B543F"/>
    <w:rsid w:val="006C1544"/>
    <w:rsid w:val="006C3555"/>
    <w:rsid w:val="006C3585"/>
    <w:rsid w:val="006C6393"/>
    <w:rsid w:val="006D0051"/>
    <w:rsid w:val="006D0100"/>
    <w:rsid w:val="006D2D5E"/>
    <w:rsid w:val="006D2DED"/>
    <w:rsid w:val="006F0890"/>
    <w:rsid w:val="006F68B8"/>
    <w:rsid w:val="007003CD"/>
    <w:rsid w:val="00700BF8"/>
    <w:rsid w:val="007028E9"/>
    <w:rsid w:val="00712A52"/>
    <w:rsid w:val="00714193"/>
    <w:rsid w:val="007154D6"/>
    <w:rsid w:val="00715713"/>
    <w:rsid w:val="00716561"/>
    <w:rsid w:val="00716E1E"/>
    <w:rsid w:val="00721823"/>
    <w:rsid w:val="00727FA4"/>
    <w:rsid w:val="00733004"/>
    <w:rsid w:val="0073368D"/>
    <w:rsid w:val="00736407"/>
    <w:rsid w:val="00745D6E"/>
    <w:rsid w:val="00772954"/>
    <w:rsid w:val="007810C2"/>
    <w:rsid w:val="00782E22"/>
    <w:rsid w:val="007854A5"/>
    <w:rsid w:val="00795BB9"/>
    <w:rsid w:val="007976A8"/>
    <w:rsid w:val="007B0E08"/>
    <w:rsid w:val="007B62D1"/>
    <w:rsid w:val="007B6D5E"/>
    <w:rsid w:val="007C1261"/>
    <w:rsid w:val="007C3286"/>
    <w:rsid w:val="007C506B"/>
    <w:rsid w:val="007C71D2"/>
    <w:rsid w:val="007E462C"/>
    <w:rsid w:val="007F7C3F"/>
    <w:rsid w:val="008146F9"/>
    <w:rsid w:val="008162BF"/>
    <w:rsid w:val="00832DF9"/>
    <w:rsid w:val="008412B8"/>
    <w:rsid w:val="00842EAC"/>
    <w:rsid w:val="00843747"/>
    <w:rsid w:val="00853BA4"/>
    <w:rsid w:val="008551A4"/>
    <w:rsid w:val="00867DD5"/>
    <w:rsid w:val="00870339"/>
    <w:rsid w:val="0088047F"/>
    <w:rsid w:val="00882F7B"/>
    <w:rsid w:val="00884215"/>
    <w:rsid w:val="008874D0"/>
    <w:rsid w:val="00892A57"/>
    <w:rsid w:val="00894A5C"/>
    <w:rsid w:val="008A3A89"/>
    <w:rsid w:val="008A42B1"/>
    <w:rsid w:val="008B6014"/>
    <w:rsid w:val="008C313E"/>
    <w:rsid w:val="008C482B"/>
    <w:rsid w:val="008C7EF8"/>
    <w:rsid w:val="008D3C9A"/>
    <w:rsid w:val="008F0C24"/>
    <w:rsid w:val="008F22B4"/>
    <w:rsid w:val="008F28CF"/>
    <w:rsid w:val="008F49C8"/>
    <w:rsid w:val="008F6669"/>
    <w:rsid w:val="008F6C07"/>
    <w:rsid w:val="0090714C"/>
    <w:rsid w:val="009237EA"/>
    <w:rsid w:val="00926568"/>
    <w:rsid w:val="00926FED"/>
    <w:rsid w:val="009348BF"/>
    <w:rsid w:val="00944EDE"/>
    <w:rsid w:val="00964FB1"/>
    <w:rsid w:val="0096683C"/>
    <w:rsid w:val="009738C8"/>
    <w:rsid w:val="00985BEC"/>
    <w:rsid w:val="009900D4"/>
    <w:rsid w:val="00992A61"/>
    <w:rsid w:val="009930AF"/>
    <w:rsid w:val="00996C81"/>
    <w:rsid w:val="009C0A0E"/>
    <w:rsid w:val="009C6417"/>
    <w:rsid w:val="009E0792"/>
    <w:rsid w:val="009E2051"/>
    <w:rsid w:val="009E706D"/>
    <w:rsid w:val="009F2BED"/>
    <w:rsid w:val="009F3CDC"/>
    <w:rsid w:val="009F647C"/>
    <w:rsid w:val="00A0140C"/>
    <w:rsid w:val="00A068C2"/>
    <w:rsid w:val="00A069EE"/>
    <w:rsid w:val="00A07073"/>
    <w:rsid w:val="00A0788E"/>
    <w:rsid w:val="00A1040B"/>
    <w:rsid w:val="00A17742"/>
    <w:rsid w:val="00A32B4C"/>
    <w:rsid w:val="00A46DB4"/>
    <w:rsid w:val="00A508FB"/>
    <w:rsid w:val="00A50DFD"/>
    <w:rsid w:val="00A5161D"/>
    <w:rsid w:val="00A562AC"/>
    <w:rsid w:val="00A57E2E"/>
    <w:rsid w:val="00A60084"/>
    <w:rsid w:val="00A70D16"/>
    <w:rsid w:val="00A73F85"/>
    <w:rsid w:val="00A76D30"/>
    <w:rsid w:val="00A95646"/>
    <w:rsid w:val="00AA1A79"/>
    <w:rsid w:val="00AA2AA0"/>
    <w:rsid w:val="00AA61BB"/>
    <w:rsid w:val="00AA661C"/>
    <w:rsid w:val="00AE1D28"/>
    <w:rsid w:val="00B17EB4"/>
    <w:rsid w:val="00B227F7"/>
    <w:rsid w:val="00B25424"/>
    <w:rsid w:val="00B31302"/>
    <w:rsid w:val="00B36A59"/>
    <w:rsid w:val="00B378F2"/>
    <w:rsid w:val="00B40FAC"/>
    <w:rsid w:val="00B44427"/>
    <w:rsid w:val="00B4738A"/>
    <w:rsid w:val="00B5488B"/>
    <w:rsid w:val="00B56351"/>
    <w:rsid w:val="00B57939"/>
    <w:rsid w:val="00B57D6F"/>
    <w:rsid w:val="00B64231"/>
    <w:rsid w:val="00B660D1"/>
    <w:rsid w:val="00B67878"/>
    <w:rsid w:val="00B737EF"/>
    <w:rsid w:val="00B754EE"/>
    <w:rsid w:val="00B76201"/>
    <w:rsid w:val="00B832F7"/>
    <w:rsid w:val="00B86D46"/>
    <w:rsid w:val="00B938DD"/>
    <w:rsid w:val="00BA06CC"/>
    <w:rsid w:val="00BA55B3"/>
    <w:rsid w:val="00BC0C77"/>
    <w:rsid w:val="00BD1A8B"/>
    <w:rsid w:val="00BD5F55"/>
    <w:rsid w:val="00BE0E79"/>
    <w:rsid w:val="00BE573D"/>
    <w:rsid w:val="00BE66F0"/>
    <w:rsid w:val="00BE6874"/>
    <w:rsid w:val="00BF4D94"/>
    <w:rsid w:val="00BF6B6C"/>
    <w:rsid w:val="00C00047"/>
    <w:rsid w:val="00C01152"/>
    <w:rsid w:val="00C2362D"/>
    <w:rsid w:val="00C2374E"/>
    <w:rsid w:val="00C27D09"/>
    <w:rsid w:val="00C315B5"/>
    <w:rsid w:val="00C31A2D"/>
    <w:rsid w:val="00C363A7"/>
    <w:rsid w:val="00C652CE"/>
    <w:rsid w:val="00C7047C"/>
    <w:rsid w:val="00C8142B"/>
    <w:rsid w:val="00C81AAA"/>
    <w:rsid w:val="00C8513C"/>
    <w:rsid w:val="00C8794E"/>
    <w:rsid w:val="00C90C8C"/>
    <w:rsid w:val="00C97389"/>
    <w:rsid w:val="00CA1832"/>
    <w:rsid w:val="00CA1E1E"/>
    <w:rsid w:val="00CC1DE2"/>
    <w:rsid w:val="00CD0DE6"/>
    <w:rsid w:val="00CD265D"/>
    <w:rsid w:val="00CD4D80"/>
    <w:rsid w:val="00CD7153"/>
    <w:rsid w:val="00CF6441"/>
    <w:rsid w:val="00CF7628"/>
    <w:rsid w:val="00D034AB"/>
    <w:rsid w:val="00D05894"/>
    <w:rsid w:val="00D06FDF"/>
    <w:rsid w:val="00D1011F"/>
    <w:rsid w:val="00D15209"/>
    <w:rsid w:val="00D21E96"/>
    <w:rsid w:val="00D31EBD"/>
    <w:rsid w:val="00D35055"/>
    <w:rsid w:val="00D377EC"/>
    <w:rsid w:val="00D37AA0"/>
    <w:rsid w:val="00D4065A"/>
    <w:rsid w:val="00D427CB"/>
    <w:rsid w:val="00D45212"/>
    <w:rsid w:val="00D500E2"/>
    <w:rsid w:val="00D53965"/>
    <w:rsid w:val="00D67879"/>
    <w:rsid w:val="00D75CFB"/>
    <w:rsid w:val="00D76B34"/>
    <w:rsid w:val="00D7711A"/>
    <w:rsid w:val="00D8379B"/>
    <w:rsid w:val="00D865B1"/>
    <w:rsid w:val="00D90F2B"/>
    <w:rsid w:val="00D92872"/>
    <w:rsid w:val="00D93478"/>
    <w:rsid w:val="00D97075"/>
    <w:rsid w:val="00D97BFB"/>
    <w:rsid w:val="00DC0413"/>
    <w:rsid w:val="00DC5679"/>
    <w:rsid w:val="00DC5A6E"/>
    <w:rsid w:val="00DD1650"/>
    <w:rsid w:val="00DD1DA3"/>
    <w:rsid w:val="00DE4F71"/>
    <w:rsid w:val="00DF3662"/>
    <w:rsid w:val="00E12A54"/>
    <w:rsid w:val="00E14E4D"/>
    <w:rsid w:val="00E25004"/>
    <w:rsid w:val="00E30AA3"/>
    <w:rsid w:val="00E3789E"/>
    <w:rsid w:val="00E5625F"/>
    <w:rsid w:val="00E65F00"/>
    <w:rsid w:val="00E854D3"/>
    <w:rsid w:val="00EA00B4"/>
    <w:rsid w:val="00EA2B42"/>
    <w:rsid w:val="00EB77C0"/>
    <w:rsid w:val="00EC1F7D"/>
    <w:rsid w:val="00EC3B25"/>
    <w:rsid w:val="00EC4EAC"/>
    <w:rsid w:val="00EC64A4"/>
    <w:rsid w:val="00EF13B7"/>
    <w:rsid w:val="00F105AE"/>
    <w:rsid w:val="00F21F31"/>
    <w:rsid w:val="00F26A68"/>
    <w:rsid w:val="00F27E3A"/>
    <w:rsid w:val="00F35E40"/>
    <w:rsid w:val="00F42481"/>
    <w:rsid w:val="00F5089D"/>
    <w:rsid w:val="00F509FA"/>
    <w:rsid w:val="00F51460"/>
    <w:rsid w:val="00F542A7"/>
    <w:rsid w:val="00F6669D"/>
    <w:rsid w:val="00F66F1D"/>
    <w:rsid w:val="00F722C8"/>
    <w:rsid w:val="00F74A14"/>
    <w:rsid w:val="00F865B4"/>
    <w:rsid w:val="00F91F47"/>
    <w:rsid w:val="00F92002"/>
    <w:rsid w:val="00F93BEB"/>
    <w:rsid w:val="00F93FC0"/>
    <w:rsid w:val="00FA0ABC"/>
    <w:rsid w:val="00FB3C83"/>
    <w:rsid w:val="00FB75DA"/>
    <w:rsid w:val="00FC0246"/>
    <w:rsid w:val="00FC5175"/>
    <w:rsid w:val="00FD6B14"/>
    <w:rsid w:val="00FE1735"/>
    <w:rsid w:val="00FE2D4A"/>
    <w:rsid w:val="00FE4C1A"/>
    <w:rsid w:val="00FF0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FFE0D"/>
  <w15:docId w15:val="{368DC9F4-E49B-4C75-ABC0-2C914CE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90714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714C"/>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714C"/>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90714C"/>
    <w:pPr>
      <w:keepNext/>
      <w:keepLines/>
      <w:spacing w:before="200" w:after="0" w:line="276" w:lineRule="auto"/>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aliases w:val="Fußnotentextf,Note de bas de page Car Car Car Car Car Car Car Car Car Car,Note de bas de page Car Car Car Car,Note de bas de page Car Car Car Car Car Car Car Car Car,ft,Note de bas de page Car Car Car Car Car Car Car Car,fußn,Fußnote,fn,f"/>
    <w:basedOn w:val="Normal"/>
    <w:link w:val="FootnoteTextChar"/>
    <w:uiPriority w:val="99"/>
    <w:unhideWhenUsed/>
    <w:qFormat/>
    <w:rsid w:val="009C6417"/>
    <w:pPr>
      <w:spacing w:before="0" w:after="0" w:line="240" w:lineRule="auto"/>
      <w:ind w:left="720" w:hanging="720"/>
    </w:pPr>
    <w:rPr>
      <w:szCs w:val="20"/>
    </w:rPr>
  </w:style>
  <w:style w:type="character" w:customStyle="1" w:styleId="FootnoteTextChar">
    <w:name w:val="Footnote Text Char"/>
    <w:aliases w:val="Fußnotentextf Char,Note de bas de page Car Car Car Car Car Car Car Car Car Car Char,Note de bas de page Car Car Car Car Char,Note de bas de page Car Car Car Car Car Car Car Car Car Char,ft Char,fußn Char,Fußnote Char,fn Char,f Char"/>
    <w:basedOn w:val="DefaultParagraphFont"/>
    <w:link w:val="FootnoteText"/>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aliases w:val="Footnote Reference Superscript,fr,o,Style 6,Nota,(NECG) Footnote Reference,Footnote,Footnote symbol,Voetnootverwijzing,Footnote reference number,Times 10 Point,Exposant 3 Point,Ref,de nota al pie,note TESI,SUPERS,EN Footnote text,FR"/>
    <w:basedOn w:val="DefaultParagraphFont"/>
    <w:link w:val="FootnotesymbolCarZchn"/>
    <w:uiPriority w:val="99"/>
    <w:unhideWhenUsed/>
    <w:qFormat/>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D377EC"/>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90714C"/>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FB3C83"/>
    <w:pPr>
      <w:spacing w:before="0" w:after="440"/>
      <w:ind w:left="-1134" w:right="-1134"/>
    </w:pPr>
    <w:rPr>
      <w:sz w:val="2"/>
    </w:rPr>
  </w:style>
  <w:style w:type="character" w:customStyle="1" w:styleId="TechnicalBlockChar">
    <w:name w:val="Technical Block Char"/>
    <w:basedOn w:val="DefaultParagraphFont"/>
    <w:link w:val="TechnicalBlock"/>
    <w:rsid w:val="00FB3C83"/>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FB3C83"/>
    <w:rPr>
      <w:rFonts w:ascii="Times New Roman" w:hAnsi="Times New Roman" w:cs="Times New Roman"/>
      <w:sz w:val="2"/>
      <w:lang w:val="en-GB"/>
    </w:rPr>
  </w:style>
  <w:style w:type="paragraph" w:customStyle="1" w:styleId="FooterText">
    <w:name w:val="Footer Text"/>
    <w:basedOn w:val="Normal"/>
    <w:rsid w:val="00FB3C83"/>
    <w:pPr>
      <w:spacing w:before="0" w:after="0" w:line="240" w:lineRule="auto"/>
    </w:pPr>
    <w:rPr>
      <w:rFonts w:eastAsia="Times New Roman"/>
      <w:szCs w:val="24"/>
    </w:rPr>
  </w:style>
  <w:style w:type="character" w:styleId="PlaceholderText">
    <w:name w:val="Placeholder Text"/>
    <w:basedOn w:val="DefaultParagraphFont"/>
    <w:uiPriority w:val="99"/>
    <w:semiHidden/>
    <w:rsid w:val="00FB3C83"/>
    <w:rPr>
      <w:color w:val="808080"/>
    </w:rPr>
  </w:style>
  <w:style w:type="character" w:customStyle="1" w:styleId="Heading1Char">
    <w:name w:val="Heading 1 Char"/>
    <w:basedOn w:val="DefaultParagraphFont"/>
    <w:link w:val="Heading1"/>
    <w:uiPriority w:val="9"/>
    <w:rsid w:val="0090714C"/>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90714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0714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90714C"/>
    <w:rPr>
      <w:rFonts w:asciiTheme="majorHAnsi" w:eastAsiaTheme="majorEastAsia" w:hAnsiTheme="majorHAnsi" w:cstheme="majorBidi"/>
      <w:b/>
      <w:bCs/>
      <w:i/>
      <w:iCs/>
      <w:color w:val="4F81BD" w:themeColor="accent1"/>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0714C"/>
    <w:pPr>
      <w:spacing w:before="0" w:after="160" w:line="240" w:lineRule="exact"/>
      <w:ind w:left="357" w:hanging="357"/>
    </w:pPr>
    <w:rPr>
      <w:rFonts w:asciiTheme="minorHAnsi" w:hAnsiTheme="minorHAnsi" w:cstheme="minorBidi"/>
      <w:b/>
      <w:sz w:val="22"/>
      <w:vertAlign w:val="superscript"/>
      <w:lang w:val="en-US"/>
    </w:r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uiPriority w:val="34"/>
    <w:qFormat/>
    <w:locked/>
    <w:rsid w:val="0090714C"/>
    <w:rPr>
      <w:rFonts w:ascii="Times New Roman" w:hAnsi="Times New Roman" w:cs="Times New Roman"/>
      <w:sz w:val="24"/>
      <w:lang w:val="en-GB"/>
    </w:rPr>
  </w:style>
  <w:style w:type="table" w:styleId="TableGrid">
    <w:name w:val="Table Grid"/>
    <w:basedOn w:val="TableNormal"/>
    <w:uiPriority w:val="39"/>
    <w:rsid w:val="009071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0714C"/>
    <w:pPr>
      <w:autoSpaceDE w:val="0"/>
      <w:autoSpaceDN w:val="0"/>
      <w:spacing w:before="0" w:after="0" w:line="240" w:lineRule="auto"/>
    </w:pPr>
    <w:rPr>
      <w:color w:val="000000"/>
      <w:szCs w:val="24"/>
      <w:lang w:eastAsia="en-GB"/>
    </w:rPr>
  </w:style>
  <w:style w:type="character" w:styleId="CommentReference">
    <w:name w:val="annotation reference"/>
    <w:basedOn w:val="DefaultParagraphFont"/>
    <w:uiPriority w:val="99"/>
    <w:semiHidden/>
    <w:unhideWhenUsed/>
    <w:rsid w:val="0090714C"/>
    <w:rPr>
      <w:sz w:val="16"/>
      <w:szCs w:val="16"/>
    </w:rPr>
  </w:style>
  <w:style w:type="character" w:styleId="Hyperlink">
    <w:name w:val="Hyperlink"/>
    <w:basedOn w:val="DefaultParagraphFont"/>
    <w:uiPriority w:val="99"/>
    <w:unhideWhenUsed/>
    <w:rsid w:val="0090714C"/>
    <w:rPr>
      <w:color w:val="0000FF"/>
      <w:u w:val="single"/>
    </w:rPr>
  </w:style>
  <w:style w:type="character" w:customStyle="1" w:styleId="BalloonTextChar">
    <w:name w:val="Balloon Text Char"/>
    <w:basedOn w:val="DefaultParagraphFont"/>
    <w:link w:val="BalloonText"/>
    <w:uiPriority w:val="99"/>
    <w:semiHidden/>
    <w:rsid w:val="0090714C"/>
    <w:rPr>
      <w:rFonts w:ascii="Tahoma" w:hAnsi="Tahoma" w:cs="Tahoma"/>
      <w:sz w:val="16"/>
      <w:szCs w:val="16"/>
      <w:lang w:val="en-GB"/>
    </w:rPr>
  </w:style>
  <w:style w:type="paragraph" w:styleId="BalloonText">
    <w:name w:val="Balloon Text"/>
    <w:basedOn w:val="Normal"/>
    <w:link w:val="BalloonTextChar"/>
    <w:uiPriority w:val="99"/>
    <w:semiHidden/>
    <w:unhideWhenUsed/>
    <w:rsid w:val="0090714C"/>
    <w:pPr>
      <w:spacing w:before="0"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90714C"/>
    <w:rPr>
      <w:rFonts w:ascii="Segoe UI" w:hAnsi="Segoe UI" w:cs="Segoe UI"/>
      <w:sz w:val="18"/>
      <w:szCs w:val="18"/>
      <w:lang w:val="en-GB"/>
    </w:rPr>
  </w:style>
  <w:style w:type="character" w:styleId="Emphasis">
    <w:name w:val="Emphasis"/>
    <w:uiPriority w:val="20"/>
    <w:qFormat/>
    <w:rsid w:val="0090714C"/>
    <w:rPr>
      <w:i/>
      <w:iCs/>
    </w:rPr>
  </w:style>
  <w:style w:type="character" w:styleId="Strong">
    <w:name w:val="Strong"/>
    <w:uiPriority w:val="22"/>
    <w:qFormat/>
    <w:rsid w:val="0090714C"/>
    <w:rPr>
      <w:rFonts w:ascii="inherit" w:hAnsi="inherit" w:hint="default"/>
      <w:b/>
      <w:bCs/>
      <w:bdr w:val="none" w:sz="0" w:space="0" w:color="auto" w:frame="1"/>
      <w:vertAlign w:val="baseline"/>
    </w:rPr>
  </w:style>
  <w:style w:type="paragraph" w:styleId="ListParagraph">
    <w:name w:val="List Paragraph"/>
    <w:aliases w:val="List Paragraph (numbered (a)),References,WB List Paragraph,Dot pt,F5 List Paragraph,List Paragraph1,No Spacing1,List Paragraph Char Char Char,Indicator Text,Colorful List - Accent 11,Numbered Para 1,Bullet Points,Bullet1,MAIN CONTENT,L"/>
    <w:basedOn w:val="Normal"/>
    <w:uiPriority w:val="34"/>
    <w:qFormat/>
    <w:rsid w:val="0090714C"/>
    <w:pPr>
      <w:spacing w:before="0" w:after="200" w:line="276" w:lineRule="auto"/>
      <w:ind w:left="720"/>
      <w:contextualSpacing/>
    </w:pPr>
    <w:rPr>
      <w:rFonts w:asciiTheme="minorHAnsi" w:hAnsiTheme="minorHAnsi" w:cstheme="minorBidi"/>
      <w:sz w:val="22"/>
    </w:rPr>
  </w:style>
  <w:style w:type="character" w:customStyle="1" w:styleId="watch-title">
    <w:name w:val="watch-title"/>
    <w:basedOn w:val="DefaultParagraphFont"/>
    <w:rsid w:val="0090714C"/>
    <w:rPr>
      <w:sz w:val="24"/>
      <w:szCs w:val="24"/>
      <w:bdr w:val="none" w:sz="0" w:space="0" w:color="auto" w:frame="1"/>
      <w:shd w:val="clear" w:color="auto" w:fill="auto"/>
    </w:rPr>
  </w:style>
  <w:style w:type="character" w:customStyle="1" w:styleId="A3">
    <w:name w:val="A3"/>
    <w:uiPriority w:val="99"/>
    <w:rsid w:val="0090714C"/>
    <w:rPr>
      <w:rFonts w:cs="EC Square Sans Pro"/>
      <w:color w:val="000000"/>
      <w:sz w:val="20"/>
      <w:szCs w:val="20"/>
    </w:rPr>
  </w:style>
  <w:style w:type="paragraph" w:customStyle="1" w:styleId="5Normal">
    <w:name w:val="5 Normal"/>
    <w:basedOn w:val="Normal"/>
    <w:link w:val="5NormalChar"/>
    <w:rsid w:val="0090714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sid w:val="0090714C"/>
    <w:rPr>
      <w:rFonts w:ascii="Verdana" w:eastAsia="Times New Roman" w:hAnsi="Verdana" w:cs="Times New Roman"/>
      <w:spacing w:val="-2"/>
      <w:sz w:val="20"/>
      <w:szCs w:val="24"/>
      <w:lang w:val="en-GB" w:eastAsia="en-GB"/>
    </w:rPr>
  </w:style>
  <w:style w:type="character" w:customStyle="1" w:styleId="CommentTextChar">
    <w:name w:val="Comment Text Char"/>
    <w:basedOn w:val="DefaultParagraphFont"/>
    <w:link w:val="CommentText"/>
    <w:uiPriority w:val="99"/>
    <w:semiHidden/>
    <w:rsid w:val="0090714C"/>
    <w:rPr>
      <w:sz w:val="20"/>
      <w:szCs w:val="20"/>
      <w:lang w:val="en-GB"/>
    </w:rPr>
  </w:style>
  <w:style w:type="paragraph" w:styleId="CommentText">
    <w:name w:val="annotation text"/>
    <w:basedOn w:val="Normal"/>
    <w:link w:val="CommentTextChar"/>
    <w:uiPriority w:val="99"/>
    <w:semiHidden/>
    <w:unhideWhenUsed/>
    <w:rsid w:val="0090714C"/>
    <w:pPr>
      <w:spacing w:before="0" w:after="200" w:line="240" w:lineRule="auto"/>
    </w:pPr>
    <w:rPr>
      <w:rFonts w:asciiTheme="minorHAnsi" w:hAnsiTheme="minorHAnsi" w:cstheme="minorBidi"/>
      <w:sz w:val="20"/>
      <w:szCs w:val="20"/>
    </w:rPr>
  </w:style>
  <w:style w:type="character" w:customStyle="1" w:styleId="CommentTextChar1">
    <w:name w:val="Comment Text Char1"/>
    <w:basedOn w:val="DefaultParagraphFont"/>
    <w:uiPriority w:val="99"/>
    <w:semiHidden/>
    <w:rsid w:val="0090714C"/>
    <w:rPr>
      <w:rFonts w:ascii="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90714C"/>
    <w:rPr>
      <w:b/>
      <w:bCs/>
      <w:sz w:val="20"/>
      <w:szCs w:val="20"/>
      <w:lang w:val="en-GB"/>
    </w:rPr>
  </w:style>
  <w:style w:type="paragraph" w:styleId="CommentSubject">
    <w:name w:val="annotation subject"/>
    <w:basedOn w:val="CommentText"/>
    <w:next w:val="CommentText"/>
    <w:link w:val="CommentSubjectChar"/>
    <w:uiPriority w:val="99"/>
    <w:semiHidden/>
    <w:unhideWhenUsed/>
    <w:rsid w:val="0090714C"/>
    <w:rPr>
      <w:b/>
      <w:bCs/>
    </w:rPr>
  </w:style>
  <w:style w:type="character" w:customStyle="1" w:styleId="CommentSubjectChar1">
    <w:name w:val="Comment Subject Char1"/>
    <w:basedOn w:val="CommentTextChar1"/>
    <w:uiPriority w:val="99"/>
    <w:semiHidden/>
    <w:rsid w:val="0090714C"/>
    <w:rPr>
      <w:rFonts w:ascii="Times New Roman" w:hAnsi="Times New Roman" w:cs="Times New Roman"/>
      <w:b/>
      <w:bCs/>
      <w:sz w:val="20"/>
      <w:szCs w:val="20"/>
      <w:lang w:val="en-GB"/>
    </w:rPr>
  </w:style>
  <w:style w:type="paragraph" w:styleId="TOCHeading">
    <w:name w:val="TOC Heading"/>
    <w:basedOn w:val="Heading1"/>
    <w:next w:val="Normal"/>
    <w:uiPriority w:val="39"/>
    <w:semiHidden/>
    <w:unhideWhenUsed/>
    <w:qFormat/>
    <w:rsid w:val="0090714C"/>
    <w:pPr>
      <w:outlineLvl w:val="9"/>
    </w:pPr>
    <w:rPr>
      <w:lang w:val="en-US" w:eastAsia="ja-JP"/>
    </w:rPr>
  </w:style>
  <w:style w:type="paragraph" w:styleId="TOC2">
    <w:name w:val="toc 2"/>
    <w:basedOn w:val="Normal"/>
    <w:next w:val="Normal"/>
    <w:autoRedefine/>
    <w:uiPriority w:val="39"/>
    <w:unhideWhenUsed/>
    <w:qFormat/>
    <w:rsid w:val="00342AD8"/>
    <w:pPr>
      <w:tabs>
        <w:tab w:val="left" w:pos="660"/>
        <w:tab w:val="right" w:leader="dot" w:pos="9629"/>
      </w:tabs>
      <w:spacing w:before="0" w:after="100" w:line="276" w:lineRule="auto"/>
      <w:ind w:left="221"/>
    </w:pPr>
    <w:rPr>
      <w:rFonts w:asciiTheme="minorHAnsi" w:hAnsiTheme="minorHAnsi" w:cstheme="minorBidi"/>
      <w:sz w:val="22"/>
    </w:rPr>
  </w:style>
  <w:style w:type="paragraph" w:styleId="TOC3">
    <w:name w:val="toc 3"/>
    <w:basedOn w:val="Normal"/>
    <w:next w:val="Normal"/>
    <w:autoRedefine/>
    <w:uiPriority w:val="39"/>
    <w:unhideWhenUsed/>
    <w:qFormat/>
    <w:rsid w:val="00342AD8"/>
    <w:pPr>
      <w:tabs>
        <w:tab w:val="right" w:leader="dot" w:pos="9629"/>
      </w:tabs>
      <w:spacing w:before="0" w:after="100" w:line="276" w:lineRule="auto"/>
      <w:ind w:left="442"/>
    </w:pPr>
    <w:rPr>
      <w:rFonts w:asciiTheme="minorHAnsi" w:hAnsiTheme="minorHAnsi" w:cstheme="minorBidi"/>
      <w:sz w:val="22"/>
    </w:rPr>
  </w:style>
  <w:style w:type="paragraph" w:styleId="Revision">
    <w:name w:val="Revision"/>
    <w:hidden/>
    <w:uiPriority w:val="99"/>
    <w:semiHidden/>
    <w:rsid w:val="0090714C"/>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sid w:val="0090714C"/>
    <w:rPr>
      <w:color w:val="800080" w:themeColor="followedHyperlink"/>
      <w:u w:val="single"/>
    </w:rPr>
  </w:style>
  <w:style w:type="paragraph" w:styleId="PlainText">
    <w:name w:val="Plain Text"/>
    <w:basedOn w:val="Normal"/>
    <w:link w:val="PlainTextChar"/>
    <w:uiPriority w:val="99"/>
    <w:semiHidden/>
    <w:unhideWhenUsed/>
    <w:rsid w:val="0090714C"/>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90714C"/>
    <w:rPr>
      <w:rFonts w:ascii="Calibri" w:hAnsi="Calibri"/>
      <w:szCs w:val="21"/>
      <w:lang w:val="en-GB"/>
    </w:rPr>
  </w:style>
  <w:style w:type="paragraph" w:styleId="NormalWeb">
    <w:name w:val="Normal (Web)"/>
    <w:basedOn w:val="Normal"/>
    <w:uiPriority w:val="99"/>
    <w:semiHidden/>
    <w:unhideWhenUsed/>
    <w:rsid w:val="0090714C"/>
    <w:pPr>
      <w:spacing w:before="100" w:beforeAutospacing="1" w:after="100" w:afterAutospacing="1" w:line="240" w:lineRule="auto"/>
    </w:pPr>
    <w:rPr>
      <w:szCs w:val="24"/>
    </w:rPr>
  </w:style>
  <w:style w:type="paragraph" w:customStyle="1" w:styleId="a">
    <w:name w:val="a"/>
    <w:basedOn w:val="Normal"/>
    <w:uiPriority w:val="99"/>
    <w:semiHidden/>
    <w:rsid w:val="0090714C"/>
    <w:pPr>
      <w:spacing w:before="0" w:after="150" w:line="240" w:lineRule="auto"/>
    </w:pPr>
    <w:rPr>
      <w:szCs w:val="24"/>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1, BVI fnr"/>
    <w:basedOn w:val="Normal"/>
    <w:uiPriority w:val="99"/>
    <w:rsid w:val="0090714C"/>
    <w:pPr>
      <w:spacing w:before="0" w:after="160" w:line="240" w:lineRule="exact"/>
    </w:pPr>
    <w:rPr>
      <w:rFonts w:asciiTheme="minorHAnsi" w:hAnsiTheme="minorHAnsi" w:cstheme="minorBidi"/>
      <w:sz w:val="22"/>
      <w:vertAlign w:val="superscript"/>
    </w:rPr>
  </w:style>
  <w:style w:type="character" w:customStyle="1" w:styleId="st">
    <w:name w:val="st"/>
    <w:basedOn w:val="DefaultParagraphFont"/>
    <w:rsid w:val="0090714C"/>
  </w:style>
  <w:style w:type="character" w:customStyle="1" w:styleId="e24kjd">
    <w:name w:val="e24kjd"/>
    <w:basedOn w:val="DefaultParagraphFont"/>
    <w:rsid w:val="0090714C"/>
  </w:style>
  <w:style w:type="paragraph" w:customStyle="1" w:styleId="Char2">
    <w:name w:val="Char2"/>
    <w:basedOn w:val="Normal"/>
    <w:uiPriority w:val="99"/>
    <w:rsid w:val="00342AD8"/>
    <w:pPr>
      <w:spacing w:before="0" w:after="0" w:line="240" w:lineRule="exact"/>
    </w:pPr>
    <w:rPr>
      <w:rFonts w:asciiTheme="minorHAnsi" w:hAnsiTheme="minorHAnsi" w:cstheme="minorBidi"/>
      <w:sz w:val="22"/>
      <w:vertAlign w:val="superscript"/>
    </w:rPr>
  </w:style>
  <w:style w:type="character" w:customStyle="1" w:styleId="hps">
    <w:name w:val="hps"/>
    <w:basedOn w:val="DefaultParagraphFont"/>
    <w:rsid w:val="00342AD8"/>
  </w:style>
  <w:style w:type="paragraph" w:customStyle="1" w:styleId="ZDGName">
    <w:name w:val="Z_DGName"/>
    <w:basedOn w:val="Normal"/>
    <w:rsid w:val="00342AD8"/>
    <w:pPr>
      <w:widowControl w:val="0"/>
      <w:autoSpaceDE w:val="0"/>
      <w:autoSpaceDN w:val="0"/>
      <w:spacing w:before="0" w:after="0" w:line="240" w:lineRule="auto"/>
      <w:ind w:right="85"/>
    </w:pPr>
    <w:rPr>
      <w:rFonts w:ascii="Arial" w:eastAsia="Times New Roman" w:hAnsi="Arial" w:cs="Arial"/>
      <w:sz w:val="16"/>
      <w:szCs w:val="16"/>
      <w:lang w:eastAsia="en-GB"/>
    </w:rPr>
  </w:style>
  <w:style w:type="character" w:customStyle="1" w:styleId="bumpedfont15">
    <w:name w:val="bumpedfont15"/>
    <w:basedOn w:val="DefaultParagraphFont"/>
    <w:rsid w:val="00342AD8"/>
  </w:style>
  <w:style w:type="paragraph" w:customStyle="1" w:styleId="intro">
    <w:name w:val="intro"/>
    <w:basedOn w:val="Normal"/>
    <w:rsid w:val="00342AD8"/>
    <w:pPr>
      <w:spacing w:before="100" w:beforeAutospacing="1" w:after="100" w:afterAutospacing="1" w:line="240" w:lineRule="auto"/>
    </w:pPr>
    <w:rPr>
      <w:rFonts w:eastAsia="Times New Roman"/>
      <w:szCs w:val="24"/>
      <w:lang w:val="en-US"/>
    </w:rPr>
  </w:style>
  <w:style w:type="paragraph" w:customStyle="1" w:styleId="Briefingsp">
    <w:name w:val="Briefing sp"/>
    <w:basedOn w:val="Normal"/>
    <w:autoRedefine/>
    <w:qFormat/>
    <w:rsid w:val="00712A52"/>
    <w:pPr>
      <w:widowControl w:val="0"/>
      <w:numPr>
        <w:ilvl w:val="3"/>
        <w:numId w:val="32"/>
      </w:numPr>
      <w:tabs>
        <w:tab w:val="left" w:pos="426"/>
      </w:tabs>
      <w:spacing w:before="0" w:line="240" w:lineRule="auto"/>
      <w:ind w:left="426" w:right="-94"/>
      <w:jc w:val="both"/>
    </w:pPr>
    <w:rPr>
      <w:rFonts w:eastAsia="Calibri"/>
      <w:szCs w:val="24"/>
      <w:lang w:eastAsia="en-GB"/>
    </w:rPr>
  </w:style>
  <w:style w:type="character" w:customStyle="1" w:styleId="italic">
    <w:name w:val="italic"/>
    <w:basedOn w:val="DefaultParagraphFont"/>
    <w:rsid w:val="00631B8B"/>
  </w:style>
  <w:style w:type="character" w:customStyle="1" w:styleId="sup">
    <w:name w:val="sup"/>
    <w:basedOn w:val="DefaultParagraphFont"/>
    <w:rsid w:val="00631B8B"/>
  </w:style>
  <w:style w:type="paragraph" w:customStyle="1" w:styleId="Pa13">
    <w:name w:val="Pa13"/>
    <w:basedOn w:val="Default"/>
    <w:next w:val="Default"/>
    <w:uiPriority w:val="99"/>
    <w:rsid w:val="00700BF8"/>
    <w:pPr>
      <w:adjustRightInd w:val="0"/>
      <w:spacing w:line="181" w:lineRule="atLeast"/>
    </w:pPr>
    <w:rPr>
      <w:rFonts w:ascii="DaxlinePro-Regular" w:hAnsi="DaxlinePro-Regular" w:cstheme="minorBidi"/>
      <w:color w:val="auto"/>
      <w:lang w:eastAsia="en-US"/>
    </w:rPr>
  </w:style>
  <w:style w:type="paragraph" w:customStyle="1" w:styleId="Pa16">
    <w:name w:val="Pa16"/>
    <w:basedOn w:val="Default"/>
    <w:next w:val="Default"/>
    <w:uiPriority w:val="99"/>
    <w:rsid w:val="00700BF8"/>
    <w:pPr>
      <w:adjustRightInd w:val="0"/>
      <w:spacing w:line="401" w:lineRule="atLeast"/>
    </w:pPr>
    <w:rPr>
      <w:rFonts w:ascii="DaxlinePro-Regular" w:hAnsi="DaxlinePro-Regular" w:cstheme="minorBidi"/>
      <w:color w:val="auto"/>
      <w:lang w:eastAsia="en-US"/>
    </w:rPr>
  </w:style>
  <w:style w:type="character" w:customStyle="1" w:styleId="A7">
    <w:name w:val="A7"/>
    <w:uiPriority w:val="99"/>
    <w:rsid w:val="00700BF8"/>
    <w:rPr>
      <w:rFonts w:ascii="DaxlinePro-ExtraBold" w:hAnsi="DaxlinePro-ExtraBold" w:cs="DaxlinePro-ExtraBold"/>
      <w:b/>
      <w:bCs/>
      <w:color w:val="000000"/>
      <w:sz w:val="18"/>
      <w:szCs w:val="18"/>
    </w:rPr>
  </w:style>
  <w:style w:type="character" w:customStyle="1" w:styleId="A6">
    <w:name w:val="A6"/>
    <w:uiPriority w:val="99"/>
    <w:rsid w:val="00700BF8"/>
    <w:rPr>
      <w:rFonts w:cs="DaxlinePro-Regular"/>
      <w:color w:val="000000"/>
      <w:sz w:val="18"/>
      <w:szCs w:val="18"/>
    </w:rPr>
  </w:style>
  <w:style w:type="character" w:customStyle="1" w:styleId="A4">
    <w:name w:val="A4"/>
    <w:uiPriority w:val="99"/>
    <w:rsid w:val="00700BF8"/>
    <w:rPr>
      <w:rFonts w:cs="DaxlinePro-Regular"/>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4489">
      <w:bodyDiv w:val="1"/>
      <w:marLeft w:val="0"/>
      <w:marRight w:val="0"/>
      <w:marTop w:val="0"/>
      <w:marBottom w:val="0"/>
      <w:divBdr>
        <w:top w:val="none" w:sz="0" w:space="0" w:color="auto"/>
        <w:left w:val="none" w:sz="0" w:space="0" w:color="auto"/>
        <w:bottom w:val="none" w:sz="0" w:space="0" w:color="auto"/>
        <w:right w:val="none" w:sz="0" w:space="0" w:color="auto"/>
      </w:divBdr>
    </w:div>
    <w:div w:id="164827804">
      <w:bodyDiv w:val="1"/>
      <w:marLeft w:val="0"/>
      <w:marRight w:val="0"/>
      <w:marTop w:val="0"/>
      <w:marBottom w:val="0"/>
      <w:divBdr>
        <w:top w:val="none" w:sz="0" w:space="0" w:color="auto"/>
        <w:left w:val="none" w:sz="0" w:space="0" w:color="auto"/>
        <w:bottom w:val="none" w:sz="0" w:space="0" w:color="auto"/>
        <w:right w:val="none" w:sz="0" w:space="0" w:color="auto"/>
      </w:divBdr>
    </w:div>
    <w:div w:id="213009247">
      <w:bodyDiv w:val="1"/>
      <w:marLeft w:val="0"/>
      <w:marRight w:val="0"/>
      <w:marTop w:val="0"/>
      <w:marBottom w:val="0"/>
      <w:divBdr>
        <w:top w:val="none" w:sz="0" w:space="0" w:color="auto"/>
        <w:left w:val="none" w:sz="0" w:space="0" w:color="auto"/>
        <w:bottom w:val="none" w:sz="0" w:space="0" w:color="auto"/>
        <w:right w:val="none" w:sz="0" w:space="0" w:color="auto"/>
      </w:divBdr>
    </w:div>
    <w:div w:id="624042482">
      <w:bodyDiv w:val="1"/>
      <w:marLeft w:val="0"/>
      <w:marRight w:val="0"/>
      <w:marTop w:val="0"/>
      <w:marBottom w:val="0"/>
      <w:divBdr>
        <w:top w:val="none" w:sz="0" w:space="0" w:color="auto"/>
        <w:left w:val="none" w:sz="0" w:space="0" w:color="auto"/>
        <w:bottom w:val="none" w:sz="0" w:space="0" w:color="auto"/>
        <w:right w:val="none" w:sz="0" w:space="0" w:color="auto"/>
      </w:divBdr>
    </w:div>
    <w:div w:id="800609088">
      <w:bodyDiv w:val="1"/>
      <w:marLeft w:val="0"/>
      <w:marRight w:val="0"/>
      <w:marTop w:val="0"/>
      <w:marBottom w:val="0"/>
      <w:divBdr>
        <w:top w:val="none" w:sz="0" w:space="0" w:color="auto"/>
        <w:left w:val="none" w:sz="0" w:space="0" w:color="auto"/>
        <w:bottom w:val="none" w:sz="0" w:space="0" w:color="auto"/>
        <w:right w:val="none" w:sz="0" w:space="0" w:color="auto"/>
      </w:divBdr>
    </w:div>
    <w:div w:id="807404255">
      <w:bodyDiv w:val="1"/>
      <w:marLeft w:val="0"/>
      <w:marRight w:val="0"/>
      <w:marTop w:val="0"/>
      <w:marBottom w:val="0"/>
      <w:divBdr>
        <w:top w:val="none" w:sz="0" w:space="0" w:color="auto"/>
        <w:left w:val="none" w:sz="0" w:space="0" w:color="auto"/>
        <w:bottom w:val="none" w:sz="0" w:space="0" w:color="auto"/>
        <w:right w:val="none" w:sz="0" w:space="0" w:color="auto"/>
      </w:divBdr>
    </w:div>
    <w:div w:id="836074521">
      <w:bodyDiv w:val="1"/>
      <w:marLeft w:val="0"/>
      <w:marRight w:val="0"/>
      <w:marTop w:val="0"/>
      <w:marBottom w:val="0"/>
      <w:divBdr>
        <w:top w:val="none" w:sz="0" w:space="0" w:color="auto"/>
        <w:left w:val="none" w:sz="0" w:space="0" w:color="auto"/>
        <w:bottom w:val="none" w:sz="0" w:space="0" w:color="auto"/>
        <w:right w:val="none" w:sz="0" w:space="0" w:color="auto"/>
      </w:divBdr>
    </w:div>
    <w:div w:id="935673056">
      <w:bodyDiv w:val="1"/>
      <w:marLeft w:val="0"/>
      <w:marRight w:val="0"/>
      <w:marTop w:val="0"/>
      <w:marBottom w:val="0"/>
      <w:divBdr>
        <w:top w:val="none" w:sz="0" w:space="0" w:color="auto"/>
        <w:left w:val="none" w:sz="0" w:space="0" w:color="auto"/>
        <w:bottom w:val="none" w:sz="0" w:space="0" w:color="auto"/>
        <w:right w:val="none" w:sz="0" w:space="0" w:color="auto"/>
      </w:divBdr>
    </w:div>
    <w:div w:id="993222585">
      <w:bodyDiv w:val="1"/>
      <w:marLeft w:val="0"/>
      <w:marRight w:val="0"/>
      <w:marTop w:val="0"/>
      <w:marBottom w:val="0"/>
      <w:divBdr>
        <w:top w:val="none" w:sz="0" w:space="0" w:color="auto"/>
        <w:left w:val="none" w:sz="0" w:space="0" w:color="auto"/>
        <w:bottom w:val="none" w:sz="0" w:space="0" w:color="auto"/>
        <w:right w:val="none" w:sz="0" w:space="0" w:color="auto"/>
      </w:divBdr>
    </w:div>
    <w:div w:id="1139347703">
      <w:bodyDiv w:val="1"/>
      <w:marLeft w:val="0"/>
      <w:marRight w:val="0"/>
      <w:marTop w:val="0"/>
      <w:marBottom w:val="0"/>
      <w:divBdr>
        <w:top w:val="none" w:sz="0" w:space="0" w:color="auto"/>
        <w:left w:val="none" w:sz="0" w:space="0" w:color="auto"/>
        <w:bottom w:val="none" w:sz="0" w:space="0" w:color="auto"/>
        <w:right w:val="none" w:sz="0" w:space="0" w:color="auto"/>
      </w:divBdr>
    </w:div>
    <w:div w:id="1188445955">
      <w:bodyDiv w:val="1"/>
      <w:marLeft w:val="0"/>
      <w:marRight w:val="0"/>
      <w:marTop w:val="0"/>
      <w:marBottom w:val="0"/>
      <w:divBdr>
        <w:top w:val="none" w:sz="0" w:space="0" w:color="auto"/>
        <w:left w:val="none" w:sz="0" w:space="0" w:color="auto"/>
        <w:bottom w:val="none" w:sz="0" w:space="0" w:color="auto"/>
        <w:right w:val="none" w:sz="0" w:space="0" w:color="auto"/>
      </w:divBdr>
    </w:div>
    <w:div w:id="1253121760">
      <w:bodyDiv w:val="1"/>
      <w:marLeft w:val="0"/>
      <w:marRight w:val="0"/>
      <w:marTop w:val="0"/>
      <w:marBottom w:val="0"/>
      <w:divBdr>
        <w:top w:val="none" w:sz="0" w:space="0" w:color="auto"/>
        <w:left w:val="none" w:sz="0" w:space="0" w:color="auto"/>
        <w:bottom w:val="none" w:sz="0" w:space="0" w:color="auto"/>
        <w:right w:val="none" w:sz="0" w:space="0" w:color="auto"/>
      </w:divBdr>
    </w:div>
    <w:div w:id="1351223240">
      <w:bodyDiv w:val="1"/>
      <w:marLeft w:val="0"/>
      <w:marRight w:val="0"/>
      <w:marTop w:val="0"/>
      <w:marBottom w:val="0"/>
      <w:divBdr>
        <w:top w:val="none" w:sz="0" w:space="0" w:color="auto"/>
        <w:left w:val="none" w:sz="0" w:space="0" w:color="auto"/>
        <w:bottom w:val="none" w:sz="0" w:space="0" w:color="auto"/>
        <w:right w:val="none" w:sz="0" w:space="0" w:color="auto"/>
      </w:divBdr>
    </w:div>
    <w:div w:id="1378316596">
      <w:bodyDiv w:val="1"/>
      <w:marLeft w:val="0"/>
      <w:marRight w:val="0"/>
      <w:marTop w:val="0"/>
      <w:marBottom w:val="0"/>
      <w:divBdr>
        <w:top w:val="none" w:sz="0" w:space="0" w:color="auto"/>
        <w:left w:val="none" w:sz="0" w:space="0" w:color="auto"/>
        <w:bottom w:val="none" w:sz="0" w:space="0" w:color="auto"/>
        <w:right w:val="none" w:sz="0" w:space="0" w:color="auto"/>
      </w:divBdr>
    </w:div>
    <w:div w:id="1490708875">
      <w:bodyDiv w:val="1"/>
      <w:marLeft w:val="0"/>
      <w:marRight w:val="0"/>
      <w:marTop w:val="0"/>
      <w:marBottom w:val="0"/>
      <w:divBdr>
        <w:top w:val="none" w:sz="0" w:space="0" w:color="auto"/>
        <w:left w:val="none" w:sz="0" w:space="0" w:color="auto"/>
        <w:bottom w:val="none" w:sz="0" w:space="0" w:color="auto"/>
        <w:right w:val="none" w:sz="0" w:space="0" w:color="auto"/>
      </w:divBdr>
    </w:div>
    <w:div w:id="1784155653">
      <w:bodyDiv w:val="1"/>
      <w:marLeft w:val="0"/>
      <w:marRight w:val="0"/>
      <w:marTop w:val="0"/>
      <w:marBottom w:val="0"/>
      <w:divBdr>
        <w:top w:val="none" w:sz="0" w:space="0" w:color="auto"/>
        <w:left w:val="none" w:sz="0" w:space="0" w:color="auto"/>
        <w:bottom w:val="none" w:sz="0" w:space="0" w:color="auto"/>
        <w:right w:val="none" w:sz="0" w:space="0" w:color="auto"/>
      </w:divBdr>
    </w:div>
    <w:div w:id="1788966703">
      <w:bodyDiv w:val="1"/>
      <w:marLeft w:val="0"/>
      <w:marRight w:val="0"/>
      <w:marTop w:val="0"/>
      <w:marBottom w:val="0"/>
      <w:divBdr>
        <w:top w:val="none" w:sz="0" w:space="0" w:color="auto"/>
        <w:left w:val="none" w:sz="0" w:space="0" w:color="auto"/>
        <w:bottom w:val="none" w:sz="0" w:space="0" w:color="auto"/>
        <w:right w:val="none" w:sz="0" w:space="0" w:color="auto"/>
      </w:divBdr>
    </w:div>
    <w:div w:id="1800950757">
      <w:bodyDiv w:val="1"/>
      <w:marLeft w:val="0"/>
      <w:marRight w:val="0"/>
      <w:marTop w:val="0"/>
      <w:marBottom w:val="0"/>
      <w:divBdr>
        <w:top w:val="none" w:sz="0" w:space="0" w:color="auto"/>
        <w:left w:val="none" w:sz="0" w:space="0" w:color="auto"/>
        <w:bottom w:val="none" w:sz="0" w:space="0" w:color="auto"/>
        <w:right w:val="none" w:sz="0" w:space="0" w:color="auto"/>
      </w:divBdr>
    </w:div>
    <w:div w:id="1814056900">
      <w:bodyDiv w:val="1"/>
      <w:marLeft w:val="0"/>
      <w:marRight w:val="0"/>
      <w:marTop w:val="0"/>
      <w:marBottom w:val="0"/>
      <w:divBdr>
        <w:top w:val="none" w:sz="0" w:space="0" w:color="auto"/>
        <w:left w:val="none" w:sz="0" w:space="0" w:color="auto"/>
        <w:bottom w:val="none" w:sz="0" w:space="0" w:color="auto"/>
        <w:right w:val="none" w:sz="0" w:space="0" w:color="auto"/>
      </w:divBdr>
    </w:div>
    <w:div w:id="1820876398">
      <w:bodyDiv w:val="1"/>
      <w:marLeft w:val="0"/>
      <w:marRight w:val="0"/>
      <w:marTop w:val="0"/>
      <w:marBottom w:val="0"/>
      <w:divBdr>
        <w:top w:val="none" w:sz="0" w:space="0" w:color="auto"/>
        <w:left w:val="none" w:sz="0" w:space="0" w:color="auto"/>
        <w:bottom w:val="none" w:sz="0" w:space="0" w:color="auto"/>
        <w:right w:val="none" w:sz="0" w:space="0" w:color="auto"/>
      </w:divBdr>
    </w:div>
    <w:div w:id="1873300221">
      <w:bodyDiv w:val="1"/>
      <w:marLeft w:val="0"/>
      <w:marRight w:val="0"/>
      <w:marTop w:val="0"/>
      <w:marBottom w:val="0"/>
      <w:divBdr>
        <w:top w:val="none" w:sz="0" w:space="0" w:color="auto"/>
        <w:left w:val="none" w:sz="0" w:space="0" w:color="auto"/>
        <w:bottom w:val="none" w:sz="0" w:space="0" w:color="auto"/>
        <w:right w:val="none" w:sz="0" w:space="0" w:color="auto"/>
      </w:divBdr>
    </w:div>
    <w:div w:id="1926065280">
      <w:bodyDiv w:val="1"/>
      <w:marLeft w:val="0"/>
      <w:marRight w:val="0"/>
      <w:marTop w:val="0"/>
      <w:marBottom w:val="0"/>
      <w:divBdr>
        <w:top w:val="none" w:sz="0" w:space="0" w:color="auto"/>
        <w:left w:val="none" w:sz="0" w:space="0" w:color="auto"/>
        <w:bottom w:val="none" w:sz="0" w:space="0" w:color="auto"/>
        <w:right w:val="none" w:sz="0" w:space="0" w:color="auto"/>
      </w:divBdr>
    </w:div>
    <w:div w:id="1951013653">
      <w:bodyDiv w:val="1"/>
      <w:marLeft w:val="0"/>
      <w:marRight w:val="0"/>
      <w:marTop w:val="0"/>
      <w:marBottom w:val="0"/>
      <w:divBdr>
        <w:top w:val="none" w:sz="0" w:space="0" w:color="auto"/>
        <w:left w:val="none" w:sz="0" w:space="0" w:color="auto"/>
        <w:bottom w:val="none" w:sz="0" w:space="0" w:color="auto"/>
        <w:right w:val="none" w:sz="0" w:space="0" w:color="auto"/>
      </w:divBdr>
    </w:div>
    <w:div w:id="2043241748">
      <w:bodyDiv w:val="1"/>
      <w:marLeft w:val="0"/>
      <w:marRight w:val="0"/>
      <w:marTop w:val="0"/>
      <w:marBottom w:val="0"/>
      <w:divBdr>
        <w:top w:val="none" w:sz="0" w:space="0" w:color="auto"/>
        <w:left w:val="none" w:sz="0" w:space="0" w:color="auto"/>
        <w:bottom w:val="none" w:sz="0" w:space="0" w:color="auto"/>
        <w:right w:val="none" w:sz="0" w:space="0" w:color="auto"/>
      </w:divBdr>
    </w:div>
    <w:div w:id="2131433115">
      <w:bodyDiv w:val="1"/>
      <w:marLeft w:val="0"/>
      <w:marRight w:val="0"/>
      <w:marTop w:val="0"/>
      <w:marBottom w:val="0"/>
      <w:divBdr>
        <w:top w:val="none" w:sz="0" w:space="0" w:color="auto"/>
        <w:left w:val="none" w:sz="0" w:space="0" w:color="auto"/>
        <w:bottom w:val="none" w:sz="0" w:space="0" w:color="auto"/>
        <w:right w:val="none" w:sz="0" w:space="0" w:color="auto"/>
      </w:divBdr>
    </w:div>
    <w:div w:id="213301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en/ga/search/view_doc.asp?symbol=A/RES/7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grationdataportal.org/global-compact-for-migr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4BE96-7D1D-4E9E-952D-8B393F5A8E29}">
  <ds:schemaRefs>
    <ds:schemaRef ds:uri="http://schemas.microsoft.com/sharepoint/v3/contenttype/forms"/>
  </ds:schemaRefs>
</ds:datastoreItem>
</file>

<file path=customXml/itemProps2.xml><?xml version="1.0" encoding="utf-8"?>
<ds:datastoreItem xmlns:ds="http://schemas.openxmlformats.org/officeDocument/2006/customXml" ds:itemID="{2ED82694-CA23-4614-B99F-CF63BB810D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16F5991-E3B2-4801-B79D-F719D5B34110}"/>
</file>

<file path=customXml/itemProps4.xml><?xml version="1.0" encoding="utf-8"?>
<ds:datastoreItem xmlns:ds="http://schemas.openxmlformats.org/officeDocument/2006/customXml" ds:itemID="{994577E8-DCB1-4BFE-9B85-F4C21102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TotalTime>
  <Pages>9</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ZALOZNIK Olga</dc:creator>
  <cp:keywords/>
  <dc:description/>
  <cp:lastModifiedBy>Migration Team</cp:lastModifiedBy>
  <cp:revision>2</cp:revision>
  <cp:lastPrinted>2020-03-04T18:10:00Z</cp:lastPrinted>
  <dcterms:created xsi:type="dcterms:W3CDTF">2020-05-06T13:48:00Z</dcterms:created>
  <dcterms:modified xsi:type="dcterms:W3CDTF">2020-05-06T13:48:00Z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4.3.10, Build 20191129</vt:lpwstr>
  </property>
  <property fmtid="{D5CDD505-2E9C-101B-9397-08002B2CF9AE}" pid="4" name="Last edited using">
    <vt:lpwstr>DocuWrite 4.3.12, Build 20200224</vt:lpwstr>
  </property>
  <property fmtid="{D5CDD505-2E9C-101B-9397-08002B2CF9AE}" pid="5" name="SkipControlLengthPage">
    <vt:lpwstr/>
  </property>
  <property fmtid="{D5CDD505-2E9C-101B-9397-08002B2CF9AE}" pid="6" name="ContentTypeId">
    <vt:lpwstr>0x0101008822B9E06671B54FA89F14538B9B0FEA</vt:lpwstr>
  </property>
</Properties>
</file>