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5B0E4" w14:textId="77777777" w:rsidR="00F058C4" w:rsidRPr="00F058C4" w:rsidRDefault="00F058C4" w:rsidP="005D3DB9">
      <w:pPr>
        <w:autoSpaceDE w:val="0"/>
        <w:autoSpaceDN w:val="0"/>
        <w:adjustRightInd w:val="0"/>
        <w:spacing w:after="0" w:line="240" w:lineRule="auto"/>
        <w:rPr>
          <w:rFonts w:ascii="Calibri" w:eastAsia="Arial" w:hAnsi="Calibri" w:cstheme="minorHAnsi"/>
          <w:b/>
          <w:u w:val="single"/>
          <w:lang w:val="es-ES" w:eastAsia="zh-CN"/>
        </w:rPr>
      </w:pPr>
    </w:p>
    <w:p w14:paraId="4ECFEF92" w14:textId="77777777" w:rsidR="00F058C4" w:rsidRPr="00F058C4" w:rsidRDefault="00F058C4" w:rsidP="005D3DB9">
      <w:pPr>
        <w:autoSpaceDE w:val="0"/>
        <w:autoSpaceDN w:val="0"/>
        <w:adjustRightInd w:val="0"/>
        <w:spacing w:after="0" w:line="240" w:lineRule="auto"/>
        <w:rPr>
          <w:rFonts w:ascii="Calibri" w:eastAsia="Arial" w:hAnsi="Calibri" w:cstheme="minorHAnsi"/>
          <w:b/>
          <w:u w:val="single"/>
          <w:lang w:val="es-ES" w:eastAsia="zh-CN"/>
        </w:rPr>
      </w:pPr>
    </w:p>
    <w:p w14:paraId="240E4D27" w14:textId="77777777" w:rsidR="00F058C4" w:rsidRPr="00F058C4" w:rsidRDefault="00F058C4" w:rsidP="005D3DB9">
      <w:pPr>
        <w:autoSpaceDE w:val="0"/>
        <w:autoSpaceDN w:val="0"/>
        <w:adjustRightInd w:val="0"/>
        <w:spacing w:after="0" w:line="240" w:lineRule="auto"/>
        <w:rPr>
          <w:rFonts w:ascii="Calibri" w:eastAsia="Arial" w:hAnsi="Calibri" w:cstheme="minorHAnsi"/>
          <w:b/>
          <w:u w:val="single"/>
          <w:lang w:val="es-ES" w:eastAsia="zh-CN"/>
        </w:rPr>
      </w:pPr>
    </w:p>
    <w:p w14:paraId="2760E99D" w14:textId="2126759F" w:rsidR="005D3DB9" w:rsidRPr="00F058C4" w:rsidRDefault="00B53E3B" w:rsidP="005D3DB9">
      <w:pPr>
        <w:autoSpaceDE w:val="0"/>
        <w:autoSpaceDN w:val="0"/>
        <w:adjustRightInd w:val="0"/>
        <w:spacing w:after="0" w:line="240" w:lineRule="auto"/>
        <w:rPr>
          <w:rFonts w:ascii="Calibri" w:eastAsia="Arial" w:hAnsi="Calibri" w:cstheme="minorHAnsi"/>
          <w:b/>
          <w:u w:val="single"/>
          <w:lang w:val="es-ES" w:eastAsia="zh-CN"/>
        </w:rPr>
      </w:pPr>
      <w:r w:rsidRPr="00F058C4">
        <w:rPr>
          <w:rFonts w:ascii="Calibri" w:eastAsia="Arial" w:hAnsi="Calibri" w:cstheme="minorHAnsi"/>
          <w:b/>
          <w:u w:val="single"/>
          <w:lang w:val="es-ES" w:eastAsia="zh-CN"/>
        </w:rPr>
        <w:t>A</w:t>
      </w:r>
      <w:r w:rsidR="00D23AA8" w:rsidRPr="00F058C4">
        <w:rPr>
          <w:rFonts w:ascii="Calibri" w:eastAsia="Arial" w:hAnsi="Calibri" w:cstheme="minorHAnsi"/>
          <w:b/>
          <w:u w:val="single"/>
          <w:lang w:val="es-ES" w:eastAsia="zh-CN"/>
        </w:rPr>
        <w:t>ntecedentes</w:t>
      </w:r>
    </w:p>
    <w:p w14:paraId="75449F42" w14:textId="396A67F0" w:rsidR="009D403D" w:rsidRPr="00F058C4" w:rsidRDefault="009D403D" w:rsidP="009D403D">
      <w:pPr>
        <w:autoSpaceDE w:val="0"/>
        <w:autoSpaceDN w:val="0"/>
        <w:adjustRightInd w:val="0"/>
        <w:spacing w:after="0" w:line="240" w:lineRule="auto"/>
        <w:jc w:val="both"/>
        <w:rPr>
          <w:rFonts w:ascii="Calibri" w:eastAsia="Arial" w:hAnsi="Calibri" w:cstheme="minorHAnsi"/>
          <w:lang w:val="es-ES" w:eastAsia="zh-CN"/>
        </w:rPr>
      </w:pPr>
    </w:p>
    <w:p w14:paraId="3E8B43C4" w14:textId="3A0679B9" w:rsidR="00F058C4" w:rsidRPr="00F058C4" w:rsidRDefault="00F058C4" w:rsidP="00F058C4">
      <w:pPr>
        <w:shd w:val="clear" w:color="auto" w:fill="FFFFFF"/>
        <w:jc w:val="both"/>
        <w:rPr>
          <w:rFonts w:ascii="Calibri" w:hAnsi="Calibri" w:cs="Arial"/>
          <w:color w:val="222222"/>
        </w:rPr>
      </w:pPr>
      <w:r w:rsidRPr="00F058C4">
        <w:rPr>
          <w:rFonts w:ascii="Calibri" w:hAnsi="Calibri" w:cs="Arial"/>
          <w:color w:val="222222"/>
          <w:lang w:val="es-ES"/>
        </w:rPr>
        <w:t>La Comisión de Derechos Humanos de la Ciudad de México (CDHCM) es un organismo público autónomo, con personalidad jurídica y patrimonio propio, cuyo objetivo es la protección, defensa, vigilancia, promoción, estudio, educación y difusión de los derechos humanos de las personas que habitan y transitan en la Ciudad de México (CDMX), así como el combate a toda forma de discriminación y exclusión, como consecuencia de un acto de autoridad en contra de cualquier persona o grupo social.</w:t>
      </w:r>
    </w:p>
    <w:p w14:paraId="153BA8A7" w14:textId="2A01FDA9" w:rsidR="00F058C4" w:rsidRPr="00F058C4" w:rsidRDefault="00F058C4" w:rsidP="00F058C4">
      <w:pPr>
        <w:autoSpaceDE w:val="0"/>
        <w:autoSpaceDN w:val="0"/>
        <w:adjustRightInd w:val="0"/>
        <w:spacing w:after="0" w:line="240" w:lineRule="auto"/>
        <w:jc w:val="both"/>
        <w:rPr>
          <w:rFonts w:ascii="Calibri" w:eastAsia="Helvetica Neue" w:hAnsi="Calibri" w:cstheme="minorHAnsi"/>
          <w:lang w:val="es-ES" w:eastAsia="zh-CN"/>
        </w:rPr>
      </w:pPr>
      <w:r w:rsidRPr="00F058C4">
        <w:rPr>
          <w:rFonts w:ascii="Calibri" w:hAnsi="Calibri" w:cs="Arial"/>
          <w:color w:val="000000"/>
          <w:lang w:val="es-ES"/>
        </w:rPr>
        <w:t xml:space="preserve">Con motivo de la convocatoria </w:t>
      </w:r>
      <w:r w:rsidRPr="00F058C4">
        <w:rPr>
          <w:rFonts w:ascii="Calibri" w:hAnsi="Calibri" w:cs="Arial"/>
          <w:color w:val="000000"/>
          <w:lang w:val="es-ES"/>
        </w:rPr>
        <w:t xml:space="preserve">realizada </w:t>
      </w:r>
      <w:r w:rsidRPr="00F058C4">
        <w:rPr>
          <w:rFonts w:ascii="Calibri" w:eastAsia="Helvetica Neue" w:hAnsi="Calibri" w:cstheme="minorHAnsi"/>
          <w:lang w:val="es-ES" w:eastAsia="zh-CN"/>
        </w:rPr>
        <w:t>por l</w:t>
      </w:r>
      <w:r w:rsidRPr="00F058C4">
        <w:rPr>
          <w:rFonts w:ascii="Calibri" w:eastAsia="Helvetica Neue" w:hAnsi="Calibri" w:cstheme="minorHAnsi"/>
          <w:lang w:val="es-ES" w:eastAsia="zh-CN"/>
        </w:rPr>
        <w:t xml:space="preserve">a Sra. Claudia Mahler, Experta Independiente sobre el disfrute de todos los derechos humanos por las personas de edad, </w:t>
      </w:r>
      <w:r w:rsidRPr="00F058C4">
        <w:rPr>
          <w:rFonts w:ascii="Calibri" w:eastAsia="Helvetica Neue" w:hAnsi="Calibri" w:cstheme="minorHAnsi"/>
          <w:lang w:val="es-ES" w:eastAsia="zh-CN"/>
        </w:rPr>
        <w:t>en la que externó su Solicitud</w:t>
      </w:r>
      <w:r w:rsidRPr="00F058C4">
        <w:rPr>
          <w:rFonts w:ascii="Calibri" w:eastAsia="Helvetica Neue" w:hAnsi="Calibri" w:cstheme="minorHAnsi"/>
          <w:i/>
          <w:lang w:val="es-ES" w:eastAsia="zh-CN"/>
        </w:rPr>
        <w:t xml:space="preserve"> de presentaciones: Edadismo y discriminación por edad</w:t>
      </w:r>
      <w:r w:rsidRPr="00F058C4">
        <w:rPr>
          <w:rFonts w:ascii="Calibri" w:eastAsia="Helvetica Neue" w:hAnsi="Calibri" w:cstheme="minorHAnsi"/>
          <w:lang w:val="es-ES" w:eastAsia="zh-CN"/>
        </w:rPr>
        <w:t xml:space="preserve"> para fines de coadyuvar a la preparación de su reporte frente al Consejo de Derechos Humanos en su 48ª sesión. A continuación, se presentan las respuestas de la Comisión de Derechos Humanos de la Ciudad de México al cuestionario correspondiente.</w:t>
      </w:r>
    </w:p>
    <w:p w14:paraId="288CB1F1" w14:textId="5984D8C1" w:rsidR="00F058C4" w:rsidRPr="00F058C4" w:rsidRDefault="00F058C4" w:rsidP="00F058C4">
      <w:pPr>
        <w:shd w:val="clear" w:color="auto" w:fill="FFFFFF"/>
        <w:jc w:val="both"/>
        <w:rPr>
          <w:rFonts w:ascii="Calibri" w:hAnsi="Calibri" w:cs="Arial"/>
          <w:color w:val="222222"/>
        </w:rPr>
      </w:pPr>
    </w:p>
    <w:p w14:paraId="3893424B" w14:textId="44263921" w:rsidR="00F058C4" w:rsidRPr="00F058C4" w:rsidRDefault="00F058C4" w:rsidP="00F058C4">
      <w:pPr>
        <w:shd w:val="clear" w:color="auto" w:fill="FFFFFF"/>
        <w:tabs>
          <w:tab w:val="left" w:pos="7110"/>
        </w:tabs>
        <w:jc w:val="both"/>
        <w:rPr>
          <w:rFonts w:ascii="Calibri" w:hAnsi="Calibri" w:cs="Arial"/>
          <w:color w:val="222222"/>
        </w:rPr>
      </w:pPr>
      <w:r w:rsidRPr="00F058C4">
        <w:rPr>
          <w:rFonts w:ascii="Calibri" w:hAnsi="Calibri" w:cs="Arial"/>
          <w:b/>
          <w:bCs/>
          <w:color w:val="222222"/>
          <w:lang w:val="es-ES"/>
        </w:rPr>
        <w:t>Información de la Institución</w:t>
      </w:r>
      <w:r>
        <w:rPr>
          <w:rFonts w:ascii="Calibri" w:hAnsi="Calibri" w:cs="Arial"/>
          <w:b/>
          <w:bCs/>
          <w:color w:val="222222"/>
          <w:lang w:val="es-ES"/>
        </w:rPr>
        <w:tab/>
      </w:r>
    </w:p>
    <w:p w14:paraId="046305A0" w14:textId="77777777" w:rsidR="00F058C4" w:rsidRPr="00F058C4" w:rsidRDefault="00F058C4" w:rsidP="00F058C4">
      <w:pPr>
        <w:shd w:val="clear" w:color="auto" w:fill="FFFFFF"/>
        <w:jc w:val="both"/>
        <w:rPr>
          <w:rFonts w:ascii="Calibri" w:hAnsi="Calibri" w:cs="Arial"/>
          <w:i/>
          <w:color w:val="222222"/>
        </w:rPr>
      </w:pPr>
      <w:r w:rsidRPr="00F058C4">
        <w:rPr>
          <w:rFonts w:ascii="Calibri" w:hAnsi="Calibri" w:cs="Arial"/>
          <w:i/>
          <w:color w:val="222222"/>
          <w:lang w:val="es-ES"/>
        </w:rPr>
        <w:t>Comisión de Derechos Humanos de la Ciudad de México (CDHCM)</w:t>
      </w:r>
    </w:p>
    <w:p w14:paraId="65DB7E73" w14:textId="77777777" w:rsidR="00F058C4" w:rsidRPr="00F058C4" w:rsidRDefault="00F058C4" w:rsidP="00F058C4">
      <w:pPr>
        <w:shd w:val="clear" w:color="auto" w:fill="FFFFFF"/>
        <w:jc w:val="both"/>
        <w:rPr>
          <w:rFonts w:ascii="Calibri" w:hAnsi="Calibri" w:cs="Arial"/>
          <w:i/>
          <w:color w:val="222222"/>
        </w:rPr>
      </w:pPr>
      <w:r w:rsidRPr="00F058C4">
        <w:rPr>
          <w:rFonts w:ascii="Calibri" w:hAnsi="Calibri" w:cs="Arial"/>
          <w:color w:val="222222"/>
          <w:lang w:val="es-ES"/>
        </w:rPr>
        <w:t xml:space="preserve">País: </w:t>
      </w:r>
      <w:r w:rsidRPr="00F058C4">
        <w:rPr>
          <w:rFonts w:ascii="Calibri" w:hAnsi="Calibri" w:cs="Arial"/>
          <w:i/>
          <w:color w:val="222222"/>
          <w:lang w:val="es-ES"/>
        </w:rPr>
        <w:t>México</w:t>
      </w:r>
    </w:p>
    <w:p w14:paraId="308EEBE1" w14:textId="77777777" w:rsidR="00F058C4" w:rsidRPr="00F058C4" w:rsidRDefault="00F058C4" w:rsidP="00F058C4">
      <w:pPr>
        <w:shd w:val="clear" w:color="auto" w:fill="FFFFFF"/>
        <w:jc w:val="both"/>
        <w:rPr>
          <w:rFonts w:ascii="Calibri" w:hAnsi="Calibri" w:cs="Arial"/>
          <w:i/>
          <w:color w:val="222222"/>
        </w:rPr>
      </w:pPr>
      <w:r w:rsidRPr="00F058C4">
        <w:rPr>
          <w:rFonts w:ascii="Calibri" w:hAnsi="Calibri" w:cs="Arial"/>
          <w:color w:val="222222"/>
          <w:lang w:val="es-ES"/>
        </w:rPr>
        <w:t xml:space="preserve">Información de contacto: </w:t>
      </w:r>
      <w:r w:rsidRPr="00F058C4">
        <w:rPr>
          <w:rFonts w:ascii="Calibri" w:hAnsi="Calibri" w:cs="Arial"/>
          <w:i/>
          <w:color w:val="222222"/>
          <w:lang w:val="es-ES"/>
        </w:rPr>
        <w:t>Secretaría Ejecutiva, Tel. </w:t>
      </w:r>
      <w:r w:rsidRPr="00F058C4">
        <w:rPr>
          <w:rFonts w:ascii="Calibri" w:hAnsi="Calibri" w:cs="Arial"/>
          <w:i/>
          <w:color w:val="222222"/>
          <w:lang w:val="en-US"/>
        </w:rPr>
        <w:t>+ (52) 55.52.29.56.00 Ext. 2402.</w:t>
      </w:r>
    </w:p>
    <w:p w14:paraId="75FBD201" w14:textId="77777777" w:rsidR="00F058C4" w:rsidRPr="00F058C4" w:rsidRDefault="00F058C4" w:rsidP="00F058C4">
      <w:pPr>
        <w:shd w:val="clear" w:color="auto" w:fill="FFFFFF"/>
        <w:jc w:val="both"/>
        <w:rPr>
          <w:rFonts w:ascii="Calibri" w:hAnsi="Calibri" w:cs="Arial"/>
          <w:i/>
          <w:color w:val="222222"/>
        </w:rPr>
      </w:pPr>
      <w:hyperlink r:id="rId11" w:tgtFrame="_blank" w:history="1">
        <w:r w:rsidRPr="00F058C4">
          <w:rPr>
            <w:rStyle w:val="Hipervnculo"/>
            <w:rFonts w:ascii="Calibri" w:hAnsi="Calibri" w:cs="Arial"/>
            <w:i/>
            <w:color w:val="1155CC"/>
            <w:lang w:val="en-US"/>
          </w:rPr>
          <w:t>secretaria.ejecutiva@cdhcm.org.mx</w:t>
        </w:r>
      </w:hyperlink>
    </w:p>
    <w:p w14:paraId="58B46434" w14:textId="77777777" w:rsidR="00F058C4" w:rsidRPr="00F058C4" w:rsidRDefault="00F058C4" w:rsidP="00F058C4">
      <w:pPr>
        <w:shd w:val="clear" w:color="auto" w:fill="FFFFFF"/>
        <w:jc w:val="both"/>
        <w:rPr>
          <w:rFonts w:ascii="Calibri" w:hAnsi="Calibri" w:cs="Arial"/>
          <w:color w:val="222222"/>
        </w:rPr>
      </w:pPr>
      <w:r w:rsidRPr="00F058C4">
        <w:rPr>
          <w:rFonts w:ascii="Calibri" w:hAnsi="Calibri" w:cs="Arial"/>
          <w:color w:val="222222"/>
          <w:lang w:val="es-ES"/>
        </w:rPr>
        <w:t xml:space="preserve">Fecha: </w:t>
      </w:r>
      <w:r w:rsidRPr="00F058C4">
        <w:rPr>
          <w:rFonts w:ascii="Calibri" w:hAnsi="Calibri" w:cs="Arial"/>
          <w:i/>
          <w:color w:val="222222"/>
          <w:lang w:val="es-ES"/>
        </w:rPr>
        <w:t>22 de marzo de 2021.</w:t>
      </w:r>
    </w:p>
    <w:p w14:paraId="53B2A636" w14:textId="77777777" w:rsidR="00F058C4" w:rsidRPr="00F058C4" w:rsidRDefault="00F058C4" w:rsidP="00987EE8">
      <w:pPr>
        <w:autoSpaceDE w:val="0"/>
        <w:autoSpaceDN w:val="0"/>
        <w:adjustRightInd w:val="0"/>
        <w:spacing w:after="0" w:line="240" w:lineRule="auto"/>
        <w:ind w:firstLine="360"/>
        <w:jc w:val="both"/>
        <w:rPr>
          <w:rFonts w:ascii="Calibri" w:eastAsia="Helvetica Neue" w:hAnsi="Calibri" w:cstheme="minorHAnsi"/>
          <w:lang w:val="es-ES" w:eastAsia="zh-CN"/>
        </w:rPr>
      </w:pPr>
    </w:p>
    <w:p w14:paraId="7B67B0FF" w14:textId="1925B52F" w:rsidR="00351E64" w:rsidRPr="00F058C4" w:rsidRDefault="00351E64" w:rsidP="00351E64">
      <w:pPr>
        <w:autoSpaceDE w:val="0"/>
        <w:autoSpaceDN w:val="0"/>
        <w:adjustRightInd w:val="0"/>
        <w:spacing w:after="0" w:line="240" w:lineRule="auto"/>
        <w:rPr>
          <w:rFonts w:ascii="Calibri" w:eastAsia="Arial" w:hAnsi="Calibri" w:cstheme="minorHAnsi"/>
          <w:b/>
          <w:u w:val="single"/>
          <w:lang w:val="es-MX" w:eastAsia="zh-CN"/>
        </w:rPr>
      </w:pPr>
      <w:r w:rsidRPr="00F058C4">
        <w:rPr>
          <w:rFonts w:ascii="Calibri" w:eastAsia="Arial" w:hAnsi="Calibri" w:cstheme="minorHAnsi"/>
          <w:b/>
          <w:u w:val="single"/>
          <w:lang w:val="es-MX" w:eastAsia="zh-CN"/>
        </w:rPr>
        <w:t>Cuestionario</w:t>
      </w:r>
    </w:p>
    <w:p w14:paraId="34E6F0B7" w14:textId="77777777" w:rsidR="000F16EF" w:rsidRPr="00F058C4" w:rsidRDefault="000F16EF" w:rsidP="009D403D">
      <w:pPr>
        <w:autoSpaceDE w:val="0"/>
        <w:autoSpaceDN w:val="0"/>
        <w:adjustRightInd w:val="0"/>
        <w:spacing w:after="0" w:line="240" w:lineRule="auto"/>
        <w:jc w:val="both"/>
        <w:rPr>
          <w:rFonts w:ascii="Calibri" w:eastAsia="Helvetica Neue" w:hAnsi="Calibri" w:cstheme="minorHAnsi"/>
          <w:lang w:val="es-MX" w:eastAsia="zh-CN"/>
        </w:rPr>
      </w:pPr>
    </w:p>
    <w:p w14:paraId="155931B8" w14:textId="77777777"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Formas y manifestaciones de edadismo y discriminación por edad</w:t>
      </w:r>
    </w:p>
    <w:p w14:paraId="5BB76BFA" w14:textId="77777777"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4D6BA69E" w14:textId="7BA2504C"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 xml:space="preserve">1. ¿Qué formas adopta la discriminación por motivos de edad que afecta a las personas </w:t>
      </w:r>
      <w:r w:rsidR="003A3535" w:rsidRPr="00F058C4">
        <w:rPr>
          <w:rFonts w:ascii="Calibri" w:eastAsia="Times New Roman" w:hAnsi="Calibri" w:cstheme="minorHAnsi"/>
          <w:b/>
          <w:color w:val="000000"/>
          <w:lang w:val="es-MX"/>
        </w:rPr>
        <w:t>mayores</w:t>
      </w:r>
      <w:r w:rsidRPr="00F058C4">
        <w:rPr>
          <w:rFonts w:ascii="Calibri" w:eastAsia="Times New Roman" w:hAnsi="Calibri" w:cstheme="minorHAnsi"/>
          <w:b/>
          <w:color w:val="000000"/>
          <w:lang w:val="es-MX"/>
        </w:rPr>
        <w:t xml:space="preserve"> y cuáles son las más frecuentes? Cuando se disponga de ellos, sírvase proporcionar ejemplos concretos y datos recabados, incluido relacionado con el empleo, educación, protección social y servicios sanitarios, financieros y sociales.</w:t>
      </w:r>
    </w:p>
    <w:p w14:paraId="210A2CA2" w14:textId="1E5EFB33" w:rsidR="00F95B95" w:rsidRPr="00F058C4" w:rsidRDefault="00F95B95"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19BF458B" w14:textId="5D102B4E" w:rsidR="0012078F" w:rsidRPr="00F058C4" w:rsidRDefault="00FA4A86" w:rsidP="00FA4A86">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De acuerdo con </w:t>
      </w:r>
      <w:r w:rsidR="007A46CE" w:rsidRPr="00F058C4">
        <w:rPr>
          <w:rFonts w:ascii="Calibri" w:eastAsia="Times New Roman" w:hAnsi="Calibri" w:cstheme="minorHAnsi"/>
          <w:color w:val="000000"/>
          <w:lang w:val="es-MX"/>
        </w:rPr>
        <w:t xml:space="preserve">datos </w:t>
      </w:r>
      <w:r w:rsidR="00DF7041" w:rsidRPr="00F058C4">
        <w:rPr>
          <w:rFonts w:ascii="Calibri" w:eastAsia="Times New Roman" w:hAnsi="Calibri" w:cstheme="minorHAnsi"/>
          <w:color w:val="000000"/>
          <w:lang w:val="es-MX"/>
        </w:rPr>
        <w:t xml:space="preserve">de </w:t>
      </w:r>
      <w:r w:rsidR="007A46CE" w:rsidRPr="00F058C4">
        <w:rPr>
          <w:rFonts w:ascii="Calibri" w:eastAsia="Times New Roman" w:hAnsi="Calibri" w:cstheme="minorHAnsi"/>
          <w:color w:val="000000"/>
          <w:lang w:val="es-MX"/>
        </w:rPr>
        <w:t>la Comisión de Derechos Humanos de la Ciudad de México (CDHCM)</w:t>
      </w:r>
      <w:r w:rsidR="00DF7041" w:rsidRPr="00F058C4">
        <w:rPr>
          <w:rFonts w:ascii="Calibri" w:eastAsia="Times New Roman" w:hAnsi="Calibri" w:cstheme="minorHAnsi"/>
          <w:color w:val="000000"/>
          <w:lang w:val="es-MX"/>
        </w:rPr>
        <w:t>, e</w:t>
      </w:r>
      <w:r w:rsidR="00F75C0E" w:rsidRPr="00F058C4">
        <w:rPr>
          <w:rFonts w:ascii="Calibri" w:eastAsia="Times New Roman" w:hAnsi="Calibri" w:cstheme="minorHAnsi"/>
          <w:color w:val="000000"/>
          <w:lang w:val="es-MX"/>
        </w:rPr>
        <w:t xml:space="preserve">ntre </w:t>
      </w:r>
      <w:r w:rsidR="0012078F" w:rsidRPr="00F058C4">
        <w:rPr>
          <w:rFonts w:ascii="Calibri" w:eastAsia="Times New Roman" w:hAnsi="Calibri" w:cstheme="minorHAnsi"/>
          <w:color w:val="000000"/>
          <w:lang w:val="es-MX"/>
        </w:rPr>
        <w:t xml:space="preserve">enero de </w:t>
      </w:r>
      <w:r w:rsidR="00F75C0E" w:rsidRPr="00F058C4">
        <w:rPr>
          <w:rFonts w:ascii="Calibri" w:eastAsia="Times New Roman" w:hAnsi="Calibri" w:cstheme="minorHAnsi"/>
          <w:color w:val="000000"/>
          <w:lang w:val="es-MX"/>
        </w:rPr>
        <w:t xml:space="preserve">2008 y </w:t>
      </w:r>
      <w:r w:rsidR="0012078F" w:rsidRPr="00F058C4">
        <w:rPr>
          <w:rFonts w:ascii="Calibri" w:eastAsia="Times New Roman" w:hAnsi="Calibri" w:cstheme="minorHAnsi"/>
          <w:color w:val="000000"/>
          <w:lang w:val="es-MX"/>
        </w:rPr>
        <w:t xml:space="preserve">el 10 de marzo de </w:t>
      </w:r>
      <w:r w:rsidR="00F75C0E" w:rsidRPr="00F058C4">
        <w:rPr>
          <w:rFonts w:ascii="Calibri" w:eastAsia="Times New Roman" w:hAnsi="Calibri" w:cstheme="minorHAnsi"/>
          <w:color w:val="000000"/>
          <w:lang w:val="es-MX"/>
        </w:rPr>
        <w:t xml:space="preserve">2021, se brindaron </w:t>
      </w:r>
      <w:r w:rsidR="007C2D3B" w:rsidRPr="00F058C4">
        <w:rPr>
          <w:rFonts w:ascii="Calibri" w:eastAsia="Times New Roman" w:hAnsi="Calibri" w:cstheme="minorHAnsi"/>
          <w:color w:val="000000"/>
          <w:lang w:val="es-MX"/>
        </w:rPr>
        <w:t>servicios</w:t>
      </w:r>
      <w:r w:rsidR="00F75C0E" w:rsidRPr="00F058C4">
        <w:rPr>
          <w:rFonts w:ascii="Calibri" w:eastAsia="Times New Roman" w:hAnsi="Calibri" w:cstheme="minorHAnsi"/>
          <w:color w:val="000000"/>
          <w:lang w:val="es-MX"/>
        </w:rPr>
        <w:t xml:space="preserve"> a 70 077 personas mayores (38 741 hombres y 31 336 mujeres)</w:t>
      </w:r>
      <w:r w:rsidR="00DA56B6" w:rsidRPr="00F058C4">
        <w:rPr>
          <w:rFonts w:ascii="Calibri" w:eastAsia="Times New Roman" w:hAnsi="Calibri" w:cstheme="minorHAnsi"/>
          <w:color w:val="000000"/>
          <w:lang w:val="es-MX"/>
        </w:rPr>
        <w:t>, lo que representa el 20</w:t>
      </w:r>
      <w:r w:rsidR="007C2D3B" w:rsidRPr="00F058C4">
        <w:rPr>
          <w:rFonts w:ascii="Calibri" w:eastAsia="Times New Roman" w:hAnsi="Calibri" w:cstheme="minorHAnsi"/>
          <w:color w:val="000000"/>
          <w:lang w:val="es-MX"/>
        </w:rPr>
        <w:t xml:space="preserve"> % del total de los servicios brindados. </w:t>
      </w:r>
      <w:r w:rsidR="00CC2AC6" w:rsidRPr="00F058C4">
        <w:rPr>
          <w:rFonts w:ascii="Calibri" w:eastAsia="Times New Roman" w:hAnsi="Calibri" w:cstheme="minorHAnsi"/>
          <w:color w:val="000000"/>
          <w:lang w:val="es-MX"/>
        </w:rPr>
        <w:t xml:space="preserve"> </w:t>
      </w:r>
      <w:r w:rsidR="007C2D3B" w:rsidRPr="00F058C4">
        <w:rPr>
          <w:rFonts w:ascii="Calibri" w:eastAsia="Times New Roman" w:hAnsi="Calibri" w:cstheme="minorHAnsi"/>
          <w:color w:val="000000"/>
          <w:lang w:val="es-MX"/>
        </w:rPr>
        <w:t xml:space="preserve">Además, en el mismo periodo </w:t>
      </w:r>
      <w:r w:rsidR="00CC2AC6" w:rsidRPr="00F058C4">
        <w:rPr>
          <w:rFonts w:ascii="Calibri" w:eastAsia="Times New Roman" w:hAnsi="Calibri" w:cstheme="minorHAnsi"/>
          <w:color w:val="000000"/>
          <w:lang w:val="es-MX"/>
        </w:rPr>
        <w:t>se atendieron quejas de 6 838 hombres y 5 264 mujeres integrantes de esta población</w:t>
      </w:r>
      <w:r w:rsidR="007C2D3B" w:rsidRPr="00F058C4">
        <w:rPr>
          <w:rFonts w:ascii="Calibri" w:eastAsia="Times New Roman" w:hAnsi="Calibri" w:cstheme="minorHAnsi"/>
          <w:color w:val="000000"/>
          <w:lang w:val="es-MX"/>
        </w:rPr>
        <w:t>, lo que representó el 13.4% del total de quejas atendidas</w:t>
      </w:r>
      <w:r w:rsidR="0012078F" w:rsidRPr="00F058C4">
        <w:rPr>
          <w:rFonts w:ascii="Calibri" w:eastAsia="Times New Roman" w:hAnsi="Calibri" w:cstheme="minorHAnsi"/>
          <w:color w:val="000000"/>
          <w:lang w:val="es-MX"/>
        </w:rPr>
        <w:t xml:space="preserve"> en el periodo.</w:t>
      </w:r>
    </w:p>
    <w:p w14:paraId="505A4486" w14:textId="3203A5D1" w:rsidR="009E54BF" w:rsidRPr="00F058C4" w:rsidRDefault="009E54BF" w:rsidP="00FA4A86">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5D145C6A" w14:textId="54FE5B61" w:rsidR="009606B3" w:rsidRPr="00F058C4" w:rsidRDefault="009E54BF" w:rsidP="009E54BF">
      <w:pPr>
        <w:jc w:val="both"/>
        <w:rPr>
          <w:rFonts w:ascii="Calibri" w:eastAsia="Times New Roman" w:hAnsi="Calibri" w:cstheme="minorHAnsi"/>
          <w:color w:val="000000"/>
          <w:lang w:val="es-ES"/>
        </w:rPr>
      </w:pPr>
      <w:r w:rsidRPr="00F058C4">
        <w:rPr>
          <w:rFonts w:ascii="Calibri" w:eastAsia="Times New Roman" w:hAnsi="Calibri" w:cstheme="minorHAnsi"/>
          <w:color w:val="000000"/>
          <w:lang w:val="es-MX"/>
        </w:rPr>
        <w:t>Un ejemplo de edadismo es la falta de adaptabilidad de las prácticas de autoridades en relación con niñas, niños y adolescentes. (</w:t>
      </w:r>
      <w:r w:rsidR="00F058C4" w:rsidRPr="00F058C4">
        <w:rPr>
          <w:rFonts w:ascii="Calibri" w:eastAsia="Times New Roman" w:hAnsi="Calibri" w:cstheme="minorHAnsi"/>
          <w:b/>
          <w:color w:val="000000"/>
          <w:lang w:val="es-MX"/>
        </w:rPr>
        <w:t>Ver</w:t>
      </w:r>
      <w:r w:rsidRPr="00F058C4">
        <w:rPr>
          <w:rFonts w:ascii="Calibri" w:eastAsia="Times New Roman" w:hAnsi="Calibri" w:cstheme="minorHAnsi"/>
          <w:color w:val="000000"/>
          <w:lang w:val="es-MX"/>
        </w:rPr>
        <w:t xml:space="preserve"> </w:t>
      </w:r>
      <w:r w:rsidRPr="00F058C4">
        <w:rPr>
          <w:rFonts w:ascii="Calibri" w:eastAsia="Times New Roman" w:hAnsi="Calibri" w:cstheme="minorHAnsi"/>
          <w:b/>
          <w:color w:val="000000"/>
          <w:lang w:val="es-ES"/>
        </w:rPr>
        <w:t>Anexo 3</w:t>
      </w:r>
      <w:r w:rsidRPr="00F058C4">
        <w:rPr>
          <w:rFonts w:ascii="Calibri" w:eastAsia="Times New Roman" w:hAnsi="Calibri" w:cstheme="minorHAnsi"/>
          <w:color w:val="000000"/>
          <w:lang w:val="es-ES"/>
        </w:rPr>
        <w:t>)</w:t>
      </w:r>
    </w:p>
    <w:p w14:paraId="356CE041" w14:textId="77777777" w:rsidR="0012078F" w:rsidRPr="00F058C4" w:rsidRDefault="00F45565" w:rsidP="009606B3">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lastRenderedPageBreak/>
        <w:t>De</w:t>
      </w:r>
      <w:r w:rsidR="009606B3" w:rsidRPr="00F058C4">
        <w:rPr>
          <w:rFonts w:ascii="Calibri" w:eastAsia="Times New Roman" w:hAnsi="Calibri" w:cstheme="minorHAnsi"/>
          <w:color w:val="000000"/>
          <w:lang w:val="es-MX"/>
        </w:rPr>
        <w:t xml:space="preserve"> </w:t>
      </w:r>
      <w:r w:rsidR="00E804CF" w:rsidRPr="00F058C4">
        <w:rPr>
          <w:rFonts w:ascii="Calibri" w:eastAsia="Times New Roman" w:hAnsi="Calibri" w:cstheme="minorHAnsi"/>
          <w:color w:val="000000"/>
          <w:lang w:val="es-MX"/>
        </w:rPr>
        <w:t>estos</w:t>
      </w:r>
      <w:r w:rsidR="009606B3" w:rsidRPr="00F058C4">
        <w:rPr>
          <w:rFonts w:ascii="Calibri" w:eastAsia="Times New Roman" w:hAnsi="Calibri" w:cstheme="minorHAnsi"/>
          <w:color w:val="000000"/>
          <w:lang w:val="es-MX"/>
        </w:rPr>
        <w:t xml:space="preserve"> expedientes de queja</w:t>
      </w:r>
      <w:r w:rsidRPr="00F058C4">
        <w:rPr>
          <w:rFonts w:ascii="Calibri" w:eastAsia="Times New Roman" w:hAnsi="Calibri" w:cstheme="minorHAnsi"/>
          <w:color w:val="000000"/>
          <w:lang w:val="es-MX"/>
        </w:rPr>
        <w:t xml:space="preserve">, los derechos </w:t>
      </w:r>
      <w:r w:rsidR="00D66A95" w:rsidRPr="00F058C4">
        <w:rPr>
          <w:rFonts w:ascii="Calibri" w:eastAsia="Times New Roman" w:hAnsi="Calibri" w:cstheme="minorHAnsi"/>
          <w:color w:val="000000"/>
          <w:lang w:val="es-MX"/>
        </w:rPr>
        <w:t xml:space="preserve">presuntamente </w:t>
      </w:r>
      <w:r w:rsidRPr="00F058C4">
        <w:rPr>
          <w:rFonts w:ascii="Calibri" w:eastAsia="Times New Roman" w:hAnsi="Calibri" w:cstheme="minorHAnsi"/>
          <w:color w:val="000000"/>
          <w:lang w:val="es-MX"/>
        </w:rPr>
        <w:t>violados que se mencionan con mayor frecuencia</w:t>
      </w:r>
      <w:r w:rsidR="00E804CF" w:rsidRPr="00F058C4">
        <w:rPr>
          <w:rFonts w:ascii="Calibri" w:eastAsia="Times New Roman" w:hAnsi="Calibri" w:cstheme="minorHAnsi"/>
          <w:color w:val="000000"/>
          <w:lang w:val="es-MX"/>
        </w:rPr>
        <w:t xml:space="preserve"> son la seguridad jurídica (</w:t>
      </w:r>
      <w:r w:rsidR="0012078F" w:rsidRPr="00F058C4">
        <w:rPr>
          <w:rFonts w:ascii="Calibri" w:eastAsia="Times New Roman" w:hAnsi="Calibri" w:cstheme="minorHAnsi"/>
          <w:color w:val="000000"/>
          <w:lang w:val="es-MX"/>
        </w:rPr>
        <w:t>27%</w:t>
      </w:r>
      <w:r w:rsidR="00E804CF" w:rsidRPr="00F058C4">
        <w:rPr>
          <w:rFonts w:ascii="Calibri" w:eastAsia="Times New Roman" w:hAnsi="Calibri" w:cstheme="minorHAnsi"/>
          <w:color w:val="000000"/>
          <w:lang w:val="es-MX"/>
        </w:rPr>
        <w:t>), el debido proceso para víctimas de un delito (</w:t>
      </w:r>
      <w:r w:rsidR="0012078F" w:rsidRPr="00F058C4">
        <w:rPr>
          <w:rFonts w:ascii="Calibri" w:eastAsia="Times New Roman" w:hAnsi="Calibri" w:cstheme="minorHAnsi"/>
          <w:color w:val="000000"/>
          <w:lang w:val="es-MX"/>
        </w:rPr>
        <w:t>18%</w:t>
      </w:r>
      <w:r w:rsidR="00E804CF" w:rsidRPr="00F058C4">
        <w:rPr>
          <w:rFonts w:ascii="Calibri" w:eastAsia="Times New Roman" w:hAnsi="Calibri" w:cstheme="minorHAnsi"/>
          <w:color w:val="000000"/>
          <w:lang w:val="es-MX"/>
        </w:rPr>
        <w:t>), la protección de personas adultas mayores (</w:t>
      </w:r>
      <w:r w:rsidR="0012078F" w:rsidRPr="00F058C4">
        <w:rPr>
          <w:rFonts w:ascii="Calibri" w:eastAsia="Times New Roman" w:hAnsi="Calibri" w:cstheme="minorHAnsi"/>
          <w:color w:val="000000"/>
          <w:lang w:val="es-MX"/>
        </w:rPr>
        <w:t>10%</w:t>
      </w:r>
      <w:r w:rsidR="00E804CF" w:rsidRPr="00F058C4">
        <w:rPr>
          <w:rFonts w:ascii="Calibri" w:eastAsia="Times New Roman" w:hAnsi="Calibri" w:cstheme="minorHAnsi"/>
          <w:color w:val="000000"/>
          <w:lang w:val="es-MX"/>
        </w:rPr>
        <w:t>), la salud (</w:t>
      </w:r>
      <w:r w:rsidR="0012078F" w:rsidRPr="00F058C4">
        <w:rPr>
          <w:rFonts w:ascii="Calibri" w:eastAsia="Times New Roman" w:hAnsi="Calibri" w:cstheme="minorHAnsi"/>
          <w:color w:val="000000"/>
          <w:lang w:val="es-MX"/>
        </w:rPr>
        <w:t>6.1%</w:t>
      </w:r>
      <w:r w:rsidR="00E804CF" w:rsidRPr="00F058C4">
        <w:rPr>
          <w:rFonts w:ascii="Calibri" w:eastAsia="Times New Roman" w:hAnsi="Calibri" w:cstheme="minorHAnsi"/>
          <w:color w:val="000000"/>
          <w:lang w:val="es-MX"/>
        </w:rPr>
        <w:t>), y la reinserción social (</w:t>
      </w:r>
      <w:r w:rsidR="0012078F" w:rsidRPr="00F058C4">
        <w:rPr>
          <w:rFonts w:ascii="Calibri" w:eastAsia="Times New Roman" w:hAnsi="Calibri" w:cstheme="minorHAnsi"/>
          <w:color w:val="000000"/>
          <w:lang w:val="es-MX"/>
        </w:rPr>
        <w:t>4.6%</w:t>
      </w:r>
      <w:r w:rsidR="00E804CF" w:rsidRPr="00F058C4">
        <w:rPr>
          <w:rFonts w:ascii="Calibri" w:eastAsia="Times New Roman" w:hAnsi="Calibri" w:cstheme="minorHAnsi"/>
          <w:color w:val="000000"/>
          <w:lang w:val="es-MX"/>
        </w:rPr>
        <w:t>).</w:t>
      </w:r>
      <w:r w:rsidR="0033262A" w:rsidRPr="00F058C4">
        <w:rPr>
          <w:rFonts w:ascii="Calibri" w:eastAsia="Times New Roman" w:hAnsi="Calibri" w:cstheme="minorHAnsi"/>
          <w:color w:val="000000"/>
          <w:lang w:val="es-MX"/>
        </w:rPr>
        <w:t xml:space="preserve"> </w:t>
      </w:r>
    </w:p>
    <w:p w14:paraId="01B67A52" w14:textId="77777777" w:rsidR="00783E03" w:rsidRPr="00F058C4" w:rsidRDefault="00783E03"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51209E02" w14:textId="29324C2E" w:rsidR="00FC27A9" w:rsidRPr="00F058C4" w:rsidRDefault="00B834C9"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Si bien no en todos los casos existe una relación necesaria entre tales lesiones provocadas a los derechos de las personas mayores y su asociación con </w:t>
      </w:r>
      <w:r w:rsidR="00414330" w:rsidRPr="00F058C4">
        <w:rPr>
          <w:rFonts w:ascii="Calibri" w:eastAsia="Times New Roman" w:hAnsi="Calibri" w:cstheme="minorHAnsi"/>
          <w:color w:val="000000"/>
          <w:lang w:val="es-MX"/>
        </w:rPr>
        <w:t>lesión a</w:t>
      </w:r>
      <w:r w:rsidRPr="00F058C4">
        <w:rPr>
          <w:rFonts w:ascii="Calibri" w:eastAsia="Times New Roman" w:hAnsi="Calibri" w:cstheme="minorHAnsi"/>
          <w:color w:val="000000"/>
          <w:lang w:val="es-MX"/>
        </w:rPr>
        <w:t>l derecho a la igualdad, es cierto que</w:t>
      </w:r>
      <w:r w:rsidR="004316BF" w:rsidRPr="00F058C4">
        <w:rPr>
          <w:rFonts w:ascii="Calibri" w:eastAsia="Times New Roman" w:hAnsi="Calibri" w:cstheme="minorHAnsi"/>
          <w:color w:val="000000"/>
          <w:lang w:val="es-MX"/>
        </w:rPr>
        <w:t xml:space="preserve"> es complejo</w:t>
      </w:r>
      <w:r w:rsidRPr="00F058C4">
        <w:rPr>
          <w:rFonts w:ascii="Calibri" w:eastAsia="Times New Roman" w:hAnsi="Calibri" w:cstheme="minorHAnsi"/>
          <w:color w:val="000000"/>
          <w:lang w:val="es-MX"/>
        </w:rPr>
        <w:t xml:space="preserve"> establecer </w:t>
      </w:r>
      <w:r w:rsidR="004316BF" w:rsidRPr="00F058C4">
        <w:rPr>
          <w:rFonts w:ascii="Calibri" w:eastAsia="Times New Roman" w:hAnsi="Calibri" w:cstheme="minorHAnsi"/>
          <w:color w:val="000000"/>
          <w:lang w:val="es-MX"/>
        </w:rPr>
        <w:t>ese vínculo</w:t>
      </w:r>
      <w:r w:rsidRPr="00F058C4">
        <w:rPr>
          <w:rFonts w:ascii="Calibri" w:eastAsia="Times New Roman" w:hAnsi="Calibri" w:cstheme="minorHAnsi"/>
          <w:color w:val="000000"/>
          <w:lang w:val="es-MX"/>
        </w:rPr>
        <w:t xml:space="preserve"> </w:t>
      </w:r>
      <w:r w:rsidR="00A1066F" w:rsidRPr="00F058C4">
        <w:rPr>
          <w:rFonts w:ascii="Calibri" w:eastAsia="Times New Roman" w:hAnsi="Calibri" w:cstheme="minorHAnsi"/>
          <w:color w:val="000000"/>
          <w:lang w:val="es-MX"/>
        </w:rPr>
        <w:t xml:space="preserve">en la mayoría de los casos. </w:t>
      </w:r>
      <w:r w:rsidR="004316BF" w:rsidRPr="00F058C4">
        <w:rPr>
          <w:rFonts w:ascii="Calibri" w:eastAsia="Times New Roman" w:hAnsi="Calibri" w:cstheme="minorHAnsi"/>
          <w:color w:val="000000"/>
          <w:lang w:val="es-MX"/>
        </w:rPr>
        <w:t xml:space="preserve">No obstante lo anterior, si se observan algunos indicadores relacionados con la medición de la pobreza, </w:t>
      </w:r>
      <w:r w:rsidR="00414330" w:rsidRPr="00F058C4">
        <w:rPr>
          <w:rFonts w:ascii="Calibri" w:eastAsia="Times New Roman" w:hAnsi="Calibri" w:cstheme="minorHAnsi"/>
          <w:color w:val="000000"/>
          <w:lang w:val="es-MX"/>
        </w:rPr>
        <w:t xml:space="preserve">por ejemplo, </w:t>
      </w:r>
      <w:r w:rsidR="004316BF" w:rsidRPr="00F058C4">
        <w:rPr>
          <w:rFonts w:ascii="Calibri" w:eastAsia="Times New Roman" w:hAnsi="Calibri" w:cstheme="minorHAnsi"/>
          <w:color w:val="000000"/>
          <w:lang w:val="es-MX"/>
        </w:rPr>
        <w:t>puede observarse la estructuralidad de la desigualdad y su posible efecto discriminador que impacta a las personas mayores</w:t>
      </w:r>
      <w:r w:rsidR="00FC27A9" w:rsidRPr="00F058C4">
        <w:rPr>
          <w:rFonts w:ascii="Calibri" w:eastAsia="Times New Roman" w:hAnsi="Calibri" w:cstheme="minorHAnsi"/>
          <w:color w:val="000000"/>
          <w:lang w:val="es-MX"/>
        </w:rPr>
        <w:t>.</w:t>
      </w:r>
    </w:p>
    <w:p w14:paraId="0BC9A89C" w14:textId="77777777" w:rsidR="00FC27A9" w:rsidRPr="00F058C4" w:rsidRDefault="00FC27A9"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4DED48F1" w14:textId="33B9AECE" w:rsidR="005A39EA" w:rsidRPr="00F058C4" w:rsidRDefault="00414330"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En </w:t>
      </w:r>
      <w:r w:rsidR="00FC27A9" w:rsidRPr="00F058C4">
        <w:rPr>
          <w:rFonts w:ascii="Calibri" w:eastAsia="Times New Roman" w:hAnsi="Calibri" w:cstheme="minorHAnsi"/>
          <w:color w:val="000000"/>
          <w:lang w:val="es-MX"/>
        </w:rPr>
        <w:t>el caso de la Ciudad de México, la pobreza extrema en el grupo de personas mayores pasó de 6.7 a 13% de 2016 a 2018</w:t>
      </w:r>
      <w:r w:rsidR="0093783B" w:rsidRPr="00F058C4">
        <w:rPr>
          <w:rFonts w:ascii="Calibri" w:eastAsia="Times New Roman" w:hAnsi="Calibri" w:cstheme="minorHAnsi"/>
          <w:color w:val="000000"/>
          <w:lang w:val="es-MX"/>
        </w:rPr>
        <w:t xml:space="preserve">, siendo </w:t>
      </w:r>
      <w:r w:rsidR="005A39EA" w:rsidRPr="00F058C4">
        <w:rPr>
          <w:rFonts w:ascii="Calibri" w:eastAsia="Times New Roman" w:hAnsi="Calibri" w:cstheme="minorHAnsi"/>
          <w:color w:val="000000"/>
          <w:lang w:val="es-MX"/>
        </w:rPr>
        <w:t xml:space="preserve">ése el </w:t>
      </w:r>
      <w:r w:rsidR="0093783B" w:rsidRPr="00F058C4">
        <w:rPr>
          <w:rFonts w:ascii="Calibri" w:eastAsia="Times New Roman" w:hAnsi="Calibri" w:cstheme="minorHAnsi"/>
          <w:color w:val="000000"/>
          <w:lang w:val="es-MX"/>
        </w:rPr>
        <w:t>segundo grupo</w:t>
      </w:r>
      <w:r w:rsidR="005A39EA" w:rsidRPr="00F058C4">
        <w:rPr>
          <w:rFonts w:ascii="Calibri" w:eastAsia="Times New Roman" w:hAnsi="Calibri" w:cstheme="minorHAnsi"/>
          <w:color w:val="000000"/>
          <w:lang w:val="es-MX"/>
        </w:rPr>
        <w:t xml:space="preserve"> en el que más se amplió la brecha después del de personas de 0 a 5 años de edad. </w:t>
      </w:r>
    </w:p>
    <w:p w14:paraId="58F90EFC" w14:textId="77777777" w:rsidR="005A39EA" w:rsidRPr="00F058C4" w:rsidRDefault="005A39EA"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1119AFCB" w14:textId="7ACA21E2" w:rsidR="00683983" w:rsidRPr="00F058C4" w:rsidRDefault="00454C12"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E</w:t>
      </w:r>
      <w:r w:rsidR="00320508" w:rsidRPr="00F058C4">
        <w:rPr>
          <w:rFonts w:ascii="Calibri" w:eastAsia="Times New Roman" w:hAnsi="Calibri" w:cstheme="minorHAnsi"/>
          <w:color w:val="000000"/>
          <w:lang w:val="es-MX"/>
        </w:rPr>
        <w:t>s de interés institucional</w:t>
      </w:r>
      <w:r w:rsidR="006C22FD" w:rsidRPr="00F058C4">
        <w:rPr>
          <w:rFonts w:ascii="Calibri" w:eastAsia="Times New Roman" w:hAnsi="Calibri" w:cstheme="minorHAnsi"/>
          <w:color w:val="000000"/>
          <w:lang w:val="es-MX"/>
        </w:rPr>
        <w:t xml:space="preserve"> </w:t>
      </w:r>
      <w:r w:rsidR="003E7B59" w:rsidRPr="00F058C4">
        <w:rPr>
          <w:rFonts w:ascii="Calibri" w:eastAsia="Times New Roman" w:hAnsi="Calibri" w:cstheme="minorHAnsi"/>
          <w:color w:val="000000"/>
          <w:lang w:val="es-MX"/>
        </w:rPr>
        <w:t>posicionar</w:t>
      </w:r>
      <w:r w:rsidR="00987E0C" w:rsidRPr="00F058C4">
        <w:rPr>
          <w:rFonts w:ascii="Calibri" w:eastAsia="Times New Roman" w:hAnsi="Calibri" w:cstheme="minorHAnsi"/>
          <w:color w:val="000000"/>
          <w:lang w:val="es-MX"/>
        </w:rPr>
        <w:t xml:space="preserve"> </w:t>
      </w:r>
      <w:r w:rsidR="003E7B59" w:rsidRPr="00F058C4">
        <w:rPr>
          <w:rFonts w:ascii="Calibri" w:eastAsia="Times New Roman" w:hAnsi="Calibri" w:cstheme="minorHAnsi"/>
          <w:color w:val="000000"/>
          <w:lang w:val="es-MX"/>
        </w:rPr>
        <w:t>dos temas alarmantes</w:t>
      </w:r>
      <w:r w:rsidR="009F2ACD" w:rsidRPr="00F058C4">
        <w:rPr>
          <w:rFonts w:ascii="Calibri" w:eastAsia="Times New Roman" w:hAnsi="Calibri" w:cstheme="minorHAnsi"/>
          <w:color w:val="000000"/>
          <w:lang w:val="es-MX"/>
        </w:rPr>
        <w:t xml:space="preserve"> en materia de discriminación por edad. En primer lugar, destaca el asunto de </w:t>
      </w:r>
      <w:r w:rsidR="007E0E40" w:rsidRPr="00F058C4">
        <w:rPr>
          <w:rFonts w:ascii="Calibri" w:eastAsia="Times New Roman" w:hAnsi="Calibri" w:cstheme="minorHAnsi"/>
          <w:color w:val="000000"/>
          <w:lang w:val="es-MX"/>
        </w:rPr>
        <w:t xml:space="preserve">las personas mayores institucionalizadas. </w:t>
      </w:r>
      <w:r w:rsidR="00320508" w:rsidRPr="00F058C4">
        <w:rPr>
          <w:rFonts w:ascii="Calibri" w:eastAsia="Times New Roman" w:hAnsi="Calibri" w:cstheme="minorHAnsi"/>
          <w:color w:val="000000"/>
          <w:lang w:val="es-MX"/>
        </w:rPr>
        <w:t>Al respecto, e</w:t>
      </w:r>
      <w:r w:rsidR="007E0E40" w:rsidRPr="00F058C4">
        <w:rPr>
          <w:rFonts w:ascii="Calibri" w:eastAsia="Times New Roman" w:hAnsi="Calibri" w:cstheme="minorHAnsi"/>
          <w:color w:val="000000"/>
          <w:lang w:val="es-MX"/>
        </w:rPr>
        <w:t xml:space="preserve">n 2007, la CDHCM elaboró un </w:t>
      </w:r>
      <w:hyperlink r:id="rId12" w:history="1">
        <w:r w:rsidR="007E0E40" w:rsidRPr="00F058C4">
          <w:rPr>
            <w:rStyle w:val="Hipervnculo"/>
            <w:rFonts w:ascii="Calibri" w:eastAsia="Times New Roman" w:hAnsi="Calibri" w:cstheme="minorHAnsi"/>
            <w:lang w:val="es-MX"/>
          </w:rPr>
          <w:t>Informe especial</w:t>
        </w:r>
      </w:hyperlink>
      <w:r w:rsidR="007E0E40" w:rsidRPr="00F058C4">
        <w:rPr>
          <w:rFonts w:ascii="Calibri" w:eastAsia="Times New Roman" w:hAnsi="Calibri" w:cstheme="minorHAnsi"/>
          <w:color w:val="000000"/>
          <w:lang w:val="es-MX"/>
        </w:rPr>
        <w:t xml:space="preserve"> sobre este tema</w:t>
      </w:r>
      <w:r w:rsidR="00783E03" w:rsidRPr="00F058C4">
        <w:rPr>
          <w:rFonts w:ascii="Calibri" w:eastAsia="Times New Roman" w:hAnsi="Calibri" w:cstheme="minorHAnsi"/>
          <w:color w:val="000000"/>
          <w:lang w:val="es-MX"/>
        </w:rPr>
        <w:t xml:space="preserve"> (ver Anexo 2)</w:t>
      </w:r>
      <w:r w:rsidR="007E0E40" w:rsidRPr="00F058C4">
        <w:rPr>
          <w:rFonts w:ascii="Calibri" w:eastAsia="Times New Roman" w:hAnsi="Calibri" w:cstheme="minorHAnsi"/>
          <w:color w:val="000000"/>
          <w:lang w:val="es-MX"/>
        </w:rPr>
        <w:t>.</w:t>
      </w:r>
      <w:r w:rsidR="00ED7ECA" w:rsidRPr="00F058C4">
        <w:rPr>
          <w:rFonts w:ascii="Calibri" w:eastAsia="Times New Roman" w:hAnsi="Calibri" w:cstheme="minorHAnsi"/>
          <w:color w:val="000000"/>
          <w:lang w:val="es-MX"/>
        </w:rPr>
        <w:t xml:space="preserve"> En éste, se elaboró un diagnóstico integral </w:t>
      </w:r>
      <w:r w:rsidR="00697179" w:rsidRPr="00F058C4">
        <w:rPr>
          <w:rFonts w:ascii="Calibri" w:eastAsia="Times New Roman" w:hAnsi="Calibri" w:cstheme="minorHAnsi"/>
          <w:color w:val="000000"/>
          <w:lang w:val="es-MX"/>
        </w:rPr>
        <w:t>sobre la asistencia social, los espacios e instalaciones de los lugares de institucionalización, y la garantía de los derechos a una vida con calidad, a la no discriminación, a una vida libre de violencia, a ser respetadas en su persona, a ser protegidas contra la explotación, a recibir protección, a gozar de oportunidades, a vivir en entornos dignos, decorosos, y seguros, a la alimentación, y a la salud</w:t>
      </w:r>
      <w:r w:rsidR="00ED7ECA" w:rsidRPr="00F058C4">
        <w:rPr>
          <w:rFonts w:ascii="Calibri" w:eastAsia="Times New Roman" w:hAnsi="Calibri" w:cstheme="minorHAnsi"/>
          <w:color w:val="000000"/>
          <w:lang w:val="es-MX"/>
        </w:rPr>
        <w:t xml:space="preserve">. Si bien faltan elementos actualizados que nos permitan visualizar el estado de las cosas en 2021, </w:t>
      </w:r>
      <w:r w:rsidR="00320508" w:rsidRPr="00F058C4">
        <w:rPr>
          <w:rFonts w:ascii="Calibri" w:eastAsia="Times New Roman" w:hAnsi="Calibri" w:cstheme="minorHAnsi"/>
          <w:color w:val="000000"/>
          <w:lang w:val="es-MX"/>
        </w:rPr>
        <w:t xml:space="preserve">es dable afirmar que </w:t>
      </w:r>
      <w:r w:rsidR="00ED7ECA" w:rsidRPr="00F058C4">
        <w:rPr>
          <w:rFonts w:ascii="Calibri" w:eastAsia="Times New Roman" w:hAnsi="Calibri" w:cstheme="minorHAnsi"/>
          <w:color w:val="000000"/>
          <w:lang w:val="es-MX"/>
        </w:rPr>
        <w:t>estos problemas persisten.</w:t>
      </w:r>
    </w:p>
    <w:p w14:paraId="62EE392A" w14:textId="6813F8D1" w:rsidR="00320508" w:rsidRPr="00F058C4" w:rsidRDefault="00320508"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613D4DBB" w14:textId="7A4BBB7A" w:rsidR="00320508" w:rsidRPr="00F058C4" w:rsidRDefault="00320508"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En 2018, en colaboración con organizaciones de la sociedad civil, fue publicado el </w:t>
      </w:r>
      <w:hyperlink r:id="rId13" w:history="1">
        <w:r w:rsidRPr="00F058C4">
          <w:rPr>
            <w:rStyle w:val="Hipervnculo"/>
            <w:rFonts w:ascii="Calibri" w:eastAsia="Times New Roman" w:hAnsi="Calibri" w:cstheme="minorHAnsi"/>
            <w:lang w:val="es-MX"/>
          </w:rPr>
          <w:t>Manual de Capacitación sobre los Derechos de las Personas con Discapacidad</w:t>
        </w:r>
      </w:hyperlink>
      <w:r w:rsidR="00B834C9" w:rsidRPr="00F058C4">
        <w:rPr>
          <w:rFonts w:ascii="Calibri" w:eastAsia="Times New Roman" w:hAnsi="Calibri" w:cstheme="minorHAnsi"/>
          <w:color w:val="000000"/>
          <w:lang w:val="es-MX"/>
        </w:rPr>
        <w:t>, material útil de difusión para las organizaciones e instituciones que focalizan su interacción con esta población.</w:t>
      </w:r>
      <w:r w:rsidR="00414330" w:rsidRPr="00F058C4">
        <w:rPr>
          <w:rFonts w:ascii="Calibri" w:eastAsia="Times New Roman" w:hAnsi="Calibri" w:cstheme="minorHAnsi"/>
          <w:color w:val="000000"/>
          <w:lang w:val="es-MX"/>
        </w:rPr>
        <w:t xml:space="preserve"> Este material se observa relevante</w:t>
      </w:r>
      <w:r w:rsidR="001B7141" w:rsidRPr="00F058C4">
        <w:rPr>
          <w:rFonts w:ascii="Calibri" w:eastAsia="Times New Roman" w:hAnsi="Calibri" w:cstheme="minorHAnsi"/>
          <w:color w:val="000000"/>
          <w:lang w:val="es-MX"/>
        </w:rPr>
        <w:t xml:space="preserve"> dado que el desconocimiento de los derechos específicos de este grupo de atención prioritaria es la fuente inicial de la falta de atención a sus derechos.</w:t>
      </w:r>
    </w:p>
    <w:p w14:paraId="52ACCDA6" w14:textId="77777777" w:rsidR="00320508" w:rsidRPr="00F058C4" w:rsidRDefault="00320508"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33EFFF3D" w14:textId="77777777" w:rsidR="007E631E" w:rsidRPr="00F058C4" w:rsidRDefault="001B7141"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Finalmente, en 2017 la primera Constitución Política de la Ciudad de México estableció como obligación de las autoridades la implementación de</w:t>
      </w:r>
      <w:r w:rsidR="00F406E1" w:rsidRPr="00F058C4">
        <w:rPr>
          <w:rFonts w:ascii="Calibri" w:eastAsia="Times New Roman" w:hAnsi="Calibri" w:cstheme="minorHAnsi"/>
          <w:color w:val="000000"/>
          <w:lang w:val="es-MX"/>
        </w:rPr>
        <w:t>l sistema de cuidados (art. 9, B), el sistema integral para la atención de personas mayores (11, F), así como el sistema integral de salvaguardias y apoyos</w:t>
      </w:r>
      <w:r w:rsidR="00452D99" w:rsidRPr="00F058C4">
        <w:rPr>
          <w:rFonts w:ascii="Calibri" w:eastAsia="Times New Roman" w:hAnsi="Calibri" w:cstheme="minorHAnsi"/>
          <w:color w:val="000000"/>
          <w:lang w:val="es-MX"/>
        </w:rPr>
        <w:t xml:space="preserve"> para las personas con discapacidad (11 G). Los dos últimos tocan aspectos importantes de las personas mayores que viven con alguna discapacidad y que tienen algún grado de dependencia y por ello necesidad de cuidados. </w:t>
      </w:r>
    </w:p>
    <w:p w14:paraId="2211328F" w14:textId="77777777" w:rsidR="00D226D9" w:rsidRPr="00F058C4" w:rsidRDefault="00D226D9"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15F7F43C" w14:textId="6273A28B" w:rsidR="00D226D9" w:rsidRPr="00F058C4" w:rsidRDefault="00D226D9"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En enero se publicó la </w:t>
      </w:r>
      <w:r w:rsidRPr="00F058C4">
        <w:rPr>
          <w:rFonts w:ascii="Calibri" w:eastAsia="Times New Roman" w:hAnsi="Calibri" w:cstheme="minorHAnsi"/>
          <w:i/>
          <w:color w:val="000000"/>
          <w:lang w:val="es-MX"/>
        </w:rPr>
        <w:t>Ley de Reconocimiento de los Derechos de las Personas Mayores y del Sistema Integral para su Atención de la Ciudad de México</w:t>
      </w:r>
      <w:r w:rsidRPr="00F058C4">
        <w:rPr>
          <w:rFonts w:ascii="Calibri" w:eastAsia="Times New Roman" w:hAnsi="Calibri" w:cstheme="minorHAnsi"/>
          <w:color w:val="000000"/>
          <w:lang w:val="es-MX"/>
        </w:rPr>
        <w:t>. Si bien las modificaciones están alienadas al estándar de la Convención Interamericana sobre los Derechos de las Personas Mayores, misma que no está firmada por nuestro país, la ley tampoco marca las directrices para la implementación del sistema de atención que establece la Constitución y la implementación de tal sistema no se ha concretado.</w:t>
      </w:r>
    </w:p>
    <w:p w14:paraId="077294B0" w14:textId="77777777" w:rsidR="00D226D9" w:rsidRPr="00F058C4" w:rsidRDefault="00D226D9"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6F05C998" w14:textId="0FFA9339" w:rsidR="00452D99" w:rsidRPr="00F058C4" w:rsidRDefault="00D226D9"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Por lo anterior, valdría la pena valorar si la inexistencia de una política pública que satisfaga tales estándares para los sistemas reconocidos en la Constitución </w:t>
      </w:r>
      <w:r w:rsidR="00452D99" w:rsidRPr="00F058C4">
        <w:rPr>
          <w:rFonts w:ascii="Calibri" w:eastAsia="Times New Roman" w:hAnsi="Calibri" w:cstheme="minorHAnsi"/>
          <w:color w:val="000000"/>
          <w:lang w:val="es-MX"/>
        </w:rPr>
        <w:t>podría llegar a representar una forma de discriminación hacia este grupo etario.</w:t>
      </w:r>
    </w:p>
    <w:p w14:paraId="1AEEBB70" w14:textId="53998756" w:rsidR="0087464F" w:rsidRPr="00F058C4" w:rsidRDefault="0087464F"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43E9CB4E" w14:textId="2E7050B6" w:rsidR="0087464F" w:rsidRPr="00F058C4" w:rsidRDefault="0087464F"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lastRenderedPageBreak/>
        <w:t xml:space="preserve">Dos ejemplos adicionales de edadismo que afectan a niños, niñas y adolescentes son, en primer lugar, la falta de respeto al derecho a participar en todo aquello que les afecte y la consecuente adaptación del procedimiento legislativo y de trámites administrativos en respuesta a la obligación de garantizar tal derecho. En segundo lugar, es la discriminación hacia niñez y adolescencia trans en razón de su edad manifestada por la prohibición expresa en los Códigos Civil y de Procedimientos Civiles de que accedan al trámite administrativo de reconocimiento de identidad de género </w:t>
      </w:r>
      <w:r w:rsidRPr="00F058C4">
        <w:rPr>
          <w:rFonts w:ascii="Calibri" w:eastAsia="Times New Roman" w:hAnsi="Calibri" w:cstheme="minorHAnsi"/>
          <w:b/>
          <w:color w:val="000000"/>
          <w:lang w:val="es-MX"/>
        </w:rPr>
        <w:t>(Anexo 10).</w:t>
      </w:r>
    </w:p>
    <w:p w14:paraId="5621CE69" w14:textId="69F8653D" w:rsidR="00452D99" w:rsidRPr="00F058C4" w:rsidRDefault="00452D99"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25AE03F1" w14:textId="2D1D8C0A"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2. Sírvase proporcionar información y datos recabados sobre las causas y manifestaciones del edadismo en la sociedad, tanto para las generaciones jóvenes como para las mayores, y sobre la manera en la que se traduce en prácticas discriminatorias.</w:t>
      </w:r>
    </w:p>
    <w:p w14:paraId="61921A59" w14:textId="3D09A372" w:rsidR="001B7805" w:rsidRPr="00F058C4" w:rsidRDefault="001B7805"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45DEFA94" w14:textId="77E73497" w:rsidR="008959AC" w:rsidRPr="00F058C4" w:rsidRDefault="000B0D62"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ab/>
        <w:t xml:space="preserve">La </w:t>
      </w:r>
      <w:hyperlink r:id="rId14" w:history="1">
        <w:r w:rsidRPr="00F058C4">
          <w:rPr>
            <w:rStyle w:val="Hipervnculo"/>
            <w:rFonts w:ascii="Calibri" w:eastAsia="Times New Roman" w:hAnsi="Calibri" w:cstheme="minorHAnsi"/>
            <w:i/>
            <w:lang w:val="es-MX"/>
          </w:rPr>
          <w:t>Encuesta Nacional de Discriminación</w:t>
        </w:r>
      </w:hyperlink>
      <w:r w:rsidRPr="00F058C4">
        <w:rPr>
          <w:rFonts w:ascii="Calibri" w:eastAsia="Times New Roman" w:hAnsi="Calibri" w:cstheme="minorHAnsi"/>
          <w:color w:val="000000"/>
          <w:lang w:val="es-MX"/>
        </w:rPr>
        <w:t xml:space="preserve"> </w:t>
      </w:r>
      <w:r w:rsidR="00911F53" w:rsidRPr="00F058C4">
        <w:rPr>
          <w:rFonts w:ascii="Calibri" w:eastAsia="Times New Roman" w:hAnsi="Calibri" w:cstheme="minorHAnsi"/>
          <w:color w:val="000000"/>
          <w:lang w:val="es-MX"/>
        </w:rPr>
        <w:t>(ENADI</w:t>
      </w:r>
      <w:r w:rsidR="008E0B4C" w:rsidRPr="00F058C4">
        <w:rPr>
          <w:rFonts w:ascii="Calibri" w:eastAsia="Times New Roman" w:hAnsi="Calibri" w:cstheme="minorHAnsi"/>
          <w:color w:val="000000"/>
          <w:lang w:val="es-MX"/>
        </w:rPr>
        <w:t>S</w:t>
      </w:r>
      <w:r w:rsidR="00911F53" w:rsidRPr="00F058C4">
        <w:rPr>
          <w:rFonts w:ascii="Calibri" w:eastAsia="Times New Roman" w:hAnsi="Calibri" w:cstheme="minorHAnsi"/>
          <w:color w:val="000000"/>
          <w:lang w:val="es-MX"/>
        </w:rPr>
        <w:t xml:space="preserve">) </w:t>
      </w:r>
      <w:r w:rsidRPr="00F058C4">
        <w:rPr>
          <w:rFonts w:ascii="Calibri" w:eastAsia="Times New Roman" w:hAnsi="Calibri" w:cstheme="minorHAnsi"/>
          <w:color w:val="000000"/>
          <w:lang w:val="es-MX"/>
        </w:rPr>
        <w:t>2017</w:t>
      </w:r>
      <w:r w:rsidR="00F7425D" w:rsidRPr="00F058C4">
        <w:rPr>
          <w:rFonts w:ascii="Calibri" w:eastAsia="Times New Roman" w:hAnsi="Calibri" w:cstheme="minorHAnsi"/>
          <w:color w:val="000000"/>
          <w:lang w:val="es-MX"/>
        </w:rPr>
        <w:t xml:space="preserve"> arroja que 57% de la población de 18 o más años opina que en el país se respetan poco o nada los derechos de las personas mayores y que, además, 82% de la gente se desespera fácilmente con las personas adultas mayores.</w:t>
      </w:r>
      <w:r w:rsidR="00096CF9" w:rsidRPr="00F058C4">
        <w:rPr>
          <w:rFonts w:ascii="Calibri" w:eastAsia="Times New Roman" w:hAnsi="Calibri" w:cstheme="minorHAnsi"/>
          <w:color w:val="000000"/>
          <w:lang w:val="es-MX"/>
        </w:rPr>
        <w:t xml:space="preserve"> </w:t>
      </w:r>
      <w:r w:rsidR="00B5396F" w:rsidRPr="00F058C4">
        <w:rPr>
          <w:rFonts w:ascii="Calibri" w:eastAsia="Times New Roman" w:hAnsi="Calibri" w:cstheme="minorHAnsi"/>
          <w:color w:val="000000"/>
          <w:lang w:val="es-MX"/>
        </w:rPr>
        <w:t>Asimismo, 42% de la población considera que en el país se respetan poco o nada los derechos de jóvenes, niñas, niños, y adolescent</w:t>
      </w:r>
      <w:r w:rsidR="003A3535" w:rsidRPr="00F058C4">
        <w:rPr>
          <w:rFonts w:ascii="Calibri" w:eastAsia="Times New Roman" w:hAnsi="Calibri" w:cstheme="minorHAnsi"/>
          <w:color w:val="000000"/>
          <w:lang w:val="es-MX"/>
        </w:rPr>
        <w:t>e</w:t>
      </w:r>
      <w:r w:rsidR="00B5396F" w:rsidRPr="00F058C4">
        <w:rPr>
          <w:rFonts w:ascii="Calibri" w:eastAsia="Times New Roman" w:hAnsi="Calibri" w:cstheme="minorHAnsi"/>
          <w:color w:val="000000"/>
          <w:lang w:val="es-MX"/>
        </w:rPr>
        <w:t xml:space="preserve">s. Algunos indicadores que profundizan en </w:t>
      </w:r>
      <w:r w:rsidR="00F768F8" w:rsidRPr="00F058C4">
        <w:rPr>
          <w:rFonts w:ascii="Calibri" w:eastAsia="Times New Roman" w:hAnsi="Calibri" w:cstheme="minorHAnsi"/>
          <w:color w:val="000000"/>
          <w:lang w:val="es-MX"/>
        </w:rPr>
        <w:t>estos grupos</w:t>
      </w:r>
      <w:r w:rsidR="00B5396F" w:rsidRPr="00F058C4">
        <w:rPr>
          <w:rFonts w:ascii="Calibri" w:eastAsia="Times New Roman" w:hAnsi="Calibri" w:cstheme="minorHAnsi"/>
          <w:color w:val="000000"/>
          <w:lang w:val="es-MX"/>
        </w:rPr>
        <w:t xml:space="preserve"> son: 39.8% de las personas justifica </w:t>
      </w:r>
      <w:r w:rsidR="00FD6EFA" w:rsidRPr="00F058C4">
        <w:rPr>
          <w:rFonts w:ascii="Calibri" w:eastAsia="Times New Roman" w:hAnsi="Calibri" w:cstheme="minorHAnsi"/>
          <w:color w:val="000000"/>
          <w:lang w:val="es-MX"/>
        </w:rPr>
        <w:t xml:space="preserve">mucho o algo </w:t>
      </w:r>
      <w:r w:rsidR="00B5396F" w:rsidRPr="00F058C4">
        <w:rPr>
          <w:rFonts w:ascii="Calibri" w:eastAsia="Times New Roman" w:hAnsi="Calibri" w:cstheme="minorHAnsi"/>
          <w:color w:val="000000"/>
          <w:lang w:val="es-MX"/>
        </w:rPr>
        <w:t>el llamar a la policía cuando hay jóvenes reunidos en una esquina; 58% está de acuerdo con que la mayoría de la juventud es irresponsable; 78% piensa que la juventud que no estudia ni trabaja es floja</w:t>
      </w:r>
      <w:r w:rsidR="00FD6EFA" w:rsidRPr="00F058C4">
        <w:rPr>
          <w:rFonts w:ascii="Calibri" w:eastAsia="Times New Roman" w:hAnsi="Calibri" w:cstheme="minorHAnsi"/>
          <w:color w:val="000000"/>
          <w:lang w:val="es-MX"/>
        </w:rPr>
        <w:t>; y 7.1% justifica mucho o algo pegarle a un niño o una niña para que obedezca.</w:t>
      </w:r>
      <w:r w:rsidR="006D33F5" w:rsidRPr="00F058C4">
        <w:rPr>
          <w:rFonts w:ascii="Calibri" w:eastAsia="Times New Roman" w:hAnsi="Calibri" w:cstheme="minorHAnsi"/>
          <w:color w:val="000000"/>
          <w:lang w:val="es-MX"/>
        </w:rPr>
        <w:t xml:space="preserve"> De igual manera, 61.1% de las personas mayores declaró haber experimentado una situación de discriminación en los últimos cinco años por causa de su condición.</w:t>
      </w:r>
    </w:p>
    <w:p w14:paraId="297ACD45" w14:textId="77777777" w:rsidR="008959AC" w:rsidRPr="00F058C4" w:rsidRDefault="008959AC"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35D02175" w14:textId="5C6C2B1F" w:rsidR="001B7805" w:rsidRPr="00F058C4" w:rsidRDefault="00096CF9"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Por otro lado, </w:t>
      </w:r>
      <w:r w:rsidR="00803928" w:rsidRPr="00F058C4">
        <w:rPr>
          <w:rFonts w:ascii="Calibri" w:eastAsia="Times New Roman" w:hAnsi="Calibri" w:cstheme="minorHAnsi"/>
          <w:color w:val="000000"/>
          <w:lang w:val="es-MX"/>
        </w:rPr>
        <w:t xml:space="preserve">en </w:t>
      </w:r>
      <w:r w:rsidRPr="00F058C4">
        <w:rPr>
          <w:rFonts w:ascii="Calibri" w:eastAsia="Times New Roman" w:hAnsi="Calibri" w:cstheme="minorHAnsi"/>
          <w:color w:val="000000"/>
          <w:lang w:val="es-MX"/>
        </w:rPr>
        <w:t xml:space="preserve">la edición más reciente de la </w:t>
      </w:r>
      <w:hyperlink r:id="rId15" w:history="1">
        <w:r w:rsidRPr="00F058C4">
          <w:rPr>
            <w:rStyle w:val="Hipervnculo"/>
            <w:rFonts w:ascii="Calibri" w:eastAsia="Times New Roman" w:hAnsi="Calibri" w:cstheme="minorHAnsi"/>
            <w:lang w:val="es-MX"/>
          </w:rPr>
          <w:t>Encuesta sobre discriminación en la Ciudad de México</w:t>
        </w:r>
      </w:hyperlink>
      <w:r w:rsidR="00911F53" w:rsidRPr="00F058C4">
        <w:rPr>
          <w:rFonts w:ascii="Calibri" w:eastAsia="Times New Roman" w:hAnsi="Calibri" w:cstheme="minorHAnsi"/>
          <w:color w:val="000000"/>
          <w:lang w:val="es-MX"/>
        </w:rPr>
        <w:t xml:space="preserve"> (EDI</w:t>
      </w:r>
      <w:r w:rsidR="008E0B4C" w:rsidRPr="00F058C4">
        <w:rPr>
          <w:rFonts w:ascii="Calibri" w:eastAsia="Times New Roman" w:hAnsi="Calibri" w:cstheme="minorHAnsi"/>
          <w:color w:val="000000"/>
          <w:lang w:val="es-MX"/>
        </w:rPr>
        <w:t>S</w:t>
      </w:r>
      <w:r w:rsidR="00911F53" w:rsidRPr="00F058C4">
        <w:rPr>
          <w:rFonts w:ascii="Calibri" w:eastAsia="Times New Roman" w:hAnsi="Calibri" w:cstheme="minorHAnsi"/>
          <w:color w:val="000000"/>
          <w:lang w:val="es-MX"/>
        </w:rPr>
        <w:t>),</w:t>
      </w:r>
      <w:r w:rsidR="00803928" w:rsidRPr="00F058C4">
        <w:rPr>
          <w:rFonts w:ascii="Calibri" w:eastAsia="Times New Roman" w:hAnsi="Calibri" w:cstheme="minorHAnsi"/>
          <w:color w:val="000000"/>
          <w:lang w:val="es-MX"/>
        </w:rPr>
        <w:t xml:space="preserve"> 4.4% de las personas encuestadas señalaron que las personas adultas mayores son el grupo más discriminado</w:t>
      </w:r>
      <w:r w:rsidR="00BE5823" w:rsidRPr="00F058C4">
        <w:rPr>
          <w:rFonts w:ascii="Calibri" w:eastAsia="Times New Roman" w:hAnsi="Calibri" w:cstheme="minorHAnsi"/>
          <w:color w:val="000000"/>
          <w:lang w:val="es-MX"/>
        </w:rPr>
        <w:t>, lo cual las coloca en un sexto lugar de percepción de discriminación, detrás de personas indígenas, gays, de piel morena, en situación de pobreza, y con una lengua, idioma o forma de hablar “distinta”</w:t>
      </w:r>
      <w:r w:rsidR="00803928" w:rsidRPr="00F058C4">
        <w:rPr>
          <w:rFonts w:ascii="Calibri" w:eastAsia="Times New Roman" w:hAnsi="Calibri" w:cstheme="minorHAnsi"/>
          <w:color w:val="000000"/>
          <w:lang w:val="es-MX"/>
        </w:rPr>
        <w:t>.</w:t>
      </w:r>
      <w:r w:rsidR="00E77722" w:rsidRPr="00F058C4">
        <w:rPr>
          <w:rFonts w:ascii="Calibri" w:eastAsia="Times New Roman" w:hAnsi="Calibri" w:cstheme="minorHAnsi"/>
          <w:color w:val="000000"/>
          <w:lang w:val="es-MX"/>
        </w:rPr>
        <w:t xml:space="preserve"> Las niñas y los niños, a su vez, ocupan el lugar 18, en razón del 1.2% de la población que les percibe como el grupo más discriminado en la Ciudad de México.</w:t>
      </w:r>
    </w:p>
    <w:p w14:paraId="577C8801" w14:textId="77777777"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1FD9F7EA" w14:textId="31B0676D" w:rsidR="00F26F38" w:rsidRPr="00F058C4" w:rsidRDefault="00F26F38" w:rsidP="00C70CE3">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3. Desde una perspectiva intersectorial, ¿existen factores específicos que agraven el edadismo y la</w:t>
      </w:r>
    </w:p>
    <w:p w14:paraId="08089930" w14:textId="77777777" w:rsidR="00F26F38" w:rsidRPr="00F058C4" w:rsidRDefault="00F26F38" w:rsidP="00C70CE3">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discriminación por edad y como se manifiesta? Sírvase proporcionar ejemplos concretos y datos</w:t>
      </w:r>
    </w:p>
    <w:p w14:paraId="4CE97D5C" w14:textId="2E50CC1B" w:rsidR="00F26F38" w:rsidRPr="00F058C4" w:rsidRDefault="00F26F38" w:rsidP="00C70CE3">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recabados cuando estén disponibles.</w:t>
      </w:r>
    </w:p>
    <w:p w14:paraId="6CB2F19C" w14:textId="27EBEAA7" w:rsidR="00F95B95" w:rsidRPr="00F058C4" w:rsidRDefault="00F95B95" w:rsidP="00C70CE3">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38497613" w14:textId="0B834A31" w:rsidR="00D8440E" w:rsidRPr="00F058C4" w:rsidRDefault="005A3FE8" w:rsidP="00D8440E">
      <w:pPr>
        <w:pBdr>
          <w:top w:val="nil"/>
          <w:left w:val="nil"/>
          <w:bottom w:val="nil"/>
          <w:right w:val="nil"/>
          <w:between w:val="nil"/>
        </w:pBdr>
        <w:spacing w:after="0" w:line="240" w:lineRule="auto"/>
        <w:ind w:firstLine="720"/>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El caso de las personas mayores con discapacidad es importante en </w:t>
      </w:r>
      <w:r w:rsidR="005C552E" w:rsidRPr="00F058C4">
        <w:rPr>
          <w:rFonts w:ascii="Calibri" w:eastAsia="Times New Roman" w:hAnsi="Calibri" w:cstheme="minorHAnsi"/>
          <w:color w:val="000000"/>
          <w:lang w:val="es-MX"/>
        </w:rPr>
        <w:t xml:space="preserve">tanto a su representatividad numérica en </w:t>
      </w:r>
      <w:r w:rsidRPr="00F058C4">
        <w:rPr>
          <w:rFonts w:ascii="Calibri" w:eastAsia="Times New Roman" w:hAnsi="Calibri" w:cstheme="minorHAnsi"/>
          <w:color w:val="000000"/>
          <w:lang w:val="es-MX"/>
        </w:rPr>
        <w:t xml:space="preserve">el contexto mexicano. </w:t>
      </w:r>
      <w:r w:rsidR="00D8440E" w:rsidRPr="00F058C4">
        <w:rPr>
          <w:rFonts w:ascii="Calibri" w:eastAsia="Times New Roman" w:hAnsi="Calibri" w:cstheme="minorHAnsi"/>
          <w:color w:val="000000"/>
          <w:lang w:val="es-MX"/>
        </w:rPr>
        <w:t>De 2010 a 2020, la población de 60 años y más pasó de 9.1% en 2010 a 12.0% en 2020, mientras que la población de 0 a 17 años disminuyó de 35.4% en 2010 a 30.4% en 2020. Esto significa que actualmente hay 15 121 682 personas de 60 o más años en México.</w:t>
      </w:r>
    </w:p>
    <w:p w14:paraId="754378FD" w14:textId="77777777" w:rsidR="00D8440E" w:rsidRPr="00F058C4" w:rsidRDefault="00D8440E" w:rsidP="00D8440E">
      <w:pPr>
        <w:pBdr>
          <w:top w:val="nil"/>
          <w:left w:val="nil"/>
          <w:bottom w:val="nil"/>
          <w:right w:val="nil"/>
          <w:between w:val="nil"/>
        </w:pBdr>
        <w:spacing w:after="0" w:line="240" w:lineRule="auto"/>
        <w:ind w:firstLine="720"/>
        <w:jc w:val="both"/>
        <w:rPr>
          <w:rFonts w:ascii="Calibri" w:eastAsia="Times New Roman" w:hAnsi="Calibri" w:cstheme="minorHAnsi"/>
          <w:color w:val="000000"/>
          <w:lang w:val="es-MX"/>
        </w:rPr>
      </w:pPr>
    </w:p>
    <w:p w14:paraId="2095E19C" w14:textId="0D02B8A1" w:rsidR="00F95B95" w:rsidRPr="00F058C4" w:rsidRDefault="00D8440E" w:rsidP="00D8440E">
      <w:pPr>
        <w:pBdr>
          <w:top w:val="nil"/>
          <w:left w:val="nil"/>
          <w:bottom w:val="nil"/>
          <w:right w:val="nil"/>
          <w:between w:val="nil"/>
        </w:pBdr>
        <w:spacing w:after="0" w:line="240" w:lineRule="auto"/>
        <w:ind w:firstLine="720"/>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En la Ciudad de México, de la población de 9 209 944, 16.3% (1 501 220</w:t>
      </w:r>
      <w:r w:rsidR="00F058C4">
        <w:rPr>
          <w:rFonts w:ascii="Calibri" w:eastAsia="Times New Roman" w:hAnsi="Calibri" w:cstheme="minorHAnsi"/>
          <w:color w:val="000000"/>
          <w:lang w:val="es-MX"/>
        </w:rPr>
        <w:t xml:space="preserve"> personas) tienen 60 o más años</w:t>
      </w:r>
      <w:bookmarkStart w:id="0" w:name="_GoBack"/>
      <w:bookmarkEnd w:id="0"/>
      <w:r w:rsidR="005A3FE8" w:rsidRPr="00F058C4">
        <w:rPr>
          <w:rFonts w:ascii="Calibri" w:eastAsia="Times New Roman" w:hAnsi="Calibri" w:cstheme="minorHAnsi"/>
          <w:color w:val="000000"/>
          <w:lang w:val="es-MX"/>
        </w:rPr>
        <w:t>, el Consejo Nacional de Población detectó que la mitad de la población con discapacidad a nivel nacional eran mayores de 60 años.</w:t>
      </w:r>
      <w:r w:rsidRPr="00F058C4">
        <w:rPr>
          <w:rFonts w:ascii="Calibri" w:eastAsia="Times New Roman" w:hAnsi="Calibri" w:cstheme="minorHAnsi"/>
          <w:color w:val="000000"/>
          <w:lang w:val="es-MX"/>
        </w:rPr>
        <w:t xml:space="preserve"> </w:t>
      </w:r>
      <w:r w:rsidR="005A3FE8" w:rsidRPr="00F058C4">
        <w:rPr>
          <w:rFonts w:ascii="Calibri" w:eastAsia="Times New Roman" w:hAnsi="Calibri" w:cstheme="minorHAnsi"/>
          <w:color w:val="000000"/>
          <w:lang w:val="es-MX"/>
        </w:rPr>
        <w:t xml:space="preserve">En cuanto a las 1.7 millones de personas que entonces vivían solas, siete de cada diez tenían algún tipo de discapacidad. Cabe mencionar que según la </w:t>
      </w:r>
      <w:hyperlink r:id="rId16" w:history="1">
        <w:r w:rsidR="005A3FE8" w:rsidRPr="00F058C4">
          <w:rPr>
            <w:rStyle w:val="Hipervnculo"/>
            <w:rFonts w:ascii="Calibri" w:eastAsia="Times New Roman" w:hAnsi="Calibri" w:cstheme="minorHAnsi"/>
            <w:lang w:val="es-MX"/>
          </w:rPr>
          <w:t>ENADIS 2017</w:t>
        </w:r>
      </w:hyperlink>
      <w:r w:rsidR="005A3FE8" w:rsidRPr="00F058C4">
        <w:rPr>
          <w:rFonts w:ascii="Calibri" w:eastAsia="Times New Roman" w:hAnsi="Calibri" w:cstheme="minorHAnsi"/>
          <w:color w:val="000000"/>
          <w:lang w:val="es-MX"/>
        </w:rPr>
        <w:t>, las 71.5% de las personas encuestadas están de acuerdo con que las personas con discapacidad son rechazadas por la mayoría de la gente.</w:t>
      </w:r>
      <w:r w:rsidR="003E18CA" w:rsidRPr="00F058C4">
        <w:rPr>
          <w:rFonts w:ascii="Calibri" w:eastAsia="Times New Roman" w:hAnsi="Calibri" w:cstheme="minorHAnsi"/>
          <w:color w:val="000000"/>
          <w:lang w:val="es-MX"/>
        </w:rPr>
        <w:t xml:space="preserve"> En el informe de la CDHCM sobre </w:t>
      </w:r>
      <w:hyperlink r:id="rId17" w:history="1">
        <w:r w:rsidR="003E18CA" w:rsidRPr="00F058C4">
          <w:rPr>
            <w:rStyle w:val="Hipervnculo"/>
            <w:rFonts w:ascii="Calibri" w:eastAsia="Times New Roman" w:hAnsi="Calibri" w:cstheme="minorHAnsi"/>
            <w:lang w:val="es-MX"/>
          </w:rPr>
          <w:t xml:space="preserve">Derecho a la vida independiente e </w:t>
        </w:r>
        <w:r w:rsidR="00F058C4" w:rsidRPr="00F058C4">
          <w:rPr>
            <w:rStyle w:val="Hipervnculo"/>
            <w:rFonts w:ascii="Calibri" w:eastAsia="Times New Roman" w:hAnsi="Calibri" w:cstheme="minorHAnsi"/>
            <w:lang w:val="es-MX"/>
          </w:rPr>
          <w:t>inclusión</w:t>
        </w:r>
        <w:r w:rsidR="003E18CA" w:rsidRPr="00F058C4">
          <w:rPr>
            <w:rStyle w:val="Hipervnculo"/>
            <w:rFonts w:ascii="Calibri" w:eastAsia="Times New Roman" w:hAnsi="Calibri" w:cstheme="minorHAnsi"/>
            <w:lang w:val="es-MX"/>
          </w:rPr>
          <w:t xml:space="preserve"> en la comunidad de las personas con discapacidad en la Ciudad de México</w:t>
        </w:r>
      </w:hyperlink>
      <w:r w:rsidR="009716D9" w:rsidRPr="00F058C4">
        <w:rPr>
          <w:rFonts w:ascii="Calibri" w:eastAsia="Times New Roman" w:hAnsi="Calibri" w:cstheme="minorHAnsi"/>
          <w:color w:val="000000"/>
          <w:lang w:val="es-MX"/>
        </w:rPr>
        <w:t xml:space="preserve"> (ver Anexo </w:t>
      </w:r>
      <w:r w:rsidR="00783E03" w:rsidRPr="00F058C4">
        <w:rPr>
          <w:rFonts w:ascii="Calibri" w:eastAsia="Times New Roman" w:hAnsi="Calibri" w:cstheme="minorHAnsi"/>
          <w:color w:val="000000"/>
          <w:lang w:val="es-MX"/>
        </w:rPr>
        <w:t>4</w:t>
      </w:r>
      <w:r w:rsidR="009716D9" w:rsidRPr="00F058C4">
        <w:rPr>
          <w:rFonts w:ascii="Calibri" w:eastAsia="Times New Roman" w:hAnsi="Calibri" w:cstheme="minorHAnsi"/>
          <w:color w:val="000000"/>
          <w:lang w:val="es-MX"/>
        </w:rPr>
        <w:t>)</w:t>
      </w:r>
      <w:r w:rsidR="003E18CA" w:rsidRPr="00F058C4">
        <w:rPr>
          <w:rFonts w:ascii="Calibri" w:eastAsia="Times New Roman" w:hAnsi="Calibri" w:cstheme="minorHAnsi"/>
          <w:color w:val="000000"/>
          <w:lang w:val="es-MX"/>
        </w:rPr>
        <w:t xml:space="preserve">, </w:t>
      </w:r>
      <w:r w:rsidR="00B03C5C" w:rsidRPr="00F058C4">
        <w:rPr>
          <w:rFonts w:ascii="Calibri" w:eastAsia="Times New Roman" w:hAnsi="Calibri" w:cstheme="minorHAnsi"/>
          <w:color w:val="000000"/>
          <w:lang w:val="es-MX"/>
        </w:rPr>
        <w:t>se detallan algunas de las intersecciones entre ambos grupos, específicamente en torno a los apoyos gubernamentales diseñados para su subsistencia económica.</w:t>
      </w:r>
    </w:p>
    <w:p w14:paraId="5419D28F" w14:textId="7DAFAA5C" w:rsidR="00491331" w:rsidRPr="00F058C4" w:rsidRDefault="00491331" w:rsidP="005A3FE8">
      <w:pPr>
        <w:pBdr>
          <w:top w:val="nil"/>
          <w:left w:val="nil"/>
          <w:bottom w:val="nil"/>
          <w:right w:val="nil"/>
          <w:between w:val="nil"/>
        </w:pBdr>
        <w:spacing w:after="0" w:line="240" w:lineRule="auto"/>
        <w:ind w:firstLine="720"/>
        <w:jc w:val="both"/>
        <w:rPr>
          <w:rFonts w:ascii="Calibri" w:eastAsia="Times New Roman" w:hAnsi="Calibri" w:cstheme="minorHAnsi"/>
          <w:color w:val="000000"/>
          <w:lang w:val="es-MX"/>
        </w:rPr>
      </w:pPr>
    </w:p>
    <w:p w14:paraId="572799A2" w14:textId="28D9F0F2" w:rsidR="00491331" w:rsidRPr="00F058C4" w:rsidRDefault="00491331" w:rsidP="00491331">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Ahora, llama también la atención el caso de las mujeres de 60 años o más. Desde la academia, como es el caso del </w:t>
      </w:r>
      <w:r w:rsidR="00094513" w:rsidRPr="00F058C4">
        <w:rPr>
          <w:rFonts w:ascii="Calibri" w:eastAsia="Times New Roman" w:hAnsi="Calibri" w:cstheme="minorHAnsi"/>
          <w:color w:val="000000"/>
          <w:lang w:val="es-MX"/>
        </w:rPr>
        <w:t xml:space="preserve">entonces </w:t>
      </w:r>
      <w:hyperlink r:id="rId18" w:history="1">
        <w:r w:rsidR="00094513" w:rsidRPr="00F058C4">
          <w:rPr>
            <w:rStyle w:val="Hipervnculo"/>
            <w:rFonts w:ascii="Calibri" w:eastAsia="Times New Roman" w:hAnsi="Calibri" w:cstheme="minorHAnsi"/>
            <w:lang w:val="es-MX"/>
          </w:rPr>
          <w:t>Laboratorio Nacional de Diversidades</w:t>
        </w:r>
      </w:hyperlink>
      <w:r w:rsidR="00094513" w:rsidRPr="00F058C4">
        <w:rPr>
          <w:rFonts w:ascii="Calibri" w:eastAsia="Times New Roman" w:hAnsi="Calibri" w:cstheme="minorHAnsi"/>
          <w:color w:val="000000"/>
          <w:lang w:val="es-MX"/>
        </w:rPr>
        <w:t xml:space="preserve">, se ha identificado que ellas sufren de una doble discriminación, particularmente en los contextos laborales. Esto se debe principalmente a que durante la mayor parte de sus vidas se dedicaron a los trabajos de cuidado y, por lo tanto, se encuentran menos capacitadas para los ámbitos laborales del Mercado que sus contrapartes hombres. En la </w:t>
      </w:r>
      <w:hyperlink r:id="rId19" w:history="1">
        <w:r w:rsidR="00094513" w:rsidRPr="00F058C4">
          <w:rPr>
            <w:rStyle w:val="Hipervnculo"/>
            <w:rFonts w:ascii="Calibri" w:eastAsia="Times New Roman" w:hAnsi="Calibri" w:cstheme="minorHAnsi"/>
            <w:lang w:val="es-MX"/>
          </w:rPr>
          <w:t>Revista de la CDHCM</w:t>
        </w:r>
      </w:hyperlink>
      <w:r w:rsidR="00094513" w:rsidRPr="00F058C4">
        <w:rPr>
          <w:rFonts w:ascii="Calibri" w:eastAsia="Times New Roman" w:hAnsi="Calibri" w:cstheme="minorHAnsi"/>
          <w:color w:val="000000"/>
          <w:lang w:val="es-MX"/>
        </w:rPr>
        <w:t xml:space="preserve"> sobre los derechos de las personas mayores,</w:t>
      </w:r>
      <w:r w:rsidR="003C1169" w:rsidRPr="00F058C4">
        <w:rPr>
          <w:rFonts w:ascii="Calibri" w:eastAsia="Times New Roman" w:hAnsi="Calibri" w:cstheme="minorHAnsi"/>
          <w:color w:val="000000"/>
          <w:lang w:val="es-MX"/>
        </w:rPr>
        <w:t xml:space="preserve"> también se toca este asunto. </w:t>
      </w:r>
      <w:r w:rsidR="00D61C68" w:rsidRPr="00F058C4">
        <w:rPr>
          <w:rFonts w:ascii="Calibri" w:eastAsia="Times New Roman" w:hAnsi="Calibri" w:cstheme="minorHAnsi"/>
          <w:color w:val="000000"/>
          <w:lang w:val="es-MX"/>
        </w:rPr>
        <w:t>Como se narra en dicha publicación, e</w:t>
      </w:r>
      <w:r w:rsidR="003C1169" w:rsidRPr="00F058C4">
        <w:rPr>
          <w:rFonts w:ascii="Calibri" w:eastAsia="Times New Roman" w:hAnsi="Calibri" w:cstheme="minorHAnsi"/>
          <w:color w:val="000000"/>
          <w:lang w:val="es-MX"/>
        </w:rPr>
        <w:t xml:space="preserve">n palabras de Marcela Bustamante Torres, coordinadora del Secretariado Regional para América Latina y el Caribe de </w:t>
      </w:r>
      <w:r w:rsidR="003C1169" w:rsidRPr="00F058C4">
        <w:rPr>
          <w:rFonts w:ascii="Calibri" w:eastAsia="Times New Roman" w:hAnsi="Calibri" w:cstheme="minorHAnsi"/>
          <w:i/>
          <w:color w:val="000000"/>
          <w:lang w:val="es-MX"/>
        </w:rPr>
        <w:t>Help</w:t>
      </w:r>
      <w:r w:rsidR="00D226D9" w:rsidRPr="00F058C4">
        <w:rPr>
          <w:rFonts w:ascii="Calibri" w:eastAsia="Times New Roman" w:hAnsi="Calibri" w:cstheme="minorHAnsi"/>
          <w:i/>
          <w:color w:val="000000"/>
          <w:lang w:val="es-MX"/>
        </w:rPr>
        <w:t xml:space="preserve"> </w:t>
      </w:r>
      <w:r w:rsidR="003C1169" w:rsidRPr="00F058C4">
        <w:rPr>
          <w:rFonts w:ascii="Calibri" w:eastAsia="Times New Roman" w:hAnsi="Calibri" w:cstheme="minorHAnsi"/>
          <w:i/>
          <w:color w:val="000000"/>
          <w:lang w:val="es-MX"/>
        </w:rPr>
        <w:t>Age International</w:t>
      </w:r>
      <w:r w:rsidR="00D61C68" w:rsidRPr="00F058C4">
        <w:rPr>
          <w:rFonts w:ascii="Calibri" w:eastAsia="Times New Roman" w:hAnsi="Calibri" w:cstheme="minorHAnsi"/>
          <w:color w:val="000000"/>
          <w:lang w:val="es-MX"/>
        </w:rPr>
        <w:t xml:space="preserve">, </w:t>
      </w:r>
      <w:r w:rsidR="002E3D34" w:rsidRPr="00F058C4">
        <w:rPr>
          <w:rFonts w:ascii="Calibri" w:eastAsia="Times New Roman" w:hAnsi="Calibri" w:cstheme="minorHAnsi"/>
          <w:color w:val="000000"/>
          <w:lang w:val="es-MX"/>
        </w:rPr>
        <w:t>“</w:t>
      </w:r>
      <w:r w:rsidR="00D61C68" w:rsidRPr="00F058C4">
        <w:rPr>
          <w:rFonts w:ascii="Calibri" w:eastAsia="Times New Roman" w:hAnsi="Calibri" w:cstheme="minorHAnsi"/>
          <w:color w:val="000000"/>
          <w:lang w:val="es-MX"/>
        </w:rPr>
        <w:t xml:space="preserve">las desigualdades </w:t>
      </w:r>
      <w:r w:rsidR="002E3D34" w:rsidRPr="00F058C4">
        <w:rPr>
          <w:rFonts w:ascii="Calibri" w:eastAsia="Times New Roman" w:hAnsi="Calibri" w:cstheme="minorHAnsi"/>
          <w:color w:val="000000"/>
          <w:lang w:val="es-MX"/>
        </w:rPr>
        <w:t>de género se detonan en la vejez hacienda las relaciones de poder más desfavorables para las mujeres mayores”.</w:t>
      </w:r>
      <w:r w:rsidR="00090528" w:rsidRPr="00F058C4">
        <w:rPr>
          <w:rFonts w:ascii="Calibri" w:eastAsia="Times New Roman" w:hAnsi="Calibri" w:cstheme="minorHAnsi"/>
          <w:color w:val="000000"/>
          <w:lang w:val="es-MX"/>
        </w:rPr>
        <w:t xml:space="preserve"> La CDHCM atendió un caso de violaciones al derecho a la seguridad jurídica de la tenencia de la Vivienda en perjuicio de mujeres mayores, el cual deriv</w:t>
      </w:r>
      <w:r w:rsidR="00BF0A01" w:rsidRPr="00F058C4">
        <w:rPr>
          <w:rFonts w:ascii="Calibri" w:eastAsia="Times New Roman" w:hAnsi="Calibri" w:cstheme="minorHAnsi"/>
          <w:color w:val="000000"/>
          <w:lang w:val="es-MX"/>
        </w:rPr>
        <w:t>ó</w:t>
      </w:r>
      <w:r w:rsidR="00090528" w:rsidRPr="00F058C4">
        <w:rPr>
          <w:rFonts w:ascii="Calibri" w:eastAsia="Times New Roman" w:hAnsi="Calibri" w:cstheme="minorHAnsi"/>
          <w:color w:val="000000"/>
          <w:lang w:val="es-MX"/>
        </w:rPr>
        <w:t xml:space="preserve"> en la </w:t>
      </w:r>
      <w:hyperlink r:id="rId20" w:history="1">
        <w:r w:rsidR="00090528" w:rsidRPr="00F058C4">
          <w:rPr>
            <w:rStyle w:val="Hipervnculo"/>
            <w:rFonts w:ascii="Calibri" w:eastAsia="Times New Roman" w:hAnsi="Calibri" w:cstheme="minorHAnsi"/>
            <w:lang w:val="es-MX"/>
          </w:rPr>
          <w:t>Recomendación 1/2020</w:t>
        </w:r>
      </w:hyperlink>
      <w:r w:rsidR="00BF0A01" w:rsidRPr="00F058C4">
        <w:rPr>
          <w:rFonts w:ascii="Calibri" w:eastAsia="Times New Roman" w:hAnsi="Calibri" w:cstheme="minorHAnsi"/>
          <w:color w:val="000000"/>
          <w:lang w:val="es-MX"/>
        </w:rPr>
        <w:t xml:space="preserve"> (ver Anexo </w:t>
      </w:r>
      <w:r w:rsidR="00783E03" w:rsidRPr="00F058C4">
        <w:rPr>
          <w:rFonts w:ascii="Calibri" w:eastAsia="Times New Roman" w:hAnsi="Calibri" w:cstheme="minorHAnsi"/>
          <w:color w:val="000000"/>
          <w:lang w:val="es-MX"/>
        </w:rPr>
        <w:t>5</w:t>
      </w:r>
      <w:r w:rsidR="00BF0A01" w:rsidRPr="00F058C4">
        <w:rPr>
          <w:rFonts w:ascii="Calibri" w:eastAsia="Times New Roman" w:hAnsi="Calibri" w:cstheme="minorHAnsi"/>
          <w:color w:val="000000"/>
          <w:lang w:val="es-MX"/>
        </w:rPr>
        <w:t>)</w:t>
      </w:r>
      <w:r w:rsidR="00090528" w:rsidRPr="00F058C4">
        <w:rPr>
          <w:rFonts w:ascii="Calibri" w:eastAsia="Times New Roman" w:hAnsi="Calibri" w:cstheme="minorHAnsi"/>
          <w:color w:val="000000"/>
          <w:lang w:val="es-MX"/>
        </w:rPr>
        <w:t>.</w:t>
      </w:r>
    </w:p>
    <w:p w14:paraId="17C34A48" w14:textId="3A0558E4" w:rsidR="008D26CB" w:rsidRPr="00F058C4" w:rsidRDefault="008D26CB" w:rsidP="00491331">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7A2FE729" w14:textId="54F8E007" w:rsidR="008D26CB" w:rsidRPr="00F058C4" w:rsidRDefault="008D26CB" w:rsidP="00491331">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Los datos de las quejas que ha atendido la CDHCM nos proporcionan un indicador adicional sobre los datos de interseccionalidad respecto de las personas mayores.</w:t>
      </w:r>
      <w:r w:rsidR="007E23BB" w:rsidRPr="00F058C4">
        <w:rPr>
          <w:rFonts w:ascii="Calibri" w:eastAsia="Times New Roman" w:hAnsi="Calibri" w:cstheme="minorHAnsi"/>
          <w:color w:val="000000"/>
          <w:lang w:val="es-MX"/>
        </w:rPr>
        <w:t xml:space="preserve"> Se ha identificado</w:t>
      </w:r>
      <w:r w:rsidR="0044584B" w:rsidRPr="00F058C4">
        <w:rPr>
          <w:rFonts w:ascii="Calibri" w:eastAsia="Times New Roman" w:hAnsi="Calibri" w:cstheme="minorHAnsi"/>
          <w:color w:val="000000"/>
          <w:lang w:val="es-MX"/>
        </w:rPr>
        <w:t xml:space="preserve"> que m</w:t>
      </w:r>
      <w:r w:rsidR="00D971C4" w:rsidRPr="00F058C4">
        <w:rPr>
          <w:rFonts w:ascii="Calibri" w:eastAsia="Times New Roman" w:hAnsi="Calibri" w:cstheme="minorHAnsi"/>
          <w:color w:val="000000"/>
          <w:lang w:val="es-MX"/>
        </w:rPr>
        <w:t>ú</w:t>
      </w:r>
      <w:r w:rsidR="0044584B" w:rsidRPr="00F058C4">
        <w:rPr>
          <w:rFonts w:ascii="Calibri" w:eastAsia="Times New Roman" w:hAnsi="Calibri" w:cstheme="minorHAnsi"/>
          <w:color w:val="000000"/>
          <w:lang w:val="es-MX"/>
        </w:rPr>
        <w:t>ltiples personas agraviadas de 60 años o más se identifican con otro grupo de atención prioritaria</w:t>
      </w:r>
      <w:r w:rsidR="00D971C4" w:rsidRPr="00F058C4">
        <w:rPr>
          <w:rFonts w:ascii="Calibri" w:eastAsia="Times New Roman" w:hAnsi="Calibri" w:cstheme="minorHAnsi"/>
          <w:color w:val="000000"/>
          <w:lang w:val="es-MX"/>
        </w:rPr>
        <w:t xml:space="preserve"> (ver Tabla 1).</w:t>
      </w:r>
    </w:p>
    <w:p w14:paraId="7F9DD0B7" w14:textId="645CFE7B" w:rsidR="00D971C4" w:rsidRPr="00F058C4" w:rsidRDefault="00D971C4" w:rsidP="00491331">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235E1E7F" w14:textId="77777777" w:rsidR="00F058C4" w:rsidRPr="00F058C4" w:rsidRDefault="00F058C4" w:rsidP="00491331">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6CC4B46B" w14:textId="77777777" w:rsidR="00F058C4" w:rsidRPr="00F058C4" w:rsidRDefault="00F058C4" w:rsidP="00491331">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514A553F" w14:textId="77777777" w:rsidR="00F058C4" w:rsidRPr="00F058C4" w:rsidRDefault="00F058C4" w:rsidP="00491331">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5E9B9437" w14:textId="16340F6F" w:rsidR="00D971C4" w:rsidRPr="00F058C4" w:rsidRDefault="00D971C4" w:rsidP="00D971C4">
      <w:pPr>
        <w:pBdr>
          <w:top w:val="nil"/>
          <w:left w:val="nil"/>
          <w:bottom w:val="nil"/>
          <w:right w:val="nil"/>
          <w:between w:val="nil"/>
        </w:pBdr>
        <w:spacing w:after="0" w:line="240" w:lineRule="auto"/>
        <w:jc w:val="center"/>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Tabla 1. Personas agraviadas de 60 años o más identificadas dentro de otros grupos de atención prioritaria</w:t>
      </w:r>
    </w:p>
    <w:p w14:paraId="2150CD54" w14:textId="33E1D1AE" w:rsidR="00371A51" w:rsidRPr="00F058C4" w:rsidRDefault="00371A51" w:rsidP="00491331">
      <w:pPr>
        <w:pBdr>
          <w:top w:val="nil"/>
          <w:left w:val="nil"/>
          <w:bottom w:val="nil"/>
          <w:right w:val="nil"/>
          <w:between w:val="nil"/>
        </w:pBdr>
        <w:spacing w:after="0" w:line="240" w:lineRule="auto"/>
        <w:jc w:val="both"/>
        <w:rPr>
          <w:rFonts w:ascii="Calibri" w:eastAsia="Times New Roman" w:hAnsi="Calibri" w:cstheme="minorHAnsi"/>
          <w:color w:val="000000"/>
          <w:lang w:val="es-MX"/>
        </w:rPr>
      </w:pPr>
    </w:p>
    <w:tbl>
      <w:tblPr>
        <w:tblStyle w:val="Tabladecuadrcula3-nfasis4"/>
        <w:tblW w:w="8931" w:type="dxa"/>
        <w:tblLook w:val="04A0" w:firstRow="1" w:lastRow="0" w:firstColumn="1" w:lastColumn="0" w:noHBand="0" w:noVBand="1"/>
      </w:tblPr>
      <w:tblGrid>
        <w:gridCol w:w="5486"/>
        <w:gridCol w:w="3445"/>
      </w:tblGrid>
      <w:tr w:rsidR="00BF7ADB" w:rsidRPr="00F058C4" w14:paraId="00703999" w14:textId="77777777" w:rsidTr="00401346">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5486" w:type="dxa"/>
            <w:noWrap/>
            <w:hideMark/>
          </w:tcPr>
          <w:p w14:paraId="2E13266F" w14:textId="655EFCB2"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Grupo de Pertenencia</w:t>
            </w:r>
          </w:p>
        </w:tc>
        <w:tc>
          <w:tcPr>
            <w:tcW w:w="3445" w:type="dxa"/>
            <w:noWrap/>
            <w:hideMark/>
          </w:tcPr>
          <w:p w14:paraId="2FB63F60" w14:textId="4816739B" w:rsidR="00BF7ADB" w:rsidRPr="00F058C4" w:rsidRDefault="00BF7ADB" w:rsidP="00371A5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Número de Pe</w:t>
            </w:r>
            <w:r w:rsidRPr="00F058C4">
              <w:rPr>
                <w:rFonts w:ascii="Calibri" w:eastAsia="Times New Roman" w:hAnsi="Calibri" w:cs="Times New Roman"/>
                <w:b w:val="0"/>
                <w:bCs w:val="0"/>
                <w:color w:val="000000"/>
                <w:lang w:val="es-MX" w:eastAsia="es-MX"/>
              </w:rPr>
              <w:t>r</w:t>
            </w:r>
            <w:r w:rsidRPr="00F058C4">
              <w:rPr>
                <w:rFonts w:ascii="Calibri" w:eastAsia="Times New Roman" w:hAnsi="Calibri" w:cs="Times New Roman"/>
                <w:color w:val="000000"/>
                <w:lang w:val="es-MX" w:eastAsia="es-MX"/>
              </w:rPr>
              <w:t>sonas</w:t>
            </w:r>
          </w:p>
        </w:tc>
      </w:tr>
      <w:tr w:rsidR="00BF7ADB" w:rsidRPr="00F058C4" w14:paraId="715CC006" w14:textId="77777777" w:rsidTr="0040134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71C9761D"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Por vivir con alguna discapacidad</w:t>
            </w:r>
          </w:p>
        </w:tc>
        <w:tc>
          <w:tcPr>
            <w:tcW w:w="3445" w:type="dxa"/>
            <w:noWrap/>
            <w:hideMark/>
          </w:tcPr>
          <w:p w14:paraId="58C527D3" w14:textId="77777777" w:rsidR="00BF7ADB" w:rsidRPr="00F058C4" w:rsidRDefault="00BF7ADB" w:rsidP="00371A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656</w:t>
            </w:r>
          </w:p>
        </w:tc>
      </w:tr>
      <w:tr w:rsidR="00BF7ADB" w:rsidRPr="00F058C4" w14:paraId="60E4FBDB" w14:textId="77777777" w:rsidTr="00401346">
        <w:trPr>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0E3F9CF2"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Personas privadas de la libertad</w:t>
            </w:r>
          </w:p>
        </w:tc>
        <w:tc>
          <w:tcPr>
            <w:tcW w:w="3445" w:type="dxa"/>
            <w:noWrap/>
            <w:hideMark/>
          </w:tcPr>
          <w:p w14:paraId="39749FA5" w14:textId="77777777" w:rsidR="00BF7ADB" w:rsidRPr="00F058C4" w:rsidRDefault="00BF7ADB" w:rsidP="00371A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284</w:t>
            </w:r>
          </w:p>
        </w:tc>
      </w:tr>
      <w:tr w:rsidR="00BF7ADB" w:rsidRPr="00F058C4" w14:paraId="15DEB54B" w14:textId="77777777" w:rsidTr="0040134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4B9EE26A"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Mujeres</w:t>
            </w:r>
          </w:p>
        </w:tc>
        <w:tc>
          <w:tcPr>
            <w:tcW w:w="3445" w:type="dxa"/>
            <w:noWrap/>
            <w:hideMark/>
          </w:tcPr>
          <w:p w14:paraId="2960DEE4" w14:textId="77777777" w:rsidR="00BF7ADB" w:rsidRPr="00F058C4" w:rsidRDefault="00BF7ADB" w:rsidP="00371A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251</w:t>
            </w:r>
          </w:p>
        </w:tc>
      </w:tr>
      <w:tr w:rsidR="00BF7ADB" w:rsidRPr="00F058C4" w14:paraId="7BEAD88B" w14:textId="77777777" w:rsidTr="00401346">
        <w:trPr>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1BDDAA75"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Por sexo</w:t>
            </w:r>
          </w:p>
        </w:tc>
        <w:tc>
          <w:tcPr>
            <w:tcW w:w="3445" w:type="dxa"/>
            <w:noWrap/>
            <w:hideMark/>
          </w:tcPr>
          <w:p w14:paraId="21E1046D" w14:textId="77777777" w:rsidR="00BF7ADB" w:rsidRPr="00F058C4" w:rsidRDefault="00BF7ADB" w:rsidP="00371A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142</w:t>
            </w:r>
          </w:p>
        </w:tc>
      </w:tr>
      <w:tr w:rsidR="00BF7ADB" w:rsidRPr="00F058C4" w14:paraId="761706B1" w14:textId="77777777" w:rsidTr="0040134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7B823AF0"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Por situación domiciliaria</w:t>
            </w:r>
          </w:p>
        </w:tc>
        <w:tc>
          <w:tcPr>
            <w:tcW w:w="3445" w:type="dxa"/>
            <w:noWrap/>
            <w:hideMark/>
          </w:tcPr>
          <w:p w14:paraId="4E1BFF80" w14:textId="77777777" w:rsidR="00BF7ADB" w:rsidRPr="00F058C4" w:rsidRDefault="00BF7ADB" w:rsidP="00371A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95</w:t>
            </w:r>
          </w:p>
        </w:tc>
      </w:tr>
      <w:tr w:rsidR="00BF7ADB" w:rsidRPr="00F058C4" w14:paraId="6521AB4A" w14:textId="77777777" w:rsidTr="00401346">
        <w:trPr>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6C6899AD"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Personas con discapacidad</w:t>
            </w:r>
          </w:p>
        </w:tc>
        <w:tc>
          <w:tcPr>
            <w:tcW w:w="3445" w:type="dxa"/>
            <w:noWrap/>
            <w:hideMark/>
          </w:tcPr>
          <w:p w14:paraId="03DC78EA" w14:textId="77777777" w:rsidR="00BF7ADB" w:rsidRPr="00F058C4" w:rsidRDefault="00BF7ADB" w:rsidP="00371A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77</w:t>
            </w:r>
          </w:p>
        </w:tc>
      </w:tr>
      <w:tr w:rsidR="00BF7ADB" w:rsidRPr="00F058C4" w14:paraId="4349FB94" w14:textId="77777777" w:rsidTr="0040134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57B51F02"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Víctimas</w:t>
            </w:r>
          </w:p>
        </w:tc>
        <w:tc>
          <w:tcPr>
            <w:tcW w:w="3445" w:type="dxa"/>
            <w:noWrap/>
            <w:hideMark/>
          </w:tcPr>
          <w:p w14:paraId="5A73637F" w14:textId="77777777" w:rsidR="00BF7ADB" w:rsidRPr="00F058C4" w:rsidRDefault="00BF7ADB" w:rsidP="00371A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59</w:t>
            </w:r>
          </w:p>
        </w:tc>
      </w:tr>
      <w:tr w:rsidR="00BF7ADB" w:rsidRPr="00F058C4" w14:paraId="39A25AE5" w14:textId="77777777" w:rsidTr="00401346">
        <w:trPr>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08453303"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Personas privadas de su libertad</w:t>
            </w:r>
          </w:p>
        </w:tc>
        <w:tc>
          <w:tcPr>
            <w:tcW w:w="3445" w:type="dxa"/>
            <w:noWrap/>
            <w:hideMark/>
          </w:tcPr>
          <w:p w14:paraId="61C2B030" w14:textId="77777777" w:rsidR="00BF7ADB" w:rsidRPr="00F058C4" w:rsidRDefault="00BF7ADB" w:rsidP="00371A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48</w:t>
            </w:r>
          </w:p>
        </w:tc>
      </w:tr>
      <w:tr w:rsidR="00BF7ADB" w:rsidRPr="00F058C4" w14:paraId="710710CF" w14:textId="77777777" w:rsidTr="0040134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2485DE88"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Por ejercer una profesión de riesgo para sus DDHH</w:t>
            </w:r>
          </w:p>
        </w:tc>
        <w:tc>
          <w:tcPr>
            <w:tcW w:w="3445" w:type="dxa"/>
            <w:noWrap/>
            <w:hideMark/>
          </w:tcPr>
          <w:p w14:paraId="3EB6CAFE" w14:textId="77777777" w:rsidR="00BF7ADB" w:rsidRPr="00F058C4" w:rsidRDefault="00BF7ADB" w:rsidP="00371A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31</w:t>
            </w:r>
          </w:p>
        </w:tc>
      </w:tr>
      <w:tr w:rsidR="00BF7ADB" w:rsidRPr="00F058C4" w14:paraId="3FA0B36A" w14:textId="77777777" w:rsidTr="00401346">
        <w:trPr>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371CCD9C"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Por tener una enfermedad que pueda generar una violación de derechos</w:t>
            </w:r>
          </w:p>
        </w:tc>
        <w:tc>
          <w:tcPr>
            <w:tcW w:w="3445" w:type="dxa"/>
            <w:noWrap/>
            <w:hideMark/>
          </w:tcPr>
          <w:p w14:paraId="6708AF9D" w14:textId="77777777" w:rsidR="00BF7ADB" w:rsidRPr="00F058C4" w:rsidRDefault="00BF7ADB" w:rsidP="00371A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30</w:t>
            </w:r>
          </w:p>
        </w:tc>
      </w:tr>
      <w:tr w:rsidR="00BF7ADB" w:rsidRPr="00F058C4" w14:paraId="745EF801" w14:textId="77777777" w:rsidTr="0040134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130FCA9E"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Persona Migrante</w:t>
            </w:r>
          </w:p>
        </w:tc>
        <w:tc>
          <w:tcPr>
            <w:tcW w:w="3445" w:type="dxa"/>
            <w:noWrap/>
            <w:hideMark/>
          </w:tcPr>
          <w:p w14:paraId="5FDCD275" w14:textId="77777777" w:rsidR="00BF7ADB" w:rsidRPr="00F058C4" w:rsidRDefault="00BF7ADB" w:rsidP="00371A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28</w:t>
            </w:r>
          </w:p>
        </w:tc>
      </w:tr>
      <w:tr w:rsidR="00BF7ADB" w:rsidRPr="00F058C4" w14:paraId="25F7101F" w14:textId="77777777" w:rsidTr="00401346">
        <w:trPr>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7A5D3426"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Personas en situación de calle</w:t>
            </w:r>
          </w:p>
        </w:tc>
        <w:tc>
          <w:tcPr>
            <w:tcW w:w="3445" w:type="dxa"/>
            <w:noWrap/>
            <w:hideMark/>
          </w:tcPr>
          <w:p w14:paraId="64A68452" w14:textId="77777777" w:rsidR="00BF7ADB" w:rsidRPr="00F058C4" w:rsidRDefault="00BF7ADB" w:rsidP="00371A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27</w:t>
            </w:r>
          </w:p>
        </w:tc>
      </w:tr>
      <w:tr w:rsidR="00BF7ADB" w:rsidRPr="00F058C4" w14:paraId="32486CE6" w14:textId="77777777" w:rsidTr="0040134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123233AE"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Por origen étnico</w:t>
            </w:r>
          </w:p>
        </w:tc>
        <w:tc>
          <w:tcPr>
            <w:tcW w:w="3445" w:type="dxa"/>
            <w:noWrap/>
            <w:hideMark/>
          </w:tcPr>
          <w:p w14:paraId="2AF55974" w14:textId="77777777" w:rsidR="00BF7ADB" w:rsidRPr="00F058C4" w:rsidRDefault="00BF7ADB" w:rsidP="00371A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16</w:t>
            </w:r>
          </w:p>
        </w:tc>
      </w:tr>
      <w:tr w:rsidR="00BF7ADB" w:rsidRPr="00F058C4" w14:paraId="451076AF" w14:textId="77777777" w:rsidTr="00401346">
        <w:trPr>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1F866FE0"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Personas que residen en instituciones</w:t>
            </w:r>
          </w:p>
        </w:tc>
        <w:tc>
          <w:tcPr>
            <w:tcW w:w="3445" w:type="dxa"/>
            <w:noWrap/>
            <w:hideMark/>
          </w:tcPr>
          <w:p w14:paraId="037EA052" w14:textId="77777777" w:rsidR="00BF7ADB" w:rsidRPr="00F058C4" w:rsidRDefault="00BF7ADB" w:rsidP="00371A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10</w:t>
            </w:r>
          </w:p>
        </w:tc>
      </w:tr>
      <w:tr w:rsidR="00BF7ADB" w:rsidRPr="00F058C4" w14:paraId="4EFBCDFD" w14:textId="77777777" w:rsidTr="0040134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23A5E9C6"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Orientación e identidad sexual</w:t>
            </w:r>
          </w:p>
        </w:tc>
        <w:tc>
          <w:tcPr>
            <w:tcW w:w="3445" w:type="dxa"/>
            <w:noWrap/>
            <w:hideMark/>
          </w:tcPr>
          <w:p w14:paraId="2F060E5F" w14:textId="77777777" w:rsidR="00BF7ADB" w:rsidRPr="00F058C4" w:rsidRDefault="00BF7ADB" w:rsidP="00371A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6</w:t>
            </w:r>
          </w:p>
        </w:tc>
      </w:tr>
      <w:tr w:rsidR="00BF7ADB" w:rsidRPr="00F058C4" w14:paraId="42CDCAF2" w14:textId="77777777" w:rsidTr="00401346">
        <w:trPr>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2D1A3C9A" w14:textId="272C4CFD"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 xml:space="preserve">Personas que transitan en </w:t>
            </w:r>
            <w:r w:rsidR="008828C4" w:rsidRPr="00F058C4">
              <w:rPr>
                <w:rFonts w:ascii="Calibri" w:eastAsia="Times New Roman" w:hAnsi="Calibri" w:cs="Times New Roman"/>
                <w:color w:val="000000"/>
                <w:lang w:val="es-MX" w:eastAsia="es-MX"/>
              </w:rPr>
              <w:t>la Ciudad de México</w:t>
            </w:r>
          </w:p>
        </w:tc>
        <w:tc>
          <w:tcPr>
            <w:tcW w:w="3445" w:type="dxa"/>
            <w:noWrap/>
            <w:hideMark/>
          </w:tcPr>
          <w:p w14:paraId="6293A3AE" w14:textId="77777777" w:rsidR="00BF7ADB" w:rsidRPr="00F058C4" w:rsidRDefault="00BF7ADB" w:rsidP="00371A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4</w:t>
            </w:r>
          </w:p>
        </w:tc>
      </w:tr>
      <w:tr w:rsidR="00BF7ADB" w:rsidRPr="00F058C4" w14:paraId="2FB70F50" w14:textId="77777777" w:rsidTr="0040134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6BEF78B5"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Persona en situación de movilidad</w:t>
            </w:r>
          </w:p>
        </w:tc>
        <w:tc>
          <w:tcPr>
            <w:tcW w:w="3445" w:type="dxa"/>
            <w:noWrap/>
            <w:hideMark/>
          </w:tcPr>
          <w:p w14:paraId="5CF6ACF1" w14:textId="77777777" w:rsidR="00BF7ADB" w:rsidRPr="00F058C4" w:rsidRDefault="00BF7ADB" w:rsidP="00371A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2</w:t>
            </w:r>
          </w:p>
        </w:tc>
      </w:tr>
      <w:tr w:rsidR="00BF7ADB" w:rsidRPr="00F058C4" w14:paraId="5D5958F2" w14:textId="77777777" w:rsidTr="00401346">
        <w:trPr>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1CD32DBB"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Personas de identidad indígena</w:t>
            </w:r>
          </w:p>
        </w:tc>
        <w:tc>
          <w:tcPr>
            <w:tcW w:w="3445" w:type="dxa"/>
            <w:noWrap/>
            <w:hideMark/>
          </w:tcPr>
          <w:p w14:paraId="6C8E2537" w14:textId="77777777" w:rsidR="00BF7ADB" w:rsidRPr="00F058C4" w:rsidRDefault="00BF7ADB" w:rsidP="00371A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2</w:t>
            </w:r>
          </w:p>
        </w:tc>
      </w:tr>
      <w:tr w:rsidR="00BF7ADB" w:rsidRPr="00F058C4" w14:paraId="252E62A4" w14:textId="77777777" w:rsidTr="0040134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47B6226A"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Personas defensoras de derechos humanos</w:t>
            </w:r>
          </w:p>
        </w:tc>
        <w:tc>
          <w:tcPr>
            <w:tcW w:w="3445" w:type="dxa"/>
            <w:noWrap/>
            <w:hideMark/>
          </w:tcPr>
          <w:p w14:paraId="315328EE" w14:textId="77777777" w:rsidR="00BF7ADB" w:rsidRPr="00F058C4" w:rsidRDefault="00BF7ADB" w:rsidP="00371A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2</w:t>
            </w:r>
          </w:p>
        </w:tc>
      </w:tr>
      <w:tr w:rsidR="00BF7ADB" w:rsidRPr="00F058C4" w14:paraId="43728D1D" w14:textId="77777777" w:rsidTr="00401346">
        <w:trPr>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7F8AE59F"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Personas LGBTTTI</w:t>
            </w:r>
          </w:p>
        </w:tc>
        <w:tc>
          <w:tcPr>
            <w:tcW w:w="3445" w:type="dxa"/>
            <w:noWrap/>
            <w:hideMark/>
          </w:tcPr>
          <w:p w14:paraId="0E97FFDF" w14:textId="77777777" w:rsidR="00BF7ADB" w:rsidRPr="00F058C4" w:rsidRDefault="00BF7ADB" w:rsidP="00371A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2</w:t>
            </w:r>
          </w:p>
        </w:tc>
      </w:tr>
      <w:tr w:rsidR="00BF7ADB" w:rsidRPr="00F058C4" w14:paraId="22830D2D" w14:textId="77777777" w:rsidTr="0040134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1C9C68AE" w14:textId="77777777"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lastRenderedPageBreak/>
              <w:t>Pueblos originarios</w:t>
            </w:r>
          </w:p>
        </w:tc>
        <w:tc>
          <w:tcPr>
            <w:tcW w:w="3445" w:type="dxa"/>
            <w:noWrap/>
            <w:hideMark/>
          </w:tcPr>
          <w:p w14:paraId="37689834" w14:textId="77777777" w:rsidR="00BF7ADB" w:rsidRPr="00F058C4" w:rsidRDefault="00BF7ADB" w:rsidP="00371A5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2</w:t>
            </w:r>
          </w:p>
        </w:tc>
      </w:tr>
      <w:tr w:rsidR="00BF7ADB" w:rsidRPr="00F058C4" w14:paraId="79B34B0C" w14:textId="77777777" w:rsidTr="00401346">
        <w:trPr>
          <w:trHeight w:val="255"/>
        </w:trPr>
        <w:tc>
          <w:tcPr>
            <w:cnfStyle w:val="001000000000" w:firstRow="0" w:lastRow="0" w:firstColumn="1" w:lastColumn="0" w:oddVBand="0" w:evenVBand="0" w:oddHBand="0" w:evenHBand="0" w:firstRowFirstColumn="0" w:firstRowLastColumn="0" w:lastRowFirstColumn="0" w:lastRowLastColumn="0"/>
            <w:tcW w:w="5486" w:type="dxa"/>
            <w:noWrap/>
            <w:hideMark/>
          </w:tcPr>
          <w:p w14:paraId="189D4ECB" w14:textId="3DD78646" w:rsidR="00BF7ADB" w:rsidRPr="00F058C4" w:rsidRDefault="00BF7ADB" w:rsidP="00371A51">
            <w:pPr>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Periodistas o profesionales de los medios de comunicación</w:t>
            </w:r>
          </w:p>
        </w:tc>
        <w:tc>
          <w:tcPr>
            <w:tcW w:w="3445" w:type="dxa"/>
            <w:noWrap/>
            <w:hideMark/>
          </w:tcPr>
          <w:p w14:paraId="65E4743F" w14:textId="77777777" w:rsidR="00BF7ADB" w:rsidRPr="00F058C4" w:rsidRDefault="00BF7ADB" w:rsidP="00371A5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MX" w:eastAsia="es-MX"/>
              </w:rPr>
            </w:pPr>
            <w:r w:rsidRPr="00F058C4">
              <w:rPr>
                <w:rFonts w:ascii="Calibri" w:eastAsia="Times New Roman" w:hAnsi="Calibri" w:cs="Times New Roman"/>
                <w:color w:val="000000"/>
                <w:lang w:val="es-MX" w:eastAsia="es-MX"/>
              </w:rPr>
              <w:t>1</w:t>
            </w:r>
          </w:p>
        </w:tc>
      </w:tr>
    </w:tbl>
    <w:p w14:paraId="38DE9A95" w14:textId="77777777"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color w:val="000000"/>
          <w:lang w:val="en-US"/>
        </w:rPr>
      </w:pPr>
    </w:p>
    <w:p w14:paraId="347B11BB" w14:textId="77777777"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Marcos jurídicos, normativos e institucionales relacionados con el edadismo y la discriminación</w:t>
      </w:r>
    </w:p>
    <w:p w14:paraId="70640E91" w14:textId="5F7A6C2C"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por edad</w:t>
      </w:r>
    </w:p>
    <w:p w14:paraId="7694BDB5" w14:textId="77777777"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2E24AFDD" w14:textId="79624D5B"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4. ¿Qué instrumentos jurídicos internacionales, regionales y nacionales existen para luchar contra la discriminación por edad?</w:t>
      </w:r>
    </w:p>
    <w:p w14:paraId="4B3E9152" w14:textId="3A59DAF8" w:rsidR="00267B2B" w:rsidRPr="00F058C4" w:rsidRDefault="00267B2B"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5E3FB67C" w14:textId="60838E6E" w:rsidR="00F36BC8" w:rsidRPr="00F058C4" w:rsidRDefault="00267B2B"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ab/>
        <w:t>En el caso de la Ciudad de México</w:t>
      </w:r>
      <w:r w:rsidR="00671966" w:rsidRPr="00F058C4">
        <w:rPr>
          <w:rFonts w:ascii="Calibri" w:eastAsia="Times New Roman" w:hAnsi="Calibri" w:cstheme="minorHAnsi"/>
          <w:color w:val="000000"/>
          <w:lang w:val="es-MX"/>
        </w:rPr>
        <w:t>, es fundamental hacer r</w:t>
      </w:r>
      <w:r w:rsidR="00F768A5" w:rsidRPr="00F058C4">
        <w:rPr>
          <w:rFonts w:ascii="Calibri" w:eastAsia="Times New Roman" w:hAnsi="Calibri" w:cstheme="minorHAnsi"/>
          <w:color w:val="000000"/>
          <w:lang w:val="es-MX"/>
        </w:rPr>
        <w:t xml:space="preserve">eferencia a la </w:t>
      </w:r>
      <w:r w:rsidR="00F768A5" w:rsidRPr="00F058C4">
        <w:rPr>
          <w:rFonts w:ascii="Calibri" w:eastAsia="Times New Roman" w:hAnsi="Calibri" w:cstheme="minorHAnsi"/>
          <w:i/>
          <w:color w:val="000000"/>
          <w:lang w:val="es-MX"/>
        </w:rPr>
        <w:t>Ley de Reconocimiento de los Derechos de las Personas Mayores y del Sistema Integral para su Atención de la Ciudad de México</w:t>
      </w:r>
      <w:r w:rsidR="002C6A11" w:rsidRPr="00F058C4">
        <w:rPr>
          <w:rStyle w:val="Refdenotaalpie"/>
          <w:rFonts w:ascii="Calibri" w:eastAsia="Times New Roman" w:hAnsi="Calibri"/>
          <w:i/>
          <w:color w:val="000000"/>
          <w:lang w:val="en-US"/>
        </w:rPr>
        <w:footnoteReference w:id="1"/>
      </w:r>
      <w:r w:rsidR="00FB48D6" w:rsidRPr="00F058C4">
        <w:rPr>
          <w:rFonts w:ascii="Calibri" w:eastAsia="Times New Roman" w:hAnsi="Calibri" w:cstheme="minorHAnsi"/>
          <w:i/>
          <w:color w:val="000000"/>
          <w:lang w:val="es-MX"/>
        </w:rPr>
        <w:t xml:space="preserve"> </w:t>
      </w:r>
      <w:r w:rsidR="00FB48D6" w:rsidRPr="00F058C4">
        <w:rPr>
          <w:rFonts w:ascii="Calibri" w:eastAsia="Times New Roman" w:hAnsi="Calibri" w:cstheme="minorHAnsi"/>
          <w:color w:val="000000"/>
          <w:lang w:val="es-MX"/>
        </w:rPr>
        <w:t>(“Ley de Reconocimiento”)</w:t>
      </w:r>
      <w:r w:rsidR="0091355E" w:rsidRPr="00F058C4">
        <w:rPr>
          <w:rFonts w:ascii="Calibri" w:eastAsia="Times New Roman" w:hAnsi="Calibri" w:cstheme="minorHAnsi"/>
          <w:color w:val="000000"/>
          <w:lang w:val="es-MX"/>
        </w:rPr>
        <w:t xml:space="preserve">, </w:t>
      </w:r>
      <w:r w:rsidR="00FB48D6" w:rsidRPr="00F058C4">
        <w:rPr>
          <w:rFonts w:ascii="Calibri" w:eastAsia="Times New Roman" w:hAnsi="Calibri" w:cstheme="minorHAnsi"/>
          <w:color w:val="000000"/>
          <w:lang w:val="es-MX"/>
        </w:rPr>
        <w:t>aprobada en enero de 2021</w:t>
      </w:r>
      <w:r w:rsidR="0091355E" w:rsidRPr="00F058C4">
        <w:rPr>
          <w:rFonts w:ascii="Calibri" w:eastAsia="Times New Roman" w:hAnsi="Calibri" w:cstheme="minorHAnsi"/>
          <w:color w:val="000000"/>
          <w:lang w:val="es-MX"/>
        </w:rPr>
        <w:t xml:space="preserve">. Ésta amplifica las protecciones de esta población en concordancia con </w:t>
      </w:r>
      <w:r w:rsidR="00FB48D6" w:rsidRPr="00F058C4">
        <w:rPr>
          <w:rFonts w:ascii="Calibri" w:eastAsia="Times New Roman" w:hAnsi="Calibri" w:cstheme="minorHAnsi"/>
          <w:color w:val="000000"/>
          <w:lang w:val="es-MX"/>
        </w:rPr>
        <w:t xml:space="preserve"> </w:t>
      </w:r>
      <w:r w:rsidR="0091355E" w:rsidRPr="00F058C4">
        <w:rPr>
          <w:rFonts w:ascii="Calibri" w:eastAsia="Times New Roman" w:hAnsi="Calibri" w:cstheme="minorHAnsi"/>
          <w:color w:val="000000"/>
          <w:lang w:val="es-MX"/>
        </w:rPr>
        <w:t xml:space="preserve">el reconocimiento de los derechos de las personas mayores del artículo 11 de la </w:t>
      </w:r>
      <w:hyperlink r:id="rId21" w:history="1">
        <w:r w:rsidR="0091355E" w:rsidRPr="00F058C4">
          <w:rPr>
            <w:rStyle w:val="Hipervnculo"/>
            <w:rFonts w:ascii="Calibri" w:eastAsia="Times New Roman" w:hAnsi="Calibri" w:cstheme="minorHAnsi"/>
            <w:i/>
            <w:lang w:val="es-MX"/>
          </w:rPr>
          <w:t>Constitución Política de la Ciudad de México</w:t>
        </w:r>
      </w:hyperlink>
      <w:r w:rsidR="0091355E" w:rsidRPr="00F058C4">
        <w:rPr>
          <w:rFonts w:ascii="Calibri" w:eastAsia="Times New Roman" w:hAnsi="Calibri" w:cstheme="minorHAnsi"/>
          <w:color w:val="000000"/>
          <w:lang w:val="es-MX"/>
        </w:rPr>
        <w:t xml:space="preserve"> sobre grupos de atención prioritaria.</w:t>
      </w:r>
      <w:r w:rsidR="001A248F" w:rsidRPr="00F058C4">
        <w:rPr>
          <w:rFonts w:ascii="Calibri" w:eastAsia="Times New Roman" w:hAnsi="Calibri" w:cstheme="minorHAnsi"/>
          <w:color w:val="000000"/>
          <w:lang w:val="es-MX"/>
        </w:rPr>
        <w:t xml:space="preserve"> En primer lugar, incorpora principios rectores importantes como el bienestar y cuidado, la perspectiva de género, la solidaridad intergeneracional, y la valorización de la persona mayor</w:t>
      </w:r>
      <w:r w:rsidR="00BE2F96" w:rsidRPr="00F058C4">
        <w:rPr>
          <w:rFonts w:ascii="Calibri" w:eastAsia="Times New Roman" w:hAnsi="Calibri" w:cstheme="minorHAnsi"/>
          <w:color w:val="000000"/>
          <w:lang w:val="es-MX"/>
        </w:rPr>
        <w:t xml:space="preserve"> y su rol en la sociedad.</w:t>
      </w:r>
      <w:r w:rsidR="00000D55" w:rsidRPr="00F058C4">
        <w:rPr>
          <w:rFonts w:ascii="Calibri" w:eastAsia="Times New Roman" w:hAnsi="Calibri" w:cstheme="minorHAnsi"/>
          <w:color w:val="000000"/>
          <w:lang w:val="es-MX"/>
        </w:rPr>
        <w:t xml:space="preserve"> En segundo lugar, reconoce una multiplicidad de derechos que incluyen igualdad y no discriminación, dignidad en la vejez, independencia y autonomía, recibir servicios de cuidado a largo plazo, privacidad e intimidad, patrimonio, ciudad </w:t>
      </w:r>
      <w:r w:rsidR="00F058C4" w:rsidRPr="00F058C4">
        <w:rPr>
          <w:rFonts w:ascii="Calibri" w:eastAsia="Times New Roman" w:hAnsi="Calibri" w:cstheme="minorHAnsi"/>
          <w:color w:val="000000"/>
          <w:lang w:val="es-MX"/>
        </w:rPr>
        <w:t>accesible</w:t>
      </w:r>
      <w:r w:rsidR="00000D55" w:rsidRPr="00F058C4">
        <w:rPr>
          <w:rFonts w:ascii="Calibri" w:eastAsia="Times New Roman" w:hAnsi="Calibri" w:cstheme="minorHAnsi"/>
          <w:color w:val="000000"/>
          <w:lang w:val="es-MX"/>
        </w:rPr>
        <w:t xml:space="preserve"> y movilidad personal</w:t>
      </w:r>
      <w:r w:rsidR="00B4715A" w:rsidRPr="00F058C4">
        <w:rPr>
          <w:rFonts w:ascii="Calibri" w:eastAsia="Times New Roman" w:hAnsi="Calibri" w:cstheme="minorHAnsi"/>
          <w:color w:val="000000"/>
          <w:lang w:val="es-MX"/>
        </w:rPr>
        <w:t>,</w:t>
      </w:r>
      <w:r w:rsidR="00404606" w:rsidRPr="00F058C4">
        <w:rPr>
          <w:rFonts w:ascii="Calibri" w:eastAsia="Times New Roman" w:hAnsi="Calibri" w:cstheme="minorHAnsi"/>
          <w:color w:val="000000"/>
          <w:lang w:val="es-MX"/>
        </w:rPr>
        <w:t xml:space="preserve"> medio ambiente sano,</w:t>
      </w:r>
      <w:r w:rsidR="00B4715A" w:rsidRPr="00F058C4">
        <w:rPr>
          <w:rFonts w:ascii="Calibri" w:eastAsia="Times New Roman" w:hAnsi="Calibri" w:cstheme="minorHAnsi"/>
          <w:color w:val="000000"/>
          <w:lang w:val="es-MX"/>
        </w:rPr>
        <w:t xml:space="preserve"> </w:t>
      </w:r>
      <w:r w:rsidR="0073652E" w:rsidRPr="00F058C4">
        <w:rPr>
          <w:rFonts w:ascii="Calibri" w:eastAsia="Times New Roman" w:hAnsi="Calibri" w:cstheme="minorHAnsi"/>
          <w:color w:val="000000"/>
          <w:lang w:val="es-MX"/>
        </w:rPr>
        <w:t xml:space="preserve">vida libre de violencia, </w:t>
      </w:r>
      <w:r w:rsidR="00B4715A" w:rsidRPr="00F058C4">
        <w:rPr>
          <w:rFonts w:ascii="Calibri" w:eastAsia="Times New Roman" w:hAnsi="Calibri" w:cstheme="minorHAnsi"/>
          <w:color w:val="000000"/>
          <w:lang w:val="es-MX"/>
        </w:rPr>
        <w:t>e igual reconocimiento como persona ante la ley.</w:t>
      </w:r>
      <w:r w:rsidR="00404606" w:rsidRPr="00F058C4">
        <w:rPr>
          <w:rFonts w:ascii="Calibri" w:eastAsia="Times New Roman" w:hAnsi="Calibri" w:cstheme="minorHAnsi"/>
          <w:color w:val="000000"/>
          <w:lang w:val="es-MX"/>
        </w:rPr>
        <w:t xml:space="preserve"> En tercer lugar, </w:t>
      </w:r>
      <w:r w:rsidR="00703E81" w:rsidRPr="00F058C4">
        <w:rPr>
          <w:rFonts w:ascii="Calibri" w:eastAsia="Times New Roman" w:hAnsi="Calibri" w:cstheme="minorHAnsi"/>
          <w:color w:val="000000"/>
          <w:lang w:val="es-MX"/>
        </w:rPr>
        <w:t>en un título dedicado a ello, plasma</w:t>
      </w:r>
      <w:r w:rsidR="00106D8C" w:rsidRPr="00F058C4">
        <w:rPr>
          <w:rFonts w:ascii="Calibri" w:eastAsia="Times New Roman" w:hAnsi="Calibri" w:cstheme="minorHAnsi"/>
          <w:color w:val="000000"/>
          <w:lang w:val="es-MX"/>
        </w:rPr>
        <w:t xml:space="preserve"> </w:t>
      </w:r>
      <w:r w:rsidR="00703E81" w:rsidRPr="00F058C4">
        <w:rPr>
          <w:rFonts w:ascii="Calibri" w:eastAsia="Times New Roman" w:hAnsi="Calibri" w:cstheme="minorHAnsi"/>
          <w:color w:val="000000"/>
          <w:lang w:val="es-MX"/>
        </w:rPr>
        <w:t xml:space="preserve">los </w:t>
      </w:r>
      <w:r w:rsidR="00106D8C" w:rsidRPr="00F058C4">
        <w:rPr>
          <w:rFonts w:ascii="Calibri" w:eastAsia="Times New Roman" w:hAnsi="Calibri" w:cstheme="minorHAnsi"/>
          <w:color w:val="000000"/>
          <w:lang w:val="es-MX"/>
        </w:rPr>
        <w:t>deberes de la familia y la sociedad</w:t>
      </w:r>
      <w:r w:rsidR="00703E81" w:rsidRPr="00F058C4">
        <w:rPr>
          <w:rFonts w:ascii="Calibri" w:eastAsia="Times New Roman" w:hAnsi="Calibri" w:cstheme="minorHAnsi"/>
          <w:color w:val="000000"/>
          <w:lang w:val="es-MX"/>
        </w:rPr>
        <w:t xml:space="preserve"> en la materia. </w:t>
      </w:r>
    </w:p>
    <w:p w14:paraId="72DEB74F" w14:textId="77777777" w:rsidR="00F36BC8" w:rsidRPr="00F058C4" w:rsidRDefault="00F36BC8"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408DF2E4" w14:textId="6B8BD8CE" w:rsidR="00FB48D6" w:rsidRPr="00F058C4" w:rsidRDefault="00703E81"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En el primer caso, se reconoce que las personas mayores tienen el derecho de vivir con su familia y formar sus propias familias, así como mantener contacto permanente con cada uno de sus integrantes</w:t>
      </w:r>
      <w:r w:rsidR="001A02A4" w:rsidRPr="00F058C4">
        <w:rPr>
          <w:rFonts w:ascii="Calibri" w:eastAsia="Times New Roman" w:hAnsi="Calibri" w:cstheme="minorHAnsi"/>
          <w:color w:val="000000"/>
          <w:lang w:val="es-MX"/>
        </w:rPr>
        <w:t>; además, se establece como deber fundamental de la familia el mantener una convivencia constante y permanente con las personas mayores qu</w:t>
      </w:r>
      <w:r w:rsidR="00F36BC8" w:rsidRPr="00F058C4">
        <w:rPr>
          <w:rFonts w:ascii="Calibri" w:eastAsia="Times New Roman" w:hAnsi="Calibri" w:cstheme="minorHAnsi"/>
          <w:color w:val="000000"/>
          <w:lang w:val="es-MX"/>
        </w:rPr>
        <w:t>e la integran, así como fortalecer sus lazos afectivos, respetar su autonomía, y construir una solidaridad intergeneracional</w:t>
      </w:r>
      <w:r w:rsidRPr="00F058C4">
        <w:rPr>
          <w:rFonts w:ascii="Calibri" w:eastAsia="Times New Roman" w:hAnsi="Calibri" w:cstheme="minorHAnsi"/>
          <w:color w:val="000000"/>
          <w:lang w:val="es-MX"/>
        </w:rPr>
        <w:t>.</w:t>
      </w:r>
      <w:r w:rsidR="00812124" w:rsidRPr="00F058C4">
        <w:rPr>
          <w:rFonts w:ascii="Calibri" w:eastAsia="Times New Roman" w:hAnsi="Calibri" w:cstheme="minorHAnsi"/>
          <w:color w:val="000000"/>
          <w:lang w:val="es-MX"/>
        </w:rPr>
        <w:t xml:space="preserve"> En cuanto a la socieda</w:t>
      </w:r>
      <w:r w:rsidR="00000B54" w:rsidRPr="00F058C4">
        <w:rPr>
          <w:rFonts w:ascii="Calibri" w:eastAsia="Times New Roman" w:hAnsi="Calibri" w:cstheme="minorHAnsi"/>
          <w:color w:val="000000"/>
          <w:lang w:val="es-MX"/>
        </w:rPr>
        <w:t>d, ésta deberá integrar a las personas mayores a las diversas actividades que desarrollen</w:t>
      </w:r>
      <w:r w:rsidR="00727B5F" w:rsidRPr="00F058C4">
        <w:rPr>
          <w:rFonts w:ascii="Calibri" w:eastAsia="Times New Roman" w:hAnsi="Calibri" w:cstheme="minorHAnsi"/>
          <w:color w:val="000000"/>
          <w:lang w:val="es-MX"/>
        </w:rPr>
        <w:t xml:space="preserve"> con el fin de garantizar el fortalecimiento de los vínculos comunitarios y sociales y mitigar las condiciones de vulnerabilidad, especialmente de aquellas personas aisladas, marginadas o en condiciones de abandono.</w:t>
      </w:r>
    </w:p>
    <w:p w14:paraId="6F095157" w14:textId="53827635" w:rsidR="00356CDE" w:rsidRPr="00F058C4" w:rsidRDefault="00356CDE"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4EFDB5FB" w14:textId="493BAD01" w:rsidR="00356CDE" w:rsidRPr="00F058C4" w:rsidRDefault="00356CDE" w:rsidP="00F26F38">
      <w:pPr>
        <w:pBdr>
          <w:top w:val="nil"/>
          <w:left w:val="nil"/>
          <w:bottom w:val="nil"/>
          <w:right w:val="nil"/>
          <w:between w:val="nil"/>
        </w:pBdr>
        <w:spacing w:after="0" w:line="240" w:lineRule="auto"/>
        <w:jc w:val="both"/>
        <w:rPr>
          <w:rFonts w:ascii="Calibri" w:eastAsia="Times New Roman" w:hAnsi="Calibri" w:cstheme="minorHAnsi"/>
          <w:color w:val="000000"/>
          <w:highlight w:val="yellow"/>
          <w:lang w:val="es-MX"/>
        </w:rPr>
      </w:pPr>
      <w:r w:rsidRPr="00F058C4">
        <w:rPr>
          <w:rFonts w:ascii="Calibri" w:eastAsia="Times New Roman" w:hAnsi="Calibri" w:cstheme="minorHAnsi"/>
          <w:color w:val="000000"/>
          <w:lang w:val="es-MX"/>
        </w:rPr>
        <w:t>Las disposiciones</w:t>
      </w:r>
      <w:r w:rsidR="005C78C5" w:rsidRPr="00F058C4">
        <w:rPr>
          <w:rFonts w:ascii="Calibri" w:eastAsia="Times New Roman" w:hAnsi="Calibri" w:cstheme="minorHAnsi"/>
          <w:color w:val="000000"/>
          <w:lang w:val="es-MX"/>
        </w:rPr>
        <w:t xml:space="preserve"> de la Ley de Reconocimiento llaman la atención en particular debido a que retoman algunos de los estándares y elementos de la </w:t>
      </w:r>
      <w:hyperlink r:id="rId22" w:history="1">
        <w:r w:rsidR="005C78C5" w:rsidRPr="00F058C4">
          <w:rPr>
            <w:rStyle w:val="Hipervnculo"/>
            <w:rFonts w:ascii="Calibri" w:eastAsia="Times New Roman" w:hAnsi="Calibri" w:cstheme="minorHAnsi"/>
            <w:i/>
            <w:lang w:val="es-MX"/>
          </w:rPr>
          <w:t>Convención Interamericana sobre la Protección de los Derechos Humanos de las Personas Mayores</w:t>
        </w:r>
        <w:r w:rsidR="00073A35" w:rsidRPr="00F058C4">
          <w:rPr>
            <w:rStyle w:val="Hipervnculo"/>
            <w:rFonts w:ascii="Calibri" w:eastAsia="Times New Roman" w:hAnsi="Calibri" w:cstheme="minorHAnsi"/>
            <w:lang w:val="es-MX"/>
          </w:rPr>
          <w:t>,</w:t>
        </w:r>
      </w:hyperlink>
      <w:r w:rsidR="00073A35" w:rsidRPr="00F058C4">
        <w:rPr>
          <w:rFonts w:ascii="Calibri" w:eastAsia="Times New Roman" w:hAnsi="Calibri" w:cstheme="minorHAnsi"/>
          <w:color w:val="000000"/>
          <w:lang w:val="es-MX"/>
        </w:rPr>
        <w:t xml:space="preserve"> el cual posiblemente constituye el instrumento jurídico internacional vinculante más relevante en el tema</w:t>
      </w:r>
      <w:r w:rsidR="005C78C5" w:rsidRPr="00F058C4">
        <w:rPr>
          <w:rFonts w:ascii="Calibri" w:eastAsia="Times New Roman" w:hAnsi="Calibri" w:cstheme="minorHAnsi"/>
          <w:color w:val="000000"/>
          <w:lang w:val="es-MX"/>
        </w:rPr>
        <w:t>. A pesar de que México no ha firmado este instrumento regional</w:t>
      </w:r>
      <w:r w:rsidR="00E6497E" w:rsidRPr="00F058C4">
        <w:rPr>
          <w:rFonts w:ascii="Calibri" w:eastAsia="Times New Roman" w:hAnsi="Calibri" w:cstheme="minorHAnsi"/>
          <w:color w:val="000000"/>
          <w:lang w:val="es-MX"/>
        </w:rPr>
        <w:t xml:space="preserve">, el hecho de que la </w:t>
      </w:r>
      <w:r w:rsidR="002D6310" w:rsidRPr="00F058C4">
        <w:rPr>
          <w:rFonts w:ascii="Calibri" w:eastAsia="Times New Roman" w:hAnsi="Calibri" w:cstheme="minorHAnsi"/>
          <w:color w:val="000000"/>
          <w:lang w:val="es-MX"/>
        </w:rPr>
        <w:t>ciudad</w:t>
      </w:r>
      <w:r w:rsidR="006C5CED" w:rsidRPr="00F058C4">
        <w:rPr>
          <w:rFonts w:ascii="Calibri" w:eastAsia="Times New Roman" w:hAnsi="Calibri" w:cstheme="minorHAnsi"/>
          <w:color w:val="000000"/>
          <w:lang w:val="es-MX"/>
        </w:rPr>
        <w:t>, en el marco de sus facultades locales,</w:t>
      </w:r>
      <w:r w:rsidR="00E6497E" w:rsidRPr="00F058C4">
        <w:rPr>
          <w:rFonts w:ascii="Calibri" w:eastAsia="Times New Roman" w:hAnsi="Calibri" w:cstheme="minorHAnsi"/>
          <w:color w:val="000000"/>
          <w:lang w:val="es-MX"/>
        </w:rPr>
        <w:t xml:space="preserve"> haya desarrollado legislación especializada </w:t>
      </w:r>
      <w:r w:rsidR="002D6310" w:rsidRPr="00F058C4">
        <w:rPr>
          <w:rFonts w:ascii="Calibri" w:eastAsia="Times New Roman" w:hAnsi="Calibri" w:cstheme="minorHAnsi"/>
          <w:color w:val="000000"/>
          <w:lang w:val="es-MX"/>
        </w:rPr>
        <w:t>en concordancia con dicho tratado</w:t>
      </w:r>
      <w:r w:rsidR="00224F85" w:rsidRPr="00F058C4">
        <w:rPr>
          <w:rFonts w:ascii="Calibri" w:eastAsia="Times New Roman" w:hAnsi="Calibri" w:cstheme="minorHAnsi"/>
          <w:color w:val="000000"/>
          <w:lang w:val="es-MX"/>
        </w:rPr>
        <w:t xml:space="preserve"> y desde un esquema de derechos en lugar de uno de talante asistencial,</w:t>
      </w:r>
      <w:r w:rsidR="002D6310" w:rsidRPr="00F058C4">
        <w:rPr>
          <w:rFonts w:ascii="Calibri" w:eastAsia="Times New Roman" w:hAnsi="Calibri" w:cstheme="minorHAnsi"/>
          <w:color w:val="000000"/>
          <w:lang w:val="es-MX"/>
        </w:rPr>
        <w:t xml:space="preserve"> la posiciona como un modelo </w:t>
      </w:r>
      <w:r w:rsidR="00BD1B94" w:rsidRPr="00F058C4">
        <w:rPr>
          <w:rFonts w:ascii="Calibri" w:eastAsia="Times New Roman" w:hAnsi="Calibri" w:cstheme="minorHAnsi"/>
          <w:color w:val="000000"/>
          <w:lang w:val="es-MX"/>
        </w:rPr>
        <w:t>positive en este sentido.</w:t>
      </w:r>
    </w:p>
    <w:p w14:paraId="7E652727" w14:textId="6A7C7770" w:rsidR="009C507E" w:rsidRPr="00F058C4" w:rsidRDefault="009C507E"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63310679" w14:textId="77777777" w:rsidR="00662048" w:rsidRPr="00F058C4" w:rsidRDefault="008E6CB7" w:rsidP="007122A9">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En cuanto a la población de niños, niñas y adolescentes, </w:t>
      </w:r>
      <w:r w:rsidR="007122A9" w:rsidRPr="00F058C4">
        <w:rPr>
          <w:rFonts w:ascii="Calibri" w:eastAsia="Times New Roman" w:hAnsi="Calibri" w:cstheme="minorHAnsi"/>
          <w:color w:val="000000"/>
          <w:lang w:val="es-MX"/>
        </w:rPr>
        <w:t xml:space="preserve">se destaca que </w:t>
      </w:r>
      <w:r w:rsidR="00942D67" w:rsidRPr="00F058C4">
        <w:rPr>
          <w:rFonts w:ascii="Calibri" w:eastAsia="Times New Roman" w:hAnsi="Calibri" w:cstheme="minorHAnsi"/>
          <w:color w:val="000000"/>
          <w:lang w:val="es-MX"/>
        </w:rPr>
        <w:t xml:space="preserve">sus derechos también se reconocen en el </w:t>
      </w:r>
      <w:r w:rsidR="00502923" w:rsidRPr="00F058C4">
        <w:rPr>
          <w:rFonts w:ascii="Calibri" w:eastAsia="Times New Roman" w:hAnsi="Calibri" w:cstheme="minorHAnsi"/>
          <w:color w:val="000000"/>
          <w:lang w:val="es-MX"/>
        </w:rPr>
        <w:t xml:space="preserve">artículo 11 de la </w:t>
      </w:r>
      <w:hyperlink r:id="rId23" w:history="1">
        <w:r w:rsidR="00502923" w:rsidRPr="00F058C4">
          <w:rPr>
            <w:rStyle w:val="Hipervnculo"/>
            <w:rFonts w:ascii="Calibri" w:eastAsia="Times New Roman" w:hAnsi="Calibri" w:cstheme="minorHAnsi"/>
            <w:i/>
            <w:lang w:val="es-MX"/>
          </w:rPr>
          <w:t>Constitución Política de la Ciudad de México</w:t>
        </w:r>
      </w:hyperlink>
      <w:r w:rsidR="00942D67" w:rsidRPr="00F058C4">
        <w:rPr>
          <w:rFonts w:ascii="Calibri" w:eastAsia="Times New Roman" w:hAnsi="Calibri" w:cstheme="minorHAnsi"/>
          <w:color w:val="000000"/>
          <w:lang w:val="es-MX"/>
        </w:rPr>
        <w:t>: se define además que la actuación de las autoridades atenderá los principios del interés superior de las niñas, niños, y adolescentes, de la autonomía progresiva y de su desarrollo integr</w:t>
      </w:r>
      <w:r w:rsidR="007122A9" w:rsidRPr="00F058C4">
        <w:rPr>
          <w:rFonts w:ascii="Calibri" w:eastAsia="Times New Roman" w:hAnsi="Calibri" w:cstheme="minorHAnsi"/>
          <w:color w:val="000000"/>
          <w:lang w:val="es-MX"/>
        </w:rPr>
        <w:t xml:space="preserve">al. </w:t>
      </w:r>
    </w:p>
    <w:p w14:paraId="1F601D54" w14:textId="77777777" w:rsidR="00662048" w:rsidRPr="00F058C4" w:rsidRDefault="00662048" w:rsidP="007122A9">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43FEEEC3" w14:textId="568B403C" w:rsidR="008E6CB7" w:rsidRPr="00F058C4" w:rsidRDefault="007122A9" w:rsidP="007122A9">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Además de la </w:t>
      </w:r>
      <w:hyperlink r:id="rId24" w:history="1">
        <w:r w:rsidRPr="00F058C4">
          <w:rPr>
            <w:rStyle w:val="Hipervnculo"/>
            <w:rFonts w:ascii="Calibri" w:eastAsia="Times New Roman" w:hAnsi="Calibri" w:cstheme="minorHAnsi"/>
            <w:i/>
            <w:lang w:val="es-MX"/>
          </w:rPr>
          <w:t>Ley General de los Derechos de Niñas, Niños y Adolescentes</w:t>
        </w:r>
      </w:hyperlink>
      <w:r w:rsidRPr="00F058C4">
        <w:rPr>
          <w:rFonts w:ascii="Calibri" w:eastAsia="Times New Roman" w:hAnsi="Calibri" w:cstheme="minorHAnsi"/>
          <w:color w:val="000000"/>
          <w:lang w:val="es-MX"/>
        </w:rPr>
        <w:t xml:space="preserve"> y la </w:t>
      </w:r>
      <w:hyperlink r:id="rId25" w:history="1">
        <w:r w:rsidRPr="00F058C4">
          <w:rPr>
            <w:rStyle w:val="Hipervnculo"/>
            <w:rFonts w:ascii="Calibri" w:eastAsia="Times New Roman" w:hAnsi="Calibri" w:cstheme="minorHAnsi"/>
            <w:i/>
            <w:lang w:val="es-MX"/>
          </w:rPr>
          <w:t>Convención sobre los Derechos del Niño</w:t>
        </w:r>
      </w:hyperlink>
      <w:r w:rsidRPr="00F058C4">
        <w:rPr>
          <w:rFonts w:ascii="Calibri" w:eastAsia="Times New Roman" w:hAnsi="Calibri" w:cstheme="minorHAnsi"/>
          <w:color w:val="000000"/>
          <w:lang w:val="es-MX"/>
        </w:rPr>
        <w:t xml:space="preserve">, </w:t>
      </w:r>
      <w:r w:rsidR="002C6A11" w:rsidRPr="00F058C4">
        <w:rPr>
          <w:rFonts w:ascii="Calibri" w:eastAsia="Times New Roman" w:hAnsi="Calibri" w:cstheme="minorHAnsi"/>
          <w:color w:val="000000"/>
          <w:lang w:val="es-MX"/>
        </w:rPr>
        <w:t xml:space="preserve">que son instrumentos vinculantes en México y fijan algunos de los estándares más importantes en la materia, en el nivel local hay una </w:t>
      </w:r>
      <w:r w:rsidR="002C6A11" w:rsidRPr="00F058C4">
        <w:rPr>
          <w:rFonts w:ascii="Calibri" w:eastAsia="Times New Roman" w:hAnsi="Calibri" w:cstheme="minorHAnsi"/>
          <w:i/>
          <w:color w:val="000000"/>
          <w:lang w:val="es-MX"/>
        </w:rPr>
        <w:t>Ley de los Derechos de Niñas, Niños y Adolescentes de la Ciudad de México</w:t>
      </w:r>
      <w:r w:rsidR="00B37856" w:rsidRPr="00F058C4">
        <w:rPr>
          <w:rFonts w:ascii="Calibri" w:eastAsia="Times New Roman" w:hAnsi="Calibri" w:cstheme="minorHAnsi"/>
          <w:i/>
          <w:color w:val="000000"/>
          <w:lang w:val="es-MX"/>
        </w:rPr>
        <w:t>.</w:t>
      </w:r>
      <w:r w:rsidR="006D48BB" w:rsidRPr="00F058C4">
        <w:rPr>
          <w:rStyle w:val="Refdenotaalpie"/>
          <w:rFonts w:ascii="Calibri" w:eastAsia="Times New Roman" w:hAnsi="Calibri"/>
          <w:i/>
          <w:color w:val="000000"/>
          <w:lang w:val="en-US"/>
        </w:rPr>
        <w:footnoteReference w:id="2"/>
      </w:r>
      <w:r w:rsidR="002C6A11" w:rsidRPr="00F058C4">
        <w:rPr>
          <w:rFonts w:ascii="Calibri" w:eastAsia="Times New Roman" w:hAnsi="Calibri" w:cstheme="minorHAnsi"/>
          <w:color w:val="000000"/>
          <w:lang w:val="es-MX"/>
        </w:rPr>
        <w:t xml:space="preserve"> En ésta, </w:t>
      </w:r>
      <w:r w:rsidR="00662048" w:rsidRPr="00F058C4">
        <w:rPr>
          <w:rFonts w:ascii="Calibri" w:eastAsia="Times New Roman" w:hAnsi="Calibri" w:cstheme="minorHAnsi"/>
          <w:color w:val="000000"/>
          <w:lang w:val="es-MX"/>
        </w:rPr>
        <w:t xml:space="preserve">se plantean diversos principios rectores, incluyendo el interés superior, la no discriminación, la igualdad sustantiva, la </w:t>
      </w:r>
      <w:r w:rsidR="00F058C4" w:rsidRPr="00F058C4">
        <w:rPr>
          <w:rFonts w:ascii="Calibri" w:eastAsia="Times New Roman" w:hAnsi="Calibri" w:cstheme="minorHAnsi"/>
          <w:color w:val="000000"/>
          <w:lang w:val="es-MX"/>
        </w:rPr>
        <w:t>inclusión</w:t>
      </w:r>
      <w:r w:rsidR="00662048" w:rsidRPr="00F058C4">
        <w:rPr>
          <w:rFonts w:ascii="Calibri" w:eastAsia="Times New Roman" w:hAnsi="Calibri" w:cstheme="minorHAnsi"/>
          <w:color w:val="000000"/>
          <w:lang w:val="es-MX"/>
        </w:rPr>
        <w:t>, la participación, la corresponsabilidad de la familia, la sociedad y las autoridades, la autonomía progresiva, y el acceso a una vida libre de violencia.</w:t>
      </w:r>
      <w:r w:rsidR="00F933DA" w:rsidRPr="00F058C4">
        <w:rPr>
          <w:rFonts w:ascii="Calibri" w:eastAsia="Times New Roman" w:hAnsi="Calibri" w:cstheme="minorHAnsi"/>
          <w:color w:val="000000"/>
          <w:lang w:val="es-MX"/>
        </w:rPr>
        <w:t xml:space="preserve"> Por lo que corresponde a la carta de derechos de este documento, se reconocen aquellos a la vida, la prioridad, la identidad, vivir en familia, la igualdad sustantiva,</w:t>
      </w:r>
      <w:r w:rsidR="00FF55DA" w:rsidRPr="00F058C4">
        <w:rPr>
          <w:rFonts w:ascii="Calibri" w:eastAsia="Times New Roman" w:hAnsi="Calibri" w:cstheme="minorHAnsi"/>
          <w:color w:val="000000"/>
          <w:lang w:val="es-MX"/>
        </w:rPr>
        <w:t xml:space="preserve"> a la no discriminación, y a recibir protección especial cuando se encuentre en situación de discriminación </w:t>
      </w:r>
      <w:r w:rsidR="00F058C4" w:rsidRPr="00F058C4">
        <w:rPr>
          <w:rFonts w:ascii="Calibri" w:eastAsia="Times New Roman" w:hAnsi="Calibri" w:cstheme="minorHAnsi"/>
          <w:color w:val="000000"/>
          <w:lang w:val="es-MX"/>
        </w:rPr>
        <w:t>múltiple</w:t>
      </w:r>
      <w:r w:rsidR="00FF55DA" w:rsidRPr="00F058C4">
        <w:rPr>
          <w:rFonts w:ascii="Calibri" w:eastAsia="Times New Roman" w:hAnsi="Calibri" w:cstheme="minorHAnsi"/>
          <w:color w:val="000000"/>
          <w:lang w:val="es-MX"/>
        </w:rPr>
        <w:t>. También hay previsiones destinadas a grupos que conjuntan más de una categoría sospechosa, por ejemplo, la niñez con discapacidad y la niñez migrante.</w:t>
      </w:r>
    </w:p>
    <w:p w14:paraId="13AF5E2A" w14:textId="51823DA0" w:rsidR="009C507E" w:rsidRPr="00F058C4" w:rsidRDefault="009C507E"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07454AF9" w14:textId="77777777"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28201679" w14:textId="5DF69927"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5. Sírvase aportar información también de los planes de acción o las políticas de sensibilización y lucha contra el edadismo (incluido en programas escolares) y el avance hacia una sociedad más inclusiv</w:t>
      </w:r>
      <w:r w:rsidR="00F254C7" w:rsidRPr="00F058C4">
        <w:rPr>
          <w:rFonts w:ascii="Calibri" w:eastAsia="Times New Roman" w:hAnsi="Calibri" w:cstheme="minorHAnsi"/>
          <w:b/>
          <w:color w:val="000000"/>
          <w:lang w:val="es-MX"/>
        </w:rPr>
        <w:t>a</w:t>
      </w:r>
      <w:r w:rsidRPr="00F058C4">
        <w:rPr>
          <w:rFonts w:ascii="Calibri" w:eastAsia="Times New Roman" w:hAnsi="Calibri" w:cstheme="minorHAnsi"/>
          <w:b/>
          <w:color w:val="000000"/>
          <w:lang w:val="es-MX"/>
        </w:rPr>
        <w:t xml:space="preserve"> y favorable a la edad.</w:t>
      </w:r>
    </w:p>
    <w:p w14:paraId="558ACDCD" w14:textId="49061B32" w:rsidR="00E22AC8" w:rsidRPr="00F058C4" w:rsidRDefault="00E22AC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0A4E3252" w14:textId="118586AD" w:rsidR="00E22AC8" w:rsidRPr="00F058C4" w:rsidRDefault="00E22AC8" w:rsidP="00E22AC8">
      <w:pPr>
        <w:pBdr>
          <w:top w:val="nil"/>
          <w:left w:val="nil"/>
          <w:bottom w:val="nil"/>
          <w:right w:val="nil"/>
          <w:between w:val="nil"/>
        </w:pBdr>
        <w:spacing w:after="0" w:line="240" w:lineRule="auto"/>
        <w:ind w:firstLine="720"/>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El </w:t>
      </w:r>
      <w:hyperlink r:id="rId26" w:history="1">
        <w:r w:rsidRPr="00F058C4">
          <w:rPr>
            <w:rStyle w:val="Hipervnculo"/>
            <w:rFonts w:ascii="Calibri" w:eastAsia="Times New Roman" w:hAnsi="Calibri" w:cstheme="minorHAnsi"/>
            <w:i/>
            <w:lang w:val="es-MX"/>
          </w:rPr>
          <w:t>Programa de Derechos Humanos de la Ciudad de México</w:t>
        </w:r>
      </w:hyperlink>
      <w:r w:rsidR="001674E5" w:rsidRPr="00F058C4">
        <w:rPr>
          <w:rFonts w:ascii="Calibri" w:eastAsia="Times New Roman" w:hAnsi="Calibri" w:cstheme="minorHAnsi"/>
          <w:color w:val="000000"/>
          <w:lang w:val="es-MX"/>
        </w:rPr>
        <w:t xml:space="preserve"> elaboró un diagnóstico en materia de personas mayores y, a partir del mismo, planteó algunas políticas prioritarias.</w:t>
      </w:r>
      <w:r w:rsidR="001B5769" w:rsidRPr="00F058C4">
        <w:rPr>
          <w:rFonts w:ascii="Calibri" w:eastAsia="Times New Roman" w:hAnsi="Calibri" w:cstheme="minorHAnsi"/>
          <w:color w:val="000000"/>
          <w:lang w:val="es-MX"/>
        </w:rPr>
        <w:t xml:space="preserve"> De manera i</w:t>
      </w:r>
      <w:r w:rsidR="001F548E" w:rsidRPr="00F058C4">
        <w:rPr>
          <w:rFonts w:ascii="Calibri" w:eastAsia="Times New Roman" w:hAnsi="Calibri" w:cstheme="minorHAnsi"/>
          <w:color w:val="000000"/>
          <w:lang w:val="es-MX"/>
        </w:rPr>
        <w:t>nnovadora para los estándares del avance nacional en el tema</w:t>
      </w:r>
      <w:r w:rsidR="001B5769" w:rsidRPr="00F058C4">
        <w:rPr>
          <w:rFonts w:ascii="Calibri" w:eastAsia="Times New Roman" w:hAnsi="Calibri" w:cstheme="minorHAnsi"/>
          <w:color w:val="000000"/>
          <w:lang w:val="es-MX"/>
        </w:rPr>
        <w:t xml:space="preserve">, concibió </w:t>
      </w:r>
      <w:r w:rsidR="00F9502A" w:rsidRPr="00F058C4">
        <w:rPr>
          <w:rFonts w:ascii="Calibri" w:eastAsia="Times New Roman" w:hAnsi="Calibri" w:cstheme="minorHAnsi"/>
          <w:color w:val="000000"/>
          <w:lang w:val="es-MX"/>
        </w:rPr>
        <w:t>la ciudadanía más allá de las categorías jurídicas, acercándose a una concepción social de ciudadanía, más favorable para la atención de otros grupos de edad, en específico, el de las personas que tienen menos de 18 años.</w:t>
      </w:r>
      <w:r w:rsidR="001B5769" w:rsidRPr="00F058C4">
        <w:rPr>
          <w:rFonts w:ascii="Calibri" w:eastAsia="Times New Roman" w:hAnsi="Calibri" w:cstheme="minorHAnsi"/>
          <w:color w:val="000000"/>
          <w:lang w:val="es-MX"/>
        </w:rPr>
        <w:t xml:space="preserve"> como “una necesidad social” que requería de manera imperativa su atención con una política pública.</w:t>
      </w:r>
      <w:r w:rsidR="001F46F4" w:rsidRPr="00F058C4">
        <w:rPr>
          <w:rFonts w:ascii="Calibri" w:eastAsia="Times New Roman" w:hAnsi="Calibri" w:cstheme="minorHAnsi"/>
          <w:color w:val="000000"/>
          <w:lang w:val="es-MX"/>
        </w:rPr>
        <w:t xml:space="preserve"> También se centró en implementar programas de sensibilización en torno a la discriminación de personas mayores.</w:t>
      </w:r>
    </w:p>
    <w:p w14:paraId="164535A2" w14:textId="782736D4" w:rsidR="0077085D" w:rsidRPr="00F058C4" w:rsidRDefault="0077085D" w:rsidP="00E22AC8">
      <w:pPr>
        <w:pBdr>
          <w:top w:val="nil"/>
          <w:left w:val="nil"/>
          <w:bottom w:val="nil"/>
          <w:right w:val="nil"/>
          <w:between w:val="nil"/>
        </w:pBdr>
        <w:spacing w:after="0" w:line="240" w:lineRule="auto"/>
        <w:ind w:firstLine="720"/>
        <w:jc w:val="both"/>
        <w:rPr>
          <w:rFonts w:ascii="Calibri" w:eastAsia="Times New Roman" w:hAnsi="Calibri" w:cstheme="minorHAnsi"/>
          <w:color w:val="000000"/>
          <w:lang w:val="es-MX"/>
        </w:rPr>
      </w:pPr>
    </w:p>
    <w:p w14:paraId="306ABE0D" w14:textId="369478D2" w:rsidR="004D0EF2" w:rsidRPr="00F058C4" w:rsidRDefault="0077085D" w:rsidP="004D0EF2">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En esta línea</w:t>
      </w:r>
      <w:r w:rsidR="000107B6" w:rsidRPr="00F058C4">
        <w:rPr>
          <w:rFonts w:ascii="Calibri" w:eastAsia="Times New Roman" w:hAnsi="Calibri" w:cstheme="minorHAnsi"/>
          <w:color w:val="000000"/>
          <w:lang w:val="es-MX"/>
        </w:rPr>
        <w:t xml:space="preserve">, también </w:t>
      </w:r>
      <w:r w:rsidR="00DB2DD6" w:rsidRPr="00F058C4">
        <w:rPr>
          <w:rFonts w:ascii="Calibri" w:eastAsia="Times New Roman" w:hAnsi="Calibri" w:cstheme="minorHAnsi"/>
          <w:color w:val="000000"/>
          <w:lang w:val="es-MX"/>
        </w:rPr>
        <w:t>se deben</w:t>
      </w:r>
      <w:r w:rsidR="000107B6" w:rsidRPr="00F058C4">
        <w:rPr>
          <w:rFonts w:ascii="Calibri" w:eastAsia="Times New Roman" w:hAnsi="Calibri" w:cstheme="minorHAnsi"/>
          <w:color w:val="000000"/>
          <w:lang w:val="es-MX"/>
        </w:rPr>
        <w:t xml:space="preserve"> mencionar los debates respecto a la configuración de un sistema de cuidados en la Ciudad de México</w:t>
      </w:r>
      <w:r w:rsidR="00DB2DD6" w:rsidRPr="00F058C4">
        <w:rPr>
          <w:rFonts w:ascii="Calibri" w:eastAsia="Times New Roman" w:hAnsi="Calibri" w:cstheme="minorHAnsi"/>
          <w:color w:val="000000"/>
          <w:lang w:val="es-MX"/>
        </w:rPr>
        <w:t>, derivados de que la constitución local reconoce el derecho al cuidado en su artículo 9</w:t>
      </w:r>
      <w:r w:rsidR="00F225B9" w:rsidRPr="00F058C4">
        <w:rPr>
          <w:rFonts w:ascii="Calibri" w:eastAsia="Times New Roman" w:hAnsi="Calibri" w:cstheme="minorHAnsi"/>
          <w:color w:val="000000"/>
          <w:lang w:val="es-MX"/>
        </w:rPr>
        <w:t>, pues es común que trastoque la vida de las personas mayores</w:t>
      </w:r>
      <w:r w:rsidR="00DB2DD6" w:rsidRPr="00F058C4">
        <w:rPr>
          <w:rFonts w:ascii="Calibri" w:eastAsia="Times New Roman" w:hAnsi="Calibri" w:cstheme="minorHAnsi"/>
          <w:color w:val="000000"/>
          <w:lang w:val="es-MX"/>
        </w:rPr>
        <w:t>:</w:t>
      </w:r>
    </w:p>
    <w:p w14:paraId="4C98CAB7" w14:textId="1CA5B762" w:rsidR="00DB2DD6" w:rsidRPr="00F058C4" w:rsidRDefault="00DB2DD6" w:rsidP="004D0EF2">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1C78E978" w14:textId="06C8DA38" w:rsidR="00DB2DD6" w:rsidRPr="00F058C4" w:rsidRDefault="001F532E" w:rsidP="00DB2DD6">
      <w:pPr>
        <w:pBdr>
          <w:top w:val="nil"/>
          <w:left w:val="nil"/>
          <w:bottom w:val="nil"/>
          <w:right w:val="nil"/>
          <w:between w:val="nil"/>
        </w:pBdr>
        <w:spacing w:after="0" w:line="240" w:lineRule="auto"/>
        <w:ind w:left="720"/>
        <w:jc w:val="both"/>
        <w:rPr>
          <w:rFonts w:ascii="Calibri" w:hAnsi="Calibri"/>
          <w:i/>
          <w:lang w:val="es-MX"/>
        </w:rPr>
      </w:pPr>
      <w:r w:rsidRPr="00F058C4">
        <w:rPr>
          <w:rFonts w:ascii="Calibri" w:hAnsi="Calibri"/>
          <w:i/>
          <w:lang w:val="es-MX"/>
        </w:rPr>
        <w:t>“</w:t>
      </w:r>
      <w:r w:rsidR="00DB2DD6" w:rsidRPr="00F058C4">
        <w:rPr>
          <w:rFonts w:ascii="Calibri" w:hAnsi="Calibri"/>
          <w:i/>
          <w:lang w:val="es-MX"/>
        </w:rPr>
        <w:t>Toda persona tiene derecho al cuidado que sustente su vida y le otorgue los elementos materiales y simbólicos para vivir en sociedad a lo largo de toda su vida. Las autoridades establecerán un sistema de cuidados que preste servicios públicos universales, accesibles, pertinentes, suficientes y de calidad y desarrolle políticas públicas. El sistema atenderá de manera prioritaria a las personas en situación de dependencia por enfermedad, discapacidad, ciclo vital, especialmente la infancia y la vejez y a quienes, de manera no remunerada, están a cargo de su cuidado.</w:t>
      </w:r>
      <w:r w:rsidRPr="00F058C4">
        <w:rPr>
          <w:rFonts w:ascii="Calibri" w:hAnsi="Calibri"/>
          <w:i/>
          <w:lang w:val="es-MX"/>
        </w:rPr>
        <w:t>”</w:t>
      </w:r>
    </w:p>
    <w:p w14:paraId="2064AE44" w14:textId="517E3228" w:rsidR="00DB2DD6" w:rsidRPr="00F058C4" w:rsidRDefault="00DB2DD6" w:rsidP="00DB2DD6">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7156FEFF" w14:textId="2E29361F" w:rsidR="00DB2DD6" w:rsidRPr="00F058C4" w:rsidRDefault="001F532E" w:rsidP="00DB2DD6">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A pesar de que esta redacción </w:t>
      </w:r>
      <w:r w:rsidR="00D1329F" w:rsidRPr="00F058C4">
        <w:rPr>
          <w:rFonts w:ascii="Calibri" w:eastAsia="Times New Roman" w:hAnsi="Calibri" w:cstheme="minorHAnsi"/>
          <w:color w:val="000000"/>
          <w:lang w:val="es-MX"/>
        </w:rPr>
        <w:t xml:space="preserve">provee una protección </w:t>
      </w:r>
      <w:r w:rsidR="003922D6" w:rsidRPr="00F058C4">
        <w:rPr>
          <w:rFonts w:ascii="Calibri" w:eastAsia="Times New Roman" w:hAnsi="Calibri" w:cstheme="minorHAnsi"/>
          <w:color w:val="000000"/>
          <w:lang w:val="es-MX"/>
        </w:rPr>
        <w:t>extensiv</w:t>
      </w:r>
      <w:r w:rsidR="00D76374" w:rsidRPr="00F058C4">
        <w:rPr>
          <w:rFonts w:ascii="Calibri" w:eastAsia="Times New Roman" w:hAnsi="Calibri" w:cstheme="minorHAnsi"/>
          <w:color w:val="000000"/>
          <w:lang w:val="es-MX"/>
        </w:rPr>
        <w:t>a</w:t>
      </w:r>
      <w:r w:rsidR="003922D6" w:rsidRPr="00F058C4">
        <w:rPr>
          <w:rFonts w:ascii="Calibri" w:eastAsia="Times New Roman" w:hAnsi="Calibri" w:cstheme="minorHAnsi"/>
          <w:color w:val="000000"/>
          <w:lang w:val="es-MX"/>
        </w:rPr>
        <w:t xml:space="preserve"> que fomenta la autonomía</w:t>
      </w:r>
      <w:r w:rsidR="0084610A" w:rsidRPr="00F058C4">
        <w:rPr>
          <w:rFonts w:ascii="Calibri" w:eastAsia="Times New Roman" w:hAnsi="Calibri" w:cstheme="minorHAnsi"/>
          <w:color w:val="000000"/>
          <w:lang w:val="es-MX"/>
        </w:rPr>
        <w:t xml:space="preserve"> y coadyuva a superar </w:t>
      </w:r>
      <w:r w:rsidR="00F225B9" w:rsidRPr="00F058C4">
        <w:rPr>
          <w:rFonts w:ascii="Calibri" w:eastAsia="Times New Roman" w:hAnsi="Calibri" w:cstheme="minorHAnsi"/>
          <w:color w:val="000000"/>
          <w:lang w:val="es-MX"/>
        </w:rPr>
        <w:t xml:space="preserve">el paradigma de </w:t>
      </w:r>
      <w:r w:rsidR="0084610A" w:rsidRPr="00F058C4">
        <w:rPr>
          <w:rFonts w:ascii="Calibri" w:eastAsia="Times New Roman" w:hAnsi="Calibri" w:cstheme="minorHAnsi"/>
          <w:color w:val="000000"/>
          <w:lang w:val="es-MX"/>
        </w:rPr>
        <w:t>asignación de los cuidados de trabajo a las familias -particularmente a las mujeres-</w:t>
      </w:r>
      <w:r w:rsidRPr="00F058C4">
        <w:rPr>
          <w:rFonts w:ascii="Calibri" w:eastAsia="Times New Roman" w:hAnsi="Calibri" w:cstheme="minorHAnsi"/>
          <w:color w:val="000000"/>
          <w:lang w:val="es-MX"/>
        </w:rPr>
        <w:t>, la implementación para su garantía no se ha consolidado.</w:t>
      </w:r>
      <w:r w:rsidR="00AC24C0" w:rsidRPr="00F058C4">
        <w:rPr>
          <w:rFonts w:ascii="Calibri" w:eastAsia="Times New Roman" w:hAnsi="Calibri" w:cstheme="minorHAnsi"/>
          <w:color w:val="000000"/>
          <w:lang w:val="es-MX"/>
        </w:rPr>
        <w:t xml:space="preserve"> </w:t>
      </w:r>
      <w:r w:rsidR="0021552F" w:rsidRPr="00F058C4">
        <w:rPr>
          <w:rFonts w:ascii="Calibri" w:eastAsia="Times New Roman" w:hAnsi="Calibri" w:cstheme="minorHAnsi"/>
          <w:color w:val="000000"/>
          <w:lang w:val="es-MX"/>
        </w:rPr>
        <w:t>E</w:t>
      </w:r>
      <w:r w:rsidR="00163DF5" w:rsidRPr="00F058C4">
        <w:rPr>
          <w:rFonts w:ascii="Calibri" w:eastAsia="Times New Roman" w:hAnsi="Calibri" w:cstheme="minorHAnsi"/>
          <w:color w:val="000000"/>
          <w:lang w:val="es-MX"/>
        </w:rPr>
        <w:t>n</w:t>
      </w:r>
      <w:r w:rsidR="0021552F" w:rsidRPr="00F058C4">
        <w:rPr>
          <w:rFonts w:ascii="Calibri" w:eastAsia="Times New Roman" w:hAnsi="Calibri" w:cstheme="minorHAnsi"/>
          <w:color w:val="000000"/>
          <w:lang w:val="es-MX"/>
        </w:rPr>
        <w:t xml:space="preserve"> abril de</w:t>
      </w:r>
      <w:r w:rsidR="00163DF5" w:rsidRPr="00F058C4">
        <w:rPr>
          <w:rFonts w:ascii="Calibri" w:eastAsia="Times New Roman" w:hAnsi="Calibri" w:cstheme="minorHAnsi"/>
          <w:color w:val="000000"/>
          <w:lang w:val="es-MX"/>
        </w:rPr>
        <w:t xml:space="preserve"> 2019</w:t>
      </w:r>
      <w:r w:rsidR="0021552F" w:rsidRPr="00F058C4">
        <w:rPr>
          <w:rFonts w:ascii="Calibri" w:eastAsia="Times New Roman" w:hAnsi="Calibri" w:cstheme="minorHAnsi"/>
          <w:color w:val="000000"/>
          <w:lang w:val="es-MX"/>
        </w:rPr>
        <w:t>, se present</w:t>
      </w:r>
      <w:r w:rsidR="00F9502A" w:rsidRPr="00F058C4">
        <w:rPr>
          <w:rFonts w:ascii="Calibri" w:eastAsia="Times New Roman" w:hAnsi="Calibri" w:cstheme="minorHAnsi"/>
          <w:color w:val="000000"/>
          <w:lang w:val="es-MX"/>
        </w:rPr>
        <w:t>ó</w:t>
      </w:r>
      <w:r w:rsidR="0021552F" w:rsidRPr="00F058C4">
        <w:rPr>
          <w:rFonts w:ascii="Calibri" w:eastAsia="Times New Roman" w:hAnsi="Calibri" w:cstheme="minorHAnsi"/>
          <w:color w:val="000000"/>
          <w:lang w:val="es-MX"/>
        </w:rPr>
        <w:t xml:space="preserve"> una </w:t>
      </w:r>
      <w:hyperlink r:id="rId27" w:history="1">
        <w:r w:rsidR="0021552F" w:rsidRPr="00F058C4">
          <w:rPr>
            <w:rStyle w:val="Hipervnculo"/>
            <w:rFonts w:ascii="Calibri" w:eastAsia="Times New Roman" w:hAnsi="Calibri" w:cstheme="minorHAnsi"/>
            <w:lang w:val="es-MX"/>
          </w:rPr>
          <w:t>iniciativa</w:t>
        </w:r>
      </w:hyperlink>
      <w:r w:rsidR="0021552F" w:rsidRPr="00F058C4">
        <w:rPr>
          <w:rFonts w:ascii="Calibri" w:eastAsia="Times New Roman" w:hAnsi="Calibri" w:cstheme="minorHAnsi"/>
          <w:color w:val="000000"/>
          <w:lang w:val="es-MX"/>
        </w:rPr>
        <w:t xml:space="preserve"> de ley en la materia</w:t>
      </w:r>
      <w:r w:rsidR="00163DF5" w:rsidRPr="00F058C4">
        <w:rPr>
          <w:rFonts w:ascii="Calibri" w:eastAsia="Times New Roman" w:hAnsi="Calibri" w:cstheme="minorHAnsi"/>
          <w:color w:val="000000"/>
          <w:lang w:val="es-MX"/>
        </w:rPr>
        <w:t xml:space="preserve"> en el Congreso de la Ciudad de México </w:t>
      </w:r>
      <w:r w:rsidR="0021552F" w:rsidRPr="00F058C4">
        <w:rPr>
          <w:rFonts w:ascii="Calibri" w:eastAsia="Times New Roman" w:hAnsi="Calibri" w:cstheme="minorHAnsi"/>
          <w:color w:val="000000"/>
          <w:lang w:val="es-MX"/>
        </w:rPr>
        <w:t>por parte de</w:t>
      </w:r>
      <w:r w:rsidR="00163DF5" w:rsidRPr="00F058C4">
        <w:rPr>
          <w:rFonts w:ascii="Calibri" w:eastAsia="Times New Roman" w:hAnsi="Calibri" w:cstheme="minorHAnsi"/>
          <w:color w:val="000000"/>
          <w:lang w:val="es-MX"/>
        </w:rPr>
        <w:t xml:space="preserve"> la Dip. Paula Soto y el Dip. Temístocles Villanueva</w:t>
      </w:r>
      <w:r w:rsidR="0021552F" w:rsidRPr="00F058C4">
        <w:rPr>
          <w:rFonts w:ascii="Calibri" w:eastAsia="Times New Roman" w:hAnsi="Calibri" w:cstheme="minorHAnsi"/>
          <w:color w:val="000000"/>
          <w:lang w:val="es-MX"/>
        </w:rPr>
        <w:t xml:space="preserve">. De igual forma, en el ámbito nacional, </w:t>
      </w:r>
      <w:r w:rsidR="00163DF5" w:rsidRPr="00F058C4">
        <w:rPr>
          <w:rFonts w:ascii="Calibri" w:eastAsia="Times New Roman" w:hAnsi="Calibri" w:cstheme="minorHAnsi"/>
          <w:color w:val="000000"/>
          <w:lang w:val="es-MX"/>
        </w:rPr>
        <w:t xml:space="preserve">las Dip. María Wendy Briceño </w:t>
      </w:r>
      <w:r w:rsidR="00163DF5" w:rsidRPr="00F058C4">
        <w:rPr>
          <w:rFonts w:ascii="Calibri" w:eastAsia="Times New Roman" w:hAnsi="Calibri" w:cstheme="minorHAnsi"/>
          <w:color w:val="000000"/>
          <w:lang w:val="es-MX"/>
        </w:rPr>
        <w:lastRenderedPageBreak/>
        <w:t>Zuloaga y Sandra Paola González Castañeda, y el Dip. Lucio Ernesto Palacios Cordero</w:t>
      </w:r>
      <w:r w:rsidR="0021552F" w:rsidRPr="00F058C4">
        <w:rPr>
          <w:rFonts w:ascii="Calibri" w:eastAsia="Times New Roman" w:hAnsi="Calibri" w:cstheme="minorHAnsi"/>
          <w:color w:val="000000"/>
          <w:lang w:val="es-MX"/>
        </w:rPr>
        <w:t xml:space="preserve"> presentaron en el mismo periodo una </w:t>
      </w:r>
      <w:hyperlink r:id="rId28" w:history="1">
        <w:r w:rsidR="0021552F" w:rsidRPr="00F058C4">
          <w:rPr>
            <w:rStyle w:val="Hipervnculo"/>
            <w:rFonts w:ascii="Calibri" w:eastAsia="Times New Roman" w:hAnsi="Calibri" w:cstheme="minorHAnsi"/>
            <w:lang w:val="es-MX"/>
          </w:rPr>
          <w:t>iniciativa</w:t>
        </w:r>
      </w:hyperlink>
      <w:r w:rsidR="0021552F" w:rsidRPr="00F058C4">
        <w:rPr>
          <w:rFonts w:ascii="Calibri" w:eastAsia="Times New Roman" w:hAnsi="Calibri" w:cstheme="minorHAnsi"/>
          <w:color w:val="000000"/>
          <w:lang w:val="es-MX"/>
        </w:rPr>
        <w:t xml:space="preserve"> para reformar el artículo 4o de la Constitución Política de los Estados Unidos Mexicanos e integrar el derecho a cuidar</w:t>
      </w:r>
      <w:r w:rsidR="00F9502A" w:rsidRPr="00F058C4">
        <w:rPr>
          <w:rFonts w:ascii="Calibri" w:eastAsia="Times New Roman" w:hAnsi="Calibri" w:cstheme="minorHAnsi"/>
          <w:color w:val="000000"/>
          <w:lang w:val="es-MX"/>
        </w:rPr>
        <w:t xml:space="preserve">, </w:t>
      </w:r>
      <w:r w:rsidR="0021552F" w:rsidRPr="00F058C4">
        <w:rPr>
          <w:rFonts w:ascii="Calibri" w:eastAsia="Times New Roman" w:hAnsi="Calibri" w:cstheme="minorHAnsi"/>
          <w:color w:val="000000"/>
          <w:lang w:val="es-MX"/>
        </w:rPr>
        <w:t>recibir cuidados</w:t>
      </w:r>
      <w:r w:rsidR="00F9502A" w:rsidRPr="00F058C4">
        <w:rPr>
          <w:rFonts w:ascii="Calibri" w:eastAsia="Times New Roman" w:hAnsi="Calibri" w:cstheme="minorHAnsi"/>
          <w:color w:val="000000"/>
          <w:lang w:val="es-MX"/>
        </w:rPr>
        <w:t xml:space="preserve"> y al autocuidado</w:t>
      </w:r>
      <w:r w:rsidR="0021552F" w:rsidRPr="00F058C4">
        <w:rPr>
          <w:rFonts w:ascii="Calibri" w:eastAsia="Times New Roman" w:hAnsi="Calibri" w:cstheme="minorHAnsi"/>
          <w:color w:val="000000"/>
          <w:lang w:val="es-MX"/>
        </w:rPr>
        <w:t>. Ninguno de estos</w:t>
      </w:r>
      <w:r w:rsidR="00FC3DFC" w:rsidRPr="00F058C4">
        <w:rPr>
          <w:rFonts w:ascii="Calibri" w:eastAsia="Times New Roman" w:hAnsi="Calibri" w:cstheme="minorHAnsi"/>
          <w:color w:val="000000"/>
          <w:lang w:val="es-MX"/>
        </w:rPr>
        <w:t xml:space="preserve"> esfuerzos </w:t>
      </w:r>
      <w:r w:rsidR="00F9502A" w:rsidRPr="00F058C4">
        <w:rPr>
          <w:rFonts w:ascii="Calibri" w:eastAsia="Times New Roman" w:hAnsi="Calibri" w:cstheme="minorHAnsi"/>
          <w:color w:val="000000"/>
          <w:lang w:val="es-MX"/>
        </w:rPr>
        <w:t>se ha concretado aún.</w:t>
      </w:r>
    </w:p>
    <w:p w14:paraId="7E0E1980" w14:textId="7DF54652" w:rsidR="00F9502A" w:rsidRPr="00F058C4" w:rsidRDefault="00F9502A" w:rsidP="00DB2DD6">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4597BDB0" w14:textId="1DC1BF02" w:rsidR="00F9502A" w:rsidRPr="00F058C4" w:rsidRDefault="00F9502A" w:rsidP="00DB2DD6">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Recientemente, fue anunciado por el Gobierno Federal que se disminuiría la edad para acceder al programa de apoyo universal para personas mayores pasando de 68 años a 65. El programa consiste en una transferencia económica directa depositada bimestralmente que además se duplicará en cantidad.  </w:t>
      </w:r>
    </w:p>
    <w:p w14:paraId="6751C396" w14:textId="77777777" w:rsidR="00E035FA" w:rsidRPr="00F058C4" w:rsidRDefault="00E035FA"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2050665B" w14:textId="0922355C"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6. En el plano nacional, sírvase exponer las protecciones jurídicas disponibles contra la discriminación</w:t>
      </w:r>
      <w:r w:rsidR="001B550C" w:rsidRPr="00F058C4">
        <w:rPr>
          <w:rFonts w:ascii="Calibri" w:eastAsia="Times New Roman" w:hAnsi="Calibri" w:cstheme="minorHAnsi"/>
          <w:b/>
          <w:color w:val="000000"/>
          <w:lang w:val="es-MX"/>
        </w:rPr>
        <w:t xml:space="preserve"> </w:t>
      </w:r>
      <w:r w:rsidRPr="00F058C4">
        <w:rPr>
          <w:rFonts w:ascii="Calibri" w:eastAsia="Times New Roman" w:hAnsi="Calibri" w:cstheme="minorHAnsi"/>
          <w:b/>
          <w:color w:val="000000"/>
          <w:lang w:val="es-MX"/>
        </w:rPr>
        <w:t xml:space="preserve">por edad e indicar si la edad se reconoce explícitamente como motivo de discriminación. En caso afirmativo, ¿hay ámbitos específicos en los que se garantiza explícitamente la igualdad? ¿Existen ámbitos en los que se justifique explícitamente el trato diferencial basado en la edad avanzada? </w:t>
      </w:r>
    </w:p>
    <w:p w14:paraId="0065BC54" w14:textId="59F694F1" w:rsidR="009C507E" w:rsidRPr="00F058C4" w:rsidRDefault="009C507E"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6D9D7794" w14:textId="46AFFF63" w:rsidR="00CD120C" w:rsidRPr="00F058C4" w:rsidRDefault="00CD120C" w:rsidP="00CD120C">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ab/>
      </w:r>
      <w:r w:rsidR="00890F7E" w:rsidRPr="00F058C4">
        <w:rPr>
          <w:rFonts w:ascii="Calibri" w:eastAsia="Times New Roman" w:hAnsi="Calibri" w:cstheme="minorHAnsi"/>
          <w:color w:val="000000"/>
          <w:lang w:val="es-MX"/>
        </w:rPr>
        <w:t>Tanto la Constitución Política de los Estados Unidos Mexicanos en su artículo 1o como la Constitución Política de la Ciudad de México en el 4o mencionan de forma explícita que la discriminación por motiv</w:t>
      </w:r>
      <w:r w:rsidR="006719FC" w:rsidRPr="00F058C4">
        <w:rPr>
          <w:rFonts w:ascii="Calibri" w:eastAsia="Times New Roman" w:hAnsi="Calibri" w:cstheme="minorHAnsi"/>
          <w:color w:val="000000"/>
          <w:lang w:val="es-MX"/>
        </w:rPr>
        <w:t>o</w:t>
      </w:r>
      <w:r w:rsidR="00890F7E" w:rsidRPr="00F058C4">
        <w:rPr>
          <w:rFonts w:ascii="Calibri" w:eastAsia="Times New Roman" w:hAnsi="Calibri" w:cstheme="minorHAnsi"/>
          <w:color w:val="000000"/>
          <w:lang w:val="es-MX"/>
        </w:rPr>
        <w:t xml:space="preserve"> de edad está prohibida.</w:t>
      </w:r>
      <w:r w:rsidR="009278AB" w:rsidRPr="00F058C4">
        <w:rPr>
          <w:rFonts w:ascii="Calibri" w:eastAsia="Times New Roman" w:hAnsi="Calibri" w:cstheme="minorHAnsi"/>
          <w:color w:val="000000"/>
          <w:lang w:val="es-MX"/>
        </w:rPr>
        <w:t xml:space="preserve"> Asimismo, se cuenta con legislación especializada en ambos planos también: por un lado, la Ley Federal para Prevenir y Eliminar la Discriminación</w:t>
      </w:r>
      <w:r w:rsidR="000439E1" w:rsidRPr="00F058C4">
        <w:rPr>
          <w:rFonts w:ascii="Calibri" w:eastAsia="Times New Roman" w:hAnsi="Calibri" w:cstheme="minorHAnsi"/>
          <w:color w:val="000000"/>
          <w:lang w:val="es-MX"/>
        </w:rPr>
        <w:t xml:space="preserve"> y, por otro, la Ley para Prevenir y Eliminar la Discriminación del Distrito Federal.</w:t>
      </w:r>
      <w:r w:rsidR="005B33BC" w:rsidRPr="00F058C4">
        <w:rPr>
          <w:rFonts w:ascii="Calibri" w:eastAsia="Times New Roman" w:hAnsi="Calibri" w:cstheme="minorHAnsi"/>
          <w:color w:val="000000"/>
          <w:lang w:val="es-MX"/>
        </w:rPr>
        <w:t xml:space="preserve"> Ésta última plantea disposiciones que </w:t>
      </w:r>
      <w:r w:rsidR="00F9502A" w:rsidRPr="00F058C4">
        <w:rPr>
          <w:rFonts w:ascii="Calibri" w:eastAsia="Times New Roman" w:hAnsi="Calibri" w:cstheme="minorHAnsi"/>
          <w:color w:val="000000"/>
          <w:lang w:val="es-MX"/>
        </w:rPr>
        <w:t>prohíben</w:t>
      </w:r>
      <w:r w:rsidR="00E97762" w:rsidRPr="00F058C4">
        <w:rPr>
          <w:rFonts w:ascii="Calibri" w:eastAsia="Times New Roman" w:hAnsi="Calibri" w:cstheme="minorHAnsi"/>
          <w:color w:val="000000"/>
          <w:lang w:val="es-MX"/>
        </w:rPr>
        <w:t>, por ejemplo,</w:t>
      </w:r>
      <w:r w:rsidR="005B33BC" w:rsidRPr="00F058C4">
        <w:rPr>
          <w:rFonts w:ascii="Calibri" w:eastAsia="Times New Roman" w:hAnsi="Calibri" w:cstheme="minorHAnsi"/>
          <w:color w:val="000000"/>
          <w:lang w:val="es-MX"/>
        </w:rPr>
        <w:t xml:space="preserve"> </w:t>
      </w:r>
      <w:r w:rsidR="00E97762" w:rsidRPr="00F058C4">
        <w:rPr>
          <w:rFonts w:ascii="Calibri" w:eastAsia="Times New Roman" w:hAnsi="Calibri" w:cstheme="minorHAnsi"/>
          <w:color w:val="000000"/>
          <w:lang w:val="es-MX"/>
        </w:rPr>
        <w:t>condicionar, limitar o restringir las oportunidades de empleo, permanencia o ascenso laborales en razón de edad.</w:t>
      </w:r>
    </w:p>
    <w:p w14:paraId="4878772F" w14:textId="77777777" w:rsidR="00CD120C" w:rsidRPr="00F058C4" w:rsidRDefault="00CD120C" w:rsidP="00CD120C">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63BCC4C1" w14:textId="7FC2EE4A" w:rsidR="009C507E" w:rsidRPr="00F058C4" w:rsidRDefault="00A6146B" w:rsidP="00CD120C">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 xml:space="preserve">En este apartado, se destaca </w:t>
      </w:r>
      <w:r w:rsidR="00AF0699" w:rsidRPr="00F058C4">
        <w:rPr>
          <w:rFonts w:ascii="Calibri" w:eastAsia="Times New Roman" w:hAnsi="Calibri" w:cstheme="minorHAnsi"/>
          <w:color w:val="000000"/>
          <w:lang w:val="es-MX"/>
        </w:rPr>
        <w:t xml:space="preserve">también </w:t>
      </w:r>
      <w:r w:rsidRPr="00F058C4">
        <w:rPr>
          <w:rFonts w:ascii="Calibri" w:eastAsia="Times New Roman" w:hAnsi="Calibri" w:cstheme="minorHAnsi"/>
          <w:color w:val="000000"/>
          <w:lang w:val="es-MX"/>
        </w:rPr>
        <w:t>el Sistema Nacional de Protección Integral de Niñas, Niños y Adolescentes (SIPINNA)</w:t>
      </w:r>
      <w:r w:rsidR="006F563C" w:rsidRPr="00F058C4">
        <w:rPr>
          <w:rFonts w:ascii="Calibri" w:eastAsia="Times New Roman" w:hAnsi="Calibri" w:cstheme="minorHAnsi"/>
          <w:color w:val="000000"/>
          <w:lang w:val="es-MX"/>
        </w:rPr>
        <w:t xml:space="preserve">, </w:t>
      </w:r>
      <w:r w:rsidR="00A523BB" w:rsidRPr="00F058C4">
        <w:rPr>
          <w:rFonts w:ascii="Calibri" w:eastAsia="Times New Roman" w:hAnsi="Calibri" w:cstheme="minorHAnsi"/>
          <w:color w:val="000000"/>
          <w:lang w:val="es-MX"/>
        </w:rPr>
        <w:t>una estructura institucional dedicada a establecer instrumentos</w:t>
      </w:r>
      <w:r w:rsidR="009B27D8" w:rsidRPr="00F058C4">
        <w:rPr>
          <w:rFonts w:ascii="Calibri" w:eastAsia="Times New Roman" w:hAnsi="Calibri" w:cstheme="minorHAnsi"/>
          <w:color w:val="000000"/>
          <w:lang w:val="es-MX"/>
        </w:rPr>
        <w:t>,</w:t>
      </w:r>
      <w:r w:rsidR="00A523BB" w:rsidRPr="00F058C4">
        <w:rPr>
          <w:rFonts w:ascii="Calibri" w:eastAsia="Times New Roman" w:hAnsi="Calibri" w:cstheme="minorHAnsi"/>
          <w:color w:val="000000"/>
          <w:lang w:val="es-MX"/>
        </w:rPr>
        <w:t xml:space="preserve"> políticas, procedimientos, servicios y acciones dedicadas exclusivamente a la protección de este grupo, y que tiene su fundamento en el artículo 125 de la </w:t>
      </w:r>
      <w:hyperlink r:id="rId29" w:history="1">
        <w:r w:rsidR="00A523BB" w:rsidRPr="00F058C4">
          <w:rPr>
            <w:rStyle w:val="Hipervnculo"/>
            <w:rFonts w:ascii="Calibri" w:eastAsia="Times New Roman" w:hAnsi="Calibri" w:cstheme="minorHAnsi"/>
            <w:i/>
            <w:lang w:val="es-MX"/>
          </w:rPr>
          <w:t>Ley General de los Derechos de Niñas, Niños y Adolescentes</w:t>
        </w:r>
      </w:hyperlink>
      <w:r w:rsidR="00A523BB" w:rsidRPr="00F058C4">
        <w:rPr>
          <w:rFonts w:ascii="Calibri" w:eastAsia="Times New Roman" w:hAnsi="Calibri" w:cstheme="minorHAnsi"/>
          <w:color w:val="000000"/>
          <w:lang w:val="es-MX"/>
        </w:rPr>
        <w:t xml:space="preserve">. </w:t>
      </w:r>
      <w:r w:rsidR="0043139C" w:rsidRPr="00F058C4">
        <w:rPr>
          <w:rFonts w:ascii="Calibri" w:eastAsia="Times New Roman" w:hAnsi="Calibri" w:cstheme="minorHAnsi"/>
          <w:color w:val="000000"/>
          <w:lang w:val="es-MX"/>
        </w:rPr>
        <w:t>El SIPINNA conjunta a instituciones gubernamentales del Poder Ejecutivo Federal y los poderes ejecutivos estatales, e incorpora también la participación de organismos públicos como la Fiscalía General de la República, la Presidencia de la Comisión Nacional de los Derechos Humanos, y el Instituto Federal de Telecomunicaciones.</w:t>
      </w:r>
    </w:p>
    <w:p w14:paraId="74A65F85" w14:textId="2DAB762B" w:rsidR="00AF2AAA" w:rsidRPr="00F058C4" w:rsidRDefault="00AF2AAA" w:rsidP="00AF2AAA">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25E11096" w14:textId="0BEEDAC5" w:rsidR="00AF2AAA" w:rsidRPr="00F058C4" w:rsidRDefault="00AF2AAA" w:rsidP="00AF2AAA">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En el plano de la Ciudad de México,</w:t>
      </w:r>
      <w:r w:rsidR="001B2517" w:rsidRPr="00F058C4">
        <w:rPr>
          <w:rFonts w:ascii="Calibri" w:eastAsia="Times New Roman" w:hAnsi="Calibri" w:cstheme="minorHAnsi"/>
          <w:color w:val="000000"/>
          <w:lang w:val="es-MX"/>
        </w:rPr>
        <w:t xml:space="preserve"> se creó, mediante la ley local en la materia previamente mencionada, una estructura </w:t>
      </w:r>
      <w:r w:rsidR="006A5069" w:rsidRPr="00F058C4">
        <w:rPr>
          <w:rFonts w:ascii="Calibri" w:eastAsia="Times New Roman" w:hAnsi="Calibri" w:cstheme="minorHAnsi"/>
          <w:color w:val="000000"/>
          <w:lang w:val="es-MX"/>
        </w:rPr>
        <w:t>similar</w:t>
      </w:r>
      <w:r w:rsidR="001D77C0" w:rsidRPr="00F058C4">
        <w:rPr>
          <w:rFonts w:ascii="Calibri" w:eastAsia="Times New Roman" w:hAnsi="Calibri" w:cstheme="minorHAnsi"/>
          <w:color w:val="000000"/>
          <w:lang w:val="es-MX"/>
        </w:rPr>
        <w:t xml:space="preserve">: </w:t>
      </w:r>
      <w:r w:rsidR="001B2517" w:rsidRPr="00F058C4">
        <w:rPr>
          <w:rFonts w:ascii="Calibri" w:eastAsia="Times New Roman" w:hAnsi="Calibri" w:cstheme="minorHAnsi"/>
          <w:color w:val="000000"/>
          <w:lang w:val="es-MX"/>
        </w:rPr>
        <w:t>el Sistema de Protección Integral de Niñas, Niños y Adolescentes de la Ciudad de México</w:t>
      </w:r>
      <w:r w:rsidR="001D77C0" w:rsidRPr="00F058C4">
        <w:rPr>
          <w:rFonts w:ascii="Calibri" w:eastAsia="Times New Roman" w:hAnsi="Calibri" w:cstheme="minorHAnsi"/>
          <w:color w:val="000000"/>
          <w:lang w:val="es-MX"/>
        </w:rPr>
        <w:t>. Éste</w:t>
      </w:r>
      <w:r w:rsidR="006A5069" w:rsidRPr="00F058C4">
        <w:rPr>
          <w:rFonts w:ascii="Calibri" w:eastAsia="Times New Roman" w:hAnsi="Calibri" w:cstheme="minorHAnsi"/>
          <w:color w:val="000000"/>
          <w:lang w:val="es-MX"/>
        </w:rPr>
        <w:t xml:space="preserve"> integra los esfuerzos de autoridades de la entidad</w:t>
      </w:r>
      <w:r w:rsidR="000771BD" w:rsidRPr="00F058C4">
        <w:rPr>
          <w:rFonts w:ascii="Calibri" w:eastAsia="Times New Roman" w:hAnsi="Calibri" w:cstheme="minorHAnsi"/>
          <w:color w:val="000000"/>
          <w:lang w:val="es-MX"/>
        </w:rPr>
        <w:t xml:space="preserve"> y establece, entre otras medidas, una Procuraduría de Protección enfocada exclusivamente</w:t>
      </w:r>
      <w:r w:rsidR="007F6C3B" w:rsidRPr="00F058C4">
        <w:rPr>
          <w:rFonts w:ascii="Calibri" w:eastAsia="Times New Roman" w:hAnsi="Calibri" w:cstheme="minorHAnsi"/>
          <w:color w:val="000000"/>
          <w:lang w:val="es-MX"/>
        </w:rPr>
        <w:t xml:space="preserve"> en población infantil y adolescente</w:t>
      </w:r>
      <w:r w:rsidR="00577973" w:rsidRPr="00F058C4">
        <w:rPr>
          <w:rFonts w:ascii="Calibri" w:eastAsia="Times New Roman" w:hAnsi="Calibri" w:cstheme="minorHAnsi"/>
          <w:color w:val="000000"/>
          <w:lang w:val="es-MX"/>
        </w:rPr>
        <w:t xml:space="preserve"> y diversas obligaciones de EVALÚA CDMX sobre evaluación de las políticas de desarrollo social vinculadas con el tema.</w:t>
      </w:r>
    </w:p>
    <w:p w14:paraId="2B0CF50E" w14:textId="77777777"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68C2BD8E" w14:textId="3113D765"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7. ¿Permiten las protecciones jurídicas existentes contra la discriminación por edad reclamaciones basadas en la discriminación intersectorial, es decir, la discriminación basada en la intersección de la edad y otras características como la raza, la etnia, el género, la orientación sexual, la discapacidad u otra condición?</w:t>
      </w:r>
    </w:p>
    <w:p w14:paraId="613B12BC" w14:textId="324A965B" w:rsidR="009C507E" w:rsidRPr="00F058C4" w:rsidRDefault="009C507E"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7276F5A6" w14:textId="098625F6" w:rsidR="009C507E" w:rsidRPr="00F058C4" w:rsidRDefault="006474E8" w:rsidP="006474E8">
      <w:pPr>
        <w:pBdr>
          <w:top w:val="nil"/>
          <w:left w:val="nil"/>
          <w:bottom w:val="nil"/>
          <w:right w:val="nil"/>
          <w:between w:val="nil"/>
        </w:pBdr>
        <w:spacing w:after="0" w:line="240" w:lineRule="auto"/>
        <w:ind w:firstLine="720"/>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Varios de los instrumentos jurídicos pertinentes, tal como la Ley de Reconocimiento de los Derechos de las Personas Mayores y del Sistema Integral para su Atención de la Ciudad de México</w:t>
      </w:r>
      <w:r w:rsidR="00C46618" w:rsidRPr="00F058C4">
        <w:rPr>
          <w:rFonts w:ascii="Calibri" w:eastAsia="Times New Roman" w:hAnsi="Calibri" w:cstheme="minorHAnsi"/>
          <w:color w:val="000000"/>
          <w:lang w:val="es-MX"/>
        </w:rPr>
        <w:t xml:space="preserve"> incluyen el enfoque interseccional en su redacción.</w:t>
      </w:r>
      <w:r w:rsidR="002F36E2" w:rsidRPr="00F058C4">
        <w:rPr>
          <w:rFonts w:ascii="Calibri" w:eastAsia="Times New Roman" w:hAnsi="Calibri" w:cstheme="minorHAnsi"/>
          <w:color w:val="000000"/>
          <w:lang w:val="es-MX"/>
        </w:rPr>
        <w:t xml:space="preserve"> En el caso de esta Ley, el artículo 9 indica que las </w:t>
      </w:r>
      <w:r w:rsidR="002F36E2" w:rsidRPr="00F058C4">
        <w:rPr>
          <w:rFonts w:ascii="Calibri" w:eastAsia="Times New Roman" w:hAnsi="Calibri" w:cstheme="minorHAnsi"/>
          <w:color w:val="000000"/>
          <w:lang w:val="es-MX"/>
        </w:rPr>
        <w:lastRenderedPageBreak/>
        <w:t>autoridades de la Ciudad de México</w:t>
      </w:r>
      <w:r w:rsidR="00F020DC" w:rsidRPr="00F058C4">
        <w:rPr>
          <w:rFonts w:ascii="Calibri" w:eastAsia="Times New Roman" w:hAnsi="Calibri" w:cstheme="minorHAnsi"/>
          <w:color w:val="000000"/>
          <w:lang w:val="es-MX"/>
        </w:rPr>
        <w:t xml:space="preserve"> deberán adoptar, desarrollar, implementar y ejecutar todas las medidas normativas, políticas, procedimientos y protocolos con este enfoque.</w:t>
      </w:r>
      <w:r w:rsidR="00A74E91" w:rsidRPr="00F058C4">
        <w:rPr>
          <w:rFonts w:ascii="Calibri" w:eastAsia="Times New Roman" w:hAnsi="Calibri" w:cstheme="minorHAnsi"/>
          <w:color w:val="000000"/>
          <w:lang w:val="es-MX"/>
        </w:rPr>
        <w:t xml:space="preserve"> Si bien la justiciabilidad de este principio no es tan evidente a nivel jurisprudencial, se considera que</w:t>
      </w:r>
      <w:r w:rsidR="00C65480" w:rsidRPr="00F058C4">
        <w:rPr>
          <w:rFonts w:ascii="Calibri" w:eastAsia="Times New Roman" w:hAnsi="Calibri" w:cstheme="minorHAnsi"/>
          <w:color w:val="000000"/>
          <w:lang w:val="es-MX"/>
        </w:rPr>
        <w:t xml:space="preserve"> existen algunos fundamentos para las reclamaciones pertinentes.</w:t>
      </w:r>
    </w:p>
    <w:p w14:paraId="40071CB1" w14:textId="77777777"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770EC47F" w14:textId="239EE576"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8. ¿Qué medidas jurídicas y de otra índole se han adoptado para abordar y proteger contra el racismo,</w:t>
      </w:r>
      <w:r w:rsidR="001B550C" w:rsidRPr="00F058C4">
        <w:rPr>
          <w:rFonts w:ascii="Calibri" w:eastAsia="Times New Roman" w:hAnsi="Calibri" w:cstheme="minorHAnsi"/>
          <w:b/>
          <w:color w:val="000000"/>
          <w:lang w:val="es-MX"/>
        </w:rPr>
        <w:t xml:space="preserve"> </w:t>
      </w:r>
      <w:r w:rsidRPr="00F058C4">
        <w:rPr>
          <w:rFonts w:ascii="Calibri" w:eastAsia="Times New Roman" w:hAnsi="Calibri" w:cstheme="minorHAnsi"/>
          <w:b/>
          <w:color w:val="000000"/>
          <w:lang w:val="es-MX"/>
        </w:rPr>
        <w:t>el sexismo, el capacitismo u otras formas análogas de discriminación que puedan ser modelos útiles</w:t>
      </w:r>
      <w:r w:rsidR="001B550C" w:rsidRPr="00F058C4">
        <w:rPr>
          <w:rFonts w:ascii="Calibri" w:eastAsia="Times New Roman" w:hAnsi="Calibri" w:cstheme="minorHAnsi"/>
          <w:b/>
          <w:color w:val="000000"/>
          <w:lang w:val="es-MX"/>
        </w:rPr>
        <w:t xml:space="preserve"> </w:t>
      </w:r>
      <w:r w:rsidRPr="00F058C4">
        <w:rPr>
          <w:rFonts w:ascii="Calibri" w:eastAsia="Times New Roman" w:hAnsi="Calibri" w:cstheme="minorHAnsi"/>
          <w:b/>
          <w:color w:val="000000"/>
          <w:lang w:val="es-MX"/>
        </w:rPr>
        <w:t>para abordar la discriminación por edad?</w:t>
      </w:r>
    </w:p>
    <w:p w14:paraId="21D5AC39" w14:textId="1D3CBDB5" w:rsidR="00D14AE9" w:rsidRPr="00F058C4" w:rsidRDefault="00D14AE9"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3E4688AB" w14:textId="639A11A8" w:rsidR="00D14AE9" w:rsidRPr="00F058C4" w:rsidRDefault="004A7B3D"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ab/>
      </w:r>
      <w:r w:rsidR="00931EB6" w:rsidRPr="00F058C4">
        <w:rPr>
          <w:rFonts w:ascii="Calibri" w:eastAsia="Times New Roman" w:hAnsi="Calibri" w:cstheme="minorHAnsi"/>
          <w:color w:val="000000"/>
          <w:lang w:val="es-MX"/>
        </w:rPr>
        <w:t xml:space="preserve">La Constitución Política de la Ciudad de México es un instrumento normativo que explicita tanto el enfoque diferencial al hablar de grupos de atención prioritaria, categorizarlos y reconocer la desigualdad histórica que han padecido. Asimismo, reconoce la interseccionalidad a partir de la acumulación de identidades con dichos grupos en una misma persona o varias de ellas. En ese sentido, tanto el enfoque diferencial como el análisis interseccional son metodologías propias del enfoque de derechos humanos que van permeando más a nivel normativo. Sin embargo, aún es un reto implementar esta atención en los programas sociales, formas de atención, adaptabilidad de servicios, entre otros. </w:t>
      </w:r>
    </w:p>
    <w:p w14:paraId="3BDAFBFD" w14:textId="77777777"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5530E4E0" w14:textId="59C6A27C"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9. Sírvase indicar si existen mecanismos institucionales o de denuncia para hacer frente a las desigualdades o las quejas relacionadas con el edadismo y la discriminación por edad. En caso afirmativo, sírvanse proporcionar información sobre los tipos de casos y estadísticas sobre casos</w:t>
      </w:r>
      <w:r w:rsidR="000428A1" w:rsidRPr="00F058C4">
        <w:rPr>
          <w:rFonts w:ascii="Calibri" w:eastAsia="Times New Roman" w:hAnsi="Calibri" w:cstheme="minorHAnsi"/>
          <w:b/>
          <w:color w:val="000000"/>
          <w:lang w:val="es-MX"/>
        </w:rPr>
        <w:t xml:space="preserve"> </w:t>
      </w:r>
      <w:r w:rsidRPr="00F058C4">
        <w:rPr>
          <w:rFonts w:ascii="Calibri" w:eastAsia="Times New Roman" w:hAnsi="Calibri" w:cstheme="minorHAnsi"/>
          <w:b/>
          <w:color w:val="000000"/>
          <w:lang w:val="es-MX"/>
        </w:rPr>
        <w:t>recibidos.</w:t>
      </w:r>
    </w:p>
    <w:p w14:paraId="345465F6" w14:textId="24D84BF6" w:rsidR="00580675" w:rsidRPr="00F058C4" w:rsidRDefault="00580675"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50CD08D2" w14:textId="77777777" w:rsidR="00EC78BA" w:rsidRPr="00F058C4" w:rsidRDefault="001C0249"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ab/>
        <w:t xml:space="preserve">En la estructura de la Fiscalía General de Justicia </w:t>
      </w:r>
      <w:r w:rsidR="006D681A" w:rsidRPr="00F058C4">
        <w:rPr>
          <w:rFonts w:ascii="Calibri" w:eastAsia="Times New Roman" w:hAnsi="Calibri" w:cstheme="minorHAnsi"/>
          <w:color w:val="000000"/>
          <w:lang w:val="es-MX"/>
        </w:rPr>
        <w:t xml:space="preserve">(FGJ) </w:t>
      </w:r>
      <w:r w:rsidRPr="00F058C4">
        <w:rPr>
          <w:rFonts w:ascii="Calibri" w:eastAsia="Times New Roman" w:hAnsi="Calibri" w:cstheme="minorHAnsi"/>
          <w:color w:val="000000"/>
          <w:lang w:val="es-MX"/>
        </w:rPr>
        <w:t>de la Ciudad de México</w:t>
      </w:r>
      <w:r w:rsidR="00947445" w:rsidRPr="00F058C4">
        <w:rPr>
          <w:rFonts w:ascii="Calibri" w:eastAsia="Times New Roman" w:hAnsi="Calibri" w:cstheme="minorHAnsi"/>
          <w:color w:val="000000"/>
          <w:lang w:val="es-MX"/>
        </w:rPr>
        <w:t xml:space="preserve"> está contemplada la </w:t>
      </w:r>
      <w:hyperlink r:id="rId30" w:history="1">
        <w:r w:rsidR="00947445" w:rsidRPr="00F058C4">
          <w:rPr>
            <w:rStyle w:val="Hipervnculo"/>
            <w:rFonts w:ascii="Calibri" w:eastAsia="Times New Roman" w:hAnsi="Calibri" w:cstheme="minorHAnsi"/>
            <w:lang w:val="es-MX"/>
          </w:rPr>
          <w:t>Agencia para la Atención de Personas Adultas Mayores</w:t>
        </w:r>
        <w:r w:rsidR="00AB0384" w:rsidRPr="00F058C4">
          <w:rPr>
            <w:rStyle w:val="Hipervnculo"/>
            <w:rFonts w:ascii="Calibri" w:eastAsia="Times New Roman" w:hAnsi="Calibri" w:cstheme="minorHAnsi"/>
            <w:lang w:val="es-MX"/>
          </w:rPr>
          <w:t xml:space="preserve"> </w:t>
        </w:r>
        <w:r w:rsidR="00023C2E" w:rsidRPr="00F058C4">
          <w:rPr>
            <w:rStyle w:val="Hipervnculo"/>
            <w:rFonts w:ascii="Calibri" w:eastAsia="Times New Roman" w:hAnsi="Calibri" w:cstheme="minorHAnsi"/>
            <w:lang w:val="es-MX"/>
          </w:rPr>
          <w:t>Víctimas de Violencia Familiar</w:t>
        </w:r>
      </w:hyperlink>
      <w:r w:rsidR="003E4C8F" w:rsidRPr="00F058C4">
        <w:rPr>
          <w:rFonts w:ascii="Calibri" w:eastAsia="Times New Roman" w:hAnsi="Calibri" w:cstheme="minorHAnsi"/>
          <w:color w:val="000000"/>
          <w:lang w:val="es-MX"/>
        </w:rPr>
        <w:t xml:space="preserve">, que inició operación el 16 de abril de 2010. En el </w:t>
      </w:r>
      <w:hyperlink r:id="rId31" w:history="1">
        <w:r w:rsidR="003E4C8F" w:rsidRPr="00F058C4">
          <w:rPr>
            <w:rStyle w:val="Hipervnculo"/>
            <w:rFonts w:ascii="Calibri" w:eastAsia="Times New Roman" w:hAnsi="Calibri" w:cstheme="minorHAnsi"/>
            <w:lang w:val="es-MX"/>
          </w:rPr>
          <w:t>Portal de Datos Abiertos</w:t>
        </w:r>
      </w:hyperlink>
      <w:r w:rsidR="003E4C8F" w:rsidRPr="00F058C4">
        <w:rPr>
          <w:rFonts w:ascii="Calibri" w:eastAsia="Times New Roman" w:hAnsi="Calibri" w:cstheme="minorHAnsi"/>
          <w:color w:val="000000"/>
          <w:lang w:val="es-MX"/>
        </w:rPr>
        <w:t xml:space="preserve"> del Gobierno de la Ciudad de México</w:t>
      </w:r>
      <w:r w:rsidR="006D681A" w:rsidRPr="00F058C4">
        <w:rPr>
          <w:rFonts w:ascii="Calibri" w:eastAsia="Times New Roman" w:hAnsi="Calibri" w:cstheme="minorHAnsi"/>
          <w:color w:val="000000"/>
          <w:lang w:val="es-MX"/>
        </w:rPr>
        <w:t xml:space="preserve">, se identifica que la FGJ ha atendido </w:t>
      </w:r>
      <w:r w:rsidR="003E4C8F" w:rsidRPr="00F058C4">
        <w:rPr>
          <w:rFonts w:ascii="Calibri" w:eastAsia="Times New Roman" w:hAnsi="Calibri" w:cstheme="minorHAnsi"/>
          <w:color w:val="000000"/>
          <w:lang w:val="es-MX"/>
        </w:rPr>
        <w:t>3372</w:t>
      </w:r>
      <w:r w:rsidR="006D681A" w:rsidRPr="00F058C4">
        <w:rPr>
          <w:rFonts w:ascii="Calibri" w:eastAsia="Times New Roman" w:hAnsi="Calibri" w:cstheme="minorHAnsi"/>
          <w:color w:val="000000"/>
          <w:lang w:val="es-MX"/>
        </w:rPr>
        <w:t xml:space="preserve"> casos de este delito con víctimas de 60 o más años</w:t>
      </w:r>
      <w:r w:rsidR="00FA4B0B" w:rsidRPr="00F058C4">
        <w:rPr>
          <w:rFonts w:ascii="Calibri" w:eastAsia="Times New Roman" w:hAnsi="Calibri" w:cstheme="minorHAnsi"/>
          <w:color w:val="000000"/>
          <w:lang w:val="es-MX"/>
        </w:rPr>
        <w:t xml:space="preserve"> entre enero de 2020 y febrero de 2021</w:t>
      </w:r>
      <w:r w:rsidR="006D681A" w:rsidRPr="00F058C4">
        <w:rPr>
          <w:rFonts w:ascii="Calibri" w:eastAsia="Times New Roman" w:hAnsi="Calibri" w:cstheme="minorHAnsi"/>
          <w:color w:val="000000"/>
          <w:lang w:val="es-MX"/>
        </w:rPr>
        <w:t>.</w:t>
      </w:r>
      <w:r w:rsidR="00017A01" w:rsidRPr="00F058C4">
        <w:rPr>
          <w:rFonts w:ascii="Calibri" w:eastAsia="Times New Roman" w:hAnsi="Calibri" w:cstheme="minorHAnsi"/>
          <w:color w:val="000000"/>
          <w:lang w:val="es-MX"/>
        </w:rPr>
        <w:t xml:space="preserve"> </w:t>
      </w:r>
    </w:p>
    <w:p w14:paraId="595CD194" w14:textId="77777777" w:rsidR="00EC78BA" w:rsidRPr="00F058C4" w:rsidRDefault="00EC78BA"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18E6DBAF" w14:textId="28A43F90" w:rsidR="00580675" w:rsidRPr="00F058C4" w:rsidRDefault="00017A01"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t>Respecto del caso de niñas, niños y adolescentes</w:t>
      </w:r>
      <w:r w:rsidR="00B57720" w:rsidRPr="00F058C4">
        <w:rPr>
          <w:rFonts w:ascii="Calibri" w:eastAsia="Times New Roman" w:hAnsi="Calibri" w:cstheme="minorHAnsi"/>
          <w:color w:val="000000"/>
          <w:lang w:val="es-MX"/>
        </w:rPr>
        <w:t xml:space="preserve">, la FGJ cuenta con un Fiscal de Investigación de Delitos Cometidos en Agravio de esta población, además de que en 2020 se dio a la </w:t>
      </w:r>
      <w:hyperlink r:id="rId32" w:history="1">
        <w:r w:rsidR="00B57720" w:rsidRPr="00F058C4">
          <w:rPr>
            <w:rStyle w:val="Hipervnculo"/>
            <w:rFonts w:ascii="Calibri" w:eastAsia="Times New Roman" w:hAnsi="Calibri" w:cstheme="minorHAnsi"/>
            <w:lang w:val="es-MX"/>
          </w:rPr>
          <w:t>tarea</w:t>
        </w:r>
        <w:r w:rsidR="00FB68A7" w:rsidRPr="00F058C4">
          <w:rPr>
            <w:rStyle w:val="Hipervnculo"/>
            <w:rFonts w:ascii="Calibri" w:eastAsia="Times New Roman" w:hAnsi="Calibri" w:cstheme="minorHAnsi"/>
            <w:lang w:val="es-MX"/>
          </w:rPr>
          <w:t xml:space="preserve"> de rediseñar</w:t>
        </w:r>
      </w:hyperlink>
      <w:r w:rsidR="00C10E00" w:rsidRPr="00F058C4">
        <w:rPr>
          <w:rFonts w:ascii="Calibri" w:eastAsia="Times New Roman" w:hAnsi="Calibri" w:cstheme="minorHAnsi"/>
          <w:color w:val="000000"/>
          <w:lang w:val="es-MX"/>
        </w:rPr>
        <w:t xml:space="preserve">, en colaboración con organizaciones como la Red Latinoamericana de Acogimiento Familiar y el Fondo de las Naciones Unidas para la Infancia, </w:t>
      </w:r>
      <w:r w:rsidR="00FB68A7" w:rsidRPr="00F058C4">
        <w:rPr>
          <w:rFonts w:ascii="Calibri" w:eastAsia="Times New Roman" w:hAnsi="Calibri" w:cstheme="minorHAnsi"/>
          <w:color w:val="000000"/>
          <w:lang w:val="es-MX"/>
        </w:rPr>
        <w:t>los procesos de canalización de víctimas niños, niñas y adolescentes</w:t>
      </w:r>
      <w:r w:rsidR="001D48D9" w:rsidRPr="00F058C4">
        <w:rPr>
          <w:rFonts w:ascii="Calibri" w:eastAsia="Times New Roman" w:hAnsi="Calibri" w:cstheme="minorHAnsi"/>
          <w:color w:val="000000"/>
          <w:lang w:val="es-MX"/>
        </w:rPr>
        <w:t xml:space="preserve"> que se encuentran en la</w:t>
      </w:r>
      <w:r w:rsidR="007C35CC" w:rsidRPr="00F058C4">
        <w:rPr>
          <w:rFonts w:ascii="Calibri" w:eastAsia="Times New Roman" w:hAnsi="Calibri" w:cstheme="minorHAnsi"/>
          <w:color w:val="000000"/>
          <w:lang w:val="es-MX"/>
        </w:rPr>
        <w:t>s instancias de recepción</w:t>
      </w:r>
      <w:r w:rsidR="001D48D9" w:rsidRPr="00F058C4">
        <w:rPr>
          <w:rFonts w:ascii="Calibri" w:eastAsia="Times New Roman" w:hAnsi="Calibri" w:cstheme="minorHAnsi"/>
          <w:color w:val="000000"/>
          <w:lang w:val="es-MX"/>
        </w:rPr>
        <w:t xml:space="preserve"> Agencia 59 y Centro de Estancia Transitoria para Niñas y Niños</w:t>
      </w:r>
      <w:r w:rsidR="00C10E00" w:rsidRPr="00F058C4">
        <w:rPr>
          <w:rFonts w:ascii="Calibri" w:eastAsia="Times New Roman" w:hAnsi="Calibri" w:cstheme="minorHAnsi"/>
          <w:color w:val="000000"/>
          <w:lang w:val="es-MX"/>
        </w:rPr>
        <w:t>.</w:t>
      </w:r>
    </w:p>
    <w:p w14:paraId="40272F82" w14:textId="3A5670E8" w:rsidR="00931EB6" w:rsidRPr="00F058C4" w:rsidRDefault="00931EB6" w:rsidP="00F26F38">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4FC95BC3" w14:textId="77777777" w:rsidR="00F26F38" w:rsidRPr="00F058C4" w:rsidRDefault="00F26F38"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Informes relacionados con el edadismo y la discriminación por edad y cualquier otra información</w:t>
      </w:r>
    </w:p>
    <w:p w14:paraId="7AD22160" w14:textId="0B12A409" w:rsidR="00F26F38" w:rsidRPr="00F058C4" w:rsidRDefault="000428A1"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r</w:t>
      </w:r>
      <w:r w:rsidR="00F26F38" w:rsidRPr="00F058C4">
        <w:rPr>
          <w:rFonts w:ascii="Calibri" w:eastAsia="Times New Roman" w:hAnsi="Calibri" w:cstheme="minorHAnsi"/>
          <w:b/>
          <w:color w:val="000000"/>
          <w:lang w:val="es-MX"/>
        </w:rPr>
        <w:t>elevante</w:t>
      </w:r>
    </w:p>
    <w:p w14:paraId="747D798A" w14:textId="77777777" w:rsidR="000428A1" w:rsidRPr="00F058C4" w:rsidRDefault="000428A1" w:rsidP="00F26F38">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6891D56E" w14:textId="6B369421" w:rsidR="005C3EF7" w:rsidRPr="00F058C4" w:rsidRDefault="00F26F38" w:rsidP="000428A1">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b/>
          <w:color w:val="000000"/>
          <w:lang w:val="es-MX"/>
        </w:rPr>
        <w:t>10. Por favor, describa cualquier otra área que considere importante en el contexto de edadismo y</w:t>
      </w:r>
      <w:r w:rsidR="000428A1" w:rsidRPr="00F058C4">
        <w:rPr>
          <w:rFonts w:ascii="Calibri" w:eastAsia="Times New Roman" w:hAnsi="Calibri" w:cstheme="minorHAnsi"/>
          <w:b/>
          <w:color w:val="000000"/>
          <w:lang w:val="es-MX"/>
        </w:rPr>
        <w:t xml:space="preserve"> </w:t>
      </w:r>
      <w:r w:rsidRPr="00F058C4">
        <w:rPr>
          <w:rFonts w:ascii="Calibri" w:eastAsia="Times New Roman" w:hAnsi="Calibri" w:cstheme="minorHAnsi"/>
          <w:b/>
          <w:color w:val="000000"/>
          <w:lang w:val="es-MX"/>
        </w:rPr>
        <w:t>discriminación por edad. Gracias por compartir cualquier informe relevante sobre el edadismo y la</w:t>
      </w:r>
      <w:r w:rsidR="000428A1" w:rsidRPr="00F058C4">
        <w:rPr>
          <w:rFonts w:ascii="Calibri" w:eastAsia="Times New Roman" w:hAnsi="Calibri" w:cstheme="minorHAnsi"/>
          <w:b/>
          <w:color w:val="000000"/>
          <w:lang w:val="es-MX"/>
        </w:rPr>
        <w:t xml:space="preserve"> </w:t>
      </w:r>
      <w:r w:rsidRPr="00F058C4">
        <w:rPr>
          <w:rFonts w:ascii="Calibri" w:eastAsia="Times New Roman" w:hAnsi="Calibri" w:cstheme="minorHAnsi"/>
          <w:b/>
          <w:color w:val="000000"/>
          <w:lang w:val="es-MX"/>
        </w:rPr>
        <w:t>discriminación por edad.</w:t>
      </w:r>
    </w:p>
    <w:p w14:paraId="27DDAABA" w14:textId="7DEB7B68" w:rsidR="00931EB6" w:rsidRPr="00F058C4" w:rsidRDefault="00931EB6" w:rsidP="000428A1">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4DEA3CD1" w14:textId="5C48C141" w:rsidR="00931EB6" w:rsidRPr="00F058C4" w:rsidRDefault="00931EB6" w:rsidP="000428A1">
      <w:pPr>
        <w:pBdr>
          <w:top w:val="nil"/>
          <w:left w:val="nil"/>
          <w:bottom w:val="nil"/>
          <w:right w:val="nil"/>
          <w:between w:val="nil"/>
        </w:pBdr>
        <w:spacing w:after="0" w:line="240" w:lineRule="auto"/>
        <w:jc w:val="both"/>
        <w:rPr>
          <w:rFonts w:ascii="Calibri" w:eastAsia="Times New Roman" w:hAnsi="Calibri" w:cstheme="minorHAnsi"/>
          <w:b/>
          <w:color w:val="000000"/>
          <w:lang w:val="es-MX"/>
        </w:rPr>
      </w:pPr>
      <w:r w:rsidRPr="00F058C4">
        <w:rPr>
          <w:rFonts w:ascii="Calibri" w:eastAsia="Times New Roman" w:hAnsi="Calibri" w:cstheme="minorHAnsi"/>
          <w:color w:val="000000"/>
          <w:lang w:val="es-MX"/>
        </w:rPr>
        <w:t>La falta de respeto, garantía, participación y promoción del derecho a la participación de niñas y niños en todo aquello que les afecte, que incluye el derecho a opinar y a ser escuchados, es consecuencia del edadismo, es decir de la actitud de menospreciar las capacidades de una persona en lugar de juzgarlas en términos de su autonomía progresiva</w:t>
      </w:r>
      <w:r w:rsidR="00D8440E" w:rsidRPr="00F058C4">
        <w:rPr>
          <w:rFonts w:ascii="Calibri" w:eastAsia="Times New Roman" w:hAnsi="Calibri" w:cstheme="minorHAnsi"/>
          <w:b/>
          <w:color w:val="000000"/>
          <w:lang w:val="es-MX"/>
        </w:rPr>
        <w:t>.</w:t>
      </w:r>
    </w:p>
    <w:p w14:paraId="6E2AC11D" w14:textId="793F61F4" w:rsidR="00D8440E" w:rsidRPr="00F058C4" w:rsidRDefault="00D8440E" w:rsidP="000428A1">
      <w:pPr>
        <w:pBdr>
          <w:top w:val="nil"/>
          <w:left w:val="nil"/>
          <w:bottom w:val="nil"/>
          <w:right w:val="nil"/>
          <w:between w:val="nil"/>
        </w:pBdr>
        <w:spacing w:after="0" w:line="240" w:lineRule="auto"/>
        <w:jc w:val="both"/>
        <w:rPr>
          <w:rFonts w:ascii="Calibri" w:eastAsia="Times New Roman" w:hAnsi="Calibri" w:cstheme="minorHAnsi"/>
          <w:b/>
          <w:color w:val="000000"/>
          <w:lang w:val="es-MX"/>
        </w:rPr>
      </w:pPr>
    </w:p>
    <w:p w14:paraId="0F9DC78D" w14:textId="66F98E70" w:rsidR="00D8440E" w:rsidRPr="00F058C4" w:rsidRDefault="00D8440E" w:rsidP="000428A1">
      <w:pPr>
        <w:pBdr>
          <w:top w:val="nil"/>
          <w:left w:val="nil"/>
          <w:bottom w:val="nil"/>
          <w:right w:val="nil"/>
          <w:between w:val="nil"/>
        </w:pBdr>
        <w:spacing w:after="0" w:line="240" w:lineRule="auto"/>
        <w:jc w:val="both"/>
        <w:rPr>
          <w:rFonts w:ascii="Calibri" w:eastAsia="Times New Roman" w:hAnsi="Calibri" w:cstheme="minorHAnsi"/>
          <w:color w:val="000000"/>
          <w:lang w:val="es-MX"/>
        </w:rPr>
      </w:pPr>
      <w:r w:rsidRPr="00F058C4">
        <w:rPr>
          <w:rFonts w:ascii="Calibri" w:eastAsia="Times New Roman" w:hAnsi="Calibri" w:cstheme="minorHAnsi"/>
          <w:color w:val="000000"/>
          <w:lang w:val="es-MX"/>
        </w:rPr>
        <w:lastRenderedPageBreak/>
        <w:t>El respeto del derecho a la participación en procesos legislativos y trámites administrativos de acuerdo a la Opinión del Comité de los Derechos del Niño de la ONU respecto al artículo 4.3 de la Convención, es un parámetro fundamental para observar la eliminación del edadismo en una sociedad y sus instituciones.</w:t>
      </w:r>
    </w:p>
    <w:p w14:paraId="5D804EAC" w14:textId="351C1F29" w:rsidR="00DD06F9" w:rsidRPr="00F058C4" w:rsidRDefault="00DD06F9" w:rsidP="00DD06F9">
      <w:pPr>
        <w:pBdr>
          <w:top w:val="nil"/>
          <w:left w:val="nil"/>
          <w:bottom w:val="nil"/>
          <w:right w:val="nil"/>
          <w:between w:val="nil"/>
        </w:pBdr>
        <w:spacing w:after="0" w:line="240" w:lineRule="auto"/>
        <w:jc w:val="both"/>
        <w:rPr>
          <w:rFonts w:ascii="Calibri" w:eastAsia="Times New Roman" w:hAnsi="Calibri" w:cstheme="minorHAnsi"/>
          <w:color w:val="000000"/>
          <w:lang w:val="es-MX"/>
        </w:rPr>
      </w:pPr>
    </w:p>
    <w:p w14:paraId="29911A6A" w14:textId="77777777" w:rsidR="00FC156C" w:rsidRPr="00F058C4" w:rsidRDefault="00FC156C" w:rsidP="00FC156C">
      <w:pPr>
        <w:autoSpaceDE w:val="0"/>
        <w:autoSpaceDN w:val="0"/>
        <w:adjustRightInd w:val="0"/>
        <w:spacing w:after="0" w:line="240" w:lineRule="auto"/>
        <w:rPr>
          <w:rFonts w:ascii="Calibri" w:eastAsia="Arial" w:hAnsi="Calibri" w:cstheme="minorHAnsi"/>
          <w:b/>
          <w:u w:val="single"/>
          <w:lang w:val="es-MX" w:eastAsia="zh-CN"/>
        </w:rPr>
      </w:pPr>
      <w:r w:rsidRPr="00F058C4">
        <w:rPr>
          <w:rFonts w:ascii="Calibri" w:eastAsia="Arial" w:hAnsi="Calibri" w:cstheme="minorHAnsi"/>
          <w:b/>
          <w:u w:val="single"/>
          <w:lang w:val="es-MX" w:eastAsia="zh-CN"/>
        </w:rPr>
        <w:t>Relación de anexos</w:t>
      </w:r>
    </w:p>
    <w:p w14:paraId="3EAF291A" w14:textId="77777777" w:rsidR="00FC156C" w:rsidRPr="00F058C4" w:rsidRDefault="00FC156C" w:rsidP="00FC156C">
      <w:pPr>
        <w:autoSpaceDE w:val="0"/>
        <w:autoSpaceDN w:val="0"/>
        <w:adjustRightInd w:val="0"/>
        <w:spacing w:after="0" w:line="240" w:lineRule="auto"/>
        <w:rPr>
          <w:rFonts w:ascii="Calibri" w:eastAsia="Arial" w:hAnsi="Calibri" w:cstheme="minorHAnsi"/>
          <w:b/>
          <w:smallCaps/>
          <w:u w:val="single"/>
          <w:lang w:val="es-ES" w:eastAsia="zh-CN"/>
        </w:rPr>
      </w:pPr>
    </w:p>
    <w:p w14:paraId="5DFE5138" w14:textId="77777777" w:rsidR="0027683D" w:rsidRPr="00F058C4" w:rsidRDefault="00FC156C" w:rsidP="00671966">
      <w:pPr>
        <w:jc w:val="both"/>
        <w:rPr>
          <w:rFonts w:ascii="Calibri" w:eastAsia="Times New Roman" w:hAnsi="Calibri" w:cstheme="minorHAnsi"/>
          <w:color w:val="000000"/>
          <w:lang w:val="es-ES"/>
        </w:rPr>
      </w:pPr>
      <w:r w:rsidRPr="00F058C4">
        <w:rPr>
          <w:rFonts w:ascii="Calibri" w:eastAsia="Times New Roman" w:hAnsi="Calibri" w:cstheme="minorHAnsi"/>
          <w:b/>
          <w:color w:val="000000"/>
          <w:lang w:val="es-ES"/>
        </w:rPr>
        <w:t xml:space="preserve">Anexo 1- </w:t>
      </w:r>
      <w:r w:rsidR="005D5A38" w:rsidRPr="00F058C4">
        <w:rPr>
          <w:rFonts w:ascii="Calibri" w:eastAsia="Times New Roman" w:hAnsi="Calibri" w:cstheme="minorHAnsi"/>
          <w:color w:val="000000"/>
          <w:lang w:val="es-ES"/>
        </w:rPr>
        <w:t xml:space="preserve">Ciudad Defensora – Revista de Derechos Humanos </w:t>
      </w:r>
      <w:r w:rsidR="001E7E5F" w:rsidRPr="00F058C4">
        <w:rPr>
          <w:rFonts w:ascii="Calibri" w:eastAsia="Times New Roman" w:hAnsi="Calibri" w:cstheme="minorHAnsi"/>
          <w:color w:val="000000"/>
          <w:lang w:val="es-ES"/>
        </w:rPr>
        <w:t xml:space="preserve">(Número. 9, Año 1, Noviembre-Diciembre 2020) </w:t>
      </w:r>
      <w:r w:rsidR="005D5A38" w:rsidRPr="00F058C4">
        <w:rPr>
          <w:rFonts w:ascii="Calibri" w:eastAsia="Times New Roman" w:hAnsi="Calibri" w:cstheme="minorHAnsi"/>
          <w:color w:val="000000"/>
          <w:lang w:val="es-ES"/>
        </w:rPr>
        <w:t>de la Comisión de Derechos Humanos de la Ciudad de México</w:t>
      </w:r>
      <w:r w:rsidR="001E7E5F" w:rsidRPr="00F058C4">
        <w:rPr>
          <w:rFonts w:ascii="Calibri" w:eastAsia="Times New Roman" w:hAnsi="Calibri" w:cstheme="minorHAnsi"/>
          <w:color w:val="000000"/>
          <w:lang w:val="es-ES"/>
        </w:rPr>
        <w:t>.</w:t>
      </w:r>
      <w:r w:rsidR="0027683D" w:rsidRPr="00F058C4">
        <w:rPr>
          <w:rFonts w:ascii="Calibri" w:eastAsia="Times New Roman" w:hAnsi="Calibri" w:cstheme="minorHAnsi"/>
          <w:color w:val="000000"/>
          <w:lang w:val="es-ES"/>
        </w:rPr>
        <w:t xml:space="preserve"> </w:t>
      </w:r>
    </w:p>
    <w:p w14:paraId="55E76817" w14:textId="40338A73" w:rsidR="00FC156C" w:rsidRPr="00F058C4" w:rsidRDefault="0027683D" w:rsidP="00671966">
      <w:pPr>
        <w:jc w:val="both"/>
        <w:rPr>
          <w:rFonts w:ascii="Calibri" w:eastAsia="Times New Roman" w:hAnsi="Calibri" w:cstheme="minorHAnsi"/>
          <w:color w:val="000000"/>
          <w:lang w:val="es-ES"/>
        </w:rPr>
      </w:pPr>
      <w:r w:rsidRPr="00F058C4">
        <w:rPr>
          <w:rFonts w:ascii="Calibri" w:eastAsia="Times New Roman" w:hAnsi="Calibri" w:cstheme="minorHAnsi"/>
          <w:b/>
          <w:color w:val="000000"/>
          <w:lang w:val="es-ES"/>
        </w:rPr>
        <w:t xml:space="preserve">Anexo 2- </w:t>
      </w:r>
      <w:r w:rsidRPr="00F058C4">
        <w:rPr>
          <w:rFonts w:ascii="Calibri" w:eastAsia="Times New Roman" w:hAnsi="Calibri" w:cstheme="minorHAnsi"/>
          <w:color w:val="000000"/>
          <w:lang w:val="es-ES"/>
        </w:rPr>
        <w:t>Informe especial sobre la situación de los derechos humanos de las personas adultas mayores institucionalizadas en el Distrito Federal.</w:t>
      </w:r>
    </w:p>
    <w:p w14:paraId="0633CE72" w14:textId="1350C6B9" w:rsidR="00824D3E" w:rsidRPr="00F058C4" w:rsidRDefault="00556C38" w:rsidP="009E54BF">
      <w:pPr>
        <w:ind w:left="720" w:hanging="720"/>
        <w:jc w:val="both"/>
        <w:rPr>
          <w:rFonts w:ascii="Calibri" w:eastAsia="Times New Roman" w:hAnsi="Calibri" w:cstheme="minorHAnsi"/>
          <w:color w:val="000000"/>
          <w:lang w:val="es-ES"/>
        </w:rPr>
      </w:pPr>
      <w:r w:rsidRPr="00F058C4">
        <w:rPr>
          <w:rFonts w:ascii="Calibri" w:eastAsia="Times New Roman" w:hAnsi="Calibri" w:cstheme="minorHAnsi"/>
          <w:b/>
          <w:color w:val="000000"/>
          <w:lang w:val="es-ES"/>
        </w:rPr>
        <w:t xml:space="preserve">Anexo </w:t>
      </w:r>
      <w:r w:rsidR="00DA1C5C" w:rsidRPr="00F058C4">
        <w:rPr>
          <w:rFonts w:ascii="Calibri" w:eastAsia="Times New Roman" w:hAnsi="Calibri" w:cstheme="minorHAnsi"/>
          <w:b/>
          <w:color w:val="000000"/>
          <w:lang w:val="es-ES"/>
        </w:rPr>
        <w:t>3</w:t>
      </w:r>
      <w:r w:rsidRPr="00F058C4">
        <w:rPr>
          <w:rFonts w:ascii="Calibri" w:eastAsia="Times New Roman" w:hAnsi="Calibri" w:cstheme="minorHAnsi"/>
          <w:color w:val="000000"/>
          <w:lang w:val="es-ES"/>
        </w:rPr>
        <w:t xml:space="preserve">- </w:t>
      </w:r>
      <w:r w:rsidR="004A1705" w:rsidRPr="00F058C4">
        <w:rPr>
          <w:rFonts w:ascii="Calibri" w:eastAsia="Times New Roman" w:hAnsi="Calibri" w:cstheme="minorHAnsi"/>
          <w:color w:val="000000"/>
          <w:lang w:val="es-ES"/>
        </w:rPr>
        <w:t>Informe sobre Interacciones entre adolescentes y policías en la Ciudad de México.</w:t>
      </w:r>
    </w:p>
    <w:p w14:paraId="1F4BEC77" w14:textId="012CA998" w:rsidR="00B104A0" w:rsidRPr="00F058C4" w:rsidRDefault="00B104A0" w:rsidP="00671966">
      <w:pPr>
        <w:jc w:val="both"/>
        <w:rPr>
          <w:rFonts w:ascii="Calibri" w:eastAsia="Times New Roman" w:hAnsi="Calibri" w:cstheme="minorHAnsi"/>
          <w:color w:val="000000"/>
          <w:lang w:val="es-ES"/>
        </w:rPr>
      </w:pPr>
      <w:r w:rsidRPr="00F058C4">
        <w:rPr>
          <w:rFonts w:ascii="Calibri" w:eastAsia="Times New Roman" w:hAnsi="Calibri" w:cstheme="minorHAnsi"/>
          <w:b/>
          <w:color w:val="000000"/>
          <w:lang w:val="es-ES"/>
        </w:rPr>
        <w:t xml:space="preserve">Anexo </w:t>
      </w:r>
      <w:r w:rsidR="00DA1C5C" w:rsidRPr="00F058C4">
        <w:rPr>
          <w:rFonts w:ascii="Calibri" w:eastAsia="Times New Roman" w:hAnsi="Calibri" w:cstheme="minorHAnsi"/>
          <w:b/>
          <w:color w:val="000000"/>
          <w:lang w:val="es-ES"/>
        </w:rPr>
        <w:t>4</w:t>
      </w:r>
      <w:r w:rsidRPr="00F058C4">
        <w:rPr>
          <w:rFonts w:ascii="Calibri" w:eastAsia="Times New Roman" w:hAnsi="Calibri" w:cstheme="minorHAnsi"/>
          <w:color w:val="000000"/>
          <w:lang w:val="es-ES"/>
        </w:rPr>
        <w:t xml:space="preserve">- </w:t>
      </w:r>
      <w:r w:rsidR="004A1705" w:rsidRPr="00F058C4">
        <w:rPr>
          <w:rFonts w:ascii="Calibri" w:eastAsia="Times New Roman" w:hAnsi="Calibri" w:cstheme="minorHAnsi"/>
          <w:color w:val="000000"/>
          <w:lang w:val="es-ES"/>
        </w:rPr>
        <w:t>Derecho a la vida independiente e inclusión en la comunidad de las personas con discapacidad en la Ciudad de México.</w:t>
      </w:r>
    </w:p>
    <w:p w14:paraId="1F6BFF27" w14:textId="350857D7" w:rsidR="00FC5CDC" w:rsidRPr="00F058C4" w:rsidRDefault="00FC5CDC" w:rsidP="00671966">
      <w:pPr>
        <w:jc w:val="both"/>
        <w:rPr>
          <w:rFonts w:ascii="Calibri" w:eastAsia="Times New Roman" w:hAnsi="Calibri" w:cstheme="minorHAnsi"/>
          <w:color w:val="000000"/>
          <w:lang w:val="es-ES"/>
        </w:rPr>
      </w:pPr>
      <w:r w:rsidRPr="00F058C4">
        <w:rPr>
          <w:rFonts w:ascii="Calibri" w:eastAsia="Times New Roman" w:hAnsi="Calibri" w:cstheme="minorHAnsi"/>
          <w:b/>
          <w:color w:val="000000"/>
          <w:lang w:val="es-ES"/>
        </w:rPr>
        <w:t xml:space="preserve">Anexo </w:t>
      </w:r>
      <w:r w:rsidR="00DA1C5C" w:rsidRPr="00F058C4">
        <w:rPr>
          <w:rFonts w:ascii="Calibri" w:eastAsia="Times New Roman" w:hAnsi="Calibri" w:cstheme="minorHAnsi"/>
          <w:b/>
          <w:color w:val="000000"/>
          <w:lang w:val="es-ES"/>
        </w:rPr>
        <w:t>5</w:t>
      </w:r>
      <w:r w:rsidRPr="00F058C4">
        <w:rPr>
          <w:rFonts w:ascii="Calibri" w:eastAsia="Times New Roman" w:hAnsi="Calibri" w:cstheme="minorHAnsi"/>
          <w:color w:val="000000"/>
          <w:lang w:val="es-ES"/>
        </w:rPr>
        <w:t>- Recomendación 01/2020 sobre violaciones</w:t>
      </w:r>
      <w:r w:rsidRPr="00F058C4">
        <w:rPr>
          <w:rFonts w:ascii="Calibri" w:hAnsi="Calibri"/>
          <w:lang w:val="es-MX"/>
        </w:rPr>
        <w:t xml:space="preserve"> </w:t>
      </w:r>
      <w:r w:rsidRPr="00F058C4">
        <w:rPr>
          <w:rFonts w:ascii="Calibri" w:eastAsia="Times New Roman" w:hAnsi="Calibri" w:cstheme="minorHAnsi"/>
          <w:color w:val="000000"/>
          <w:lang w:val="es-ES"/>
        </w:rPr>
        <w:t>al derecho a la seguridad jurídica de la tenencia de la vivienda en perjuicio de mujeres mayores y otras personas pertenecientes a grupos de atención prioritaria.</w:t>
      </w:r>
    </w:p>
    <w:p w14:paraId="0AF8B661" w14:textId="5FBF62F1" w:rsidR="00A513CA" w:rsidRPr="00F058C4" w:rsidRDefault="00A513CA" w:rsidP="00671966">
      <w:pPr>
        <w:jc w:val="both"/>
        <w:rPr>
          <w:rFonts w:ascii="Calibri" w:eastAsia="Times New Roman" w:hAnsi="Calibri" w:cstheme="minorHAnsi"/>
          <w:color w:val="000000"/>
          <w:lang w:val="es-ES"/>
        </w:rPr>
      </w:pPr>
      <w:r w:rsidRPr="00F058C4">
        <w:rPr>
          <w:rFonts w:ascii="Calibri" w:eastAsia="Times New Roman" w:hAnsi="Calibri" w:cstheme="minorHAnsi"/>
          <w:b/>
          <w:color w:val="000000"/>
          <w:lang w:val="es-ES"/>
        </w:rPr>
        <w:t xml:space="preserve">Anexo </w:t>
      </w:r>
      <w:r w:rsidR="00DA1C5C" w:rsidRPr="00F058C4">
        <w:rPr>
          <w:rFonts w:ascii="Calibri" w:eastAsia="Times New Roman" w:hAnsi="Calibri" w:cstheme="minorHAnsi"/>
          <w:b/>
          <w:color w:val="000000"/>
          <w:lang w:val="es-ES"/>
        </w:rPr>
        <w:t>6</w:t>
      </w:r>
      <w:r w:rsidRPr="00F058C4">
        <w:rPr>
          <w:rFonts w:ascii="Calibri" w:eastAsia="Times New Roman" w:hAnsi="Calibri" w:cstheme="minorHAnsi"/>
          <w:color w:val="000000"/>
          <w:lang w:val="es-ES"/>
        </w:rPr>
        <w:t>- Recomendación 11/2010 sobre falta de accesibilidad y seguridad en el Centro de Transferencia Modal Pantitlán.</w:t>
      </w:r>
    </w:p>
    <w:p w14:paraId="17819AD1" w14:textId="5AB8623C" w:rsidR="00A513CA" w:rsidRPr="00F058C4" w:rsidRDefault="00A513CA" w:rsidP="00671966">
      <w:pPr>
        <w:jc w:val="both"/>
        <w:rPr>
          <w:rFonts w:ascii="Calibri" w:eastAsia="Times New Roman" w:hAnsi="Calibri" w:cstheme="minorHAnsi"/>
          <w:color w:val="000000"/>
          <w:lang w:val="es-ES"/>
        </w:rPr>
      </w:pPr>
      <w:r w:rsidRPr="00F058C4">
        <w:rPr>
          <w:rFonts w:ascii="Calibri" w:eastAsia="Times New Roman" w:hAnsi="Calibri" w:cstheme="minorHAnsi"/>
          <w:b/>
          <w:color w:val="000000"/>
          <w:lang w:val="es-ES"/>
        </w:rPr>
        <w:t xml:space="preserve">Anexo </w:t>
      </w:r>
      <w:r w:rsidR="00DA1C5C" w:rsidRPr="00F058C4">
        <w:rPr>
          <w:rFonts w:ascii="Calibri" w:eastAsia="Times New Roman" w:hAnsi="Calibri" w:cstheme="minorHAnsi"/>
          <w:b/>
          <w:color w:val="000000"/>
          <w:lang w:val="es-ES"/>
        </w:rPr>
        <w:t>7</w:t>
      </w:r>
      <w:r w:rsidRPr="00F058C4">
        <w:rPr>
          <w:rFonts w:ascii="Calibri" w:eastAsia="Times New Roman" w:hAnsi="Calibri" w:cstheme="minorHAnsi"/>
          <w:color w:val="000000"/>
          <w:lang w:val="es-ES"/>
        </w:rPr>
        <w:t>- Recomendación 10/2019 sobre la omisión de la Subsecretaría del Sistema Penitenciario para cumplir con la figura de la prisión domiciliaria establecida en el artículo 75 Bis del Código Penal para el Distrito Federal, que vincula derechos de las personas adultas mayores y personas con precario estado de salud permanente.</w:t>
      </w:r>
    </w:p>
    <w:p w14:paraId="4C7D5CF4" w14:textId="2A313F79" w:rsidR="00F37187" w:rsidRPr="00F058C4" w:rsidRDefault="00F37187" w:rsidP="00671966">
      <w:pPr>
        <w:jc w:val="both"/>
        <w:rPr>
          <w:rFonts w:ascii="Calibri" w:eastAsia="Times New Roman" w:hAnsi="Calibri" w:cstheme="minorHAnsi"/>
          <w:color w:val="000000"/>
          <w:lang w:val="es-ES"/>
        </w:rPr>
      </w:pPr>
      <w:r w:rsidRPr="00F058C4">
        <w:rPr>
          <w:rFonts w:ascii="Calibri" w:eastAsia="Times New Roman" w:hAnsi="Calibri" w:cstheme="minorHAnsi"/>
          <w:b/>
          <w:color w:val="000000"/>
          <w:lang w:val="es-ES"/>
        </w:rPr>
        <w:t xml:space="preserve">Anexo </w:t>
      </w:r>
      <w:r w:rsidR="00DA1C5C" w:rsidRPr="00F058C4">
        <w:rPr>
          <w:rFonts w:ascii="Calibri" w:eastAsia="Times New Roman" w:hAnsi="Calibri" w:cstheme="minorHAnsi"/>
          <w:b/>
          <w:color w:val="000000"/>
          <w:lang w:val="es-ES"/>
        </w:rPr>
        <w:t>8</w:t>
      </w:r>
      <w:r w:rsidRPr="00F058C4">
        <w:rPr>
          <w:rFonts w:ascii="Calibri" w:eastAsia="Times New Roman" w:hAnsi="Calibri" w:cstheme="minorHAnsi"/>
          <w:color w:val="000000"/>
          <w:lang w:val="es-ES"/>
        </w:rPr>
        <w:t>- Recomendación 24/2009 sobre discriminación por la falta de accesibilidad universal en los inmuebles públicos, medios de transporte y demás espacios y entorno públicos de la Ciudad de México.</w:t>
      </w:r>
    </w:p>
    <w:p w14:paraId="5BC4F9EA" w14:textId="79C99AEC" w:rsidR="003E7B59" w:rsidRPr="00F058C4" w:rsidRDefault="00284EAF" w:rsidP="00242AB5">
      <w:pPr>
        <w:jc w:val="both"/>
        <w:rPr>
          <w:rFonts w:ascii="Calibri" w:eastAsia="Times New Roman" w:hAnsi="Calibri" w:cstheme="minorHAnsi"/>
          <w:color w:val="000000"/>
          <w:lang w:val="es-ES"/>
        </w:rPr>
      </w:pPr>
      <w:r w:rsidRPr="00F058C4">
        <w:rPr>
          <w:rFonts w:ascii="Calibri" w:eastAsia="Times New Roman" w:hAnsi="Calibri" w:cstheme="minorHAnsi"/>
          <w:b/>
          <w:color w:val="000000"/>
          <w:lang w:val="es-ES"/>
        </w:rPr>
        <w:t xml:space="preserve">Anexo </w:t>
      </w:r>
      <w:r w:rsidR="00DA1C5C" w:rsidRPr="00F058C4">
        <w:rPr>
          <w:rFonts w:ascii="Calibri" w:eastAsia="Times New Roman" w:hAnsi="Calibri" w:cstheme="minorHAnsi"/>
          <w:b/>
          <w:color w:val="000000"/>
          <w:lang w:val="es-ES"/>
        </w:rPr>
        <w:t>9</w:t>
      </w:r>
      <w:r w:rsidRPr="00F058C4">
        <w:rPr>
          <w:rFonts w:ascii="Calibri" w:eastAsia="Times New Roman" w:hAnsi="Calibri" w:cstheme="minorHAnsi"/>
          <w:color w:val="000000"/>
          <w:lang w:val="es-ES"/>
        </w:rPr>
        <w:t>- Recomendació</w:t>
      </w:r>
      <w:r w:rsidR="00426B60" w:rsidRPr="00F058C4">
        <w:rPr>
          <w:rFonts w:ascii="Calibri" w:eastAsia="Times New Roman" w:hAnsi="Calibri" w:cstheme="minorHAnsi"/>
          <w:color w:val="000000"/>
          <w:lang w:val="es-ES"/>
        </w:rPr>
        <w:t>n 10/1994</w:t>
      </w:r>
      <w:r w:rsidR="00426B60" w:rsidRPr="00F058C4">
        <w:rPr>
          <w:rFonts w:ascii="Calibri" w:hAnsi="Calibri"/>
          <w:lang w:val="es-MX"/>
        </w:rPr>
        <w:t xml:space="preserve"> </w:t>
      </w:r>
      <w:r w:rsidR="00426B60" w:rsidRPr="00F058C4">
        <w:rPr>
          <w:rFonts w:ascii="Calibri" w:eastAsia="Times New Roman" w:hAnsi="Calibri" w:cstheme="minorHAnsi"/>
          <w:color w:val="000000"/>
          <w:lang w:val="es-ES"/>
        </w:rPr>
        <w:t>sobre una anciana víctima de la negligencia y la ignorancia de servidores públicos que tienen a su cargo la debida aplicación de normas jurídicas</w:t>
      </w:r>
      <w:r w:rsidR="008B4525" w:rsidRPr="00F058C4">
        <w:rPr>
          <w:rFonts w:ascii="Calibri" w:eastAsia="Times New Roman" w:hAnsi="Calibri" w:cstheme="minorHAnsi"/>
          <w:color w:val="000000"/>
          <w:lang w:val="es-ES"/>
        </w:rPr>
        <w:t>.</w:t>
      </w:r>
    </w:p>
    <w:p w14:paraId="46495987" w14:textId="1A477390" w:rsidR="0087464F" w:rsidRPr="00F058C4" w:rsidRDefault="0087464F" w:rsidP="00242AB5">
      <w:pPr>
        <w:jc w:val="both"/>
        <w:rPr>
          <w:rFonts w:ascii="Calibri" w:eastAsia="Times New Roman" w:hAnsi="Calibri" w:cstheme="minorHAnsi"/>
          <w:color w:val="000000"/>
          <w:lang w:val="es-ES"/>
        </w:rPr>
      </w:pPr>
      <w:r w:rsidRPr="00F058C4">
        <w:rPr>
          <w:rFonts w:ascii="Calibri" w:eastAsia="Times New Roman" w:hAnsi="Calibri" w:cstheme="minorHAnsi"/>
          <w:b/>
          <w:color w:val="000000"/>
          <w:lang w:val="es-ES"/>
        </w:rPr>
        <w:t>Anexo 10</w:t>
      </w:r>
      <w:r w:rsidRPr="00F058C4">
        <w:rPr>
          <w:rFonts w:ascii="Calibri" w:eastAsia="Times New Roman" w:hAnsi="Calibri" w:cstheme="minorHAnsi"/>
          <w:color w:val="000000"/>
          <w:lang w:val="es-ES"/>
        </w:rPr>
        <w:t xml:space="preserve">- </w:t>
      </w:r>
      <w:r w:rsidRPr="00F058C4">
        <w:rPr>
          <w:rFonts w:ascii="Calibri" w:eastAsia="Times New Roman" w:hAnsi="Calibri" w:cstheme="minorHAnsi"/>
          <w:i/>
          <w:color w:val="000000"/>
          <w:lang w:val="es-ES"/>
        </w:rPr>
        <w:t>Amicus curiae</w:t>
      </w:r>
      <w:r w:rsidRPr="00F058C4">
        <w:rPr>
          <w:rFonts w:ascii="Calibri" w:eastAsia="Times New Roman" w:hAnsi="Calibri" w:cstheme="minorHAnsi"/>
          <w:color w:val="000000"/>
          <w:lang w:val="es-ES"/>
        </w:rPr>
        <w:t xml:space="preserve"> Infancias Trans. CDHCM.</w:t>
      </w:r>
    </w:p>
    <w:sectPr w:rsidR="0087464F" w:rsidRPr="00F058C4" w:rsidSect="003E7B59">
      <w:headerReference w:type="default" r:id="rId33"/>
      <w:footerReference w:type="default" r:id="rId34"/>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89F8D" w14:textId="77777777" w:rsidR="00475F70" w:rsidRDefault="00475F70" w:rsidP="001F72BE">
      <w:pPr>
        <w:spacing w:after="0" w:line="240" w:lineRule="auto"/>
      </w:pPr>
      <w:r>
        <w:separator/>
      </w:r>
    </w:p>
  </w:endnote>
  <w:endnote w:type="continuationSeparator" w:id="0">
    <w:p w14:paraId="7D6412F3" w14:textId="77777777" w:rsidR="00475F70" w:rsidRDefault="00475F70" w:rsidP="001F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844481"/>
      <w:docPartObj>
        <w:docPartGallery w:val="Page Numbers (Bottom of Page)"/>
        <w:docPartUnique/>
      </w:docPartObj>
    </w:sdtPr>
    <w:sdtEndPr/>
    <w:sdtContent>
      <w:p w14:paraId="498DCB25" w14:textId="0FE6709B" w:rsidR="00D226D9" w:rsidRDefault="00D226D9">
        <w:pPr>
          <w:pStyle w:val="Piedepgina"/>
          <w:jc w:val="center"/>
        </w:pPr>
        <w:r>
          <w:fldChar w:fldCharType="begin"/>
        </w:r>
        <w:r>
          <w:instrText>PAGE   \* MERGEFORMAT</w:instrText>
        </w:r>
        <w:r>
          <w:fldChar w:fldCharType="separate"/>
        </w:r>
        <w:r w:rsidR="00F058C4" w:rsidRPr="00F058C4">
          <w:rPr>
            <w:noProof/>
            <w:lang w:val="es-ES"/>
          </w:rPr>
          <w:t>8</w:t>
        </w:r>
        <w:r>
          <w:fldChar w:fldCharType="end"/>
        </w:r>
      </w:p>
    </w:sdtContent>
  </w:sdt>
  <w:p w14:paraId="7994B931" w14:textId="77777777" w:rsidR="00D226D9" w:rsidRDefault="00D226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8F851" w14:textId="77777777" w:rsidR="00475F70" w:rsidRDefault="00475F70" w:rsidP="001F72BE">
      <w:pPr>
        <w:spacing w:after="0" w:line="240" w:lineRule="auto"/>
      </w:pPr>
      <w:r>
        <w:separator/>
      </w:r>
    </w:p>
  </w:footnote>
  <w:footnote w:type="continuationSeparator" w:id="0">
    <w:p w14:paraId="458F3BB0" w14:textId="77777777" w:rsidR="00475F70" w:rsidRDefault="00475F70" w:rsidP="001F72BE">
      <w:pPr>
        <w:spacing w:after="0" w:line="240" w:lineRule="auto"/>
      </w:pPr>
      <w:r>
        <w:continuationSeparator/>
      </w:r>
    </w:p>
  </w:footnote>
  <w:footnote w:id="1">
    <w:p w14:paraId="27B509C4" w14:textId="54E09EB7" w:rsidR="003E7B59" w:rsidRPr="002C6A11" w:rsidRDefault="003E7B59" w:rsidP="002C6A11">
      <w:pPr>
        <w:pStyle w:val="Textonotapie"/>
        <w:jc w:val="both"/>
        <w:rPr>
          <w:lang w:val="es-MX"/>
        </w:rPr>
      </w:pPr>
      <w:r>
        <w:rPr>
          <w:rStyle w:val="Refdenotaalpie"/>
        </w:rPr>
        <w:footnoteRef/>
      </w:r>
      <w:r w:rsidRPr="00FA4A86">
        <w:rPr>
          <w:lang w:val="es-MX"/>
        </w:rPr>
        <w:t xml:space="preserve"> </w:t>
      </w:r>
      <w:r>
        <w:rPr>
          <w:lang w:val="es-MX"/>
        </w:rPr>
        <w:t xml:space="preserve">La versión más actualizada se encuentra en el Buscador de la Consejería Jurídica del Gobierno de la Ciudad de México, la cual no permite generar </w:t>
      </w:r>
      <w:r w:rsidR="00F058C4">
        <w:rPr>
          <w:lang w:val="es-MX"/>
        </w:rPr>
        <w:t>hipervínculos</w:t>
      </w:r>
      <w:r>
        <w:rPr>
          <w:lang w:val="es-MX"/>
        </w:rPr>
        <w:t xml:space="preserve"> directos: </w:t>
      </w:r>
      <w:hyperlink r:id="rId1" w:history="1">
        <w:r w:rsidRPr="00FA4A86">
          <w:rPr>
            <w:rStyle w:val="Hipervnculo"/>
            <w:lang w:val="es-MX"/>
          </w:rPr>
          <w:t>Portal Consejería Jurídica y de Servicios Legales del DF - Dirección Ejecutiva de Justicia Cívica (cdmx.gob.mx)</w:t>
        </w:r>
      </w:hyperlink>
    </w:p>
  </w:footnote>
  <w:footnote w:id="2">
    <w:p w14:paraId="6A7385CD" w14:textId="3D1AA4D2" w:rsidR="003E7B59" w:rsidRPr="006D48BB" w:rsidRDefault="003E7B59" w:rsidP="00BF6621">
      <w:pPr>
        <w:pStyle w:val="Textonotapie"/>
        <w:jc w:val="both"/>
        <w:rPr>
          <w:lang w:val="es-MX"/>
        </w:rPr>
      </w:pPr>
      <w:r>
        <w:rPr>
          <w:rStyle w:val="Refdenotaalpie"/>
        </w:rPr>
        <w:footnoteRef/>
      </w:r>
      <w:r w:rsidRPr="00FA4A86">
        <w:rPr>
          <w:lang w:val="es-MX"/>
        </w:rPr>
        <w:t xml:space="preserve"> </w:t>
      </w:r>
      <w:r>
        <w:rPr>
          <w:lang w:val="es-MX"/>
        </w:rPr>
        <w:t xml:space="preserve">La versión más actualizada se encuentra en el Buscador de la Consejería Jurídica del Gobierno de la Ciudad de México, la cual no permite generar </w:t>
      </w:r>
      <w:r w:rsidR="00F058C4">
        <w:rPr>
          <w:lang w:val="es-MX"/>
        </w:rPr>
        <w:t>hipervínculos</w:t>
      </w:r>
      <w:r>
        <w:rPr>
          <w:lang w:val="es-MX"/>
        </w:rPr>
        <w:t xml:space="preserve"> directos: </w:t>
      </w:r>
      <w:hyperlink r:id="rId2" w:history="1">
        <w:r w:rsidRPr="00FA4A86">
          <w:rPr>
            <w:rStyle w:val="Hipervnculo"/>
            <w:lang w:val="es-MX"/>
          </w:rPr>
          <w:t>Portal Consejería Jurídica y de Servicios Legales del DF - Dirección Ejecutiva de Justicia Cívica (cdmx.gob.mx)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E67D" w14:textId="77777777" w:rsidR="003E7B59" w:rsidRDefault="003E7B59" w:rsidP="00AE26C3">
    <w:pPr>
      <w:pBdr>
        <w:top w:val="nil"/>
        <w:left w:val="nil"/>
        <w:bottom w:val="nil"/>
        <w:right w:val="nil"/>
        <w:between w:val="nil"/>
      </w:pBdr>
      <w:tabs>
        <w:tab w:val="center" w:pos="4419"/>
        <w:tab w:val="right" w:pos="8838"/>
      </w:tabs>
      <w:spacing w:after="0" w:line="240" w:lineRule="auto"/>
      <w:jc w:val="right"/>
      <w:rPr>
        <w:rFonts w:ascii="Arial" w:eastAsia="Calibri" w:hAnsi="Arial" w:cs="Times New Roman"/>
        <w:b/>
        <w:color w:val="000000"/>
        <w:sz w:val="24"/>
        <w:szCs w:val="24"/>
        <w:lang w:eastAsia="ja-JP"/>
      </w:rPr>
    </w:pPr>
    <w:r w:rsidRPr="00990300">
      <w:rPr>
        <w:rFonts w:ascii="Arial" w:eastAsia="Calibri" w:hAnsi="Arial" w:cs="Times New Roman"/>
        <w:noProof/>
        <w:sz w:val="24"/>
        <w:szCs w:val="24"/>
        <w:lang w:val="es-MX" w:eastAsia="es-MX"/>
      </w:rPr>
      <w:drawing>
        <wp:anchor distT="0" distB="0" distL="114300" distR="114300" simplePos="0" relativeHeight="251659264" behindDoc="1" locked="0" layoutInCell="1" allowOverlap="1" wp14:anchorId="0A702AF5" wp14:editId="0C2CA31E">
          <wp:simplePos x="0" y="0"/>
          <wp:positionH relativeFrom="margin">
            <wp:align>left</wp:align>
          </wp:positionH>
          <wp:positionV relativeFrom="paragraph">
            <wp:posOffset>-79466</wp:posOffset>
          </wp:positionV>
          <wp:extent cx="990600" cy="990600"/>
          <wp:effectExtent l="0" t="0" r="0" b="0"/>
          <wp:wrapThrough wrapText="bothSides">
            <wp:wrapPolygon edited="0">
              <wp:start x="6646" y="0"/>
              <wp:lineTo x="4154" y="1246"/>
              <wp:lineTo x="0" y="5400"/>
              <wp:lineTo x="0" y="15785"/>
              <wp:lineTo x="4154" y="19938"/>
              <wp:lineTo x="7062" y="21185"/>
              <wp:lineTo x="14123" y="21185"/>
              <wp:lineTo x="17031" y="19938"/>
              <wp:lineTo x="21185" y="15785"/>
              <wp:lineTo x="21185" y="5400"/>
              <wp:lineTo x="17031" y="1246"/>
              <wp:lineTo x="14538" y="0"/>
              <wp:lineTo x="6646" y="0"/>
            </wp:wrapPolygon>
          </wp:wrapThrough>
          <wp:docPr id="1" name="Imagen 1" descr="C:\Users\David Adrian\AppData\Local\Microsoft\Windows\INetCache\Content.Word\Logosímbolo CDH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 Adrian\AppData\Local\Microsoft\Windows\INetCache\Content.Word\Logosímbolo CDHC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71CF4" w14:textId="77777777" w:rsidR="003E7B59" w:rsidRPr="001D42AA" w:rsidRDefault="003E7B59" w:rsidP="00AE26C3">
    <w:pPr>
      <w:pBdr>
        <w:top w:val="nil"/>
        <w:left w:val="nil"/>
        <w:bottom w:val="nil"/>
        <w:right w:val="nil"/>
        <w:between w:val="nil"/>
      </w:pBdr>
      <w:tabs>
        <w:tab w:val="center" w:pos="4419"/>
        <w:tab w:val="right" w:pos="8838"/>
      </w:tabs>
      <w:spacing w:after="0" w:line="240" w:lineRule="auto"/>
      <w:contextualSpacing/>
      <w:jc w:val="right"/>
      <w:rPr>
        <w:rFonts w:ascii="Arial" w:eastAsia="Calibri" w:hAnsi="Arial" w:cs="Times New Roman"/>
        <w:b/>
        <w:lang w:val="es-MX" w:eastAsia="ja-JP"/>
      </w:rPr>
    </w:pPr>
    <w:r w:rsidRPr="001D42AA">
      <w:rPr>
        <w:rFonts w:ascii="Arial" w:eastAsia="Calibri" w:hAnsi="Arial" w:cs="Times New Roman"/>
        <w:b/>
        <w:lang w:val="es-MX" w:eastAsia="ja-JP"/>
      </w:rPr>
      <w:t>COMISIÓN DE DERECHOS HUMANOS DE LA CIUDAD DE MÉXICO</w:t>
    </w:r>
  </w:p>
  <w:p w14:paraId="344EAAC9" w14:textId="77777777" w:rsidR="003E7B59" w:rsidRPr="001D42AA" w:rsidRDefault="003E7B59" w:rsidP="00AE26C3">
    <w:pPr>
      <w:pBdr>
        <w:top w:val="nil"/>
        <w:left w:val="nil"/>
        <w:bottom w:val="nil"/>
        <w:right w:val="nil"/>
        <w:between w:val="nil"/>
      </w:pBdr>
      <w:tabs>
        <w:tab w:val="center" w:pos="4419"/>
        <w:tab w:val="right" w:pos="8838"/>
      </w:tabs>
      <w:spacing w:after="0" w:line="240" w:lineRule="auto"/>
      <w:contextualSpacing/>
      <w:jc w:val="right"/>
      <w:rPr>
        <w:rFonts w:ascii="Arial" w:eastAsia="Calibri" w:hAnsi="Arial" w:cs="Times New Roman"/>
        <w:b/>
        <w:smallCaps/>
        <w:sz w:val="24"/>
        <w:szCs w:val="24"/>
        <w:lang w:val="es-MX" w:eastAsia="ja-JP"/>
      </w:rPr>
    </w:pPr>
  </w:p>
  <w:p w14:paraId="48FABB4F" w14:textId="53EDEFD8" w:rsidR="003E7B59" w:rsidRDefault="003E7B59" w:rsidP="00AE26C3">
    <w:pPr>
      <w:spacing w:after="0" w:line="240" w:lineRule="auto"/>
      <w:contextualSpacing/>
      <w:jc w:val="right"/>
      <w:rPr>
        <w:rFonts w:ascii="Arial Narrow" w:hAnsi="Arial Narrow"/>
        <w:b/>
        <w:smallCaps/>
        <w:sz w:val="24"/>
        <w:lang w:val="es-MX"/>
      </w:rPr>
    </w:pPr>
    <w:r w:rsidRPr="001D42AA">
      <w:rPr>
        <w:rFonts w:ascii="Arial Narrow" w:hAnsi="Arial Narrow"/>
        <w:b/>
        <w:smallCaps/>
        <w:sz w:val="24"/>
        <w:lang w:val="es-MX"/>
      </w:rPr>
      <w:t xml:space="preserve">Insumo dirigido </w:t>
    </w:r>
    <w:r>
      <w:rPr>
        <w:rFonts w:ascii="Arial Narrow" w:hAnsi="Arial Narrow"/>
        <w:b/>
        <w:smallCaps/>
        <w:sz w:val="24"/>
        <w:lang w:val="es-MX"/>
      </w:rPr>
      <w:t>a la Experta Independiente sobre el Disfrute de Todos los Derechos Humanos por las Personas de Edad</w:t>
    </w:r>
  </w:p>
  <w:p w14:paraId="4E32E588" w14:textId="2F18FCF4" w:rsidR="003E7B59" w:rsidRPr="00AE26C3" w:rsidRDefault="003E7B59" w:rsidP="00AE26C3">
    <w:pPr>
      <w:spacing w:after="0" w:line="240" w:lineRule="auto"/>
      <w:contextualSpacing/>
      <w:jc w:val="right"/>
      <w:rPr>
        <w:rFonts w:ascii="Arial Narrow" w:hAnsi="Arial Narrow"/>
        <w:b/>
        <w:smallCaps/>
        <w:sz w:val="24"/>
        <w:lang w:val="es-MX"/>
      </w:rPr>
    </w:pPr>
    <w:r>
      <w:rPr>
        <w:rFonts w:ascii="Arial Narrow" w:hAnsi="Arial Narrow"/>
        <w:b/>
        <w:smallCaps/>
        <w:sz w:val="24"/>
        <w:lang w:val="es-MX"/>
      </w:rPr>
      <w:t>Marzo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2EC"/>
    <w:multiLevelType w:val="hybridMultilevel"/>
    <w:tmpl w:val="4CFA76D2"/>
    <w:lvl w:ilvl="0" w:tplc="8B54A5E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9570DD"/>
    <w:multiLevelType w:val="hybridMultilevel"/>
    <w:tmpl w:val="C4EC4C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C2EF9"/>
    <w:multiLevelType w:val="hybridMultilevel"/>
    <w:tmpl w:val="A5985242"/>
    <w:lvl w:ilvl="0" w:tplc="2A184E7A">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925B0"/>
    <w:multiLevelType w:val="hybridMultilevel"/>
    <w:tmpl w:val="00E21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44572"/>
    <w:multiLevelType w:val="hybridMultilevel"/>
    <w:tmpl w:val="730E7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8739CB"/>
    <w:multiLevelType w:val="hybridMultilevel"/>
    <w:tmpl w:val="CC9C381E"/>
    <w:lvl w:ilvl="0" w:tplc="850477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2F7511B"/>
    <w:multiLevelType w:val="hybridMultilevel"/>
    <w:tmpl w:val="0018D498"/>
    <w:lvl w:ilvl="0" w:tplc="2A184E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9A6015"/>
    <w:multiLevelType w:val="hybridMultilevel"/>
    <w:tmpl w:val="A7864CC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B533BC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49D33C5"/>
    <w:multiLevelType w:val="hybridMultilevel"/>
    <w:tmpl w:val="85964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3547F1"/>
    <w:multiLevelType w:val="hybridMultilevel"/>
    <w:tmpl w:val="BEE6EF36"/>
    <w:lvl w:ilvl="0" w:tplc="08090019">
      <w:start w:val="1"/>
      <w:numFmt w:val="lowerLetter"/>
      <w:lvlText w:val="%1."/>
      <w:lvlJc w:val="left"/>
      <w:pPr>
        <w:ind w:left="720" w:hanging="72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68FA0A4A"/>
    <w:multiLevelType w:val="hybridMultilevel"/>
    <w:tmpl w:val="FA648E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9C5F62"/>
    <w:multiLevelType w:val="hybridMultilevel"/>
    <w:tmpl w:val="E392E12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B467E0C"/>
    <w:multiLevelType w:val="hybridMultilevel"/>
    <w:tmpl w:val="D5D628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EB7790F"/>
    <w:multiLevelType w:val="hybridMultilevel"/>
    <w:tmpl w:val="21AC2C0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4"/>
  </w:num>
  <w:num w:numId="3">
    <w:abstractNumId w:val="5"/>
  </w:num>
  <w:num w:numId="4">
    <w:abstractNumId w:val="15"/>
  </w:num>
  <w:num w:numId="5">
    <w:abstractNumId w:val="13"/>
  </w:num>
  <w:num w:numId="6">
    <w:abstractNumId w:val="8"/>
  </w:num>
  <w:num w:numId="7">
    <w:abstractNumId w:val="6"/>
  </w:num>
  <w:num w:numId="8">
    <w:abstractNumId w:val="2"/>
  </w:num>
  <w:num w:numId="9">
    <w:abstractNumId w:val="11"/>
  </w:num>
  <w:num w:numId="10">
    <w:abstractNumId w:val="10"/>
  </w:num>
  <w:num w:numId="11">
    <w:abstractNumId w:val="4"/>
  </w:num>
  <w:num w:numId="12">
    <w:abstractNumId w:val="3"/>
  </w:num>
  <w:num w:numId="13">
    <w:abstractNumId w:val="12"/>
  </w:num>
  <w:num w:numId="14">
    <w:abstractNumId w:val="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0MDExNzAwNjKxNLFU0lEKTi0uzszPAykwqwUAmTK4sCwAAAA="/>
  </w:docVars>
  <w:rsids>
    <w:rsidRoot w:val="001F72BE"/>
    <w:rsid w:val="00000B54"/>
    <w:rsid w:val="00000D55"/>
    <w:rsid w:val="00010574"/>
    <w:rsid w:val="000107B6"/>
    <w:rsid w:val="000117A3"/>
    <w:rsid w:val="00016425"/>
    <w:rsid w:val="00017A01"/>
    <w:rsid w:val="00023C2E"/>
    <w:rsid w:val="000240F9"/>
    <w:rsid w:val="00024313"/>
    <w:rsid w:val="000246E7"/>
    <w:rsid w:val="00024F2A"/>
    <w:rsid w:val="00035408"/>
    <w:rsid w:val="00036CBA"/>
    <w:rsid w:val="000428A1"/>
    <w:rsid w:val="000439E1"/>
    <w:rsid w:val="000512EE"/>
    <w:rsid w:val="00054001"/>
    <w:rsid w:val="00064D45"/>
    <w:rsid w:val="00067231"/>
    <w:rsid w:val="00071495"/>
    <w:rsid w:val="0007319C"/>
    <w:rsid w:val="0007346A"/>
    <w:rsid w:val="00073A35"/>
    <w:rsid w:val="00075B22"/>
    <w:rsid w:val="000771BD"/>
    <w:rsid w:val="0008685C"/>
    <w:rsid w:val="00086A89"/>
    <w:rsid w:val="00090528"/>
    <w:rsid w:val="000938B3"/>
    <w:rsid w:val="00094513"/>
    <w:rsid w:val="00096CF9"/>
    <w:rsid w:val="00096E6B"/>
    <w:rsid w:val="000A7453"/>
    <w:rsid w:val="000B04D2"/>
    <w:rsid w:val="000B0D62"/>
    <w:rsid w:val="000B3C8F"/>
    <w:rsid w:val="000B735C"/>
    <w:rsid w:val="000C0CEE"/>
    <w:rsid w:val="000D18C8"/>
    <w:rsid w:val="000D3B19"/>
    <w:rsid w:val="000D4E4C"/>
    <w:rsid w:val="000E5E3C"/>
    <w:rsid w:val="000F0591"/>
    <w:rsid w:val="000F16EF"/>
    <w:rsid w:val="00106D8C"/>
    <w:rsid w:val="0010753C"/>
    <w:rsid w:val="001111A9"/>
    <w:rsid w:val="001126B4"/>
    <w:rsid w:val="0011395E"/>
    <w:rsid w:val="00114A63"/>
    <w:rsid w:val="001171EB"/>
    <w:rsid w:val="0012078F"/>
    <w:rsid w:val="001207BB"/>
    <w:rsid w:val="00121905"/>
    <w:rsid w:val="00127436"/>
    <w:rsid w:val="00130ADD"/>
    <w:rsid w:val="001361C4"/>
    <w:rsid w:val="001403E9"/>
    <w:rsid w:val="00140C8B"/>
    <w:rsid w:val="001417DA"/>
    <w:rsid w:val="00143613"/>
    <w:rsid w:val="00147A9B"/>
    <w:rsid w:val="00151C56"/>
    <w:rsid w:val="00152F54"/>
    <w:rsid w:val="00155546"/>
    <w:rsid w:val="00163DF5"/>
    <w:rsid w:val="001674E5"/>
    <w:rsid w:val="001751CC"/>
    <w:rsid w:val="001830CC"/>
    <w:rsid w:val="00185BE7"/>
    <w:rsid w:val="00197410"/>
    <w:rsid w:val="001A02A4"/>
    <w:rsid w:val="001A248F"/>
    <w:rsid w:val="001A53F5"/>
    <w:rsid w:val="001A6EA7"/>
    <w:rsid w:val="001A7497"/>
    <w:rsid w:val="001B2517"/>
    <w:rsid w:val="001B2822"/>
    <w:rsid w:val="001B550C"/>
    <w:rsid w:val="001B5769"/>
    <w:rsid w:val="001B5F05"/>
    <w:rsid w:val="001B7141"/>
    <w:rsid w:val="001B7805"/>
    <w:rsid w:val="001C0249"/>
    <w:rsid w:val="001D48D9"/>
    <w:rsid w:val="001D524E"/>
    <w:rsid w:val="001D77C0"/>
    <w:rsid w:val="001E19BD"/>
    <w:rsid w:val="001E44E7"/>
    <w:rsid w:val="001E7E5F"/>
    <w:rsid w:val="001F46F4"/>
    <w:rsid w:val="001F532E"/>
    <w:rsid w:val="001F548E"/>
    <w:rsid w:val="001F72BE"/>
    <w:rsid w:val="00204489"/>
    <w:rsid w:val="00210ADA"/>
    <w:rsid w:val="00214F9C"/>
    <w:rsid w:val="0021552F"/>
    <w:rsid w:val="00224509"/>
    <w:rsid w:val="00224F85"/>
    <w:rsid w:val="002261E8"/>
    <w:rsid w:val="00227D00"/>
    <w:rsid w:val="002338C4"/>
    <w:rsid w:val="00237885"/>
    <w:rsid w:val="00242AB5"/>
    <w:rsid w:val="0024504C"/>
    <w:rsid w:val="00251E05"/>
    <w:rsid w:val="0025464F"/>
    <w:rsid w:val="00256DF5"/>
    <w:rsid w:val="0025736A"/>
    <w:rsid w:val="00263701"/>
    <w:rsid w:val="0026799C"/>
    <w:rsid w:val="00267B2B"/>
    <w:rsid w:val="00271539"/>
    <w:rsid w:val="0027340F"/>
    <w:rsid w:val="00274044"/>
    <w:rsid w:val="00274EB8"/>
    <w:rsid w:val="0027683D"/>
    <w:rsid w:val="00284A59"/>
    <w:rsid w:val="00284EAF"/>
    <w:rsid w:val="00294791"/>
    <w:rsid w:val="00294AF1"/>
    <w:rsid w:val="002A1E99"/>
    <w:rsid w:val="002B10A5"/>
    <w:rsid w:val="002B17BC"/>
    <w:rsid w:val="002C5666"/>
    <w:rsid w:val="002C6A11"/>
    <w:rsid w:val="002D1BDD"/>
    <w:rsid w:val="002D4407"/>
    <w:rsid w:val="002D6310"/>
    <w:rsid w:val="002E0A06"/>
    <w:rsid w:val="002E257D"/>
    <w:rsid w:val="002E3665"/>
    <w:rsid w:val="002E3D34"/>
    <w:rsid w:val="002E4BA0"/>
    <w:rsid w:val="002F36E2"/>
    <w:rsid w:val="002F3ED8"/>
    <w:rsid w:val="002F5FA1"/>
    <w:rsid w:val="002F658A"/>
    <w:rsid w:val="002F7C1D"/>
    <w:rsid w:val="00301AE3"/>
    <w:rsid w:val="00310E01"/>
    <w:rsid w:val="00317AFF"/>
    <w:rsid w:val="00320508"/>
    <w:rsid w:val="00320E4A"/>
    <w:rsid w:val="00321D40"/>
    <w:rsid w:val="003235C9"/>
    <w:rsid w:val="00324024"/>
    <w:rsid w:val="00324C33"/>
    <w:rsid w:val="0033262A"/>
    <w:rsid w:val="003416D6"/>
    <w:rsid w:val="00346183"/>
    <w:rsid w:val="003478BF"/>
    <w:rsid w:val="00347C04"/>
    <w:rsid w:val="0035027B"/>
    <w:rsid w:val="00351A12"/>
    <w:rsid w:val="00351E64"/>
    <w:rsid w:val="00355B99"/>
    <w:rsid w:val="00356CDE"/>
    <w:rsid w:val="00360606"/>
    <w:rsid w:val="00362672"/>
    <w:rsid w:val="0036428F"/>
    <w:rsid w:val="00370291"/>
    <w:rsid w:val="00371A51"/>
    <w:rsid w:val="00371F34"/>
    <w:rsid w:val="003759E3"/>
    <w:rsid w:val="003809FA"/>
    <w:rsid w:val="00383B8F"/>
    <w:rsid w:val="00387E6E"/>
    <w:rsid w:val="00387F2D"/>
    <w:rsid w:val="003907DA"/>
    <w:rsid w:val="00390F3B"/>
    <w:rsid w:val="003922D6"/>
    <w:rsid w:val="00395E4F"/>
    <w:rsid w:val="00397B69"/>
    <w:rsid w:val="003A33FF"/>
    <w:rsid w:val="003A3535"/>
    <w:rsid w:val="003A76F9"/>
    <w:rsid w:val="003B32E2"/>
    <w:rsid w:val="003B7E7B"/>
    <w:rsid w:val="003C1169"/>
    <w:rsid w:val="003C187A"/>
    <w:rsid w:val="003C4194"/>
    <w:rsid w:val="003E18CA"/>
    <w:rsid w:val="003E3D21"/>
    <w:rsid w:val="003E4C8F"/>
    <w:rsid w:val="003E5251"/>
    <w:rsid w:val="003E730F"/>
    <w:rsid w:val="003E7B59"/>
    <w:rsid w:val="003F0537"/>
    <w:rsid w:val="003F49B7"/>
    <w:rsid w:val="00401346"/>
    <w:rsid w:val="00403EE6"/>
    <w:rsid w:val="00404606"/>
    <w:rsid w:val="00414330"/>
    <w:rsid w:val="00424655"/>
    <w:rsid w:val="00426B60"/>
    <w:rsid w:val="004300A7"/>
    <w:rsid w:val="0043139C"/>
    <w:rsid w:val="004316BF"/>
    <w:rsid w:val="004368F8"/>
    <w:rsid w:val="00436F04"/>
    <w:rsid w:val="004404E1"/>
    <w:rsid w:val="0044452C"/>
    <w:rsid w:val="0044584B"/>
    <w:rsid w:val="00450CC8"/>
    <w:rsid w:val="00452D99"/>
    <w:rsid w:val="00454C12"/>
    <w:rsid w:val="00454C1E"/>
    <w:rsid w:val="0045635F"/>
    <w:rsid w:val="00460EAA"/>
    <w:rsid w:val="00460EFF"/>
    <w:rsid w:val="00461737"/>
    <w:rsid w:val="004628D0"/>
    <w:rsid w:val="00472E05"/>
    <w:rsid w:val="00475F70"/>
    <w:rsid w:val="00476508"/>
    <w:rsid w:val="00483243"/>
    <w:rsid w:val="00485D5B"/>
    <w:rsid w:val="00486298"/>
    <w:rsid w:val="00487074"/>
    <w:rsid w:val="00491331"/>
    <w:rsid w:val="00494120"/>
    <w:rsid w:val="00494556"/>
    <w:rsid w:val="004A0461"/>
    <w:rsid w:val="004A155C"/>
    <w:rsid w:val="004A1705"/>
    <w:rsid w:val="004A3316"/>
    <w:rsid w:val="004A3407"/>
    <w:rsid w:val="004A7B3D"/>
    <w:rsid w:val="004B0D6A"/>
    <w:rsid w:val="004B4434"/>
    <w:rsid w:val="004B6149"/>
    <w:rsid w:val="004C0922"/>
    <w:rsid w:val="004D0EF2"/>
    <w:rsid w:val="004D2E6A"/>
    <w:rsid w:val="004D6149"/>
    <w:rsid w:val="004E11E6"/>
    <w:rsid w:val="004E1E94"/>
    <w:rsid w:val="004E38D7"/>
    <w:rsid w:val="004E5ECC"/>
    <w:rsid w:val="004E75F3"/>
    <w:rsid w:val="004F3848"/>
    <w:rsid w:val="00501317"/>
    <w:rsid w:val="00502699"/>
    <w:rsid w:val="00502923"/>
    <w:rsid w:val="005117EF"/>
    <w:rsid w:val="005207A2"/>
    <w:rsid w:val="00521C35"/>
    <w:rsid w:val="00524413"/>
    <w:rsid w:val="0053745B"/>
    <w:rsid w:val="0054529D"/>
    <w:rsid w:val="005523BD"/>
    <w:rsid w:val="005567C2"/>
    <w:rsid w:val="00556C38"/>
    <w:rsid w:val="00565745"/>
    <w:rsid w:val="0057569C"/>
    <w:rsid w:val="00576568"/>
    <w:rsid w:val="00576CBC"/>
    <w:rsid w:val="00577973"/>
    <w:rsid w:val="00580675"/>
    <w:rsid w:val="00586201"/>
    <w:rsid w:val="0059260C"/>
    <w:rsid w:val="0059300F"/>
    <w:rsid w:val="00596581"/>
    <w:rsid w:val="005A103E"/>
    <w:rsid w:val="005A2328"/>
    <w:rsid w:val="005A39EA"/>
    <w:rsid w:val="005A3FE8"/>
    <w:rsid w:val="005B09B4"/>
    <w:rsid w:val="005B0C1E"/>
    <w:rsid w:val="005B33BC"/>
    <w:rsid w:val="005B437D"/>
    <w:rsid w:val="005B6F0E"/>
    <w:rsid w:val="005C3EF7"/>
    <w:rsid w:val="005C41AE"/>
    <w:rsid w:val="005C552E"/>
    <w:rsid w:val="005C78C5"/>
    <w:rsid w:val="005C7B75"/>
    <w:rsid w:val="005D0ABB"/>
    <w:rsid w:val="005D1DBB"/>
    <w:rsid w:val="005D3DB9"/>
    <w:rsid w:val="005D4C43"/>
    <w:rsid w:val="005D5A38"/>
    <w:rsid w:val="005F151D"/>
    <w:rsid w:val="005F2BF9"/>
    <w:rsid w:val="005F4E06"/>
    <w:rsid w:val="005F7843"/>
    <w:rsid w:val="005F7A56"/>
    <w:rsid w:val="006007A4"/>
    <w:rsid w:val="00601A72"/>
    <w:rsid w:val="006029D0"/>
    <w:rsid w:val="006059F8"/>
    <w:rsid w:val="0060711C"/>
    <w:rsid w:val="006110F9"/>
    <w:rsid w:val="0062122F"/>
    <w:rsid w:val="006216B9"/>
    <w:rsid w:val="00627EBF"/>
    <w:rsid w:val="006357AF"/>
    <w:rsid w:val="006474E8"/>
    <w:rsid w:val="006563B4"/>
    <w:rsid w:val="00662048"/>
    <w:rsid w:val="00663188"/>
    <w:rsid w:val="006642D0"/>
    <w:rsid w:val="006676F3"/>
    <w:rsid w:val="006713FE"/>
    <w:rsid w:val="00671577"/>
    <w:rsid w:val="00671966"/>
    <w:rsid w:val="006719FC"/>
    <w:rsid w:val="0067564C"/>
    <w:rsid w:val="00677E19"/>
    <w:rsid w:val="00683983"/>
    <w:rsid w:val="00685DE5"/>
    <w:rsid w:val="00694B5D"/>
    <w:rsid w:val="00695813"/>
    <w:rsid w:val="00697179"/>
    <w:rsid w:val="006A170A"/>
    <w:rsid w:val="006A5069"/>
    <w:rsid w:val="006A7349"/>
    <w:rsid w:val="006A78E4"/>
    <w:rsid w:val="006B678E"/>
    <w:rsid w:val="006B7333"/>
    <w:rsid w:val="006C22FD"/>
    <w:rsid w:val="006C2CA4"/>
    <w:rsid w:val="006C5CED"/>
    <w:rsid w:val="006D104A"/>
    <w:rsid w:val="006D33F5"/>
    <w:rsid w:val="006D48BB"/>
    <w:rsid w:val="006D4C7D"/>
    <w:rsid w:val="006D669D"/>
    <w:rsid w:val="006D681A"/>
    <w:rsid w:val="006E13A8"/>
    <w:rsid w:val="006F082E"/>
    <w:rsid w:val="006F50CA"/>
    <w:rsid w:val="006F563C"/>
    <w:rsid w:val="00701089"/>
    <w:rsid w:val="00703E81"/>
    <w:rsid w:val="00705512"/>
    <w:rsid w:val="00705DF2"/>
    <w:rsid w:val="007122A9"/>
    <w:rsid w:val="0071627E"/>
    <w:rsid w:val="00721041"/>
    <w:rsid w:val="00723527"/>
    <w:rsid w:val="00727B5F"/>
    <w:rsid w:val="00732299"/>
    <w:rsid w:val="0073652E"/>
    <w:rsid w:val="0073724E"/>
    <w:rsid w:val="00740B06"/>
    <w:rsid w:val="007530A0"/>
    <w:rsid w:val="00763E9B"/>
    <w:rsid w:val="00770225"/>
    <w:rsid w:val="007702C5"/>
    <w:rsid w:val="0077085D"/>
    <w:rsid w:val="0077640A"/>
    <w:rsid w:val="00776ABB"/>
    <w:rsid w:val="00781C4A"/>
    <w:rsid w:val="00783E03"/>
    <w:rsid w:val="00786288"/>
    <w:rsid w:val="00791F88"/>
    <w:rsid w:val="007A43EC"/>
    <w:rsid w:val="007A46CE"/>
    <w:rsid w:val="007A6B39"/>
    <w:rsid w:val="007B1873"/>
    <w:rsid w:val="007B498D"/>
    <w:rsid w:val="007C205B"/>
    <w:rsid w:val="007C2D3B"/>
    <w:rsid w:val="007C35CC"/>
    <w:rsid w:val="007C6DD2"/>
    <w:rsid w:val="007C6F9E"/>
    <w:rsid w:val="007D06CD"/>
    <w:rsid w:val="007D109F"/>
    <w:rsid w:val="007D6501"/>
    <w:rsid w:val="007E0E40"/>
    <w:rsid w:val="007E1BA2"/>
    <w:rsid w:val="007E23BB"/>
    <w:rsid w:val="007E3BA1"/>
    <w:rsid w:val="007E631E"/>
    <w:rsid w:val="007F1685"/>
    <w:rsid w:val="007F1B35"/>
    <w:rsid w:val="007F2514"/>
    <w:rsid w:val="007F4A91"/>
    <w:rsid w:val="007F6C3B"/>
    <w:rsid w:val="00803928"/>
    <w:rsid w:val="00803AFD"/>
    <w:rsid w:val="00803C50"/>
    <w:rsid w:val="00807959"/>
    <w:rsid w:val="008100CB"/>
    <w:rsid w:val="00811779"/>
    <w:rsid w:val="00811B2E"/>
    <w:rsid w:val="00812124"/>
    <w:rsid w:val="0081545C"/>
    <w:rsid w:val="00822370"/>
    <w:rsid w:val="00822378"/>
    <w:rsid w:val="00824D3E"/>
    <w:rsid w:val="0082612A"/>
    <w:rsid w:val="0083033A"/>
    <w:rsid w:val="00832E2B"/>
    <w:rsid w:val="0083384F"/>
    <w:rsid w:val="008343C3"/>
    <w:rsid w:val="008367AB"/>
    <w:rsid w:val="00843E27"/>
    <w:rsid w:val="0084610A"/>
    <w:rsid w:val="00860176"/>
    <w:rsid w:val="00860C4B"/>
    <w:rsid w:val="008668BA"/>
    <w:rsid w:val="0087464F"/>
    <w:rsid w:val="00875E53"/>
    <w:rsid w:val="00877836"/>
    <w:rsid w:val="00880F79"/>
    <w:rsid w:val="008828C4"/>
    <w:rsid w:val="00886A8E"/>
    <w:rsid w:val="00890F7E"/>
    <w:rsid w:val="008959AC"/>
    <w:rsid w:val="008A75D0"/>
    <w:rsid w:val="008B4240"/>
    <w:rsid w:val="008B4525"/>
    <w:rsid w:val="008C6B20"/>
    <w:rsid w:val="008D26CB"/>
    <w:rsid w:val="008D38D7"/>
    <w:rsid w:val="008D455B"/>
    <w:rsid w:val="008D64D4"/>
    <w:rsid w:val="008E0B4C"/>
    <w:rsid w:val="008E2E3D"/>
    <w:rsid w:val="008E30C5"/>
    <w:rsid w:val="008E3A3A"/>
    <w:rsid w:val="008E6CB7"/>
    <w:rsid w:val="008F0BC6"/>
    <w:rsid w:val="008F0DF3"/>
    <w:rsid w:val="008F21FC"/>
    <w:rsid w:val="00901107"/>
    <w:rsid w:val="009015EB"/>
    <w:rsid w:val="009023B0"/>
    <w:rsid w:val="009037AF"/>
    <w:rsid w:val="0091116A"/>
    <w:rsid w:val="00911F53"/>
    <w:rsid w:val="0091355E"/>
    <w:rsid w:val="00913E51"/>
    <w:rsid w:val="00915DED"/>
    <w:rsid w:val="00917224"/>
    <w:rsid w:val="009278AB"/>
    <w:rsid w:val="00931B98"/>
    <w:rsid w:val="00931EB6"/>
    <w:rsid w:val="0093783B"/>
    <w:rsid w:val="00942D67"/>
    <w:rsid w:val="009450FE"/>
    <w:rsid w:val="00947445"/>
    <w:rsid w:val="00953A69"/>
    <w:rsid w:val="00953E5C"/>
    <w:rsid w:val="00956F2D"/>
    <w:rsid w:val="009606B3"/>
    <w:rsid w:val="009653D3"/>
    <w:rsid w:val="00967C5C"/>
    <w:rsid w:val="009716D9"/>
    <w:rsid w:val="00987A9A"/>
    <w:rsid w:val="00987E0C"/>
    <w:rsid w:val="00987EE8"/>
    <w:rsid w:val="00991C17"/>
    <w:rsid w:val="00995571"/>
    <w:rsid w:val="0099580B"/>
    <w:rsid w:val="00997CD3"/>
    <w:rsid w:val="009A5556"/>
    <w:rsid w:val="009A738A"/>
    <w:rsid w:val="009B0BBB"/>
    <w:rsid w:val="009B27D8"/>
    <w:rsid w:val="009B3B77"/>
    <w:rsid w:val="009B6A78"/>
    <w:rsid w:val="009C1905"/>
    <w:rsid w:val="009C4DE5"/>
    <w:rsid w:val="009C507E"/>
    <w:rsid w:val="009D403D"/>
    <w:rsid w:val="009D73C2"/>
    <w:rsid w:val="009D7462"/>
    <w:rsid w:val="009E1C28"/>
    <w:rsid w:val="009E2C0F"/>
    <w:rsid w:val="009E54BF"/>
    <w:rsid w:val="009F1F47"/>
    <w:rsid w:val="009F2ACD"/>
    <w:rsid w:val="009F66E3"/>
    <w:rsid w:val="009F7230"/>
    <w:rsid w:val="00A0063E"/>
    <w:rsid w:val="00A0547B"/>
    <w:rsid w:val="00A1066F"/>
    <w:rsid w:val="00A10758"/>
    <w:rsid w:val="00A204FC"/>
    <w:rsid w:val="00A37D49"/>
    <w:rsid w:val="00A40538"/>
    <w:rsid w:val="00A456B9"/>
    <w:rsid w:val="00A513CA"/>
    <w:rsid w:val="00A51CE9"/>
    <w:rsid w:val="00A523BB"/>
    <w:rsid w:val="00A5287C"/>
    <w:rsid w:val="00A53612"/>
    <w:rsid w:val="00A5505D"/>
    <w:rsid w:val="00A57683"/>
    <w:rsid w:val="00A6146B"/>
    <w:rsid w:val="00A62B91"/>
    <w:rsid w:val="00A71133"/>
    <w:rsid w:val="00A74E91"/>
    <w:rsid w:val="00A777CA"/>
    <w:rsid w:val="00A95377"/>
    <w:rsid w:val="00A96C8A"/>
    <w:rsid w:val="00AA1CB7"/>
    <w:rsid w:val="00AB0384"/>
    <w:rsid w:val="00AB5E95"/>
    <w:rsid w:val="00AC1D6F"/>
    <w:rsid w:val="00AC24C0"/>
    <w:rsid w:val="00AC7C61"/>
    <w:rsid w:val="00AD1592"/>
    <w:rsid w:val="00AD4491"/>
    <w:rsid w:val="00AD5A90"/>
    <w:rsid w:val="00AE26C3"/>
    <w:rsid w:val="00AE385D"/>
    <w:rsid w:val="00AF0699"/>
    <w:rsid w:val="00AF2AAA"/>
    <w:rsid w:val="00AF5B19"/>
    <w:rsid w:val="00B00976"/>
    <w:rsid w:val="00B03C5C"/>
    <w:rsid w:val="00B0662A"/>
    <w:rsid w:val="00B102BC"/>
    <w:rsid w:val="00B104A0"/>
    <w:rsid w:val="00B20FFC"/>
    <w:rsid w:val="00B24BC8"/>
    <w:rsid w:val="00B25A6C"/>
    <w:rsid w:val="00B26A77"/>
    <w:rsid w:val="00B36E42"/>
    <w:rsid w:val="00B37856"/>
    <w:rsid w:val="00B4140F"/>
    <w:rsid w:val="00B44896"/>
    <w:rsid w:val="00B4584A"/>
    <w:rsid w:val="00B4715A"/>
    <w:rsid w:val="00B51882"/>
    <w:rsid w:val="00B5396F"/>
    <w:rsid w:val="00B53E3B"/>
    <w:rsid w:val="00B56D0F"/>
    <w:rsid w:val="00B57720"/>
    <w:rsid w:val="00B57775"/>
    <w:rsid w:val="00B64D95"/>
    <w:rsid w:val="00B71085"/>
    <w:rsid w:val="00B73DB9"/>
    <w:rsid w:val="00B74864"/>
    <w:rsid w:val="00B7535B"/>
    <w:rsid w:val="00B8245E"/>
    <w:rsid w:val="00B82A8A"/>
    <w:rsid w:val="00B834C9"/>
    <w:rsid w:val="00B83827"/>
    <w:rsid w:val="00B8546D"/>
    <w:rsid w:val="00B924BD"/>
    <w:rsid w:val="00B9323F"/>
    <w:rsid w:val="00B959C3"/>
    <w:rsid w:val="00BA1B45"/>
    <w:rsid w:val="00BA47AE"/>
    <w:rsid w:val="00BA7A25"/>
    <w:rsid w:val="00BB4A10"/>
    <w:rsid w:val="00BB4D30"/>
    <w:rsid w:val="00BB57FB"/>
    <w:rsid w:val="00BB76D4"/>
    <w:rsid w:val="00BC5A20"/>
    <w:rsid w:val="00BC6ACA"/>
    <w:rsid w:val="00BD1B94"/>
    <w:rsid w:val="00BD289C"/>
    <w:rsid w:val="00BD3FB5"/>
    <w:rsid w:val="00BD64B2"/>
    <w:rsid w:val="00BE295D"/>
    <w:rsid w:val="00BE2F96"/>
    <w:rsid w:val="00BE53C9"/>
    <w:rsid w:val="00BE5823"/>
    <w:rsid w:val="00BE5F80"/>
    <w:rsid w:val="00BE6524"/>
    <w:rsid w:val="00BF0A01"/>
    <w:rsid w:val="00BF6621"/>
    <w:rsid w:val="00BF7ADB"/>
    <w:rsid w:val="00C029B6"/>
    <w:rsid w:val="00C04194"/>
    <w:rsid w:val="00C10E00"/>
    <w:rsid w:val="00C11E7D"/>
    <w:rsid w:val="00C1296F"/>
    <w:rsid w:val="00C17A63"/>
    <w:rsid w:val="00C2287B"/>
    <w:rsid w:val="00C25E30"/>
    <w:rsid w:val="00C27E3F"/>
    <w:rsid w:val="00C30C57"/>
    <w:rsid w:val="00C325D3"/>
    <w:rsid w:val="00C378EA"/>
    <w:rsid w:val="00C46618"/>
    <w:rsid w:val="00C52711"/>
    <w:rsid w:val="00C533D6"/>
    <w:rsid w:val="00C565FC"/>
    <w:rsid w:val="00C6261A"/>
    <w:rsid w:val="00C653C9"/>
    <w:rsid w:val="00C65480"/>
    <w:rsid w:val="00C658F0"/>
    <w:rsid w:val="00C70CE3"/>
    <w:rsid w:val="00C719E1"/>
    <w:rsid w:val="00C73686"/>
    <w:rsid w:val="00C75D55"/>
    <w:rsid w:val="00C81F28"/>
    <w:rsid w:val="00C86008"/>
    <w:rsid w:val="00C8700D"/>
    <w:rsid w:val="00C87CC1"/>
    <w:rsid w:val="00CA2363"/>
    <w:rsid w:val="00CB0084"/>
    <w:rsid w:val="00CB25FB"/>
    <w:rsid w:val="00CC2AC6"/>
    <w:rsid w:val="00CC443B"/>
    <w:rsid w:val="00CC5ED6"/>
    <w:rsid w:val="00CC7F35"/>
    <w:rsid w:val="00CD120C"/>
    <w:rsid w:val="00CD2E72"/>
    <w:rsid w:val="00CD5525"/>
    <w:rsid w:val="00CD5B0E"/>
    <w:rsid w:val="00CE21B2"/>
    <w:rsid w:val="00CE30FF"/>
    <w:rsid w:val="00CE47D9"/>
    <w:rsid w:val="00CE5CE5"/>
    <w:rsid w:val="00CF2FD5"/>
    <w:rsid w:val="00CF42D4"/>
    <w:rsid w:val="00CF5CAC"/>
    <w:rsid w:val="00D040C5"/>
    <w:rsid w:val="00D05606"/>
    <w:rsid w:val="00D07F96"/>
    <w:rsid w:val="00D119AE"/>
    <w:rsid w:val="00D1329F"/>
    <w:rsid w:val="00D14AE9"/>
    <w:rsid w:val="00D14E2F"/>
    <w:rsid w:val="00D20963"/>
    <w:rsid w:val="00D223F0"/>
    <w:rsid w:val="00D226D9"/>
    <w:rsid w:val="00D23AA8"/>
    <w:rsid w:val="00D24EC2"/>
    <w:rsid w:val="00D37099"/>
    <w:rsid w:val="00D439D4"/>
    <w:rsid w:val="00D53060"/>
    <w:rsid w:val="00D56892"/>
    <w:rsid w:val="00D5757D"/>
    <w:rsid w:val="00D60AA3"/>
    <w:rsid w:val="00D61C68"/>
    <w:rsid w:val="00D64821"/>
    <w:rsid w:val="00D66A95"/>
    <w:rsid w:val="00D71011"/>
    <w:rsid w:val="00D76374"/>
    <w:rsid w:val="00D8034A"/>
    <w:rsid w:val="00D81E13"/>
    <w:rsid w:val="00D8213C"/>
    <w:rsid w:val="00D83921"/>
    <w:rsid w:val="00D8440E"/>
    <w:rsid w:val="00D8515B"/>
    <w:rsid w:val="00D90705"/>
    <w:rsid w:val="00D92EFA"/>
    <w:rsid w:val="00D957BF"/>
    <w:rsid w:val="00D971C4"/>
    <w:rsid w:val="00DA1522"/>
    <w:rsid w:val="00DA1C5C"/>
    <w:rsid w:val="00DA4321"/>
    <w:rsid w:val="00DA56B6"/>
    <w:rsid w:val="00DB114A"/>
    <w:rsid w:val="00DB2DD6"/>
    <w:rsid w:val="00DB3CB6"/>
    <w:rsid w:val="00DB3FEC"/>
    <w:rsid w:val="00DB4DB6"/>
    <w:rsid w:val="00DB6157"/>
    <w:rsid w:val="00DB6B80"/>
    <w:rsid w:val="00DD06F9"/>
    <w:rsid w:val="00DD6C90"/>
    <w:rsid w:val="00DE0CC3"/>
    <w:rsid w:val="00DE137B"/>
    <w:rsid w:val="00DE5249"/>
    <w:rsid w:val="00DE6A43"/>
    <w:rsid w:val="00DF124E"/>
    <w:rsid w:val="00DF506B"/>
    <w:rsid w:val="00DF7041"/>
    <w:rsid w:val="00E035FA"/>
    <w:rsid w:val="00E04F11"/>
    <w:rsid w:val="00E12D79"/>
    <w:rsid w:val="00E2120F"/>
    <w:rsid w:val="00E22AC8"/>
    <w:rsid w:val="00E26EFA"/>
    <w:rsid w:val="00E27081"/>
    <w:rsid w:val="00E43E69"/>
    <w:rsid w:val="00E511E2"/>
    <w:rsid w:val="00E56978"/>
    <w:rsid w:val="00E57D12"/>
    <w:rsid w:val="00E612E7"/>
    <w:rsid w:val="00E635AD"/>
    <w:rsid w:val="00E6497E"/>
    <w:rsid w:val="00E66261"/>
    <w:rsid w:val="00E75D5F"/>
    <w:rsid w:val="00E7614B"/>
    <w:rsid w:val="00E77722"/>
    <w:rsid w:val="00E804CF"/>
    <w:rsid w:val="00E82851"/>
    <w:rsid w:val="00E847DE"/>
    <w:rsid w:val="00E862AD"/>
    <w:rsid w:val="00E9644E"/>
    <w:rsid w:val="00E97762"/>
    <w:rsid w:val="00EB52F4"/>
    <w:rsid w:val="00EB6833"/>
    <w:rsid w:val="00EB6E1C"/>
    <w:rsid w:val="00EC0123"/>
    <w:rsid w:val="00EC08A1"/>
    <w:rsid w:val="00EC0A46"/>
    <w:rsid w:val="00EC0D43"/>
    <w:rsid w:val="00EC716E"/>
    <w:rsid w:val="00EC78BA"/>
    <w:rsid w:val="00ED0352"/>
    <w:rsid w:val="00ED03EA"/>
    <w:rsid w:val="00ED1439"/>
    <w:rsid w:val="00ED183E"/>
    <w:rsid w:val="00ED239B"/>
    <w:rsid w:val="00ED6046"/>
    <w:rsid w:val="00ED6453"/>
    <w:rsid w:val="00ED7ECA"/>
    <w:rsid w:val="00EE0B81"/>
    <w:rsid w:val="00EE7C0F"/>
    <w:rsid w:val="00EF093B"/>
    <w:rsid w:val="00EF207D"/>
    <w:rsid w:val="00EF2C42"/>
    <w:rsid w:val="00EF3682"/>
    <w:rsid w:val="00EF5C83"/>
    <w:rsid w:val="00EF5F1C"/>
    <w:rsid w:val="00F020DC"/>
    <w:rsid w:val="00F058C4"/>
    <w:rsid w:val="00F17C7E"/>
    <w:rsid w:val="00F20953"/>
    <w:rsid w:val="00F20DDA"/>
    <w:rsid w:val="00F20E91"/>
    <w:rsid w:val="00F225B9"/>
    <w:rsid w:val="00F22746"/>
    <w:rsid w:val="00F24B80"/>
    <w:rsid w:val="00F254C7"/>
    <w:rsid w:val="00F26F38"/>
    <w:rsid w:val="00F33569"/>
    <w:rsid w:val="00F36BC8"/>
    <w:rsid w:val="00F36EB2"/>
    <w:rsid w:val="00F37187"/>
    <w:rsid w:val="00F40127"/>
    <w:rsid w:val="00F406E1"/>
    <w:rsid w:val="00F4359D"/>
    <w:rsid w:val="00F45565"/>
    <w:rsid w:val="00F47915"/>
    <w:rsid w:val="00F54505"/>
    <w:rsid w:val="00F55EF9"/>
    <w:rsid w:val="00F57584"/>
    <w:rsid w:val="00F700CB"/>
    <w:rsid w:val="00F7425D"/>
    <w:rsid w:val="00F75C0E"/>
    <w:rsid w:val="00F768A5"/>
    <w:rsid w:val="00F768F8"/>
    <w:rsid w:val="00F8041F"/>
    <w:rsid w:val="00F81822"/>
    <w:rsid w:val="00F83FEE"/>
    <w:rsid w:val="00F907CD"/>
    <w:rsid w:val="00F92810"/>
    <w:rsid w:val="00F933DA"/>
    <w:rsid w:val="00F9502A"/>
    <w:rsid w:val="00F95B95"/>
    <w:rsid w:val="00F966C9"/>
    <w:rsid w:val="00F96CA5"/>
    <w:rsid w:val="00F970AD"/>
    <w:rsid w:val="00FA3044"/>
    <w:rsid w:val="00FA4A86"/>
    <w:rsid w:val="00FA4B0B"/>
    <w:rsid w:val="00FB201E"/>
    <w:rsid w:val="00FB33DA"/>
    <w:rsid w:val="00FB45E9"/>
    <w:rsid w:val="00FB46BD"/>
    <w:rsid w:val="00FB48D6"/>
    <w:rsid w:val="00FB68A7"/>
    <w:rsid w:val="00FC156C"/>
    <w:rsid w:val="00FC27A9"/>
    <w:rsid w:val="00FC3DFC"/>
    <w:rsid w:val="00FC4688"/>
    <w:rsid w:val="00FC5CDC"/>
    <w:rsid w:val="00FD00EF"/>
    <w:rsid w:val="00FD6EFA"/>
    <w:rsid w:val="00FE0B8E"/>
    <w:rsid w:val="00FE1D8D"/>
    <w:rsid w:val="00FE2956"/>
    <w:rsid w:val="00FE37E0"/>
    <w:rsid w:val="00FE7202"/>
    <w:rsid w:val="00FF55DA"/>
    <w:rsid w:val="00FF74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99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72BE"/>
    <w:pPr>
      <w:spacing w:after="0" w:line="240" w:lineRule="auto"/>
    </w:pPr>
  </w:style>
  <w:style w:type="paragraph" w:styleId="Textonotapie">
    <w:name w:val="footnote text"/>
    <w:basedOn w:val="Normal"/>
    <w:link w:val="TextonotapieCar"/>
    <w:uiPriority w:val="99"/>
    <w:semiHidden/>
    <w:unhideWhenUsed/>
    <w:rsid w:val="001F72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72BE"/>
    <w:rPr>
      <w:sz w:val="20"/>
      <w:szCs w:val="20"/>
    </w:rPr>
  </w:style>
  <w:style w:type="character" w:styleId="Refdenotaalpie">
    <w:name w:val="footnote reference"/>
    <w:uiPriority w:val="99"/>
    <w:rsid w:val="001F72BE"/>
    <w:rPr>
      <w:rFonts w:cs="Times New Roman"/>
      <w:vertAlign w:val="superscript"/>
    </w:rPr>
  </w:style>
  <w:style w:type="character" w:styleId="Hipervnculo">
    <w:name w:val="Hyperlink"/>
    <w:rsid w:val="001F72BE"/>
    <w:rPr>
      <w:color w:val="0000FF"/>
      <w:u w:val="single"/>
    </w:rPr>
  </w:style>
  <w:style w:type="paragraph" w:styleId="Prrafodelista">
    <w:name w:val="List Paragraph"/>
    <w:basedOn w:val="Normal"/>
    <w:uiPriority w:val="34"/>
    <w:qFormat/>
    <w:rsid w:val="00CF5CAC"/>
    <w:pPr>
      <w:ind w:left="720"/>
      <w:contextualSpacing/>
    </w:pPr>
  </w:style>
  <w:style w:type="paragraph" w:styleId="Textodeglobo">
    <w:name w:val="Balloon Text"/>
    <w:basedOn w:val="Normal"/>
    <w:link w:val="TextodegloboCar"/>
    <w:uiPriority w:val="99"/>
    <w:semiHidden/>
    <w:unhideWhenUsed/>
    <w:rsid w:val="000240F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240F9"/>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0240F9"/>
    <w:rPr>
      <w:sz w:val="16"/>
      <w:szCs w:val="16"/>
    </w:rPr>
  </w:style>
  <w:style w:type="paragraph" w:styleId="Textocomentario">
    <w:name w:val="annotation text"/>
    <w:basedOn w:val="Normal"/>
    <w:link w:val="TextocomentarioCar"/>
    <w:uiPriority w:val="99"/>
    <w:semiHidden/>
    <w:unhideWhenUsed/>
    <w:rsid w:val="000240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40F9"/>
    <w:rPr>
      <w:sz w:val="20"/>
      <w:szCs w:val="20"/>
    </w:rPr>
  </w:style>
  <w:style w:type="paragraph" w:styleId="Asuntodelcomentario">
    <w:name w:val="annotation subject"/>
    <w:basedOn w:val="Textocomentario"/>
    <w:next w:val="Textocomentario"/>
    <w:link w:val="AsuntodelcomentarioCar"/>
    <w:uiPriority w:val="99"/>
    <w:semiHidden/>
    <w:unhideWhenUsed/>
    <w:rsid w:val="000240F9"/>
    <w:rPr>
      <w:b/>
      <w:bCs/>
    </w:rPr>
  </w:style>
  <w:style w:type="character" w:customStyle="1" w:styleId="AsuntodelcomentarioCar">
    <w:name w:val="Asunto del comentario Car"/>
    <w:basedOn w:val="TextocomentarioCar"/>
    <w:link w:val="Asuntodelcomentario"/>
    <w:uiPriority w:val="99"/>
    <w:semiHidden/>
    <w:rsid w:val="000240F9"/>
    <w:rPr>
      <w:b/>
      <w:bCs/>
      <w:sz w:val="20"/>
      <w:szCs w:val="20"/>
    </w:rPr>
  </w:style>
  <w:style w:type="character" w:styleId="Hipervnculovisitado">
    <w:name w:val="FollowedHyperlink"/>
    <w:basedOn w:val="Fuentedeprrafopredeter"/>
    <w:uiPriority w:val="99"/>
    <w:semiHidden/>
    <w:unhideWhenUsed/>
    <w:rsid w:val="004E75F3"/>
    <w:rPr>
      <w:color w:val="954F72" w:themeColor="followedHyperlink"/>
      <w:u w:val="single"/>
    </w:rPr>
  </w:style>
  <w:style w:type="paragraph" w:styleId="Encabezado">
    <w:name w:val="header"/>
    <w:basedOn w:val="Normal"/>
    <w:link w:val="EncabezadoCar"/>
    <w:uiPriority w:val="99"/>
    <w:unhideWhenUsed/>
    <w:rsid w:val="003809F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809FA"/>
  </w:style>
  <w:style w:type="paragraph" w:styleId="Piedepgina">
    <w:name w:val="footer"/>
    <w:basedOn w:val="Normal"/>
    <w:link w:val="PiedepginaCar"/>
    <w:uiPriority w:val="99"/>
    <w:unhideWhenUsed/>
    <w:rsid w:val="003809F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809FA"/>
  </w:style>
  <w:style w:type="table" w:styleId="Tablaconcuadrcula">
    <w:name w:val="Table Grid"/>
    <w:basedOn w:val="Tablanormal"/>
    <w:uiPriority w:val="39"/>
    <w:rsid w:val="00152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94791"/>
    <w:rPr>
      <w:color w:val="605E5C"/>
      <w:shd w:val="clear" w:color="auto" w:fill="E1DFDD"/>
    </w:rPr>
  </w:style>
  <w:style w:type="table" w:styleId="Tabladecuadrcula2-nfasis5">
    <w:name w:val="Grid Table 2 Accent 5"/>
    <w:basedOn w:val="Tablanormal"/>
    <w:uiPriority w:val="47"/>
    <w:rsid w:val="00F966C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
    <w:name w:val="Unresolved Mention"/>
    <w:basedOn w:val="Fuentedeprrafopredeter"/>
    <w:uiPriority w:val="99"/>
    <w:semiHidden/>
    <w:unhideWhenUsed/>
    <w:rsid w:val="00227D00"/>
    <w:rPr>
      <w:color w:val="605E5C"/>
      <w:shd w:val="clear" w:color="auto" w:fill="E1DFDD"/>
    </w:rPr>
  </w:style>
  <w:style w:type="table" w:styleId="Tabladecuadrcula1clara-nfasis1">
    <w:name w:val="Grid Table 1 Light Accent 1"/>
    <w:basedOn w:val="Tablanormal"/>
    <w:uiPriority w:val="46"/>
    <w:rsid w:val="00387F2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387F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3-nfasis4">
    <w:name w:val="Grid Table 3 Accent 4"/>
    <w:basedOn w:val="Tablanormal"/>
    <w:uiPriority w:val="48"/>
    <w:rsid w:val="00371A5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194">
      <w:bodyDiv w:val="1"/>
      <w:marLeft w:val="0"/>
      <w:marRight w:val="0"/>
      <w:marTop w:val="0"/>
      <w:marBottom w:val="0"/>
      <w:divBdr>
        <w:top w:val="none" w:sz="0" w:space="0" w:color="auto"/>
        <w:left w:val="none" w:sz="0" w:space="0" w:color="auto"/>
        <w:bottom w:val="none" w:sz="0" w:space="0" w:color="auto"/>
        <w:right w:val="none" w:sz="0" w:space="0" w:color="auto"/>
      </w:divBdr>
    </w:div>
    <w:div w:id="112141014">
      <w:bodyDiv w:val="1"/>
      <w:marLeft w:val="0"/>
      <w:marRight w:val="0"/>
      <w:marTop w:val="0"/>
      <w:marBottom w:val="0"/>
      <w:divBdr>
        <w:top w:val="none" w:sz="0" w:space="0" w:color="auto"/>
        <w:left w:val="none" w:sz="0" w:space="0" w:color="auto"/>
        <w:bottom w:val="none" w:sz="0" w:space="0" w:color="auto"/>
        <w:right w:val="none" w:sz="0" w:space="0" w:color="auto"/>
      </w:divBdr>
    </w:div>
    <w:div w:id="181554202">
      <w:bodyDiv w:val="1"/>
      <w:marLeft w:val="0"/>
      <w:marRight w:val="0"/>
      <w:marTop w:val="0"/>
      <w:marBottom w:val="0"/>
      <w:divBdr>
        <w:top w:val="none" w:sz="0" w:space="0" w:color="auto"/>
        <w:left w:val="none" w:sz="0" w:space="0" w:color="auto"/>
        <w:bottom w:val="none" w:sz="0" w:space="0" w:color="auto"/>
        <w:right w:val="none" w:sz="0" w:space="0" w:color="auto"/>
      </w:divBdr>
    </w:div>
    <w:div w:id="249704115">
      <w:bodyDiv w:val="1"/>
      <w:marLeft w:val="0"/>
      <w:marRight w:val="0"/>
      <w:marTop w:val="0"/>
      <w:marBottom w:val="0"/>
      <w:divBdr>
        <w:top w:val="none" w:sz="0" w:space="0" w:color="auto"/>
        <w:left w:val="none" w:sz="0" w:space="0" w:color="auto"/>
        <w:bottom w:val="none" w:sz="0" w:space="0" w:color="auto"/>
        <w:right w:val="none" w:sz="0" w:space="0" w:color="auto"/>
      </w:divBdr>
    </w:div>
    <w:div w:id="347370163">
      <w:bodyDiv w:val="1"/>
      <w:marLeft w:val="0"/>
      <w:marRight w:val="0"/>
      <w:marTop w:val="0"/>
      <w:marBottom w:val="0"/>
      <w:divBdr>
        <w:top w:val="none" w:sz="0" w:space="0" w:color="auto"/>
        <w:left w:val="none" w:sz="0" w:space="0" w:color="auto"/>
        <w:bottom w:val="none" w:sz="0" w:space="0" w:color="auto"/>
        <w:right w:val="none" w:sz="0" w:space="0" w:color="auto"/>
      </w:divBdr>
    </w:div>
    <w:div w:id="772827506">
      <w:bodyDiv w:val="1"/>
      <w:marLeft w:val="0"/>
      <w:marRight w:val="0"/>
      <w:marTop w:val="0"/>
      <w:marBottom w:val="0"/>
      <w:divBdr>
        <w:top w:val="none" w:sz="0" w:space="0" w:color="auto"/>
        <w:left w:val="none" w:sz="0" w:space="0" w:color="auto"/>
        <w:bottom w:val="none" w:sz="0" w:space="0" w:color="auto"/>
        <w:right w:val="none" w:sz="0" w:space="0" w:color="auto"/>
      </w:divBdr>
    </w:div>
    <w:div w:id="965740012">
      <w:bodyDiv w:val="1"/>
      <w:marLeft w:val="0"/>
      <w:marRight w:val="0"/>
      <w:marTop w:val="0"/>
      <w:marBottom w:val="0"/>
      <w:divBdr>
        <w:top w:val="none" w:sz="0" w:space="0" w:color="auto"/>
        <w:left w:val="none" w:sz="0" w:space="0" w:color="auto"/>
        <w:bottom w:val="none" w:sz="0" w:space="0" w:color="auto"/>
        <w:right w:val="none" w:sz="0" w:space="0" w:color="auto"/>
      </w:divBdr>
    </w:div>
    <w:div w:id="1110901678">
      <w:bodyDiv w:val="1"/>
      <w:marLeft w:val="0"/>
      <w:marRight w:val="0"/>
      <w:marTop w:val="0"/>
      <w:marBottom w:val="0"/>
      <w:divBdr>
        <w:top w:val="none" w:sz="0" w:space="0" w:color="auto"/>
        <w:left w:val="none" w:sz="0" w:space="0" w:color="auto"/>
        <w:bottom w:val="none" w:sz="0" w:space="0" w:color="auto"/>
        <w:right w:val="none" w:sz="0" w:space="0" w:color="auto"/>
      </w:divBdr>
    </w:div>
    <w:div w:id="1319655773">
      <w:bodyDiv w:val="1"/>
      <w:marLeft w:val="0"/>
      <w:marRight w:val="0"/>
      <w:marTop w:val="0"/>
      <w:marBottom w:val="0"/>
      <w:divBdr>
        <w:top w:val="none" w:sz="0" w:space="0" w:color="auto"/>
        <w:left w:val="none" w:sz="0" w:space="0" w:color="auto"/>
        <w:bottom w:val="none" w:sz="0" w:space="0" w:color="auto"/>
        <w:right w:val="none" w:sz="0" w:space="0" w:color="auto"/>
      </w:divBdr>
    </w:div>
    <w:div w:id="1331330252">
      <w:bodyDiv w:val="1"/>
      <w:marLeft w:val="0"/>
      <w:marRight w:val="0"/>
      <w:marTop w:val="0"/>
      <w:marBottom w:val="0"/>
      <w:divBdr>
        <w:top w:val="none" w:sz="0" w:space="0" w:color="auto"/>
        <w:left w:val="none" w:sz="0" w:space="0" w:color="auto"/>
        <w:bottom w:val="none" w:sz="0" w:space="0" w:color="auto"/>
        <w:right w:val="none" w:sz="0" w:space="0" w:color="auto"/>
      </w:divBdr>
    </w:div>
    <w:div w:id="1471240306">
      <w:bodyDiv w:val="1"/>
      <w:marLeft w:val="0"/>
      <w:marRight w:val="0"/>
      <w:marTop w:val="0"/>
      <w:marBottom w:val="0"/>
      <w:divBdr>
        <w:top w:val="none" w:sz="0" w:space="0" w:color="auto"/>
        <w:left w:val="none" w:sz="0" w:space="0" w:color="auto"/>
        <w:bottom w:val="none" w:sz="0" w:space="0" w:color="auto"/>
        <w:right w:val="none" w:sz="0" w:space="0" w:color="auto"/>
      </w:divBdr>
    </w:div>
    <w:div w:id="1562669058">
      <w:bodyDiv w:val="1"/>
      <w:marLeft w:val="0"/>
      <w:marRight w:val="0"/>
      <w:marTop w:val="0"/>
      <w:marBottom w:val="0"/>
      <w:divBdr>
        <w:top w:val="none" w:sz="0" w:space="0" w:color="auto"/>
        <w:left w:val="none" w:sz="0" w:space="0" w:color="auto"/>
        <w:bottom w:val="none" w:sz="0" w:space="0" w:color="auto"/>
        <w:right w:val="none" w:sz="0" w:space="0" w:color="auto"/>
      </w:divBdr>
    </w:div>
    <w:div w:id="1838494430">
      <w:bodyDiv w:val="1"/>
      <w:marLeft w:val="0"/>
      <w:marRight w:val="0"/>
      <w:marTop w:val="0"/>
      <w:marBottom w:val="0"/>
      <w:divBdr>
        <w:top w:val="none" w:sz="0" w:space="0" w:color="auto"/>
        <w:left w:val="none" w:sz="0" w:space="0" w:color="auto"/>
        <w:bottom w:val="none" w:sz="0" w:space="0" w:color="auto"/>
        <w:right w:val="none" w:sz="0" w:space="0" w:color="auto"/>
      </w:divBdr>
    </w:div>
    <w:div w:id="1944799241">
      <w:bodyDiv w:val="1"/>
      <w:marLeft w:val="0"/>
      <w:marRight w:val="0"/>
      <w:marTop w:val="0"/>
      <w:marBottom w:val="0"/>
      <w:divBdr>
        <w:top w:val="none" w:sz="0" w:space="0" w:color="auto"/>
        <w:left w:val="none" w:sz="0" w:space="0" w:color="auto"/>
        <w:bottom w:val="none" w:sz="0" w:space="0" w:color="auto"/>
        <w:right w:val="none" w:sz="0" w:space="0" w:color="auto"/>
      </w:divBdr>
    </w:div>
    <w:div w:id="213663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hcm.org.mx/wp-content/uploads/2019/05/Manual_de_capacitaci%c3%b3n_DDHH_personas_mayores.pdf" TargetMode="External"/><Relationship Id="rId18" Type="http://schemas.openxmlformats.org/officeDocument/2006/relationships/hyperlink" Target="https://www.animalpolitico.com/diversidades-fluidas/edad-discriminacion/" TargetMode="External"/><Relationship Id="rId26" Type="http://schemas.openxmlformats.org/officeDocument/2006/relationships/hyperlink" Target="https://pdh.cdmx.gob.mx/storage/app/media/uploaded-files/tomo-5-grupos-de-poblacion.pdf" TargetMode="External"/><Relationship Id="rId3" Type="http://schemas.openxmlformats.org/officeDocument/2006/relationships/customXml" Target="../customXml/item3.xml"/><Relationship Id="rId21" Type="http://schemas.openxmlformats.org/officeDocument/2006/relationships/hyperlink" Target="https://data.consejeria.cdmx.gob.mx/images/leyes/estatutos/Constitucion_Politica_de_la_Ciudad_de_Mexico_4.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dhcm.org.mx/wp-content/uploads/2014/06/informe-adultos-mayores.pdf" TargetMode="External"/><Relationship Id="rId17" Type="http://schemas.openxmlformats.org/officeDocument/2006/relationships/hyperlink" Target="https://cdhcm.org.mx/wp-content/uploads/2020/02/Informe_Tematico_Vida_independiente_personas_con_discapacidad.pdf" TargetMode="External"/><Relationship Id="rId25" Type="http://schemas.openxmlformats.org/officeDocument/2006/relationships/hyperlink" Target="https://www.ohchr.org/sp/professionalinterest/pages/crc.asp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egi.org.mx/contenidos/programas/enadis/2017/doc/enadis2017_resultados.pdf" TargetMode="External"/><Relationship Id="rId20" Type="http://schemas.openxmlformats.org/officeDocument/2006/relationships/hyperlink" Target="https://cdhcm.org.mx/2020/10/recomendacion-01-2020/" TargetMode="External"/><Relationship Id="rId29" Type="http://schemas.openxmlformats.org/officeDocument/2006/relationships/hyperlink" Target="https://www.cndh.org.mx/sites/default/files/documentos/2021-01/Ley_GDNN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ejecutiva@cdhcm.org.mx" TargetMode="External"/><Relationship Id="rId24" Type="http://schemas.openxmlformats.org/officeDocument/2006/relationships/hyperlink" Target="https://www.cndh.org.mx/sites/default/files/documentos/2021-01/Ley_GDNNA.pdf" TargetMode="External"/><Relationship Id="rId32" Type="http://schemas.openxmlformats.org/officeDocument/2006/relationships/hyperlink" Target="https://www.milenio.com/policia/fgj-cdmx-redisena-atencion-menores-edad" TargetMode="External"/><Relationship Id="rId5" Type="http://schemas.openxmlformats.org/officeDocument/2006/relationships/numbering" Target="numbering.xml"/><Relationship Id="rId15" Type="http://schemas.openxmlformats.org/officeDocument/2006/relationships/hyperlink" Target="https://copred.cdmx.gob.mx/storage/app/uploads/public/5a6/790/d09/5a6790d099f9f244033205.pdf" TargetMode="External"/><Relationship Id="rId23" Type="http://schemas.openxmlformats.org/officeDocument/2006/relationships/hyperlink" Target="https://data.consejeria.cdmx.gob.mx/images/leyes/estatutos/Constitucion_Politica_de_la_Ciudad_de_Mexico_4.pdf" TargetMode="External"/><Relationship Id="rId28" Type="http://schemas.openxmlformats.org/officeDocument/2006/relationships/hyperlink" Target="http://sil.gobernacion.gob.mx/Archivos/Documentos/2019/04/asun_3873003_20190430_1556643465.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iensadh.cdhdf.org.mx/images/ciudad_defensora/2020_Ciudad_Defensora_09.pdf" TargetMode="External"/><Relationship Id="rId31" Type="http://schemas.openxmlformats.org/officeDocument/2006/relationships/hyperlink" Target="https://datos.cdmx.gob.mx/dataset/victimas-en-carpetas-de-investigacion-fgj/resource/d543a7b1-f8cb-439f-8a5c-e56c5479eeb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egi.org.mx/contenidos/programas/enadis/2017/doc/enadis2017_resultados.pdf" TargetMode="External"/><Relationship Id="rId22" Type="http://schemas.openxmlformats.org/officeDocument/2006/relationships/hyperlink" Target="http://www.oas.org/es/sla/ddi/tratados_multilaterales_interamericanos_A-70_derechos_humanos_personas_mayores.asp" TargetMode="External"/><Relationship Id="rId27" Type="http://schemas.openxmlformats.org/officeDocument/2006/relationships/hyperlink" Target="https://consulta.congresocdmx.gob.mx/consulta/webroot/img/files/iniciativa/PAULA_SOTO_iniciativa-SistemaDeCuidados-1.pdf" TargetMode="External"/><Relationship Id="rId30" Type="http://schemas.openxmlformats.org/officeDocument/2006/relationships/hyperlink" Target="https://www.fgjcdmx.gob.mx/micrositios/agencia-para-la-atencion-de-personas-adultas-mayores"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ata.consejeria.cdmx.gob.mx/index.php/leyes/buscador" TargetMode="External"/><Relationship Id="rId1" Type="http://schemas.openxmlformats.org/officeDocument/2006/relationships/hyperlink" Target="https://data.consejeria.cdmx.gob.mx/index.php/leyes/busca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A361D-7300-4819-9ECB-AD820EF1533E}">
  <ds:schemaRefs>
    <ds:schemaRef ds:uri="http://schemas.microsoft.com/sharepoint/v3/contenttype/forms"/>
  </ds:schemaRefs>
</ds:datastoreItem>
</file>

<file path=customXml/itemProps2.xml><?xml version="1.0" encoding="utf-8"?>
<ds:datastoreItem xmlns:ds="http://schemas.openxmlformats.org/officeDocument/2006/customXml" ds:itemID="{58097084-46C0-4A4E-9C83-A0A200A40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19215-E784-4509-B714-1821CD8AC0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46EA826-BA8D-4853-A24B-C6A5C1CA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4558</Words>
  <Characters>25075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2021-03-22T23:05:00Z</dcterms:created>
  <dcterms:modified xsi:type="dcterms:W3CDTF">2021-03-22T23:05:00Z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6300</vt:r8>
  </property>
  <property fmtid="{D5CDD505-2E9C-101B-9397-08002B2CF9AE}" pid="3" name="_CopySource">
    <vt:lpwstr>https://webtransformation.ohchr.org/Collaboration library/Content Guidelines_Calls for Input_July1.docx</vt:lpwstr>
  </property>
  <property fmtid="{D5CDD505-2E9C-101B-9397-08002B2CF9AE}" pid="4" name="xd_ProgID">
    <vt:lpwstr/>
  </property>
  <property fmtid="{D5CDD505-2E9C-101B-9397-08002B2CF9AE}" pid="5" name="ContentTypeId">
    <vt:lpwstr>0x0101008822B9E06671B54FA89F14538B9B0FEA</vt:lpwstr>
  </property>
  <property fmtid="{D5CDD505-2E9C-101B-9397-08002B2CF9AE}" pid="6" name="TemplateUrl">
    <vt:lpwstr/>
  </property>
</Properties>
</file>