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0986C2" w14:textId="1375FECE" w:rsidR="00F7505B" w:rsidRDefault="003A7F1F" w:rsidP="003A7F1F">
      <w:pPr>
        <w:spacing w:after="0" w:line="240" w:lineRule="auto"/>
        <w:rPr>
          <w:b/>
        </w:rPr>
      </w:pPr>
      <w:r>
        <w:rPr>
          <w:b/>
        </w:rPr>
        <w:t xml:space="preserve">    </w:t>
      </w:r>
      <w:r w:rsidR="00C81433">
        <w:rPr>
          <w:b/>
        </w:rPr>
        <w:tab/>
      </w:r>
      <w:r w:rsidR="00C81433">
        <w:rPr>
          <w:b/>
        </w:rPr>
        <w:tab/>
      </w:r>
      <w:r w:rsidR="00C81433">
        <w:rPr>
          <w:b/>
        </w:rPr>
        <w:tab/>
      </w:r>
      <w:r w:rsidR="00C81433">
        <w:rPr>
          <w:b/>
        </w:rPr>
        <w:tab/>
      </w:r>
    </w:p>
    <w:p w14:paraId="19D96585" w14:textId="77777777" w:rsidR="00A1411B" w:rsidRDefault="00A1411B" w:rsidP="00F7505B">
      <w:pPr>
        <w:pStyle w:val="TOC1"/>
        <w:ind w:left="0"/>
        <w:jc w:val="center"/>
        <w:rPr>
          <w:b/>
        </w:rPr>
      </w:pPr>
    </w:p>
    <w:p w14:paraId="1851DC5B" w14:textId="77777777" w:rsidR="00A1411B" w:rsidRDefault="00A1411B" w:rsidP="00F7505B">
      <w:pPr>
        <w:pStyle w:val="TOC1"/>
        <w:ind w:left="0"/>
        <w:jc w:val="center"/>
        <w:rPr>
          <w:b/>
        </w:rPr>
      </w:pPr>
    </w:p>
    <w:p w14:paraId="58B02773" w14:textId="1DB69096" w:rsidR="00A1411B" w:rsidRDefault="00C81433" w:rsidP="00F7505B">
      <w:pPr>
        <w:pStyle w:val="TOC1"/>
        <w:ind w:left="0"/>
        <w:jc w:val="center"/>
        <w:rPr>
          <w:b/>
        </w:rPr>
      </w:pPr>
      <w:r>
        <w:rPr>
          <w:b/>
        </w:rPr>
        <w:tab/>
      </w:r>
    </w:p>
    <w:p w14:paraId="6F71D91E" w14:textId="77777777" w:rsidR="00A1411B" w:rsidRDefault="00A1411B" w:rsidP="00F7505B">
      <w:pPr>
        <w:pStyle w:val="TOC1"/>
        <w:ind w:left="0"/>
        <w:jc w:val="center"/>
        <w:rPr>
          <w:b/>
        </w:rPr>
      </w:pPr>
    </w:p>
    <w:p w14:paraId="65CF339D" w14:textId="7A3C1EAD" w:rsidR="00F7505B" w:rsidRDefault="00C81433" w:rsidP="00F7505B">
      <w:pPr>
        <w:pStyle w:val="TOC1"/>
        <w:ind w:left="0"/>
        <w:jc w:val="center"/>
        <w:rPr>
          <w:b/>
        </w:rPr>
      </w:pPr>
      <w:r>
        <w:rPr>
          <w:b/>
        </w:rPr>
        <w:tab/>
      </w:r>
      <w:r>
        <w:rPr>
          <w:b/>
        </w:rPr>
        <w:tab/>
      </w:r>
      <w:r>
        <w:rPr>
          <w:b/>
        </w:rPr>
        <w:tab/>
      </w:r>
    </w:p>
    <w:p w14:paraId="24692833" w14:textId="717D22DC" w:rsidR="00F7505B" w:rsidRPr="00F7505B" w:rsidRDefault="00F7505B" w:rsidP="00F7505B">
      <w:pPr>
        <w:pStyle w:val="TOC1"/>
        <w:ind w:left="0"/>
        <w:jc w:val="center"/>
        <w:rPr>
          <w:b/>
          <w:i/>
          <w:sz w:val="24"/>
          <w:szCs w:val="24"/>
        </w:rPr>
      </w:pPr>
      <w:r w:rsidRPr="00F7505B">
        <w:rPr>
          <w:b/>
          <w:i/>
          <w:sz w:val="24"/>
          <w:szCs w:val="24"/>
        </w:rPr>
        <w:t xml:space="preserve">APORTE DEL </w:t>
      </w:r>
      <w:r w:rsidR="0033156F">
        <w:rPr>
          <w:b/>
          <w:i/>
          <w:sz w:val="24"/>
          <w:szCs w:val="24"/>
        </w:rPr>
        <w:t>GOBIERNO</w:t>
      </w:r>
      <w:r w:rsidRPr="00F7505B">
        <w:rPr>
          <w:b/>
          <w:i/>
          <w:sz w:val="24"/>
          <w:szCs w:val="24"/>
        </w:rPr>
        <w:t xml:space="preserve"> DE CHILE</w:t>
      </w:r>
    </w:p>
    <w:p w14:paraId="7137E565" w14:textId="77777777" w:rsidR="00F7505B" w:rsidRPr="00F7505B" w:rsidRDefault="00F7505B" w:rsidP="00F7505B">
      <w:pPr>
        <w:spacing w:before="200"/>
        <w:jc w:val="center"/>
        <w:rPr>
          <w:rFonts w:ascii="Book Antiqua" w:hAnsi="Book Antiqua" w:cs="Times New Roman"/>
          <w:sz w:val="20"/>
          <w:szCs w:val="20"/>
        </w:rPr>
      </w:pPr>
      <w:r w:rsidRPr="00F7505B">
        <w:rPr>
          <w:rFonts w:ascii="Book Antiqua" w:hAnsi="Book Antiqua" w:cs="Times New Roman"/>
          <w:sz w:val="20"/>
          <w:szCs w:val="20"/>
        </w:rPr>
        <w:t>A LA</w:t>
      </w:r>
    </w:p>
    <w:p w14:paraId="1BA0839A" w14:textId="6CD0539E" w:rsidR="00F7505B" w:rsidRPr="00F7505B" w:rsidRDefault="00F7505B" w:rsidP="0033156F">
      <w:pPr>
        <w:pStyle w:val="TOC1"/>
        <w:ind w:left="0"/>
        <w:jc w:val="center"/>
        <w:rPr>
          <w:rFonts w:cs="Times New Roman"/>
          <w:b/>
          <w:bCs/>
          <w:i/>
          <w:iCs/>
          <w:sz w:val="24"/>
          <w:szCs w:val="24"/>
        </w:rPr>
      </w:pPr>
      <w:r w:rsidRPr="00F7505B">
        <w:rPr>
          <w:b/>
          <w:i/>
          <w:sz w:val="24"/>
          <w:szCs w:val="24"/>
        </w:rPr>
        <w:t xml:space="preserve">SOLICITUD DE INFORMACIÓN </w:t>
      </w:r>
      <w:r w:rsidR="0033156F">
        <w:rPr>
          <w:b/>
          <w:i/>
          <w:sz w:val="24"/>
          <w:szCs w:val="24"/>
        </w:rPr>
        <w:t xml:space="preserve">DE LA </w:t>
      </w:r>
      <w:r w:rsidR="0033156F">
        <w:rPr>
          <w:rFonts w:cs="Times New Roman"/>
          <w:b/>
          <w:i/>
          <w:sz w:val="24"/>
          <w:szCs w:val="24"/>
        </w:rPr>
        <w:t>EXPERTA INDEPENDIENTE SOBRE EL DISFRUTE DE TODOS LOS DERECHOS HUMANOS DE LAS PERSONAS DE EDAD</w:t>
      </w:r>
    </w:p>
    <w:p w14:paraId="659BC6D6" w14:textId="77777777" w:rsidR="00F7505B" w:rsidRPr="00B653AC" w:rsidRDefault="00F7505B" w:rsidP="00F7505B">
      <w:pPr>
        <w:rPr>
          <w:rFonts w:cs="Times New Roman"/>
          <w:sz w:val="24"/>
          <w:szCs w:val="24"/>
        </w:rPr>
      </w:pPr>
    </w:p>
    <w:p w14:paraId="2427FE39" w14:textId="77777777" w:rsidR="00F7505B" w:rsidRPr="00B653AC" w:rsidRDefault="00F7505B" w:rsidP="00F7505B">
      <w:pPr>
        <w:jc w:val="center"/>
        <w:rPr>
          <w:rFonts w:cs="Times New Roman"/>
          <w:sz w:val="24"/>
          <w:szCs w:val="24"/>
        </w:rPr>
      </w:pPr>
    </w:p>
    <w:p w14:paraId="791D8C33" w14:textId="68DE57D9" w:rsidR="00A1411B" w:rsidRDefault="00A1411B" w:rsidP="00F7505B">
      <w:pPr>
        <w:rPr>
          <w:rFonts w:cs="Times New Roman"/>
          <w:sz w:val="24"/>
          <w:szCs w:val="24"/>
        </w:rPr>
      </w:pPr>
    </w:p>
    <w:p w14:paraId="34DD0A62" w14:textId="77777777" w:rsidR="00A1411B" w:rsidRPr="00B653AC" w:rsidRDefault="00A1411B" w:rsidP="00F7505B">
      <w:pPr>
        <w:rPr>
          <w:rFonts w:cs="Times New Roman"/>
          <w:sz w:val="24"/>
          <w:szCs w:val="24"/>
        </w:rPr>
      </w:pPr>
    </w:p>
    <w:p w14:paraId="758C6353" w14:textId="1A170B7B" w:rsidR="00F7505B" w:rsidRDefault="00F7505B" w:rsidP="00F7505B">
      <w:pPr>
        <w:rPr>
          <w:rFonts w:cs="Times New Roman"/>
          <w:sz w:val="24"/>
          <w:szCs w:val="24"/>
        </w:rPr>
      </w:pPr>
    </w:p>
    <w:p w14:paraId="012030E6" w14:textId="77777777" w:rsidR="00385091" w:rsidRPr="00B653AC" w:rsidRDefault="00385091" w:rsidP="00F7505B">
      <w:pPr>
        <w:rPr>
          <w:rFonts w:cs="Times New Roman"/>
          <w:sz w:val="24"/>
          <w:szCs w:val="24"/>
        </w:rPr>
      </w:pPr>
    </w:p>
    <w:p w14:paraId="25CB5107" w14:textId="7F3AA036" w:rsidR="00F7505B" w:rsidRDefault="00F7505B" w:rsidP="00F7505B">
      <w:pPr>
        <w:jc w:val="center"/>
        <w:rPr>
          <w:rFonts w:cs="Times New Roman"/>
          <w:sz w:val="24"/>
          <w:szCs w:val="24"/>
        </w:rPr>
      </w:pPr>
    </w:p>
    <w:p w14:paraId="072140F7" w14:textId="6B45E70F" w:rsidR="0033156F" w:rsidRDefault="0033156F" w:rsidP="00F7505B">
      <w:pPr>
        <w:jc w:val="center"/>
        <w:rPr>
          <w:rFonts w:cs="Times New Roman"/>
          <w:sz w:val="24"/>
          <w:szCs w:val="24"/>
        </w:rPr>
      </w:pPr>
    </w:p>
    <w:p w14:paraId="73BE09E8" w14:textId="5DB7FDCE" w:rsidR="0033156F" w:rsidRDefault="0033156F" w:rsidP="00F7505B">
      <w:pPr>
        <w:jc w:val="center"/>
        <w:rPr>
          <w:rFonts w:cs="Times New Roman"/>
          <w:sz w:val="24"/>
          <w:szCs w:val="24"/>
        </w:rPr>
      </w:pPr>
    </w:p>
    <w:p w14:paraId="7690BD8C" w14:textId="77777777" w:rsidR="0033156F" w:rsidRPr="00B653AC" w:rsidRDefault="0033156F" w:rsidP="00F7505B">
      <w:pPr>
        <w:jc w:val="center"/>
        <w:rPr>
          <w:rFonts w:cs="Times New Roman"/>
          <w:sz w:val="24"/>
          <w:szCs w:val="24"/>
        </w:rPr>
      </w:pPr>
    </w:p>
    <w:p w14:paraId="03F04659" w14:textId="77777777" w:rsidR="00F7505B" w:rsidRPr="00B653AC" w:rsidRDefault="00F7505B" w:rsidP="00F7505B">
      <w:pPr>
        <w:jc w:val="center"/>
        <w:rPr>
          <w:rFonts w:cs="Times New Roman"/>
          <w:sz w:val="24"/>
          <w:szCs w:val="24"/>
        </w:rPr>
      </w:pPr>
    </w:p>
    <w:p w14:paraId="33C77EC7" w14:textId="44936143" w:rsidR="00F7505B" w:rsidRDefault="00385091" w:rsidP="00F7505B">
      <w:pPr>
        <w:jc w:val="center"/>
        <w:rPr>
          <w:rFonts w:ascii="Book Antiqua" w:hAnsi="Book Antiqua" w:cs="Times New Roman"/>
          <w:b/>
          <w:bCs/>
          <w:sz w:val="24"/>
          <w:szCs w:val="24"/>
        </w:rPr>
      </w:pPr>
      <w:r>
        <w:rPr>
          <w:rFonts w:ascii="Book Antiqua" w:hAnsi="Book Antiqua" w:cs="Times New Roman"/>
          <w:b/>
          <w:bCs/>
          <w:sz w:val="24"/>
          <w:szCs w:val="24"/>
        </w:rPr>
        <w:t>RESPUESTAS</w:t>
      </w:r>
      <w:r w:rsidR="00F7505B" w:rsidRPr="00F7505B">
        <w:rPr>
          <w:rFonts w:ascii="Book Antiqua" w:hAnsi="Book Antiqua" w:cs="Times New Roman"/>
          <w:b/>
          <w:bCs/>
          <w:sz w:val="24"/>
          <w:szCs w:val="24"/>
        </w:rPr>
        <w:t xml:space="preserve"> ELABORAD</w:t>
      </w:r>
      <w:r>
        <w:rPr>
          <w:rFonts w:ascii="Book Antiqua" w:hAnsi="Book Antiqua" w:cs="Times New Roman"/>
          <w:b/>
          <w:bCs/>
          <w:sz w:val="24"/>
          <w:szCs w:val="24"/>
        </w:rPr>
        <w:t>AS</w:t>
      </w:r>
      <w:r w:rsidR="00F7505B" w:rsidRPr="00F7505B">
        <w:rPr>
          <w:rFonts w:ascii="Book Antiqua" w:hAnsi="Book Antiqua" w:cs="Times New Roman"/>
          <w:b/>
          <w:bCs/>
          <w:sz w:val="24"/>
          <w:szCs w:val="24"/>
        </w:rPr>
        <w:t xml:space="preserve"> POR: </w:t>
      </w:r>
    </w:p>
    <w:p w14:paraId="650731F6" w14:textId="15D0C3E9" w:rsidR="0033156F" w:rsidRPr="00F7505B" w:rsidRDefault="0033156F" w:rsidP="00F7505B">
      <w:pPr>
        <w:jc w:val="center"/>
        <w:rPr>
          <w:rFonts w:ascii="Book Antiqua" w:hAnsi="Book Antiqua" w:cs="Times New Roman"/>
          <w:b/>
          <w:bCs/>
          <w:sz w:val="24"/>
          <w:szCs w:val="24"/>
        </w:rPr>
      </w:pPr>
      <w:r>
        <w:rPr>
          <w:rFonts w:ascii="Book Antiqua" w:hAnsi="Book Antiqua" w:cs="Times New Roman"/>
          <w:b/>
          <w:bCs/>
          <w:sz w:val="24"/>
          <w:szCs w:val="24"/>
        </w:rPr>
        <w:t>Servicio Nacional del Adulto Mayor (SENAMA)</w:t>
      </w:r>
    </w:p>
    <w:p w14:paraId="075765D9" w14:textId="080F3311" w:rsidR="00F7505B" w:rsidRPr="00F7505B" w:rsidRDefault="00385091" w:rsidP="00F7505B">
      <w:pPr>
        <w:jc w:val="center"/>
        <w:rPr>
          <w:rFonts w:ascii="Book Antiqua" w:hAnsi="Book Antiqua" w:cs="Times New Roman"/>
          <w:bCs/>
          <w:sz w:val="24"/>
          <w:szCs w:val="24"/>
        </w:rPr>
      </w:pPr>
      <w:r>
        <w:rPr>
          <w:rFonts w:ascii="Book Antiqua" w:hAnsi="Book Antiqua" w:cs="Times New Roman"/>
          <w:bCs/>
          <w:sz w:val="24"/>
          <w:szCs w:val="24"/>
        </w:rPr>
        <w:t xml:space="preserve">Ministerio </w:t>
      </w:r>
      <w:r w:rsidR="0033156F">
        <w:rPr>
          <w:rFonts w:ascii="Book Antiqua" w:hAnsi="Book Antiqua" w:cs="Times New Roman"/>
          <w:bCs/>
          <w:sz w:val="24"/>
          <w:szCs w:val="24"/>
        </w:rPr>
        <w:t>de Desarrollo Social y Familia</w:t>
      </w:r>
    </w:p>
    <w:p w14:paraId="4FBEF899" w14:textId="4EB64A75" w:rsidR="00A1411B" w:rsidRDefault="00F7505B" w:rsidP="00A1411B">
      <w:pPr>
        <w:jc w:val="center"/>
        <w:rPr>
          <w:rFonts w:ascii="Book Antiqua" w:hAnsi="Book Antiqua" w:cs="Times New Roman"/>
          <w:bCs/>
          <w:sz w:val="24"/>
          <w:szCs w:val="24"/>
        </w:rPr>
      </w:pPr>
      <w:r w:rsidRPr="00F7505B">
        <w:rPr>
          <w:rFonts w:ascii="Book Antiqua" w:hAnsi="Book Antiqua" w:cs="Times New Roman"/>
          <w:bCs/>
          <w:sz w:val="24"/>
          <w:szCs w:val="24"/>
        </w:rPr>
        <w:t>GOBIERNO DE CHILE</w:t>
      </w:r>
    </w:p>
    <w:p w14:paraId="04A504F8" w14:textId="74575E12" w:rsidR="00F7505B" w:rsidRPr="00EE63A4" w:rsidRDefault="00F7505B" w:rsidP="00F7505B">
      <w:pPr>
        <w:ind w:right="49"/>
        <w:jc w:val="both"/>
        <w:rPr>
          <w:rFonts w:ascii="Book Antiqua" w:hAnsi="Book Antiqua" w:cs="Times New Roman"/>
          <w:b/>
        </w:rPr>
      </w:pPr>
      <w:r w:rsidRPr="00EE63A4">
        <w:rPr>
          <w:rFonts w:ascii="Book Antiqua" w:hAnsi="Book Antiqua" w:cs="Times New Roman"/>
          <w:b/>
        </w:rPr>
        <w:lastRenderedPageBreak/>
        <w:t xml:space="preserve">El presente documento contiene el aporte del Gobierno de Chile a la solicitud </w:t>
      </w:r>
      <w:r w:rsidR="00A1411B" w:rsidRPr="00EE63A4">
        <w:rPr>
          <w:rFonts w:ascii="Book Antiqua" w:hAnsi="Book Antiqua" w:cs="Times New Roman"/>
          <w:b/>
        </w:rPr>
        <w:t>de</w:t>
      </w:r>
      <w:r w:rsidR="00037D55">
        <w:rPr>
          <w:rFonts w:ascii="Book Antiqua" w:hAnsi="Book Antiqua" w:cs="Times New Roman"/>
          <w:b/>
        </w:rPr>
        <w:t xml:space="preserve"> </w:t>
      </w:r>
      <w:r w:rsidR="00A1411B" w:rsidRPr="00EE63A4">
        <w:rPr>
          <w:rFonts w:ascii="Book Antiqua" w:hAnsi="Book Antiqua" w:cs="Times New Roman"/>
          <w:b/>
        </w:rPr>
        <w:t>l</w:t>
      </w:r>
      <w:r w:rsidR="00037D55">
        <w:rPr>
          <w:rFonts w:ascii="Book Antiqua" w:hAnsi="Book Antiqua" w:cs="Times New Roman"/>
          <w:b/>
        </w:rPr>
        <w:t>a</w:t>
      </w:r>
      <w:r w:rsidR="00385091">
        <w:rPr>
          <w:rFonts w:ascii="Book Antiqua" w:hAnsi="Book Antiqua" w:cs="Times New Roman"/>
          <w:b/>
        </w:rPr>
        <w:t xml:space="preserve"> </w:t>
      </w:r>
      <w:r w:rsidR="0033156F">
        <w:rPr>
          <w:rFonts w:ascii="Book Antiqua" w:hAnsi="Book Antiqua" w:cs="Times New Roman"/>
          <w:b/>
        </w:rPr>
        <w:t>Experta Independiente sobre el disfrute de todos los derechos humanos de las personas de edad</w:t>
      </w:r>
      <w:r w:rsidR="00385091">
        <w:rPr>
          <w:rFonts w:ascii="Book Antiqua" w:hAnsi="Book Antiqua" w:cs="Times New Roman"/>
          <w:b/>
        </w:rPr>
        <w:t>,</w:t>
      </w:r>
      <w:r w:rsidR="00A1411B" w:rsidRPr="00EE63A4">
        <w:rPr>
          <w:rFonts w:ascii="Book Antiqua" w:hAnsi="Book Antiqua" w:cs="Times New Roman"/>
          <w:b/>
        </w:rPr>
        <w:t xml:space="preserve"> </w:t>
      </w:r>
      <w:r w:rsidR="00991F75">
        <w:rPr>
          <w:rFonts w:ascii="Book Antiqua" w:hAnsi="Book Antiqua" w:cs="Times New Roman"/>
          <w:b/>
        </w:rPr>
        <w:t xml:space="preserve">en virtud de la resolución </w:t>
      </w:r>
      <w:r w:rsidR="0033156F">
        <w:rPr>
          <w:rFonts w:ascii="Book Antiqua" w:hAnsi="Book Antiqua" w:cs="Times New Roman"/>
          <w:b/>
        </w:rPr>
        <w:t>33/5 y 42/12</w:t>
      </w:r>
      <w:r w:rsidR="00991F75">
        <w:rPr>
          <w:rFonts w:ascii="Book Antiqua" w:hAnsi="Book Antiqua" w:cs="Times New Roman"/>
          <w:b/>
        </w:rPr>
        <w:t xml:space="preserve"> del</w:t>
      </w:r>
      <w:r w:rsidRPr="00EE63A4">
        <w:rPr>
          <w:rFonts w:ascii="Book Antiqua" w:hAnsi="Book Antiqua" w:cs="Times New Roman"/>
          <w:b/>
        </w:rPr>
        <w:t xml:space="preserve"> Consejo de Derechos Humanos de las Naciones Unidas. </w:t>
      </w:r>
    </w:p>
    <w:p w14:paraId="56225BC6" w14:textId="3D11913D" w:rsidR="00F7505B" w:rsidRPr="00EE63A4" w:rsidRDefault="00F7505B" w:rsidP="00F7505B">
      <w:pPr>
        <w:ind w:right="49"/>
        <w:jc w:val="both"/>
        <w:rPr>
          <w:rFonts w:ascii="Book Antiqua" w:hAnsi="Book Antiqua" w:cs="Times New Roman"/>
          <w:b/>
        </w:rPr>
      </w:pPr>
      <w:r w:rsidRPr="00EE63A4">
        <w:rPr>
          <w:rFonts w:ascii="Book Antiqua" w:hAnsi="Book Antiqua" w:cs="Times New Roman"/>
          <w:b/>
        </w:rPr>
        <w:t xml:space="preserve">El siguiente documento, elaborado </w:t>
      </w:r>
      <w:r w:rsidR="007F39BD">
        <w:rPr>
          <w:rFonts w:ascii="Book Antiqua" w:hAnsi="Book Antiqua" w:cs="Times New Roman"/>
          <w:b/>
        </w:rPr>
        <w:t>por el Servicio Nacional del Adulto Mayor (SENAMA)</w:t>
      </w:r>
      <w:r w:rsidRPr="00EE63A4">
        <w:rPr>
          <w:rFonts w:ascii="Book Antiqua" w:hAnsi="Book Antiqua" w:cs="Times New Roman"/>
          <w:b/>
        </w:rPr>
        <w:t xml:space="preserve">, busca </w:t>
      </w:r>
      <w:r w:rsidR="00A1411B" w:rsidRPr="00EE63A4">
        <w:rPr>
          <w:rFonts w:ascii="Book Antiqua" w:hAnsi="Book Antiqua" w:cs="Times New Roman"/>
          <w:b/>
        </w:rPr>
        <w:t xml:space="preserve">aportar información para </w:t>
      </w:r>
      <w:r w:rsidR="00037D55">
        <w:rPr>
          <w:rFonts w:ascii="Book Antiqua" w:hAnsi="Book Antiqua" w:cs="Times New Roman"/>
          <w:b/>
        </w:rPr>
        <w:t xml:space="preserve">el </w:t>
      </w:r>
      <w:r w:rsidR="00385091">
        <w:rPr>
          <w:rFonts w:ascii="Book Antiqua" w:hAnsi="Book Antiqua" w:cs="Times New Roman"/>
          <w:b/>
        </w:rPr>
        <w:t xml:space="preserve">informe de la </w:t>
      </w:r>
      <w:r w:rsidR="007F39BD">
        <w:rPr>
          <w:rFonts w:ascii="Book Antiqua" w:hAnsi="Book Antiqua" w:cs="Times New Roman"/>
          <w:b/>
        </w:rPr>
        <w:t>Experta Independiente</w:t>
      </w:r>
      <w:r w:rsidR="00385091">
        <w:rPr>
          <w:rFonts w:ascii="Book Antiqua" w:hAnsi="Book Antiqua" w:cs="Times New Roman"/>
          <w:b/>
        </w:rPr>
        <w:t xml:space="preserve">, Sra. </w:t>
      </w:r>
      <w:r w:rsidR="007F39BD">
        <w:rPr>
          <w:rFonts w:ascii="Book Antiqua" w:hAnsi="Book Antiqua" w:cs="Times New Roman"/>
          <w:b/>
        </w:rPr>
        <w:t>Claudia Mahler</w:t>
      </w:r>
      <w:r w:rsidRPr="00EE63A4">
        <w:rPr>
          <w:rFonts w:ascii="Book Antiqua" w:hAnsi="Book Antiqua" w:cs="Times New Roman"/>
          <w:b/>
        </w:rPr>
        <w:t xml:space="preserve">. El Gobierno de Chile confía que </w:t>
      </w:r>
      <w:r w:rsidR="00A1411B" w:rsidRPr="00EE63A4">
        <w:rPr>
          <w:rFonts w:ascii="Book Antiqua" w:hAnsi="Book Antiqua" w:cs="Times New Roman"/>
          <w:b/>
        </w:rPr>
        <w:t>est</w:t>
      </w:r>
      <w:r w:rsidR="005A3992">
        <w:rPr>
          <w:rFonts w:ascii="Book Antiqua" w:hAnsi="Book Antiqua" w:cs="Times New Roman"/>
          <w:b/>
        </w:rPr>
        <w:t>a respuesta</w:t>
      </w:r>
      <w:r w:rsidRPr="00EE63A4">
        <w:rPr>
          <w:rFonts w:ascii="Book Antiqua" w:hAnsi="Book Antiqua" w:cs="Times New Roman"/>
          <w:b/>
        </w:rPr>
        <w:t xml:space="preserve"> permita dar a conocer parte de la experiencia y de las políticas desarrolladas en Chile en referencia a esta temática. Del mismo modo, espera sea de utilidad para promover y fortalecer el intercambio internacional y el desarrollo efectivo de los derechos mencionados, y así, en última instancia, beneficien a los ciudadanos y a los sistemas democráticos de la comunidad internacional. </w:t>
      </w:r>
    </w:p>
    <w:p w14:paraId="67B3A158" w14:textId="609DE50E" w:rsidR="003A7F1F" w:rsidRPr="00F7505B" w:rsidRDefault="003A7F1F" w:rsidP="003A7F1F">
      <w:pPr>
        <w:spacing w:after="0" w:line="240" w:lineRule="auto"/>
      </w:pPr>
    </w:p>
    <w:p w14:paraId="6F32B0FE" w14:textId="77777777" w:rsidR="00A1411B" w:rsidRDefault="00A1411B" w:rsidP="00473067">
      <w:pPr>
        <w:spacing w:after="0" w:line="240" w:lineRule="auto"/>
        <w:jc w:val="center"/>
        <w:rPr>
          <w:sz w:val="20"/>
        </w:rPr>
      </w:pPr>
    </w:p>
    <w:p w14:paraId="3851172F" w14:textId="77777777" w:rsidR="00A1411B" w:rsidRDefault="00A1411B" w:rsidP="00473067">
      <w:pPr>
        <w:spacing w:after="0" w:line="240" w:lineRule="auto"/>
        <w:jc w:val="center"/>
        <w:rPr>
          <w:sz w:val="20"/>
        </w:rPr>
      </w:pPr>
    </w:p>
    <w:p w14:paraId="7BB9998B" w14:textId="77777777" w:rsidR="00A1411B" w:rsidRDefault="00A1411B" w:rsidP="00473067">
      <w:pPr>
        <w:spacing w:after="0" w:line="240" w:lineRule="auto"/>
        <w:jc w:val="center"/>
        <w:rPr>
          <w:sz w:val="20"/>
        </w:rPr>
      </w:pPr>
    </w:p>
    <w:p w14:paraId="5DC2ECDC" w14:textId="77777777" w:rsidR="00A1411B" w:rsidRDefault="00A1411B" w:rsidP="00473067">
      <w:pPr>
        <w:spacing w:after="0" w:line="240" w:lineRule="auto"/>
        <w:jc w:val="center"/>
        <w:rPr>
          <w:sz w:val="20"/>
        </w:rPr>
      </w:pPr>
    </w:p>
    <w:p w14:paraId="77E9E211" w14:textId="77777777" w:rsidR="00A1411B" w:rsidRDefault="00A1411B" w:rsidP="00473067">
      <w:pPr>
        <w:spacing w:after="0" w:line="240" w:lineRule="auto"/>
        <w:jc w:val="center"/>
        <w:rPr>
          <w:sz w:val="20"/>
        </w:rPr>
      </w:pPr>
    </w:p>
    <w:p w14:paraId="14C4CB3D" w14:textId="77777777" w:rsidR="00A1411B" w:rsidRDefault="00A1411B" w:rsidP="00473067">
      <w:pPr>
        <w:spacing w:after="0" w:line="240" w:lineRule="auto"/>
        <w:jc w:val="center"/>
        <w:rPr>
          <w:sz w:val="20"/>
        </w:rPr>
      </w:pPr>
    </w:p>
    <w:p w14:paraId="3AF33104" w14:textId="022752E8" w:rsidR="00F7505B" w:rsidRDefault="00F7505B" w:rsidP="002D3B18">
      <w:pPr>
        <w:spacing w:after="0" w:line="240" w:lineRule="auto"/>
        <w:rPr>
          <w:sz w:val="20"/>
        </w:rPr>
      </w:pPr>
    </w:p>
    <w:p w14:paraId="39A44FFE" w14:textId="76F37734" w:rsidR="002D3B18" w:rsidRDefault="002D3B18" w:rsidP="002D3B18">
      <w:pPr>
        <w:spacing w:after="0" w:line="240" w:lineRule="auto"/>
        <w:rPr>
          <w:sz w:val="20"/>
        </w:rPr>
      </w:pPr>
    </w:p>
    <w:p w14:paraId="7530F5C1" w14:textId="38604BC7" w:rsidR="002D3B18" w:rsidRDefault="002D3B18" w:rsidP="002D3B18">
      <w:pPr>
        <w:spacing w:after="0" w:line="240" w:lineRule="auto"/>
        <w:rPr>
          <w:sz w:val="20"/>
        </w:rPr>
      </w:pPr>
    </w:p>
    <w:p w14:paraId="6147EECD" w14:textId="1DA21909" w:rsidR="002D3B18" w:rsidRDefault="002D3B18" w:rsidP="002D3B18">
      <w:pPr>
        <w:spacing w:after="0" w:line="240" w:lineRule="auto"/>
        <w:rPr>
          <w:sz w:val="20"/>
        </w:rPr>
      </w:pPr>
    </w:p>
    <w:p w14:paraId="6EA71E4C" w14:textId="7D242EB2" w:rsidR="002D3B18" w:rsidRDefault="002D3B18" w:rsidP="002D3B18">
      <w:pPr>
        <w:spacing w:after="0" w:line="240" w:lineRule="auto"/>
        <w:rPr>
          <w:sz w:val="20"/>
        </w:rPr>
      </w:pPr>
    </w:p>
    <w:p w14:paraId="7020566D" w14:textId="6ADF18E0" w:rsidR="002D3B18" w:rsidRDefault="002D3B18" w:rsidP="002D3B18">
      <w:pPr>
        <w:spacing w:after="0" w:line="240" w:lineRule="auto"/>
        <w:rPr>
          <w:sz w:val="20"/>
        </w:rPr>
      </w:pPr>
    </w:p>
    <w:p w14:paraId="0BCA39EC" w14:textId="1C8E1719" w:rsidR="002D3B18" w:rsidRDefault="002D3B18" w:rsidP="002D3B18">
      <w:pPr>
        <w:spacing w:after="0" w:line="240" w:lineRule="auto"/>
        <w:rPr>
          <w:sz w:val="20"/>
        </w:rPr>
      </w:pPr>
    </w:p>
    <w:p w14:paraId="1218EB16" w14:textId="6D852D55" w:rsidR="002D3B18" w:rsidRDefault="002D3B18" w:rsidP="002D3B18">
      <w:pPr>
        <w:spacing w:after="0" w:line="240" w:lineRule="auto"/>
        <w:rPr>
          <w:sz w:val="20"/>
        </w:rPr>
      </w:pPr>
    </w:p>
    <w:p w14:paraId="292912C9" w14:textId="27A5B5E6" w:rsidR="002D3B18" w:rsidRDefault="002D3B18" w:rsidP="002D3B18">
      <w:pPr>
        <w:spacing w:after="0" w:line="240" w:lineRule="auto"/>
        <w:rPr>
          <w:sz w:val="20"/>
        </w:rPr>
      </w:pPr>
    </w:p>
    <w:p w14:paraId="1B3FF3C0" w14:textId="706428AF" w:rsidR="002D3B18" w:rsidRDefault="002D3B18" w:rsidP="002D3B18">
      <w:pPr>
        <w:spacing w:after="0" w:line="240" w:lineRule="auto"/>
        <w:rPr>
          <w:sz w:val="20"/>
        </w:rPr>
      </w:pPr>
    </w:p>
    <w:p w14:paraId="4D79BC4E" w14:textId="2A43BA41" w:rsidR="002D3B18" w:rsidRDefault="002D3B18" w:rsidP="002D3B18">
      <w:pPr>
        <w:spacing w:after="0" w:line="240" w:lineRule="auto"/>
        <w:rPr>
          <w:sz w:val="20"/>
        </w:rPr>
      </w:pPr>
    </w:p>
    <w:p w14:paraId="034D1EE4" w14:textId="66D671C5" w:rsidR="002D3B18" w:rsidRDefault="002D3B18" w:rsidP="002D3B18">
      <w:pPr>
        <w:spacing w:after="0" w:line="240" w:lineRule="auto"/>
        <w:rPr>
          <w:sz w:val="20"/>
        </w:rPr>
      </w:pPr>
    </w:p>
    <w:p w14:paraId="4BD78B6D" w14:textId="7751524C" w:rsidR="002D3B18" w:rsidRDefault="002D3B18" w:rsidP="002D3B18">
      <w:pPr>
        <w:spacing w:after="0" w:line="240" w:lineRule="auto"/>
        <w:rPr>
          <w:sz w:val="20"/>
        </w:rPr>
      </w:pPr>
    </w:p>
    <w:p w14:paraId="05CF1F21" w14:textId="5C3EE6B4" w:rsidR="002D3B18" w:rsidRDefault="002D3B18" w:rsidP="002D3B18">
      <w:pPr>
        <w:spacing w:after="0" w:line="240" w:lineRule="auto"/>
        <w:rPr>
          <w:sz w:val="20"/>
        </w:rPr>
      </w:pPr>
    </w:p>
    <w:p w14:paraId="17EFB9AE" w14:textId="77777777" w:rsidR="006B6737" w:rsidRDefault="006B6737" w:rsidP="002D3B18">
      <w:pPr>
        <w:spacing w:after="0" w:line="240" w:lineRule="auto"/>
        <w:rPr>
          <w:sz w:val="20"/>
        </w:rPr>
        <w:sectPr w:rsidR="006B6737" w:rsidSect="002D3B18">
          <w:headerReference w:type="default" r:id="rId8"/>
          <w:footerReference w:type="default" r:id="rId9"/>
          <w:pgSz w:w="12250" w:h="15850"/>
          <w:pgMar w:top="2552" w:right="900" w:bottom="1040" w:left="920" w:header="320" w:footer="856" w:gutter="0"/>
          <w:pgNumType w:start="1"/>
          <w:cols w:space="720"/>
        </w:sectPr>
      </w:pPr>
    </w:p>
    <w:p w14:paraId="17DD80E9" w14:textId="34CF224A" w:rsidR="0033156F" w:rsidRDefault="0033156F" w:rsidP="0033156F">
      <w:pPr>
        <w:spacing w:after="0" w:line="360" w:lineRule="auto"/>
        <w:jc w:val="center"/>
        <w:rPr>
          <w:rFonts w:ascii="Book Antiqua" w:hAnsi="Book Antiqua" w:cstheme="minorHAnsi"/>
          <w:b/>
          <w:sz w:val="28"/>
          <w:szCs w:val="24"/>
        </w:rPr>
      </w:pPr>
      <w:r w:rsidRPr="0033156F">
        <w:rPr>
          <w:rFonts w:ascii="Book Antiqua" w:hAnsi="Book Antiqua" w:cstheme="minorHAnsi"/>
          <w:b/>
          <w:sz w:val="28"/>
          <w:szCs w:val="24"/>
        </w:rPr>
        <w:lastRenderedPageBreak/>
        <w:t xml:space="preserve">I. </w:t>
      </w:r>
      <w:r>
        <w:rPr>
          <w:rFonts w:ascii="Book Antiqua" w:hAnsi="Book Antiqua" w:cstheme="minorHAnsi"/>
          <w:b/>
          <w:sz w:val="28"/>
          <w:szCs w:val="24"/>
        </w:rPr>
        <w:t>EDADISMO Y DISCRMINACIÓN POR EDAD</w:t>
      </w:r>
    </w:p>
    <w:p w14:paraId="74258125" w14:textId="5EC071E0" w:rsidR="002D3B18" w:rsidRPr="0033156F" w:rsidRDefault="0033156F" w:rsidP="0033156F">
      <w:pPr>
        <w:spacing w:after="0" w:line="360" w:lineRule="auto"/>
        <w:rPr>
          <w:rFonts w:ascii="Book Antiqua" w:hAnsi="Book Antiqua" w:cstheme="minorHAnsi"/>
          <w:b/>
          <w:sz w:val="24"/>
          <w:szCs w:val="24"/>
        </w:rPr>
      </w:pPr>
      <w:r w:rsidRPr="0033156F">
        <w:rPr>
          <w:rFonts w:ascii="Book Antiqua" w:hAnsi="Book Antiqua" w:cstheme="minorHAnsi"/>
          <w:b/>
          <w:sz w:val="24"/>
          <w:szCs w:val="24"/>
        </w:rPr>
        <w:t>Formas y manifestaciones de edadismo y discriminación por edad</w:t>
      </w:r>
    </w:p>
    <w:p w14:paraId="0354E93B" w14:textId="6EA32614" w:rsidR="0033156F" w:rsidRDefault="0033156F" w:rsidP="0033156F">
      <w:pPr>
        <w:spacing w:after="0" w:line="360" w:lineRule="auto"/>
        <w:jc w:val="both"/>
        <w:rPr>
          <w:rFonts w:ascii="Book Antiqua" w:hAnsi="Book Antiqua" w:cstheme="minorHAnsi"/>
          <w:i/>
          <w:sz w:val="24"/>
          <w:szCs w:val="24"/>
        </w:rPr>
      </w:pPr>
      <w:r w:rsidRPr="0033156F">
        <w:rPr>
          <w:rFonts w:ascii="Book Antiqua" w:hAnsi="Book Antiqua" w:cstheme="minorHAnsi"/>
          <w:i/>
          <w:sz w:val="24"/>
          <w:szCs w:val="24"/>
        </w:rPr>
        <w:t>1. ¿Qué formas adopta la discriminación por motivos de edad que afecta a las personas de edad y cuáles son las más frecuentes? Cuando se disponga de ellos, sírvase proporcionar ejemplos concretos y datos recabados, incluido relacionado con el empleo, educación, protección social y servicios sanitarios, financieros y sociales.</w:t>
      </w:r>
    </w:p>
    <w:p w14:paraId="0B8A360B" w14:textId="07C3737B" w:rsidR="0033156F" w:rsidRPr="00B00A5C" w:rsidRDefault="0033156F" w:rsidP="0033156F">
      <w:pPr>
        <w:spacing w:after="0"/>
        <w:jc w:val="both"/>
        <w:rPr>
          <w:rFonts w:ascii="Book Antiqua" w:hAnsi="Book Antiqua" w:cstheme="minorHAnsi"/>
        </w:rPr>
      </w:pPr>
      <w:r w:rsidRPr="00B00A5C">
        <w:rPr>
          <w:rFonts w:ascii="Book Antiqua" w:hAnsi="Book Antiqua" w:cstheme="minorHAnsi"/>
        </w:rPr>
        <w:t>El edadismo, entendido como la discriminación hacia las personas mayores mediante la subestimación de los atributos de la vejez, así como la sobrevaloración de los atributos de la juventud, es una realidad que afecta a las personas de distintas maneras y en distintos ámbitos de la vida -social, económica, política, entre otros (SENAMA, 2018)</w:t>
      </w:r>
      <w:r w:rsidRPr="00B00A5C">
        <w:rPr>
          <w:rStyle w:val="FootnoteReference"/>
          <w:rFonts w:ascii="Book Antiqua" w:hAnsi="Book Antiqua" w:cstheme="minorHAnsi"/>
        </w:rPr>
        <w:footnoteReference w:id="1"/>
      </w:r>
      <w:r w:rsidRPr="00B00A5C">
        <w:rPr>
          <w:rFonts w:ascii="Book Antiqua" w:hAnsi="Book Antiqua" w:cstheme="minorHAnsi"/>
        </w:rPr>
        <w:t>. En este sentido, el edadismo implica una vulneración y violación de los derechos de las personas de edad, situación que se ha visto acentuada en la pandemia del COVID-19 y pone en evidencia la carencia de un enfoque integral y adecuado a las necesidades de la tercera edad en las políticas aplicadas.</w:t>
      </w:r>
    </w:p>
    <w:p w14:paraId="50480A21" w14:textId="49C18ECF" w:rsidR="0033156F" w:rsidRPr="00B00A5C" w:rsidRDefault="0033156F" w:rsidP="0033156F">
      <w:pPr>
        <w:spacing w:after="0"/>
        <w:jc w:val="both"/>
        <w:rPr>
          <w:rFonts w:ascii="Book Antiqua" w:hAnsi="Book Antiqua" w:cstheme="minorHAnsi"/>
        </w:rPr>
      </w:pPr>
      <w:r w:rsidRPr="00B00A5C">
        <w:rPr>
          <w:rFonts w:ascii="Book Antiqua" w:hAnsi="Book Antiqua" w:cstheme="minorHAnsi"/>
        </w:rPr>
        <w:t>Este tipo de carencias a nivel institucional es visible, por ejemplo, en la percepción de preparación del país para enfrentar el envejecimiento. Los resultados obtenidos en la Quinta Encuesta de Inclusión y Exclusión Social (SENAMA, 2018), en lo que atañe a la inclusión</w:t>
      </w:r>
      <w:r w:rsidR="001C7D6A">
        <w:rPr>
          <w:rFonts w:ascii="Book Antiqua" w:hAnsi="Book Antiqua" w:cstheme="minorHAnsi"/>
        </w:rPr>
        <w:t>-</w:t>
      </w:r>
      <w:r w:rsidRPr="00B00A5C">
        <w:rPr>
          <w:rFonts w:ascii="Book Antiqua" w:hAnsi="Book Antiqua" w:cstheme="minorHAnsi"/>
        </w:rPr>
        <w:t>exclusión primaria</w:t>
      </w:r>
      <w:r w:rsidR="001C7D6A">
        <w:rPr>
          <w:rStyle w:val="FootnoteReference"/>
          <w:rFonts w:ascii="Book Antiqua" w:hAnsi="Book Antiqua" w:cstheme="minorHAnsi"/>
        </w:rPr>
        <w:footnoteReference w:id="2"/>
      </w:r>
      <w:r w:rsidRPr="00B00A5C">
        <w:rPr>
          <w:rFonts w:ascii="Book Antiqua" w:hAnsi="Book Antiqua" w:cstheme="minorHAnsi"/>
        </w:rPr>
        <w:t xml:space="preserve"> son decidores al respecto</w:t>
      </w:r>
      <w:r w:rsidR="001C7D6A">
        <w:rPr>
          <w:rFonts w:ascii="Book Antiqua" w:hAnsi="Book Antiqua" w:cstheme="minorHAnsi"/>
        </w:rPr>
        <w:t xml:space="preserve">: </w:t>
      </w:r>
    </w:p>
    <w:p w14:paraId="631F1B36" w14:textId="77777777" w:rsidR="001C7D6A" w:rsidRDefault="0033156F" w:rsidP="0033156F">
      <w:pPr>
        <w:pStyle w:val="ListParagraph"/>
        <w:numPr>
          <w:ilvl w:val="0"/>
          <w:numId w:val="30"/>
        </w:numPr>
        <w:spacing w:after="0"/>
        <w:jc w:val="both"/>
        <w:rPr>
          <w:rFonts w:ascii="Book Antiqua" w:hAnsi="Book Antiqua" w:cstheme="minorHAnsi"/>
        </w:rPr>
      </w:pPr>
      <w:r w:rsidRPr="001C7D6A">
        <w:rPr>
          <w:rFonts w:ascii="Book Antiqua" w:hAnsi="Book Antiqua" w:cstheme="minorHAnsi"/>
        </w:rPr>
        <w:t xml:space="preserve">Los datos de esta encuesta evidencian que un 71% de chilenos/as de 18 años y más consideran que el país se encuentra poco o nada preparado para el envejecimiento de su población. </w:t>
      </w:r>
      <w:r w:rsidR="001C7D6A">
        <w:rPr>
          <w:rFonts w:ascii="Book Antiqua" w:hAnsi="Book Antiqua" w:cstheme="minorHAnsi"/>
        </w:rPr>
        <w:t>Al profundizar</w:t>
      </w:r>
      <w:r w:rsidRPr="001C7D6A">
        <w:rPr>
          <w:rFonts w:ascii="Book Antiqua" w:hAnsi="Book Antiqua" w:cstheme="minorHAnsi"/>
        </w:rPr>
        <w:t xml:space="preserve"> en tal dato, es relevante mencionar que quienes no conviven con adultos mayores son los más pesimistas respecto al nivel de adecuación de las instituciones para enfrentar al envejecimiento poblacional. En este sentido, la percepción de fragilidad podría influir en este tipo de resultados, puesto que se ve al adulto mayor como absolutamente dependiente de la institucionalidad y los servicios disponibles, pudiendo incluso llegar a ser infantilizado o vulnerado. </w:t>
      </w:r>
    </w:p>
    <w:p w14:paraId="4B3A931B" w14:textId="77777777" w:rsidR="001C7D6A" w:rsidRDefault="001C7D6A" w:rsidP="0033156F">
      <w:pPr>
        <w:pStyle w:val="ListParagraph"/>
        <w:numPr>
          <w:ilvl w:val="0"/>
          <w:numId w:val="30"/>
        </w:numPr>
        <w:spacing w:after="0"/>
        <w:jc w:val="both"/>
        <w:rPr>
          <w:rFonts w:ascii="Book Antiqua" w:hAnsi="Book Antiqua" w:cstheme="minorHAnsi"/>
        </w:rPr>
      </w:pPr>
      <w:r>
        <w:rPr>
          <w:rFonts w:ascii="Book Antiqua" w:hAnsi="Book Antiqua" w:cstheme="minorHAnsi"/>
        </w:rPr>
        <w:t>La</w:t>
      </w:r>
      <w:r w:rsidR="0033156F" w:rsidRPr="001C7D6A">
        <w:rPr>
          <w:rFonts w:ascii="Book Antiqua" w:hAnsi="Book Antiqua" w:cstheme="minorHAnsi"/>
        </w:rPr>
        <w:t xml:space="preserve"> encuesta</w:t>
      </w:r>
      <w:r>
        <w:rPr>
          <w:rFonts w:ascii="Book Antiqua" w:hAnsi="Book Antiqua" w:cstheme="minorHAnsi"/>
        </w:rPr>
        <w:t xml:space="preserve"> también</w:t>
      </w:r>
      <w:r w:rsidR="0033156F" w:rsidRPr="001C7D6A">
        <w:rPr>
          <w:rFonts w:ascii="Book Antiqua" w:hAnsi="Book Antiqua" w:cstheme="minorHAnsi"/>
        </w:rPr>
        <w:t xml:space="preserve"> evidencia </w:t>
      </w:r>
      <w:r>
        <w:rPr>
          <w:rFonts w:ascii="Book Antiqua" w:hAnsi="Book Antiqua" w:cstheme="minorHAnsi"/>
        </w:rPr>
        <w:t>la creencia de</w:t>
      </w:r>
      <w:r w:rsidR="0033156F" w:rsidRPr="001C7D6A">
        <w:rPr>
          <w:rFonts w:ascii="Book Antiqua" w:hAnsi="Book Antiqua" w:cstheme="minorHAnsi"/>
        </w:rPr>
        <w:t xml:space="preserve"> que los adultos mayores deben estar a cargo del gobierno (57,2%) o de sus familiares y amigos (34,2%), y no de ellos mismos (5,9%)</w:t>
      </w:r>
      <w:r>
        <w:rPr>
          <w:rFonts w:ascii="Book Antiqua" w:hAnsi="Book Antiqua" w:cstheme="minorHAnsi"/>
        </w:rPr>
        <w:t xml:space="preserve">. Esto </w:t>
      </w:r>
      <w:r w:rsidR="0033156F" w:rsidRPr="001C7D6A">
        <w:rPr>
          <w:rFonts w:ascii="Book Antiqua" w:hAnsi="Book Antiqua" w:cstheme="minorHAnsi"/>
        </w:rPr>
        <w:t xml:space="preserve">pone en evidencia que, no solo son vistos como personas dependientes a los que cuales se debe asistir para que puedan realizar labores cotidianas, sino que, además, podrían ser vistas como una carga e incapaces de velar por su propio bienestar. </w:t>
      </w:r>
    </w:p>
    <w:p w14:paraId="03F8C3E2" w14:textId="2377EFE3" w:rsidR="0033156F" w:rsidRPr="001C7D6A" w:rsidRDefault="0033156F" w:rsidP="0033156F">
      <w:pPr>
        <w:pStyle w:val="ListParagraph"/>
        <w:numPr>
          <w:ilvl w:val="0"/>
          <w:numId w:val="30"/>
        </w:numPr>
        <w:spacing w:after="0"/>
        <w:jc w:val="both"/>
        <w:rPr>
          <w:rFonts w:ascii="Book Antiqua" w:hAnsi="Book Antiqua" w:cstheme="minorHAnsi"/>
        </w:rPr>
      </w:pPr>
      <w:r w:rsidRPr="001C7D6A">
        <w:rPr>
          <w:rFonts w:ascii="Book Antiqua" w:hAnsi="Book Antiqua" w:cstheme="minorHAnsi"/>
        </w:rPr>
        <w:lastRenderedPageBreak/>
        <w:t>Por otro lado, en cuanto a la integración social de los adultos mayores, la encuesta evidencia que un 75% de los encuestados cree que se encuentran socialmente marginados, contra un 23% que cree que están socialmente integrados. No obstante, variables como el nivel educacional y la clase social afecta sobre esta percepción en relación directa, de modo que quienes tienen un mayor nivel educacional, así como quienes pertenecen a una clase social más alta, perciben una mayor integración de los adultos mayores, lo que podría suponer de manera preliminar una relación entre el edadismo y la desigualdad socioeconómica.</w:t>
      </w:r>
    </w:p>
    <w:p w14:paraId="6633A12D" w14:textId="6CAC12A8" w:rsidR="0033156F" w:rsidRDefault="0033156F" w:rsidP="0033156F">
      <w:pPr>
        <w:spacing w:after="0" w:line="360" w:lineRule="auto"/>
        <w:jc w:val="both"/>
        <w:rPr>
          <w:rFonts w:ascii="Book Antiqua" w:hAnsi="Book Antiqua" w:cstheme="minorHAnsi"/>
          <w:sz w:val="24"/>
          <w:szCs w:val="24"/>
        </w:rPr>
      </w:pPr>
    </w:p>
    <w:p w14:paraId="2054AE52" w14:textId="06590D1E" w:rsidR="0033156F" w:rsidRDefault="0033156F" w:rsidP="0033156F">
      <w:pPr>
        <w:spacing w:after="0" w:line="360" w:lineRule="auto"/>
        <w:jc w:val="both"/>
        <w:rPr>
          <w:rFonts w:ascii="Book Antiqua" w:hAnsi="Book Antiqua" w:cstheme="minorHAnsi"/>
          <w:i/>
          <w:sz w:val="24"/>
          <w:szCs w:val="24"/>
        </w:rPr>
      </w:pPr>
      <w:r w:rsidRPr="0033156F">
        <w:rPr>
          <w:rFonts w:ascii="Book Antiqua" w:hAnsi="Book Antiqua" w:cstheme="minorHAnsi"/>
          <w:i/>
          <w:sz w:val="24"/>
          <w:szCs w:val="24"/>
        </w:rPr>
        <w:t>2. Sírvase proporcionar información y datos recabados sobre las causas y manifestaciones del edadismo en la sociedad, tanto para las generaciones jóvenes como para las mayores, y sobre la manera en la que se traduce en prácticas discriminatorias.</w:t>
      </w:r>
    </w:p>
    <w:p w14:paraId="3DEE9EC3" w14:textId="764C08A6" w:rsidR="0033156F" w:rsidRPr="00B00A5C" w:rsidRDefault="0033156F" w:rsidP="0033156F">
      <w:pPr>
        <w:spacing w:after="0"/>
        <w:jc w:val="both"/>
        <w:rPr>
          <w:rFonts w:ascii="Book Antiqua" w:hAnsi="Book Antiqua" w:cstheme="minorHAnsi"/>
        </w:rPr>
      </w:pPr>
      <w:r w:rsidRPr="00B00A5C">
        <w:rPr>
          <w:rFonts w:ascii="Book Antiqua" w:hAnsi="Book Antiqua" w:cstheme="minorHAnsi"/>
        </w:rPr>
        <w:t>Como se mencionó anteriormente, las causas y manifestaciones del edadismo pueden venir dada por la forma que adquiere, el nivel socioeconómico o la edad. En este sentido, el edadismo se percibe desde las distintas generaciones, desde los más jóvenes, hasta los mismos adultos mayores en algunas ocasiones. Así, el edadismo se ve influido por factores individuales, como el género; internos, como la convivencia y composición familiar -por ejemplo, si se convive o no con adultos mayores-; e incluso por la posición política (véase Senama, 2018, pp. 127-131). Por lo tanto, sus causas obedecen a múltiples factores, como el nivel educacional, socioeconómico y de integración social, los cuales, como se expuso en el punto anterior, se relacionan entre sí.</w:t>
      </w:r>
    </w:p>
    <w:p w14:paraId="064D6A39" w14:textId="2A4D1CCB" w:rsidR="0033156F" w:rsidRPr="00B00A5C" w:rsidRDefault="0033156F" w:rsidP="0033156F">
      <w:pPr>
        <w:spacing w:after="0"/>
        <w:jc w:val="both"/>
        <w:rPr>
          <w:rFonts w:ascii="Book Antiqua" w:hAnsi="Book Antiqua" w:cstheme="minorHAnsi"/>
        </w:rPr>
      </w:pPr>
      <w:r w:rsidRPr="00B00A5C">
        <w:rPr>
          <w:rFonts w:ascii="Book Antiqua" w:hAnsi="Book Antiqua" w:cstheme="minorHAnsi"/>
        </w:rPr>
        <w:t>La mayoría de encuestados -incluidos adultos mayores- cree que, a lo largo de la vida, la sensación de satisfacción tiende a disminuir (54%), lo que también supone un prejuicio a la vejez propio del edadismo, el cual se acrecienta cuando se toman variables como el género (</w:t>
      </w:r>
      <w:r w:rsidR="001C7D6A">
        <w:rPr>
          <w:rFonts w:ascii="Book Antiqua" w:hAnsi="Book Antiqua" w:cstheme="minorHAnsi"/>
        </w:rPr>
        <w:t>el 58% de las</w:t>
      </w:r>
      <w:r w:rsidRPr="00B00A5C">
        <w:rPr>
          <w:rFonts w:ascii="Book Antiqua" w:hAnsi="Book Antiqua" w:cstheme="minorHAnsi"/>
        </w:rPr>
        <w:t xml:space="preserve"> mujeres creen que la satisfacción con la vida disminuy</w:t>
      </w:r>
      <w:r w:rsidR="001C7D6A">
        <w:rPr>
          <w:rFonts w:ascii="Book Antiqua" w:hAnsi="Book Antiqua" w:cstheme="minorHAnsi"/>
        </w:rPr>
        <w:t xml:space="preserve">e </w:t>
      </w:r>
      <w:r w:rsidRPr="00B00A5C">
        <w:rPr>
          <w:rFonts w:ascii="Book Antiqua" w:hAnsi="Book Antiqua" w:cstheme="minorHAnsi"/>
        </w:rPr>
        <w:t>a medida que se envejece</w:t>
      </w:r>
      <w:r w:rsidR="001C7D6A">
        <w:rPr>
          <w:rFonts w:ascii="Book Antiqua" w:hAnsi="Book Antiqua" w:cstheme="minorHAnsi"/>
        </w:rPr>
        <w:t xml:space="preserve">; </w:t>
      </w:r>
      <w:r w:rsidRPr="00B00A5C">
        <w:rPr>
          <w:rFonts w:ascii="Book Antiqua" w:hAnsi="Book Antiqua" w:cstheme="minorHAnsi"/>
        </w:rPr>
        <w:t xml:space="preserve">mientras </w:t>
      </w:r>
      <w:r w:rsidR="001C7D6A">
        <w:rPr>
          <w:rFonts w:ascii="Book Antiqua" w:hAnsi="Book Antiqua" w:cstheme="minorHAnsi"/>
        </w:rPr>
        <w:t xml:space="preserve">que un 48,8% de </w:t>
      </w:r>
      <w:r w:rsidRPr="00B00A5C">
        <w:rPr>
          <w:rFonts w:ascii="Book Antiqua" w:hAnsi="Book Antiqua" w:cstheme="minorHAnsi"/>
        </w:rPr>
        <w:t xml:space="preserve">los hombres </w:t>
      </w:r>
      <w:r w:rsidR="001C7D6A">
        <w:rPr>
          <w:rFonts w:ascii="Book Antiqua" w:hAnsi="Book Antiqua" w:cstheme="minorHAnsi"/>
        </w:rPr>
        <w:t>comparte esa percepción</w:t>
      </w:r>
      <w:r w:rsidRPr="00B00A5C">
        <w:rPr>
          <w:rFonts w:ascii="Book Antiqua" w:hAnsi="Book Antiqua" w:cstheme="minorHAnsi"/>
        </w:rPr>
        <w:t xml:space="preserve">), la clase social (las clases altas son más optimistas que las clases bajas) o la convivencia con adultos mayores (quienes conviven con adultos mayores, consideran mayoritariamente que la satisfacción puede mantenerse o aumentar), entre otros. </w:t>
      </w:r>
    </w:p>
    <w:p w14:paraId="0F3FE674" w14:textId="3F9893E3" w:rsidR="0033156F" w:rsidRPr="006C27E3" w:rsidRDefault="0033156F" w:rsidP="006C27E3">
      <w:pPr>
        <w:spacing w:after="0"/>
        <w:jc w:val="both"/>
        <w:rPr>
          <w:rFonts w:ascii="Book Antiqua" w:hAnsi="Book Antiqua" w:cstheme="minorHAnsi"/>
        </w:rPr>
      </w:pPr>
      <w:r w:rsidRPr="00B00A5C">
        <w:rPr>
          <w:rFonts w:ascii="Book Antiqua" w:hAnsi="Book Antiqua" w:cstheme="minorHAnsi"/>
        </w:rPr>
        <w:t>En cuanto a sus manifestaciones, las actitudes negativas hacia las personas mayores pueden llevar a que ellas se perciban a sí mismas como una carga o molestia, lo que las hace más proclives al aislamiento social (visible en los resultados sobre la exclusión social anteriormente expuestos) e, incluso, a la depresión (OMS, 2016)</w:t>
      </w:r>
      <w:r w:rsidR="00382839" w:rsidRPr="00B00A5C">
        <w:rPr>
          <w:rStyle w:val="FootnoteReference"/>
          <w:rFonts w:ascii="Book Antiqua" w:hAnsi="Book Antiqua" w:cstheme="minorHAnsi"/>
        </w:rPr>
        <w:footnoteReference w:id="3"/>
      </w:r>
      <w:r w:rsidRPr="00B00A5C">
        <w:rPr>
          <w:rFonts w:ascii="Book Antiqua" w:hAnsi="Book Antiqua" w:cstheme="minorHAnsi"/>
        </w:rPr>
        <w:t>. En este sentido, la OMS (2016) expone que aquellas personas mayores con una percepción negativa de sí mismas pueden vivir, en promedio, hasta 7.5 años menos. El edadismo se manifiesta en múltiples esferas sociales, desde los medios de comunicación (mediante la presentación de personas mayores como frágiles, dependientes y alejadas de la realidad), en la política (por ejemplo, con medidas como la imposición de una edad de jubilación obligatoria), en la sociedad, al reproducir y perpetuar estos actos, entre otras (OMS, 2016; SENAMA, 2018).</w:t>
      </w:r>
    </w:p>
    <w:p w14:paraId="20FD8CE9" w14:textId="7C32386E" w:rsidR="0033156F" w:rsidRDefault="0033156F" w:rsidP="0033156F">
      <w:pPr>
        <w:spacing w:after="0" w:line="360" w:lineRule="auto"/>
        <w:jc w:val="both"/>
        <w:rPr>
          <w:rFonts w:ascii="Book Antiqua" w:hAnsi="Book Antiqua" w:cstheme="minorHAnsi"/>
          <w:i/>
          <w:sz w:val="24"/>
          <w:szCs w:val="24"/>
        </w:rPr>
      </w:pPr>
      <w:r w:rsidRPr="0033156F">
        <w:rPr>
          <w:rFonts w:ascii="Book Antiqua" w:hAnsi="Book Antiqua" w:cstheme="minorHAnsi"/>
          <w:i/>
          <w:sz w:val="24"/>
          <w:szCs w:val="24"/>
        </w:rPr>
        <w:lastRenderedPageBreak/>
        <w:t>3. Desde una perspectiva intersectorial, ¿existen factores específicos que agraven el edadismo y la discriminación por edad y como se manifiesta? Sírvase proporcionar ejemplos concretos y datos recabados cuando estén disponibles.</w:t>
      </w:r>
    </w:p>
    <w:p w14:paraId="6F87244B" w14:textId="3A7E2EC4" w:rsidR="0033156F" w:rsidRPr="00B00A5C" w:rsidRDefault="0033156F" w:rsidP="0033156F">
      <w:pPr>
        <w:spacing w:after="0"/>
        <w:jc w:val="both"/>
        <w:rPr>
          <w:rFonts w:ascii="Book Antiqua" w:hAnsi="Book Antiqua" w:cstheme="minorHAnsi"/>
        </w:rPr>
      </w:pPr>
      <w:r w:rsidRPr="00B00A5C">
        <w:rPr>
          <w:rFonts w:ascii="Book Antiqua" w:hAnsi="Book Antiqua" w:cstheme="minorHAnsi"/>
        </w:rPr>
        <w:t xml:space="preserve">En primer lugar, se definirá intersectorialidad como “intervención coordinada de instituciones representativas de más de un sector social, en acciones destinadas, total o parcialmente, a tratar los problemas vinculados con la salud, el bienestar y la </w:t>
      </w:r>
      <w:r w:rsidR="002D6B4B" w:rsidRPr="00B00A5C">
        <w:rPr>
          <w:rFonts w:ascii="Book Antiqua" w:hAnsi="Book Antiqua" w:cstheme="minorHAnsi"/>
        </w:rPr>
        <w:t>calidad de vida” (FLACSO, 2015)</w:t>
      </w:r>
      <w:r w:rsidR="00382839" w:rsidRPr="00B00A5C">
        <w:rPr>
          <w:rStyle w:val="FootnoteReference"/>
          <w:rFonts w:ascii="Book Antiqua" w:hAnsi="Book Antiqua" w:cstheme="minorHAnsi"/>
        </w:rPr>
        <w:footnoteReference w:id="4"/>
      </w:r>
      <w:r w:rsidRPr="00B00A5C">
        <w:rPr>
          <w:rFonts w:ascii="Book Antiqua" w:hAnsi="Book Antiqua" w:cstheme="minorHAnsi"/>
        </w:rPr>
        <w:t>. En este sentido, una perspectiva intersectorial implica la inclusión de diversos actores en el proceso de toma de decisiones, para lo que se requiere generar espacios de coordinación para una planificación conjunta (MINSAL, 2014)</w:t>
      </w:r>
      <w:r w:rsidR="00382839" w:rsidRPr="00B00A5C">
        <w:rPr>
          <w:rStyle w:val="FootnoteReference"/>
          <w:rFonts w:ascii="Book Antiqua" w:hAnsi="Book Antiqua" w:cstheme="minorHAnsi"/>
        </w:rPr>
        <w:footnoteReference w:id="5"/>
      </w:r>
      <w:r w:rsidRPr="00B00A5C">
        <w:rPr>
          <w:rFonts w:ascii="Book Antiqua" w:hAnsi="Book Antiqua" w:cstheme="minorHAnsi"/>
        </w:rPr>
        <w:t>.</w:t>
      </w:r>
    </w:p>
    <w:p w14:paraId="2E885280" w14:textId="77777777" w:rsidR="0033156F" w:rsidRPr="00B00A5C" w:rsidRDefault="0033156F" w:rsidP="0033156F">
      <w:pPr>
        <w:spacing w:after="0"/>
        <w:jc w:val="both"/>
        <w:rPr>
          <w:rFonts w:ascii="Book Antiqua" w:hAnsi="Book Antiqua" w:cstheme="minorHAnsi"/>
        </w:rPr>
      </w:pPr>
      <w:r w:rsidRPr="00B00A5C">
        <w:rPr>
          <w:rFonts w:ascii="Book Antiqua" w:hAnsi="Book Antiqua" w:cstheme="minorHAnsi"/>
        </w:rPr>
        <w:t>Los derechos y la participación social se vinculan en dos dimensiones: por una parte, la participación social se establece como un derecho al que pueden acceder todos los miembros de la sociedad y, por otra, se define la participación social como instrumento de articulación de intereses entre individuos y grupos, que posibilita exigir derechos que no son asegurados por el aparato público. Así, la participación se configura como instrumento de generación de empoderamiento, de conocimiento de derechos y de construcción de ciudadanía (SENAMA, 2009).</w:t>
      </w:r>
    </w:p>
    <w:p w14:paraId="3ED1B8B7" w14:textId="162E67C2" w:rsidR="0033156F" w:rsidRPr="00B00A5C" w:rsidRDefault="0033156F" w:rsidP="0033156F">
      <w:pPr>
        <w:spacing w:after="0"/>
        <w:jc w:val="both"/>
        <w:rPr>
          <w:rFonts w:ascii="Book Antiqua" w:hAnsi="Book Antiqua" w:cstheme="minorHAnsi"/>
        </w:rPr>
      </w:pPr>
      <w:r w:rsidRPr="00B00A5C">
        <w:rPr>
          <w:rFonts w:ascii="Book Antiqua" w:hAnsi="Book Antiqua" w:cstheme="minorHAnsi"/>
        </w:rPr>
        <w:t xml:space="preserve">Por lo tanto, una perspectiva intersectorial integra la información, cooperación, coordinación e integración en las políticas públicas, mediante trabajos conjuntos con diversos organismos del sector público, privado y otros actores relevantes. Por ende, la intersectorialidad promueve la participación social focalizada, cuyo fin es la participación deliberativa y el empoderamiento desde la comunidad, es decir, cambios en la distribución de poder para favorecer a </w:t>
      </w:r>
      <w:r w:rsidR="00104BAC" w:rsidRPr="00B00A5C">
        <w:rPr>
          <w:rFonts w:ascii="Book Antiqua" w:hAnsi="Book Antiqua" w:cstheme="minorHAnsi"/>
        </w:rPr>
        <w:t xml:space="preserve">los </w:t>
      </w:r>
      <w:r w:rsidRPr="00B00A5C">
        <w:rPr>
          <w:rFonts w:ascii="Book Antiqua" w:hAnsi="Book Antiqua" w:cstheme="minorHAnsi"/>
        </w:rPr>
        <w:t>grupos más desventajados</w:t>
      </w:r>
      <w:r w:rsidR="00382839" w:rsidRPr="00B00A5C">
        <w:rPr>
          <w:rStyle w:val="FootnoteReference"/>
          <w:rFonts w:ascii="Book Antiqua" w:hAnsi="Book Antiqua" w:cstheme="minorHAnsi"/>
        </w:rPr>
        <w:footnoteReference w:id="6"/>
      </w:r>
      <w:r w:rsidRPr="00B00A5C">
        <w:rPr>
          <w:rFonts w:ascii="Book Antiqua" w:hAnsi="Book Antiqua" w:cstheme="minorHAnsi"/>
        </w:rPr>
        <w:t>.</w:t>
      </w:r>
    </w:p>
    <w:p w14:paraId="0EA81183" w14:textId="77777777" w:rsidR="0033156F" w:rsidRPr="00B00A5C" w:rsidRDefault="0033156F" w:rsidP="0033156F">
      <w:pPr>
        <w:spacing w:after="0"/>
        <w:jc w:val="both"/>
        <w:rPr>
          <w:rFonts w:ascii="Book Antiqua" w:hAnsi="Book Antiqua" w:cstheme="minorHAnsi"/>
        </w:rPr>
      </w:pPr>
      <w:r w:rsidRPr="00B00A5C">
        <w:rPr>
          <w:rFonts w:ascii="Book Antiqua" w:hAnsi="Book Antiqua" w:cstheme="minorHAnsi"/>
        </w:rPr>
        <w:t xml:space="preserve">Por otra parte, tanto el envejecimiento, proceso que abarca todo el ciclo vital y que cruza a toda la población, como la vejez, conforman un fenómeno complejo y multidimensional, que acarrea consecuencias y desafíos, tanto para los sujetos que experimentan la vejez como para la sociedad en su conjunto.   </w:t>
      </w:r>
    </w:p>
    <w:p w14:paraId="60B47793" w14:textId="77777777" w:rsidR="0033156F" w:rsidRPr="00B00A5C" w:rsidRDefault="0033156F" w:rsidP="0033156F">
      <w:pPr>
        <w:spacing w:after="0"/>
        <w:jc w:val="both"/>
        <w:rPr>
          <w:rFonts w:ascii="Book Antiqua" w:hAnsi="Book Antiqua" w:cstheme="minorHAnsi"/>
        </w:rPr>
      </w:pPr>
      <w:r w:rsidRPr="00B00A5C">
        <w:rPr>
          <w:rFonts w:ascii="Book Antiqua" w:hAnsi="Book Antiqua" w:cstheme="minorHAnsi"/>
        </w:rPr>
        <w:t>Es precisamente esta multidimnensionalidad la que interpela al Estado y a las políticas sanitarias y sociales a trabajar de forma sinérgica, abordando la vejez de manera integral, eficiente y coordinada.</w:t>
      </w:r>
    </w:p>
    <w:p w14:paraId="065C29F5" w14:textId="77777777" w:rsidR="0033156F" w:rsidRPr="00B00A5C" w:rsidRDefault="0033156F" w:rsidP="0033156F">
      <w:pPr>
        <w:spacing w:after="0"/>
        <w:jc w:val="both"/>
        <w:rPr>
          <w:rFonts w:ascii="Book Antiqua" w:hAnsi="Book Antiqua" w:cstheme="minorHAnsi"/>
        </w:rPr>
      </w:pPr>
      <w:r w:rsidRPr="00B00A5C">
        <w:rPr>
          <w:rFonts w:ascii="Book Antiqua" w:hAnsi="Book Antiqua" w:cstheme="minorHAnsi"/>
        </w:rPr>
        <w:t>De esta manera, surgen dos aspectos fundamentales que deben guiar el actuar del Estado respecto al envejecimiento y la vejez:</w:t>
      </w:r>
    </w:p>
    <w:p w14:paraId="0C12F3E6" w14:textId="77777777" w:rsidR="00104BAC" w:rsidRPr="00B00A5C" w:rsidRDefault="0033156F" w:rsidP="0033156F">
      <w:pPr>
        <w:pStyle w:val="ListParagraph"/>
        <w:numPr>
          <w:ilvl w:val="0"/>
          <w:numId w:val="22"/>
        </w:numPr>
        <w:spacing w:after="0"/>
        <w:jc w:val="both"/>
        <w:rPr>
          <w:rFonts w:ascii="Book Antiqua" w:hAnsi="Book Antiqua" w:cstheme="minorHAnsi"/>
        </w:rPr>
      </w:pPr>
      <w:r w:rsidRPr="00B00A5C">
        <w:rPr>
          <w:rFonts w:ascii="Book Antiqua" w:hAnsi="Book Antiqua" w:cstheme="minorHAnsi"/>
        </w:rPr>
        <w:t xml:space="preserve">Las personas mayores viven su realidad en inestables condiciones de salud, seguridad económica y bienestar social, enfrentando, además, la subvaloración y discriminación que se expresan en discursos, símbolos y estructuras socioculturales respecto a la vejez y el envejecimiento. </w:t>
      </w:r>
    </w:p>
    <w:p w14:paraId="7198318B" w14:textId="25C45EEA" w:rsidR="0033156F" w:rsidRPr="00B00A5C" w:rsidRDefault="0033156F" w:rsidP="0033156F">
      <w:pPr>
        <w:pStyle w:val="ListParagraph"/>
        <w:numPr>
          <w:ilvl w:val="0"/>
          <w:numId w:val="22"/>
        </w:numPr>
        <w:spacing w:after="0"/>
        <w:jc w:val="both"/>
        <w:rPr>
          <w:rFonts w:ascii="Book Antiqua" w:hAnsi="Book Antiqua" w:cstheme="minorHAnsi"/>
        </w:rPr>
      </w:pPr>
      <w:r w:rsidRPr="00B00A5C">
        <w:rPr>
          <w:rFonts w:ascii="Book Antiqua" w:hAnsi="Book Antiqua" w:cstheme="minorHAnsi"/>
        </w:rPr>
        <w:t xml:space="preserve">Los aspectos sociales y sanitarios tienen implicancias recíprocas y se influyen mutuamente para impactar en la calidad de vida de las personas. </w:t>
      </w:r>
    </w:p>
    <w:p w14:paraId="76B18DEA" w14:textId="77777777" w:rsidR="0033156F" w:rsidRPr="00B00A5C" w:rsidRDefault="0033156F" w:rsidP="0033156F">
      <w:pPr>
        <w:spacing w:after="0"/>
        <w:jc w:val="both"/>
        <w:rPr>
          <w:rFonts w:ascii="Book Antiqua" w:hAnsi="Book Antiqua" w:cstheme="minorHAnsi"/>
        </w:rPr>
      </w:pPr>
      <w:r w:rsidRPr="00B00A5C">
        <w:rPr>
          <w:rFonts w:ascii="Book Antiqua" w:hAnsi="Book Antiqua" w:cstheme="minorHAnsi"/>
        </w:rPr>
        <w:lastRenderedPageBreak/>
        <w:t xml:space="preserve">Los organismos internacionales, como la OMS y la ONU, han establecido, mediante distintos instrumentos (declaraciones y principios), la necesidad del abordaje intersectorial sobre la temática de la vejez y el envejecimiento, mediante la integración de los aspectos sociales y sanitarios. </w:t>
      </w:r>
    </w:p>
    <w:p w14:paraId="149E43EB" w14:textId="77777777" w:rsidR="0033156F" w:rsidRPr="00B00A5C" w:rsidRDefault="0033156F" w:rsidP="0033156F">
      <w:pPr>
        <w:spacing w:after="0"/>
        <w:jc w:val="both"/>
        <w:rPr>
          <w:rFonts w:ascii="Book Antiqua" w:hAnsi="Book Antiqua" w:cstheme="minorHAnsi"/>
        </w:rPr>
      </w:pPr>
      <w:r w:rsidRPr="00B00A5C">
        <w:rPr>
          <w:rFonts w:ascii="Book Antiqua" w:hAnsi="Book Antiqua" w:cstheme="minorHAnsi"/>
        </w:rPr>
        <w:t>En vista de lo anterior, la intersectorialidad, operacionalizada en el enfoque socio-sanitario, se constituye en la forma idónea de abordar el trabajo con mayores</w:t>
      </w:r>
    </w:p>
    <w:p w14:paraId="2DABBB97" w14:textId="29D896ED" w:rsidR="0033156F" w:rsidRPr="00B00A5C" w:rsidRDefault="0033156F" w:rsidP="0033156F">
      <w:pPr>
        <w:spacing w:after="0"/>
        <w:jc w:val="both"/>
        <w:rPr>
          <w:rFonts w:ascii="Book Antiqua" w:hAnsi="Book Antiqua" w:cstheme="minorHAnsi"/>
        </w:rPr>
      </w:pPr>
      <w:r w:rsidRPr="00B00A5C">
        <w:rPr>
          <w:rFonts w:ascii="Book Antiqua" w:hAnsi="Book Antiqua" w:cstheme="minorHAnsi"/>
        </w:rPr>
        <w:t xml:space="preserve">En tal sentido, es necesario señalar </w:t>
      </w:r>
      <w:r w:rsidR="00104BAC" w:rsidRPr="00B00A5C">
        <w:rPr>
          <w:rFonts w:ascii="Book Antiqua" w:hAnsi="Book Antiqua" w:cstheme="minorHAnsi"/>
        </w:rPr>
        <w:t>que,</w:t>
      </w:r>
      <w:r w:rsidRPr="00B00A5C">
        <w:rPr>
          <w:rFonts w:ascii="Book Antiqua" w:hAnsi="Book Antiqua" w:cstheme="minorHAnsi"/>
        </w:rPr>
        <w:t xml:space="preserve"> para dar cumplimiento al enfoque intersectorial, es imprescindible considerar a las personas mayores como sujetos de derecho, con plenas capacidades para decidir sobre su propio devenir. Esto quiere decir que las intervenciones se deben realizar </w:t>
      </w:r>
      <w:r w:rsidRPr="00B00A5C">
        <w:rPr>
          <w:rFonts w:ascii="Book Antiqua" w:hAnsi="Book Antiqua" w:cstheme="minorHAnsi"/>
          <w:b/>
        </w:rPr>
        <w:t xml:space="preserve">para </w:t>
      </w:r>
      <w:r w:rsidRPr="00B00A5C">
        <w:rPr>
          <w:rFonts w:ascii="Book Antiqua" w:hAnsi="Book Antiqua" w:cstheme="minorHAnsi"/>
        </w:rPr>
        <w:t xml:space="preserve">las personas </w:t>
      </w:r>
      <w:r w:rsidR="00104BAC" w:rsidRPr="00B00A5C">
        <w:rPr>
          <w:rFonts w:ascii="Book Antiqua" w:hAnsi="Book Antiqua" w:cstheme="minorHAnsi"/>
        </w:rPr>
        <w:t>mayores,</w:t>
      </w:r>
      <w:r w:rsidRPr="00B00A5C">
        <w:rPr>
          <w:rFonts w:ascii="Book Antiqua" w:hAnsi="Book Antiqua" w:cstheme="minorHAnsi"/>
        </w:rPr>
        <w:t xml:space="preserve"> pero también</w:t>
      </w:r>
      <w:r w:rsidRPr="00B00A5C">
        <w:rPr>
          <w:rFonts w:ascii="Book Antiqua" w:hAnsi="Book Antiqua" w:cstheme="minorHAnsi"/>
          <w:b/>
        </w:rPr>
        <w:t xml:space="preserve"> con</w:t>
      </w:r>
      <w:r w:rsidRPr="00B00A5C">
        <w:rPr>
          <w:rFonts w:ascii="Book Antiqua" w:hAnsi="Book Antiqua" w:cstheme="minorHAnsi"/>
        </w:rPr>
        <w:t xml:space="preserve"> las personas mayores, siendo éstas últimas protagonistas de su propio bienestar. Es necesario entonces empoderar a las personas mayores, para que conozcan y exijan sus derechos, formando ellas mismas parte fundamental del proceso de diseño de las políticas y programas sobre la vejez y el envejecimiento.  </w:t>
      </w:r>
    </w:p>
    <w:p w14:paraId="6DC329E2" w14:textId="77777777" w:rsidR="0033156F" w:rsidRPr="00102B7D" w:rsidRDefault="0033156F" w:rsidP="00385091">
      <w:pPr>
        <w:spacing w:after="0" w:line="360" w:lineRule="auto"/>
        <w:rPr>
          <w:rFonts w:ascii="Book Antiqua" w:hAnsi="Book Antiqua" w:cstheme="minorHAnsi"/>
          <w:b/>
          <w:sz w:val="24"/>
          <w:szCs w:val="24"/>
        </w:rPr>
      </w:pPr>
    </w:p>
    <w:p w14:paraId="6D1C9F8B" w14:textId="77AFA180" w:rsidR="00D43B78" w:rsidRDefault="00104BAC" w:rsidP="00D43B78">
      <w:pPr>
        <w:spacing w:after="0" w:line="360" w:lineRule="auto"/>
        <w:jc w:val="both"/>
        <w:rPr>
          <w:rFonts w:ascii="Book Antiqua" w:hAnsi="Book Antiqua"/>
          <w:b/>
          <w:sz w:val="24"/>
          <w:szCs w:val="24"/>
        </w:rPr>
      </w:pPr>
      <w:r w:rsidRPr="00104BAC">
        <w:rPr>
          <w:rFonts w:ascii="Book Antiqua" w:hAnsi="Book Antiqua"/>
          <w:b/>
          <w:sz w:val="24"/>
          <w:szCs w:val="24"/>
        </w:rPr>
        <w:t>Marcos jurídicos, normativos e institucionales relaciones con el edadismo y la discriminación por edad</w:t>
      </w:r>
    </w:p>
    <w:p w14:paraId="27D39DFE" w14:textId="6443FBE2" w:rsidR="00104BAC" w:rsidRDefault="00104BAC" w:rsidP="00D43B78">
      <w:pPr>
        <w:spacing w:after="0" w:line="360" w:lineRule="auto"/>
        <w:jc w:val="both"/>
        <w:rPr>
          <w:rFonts w:ascii="Book Antiqua" w:hAnsi="Book Antiqua"/>
          <w:i/>
          <w:sz w:val="24"/>
          <w:szCs w:val="24"/>
        </w:rPr>
      </w:pPr>
      <w:r w:rsidRPr="00104BAC">
        <w:rPr>
          <w:rFonts w:ascii="Book Antiqua" w:hAnsi="Book Antiqua"/>
          <w:i/>
          <w:sz w:val="24"/>
          <w:szCs w:val="24"/>
        </w:rPr>
        <w:t>4. ¿Qué instrumentos jurídicos internacionales, regionales y nacionales existen para luchar contra la discriminación por edad?</w:t>
      </w:r>
    </w:p>
    <w:p w14:paraId="20676D46" w14:textId="77777777" w:rsidR="00104BAC" w:rsidRPr="00104BAC" w:rsidRDefault="00104BAC" w:rsidP="00104BAC">
      <w:pPr>
        <w:pStyle w:val="ListParagraph"/>
        <w:numPr>
          <w:ilvl w:val="0"/>
          <w:numId w:val="23"/>
        </w:numPr>
        <w:spacing w:after="0"/>
        <w:jc w:val="both"/>
        <w:rPr>
          <w:rFonts w:ascii="Book Antiqua" w:hAnsi="Book Antiqua"/>
          <w:szCs w:val="24"/>
        </w:rPr>
      </w:pPr>
      <w:r w:rsidRPr="00104BAC">
        <w:rPr>
          <w:rFonts w:ascii="Book Antiqua" w:hAnsi="Book Antiqua"/>
          <w:szCs w:val="24"/>
        </w:rPr>
        <w:t>Instrumentos jurídicos internacionales.</w:t>
      </w:r>
    </w:p>
    <w:p w14:paraId="48AA4B68" w14:textId="77777777" w:rsidR="00104BAC" w:rsidRPr="00C532F2" w:rsidRDefault="00104BAC" w:rsidP="00104BAC">
      <w:pPr>
        <w:pStyle w:val="ListParagraph"/>
        <w:numPr>
          <w:ilvl w:val="1"/>
          <w:numId w:val="23"/>
        </w:numPr>
        <w:spacing w:after="0"/>
        <w:jc w:val="both"/>
        <w:rPr>
          <w:rFonts w:ascii="Book Antiqua" w:hAnsi="Book Antiqua"/>
          <w:sz w:val="20"/>
          <w:szCs w:val="21"/>
        </w:rPr>
      </w:pPr>
      <w:r w:rsidRPr="00C532F2">
        <w:rPr>
          <w:rFonts w:ascii="Book Antiqua" w:hAnsi="Book Antiqua"/>
          <w:sz w:val="20"/>
          <w:szCs w:val="21"/>
        </w:rPr>
        <w:t xml:space="preserve">Declaración Universal de Derechos Humanos (1948). </w:t>
      </w:r>
    </w:p>
    <w:p w14:paraId="6C9C887E" w14:textId="77777777" w:rsidR="00104BAC" w:rsidRPr="00C532F2" w:rsidRDefault="00104BAC" w:rsidP="00104BAC">
      <w:pPr>
        <w:pStyle w:val="ListParagraph"/>
        <w:numPr>
          <w:ilvl w:val="1"/>
          <w:numId w:val="23"/>
        </w:numPr>
        <w:spacing w:after="0"/>
        <w:jc w:val="both"/>
        <w:rPr>
          <w:rFonts w:ascii="Book Antiqua" w:hAnsi="Book Antiqua"/>
          <w:sz w:val="20"/>
          <w:szCs w:val="21"/>
        </w:rPr>
      </w:pPr>
      <w:r w:rsidRPr="00C532F2">
        <w:rPr>
          <w:rFonts w:ascii="Book Antiqua" w:hAnsi="Book Antiqua"/>
          <w:sz w:val="20"/>
          <w:szCs w:val="21"/>
        </w:rPr>
        <w:t xml:space="preserve">Pacto Internacional de Derechos Civiles y Políticos (1966). </w:t>
      </w:r>
    </w:p>
    <w:p w14:paraId="37FB9067" w14:textId="77777777" w:rsidR="00104BAC" w:rsidRPr="00C532F2" w:rsidRDefault="00104BAC" w:rsidP="00104BAC">
      <w:pPr>
        <w:pStyle w:val="ListParagraph"/>
        <w:numPr>
          <w:ilvl w:val="1"/>
          <w:numId w:val="23"/>
        </w:numPr>
        <w:spacing w:after="0"/>
        <w:jc w:val="both"/>
        <w:rPr>
          <w:rFonts w:ascii="Book Antiqua" w:hAnsi="Book Antiqua"/>
          <w:sz w:val="20"/>
          <w:szCs w:val="21"/>
        </w:rPr>
      </w:pPr>
      <w:r w:rsidRPr="00C532F2">
        <w:rPr>
          <w:rFonts w:ascii="Book Antiqua" w:hAnsi="Book Antiqua"/>
          <w:sz w:val="20"/>
          <w:szCs w:val="21"/>
        </w:rPr>
        <w:t>Pacto Internacional de Derechos Económicos, Sociales y Culturales (1966).</w:t>
      </w:r>
    </w:p>
    <w:p w14:paraId="149469DD" w14:textId="77777777" w:rsidR="00104BAC" w:rsidRPr="00C532F2" w:rsidRDefault="00104BAC" w:rsidP="00104BAC">
      <w:pPr>
        <w:pStyle w:val="ListParagraph"/>
        <w:numPr>
          <w:ilvl w:val="1"/>
          <w:numId w:val="23"/>
        </w:numPr>
        <w:spacing w:after="0"/>
        <w:jc w:val="both"/>
        <w:rPr>
          <w:rFonts w:ascii="Book Antiqua" w:hAnsi="Book Antiqua"/>
          <w:sz w:val="20"/>
          <w:szCs w:val="21"/>
        </w:rPr>
      </w:pPr>
      <w:r w:rsidRPr="00C532F2">
        <w:rPr>
          <w:rFonts w:ascii="Book Antiqua" w:hAnsi="Book Antiqua"/>
          <w:sz w:val="20"/>
          <w:szCs w:val="21"/>
        </w:rPr>
        <w:t>Convención sobre la Eliminación de Todas las formas de Discriminación contra la Mujer (1979).</w:t>
      </w:r>
    </w:p>
    <w:p w14:paraId="1A83D927" w14:textId="72B6806C" w:rsidR="00104BAC" w:rsidRPr="00C532F2" w:rsidRDefault="00104BAC" w:rsidP="00104BAC">
      <w:pPr>
        <w:pStyle w:val="ListParagraph"/>
        <w:numPr>
          <w:ilvl w:val="1"/>
          <w:numId w:val="23"/>
        </w:numPr>
        <w:spacing w:after="0"/>
        <w:jc w:val="both"/>
        <w:rPr>
          <w:rFonts w:ascii="Book Antiqua" w:hAnsi="Book Antiqua"/>
          <w:sz w:val="20"/>
          <w:szCs w:val="21"/>
        </w:rPr>
      </w:pPr>
      <w:r w:rsidRPr="00C532F2">
        <w:rPr>
          <w:rFonts w:ascii="Book Antiqua" w:hAnsi="Book Antiqua"/>
          <w:sz w:val="20"/>
          <w:szCs w:val="21"/>
        </w:rPr>
        <w:t xml:space="preserve">Convención Americana de Derechos Humanos (1969). </w:t>
      </w:r>
    </w:p>
    <w:p w14:paraId="7C169857" w14:textId="77777777" w:rsidR="00104BAC" w:rsidRPr="00C532F2" w:rsidRDefault="00104BAC" w:rsidP="00104BAC">
      <w:pPr>
        <w:pStyle w:val="ListParagraph"/>
        <w:numPr>
          <w:ilvl w:val="1"/>
          <w:numId w:val="23"/>
        </w:numPr>
        <w:spacing w:after="0"/>
        <w:jc w:val="both"/>
        <w:rPr>
          <w:rFonts w:ascii="Book Antiqua" w:hAnsi="Book Antiqua"/>
          <w:sz w:val="20"/>
          <w:szCs w:val="21"/>
        </w:rPr>
      </w:pPr>
      <w:r w:rsidRPr="00C532F2">
        <w:rPr>
          <w:rFonts w:ascii="Book Antiqua" w:hAnsi="Book Antiqua"/>
          <w:sz w:val="20"/>
          <w:szCs w:val="21"/>
        </w:rPr>
        <w:t>Convención contra la tortura y otros tratos o penas crueles, inhumanas o degradantes (1984).</w:t>
      </w:r>
    </w:p>
    <w:p w14:paraId="5DCDA8DA" w14:textId="77777777" w:rsidR="00104BAC" w:rsidRPr="00C532F2" w:rsidRDefault="00104BAC" w:rsidP="00104BAC">
      <w:pPr>
        <w:pStyle w:val="ListParagraph"/>
        <w:numPr>
          <w:ilvl w:val="1"/>
          <w:numId w:val="23"/>
        </w:numPr>
        <w:spacing w:after="0"/>
        <w:jc w:val="both"/>
        <w:rPr>
          <w:rFonts w:ascii="Book Antiqua" w:hAnsi="Book Antiqua"/>
          <w:sz w:val="20"/>
          <w:szCs w:val="21"/>
        </w:rPr>
      </w:pPr>
      <w:r w:rsidRPr="00C532F2">
        <w:rPr>
          <w:rFonts w:ascii="Book Antiqua" w:hAnsi="Book Antiqua"/>
          <w:sz w:val="20"/>
          <w:szCs w:val="21"/>
        </w:rPr>
        <w:t xml:space="preserve">Protocolo Adicional a la Convención Americana sobre Derechos Humanos en Materia de Derechos Económicos, Sociales y Culturales “Protocolo San Salvador” (1988). </w:t>
      </w:r>
    </w:p>
    <w:p w14:paraId="28E1D73B" w14:textId="77777777" w:rsidR="00104BAC" w:rsidRPr="00C532F2" w:rsidRDefault="00104BAC" w:rsidP="00104BAC">
      <w:pPr>
        <w:pStyle w:val="ListParagraph"/>
        <w:numPr>
          <w:ilvl w:val="1"/>
          <w:numId w:val="23"/>
        </w:numPr>
        <w:spacing w:after="0"/>
        <w:jc w:val="both"/>
        <w:rPr>
          <w:rFonts w:ascii="Book Antiqua" w:hAnsi="Book Antiqua"/>
          <w:sz w:val="20"/>
          <w:szCs w:val="21"/>
        </w:rPr>
      </w:pPr>
      <w:r w:rsidRPr="00C532F2">
        <w:rPr>
          <w:rFonts w:ascii="Book Antiqua" w:hAnsi="Book Antiqua"/>
          <w:sz w:val="20"/>
          <w:szCs w:val="21"/>
        </w:rPr>
        <w:t xml:space="preserve">Convención Internacional sobre la protección de todos los derechos de los trabajadores migratorios y sus familias (1990). </w:t>
      </w:r>
    </w:p>
    <w:p w14:paraId="4612EDFB" w14:textId="77777777" w:rsidR="00104BAC" w:rsidRPr="00C532F2" w:rsidRDefault="00104BAC" w:rsidP="00104BAC">
      <w:pPr>
        <w:pStyle w:val="ListParagraph"/>
        <w:numPr>
          <w:ilvl w:val="1"/>
          <w:numId w:val="23"/>
        </w:numPr>
        <w:spacing w:after="0"/>
        <w:jc w:val="both"/>
        <w:rPr>
          <w:rFonts w:ascii="Book Antiqua" w:hAnsi="Book Antiqua"/>
          <w:sz w:val="20"/>
          <w:szCs w:val="21"/>
        </w:rPr>
      </w:pPr>
      <w:r w:rsidRPr="00C532F2">
        <w:rPr>
          <w:rFonts w:ascii="Book Antiqua" w:hAnsi="Book Antiqua"/>
          <w:sz w:val="20"/>
          <w:szCs w:val="21"/>
        </w:rPr>
        <w:t>Convención Interamericana para prevenir, sancionar y erradicar la violencia contra la mujer (1994).</w:t>
      </w:r>
    </w:p>
    <w:p w14:paraId="03BBB9C0" w14:textId="77777777" w:rsidR="00104BAC" w:rsidRPr="00C532F2" w:rsidRDefault="00104BAC" w:rsidP="00104BAC">
      <w:pPr>
        <w:pStyle w:val="ListParagraph"/>
        <w:numPr>
          <w:ilvl w:val="1"/>
          <w:numId w:val="23"/>
        </w:numPr>
        <w:spacing w:after="0"/>
        <w:jc w:val="both"/>
        <w:rPr>
          <w:rFonts w:ascii="Book Antiqua" w:hAnsi="Book Antiqua"/>
          <w:sz w:val="20"/>
          <w:szCs w:val="21"/>
        </w:rPr>
      </w:pPr>
      <w:r w:rsidRPr="00C532F2">
        <w:rPr>
          <w:rFonts w:ascii="Book Antiqua" w:hAnsi="Book Antiqua"/>
          <w:sz w:val="20"/>
          <w:szCs w:val="21"/>
        </w:rPr>
        <w:t xml:space="preserve">Convención Interamericana para la eliminación de todas las formas de Discriminación contra las personas con discapacidad (1999). </w:t>
      </w:r>
    </w:p>
    <w:p w14:paraId="5BC59C3C" w14:textId="77777777" w:rsidR="00104BAC" w:rsidRPr="00C532F2" w:rsidRDefault="00104BAC" w:rsidP="00104BAC">
      <w:pPr>
        <w:pStyle w:val="ListParagraph"/>
        <w:numPr>
          <w:ilvl w:val="1"/>
          <w:numId w:val="23"/>
        </w:numPr>
        <w:spacing w:after="0"/>
        <w:jc w:val="both"/>
        <w:rPr>
          <w:rFonts w:ascii="Book Antiqua" w:hAnsi="Book Antiqua"/>
          <w:sz w:val="20"/>
          <w:szCs w:val="21"/>
        </w:rPr>
      </w:pPr>
      <w:r w:rsidRPr="00C532F2">
        <w:rPr>
          <w:rFonts w:ascii="Book Antiqua" w:hAnsi="Book Antiqua"/>
          <w:sz w:val="20"/>
          <w:szCs w:val="21"/>
        </w:rPr>
        <w:t xml:space="preserve">Convención sobre Derechos de las Personas con Discapacidad (2006).  </w:t>
      </w:r>
    </w:p>
    <w:p w14:paraId="0675A994" w14:textId="77777777" w:rsidR="00104BAC" w:rsidRPr="00C532F2" w:rsidRDefault="00104BAC" w:rsidP="00104BAC">
      <w:pPr>
        <w:pStyle w:val="ListParagraph"/>
        <w:numPr>
          <w:ilvl w:val="1"/>
          <w:numId w:val="23"/>
        </w:numPr>
        <w:spacing w:after="0"/>
        <w:jc w:val="both"/>
        <w:rPr>
          <w:rFonts w:ascii="Book Antiqua" w:hAnsi="Book Antiqua"/>
          <w:sz w:val="20"/>
          <w:szCs w:val="21"/>
        </w:rPr>
      </w:pPr>
      <w:r w:rsidRPr="00C532F2">
        <w:rPr>
          <w:rFonts w:ascii="Book Antiqua" w:hAnsi="Book Antiqua"/>
          <w:sz w:val="20"/>
          <w:szCs w:val="21"/>
        </w:rPr>
        <w:t>Comité para la Eliminación de la Discriminación contra la Mujer, Recomendación general N° 27 sobre las mujeres de edad y la protección de sus derechos humanos (2010).</w:t>
      </w:r>
    </w:p>
    <w:p w14:paraId="7612A730" w14:textId="77777777" w:rsidR="00104BAC" w:rsidRPr="00C532F2" w:rsidRDefault="00104BAC" w:rsidP="00104BAC">
      <w:pPr>
        <w:pStyle w:val="ListParagraph"/>
        <w:numPr>
          <w:ilvl w:val="1"/>
          <w:numId w:val="23"/>
        </w:numPr>
        <w:spacing w:after="0"/>
        <w:jc w:val="both"/>
        <w:rPr>
          <w:rFonts w:ascii="Book Antiqua" w:hAnsi="Book Antiqua"/>
          <w:sz w:val="20"/>
          <w:szCs w:val="21"/>
        </w:rPr>
      </w:pPr>
      <w:r w:rsidRPr="00C532F2">
        <w:rPr>
          <w:rFonts w:ascii="Book Antiqua" w:hAnsi="Book Antiqua"/>
          <w:sz w:val="20"/>
          <w:szCs w:val="21"/>
        </w:rPr>
        <w:t>Convención Interamericana para la Protección de los Derechos Humanos de las Personas Mayores (2015).</w:t>
      </w:r>
    </w:p>
    <w:p w14:paraId="32EC74DF" w14:textId="77777777" w:rsidR="00104BAC" w:rsidRPr="00104BAC" w:rsidRDefault="00104BAC" w:rsidP="00104BAC">
      <w:pPr>
        <w:pStyle w:val="ListParagraph"/>
        <w:numPr>
          <w:ilvl w:val="0"/>
          <w:numId w:val="23"/>
        </w:numPr>
        <w:spacing w:after="0"/>
        <w:jc w:val="both"/>
        <w:rPr>
          <w:rFonts w:ascii="Book Antiqua" w:hAnsi="Book Antiqua"/>
          <w:sz w:val="20"/>
          <w:szCs w:val="24"/>
        </w:rPr>
      </w:pPr>
      <w:r w:rsidRPr="00104BAC">
        <w:rPr>
          <w:rFonts w:ascii="Book Antiqua" w:hAnsi="Book Antiqua"/>
          <w:szCs w:val="24"/>
        </w:rPr>
        <w:t>Instrumentos jurídicos nacionales.</w:t>
      </w:r>
    </w:p>
    <w:p w14:paraId="08374B20" w14:textId="77777777" w:rsidR="00104BAC" w:rsidRPr="00C532F2" w:rsidRDefault="00104BAC" w:rsidP="00104BAC">
      <w:pPr>
        <w:pStyle w:val="ListParagraph"/>
        <w:numPr>
          <w:ilvl w:val="1"/>
          <w:numId w:val="23"/>
        </w:numPr>
        <w:spacing w:after="0"/>
        <w:jc w:val="both"/>
        <w:rPr>
          <w:rFonts w:ascii="Book Antiqua" w:hAnsi="Book Antiqua"/>
          <w:sz w:val="16"/>
          <w:szCs w:val="21"/>
        </w:rPr>
      </w:pPr>
      <w:r w:rsidRPr="00C532F2">
        <w:rPr>
          <w:rFonts w:ascii="Book Antiqua" w:hAnsi="Book Antiqua"/>
          <w:sz w:val="20"/>
          <w:szCs w:val="21"/>
        </w:rPr>
        <w:lastRenderedPageBreak/>
        <w:t>CPR. ART 19 N° 2 inciso 2°: Establece la prohibición para el legislador y autoridad de establecer diferencias arbitrarias.</w:t>
      </w:r>
    </w:p>
    <w:p w14:paraId="062A9BDB" w14:textId="77777777" w:rsidR="00104BAC" w:rsidRPr="00C532F2" w:rsidRDefault="00104BAC" w:rsidP="00104BAC">
      <w:pPr>
        <w:pStyle w:val="ListParagraph"/>
        <w:numPr>
          <w:ilvl w:val="1"/>
          <w:numId w:val="23"/>
        </w:numPr>
        <w:spacing w:after="0"/>
        <w:jc w:val="both"/>
        <w:rPr>
          <w:rFonts w:ascii="Book Antiqua" w:hAnsi="Book Antiqua"/>
          <w:sz w:val="16"/>
          <w:szCs w:val="21"/>
        </w:rPr>
      </w:pPr>
      <w:r w:rsidRPr="00C532F2">
        <w:rPr>
          <w:rFonts w:ascii="Book Antiqua" w:hAnsi="Book Antiqua"/>
          <w:sz w:val="20"/>
          <w:szCs w:val="21"/>
        </w:rPr>
        <w:t>CPR. ART 19 N° 16 inciso 3°: Establece que se prohíbe cualquier discriminación que no se base en la capacidad o idoneidad personal.</w:t>
      </w:r>
    </w:p>
    <w:p w14:paraId="26A674A5" w14:textId="77777777" w:rsidR="00104BAC" w:rsidRPr="00C532F2" w:rsidRDefault="00104BAC" w:rsidP="00104BAC">
      <w:pPr>
        <w:pStyle w:val="ListParagraph"/>
        <w:numPr>
          <w:ilvl w:val="1"/>
          <w:numId w:val="23"/>
        </w:numPr>
        <w:spacing w:after="0"/>
        <w:jc w:val="both"/>
        <w:rPr>
          <w:rFonts w:ascii="Book Antiqua" w:hAnsi="Book Antiqua"/>
          <w:sz w:val="16"/>
          <w:szCs w:val="21"/>
        </w:rPr>
      </w:pPr>
      <w:r w:rsidRPr="00C532F2">
        <w:rPr>
          <w:rFonts w:ascii="Book Antiqua" w:hAnsi="Book Antiqua"/>
          <w:sz w:val="20"/>
          <w:szCs w:val="21"/>
        </w:rPr>
        <w:t>Código del Trabajo. Artículo. 2 inciso 4°: Establece la prohibición de utilizar el criterio de la edad como criterio de diferenciación en el trato en el empleo y la ocupación.</w:t>
      </w:r>
    </w:p>
    <w:p w14:paraId="73A0F6FE" w14:textId="77777777" w:rsidR="00104BAC" w:rsidRPr="00C532F2" w:rsidRDefault="00104BAC" w:rsidP="00104BAC">
      <w:pPr>
        <w:pStyle w:val="ListParagraph"/>
        <w:numPr>
          <w:ilvl w:val="1"/>
          <w:numId w:val="23"/>
        </w:numPr>
        <w:spacing w:after="0"/>
        <w:jc w:val="both"/>
        <w:rPr>
          <w:rFonts w:ascii="Book Antiqua" w:hAnsi="Book Antiqua"/>
          <w:sz w:val="16"/>
          <w:szCs w:val="21"/>
        </w:rPr>
      </w:pPr>
      <w:r w:rsidRPr="00C532F2">
        <w:rPr>
          <w:rFonts w:ascii="Book Antiqua" w:hAnsi="Book Antiqua"/>
          <w:sz w:val="20"/>
          <w:szCs w:val="21"/>
        </w:rPr>
        <w:t xml:space="preserve">Ley N° 19.828 (27 de septiembre de 2002) que crea al Servicio Nacional del Adulto Mayor que tiene como uno de sus objetivos velar por la plena integración del adulto mayor a la sociedad. </w:t>
      </w:r>
    </w:p>
    <w:p w14:paraId="6D5873D0" w14:textId="1A5DF98B" w:rsidR="00104BAC" w:rsidRPr="00C532F2" w:rsidRDefault="00104BAC" w:rsidP="00104BAC">
      <w:pPr>
        <w:pStyle w:val="ListParagraph"/>
        <w:numPr>
          <w:ilvl w:val="1"/>
          <w:numId w:val="23"/>
        </w:numPr>
        <w:spacing w:after="0"/>
        <w:jc w:val="both"/>
        <w:rPr>
          <w:rFonts w:ascii="Book Antiqua" w:hAnsi="Book Antiqua"/>
          <w:sz w:val="16"/>
          <w:szCs w:val="21"/>
        </w:rPr>
      </w:pPr>
      <w:r w:rsidRPr="00C532F2">
        <w:rPr>
          <w:rFonts w:ascii="Book Antiqua" w:hAnsi="Book Antiqua"/>
          <w:sz w:val="20"/>
          <w:szCs w:val="21"/>
        </w:rPr>
        <w:t>Ley N° 20.609: Establece medidas contra la discriminación.</w:t>
      </w:r>
    </w:p>
    <w:p w14:paraId="295E325C" w14:textId="77777777" w:rsidR="00104BAC" w:rsidRPr="00C532F2" w:rsidRDefault="00104BAC" w:rsidP="00104BAC">
      <w:pPr>
        <w:pStyle w:val="ListParagraph"/>
        <w:numPr>
          <w:ilvl w:val="1"/>
          <w:numId w:val="23"/>
        </w:numPr>
        <w:spacing w:after="0"/>
        <w:jc w:val="both"/>
        <w:rPr>
          <w:rFonts w:ascii="Book Antiqua" w:hAnsi="Book Antiqua"/>
          <w:sz w:val="16"/>
          <w:szCs w:val="21"/>
        </w:rPr>
      </w:pPr>
      <w:r w:rsidRPr="00C532F2">
        <w:rPr>
          <w:rFonts w:ascii="Book Antiqua" w:hAnsi="Book Antiqua"/>
          <w:sz w:val="20"/>
          <w:szCs w:val="21"/>
        </w:rPr>
        <w:t>Ley N° 20.584: Regula los derechos y deberes que tiene las personas en relación con acciones vinculadas a su atención de salud.</w:t>
      </w:r>
    </w:p>
    <w:p w14:paraId="1DEE39FE" w14:textId="77777777" w:rsidR="00104BAC" w:rsidRPr="00C532F2" w:rsidRDefault="00104BAC" w:rsidP="00104BAC">
      <w:pPr>
        <w:pStyle w:val="ListParagraph"/>
        <w:numPr>
          <w:ilvl w:val="1"/>
          <w:numId w:val="23"/>
        </w:numPr>
        <w:spacing w:after="0"/>
        <w:jc w:val="both"/>
        <w:rPr>
          <w:rFonts w:ascii="Book Antiqua" w:hAnsi="Book Antiqua"/>
          <w:sz w:val="16"/>
          <w:szCs w:val="21"/>
        </w:rPr>
      </w:pPr>
      <w:r w:rsidRPr="00C532F2">
        <w:rPr>
          <w:rFonts w:ascii="Book Antiqua" w:hAnsi="Book Antiqua"/>
          <w:sz w:val="20"/>
          <w:szCs w:val="21"/>
        </w:rPr>
        <w:t>Ley N° 20.422: Establece normar sobre igualdad de oportunidades e inclusión social de personas con discapacidad.</w:t>
      </w:r>
    </w:p>
    <w:p w14:paraId="4003D338" w14:textId="77777777" w:rsidR="00104BAC" w:rsidRPr="00C532F2" w:rsidRDefault="00104BAC" w:rsidP="00104BAC">
      <w:pPr>
        <w:pStyle w:val="ListParagraph"/>
        <w:numPr>
          <w:ilvl w:val="1"/>
          <w:numId w:val="23"/>
        </w:numPr>
        <w:spacing w:after="0"/>
        <w:jc w:val="both"/>
        <w:rPr>
          <w:rFonts w:ascii="Book Antiqua" w:hAnsi="Book Antiqua"/>
          <w:sz w:val="16"/>
          <w:szCs w:val="21"/>
        </w:rPr>
      </w:pPr>
      <w:r w:rsidRPr="00C532F2">
        <w:rPr>
          <w:rFonts w:ascii="Book Antiqua" w:hAnsi="Book Antiqua"/>
          <w:sz w:val="20"/>
          <w:szCs w:val="21"/>
        </w:rPr>
        <w:t>Ley N° 20.370: Establece la ley general de educación</w:t>
      </w:r>
    </w:p>
    <w:p w14:paraId="52843C93" w14:textId="77777777" w:rsidR="00104BAC" w:rsidRPr="00C532F2" w:rsidRDefault="00104BAC" w:rsidP="00104BAC">
      <w:pPr>
        <w:pStyle w:val="ListParagraph"/>
        <w:numPr>
          <w:ilvl w:val="1"/>
          <w:numId w:val="23"/>
        </w:numPr>
        <w:spacing w:after="0"/>
        <w:jc w:val="both"/>
        <w:rPr>
          <w:rFonts w:ascii="Book Antiqua" w:hAnsi="Book Antiqua"/>
          <w:sz w:val="16"/>
          <w:szCs w:val="21"/>
        </w:rPr>
      </w:pPr>
      <w:r w:rsidRPr="00C532F2">
        <w:rPr>
          <w:rFonts w:ascii="Book Antiqua" w:hAnsi="Book Antiqua"/>
          <w:sz w:val="20"/>
          <w:szCs w:val="21"/>
        </w:rPr>
        <w:t>Ley N° 19.496: Establece normas sobre protección de derechos de los consumidores</w:t>
      </w:r>
    </w:p>
    <w:p w14:paraId="1F22FF38" w14:textId="1DD3ACFB" w:rsidR="00104BAC" w:rsidRPr="00C532F2" w:rsidRDefault="00104BAC" w:rsidP="00104BAC">
      <w:pPr>
        <w:pStyle w:val="ListParagraph"/>
        <w:numPr>
          <w:ilvl w:val="1"/>
          <w:numId w:val="23"/>
        </w:numPr>
        <w:spacing w:after="0"/>
        <w:jc w:val="both"/>
        <w:rPr>
          <w:rFonts w:ascii="Book Antiqua" w:hAnsi="Book Antiqua"/>
          <w:sz w:val="16"/>
          <w:szCs w:val="21"/>
        </w:rPr>
      </w:pPr>
      <w:r w:rsidRPr="00C532F2">
        <w:rPr>
          <w:rFonts w:ascii="Book Antiqua" w:hAnsi="Book Antiqua"/>
          <w:sz w:val="20"/>
          <w:szCs w:val="21"/>
        </w:rPr>
        <w:t>D.S. N° 837 del año 2011, del Ministerio del Interior, Subsecretaria del interior: Aprueba reglamento que establece disposiciones sobre protección de refugiados.</w:t>
      </w:r>
    </w:p>
    <w:p w14:paraId="5C9FEC6D" w14:textId="77777777" w:rsidR="00C15E86" w:rsidRPr="00104BAC" w:rsidRDefault="00C15E86" w:rsidP="00C15E86">
      <w:pPr>
        <w:pStyle w:val="ListParagraph"/>
        <w:spacing w:after="0"/>
        <w:ind w:left="1440"/>
        <w:jc w:val="both"/>
        <w:rPr>
          <w:rFonts w:ascii="Book Antiqua" w:hAnsi="Book Antiqua"/>
          <w:sz w:val="20"/>
          <w:szCs w:val="24"/>
        </w:rPr>
      </w:pPr>
    </w:p>
    <w:p w14:paraId="73DD5703" w14:textId="38FE63C7" w:rsidR="00C15E86" w:rsidRDefault="00C15E86" w:rsidP="00B00A5C">
      <w:pPr>
        <w:spacing w:after="0" w:line="360" w:lineRule="auto"/>
        <w:jc w:val="both"/>
        <w:rPr>
          <w:rFonts w:ascii="Book Antiqua" w:hAnsi="Book Antiqua"/>
          <w:i/>
          <w:sz w:val="24"/>
          <w:szCs w:val="24"/>
        </w:rPr>
      </w:pPr>
      <w:r w:rsidRPr="00C15E86">
        <w:rPr>
          <w:rFonts w:ascii="Book Antiqua" w:hAnsi="Book Antiqua"/>
          <w:i/>
          <w:sz w:val="24"/>
          <w:szCs w:val="24"/>
        </w:rPr>
        <w:t>5. Sírvase aportar información también de los planes de acción o las políticas de sensibilización y lucha contra el edadismo (incluido en programas escolares) y el avance hacia una sociedad más inclusiva y favorable a la edad.</w:t>
      </w:r>
    </w:p>
    <w:p w14:paraId="3708CB25" w14:textId="77777777" w:rsidR="00C15E86" w:rsidRPr="00382839" w:rsidRDefault="00C15E86" w:rsidP="00C15E86">
      <w:pPr>
        <w:spacing w:after="0"/>
        <w:jc w:val="both"/>
        <w:rPr>
          <w:rFonts w:ascii="Book Antiqua" w:hAnsi="Book Antiqua"/>
        </w:rPr>
      </w:pPr>
      <w:r w:rsidRPr="00382839">
        <w:rPr>
          <w:rFonts w:ascii="Book Antiqua" w:hAnsi="Book Antiqua"/>
        </w:rPr>
        <w:t xml:space="preserve">En concordancia con lo indicado por la Organización Mundial de la Salud (OMS), algunas de las actividades realizadas para combatir la discriminación por motivos de edad han sido: </w:t>
      </w:r>
    </w:p>
    <w:p w14:paraId="4FA6DDB8" w14:textId="77777777" w:rsidR="00C15E86" w:rsidRPr="00382839" w:rsidRDefault="00C15E86" w:rsidP="00C15E86">
      <w:pPr>
        <w:pStyle w:val="ListParagraph"/>
        <w:numPr>
          <w:ilvl w:val="0"/>
          <w:numId w:val="24"/>
        </w:numPr>
        <w:spacing w:after="0"/>
        <w:jc w:val="both"/>
        <w:rPr>
          <w:rFonts w:ascii="Book Antiqua" w:hAnsi="Book Antiqua"/>
        </w:rPr>
      </w:pPr>
      <w:r w:rsidRPr="00382839">
        <w:rPr>
          <w:rFonts w:ascii="Book Antiqua" w:hAnsi="Book Antiqua"/>
        </w:rPr>
        <w:t>Proyecto de Ley “Promoción del Envejecimiento Positivo, el Cuidado integral de las Personas Mayores y Fortalecimiento de la Institucionalidad del Adulto Mayor” (Boletín N°13.822-07. Mensaje N°174-368)</w:t>
      </w:r>
    </w:p>
    <w:p w14:paraId="18CEB056" w14:textId="584A194D" w:rsidR="00C15E86" w:rsidRPr="00382839" w:rsidRDefault="00C15E86" w:rsidP="00C15E86">
      <w:pPr>
        <w:pStyle w:val="ListParagraph"/>
        <w:numPr>
          <w:ilvl w:val="0"/>
          <w:numId w:val="24"/>
        </w:numPr>
        <w:spacing w:after="0"/>
        <w:jc w:val="both"/>
        <w:rPr>
          <w:rFonts w:ascii="Book Antiqua" w:hAnsi="Book Antiqua"/>
        </w:rPr>
      </w:pPr>
      <w:r w:rsidRPr="00382839">
        <w:rPr>
          <w:rFonts w:ascii="Book Antiqua" w:hAnsi="Book Antiqua"/>
        </w:rPr>
        <w:t>Desde la Unidad de Derechos Humanos y Buen Trato del Servicio Nacional del Adulto Mayor, SENAMA, promover los derechos humanos de las personas mayores y prevenir el maltrato a través de distintas acciones</w:t>
      </w:r>
      <w:r w:rsidR="00382839" w:rsidRPr="00382839">
        <w:rPr>
          <w:rStyle w:val="FootnoteReference"/>
          <w:rFonts w:ascii="Book Antiqua" w:hAnsi="Book Antiqua"/>
        </w:rPr>
        <w:footnoteReference w:id="7"/>
      </w:r>
      <w:r w:rsidRPr="00382839">
        <w:rPr>
          <w:rFonts w:ascii="Book Antiqua" w:hAnsi="Book Antiqua"/>
        </w:rPr>
        <w:t xml:space="preserve">.  </w:t>
      </w:r>
    </w:p>
    <w:p w14:paraId="5D561907" w14:textId="77777777" w:rsidR="00C15E86" w:rsidRPr="00382839" w:rsidRDefault="00C15E86" w:rsidP="00C15E86">
      <w:pPr>
        <w:pStyle w:val="ListParagraph"/>
        <w:numPr>
          <w:ilvl w:val="0"/>
          <w:numId w:val="24"/>
        </w:numPr>
        <w:spacing w:after="0"/>
        <w:jc w:val="both"/>
        <w:rPr>
          <w:rFonts w:ascii="Book Antiqua" w:hAnsi="Book Antiqua"/>
        </w:rPr>
      </w:pPr>
      <w:r w:rsidRPr="00382839">
        <w:rPr>
          <w:rFonts w:ascii="Book Antiqua" w:hAnsi="Book Antiqua"/>
        </w:rPr>
        <w:t xml:space="preserve">Durante el año 2019, y considerando los objetivos que marcaron el nacimiento del SENAMA, se creó la figura del Defensor Mayor, en el marco del Programa Buen Trato al Adulto Mayor, con la finalidad de realizar todas aquellas acciones tendientes a proteger a los adultos mayores frente a situaciones como el abandono e indigencia, entre otras. Se ocupa también de sensibilizar y promocionar en el territorio los derechos humanos de las personas mayores. </w:t>
      </w:r>
    </w:p>
    <w:p w14:paraId="21CD2A77" w14:textId="77777777" w:rsidR="00382839" w:rsidRPr="00382839" w:rsidRDefault="00C15E86" w:rsidP="00C15E86">
      <w:pPr>
        <w:pStyle w:val="ListParagraph"/>
        <w:numPr>
          <w:ilvl w:val="0"/>
          <w:numId w:val="24"/>
        </w:numPr>
        <w:spacing w:after="0"/>
        <w:jc w:val="both"/>
        <w:rPr>
          <w:rFonts w:ascii="Book Antiqua" w:hAnsi="Book Antiqua"/>
        </w:rPr>
      </w:pPr>
      <w:r w:rsidRPr="00382839">
        <w:rPr>
          <w:rFonts w:ascii="Book Antiqua" w:hAnsi="Book Antiqua"/>
        </w:rPr>
        <w:t>Desde fines de 2020 se da una atención preferente por parte de la Corporación de Asistencia Judicial (CAJ), a las personas mayores por parte de una dupla socio jurídica, compuesta por un abogado y un trabajador social, en el marco del Programa Defensa Jurídica Integral para Adultos Mayores.</w:t>
      </w:r>
    </w:p>
    <w:p w14:paraId="1246901A" w14:textId="677E9DEE" w:rsidR="00C15E86" w:rsidRPr="00382839" w:rsidRDefault="00C15E86" w:rsidP="00C15E86">
      <w:pPr>
        <w:pStyle w:val="ListParagraph"/>
        <w:numPr>
          <w:ilvl w:val="0"/>
          <w:numId w:val="24"/>
        </w:numPr>
        <w:spacing w:after="0"/>
        <w:jc w:val="both"/>
        <w:rPr>
          <w:rFonts w:ascii="Book Antiqua" w:hAnsi="Book Antiqua"/>
        </w:rPr>
      </w:pPr>
      <w:r w:rsidRPr="00382839">
        <w:rPr>
          <w:rFonts w:ascii="Book Antiqua" w:hAnsi="Book Antiqua"/>
        </w:rPr>
        <w:lastRenderedPageBreak/>
        <w:t>El Servicio Nacional del Adulto Mayor, SENAMA, elaboró una “Guía de Beneficios del Estado” que contiene debida información acerca de los beneficios, programas y cómo acceder a ellos</w:t>
      </w:r>
      <w:r w:rsidR="00382839" w:rsidRPr="00382839">
        <w:rPr>
          <w:rStyle w:val="FootnoteReference"/>
          <w:rFonts w:ascii="Book Antiqua" w:hAnsi="Book Antiqua"/>
        </w:rPr>
        <w:footnoteReference w:id="8"/>
      </w:r>
      <w:r w:rsidRPr="00382839">
        <w:rPr>
          <w:rFonts w:ascii="Book Antiqua" w:hAnsi="Book Antiqua"/>
        </w:rPr>
        <w:t>.</w:t>
      </w:r>
    </w:p>
    <w:p w14:paraId="51F27AC4" w14:textId="77777777" w:rsidR="00382839" w:rsidRPr="00382839" w:rsidRDefault="00382839" w:rsidP="00382839">
      <w:pPr>
        <w:pStyle w:val="ListParagraph"/>
        <w:spacing w:after="0"/>
        <w:jc w:val="both"/>
        <w:rPr>
          <w:rFonts w:ascii="Book Antiqua" w:hAnsi="Book Antiqua"/>
        </w:rPr>
      </w:pPr>
    </w:p>
    <w:p w14:paraId="38F54B8E" w14:textId="73A2DD77" w:rsidR="00B00A5C" w:rsidRPr="00B00A5C" w:rsidRDefault="00382839" w:rsidP="007961E6">
      <w:pPr>
        <w:spacing w:after="0" w:line="360" w:lineRule="auto"/>
        <w:jc w:val="both"/>
        <w:rPr>
          <w:rFonts w:ascii="Book Antiqua" w:hAnsi="Book Antiqua"/>
          <w:i/>
          <w:sz w:val="24"/>
          <w:szCs w:val="24"/>
        </w:rPr>
      </w:pPr>
      <w:r w:rsidRPr="00B00A5C">
        <w:rPr>
          <w:rFonts w:ascii="Book Antiqua" w:hAnsi="Book Antiqua"/>
          <w:i/>
          <w:sz w:val="24"/>
          <w:szCs w:val="24"/>
        </w:rPr>
        <w:t>6. En el plano nacional, sírvase exponer las protecciones jurídicas disponibles contra la discriminación por edad e indicar si la edad se reconoce explícitamente como motivo de discriminación. En caso afirmativo, ¿hay ámbitos específicos en los que se garantiza explícitamente la igualdad? ¿Existen ámbitos en los que se justifique explícitamente el trato diferencial basado en la edad avanzada?</w:t>
      </w:r>
    </w:p>
    <w:p w14:paraId="3CD6F997" w14:textId="77777777" w:rsidR="00B00A5C" w:rsidRDefault="00382839" w:rsidP="00382839">
      <w:pPr>
        <w:pStyle w:val="ListParagraph"/>
        <w:numPr>
          <w:ilvl w:val="0"/>
          <w:numId w:val="25"/>
        </w:numPr>
        <w:spacing w:after="0"/>
        <w:jc w:val="both"/>
        <w:rPr>
          <w:rFonts w:ascii="Book Antiqua" w:hAnsi="Book Antiqua"/>
        </w:rPr>
      </w:pPr>
      <w:r w:rsidRPr="00B00A5C">
        <w:rPr>
          <w:rFonts w:ascii="Book Antiqua" w:hAnsi="Book Antiqua"/>
        </w:rPr>
        <w:t>Ley N° 21.168 de Atención Preferente: Con el fin de mejorar la oferta, calidad y eficiencia de los servicios de salud (AUGE Mayor), que crea el derecho a la Atención Preferente en Salud para personas mayores y personas con discapacidad, la que contempla la atención, receta médica, interconsulta a especialidad y dispensación de medicamentos.</w:t>
      </w:r>
    </w:p>
    <w:p w14:paraId="0CDB3BCA" w14:textId="0AE74028" w:rsidR="00382839" w:rsidRPr="00B00A5C" w:rsidRDefault="00382839" w:rsidP="00382839">
      <w:pPr>
        <w:pStyle w:val="ListParagraph"/>
        <w:numPr>
          <w:ilvl w:val="0"/>
          <w:numId w:val="25"/>
        </w:numPr>
        <w:spacing w:after="0"/>
        <w:jc w:val="both"/>
        <w:rPr>
          <w:rFonts w:ascii="Book Antiqua" w:hAnsi="Book Antiqua"/>
        </w:rPr>
      </w:pPr>
      <w:r w:rsidRPr="00B00A5C">
        <w:rPr>
          <w:rFonts w:ascii="Book Antiqua" w:hAnsi="Book Antiqua"/>
        </w:rPr>
        <w:t xml:space="preserve">Ley </w:t>
      </w:r>
      <w:r w:rsidR="00FA7FAD">
        <w:rPr>
          <w:rFonts w:ascii="Book Antiqua" w:hAnsi="Book Antiqua"/>
        </w:rPr>
        <w:t xml:space="preserve">Nº </w:t>
      </w:r>
      <w:r w:rsidRPr="00B00A5C">
        <w:rPr>
          <w:rFonts w:ascii="Book Antiqua" w:hAnsi="Book Antiqua"/>
        </w:rPr>
        <w:t>20.584 que regula los derechos y deberes de las personas en relación con acciones vinculadas a su atención de salud. Toda persona tiene derecho, cualquiera que sea el prestador que ejecute las acciones de promoción, protección y recuperación de su salud y de su rehabilitación, a que éstas sean dadas oportunamente y sin discriminación arbitraria, en las formas y condiciones que determinan la Constitución y las leyes.</w:t>
      </w:r>
    </w:p>
    <w:p w14:paraId="7B6938A1" w14:textId="49D1A0A0" w:rsidR="00B00A5C" w:rsidRDefault="00382839" w:rsidP="00382839">
      <w:pPr>
        <w:pStyle w:val="ListParagraph"/>
        <w:numPr>
          <w:ilvl w:val="0"/>
          <w:numId w:val="25"/>
        </w:numPr>
        <w:spacing w:after="0"/>
        <w:jc w:val="both"/>
        <w:rPr>
          <w:rFonts w:ascii="Book Antiqua" w:hAnsi="Book Antiqua"/>
        </w:rPr>
      </w:pPr>
      <w:r w:rsidRPr="00B00A5C">
        <w:rPr>
          <w:rFonts w:ascii="Book Antiqua" w:hAnsi="Book Antiqua"/>
        </w:rPr>
        <w:t>En cuanto a facilitar la inclusión laboral de las personas mayores, cabe destacar el acceso sin tope de edad a los programas de capacitación del Servicio Nacional de Capacitación y Empleo (SENCE)</w:t>
      </w:r>
      <w:r w:rsidR="00FA7FAD">
        <w:rPr>
          <w:rFonts w:ascii="Book Antiqua" w:hAnsi="Book Antiqua"/>
        </w:rPr>
        <w:t xml:space="preserve">. Este, </w:t>
      </w:r>
      <w:r w:rsidRPr="00B00A5C">
        <w:rPr>
          <w:rFonts w:ascii="Book Antiqua" w:hAnsi="Book Antiqua"/>
        </w:rPr>
        <w:t>implementó a partir de 2019</w:t>
      </w:r>
      <w:r w:rsidR="00FA7FAD">
        <w:rPr>
          <w:rFonts w:ascii="Book Antiqua" w:hAnsi="Book Antiqua"/>
        </w:rPr>
        <w:t>,</w:t>
      </w:r>
      <w:r w:rsidRPr="00B00A5C">
        <w:rPr>
          <w:rFonts w:ascii="Book Antiqua" w:hAnsi="Book Antiqua"/>
        </w:rPr>
        <w:t xml:space="preserve"> un nuevo subsidio a las empresas para </w:t>
      </w:r>
      <w:r w:rsidR="00B00A5C" w:rsidRPr="00B00A5C">
        <w:rPr>
          <w:rFonts w:ascii="Book Antiqua" w:hAnsi="Book Antiqua"/>
        </w:rPr>
        <w:t>favorecer la</w:t>
      </w:r>
      <w:r w:rsidRPr="00B00A5C">
        <w:rPr>
          <w:rFonts w:ascii="Book Antiqua" w:hAnsi="Book Antiqua"/>
        </w:rPr>
        <w:t xml:space="preserve"> contratación y capacitación de personas mayores de 60 años y más. La iniciativa considera una bonificación por concepto de contratación y una bonificación opcional por concepto de capacitación para la empresa, a fin de que las personas mayores que deseen trabajar cuenten con las herramientas para desempeñarse de manera correcta en los puestos de trabajo.</w:t>
      </w:r>
    </w:p>
    <w:p w14:paraId="566EAA1A" w14:textId="77777777" w:rsidR="00B00A5C" w:rsidRDefault="00382839" w:rsidP="00382839">
      <w:pPr>
        <w:pStyle w:val="ListParagraph"/>
        <w:numPr>
          <w:ilvl w:val="0"/>
          <w:numId w:val="25"/>
        </w:numPr>
        <w:spacing w:after="0"/>
        <w:jc w:val="both"/>
        <w:rPr>
          <w:rFonts w:ascii="Book Antiqua" w:hAnsi="Book Antiqua"/>
        </w:rPr>
      </w:pPr>
      <w:r w:rsidRPr="00B00A5C">
        <w:rPr>
          <w:rFonts w:ascii="Book Antiqua" w:hAnsi="Book Antiqua"/>
        </w:rPr>
        <w:t>Servicio Nacional del Consumidor, SERNAC: En el contexto del Mes del Adulto Mayor, y con el fin de propiciar que las personas mayores cuenten con herramientas para poder ejercer sus derechos, el SERNAC desarrolló una Radiografía de los Reclamos del Adulto Mayor.</w:t>
      </w:r>
    </w:p>
    <w:p w14:paraId="639716B4" w14:textId="76B4623C" w:rsidR="00B00A5C" w:rsidRDefault="00382839" w:rsidP="00382839">
      <w:pPr>
        <w:pStyle w:val="ListParagraph"/>
        <w:numPr>
          <w:ilvl w:val="0"/>
          <w:numId w:val="25"/>
        </w:numPr>
        <w:spacing w:after="0"/>
        <w:jc w:val="both"/>
        <w:rPr>
          <w:rFonts w:ascii="Book Antiqua" w:hAnsi="Book Antiqua"/>
        </w:rPr>
      </w:pPr>
      <w:r w:rsidRPr="00B00A5C">
        <w:rPr>
          <w:rFonts w:ascii="Book Antiqua" w:hAnsi="Book Antiqua"/>
        </w:rPr>
        <w:t xml:space="preserve">Guía de Beneficios del Estado, para resolver las brechas que se generan en la población de personas mayores por la desinformación y consecuente dificultad en el acceso a los beneficios de la oferta de programas sociales del </w:t>
      </w:r>
      <w:r w:rsidR="00FA7FAD">
        <w:rPr>
          <w:rFonts w:ascii="Book Antiqua" w:hAnsi="Book Antiqua"/>
        </w:rPr>
        <w:t>E</w:t>
      </w:r>
      <w:r w:rsidRPr="00B00A5C">
        <w:rPr>
          <w:rFonts w:ascii="Book Antiqua" w:hAnsi="Book Antiqua"/>
        </w:rPr>
        <w:t xml:space="preserve">stado, el SENAMA, elaboró una Guía que contiene debida información </w:t>
      </w:r>
      <w:r w:rsidR="00B00A5C" w:rsidRPr="00B00A5C">
        <w:rPr>
          <w:rFonts w:ascii="Book Antiqua" w:hAnsi="Book Antiqua"/>
        </w:rPr>
        <w:t>acerca de</w:t>
      </w:r>
      <w:r w:rsidRPr="00B00A5C">
        <w:rPr>
          <w:rFonts w:ascii="Book Antiqua" w:hAnsi="Book Antiqua"/>
        </w:rPr>
        <w:t xml:space="preserve"> los beneficios, programas y cómo acceder a ellos.</w:t>
      </w:r>
    </w:p>
    <w:p w14:paraId="1FC9BE20" w14:textId="767AD963" w:rsidR="00B00A5C" w:rsidRDefault="00382839" w:rsidP="00382839">
      <w:pPr>
        <w:pStyle w:val="ListParagraph"/>
        <w:numPr>
          <w:ilvl w:val="0"/>
          <w:numId w:val="25"/>
        </w:numPr>
        <w:spacing w:after="0"/>
        <w:jc w:val="both"/>
        <w:rPr>
          <w:rFonts w:ascii="Book Antiqua" w:hAnsi="Book Antiqua"/>
        </w:rPr>
      </w:pPr>
      <w:r w:rsidRPr="00B00A5C">
        <w:rPr>
          <w:rFonts w:ascii="Book Antiqua" w:hAnsi="Book Antiqua"/>
        </w:rPr>
        <w:t>Proyecto de Ley “Promoción del Envejecimiento Positivo, el Cuidado integral de las Personas Mayores y Fortalecimiento de la Institucionalidad del Adulto Mayor” (Boletín N°13.822-07. Mensaje N°174-368), el que propone establecer la Creación del Comité Interministerial de Adulto Mayor</w:t>
      </w:r>
      <w:r w:rsidR="00FA7FAD">
        <w:rPr>
          <w:rFonts w:ascii="Book Antiqua" w:hAnsi="Book Antiqua"/>
        </w:rPr>
        <w:t xml:space="preserve"> y el</w:t>
      </w:r>
      <w:r w:rsidRPr="00B00A5C">
        <w:rPr>
          <w:rFonts w:ascii="Book Antiqua" w:hAnsi="Book Antiqua"/>
        </w:rPr>
        <w:t xml:space="preserve"> </w:t>
      </w:r>
      <w:r w:rsidR="00FA7FAD">
        <w:rPr>
          <w:rFonts w:ascii="Book Antiqua" w:hAnsi="Book Antiqua"/>
        </w:rPr>
        <w:t>f</w:t>
      </w:r>
      <w:r w:rsidRPr="00B00A5C">
        <w:rPr>
          <w:rFonts w:ascii="Book Antiqua" w:hAnsi="Book Antiqua"/>
        </w:rPr>
        <w:t>ortalecimiento del SENAMA</w:t>
      </w:r>
      <w:r w:rsidR="00FA7FAD">
        <w:rPr>
          <w:rFonts w:ascii="Book Antiqua" w:hAnsi="Book Antiqua"/>
        </w:rPr>
        <w:t>. E</w:t>
      </w:r>
      <w:r w:rsidRPr="00B00A5C">
        <w:rPr>
          <w:rFonts w:ascii="Book Antiqua" w:hAnsi="Book Antiqua"/>
        </w:rPr>
        <w:t xml:space="preserve">l proyecto también garantiza derechos de participación social, para lo que se creará un sistema de ciudades amigables con los adultos </w:t>
      </w:r>
      <w:r w:rsidRPr="00B00A5C">
        <w:rPr>
          <w:rFonts w:ascii="Book Antiqua" w:hAnsi="Book Antiqua"/>
        </w:rPr>
        <w:lastRenderedPageBreak/>
        <w:t xml:space="preserve">mayores y </w:t>
      </w:r>
      <w:r w:rsidR="00FA7FAD">
        <w:rPr>
          <w:rFonts w:ascii="Book Antiqua" w:hAnsi="Book Antiqua"/>
        </w:rPr>
        <w:t>C</w:t>
      </w:r>
      <w:r w:rsidRPr="00B00A5C">
        <w:rPr>
          <w:rFonts w:ascii="Book Antiqua" w:hAnsi="Book Antiqua"/>
        </w:rPr>
        <w:t xml:space="preserve">onsejos </w:t>
      </w:r>
      <w:r w:rsidR="00FA7FAD">
        <w:rPr>
          <w:rFonts w:ascii="Book Antiqua" w:hAnsi="Book Antiqua"/>
        </w:rPr>
        <w:t>A</w:t>
      </w:r>
      <w:r w:rsidRPr="00B00A5C">
        <w:rPr>
          <w:rFonts w:ascii="Book Antiqua" w:hAnsi="Book Antiqua"/>
        </w:rPr>
        <w:t xml:space="preserve">sesores </w:t>
      </w:r>
      <w:r w:rsidR="00FA7FAD">
        <w:rPr>
          <w:rFonts w:ascii="Book Antiqua" w:hAnsi="Book Antiqua"/>
        </w:rPr>
        <w:t>R</w:t>
      </w:r>
      <w:r w:rsidRPr="00B00A5C">
        <w:rPr>
          <w:rFonts w:ascii="Book Antiqua" w:hAnsi="Book Antiqua"/>
        </w:rPr>
        <w:t>egionales, e incorporará derechos laborales, con un contrato especial de trabajo que contempla jornadas más flexibles y facilitar la inclusión al mercado laboral.</w:t>
      </w:r>
    </w:p>
    <w:p w14:paraId="13E00BD9" w14:textId="77777777" w:rsidR="00B00A5C" w:rsidRDefault="00382839" w:rsidP="00382839">
      <w:pPr>
        <w:pStyle w:val="ListParagraph"/>
        <w:numPr>
          <w:ilvl w:val="0"/>
          <w:numId w:val="25"/>
        </w:numPr>
        <w:spacing w:after="0"/>
        <w:jc w:val="both"/>
        <w:rPr>
          <w:rFonts w:ascii="Book Antiqua" w:hAnsi="Book Antiqua"/>
        </w:rPr>
      </w:pPr>
      <w:r w:rsidRPr="00B00A5C">
        <w:rPr>
          <w:rFonts w:ascii="Book Antiqua" w:hAnsi="Book Antiqua"/>
        </w:rPr>
        <w:t>Además, de la revisión de los instrumentos jurídicos nacionales descritos en el numeral 4° anterior, se pudo apreciar que las siguientes normas destacan explícitamente la edad como criterio prohibido para establecer diferenciaciones en la vejez, a saber:</w:t>
      </w:r>
    </w:p>
    <w:p w14:paraId="34155FD0" w14:textId="77777777" w:rsidR="00B00A5C" w:rsidRDefault="00382839" w:rsidP="00382839">
      <w:pPr>
        <w:pStyle w:val="ListParagraph"/>
        <w:numPr>
          <w:ilvl w:val="1"/>
          <w:numId w:val="25"/>
        </w:numPr>
        <w:spacing w:after="0"/>
        <w:jc w:val="both"/>
        <w:rPr>
          <w:rFonts w:ascii="Book Antiqua" w:hAnsi="Book Antiqua"/>
        </w:rPr>
      </w:pPr>
      <w:r w:rsidRPr="00B00A5C">
        <w:rPr>
          <w:rFonts w:ascii="Book Antiqua" w:hAnsi="Book Antiqua"/>
        </w:rPr>
        <w:t>El artículo 2 inciso 4° del Código del Trabajo, que establece como criterio prohibido de discriminación en materia laborar la edad. Esta prohibición se refiera a cualquier acto que tenga por objeto anular o alterar la igualdad de oportunidades o de trato en el empleo y la ocupación.</w:t>
      </w:r>
    </w:p>
    <w:p w14:paraId="4001A1B2" w14:textId="0DEC0F58" w:rsidR="00382839" w:rsidRPr="00B00A5C" w:rsidRDefault="00382839" w:rsidP="00382839">
      <w:pPr>
        <w:pStyle w:val="ListParagraph"/>
        <w:numPr>
          <w:ilvl w:val="1"/>
          <w:numId w:val="25"/>
        </w:numPr>
        <w:spacing w:after="0"/>
        <w:jc w:val="both"/>
        <w:rPr>
          <w:rFonts w:ascii="Book Antiqua" w:hAnsi="Book Antiqua"/>
        </w:rPr>
      </w:pPr>
      <w:r w:rsidRPr="00B00A5C">
        <w:rPr>
          <w:rFonts w:ascii="Book Antiqua" w:hAnsi="Book Antiqua"/>
        </w:rPr>
        <w:t>El artículo 2 de la Ley N° 20.609, que establece como prohibición general la utilización de la edad como criterio legítimo de diferenciación.</w:t>
      </w:r>
    </w:p>
    <w:p w14:paraId="1766CC4C" w14:textId="77777777" w:rsidR="00FA7FAD" w:rsidRDefault="00382839" w:rsidP="00FA7FAD">
      <w:pPr>
        <w:spacing w:after="0"/>
        <w:ind w:left="1701"/>
        <w:jc w:val="both"/>
        <w:rPr>
          <w:rFonts w:ascii="Book Antiqua" w:hAnsi="Book Antiqua"/>
          <w:i/>
          <w:sz w:val="20"/>
        </w:rPr>
      </w:pPr>
      <w:r w:rsidRPr="00B00A5C">
        <w:rPr>
          <w:rFonts w:ascii="Book Antiqua" w:hAnsi="Book Antiqua"/>
          <w:i/>
          <w:sz w:val="20"/>
        </w:rPr>
        <w:t>“Artículo 2°. Definición de discriminación arbitraria. Par los efectos de esta ley, se entiende por discriminación arbitraria toda distinción, exclusión o restricción que carezca de justificación razonable, efectuada por agentes del Estado o particulares, y que cause privación, perturbación o amenaza en el ejercicio legítimo de los derechos fundamentales establecidos en la Constitución Política de la República o en los tratados internacionales sobre derechos humanos ratificados por Chile y que se encuentren vigentes, en particular cuando se funden en motivos tales como la raza o etnia, la nacionalidad, la situación socioeconómica, el idioma, la ideología u opinión política, la religión o creencia, la sindicación o participación en organizaciones gremiales o la falta de ellas, el sexo, la orientación sexual, la identidad de género, el estado civil, la edad, la filiación, la apariencia personal y la enfermedad o discapacidad.”</w:t>
      </w:r>
    </w:p>
    <w:p w14:paraId="4F5983CB" w14:textId="77777777" w:rsidR="00FA7FAD" w:rsidRPr="00FA7FAD" w:rsidRDefault="00382839" w:rsidP="00382839">
      <w:pPr>
        <w:pStyle w:val="ListParagraph"/>
        <w:numPr>
          <w:ilvl w:val="0"/>
          <w:numId w:val="31"/>
        </w:numPr>
        <w:spacing w:after="0"/>
        <w:ind w:left="1418"/>
        <w:jc w:val="both"/>
        <w:rPr>
          <w:rFonts w:ascii="Book Antiqua" w:hAnsi="Book Antiqua"/>
          <w:i/>
          <w:sz w:val="20"/>
        </w:rPr>
      </w:pPr>
      <w:r w:rsidRPr="00FA7FAD">
        <w:rPr>
          <w:rFonts w:ascii="Book Antiqua" w:hAnsi="Book Antiqua"/>
        </w:rPr>
        <w:t>El artículo 10 del Reglamento de la Ley N° 20.430, establece que los solicitantes de la condición de refugiados no serán discriminados en razón de su edad, eliminado dicho criterio de los criterios legítimos de diferenciación.</w:t>
      </w:r>
    </w:p>
    <w:p w14:paraId="7B298CB5" w14:textId="4DAF0B83" w:rsidR="00382839" w:rsidRPr="00FA7FAD" w:rsidRDefault="00382839" w:rsidP="00382839">
      <w:pPr>
        <w:pStyle w:val="ListParagraph"/>
        <w:numPr>
          <w:ilvl w:val="0"/>
          <w:numId w:val="31"/>
        </w:numPr>
        <w:spacing w:after="0"/>
        <w:ind w:left="1418"/>
        <w:jc w:val="both"/>
        <w:rPr>
          <w:rFonts w:ascii="Book Antiqua" w:hAnsi="Book Antiqua"/>
          <w:i/>
          <w:sz w:val="20"/>
        </w:rPr>
      </w:pPr>
      <w:r w:rsidRPr="00FA7FAD">
        <w:rPr>
          <w:rFonts w:ascii="Book Antiqua" w:hAnsi="Book Antiqua"/>
        </w:rPr>
        <w:t>Visto lo anterior, puede apreciarse que la Ley N° 20.609, es la norma de referencia en materia de igualdad, ya que se trata de la primera norma legal que elimina, de manera general, la edad como criterio para realizar una discriminación en la vejez, estableciendo dicha acción como arbitraria.</w:t>
      </w:r>
    </w:p>
    <w:p w14:paraId="66889FB7" w14:textId="40E79EC7" w:rsidR="00B00A5C" w:rsidRDefault="00B00A5C" w:rsidP="00382839">
      <w:pPr>
        <w:spacing w:after="0"/>
        <w:jc w:val="both"/>
        <w:rPr>
          <w:rFonts w:ascii="Book Antiqua" w:hAnsi="Book Antiqua"/>
        </w:rPr>
      </w:pPr>
    </w:p>
    <w:p w14:paraId="10C3161B" w14:textId="35CB893E" w:rsidR="00B00A5C" w:rsidRDefault="00B00A5C" w:rsidP="00B00A5C">
      <w:pPr>
        <w:spacing w:after="0" w:line="360" w:lineRule="auto"/>
        <w:jc w:val="both"/>
        <w:rPr>
          <w:rFonts w:ascii="Book Antiqua" w:hAnsi="Book Antiqua"/>
          <w:i/>
          <w:sz w:val="24"/>
          <w:szCs w:val="24"/>
        </w:rPr>
      </w:pPr>
      <w:r w:rsidRPr="00B00A5C">
        <w:rPr>
          <w:rFonts w:ascii="Book Antiqua" w:hAnsi="Book Antiqua"/>
          <w:i/>
          <w:sz w:val="24"/>
          <w:szCs w:val="24"/>
        </w:rPr>
        <w:t>7. ¿Permiten las protecciones jurídicas existentes contra la discriminación por edad reclamaciones basadas en la discriminación intersectorial, es decir, la discriminación basada en la intersección de la edad y otras características como la raza, la etnia, el género, la orientación sexual, la discapacidad u otra condición?</w:t>
      </w:r>
    </w:p>
    <w:p w14:paraId="27BB6659" w14:textId="56EF71FD" w:rsidR="00B00A5C" w:rsidRPr="00A327F8" w:rsidRDefault="00B00A5C" w:rsidP="00B00A5C">
      <w:pPr>
        <w:spacing w:after="0"/>
        <w:jc w:val="both"/>
        <w:rPr>
          <w:rFonts w:ascii="Book Antiqua" w:hAnsi="Book Antiqua"/>
        </w:rPr>
      </w:pPr>
      <w:r w:rsidRPr="00A327F8">
        <w:rPr>
          <w:rFonts w:ascii="Book Antiqua" w:hAnsi="Book Antiqua"/>
        </w:rPr>
        <w:t xml:space="preserve">La interseccionalidad evoca un encuentro o concurrencia simultánea de diversas causas de discriminación. Ello activa o visibiliza una discriminación que sólo se produce cuando se combinan dichos </w:t>
      </w:r>
      <w:r w:rsidR="00A327F8" w:rsidRPr="00A327F8">
        <w:rPr>
          <w:rFonts w:ascii="Book Antiqua" w:hAnsi="Book Antiqua"/>
        </w:rPr>
        <w:t>motivos</w:t>
      </w:r>
      <w:r w:rsidR="00E80368">
        <w:rPr>
          <w:rStyle w:val="FootnoteReference"/>
          <w:rFonts w:ascii="Book Antiqua" w:hAnsi="Book Antiqua"/>
        </w:rPr>
        <w:footnoteReference w:id="9"/>
      </w:r>
      <w:r w:rsidR="00A327F8" w:rsidRPr="00A327F8">
        <w:rPr>
          <w:rFonts w:ascii="Book Antiqua" w:hAnsi="Book Antiqua"/>
        </w:rPr>
        <w:t>.</w:t>
      </w:r>
      <w:r w:rsidRPr="00A327F8">
        <w:rPr>
          <w:rFonts w:ascii="Book Antiqua" w:hAnsi="Book Antiqua"/>
        </w:rPr>
        <w:t xml:space="preserve"> </w:t>
      </w:r>
    </w:p>
    <w:p w14:paraId="7C58F8F7" w14:textId="77777777" w:rsidR="00B00A5C" w:rsidRPr="00A327F8" w:rsidRDefault="00B00A5C" w:rsidP="00B00A5C">
      <w:pPr>
        <w:spacing w:after="0"/>
        <w:jc w:val="both"/>
        <w:rPr>
          <w:rFonts w:ascii="Book Antiqua" w:hAnsi="Book Antiqua"/>
        </w:rPr>
      </w:pPr>
      <w:r w:rsidRPr="00A327F8">
        <w:rPr>
          <w:rFonts w:ascii="Book Antiqua" w:hAnsi="Book Antiqua"/>
        </w:rPr>
        <w:lastRenderedPageBreak/>
        <w:t xml:space="preserve">La Convención Interamericana sobre Protección de Derechos Humanos de las Personas Mayores define en su artículo 2° “Discriminación múltiple”: </w:t>
      </w:r>
      <w:r w:rsidRPr="00A327F8">
        <w:rPr>
          <w:rFonts w:ascii="Book Antiqua" w:hAnsi="Book Antiqua"/>
          <w:i/>
        </w:rPr>
        <w:t>Cualquier distinción, exclusión o restricción hacia la persona mayor fundada en dos o más factores de discriminación</w:t>
      </w:r>
      <w:r w:rsidRPr="00A327F8">
        <w:rPr>
          <w:rFonts w:ascii="Book Antiqua" w:hAnsi="Book Antiqua"/>
        </w:rPr>
        <w:t xml:space="preserve">. Sin embargo, no habla de interseccionalidad. </w:t>
      </w:r>
    </w:p>
    <w:p w14:paraId="402843F0" w14:textId="668B875D" w:rsidR="00B00A5C" w:rsidRPr="00A327F8" w:rsidRDefault="00B00A5C" w:rsidP="00B00A5C">
      <w:pPr>
        <w:spacing w:after="0"/>
        <w:jc w:val="both"/>
        <w:rPr>
          <w:rFonts w:ascii="Book Antiqua" w:hAnsi="Book Antiqua"/>
        </w:rPr>
      </w:pPr>
      <w:r w:rsidRPr="00A327F8">
        <w:rPr>
          <w:rFonts w:ascii="Book Antiqua" w:hAnsi="Book Antiqua"/>
        </w:rPr>
        <w:t xml:space="preserve">Actualmente el marco jurídico existente no contempla el concepto de “interseccionalidad”, sin perjuicio que podría aplicarse considerando la jurisprudencia y desarrollo que ha hecho la Corte IDH. </w:t>
      </w:r>
    </w:p>
    <w:p w14:paraId="34ECD2A7" w14:textId="77777777" w:rsidR="00FA7FAD" w:rsidRDefault="00B00A5C" w:rsidP="00B00A5C">
      <w:pPr>
        <w:spacing w:after="0"/>
        <w:jc w:val="both"/>
        <w:rPr>
          <w:rFonts w:ascii="Book Antiqua" w:hAnsi="Book Antiqua"/>
        </w:rPr>
      </w:pPr>
      <w:r w:rsidRPr="00A327F8">
        <w:rPr>
          <w:rFonts w:ascii="Book Antiqua" w:hAnsi="Book Antiqua"/>
        </w:rPr>
        <w:t>Por otra parte, la Ley N° 20.609</w:t>
      </w:r>
      <w:r w:rsidR="00FA7FAD">
        <w:rPr>
          <w:rFonts w:ascii="Book Antiqua" w:hAnsi="Book Antiqua"/>
        </w:rPr>
        <w:t>,</w:t>
      </w:r>
      <w:r w:rsidRPr="00A327F8">
        <w:rPr>
          <w:rFonts w:ascii="Book Antiqua" w:hAnsi="Book Antiqua"/>
        </w:rPr>
        <w:t xml:space="preserve"> </w:t>
      </w:r>
      <w:r w:rsidR="00FA7FAD" w:rsidRPr="00A327F8">
        <w:rPr>
          <w:rFonts w:ascii="Book Antiqua" w:hAnsi="Book Antiqua"/>
        </w:rPr>
        <w:t>al definir la discriminación arbitraria</w:t>
      </w:r>
      <w:r w:rsidR="00FA7FAD">
        <w:rPr>
          <w:rFonts w:ascii="Book Antiqua" w:hAnsi="Book Antiqua"/>
        </w:rPr>
        <w:t xml:space="preserve">, </w:t>
      </w:r>
      <w:r w:rsidRPr="00A327F8">
        <w:rPr>
          <w:rFonts w:ascii="Book Antiqua" w:hAnsi="Book Antiqua"/>
        </w:rPr>
        <w:t>en su artículo 2°</w:t>
      </w:r>
      <w:r w:rsidR="00FA7FAD">
        <w:rPr>
          <w:rFonts w:ascii="Book Antiqua" w:hAnsi="Book Antiqua"/>
        </w:rPr>
        <w:t xml:space="preserve"> señala que se trata de </w:t>
      </w:r>
      <w:r w:rsidRPr="00A327F8">
        <w:rPr>
          <w:rFonts w:ascii="Book Antiqua" w:hAnsi="Book Antiqua"/>
          <w:i/>
        </w:rPr>
        <w:t>toda distinción, exclusión o restricción que carezca de justificación razonable, que podrá producirse entre otras, en circunstancias motivadas por el sexo, la orientación sexual y la identidad de género.</w:t>
      </w:r>
      <w:r w:rsidRPr="00A327F8">
        <w:rPr>
          <w:rFonts w:ascii="Book Antiqua" w:hAnsi="Book Antiqua"/>
        </w:rPr>
        <w:t xml:space="preserve"> </w:t>
      </w:r>
    </w:p>
    <w:p w14:paraId="63C311FF" w14:textId="17D925CA" w:rsidR="00B00A5C" w:rsidRPr="00A327F8" w:rsidRDefault="00B00A5C" w:rsidP="00B00A5C">
      <w:pPr>
        <w:spacing w:after="0"/>
        <w:jc w:val="both"/>
        <w:rPr>
          <w:rFonts w:ascii="Book Antiqua" w:hAnsi="Book Antiqua"/>
        </w:rPr>
      </w:pPr>
      <w:r w:rsidRPr="00A327F8">
        <w:rPr>
          <w:rFonts w:ascii="Book Antiqua" w:hAnsi="Book Antiqua"/>
        </w:rPr>
        <w:t>Como puede apreciarse, esta definición contempla las causales que más frecuentemente son motivo de discriminación, esta enumeración no es taxativa, pudiéndose identificar situaciones discriminatorias que se basen en circunstancias no previstas en este catálogo, pero que puedan ser igualmente consideradas arbitrarias. Sin embargo, pueden considerarse razonables las distinciones, exclusiones o restricciones que, no obstante fundarse en alguno de los criterios mencionados, se encuentren justificadas en el ejercicio legítimo de otro derecho fundamental.</w:t>
      </w:r>
    </w:p>
    <w:p w14:paraId="5C5CF14E" w14:textId="2E6D7050" w:rsidR="00B00A5C" w:rsidRDefault="00B00A5C" w:rsidP="00B00A5C">
      <w:pPr>
        <w:spacing w:after="0"/>
        <w:jc w:val="both"/>
        <w:rPr>
          <w:rFonts w:ascii="Book Antiqua" w:hAnsi="Book Antiqua"/>
        </w:rPr>
      </w:pPr>
      <w:r w:rsidRPr="00A327F8">
        <w:rPr>
          <w:rFonts w:ascii="Book Antiqua" w:hAnsi="Book Antiqua"/>
        </w:rPr>
        <w:t>Si bien ha constituido un avance en miras a otorgar mayor protección de la igualdad y no discriminación en relación a la alternativa judicial que hasta su dictación existía (recurso de protección), entre las críticas que se le han formulado se contempla: no pondera debidamente la discriminación ante caso de concurso o en el ejercicio de derechos constitucionales.</w:t>
      </w:r>
    </w:p>
    <w:p w14:paraId="377A7345" w14:textId="25A2C1D7" w:rsidR="00A327F8" w:rsidRDefault="00A327F8" w:rsidP="00B00A5C">
      <w:pPr>
        <w:spacing w:after="0"/>
        <w:jc w:val="both"/>
        <w:rPr>
          <w:rFonts w:ascii="Book Antiqua" w:hAnsi="Book Antiqua"/>
        </w:rPr>
      </w:pPr>
    </w:p>
    <w:p w14:paraId="6FF311A5" w14:textId="0B92F75F" w:rsidR="00A327F8" w:rsidRPr="00A327F8" w:rsidRDefault="00A327F8" w:rsidP="00A327F8">
      <w:pPr>
        <w:spacing w:after="0" w:line="360" w:lineRule="auto"/>
        <w:jc w:val="both"/>
        <w:rPr>
          <w:rFonts w:ascii="Book Antiqua" w:hAnsi="Book Antiqua"/>
          <w:i/>
          <w:sz w:val="24"/>
          <w:szCs w:val="24"/>
        </w:rPr>
      </w:pPr>
      <w:r w:rsidRPr="00A327F8">
        <w:rPr>
          <w:rFonts w:ascii="Book Antiqua" w:hAnsi="Book Antiqua"/>
          <w:i/>
          <w:sz w:val="24"/>
          <w:szCs w:val="24"/>
        </w:rPr>
        <w:t>8. ¿Qué medidas jurídicas y de otra índole se han adoptado para abordar y proteger contra el racismo, el sexismo, el capacitismo u otras formas análogas de discriminación que puedan ser modelos útiles para abordar la discriminación por edad?</w:t>
      </w:r>
    </w:p>
    <w:p w14:paraId="6FE5B554" w14:textId="77777777" w:rsidR="00FA7FAD" w:rsidRDefault="00A327F8" w:rsidP="00FA7FAD">
      <w:pPr>
        <w:pStyle w:val="ListParagraph"/>
        <w:numPr>
          <w:ilvl w:val="0"/>
          <w:numId w:val="32"/>
        </w:numPr>
        <w:spacing w:after="0"/>
        <w:jc w:val="both"/>
        <w:rPr>
          <w:rFonts w:ascii="Book Antiqua" w:hAnsi="Book Antiqua"/>
        </w:rPr>
      </w:pPr>
      <w:r w:rsidRPr="00FA7FAD">
        <w:rPr>
          <w:rFonts w:ascii="Book Antiqua" w:hAnsi="Book Antiqua"/>
        </w:rPr>
        <w:t xml:space="preserve">Capacitismo: Ley N°20.422 (entrada en vigencia 10 de febrero de 2010) Establece Normas sobre Igualdad de Oportunidades e Inclusión Social de Personas con Discapacidad. </w:t>
      </w:r>
    </w:p>
    <w:p w14:paraId="2028B94D" w14:textId="5E07E4E9" w:rsidR="00A327F8" w:rsidRPr="00FA7FAD" w:rsidRDefault="00A327F8" w:rsidP="00FA7FAD">
      <w:pPr>
        <w:pStyle w:val="ListParagraph"/>
        <w:numPr>
          <w:ilvl w:val="0"/>
          <w:numId w:val="32"/>
        </w:numPr>
        <w:spacing w:after="0"/>
        <w:jc w:val="both"/>
        <w:rPr>
          <w:rFonts w:ascii="Book Antiqua" w:hAnsi="Book Antiqua"/>
        </w:rPr>
      </w:pPr>
      <w:r w:rsidRPr="00FA7FAD">
        <w:rPr>
          <w:rFonts w:ascii="Book Antiqua" w:hAnsi="Book Antiqua"/>
        </w:rPr>
        <w:t>La Ley Nº 21.015 de Inclusión Laboral (entrada en vigencia 1 de abril de 2018) tiene por finalidad promover una inclusión laboral eficaz de las personas con discapacidad, tanto en el ámbito público como en el privado.</w:t>
      </w:r>
    </w:p>
    <w:p w14:paraId="197D29C4" w14:textId="77777777" w:rsidR="00E80368" w:rsidRDefault="00E80368" w:rsidP="00A327F8">
      <w:pPr>
        <w:spacing w:after="0" w:line="360" w:lineRule="auto"/>
        <w:jc w:val="both"/>
        <w:rPr>
          <w:rFonts w:ascii="Book Antiqua" w:hAnsi="Book Antiqua"/>
          <w:i/>
          <w:sz w:val="24"/>
          <w:szCs w:val="24"/>
        </w:rPr>
      </w:pPr>
    </w:p>
    <w:p w14:paraId="6AA95D96" w14:textId="3CE0DCA3" w:rsidR="00A327F8" w:rsidRDefault="00A327F8" w:rsidP="00A327F8">
      <w:pPr>
        <w:spacing w:after="0" w:line="360" w:lineRule="auto"/>
        <w:jc w:val="both"/>
        <w:rPr>
          <w:rFonts w:ascii="Book Antiqua" w:hAnsi="Book Antiqua"/>
          <w:i/>
          <w:sz w:val="24"/>
          <w:szCs w:val="24"/>
        </w:rPr>
      </w:pPr>
      <w:r w:rsidRPr="00A327F8">
        <w:rPr>
          <w:rFonts w:ascii="Book Antiqua" w:hAnsi="Book Antiqua"/>
          <w:i/>
          <w:sz w:val="24"/>
          <w:szCs w:val="24"/>
        </w:rPr>
        <w:t>9. Sírvase indicar si existen mecanismos institucionales o de denuncia para hacer frente a las desigualdades o las quejas relacionadas con el edadismo y la discriminación por edad. En caso afirmativo, sírvanse proporcionar información sobre los tipos de casos y estadísticas sobre casos recibidos.</w:t>
      </w:r>
    </w:p>
    <w:p w14:paraId="30A0FD1D" w14:textId="77777777" w:rsidR="00FA7FAD" w:rsidRDefault="001D33A1" w:rsidP="001D33A1">
      <w:pPr>
        <w:pStyle w:val="ListParagraph"/>
        <w:numPr>
          <w:ilvl w:val="0"/>
          <w:numId w:val="33"/>
        </w:numPr>
        <w:spacing w:after="0"/>
        <w:jc w:val="both"/>
        <w:rPr>
          <w:rFonts w:ascii="Book Antiqua" w:hAnsi="Book Antiqua"/>
        </w:rPr>
      </w:pPr>
      <w:r w:rsidRPr="00FA7FAD">
        <w:rPr>
          <w:rFonts w:ascii="Book Antiqua" w:hAnsi="Book Antiqua"/>
        </w:rPr>
        <w:t xml:space="preserve">En el </w:t>
      </w:r>
      <w:r w:rsidR="00FA7FAD" w:rsidRPr="00FA7FAD">
        <w:rPr>
          <w:rFonts w:ascii="Book Antiqua" w:hAnsi="Book Antiqua"/>
        </w:rPr>
        <w:t>“</w:t>
      </w:r>
      <w:r w:rsidRPr="00FA7FAD">
        <w:rPr>
          <w:rFonts w:ascii="Book Antiqua" w:hAnsi="Book Antiqua"/>
        </w:rPr>
        <w:t>Programa Buen Trato al Adulto Mayor</w:t>
      </w:r>
      <w:r w:rsidR="00FA7FAD" w:rsidRPr="00FA7FAD">
        <w:rPr>
          <w:rFonts w:ascii="Book Antiqua" w:hAnsi="Book Antiqua"/>
        </w:rPr>
        <w:t>”</w:t>
      </w:r>
      <w:r w:rsidRPr="00FA7FAD">
        <w:rPr>
          <w:rFonts w:ascii="Book Antiqua" w:hAnsi="Book Antiqua"/>
        </w:rPr>
        <w:t xml:space="preserve"> de SENAMA se encuentra inserta la nueva figura del Defensor Mayor, que entrega orientación jurídica especializada a personas </w:t>
      </w:r>
      <w:r w:rsidRPr="00FA7FAD">
        <w:rPr>
          <w:rFonts w:ascii="Book Antiqua" w:hAnsi="Book Antiqua"/>
        </w:rPr>
        <w:lastRenderedPageBreak/>
        <w:t xml:space="preserve">mayores y/o la comunidad, estableciendo derivaciones, seguimiento, articulaciones y convenios con las Corporación de Asistencia Judicial (CAJ), clínicas jurídicas, fundaciones, entre otras. </w:t>
      </w:r>
    </w:p>
    <w:p w14:paraId="4BDFF134" w14:textId="77777777" w:rsidR="00FA7FAD" w:rsidRDefault="001D33A1" w:rsidP="001D33A1">
      <w:pPr>
        <w:pStyle w:val="ListParagraph"/>
        <w:numPr>
          <w:ilvl w:val="0"/>
          <w:numId w:val="33"/>
        </w:numPr>
        <w:spacing w:after="0"/>
        <w:jc w:val="both"/>
        <w:rPr>
          <w:rFonts w:ascii="Book Antiqua" w:hAnsi="Book Antiqua"/>
        </w:rPr>
      </w:pPr>
      <w:r w:rsidRPr="00FA7FAD">
        <w:rPr>
          <w:rFonts w:ascii="Book Antiqua" w:hAnsi="Book Antiqua"/>
        </w:rPr>
        <w:t xml:space="preserve">El Fono Mayor es uno de los canales de atención del Sistema Integral de Información y Atención Ciudadana (SIAC) de SENAMA, el cual tiene por objetivo constituirse como un espacio de atención y comunicación que permite a las personas entrar en contacto con el Servicio, así como vincularse con otras reparticiones públicas, garantizando el acceso oportuno a información. A consecuencia de la pandemia se refuerza el Fono Mayor como Fono Mayor Covid-19 robusteciendo su gestión.  </w:t>
      </w:r>
    </w:p>
    <w:p w14:paraId="1245CC7B" w14:textId="77777777" w:rsidR="00C532F2" w:rsidRDefault="001D33A1" w:rsidP="00C532F2">
      <w:pPr>
        <w:pStyle w:val="ListParagraph"/>
        <w:spacing w:after="0"/>
        <w:jc w:val="both"/>
        <w:rPr>
          <w:rFonts w:ascii="Book Antiqua" w:hAnsi="Book Antiqua"/>
        </w:rPr>
      </w:pPr>
      <w:r w:rsidRPr="00FA7FAD">
        <w:rPr>
          <w:rFonts w:ascii="Book Antiqua" w:hAnsi="Book Antiqua"/>
        </w:rPr>
        <w:t>Según el Reporte Fono Mayor Covid 19, entre el 25 de marzo y el 31 de diciembre 2020 se han recibido un total de 31.653 llamados, con un promedio de 163 llamados por día. Del total de “casos”</w:t>
      </w:r>
      <w:r w:rsidR="00C532F2">
        <w:rPr>
          <w:rFonts w:ascii="Book Antiqua" w:hAnsi="Book Antiqua"/>
        </w:rPr>
        <w:t>, se cuenta con 28.643 llamados</w:t>
      </w:r>
      <w:r w:rsidRPr="00FA7FAD">
        <w:rPr>
          <w:rFonts w:ascii="Book Antiqua" w:hAnsi="Book Antiqua"/>
        </w:rPr>
        <w:t xml:space="preserve"> de personas mayores.</w:t>
      </w:r>
    </w:p>
    <w:p w14:paraId="4BE90097" w14:textId="77777777" w:rsidR="00C532F2" w:rsidRDefault="001D33A1" w:rsidP="00C532F2">
      <w:pPr>
        <w:pStyle w:val="ListParagraph"/>
        <w:spacing w:after="0"/>
        <w:jc w:val="both"/>
        <w:rPr>
          <w:rFonts w:ascii="Book Antiqua" w:hAnsi="Book Antiqua"/>
        </w:rPr>
      </w:pPr>
      <w:r w:rsidRPr="00E80368">
        <w:rPr>
          <w:rFonts w:ascii="Book Antiqua" w:hAnsi="Book Antiqua"/>
        </w:rPr>
        <w:t xml:space="preserve">Del total de casos registrados, la mayor cantidad se verifica en las necesidades relacionadas con “Salud”, con 4.539, le sigue “Requerimiento de apoyo en marco Covid 19” con 4.325. Las consultas por beneficios sociales presentan 4.236 registros. </w:t>
      </w:r>
    </w:p>
    <w:p w14:paraId="67D0614C" w14:textId="7851E267" w:rsidR="001D33A1" w:rsidRPr="00E80368" w:rsidRDefault="001D33A1" w:rsidP="00C532F2">
      <w:pPr>
        <w:pStyle w:val="ListParagraph"/>
        <w:spacing w:after="0"/>
        <w:jc w:val="both"/>
        <w:rPr>
          <w:rFonts w:ascii="Book Antiqua" w:hAnsi="Book Antiqua"/>
        </w:rPr>
      </w:pPr>
      <w:r w:rsidRPr="00E80368">
        <w:rPr>
          <w:rFonts w:ascii="Book Antiqua" w:hAnsi="Book Antiqua"/>
        </w:rPr>
        <w:t>Respecto a casos por “discriminación por edad” se recibieron 4 solicitudes, de las cuales 3 se mantienen abiertas. Como se detalla en el siguiente cuadro:</w:t>
      </w:r>
    </w:p>
    <w:p w14:paraId="1974B1E3" w14:textId="786786EB" w:rsidR="00AC1FF6" w:rsidRDefault="00C532F2" w:rsidP="001D33A1">
      <w:pPr>
        <w:spacing w:after="0"/>
        <w:jc w:val="both"/>
        <w:rPr>
          <w:rFonts w:ascii="Book Antiqua" w:hAnsi="Book Antiqua"/>
          <w:sz w:val="24"/>
          <w:szCs w:val="24"/>
        </w:rPr>
      </w:pPr>
      <w:r w:rsidRPr="00072543">
        <w:rPr>
          <w:rFonts w:asciiTheme="majorHAnsi" w:hAnsiTheme="majorHAnsi"/>
          <w:b/>
          <w:noProof/>
          <w:color w:val="1F497D"/>
          <w:lang w:val="es-ES" w:eastAsia="es-ES"/>
        </w:rPr>
        <w:drawing>
          <wp:anchor distT="0" distB="0" distL="114300" distR="114300" simplePos="0" relativeHeight="251658240" behindDoc="1" locked="0" layoutInCell="1" allowOverlap="1" wp14:anchorId="00EFAC73" wp14:editId="5C371F87">
            <wp:simplePos x="0" y="0"/>
            <wp:positionH relativeFrom="page">
              <wp:posOffset>1430655</wp:posOffset>
            </wp:positionH>
            <wp:positionV relativeFrom="paragraph">
              <wp:posOffset>33020</wp:posOffset>
            </wp:positionV>
            <wp:extent cx="5545455" cy="3175000"/>
            <wp:effectExtent l="0" t="0" r="4445" b="0"/>
            <wp:wrapTight wrapText="bothSides">
              <wp:wrapPolygon edited="0">
                <wp:start x="0" y="0"/>
                <wp:lineTo x="0" y="21514"/>
                <wp:lineTo x="21568" y="21514"/>
                <wp:lineTo x="21568" y="0"/>
                <wp:lineTo x="0" y="0"/>
              </wp:wrapPolygon>
            </wp:wrapTight>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5545455" cy="3175000"/>
                    </a:xfrm>
                    <a:prstGeom prst="rect">
                      <a:avLst/>
                    </a:prstGeom>
                    <a:ln/>
                  </pic:spPr>
                </pic:pic>
              </a:graphicData>
            </a:graphic>
            <wp14:sizeRelH relativeFrom="page">
              <wp14:pctWidth>0</wp14:pctWidth>
            </wp14:sizeRelH>
            <wp14:sizeRelV relativeFrom="page">
              <wp14:pctHeight>0</wp14:pctHeight>
            </wp14:sizeRelV>
          </wp:anchor>
        </w:drawing>
      </w:r>
    </w:p>
    <w:p w14:paraId="0EB1ABBB" w14:textId="22CA864B" w:rsidR="00AC1FF6" w:rsidRPr="00AC1FF6" w:rsidRDefault="00AC1FF6" w:rsidP="00AC1FF6">
      <w:pPr>
        <w:rPr>
          <w:rFonts w:ascii="Book Antiqua" w:hAnsi="Book Antiqua"/>
          <w:sz w:val="24"/>
          <w:szCs w:val="24"/>
        </w:rPr>
      </w:pPr>
    </w:p>
    <w:p w14:paraId="4F4CB81B" w14:textId="77777777" w:rsidR="00AC1FF6" w:rsidRPr="00AC1FF6" w:rsidRDefault="00AC1FF6" w:rsidP="00AC1FF6">
      <w:pPr>
        <w:rPr>
          <w:rFonts w:ascii="Book Antiqua" w:hAnsi="Book Antiqua"/>
          <w:sz w:val="24"/>
          <w:szCs w:val="24"/>
        </w:rPr>
      </w:pPr>
    </w:p>
    <w:p w14:paraId="24D0B325" w14:textId="77777777" w:rsidR="00AC1FF6" w:rsidRPr="00AC1FF6" w:rsidRDefault="00AC1FF6" w:rsidP="00AC1FF6">
      <w:pPr>
        <w:rPr>
          <w:rFonts w:ascii="Book Antiqua" w:hAnsi="Book Antiqua"/>
          <w:sz w:val="24"/>
          <w:szCs w:val="24"/>
        </w:rPr>
      </w:pPr>
    </w:p>
    <w:p w14:paraId="34381E4C" w14:textId="77777777" w:rsidR="00AC1FF6" w:rsidRPr="00AC1FF6" w:rsidRDefault="00AC1FF6" w:rsidP="00AC1FF6">
      <w:pPr>
        <w:rPr>
          <w:rFonts w:ascii="Book Antiqua" w:hAnsi="Book Antiqua"/>
          <w:sz w:val="24"/>
          <w:szCs w:val="24"/>
        </w:rPr>
      </w:pPr>
    </w:p>
    <w:p w14:paraId="5880EEDE" w14:textId="77777777" w:rsidR="00AC1FF6" w:rsidRPr="00AC1FF6" w:rsidRDefault="00AC1FF6" w:rsidP="00AC1FF6">
      <w:pPr>
        <w:rPr>
          <w:rFonts w:ascii="Book Antiqua" w:hAnsi="Book Antiqua"/>
          <w:sz w:val="24"/>
          <w:szCs w:val="24"/>
        </w:rPr>
      </w:pPr>
    </w:p>
    <w:p w14:paraId="138D0258" w14:textId="77777777" w:rsidR="00AC1FF6" w:rsidRPr="00AC1FF6" w:rsidRDefault="00AC1FF6" w:rsidP="00AC1FF6">
      <w:pPr>
        <w:rPr>
          <w:rFonts w:ascii="Book Antiqua" w:hAnsi="Book Antiqua"/>
          <w:sz w:val="24"/>
          <w:szCs w:val="24"/>
        </w:rPr>
      </w:pPr>
    </w:p>
    <w:p w14:paraId="3BEC8128" w14:textId="77777777" w:rsidR="00AC1FF6" w:rsidRPr="00AC1FF6" w:rsidRDefault="00AC1FF6" w:rsidP="00AC1FF6">
      <w:pPr>
        <w:rPr>
          <w:rFonts w:ascii="Book Antiqua" w:hAnsi="Book Antiqua"/>
          <w:sz w:val="24"/>
          <w:szCs w:val="24"/>
        </w:rPr>
      </w:pPr>
    </w:p>
    <w:p w14:paraId="1E422C16" w14:textId="35719FB6" w:rsidR="001D33A1" w:rsidRDefault="001D33A1" w:rsidP="00AC1FF6">
      <w:pPr>
        <w:rPr>
          <w:rFonts w:ascii="Book Antiqua" w:hAnsi="Book Antiqua"/>
          <w:sz w:val="24"/>
          <w:szCs w:val="24"/>
        </w:rPr>
      </w:pPr>
    </w:p>
    <w:p w14:paraId="6308CAD4" w14:textId="44C879A5" w:rsidR="00AC1FF6" w:rsidRDefault="00AC1FF6" w:rsidP="00AC1FF6">
      <w:pPr>
        <w:rPr>
          <w:rFonts w:ascii="Book Antiqua" w:hAnsi="Book Antiqua"/>
          <w:sz w:val="24"/>
          <w:szCs w:val="24"/>
        </w:rPr>
      </w:pPr>
    </w:p>
    <w:p w14:paraId="59EF9225" w14:textId="5B6E4D18" w:rsidR="00C532F2" w:rsidRDefault="00C532F2" w:rsidP="00AC1FF6">
      <w:pPr>
        <w:rPr>
          <w:rFonts w:ascii="Book Antiqua" w:hAnsi="Book Antiqua"/>
          <w:sz w:val="24"/>
          <w:szCs w:val="24"/>
        </w:rPr>
      </w:pPr>
    </w:p>
    <w:p w14:paraId="3190858F" w14:textId="106091C0" w:rsidR="006C27E3" w:rsidRDefault="006C27E3" w:rsidP="00AC1FF6">
      <w:pPr>
        <w:rPr>
          <w:rFonts w:ascii="Book Antiqua" w:hAnsi="Book Antiqua"/>
          <w:sz w:val="24"/>
          <w:szCs w:val="24"/>
        </w:rPr>
      </w:pPr>
    </w:p>
    <w:p w14:paraId="63C41B36" w14:textId="7554C3C0" w:rsidR="006C27E3" w:rsidRDefault="006C27E3" w:rsidP="00AC1FF6">
      <w:pPr>
        <w:rPr>
          <w:rFonts w:ascii="Book Antiqua" w:hAnsi="Book Antiqua"/>
          <w:sz w:val="24"/>
          <w:szCs w:val="24"/>
        </w:rPr>
      </w:pPr>
    </w:p>
    <w:p w14:paraId="4FE6947C" w14:textId="77777777" w:rsidR="006C27E3" w:rsidRDefault="006C27E3" w:rsidP="00AC1FF6">
      <w:pPr>
        <w:rPr>
          <w:rFonts w:ascii="Book Antiqua" w:hAnsi="Book Antiqua"/>
          <w:sz w:val="24"/>
          <w:szCs w:val="24"/>
        </w:rPr>
      </w:pPr>
    </w:p>
    <w:p w14:paraId="03425341" w14:textId="353D972C" w:rsidR="00AC1FF6" w:rsidRDefault="00AC1FF6" w:rsidP="00AC1FF6">
      <w:pPr>
        <w:spacing w:after="0" w:line="360" w:lineRule="auto"/>
        <w:jc w:val="center"/>
        <w:rPr>
          <w:rFonts w:ascii="Book Antiqua" w:hAnsi="Book Antiqua" w:cstheme="minorHAnsi"/>
          <w:b/>
          <w:sz w:val="28"/>
          <w:szCs w:val="24"/>
        </w:rPr>
      </w:pPr>
      <w:r w:rsidRPr="0033156F">
        <w:rPr>
          <w:rFonts w:ascii="Book Antiqua" w:hAnsi="Book Antiqua" w:cstheme="minorHAnsi"/>
          <w:b/>
          <w:sz w:val="28"/>
          <w:szCs w:val="24"/>
        </w:rPr>
        <w:lastRenderedPageBreak/>
        <w:t>I</w:t>
      </w:r>
      <w:r>
        <w:rPr>
          <w:rFonts w:ascii="Book Antiqua" w:hAnsi="Book Antiqua" w:cstheme="minorHAnsi"/>
          <w:b/>
          <w:sz w:val="28"/>
          <w:szCs w:val="24"/>
        </w:rPr>
        <w:t>I</w:t>
      </w:r>
      <w:r w:rsidRPr="0033156F">
        <w:rPr>
          <w:rFonts w:ascii="Book Antiqua" w:hAnsi="Book Antiqua" w:cstheme="minorHAnsi"/>
          <w:b/>
          <w:sz w:val="28"/>
          <w:szCs w:val="24"/>
        </w:rPr>
        <w:t xml:space="preserve">. </w:t>
      </w:r>
      <w:r>
        <w:rPr>
          <w:rFonts w:ascii="Book Antiqua" w:hAnsi="Book Antiqua" w:cstheme="minorHAnsi"/>
          <w:b/>
          <w:sz w:val="28"/>
          <w:szCs w:val="24"/>
        </w:rPr>
        <w:t>DERECHOS HUMANOS DE LAS MUJERES MAYORES</w:t>
      </w:r>
    </w:p>
    <w:p w14:paraId="16DD379F" w14:textId="2110B747" w:rsidR="00AC1FF6" w:rsidRPr="00AC1FF6" w:rsidRDefault="00AC1FF6" w:rsidP="00AC1FF6">
      <w:pPr>
        <w:spacing w:after="0" w:line="360" w:lineRule="auto"/>
        <w:rPr>
          <w:rFonts w:ascii="Book Antiqua" w:hAnsi="Book Antiqua" w:cstheme="minorHAnsi"/>
          <w:b/>
          <w:sz w:val="24"/>
          <w:szCs w:val="24"/>
        </w:rPr>
      </w:pPr>
      <w:r>
        <w:rPr>
          <w:rFonts w:ascii="Book Antiqua" w:hAnsi="Book Antiqua" w:cstheme="minorHAnsi"/>
          <w:b/>
          <w:sz w:val="24"/>
          <w:szCs w:val="24"/>
        </w:rPr>
        <w:t>Los derechos de las mujeres de edad en la legislación, las políticas y los programas internacionales, regionales y nacionales</w:t>
      </w:r>
    </w:p>
    <w:p w14:paraId="421CE0B6" w14:textId="77DD1ED6" w:rsidR="00AC1FF6" w:rsidRDefault="00AC1FF6" w:rsidP="00AC1FF6">
      <w:pPr>
        <w:spacing w:line="360" w:lineRule="auto"/>
        <w:rPr>
          <w:rFonts w:ascii="Book Antiqua" w:hAnsi="Book Antiqua"/>
          <w:i/>
          <w:sz w:val="24"/>
          <w:szCs w:val="24"/>
        </w:rPr>
      </w:pPr>
      <w:r>
        <w:rPr>
          <w:rFonts w:ascii="Book Antiqua" w:hAnsi="Book Antiqua"/>
          <w:i/>
          <w:sz w:val="24"/>
          <w:szCs w:val="24"/>
        </w:rPr>
        <w:t>1. ¿</w:t>
      </w:r>
      <w:r w:rsidRPr="00AC1FF6">
        <w:rPr>
          <w:rFonts w:ascii="Book Antiqua" w:hAnsi="Book Antiqua"/>
          <w:i/>
          <w:sz w:val="24"/>
          <w:szCs w:val="24"/>
        </w:rPr>
        <w:t>Qué instrumentos jurídicos, políticas y programas existen para hacer frente a los problemas particulares que enfrentan las mujeres de edad y como se aplican y monitorean?</w:t>
      </w:r>
    </w:p>
    <w:p w14:paraId="6B66D7FF" w14:textId="7167A187" w:rsidR="00AC1FF6" w:rsidRPr="00AC1FF6" w:rsidRDefault="00AC1FF6" w:rsidP="00AC1FF6">
      <w:pPr>
        <w:jc w:val="both"/>
        <w:rPr>
          <w:rFonts w:ascii="Book Antiqua" w:hAnsi="Book Antiqua"/>
          <w:b/>
        </w:rPr>
      </w:pPr>
      <w:r w:rsidRPr="00AC1FF6">
        <w:rPr>
          <w:rFonts w:ascii="Book Antiqua" w:hAnsi="Book Antiqua"/>
          <w:b/>
        </w:rPr>
        <w:t>Ámbito Internacional</w:t>
      </w:r>
    </w:p>
    <w:p w14:paraId="31C93B5A" w14:textId="15FB56FB" w:rsidR="00AC1FF6" w:rsidRPr="00AC1FF6" w:rsidRDefault="00AC1FF6" w:rsidP="00AC1FF6">
      <w:pPr>
        <w:jc w:val="both"/>
        <w:rPr>
          <w:rFonts w:ascii="Book Antiqua" w:hAnsi="Book Antiqua"/>
        </w:rPr>
      </w:pPr>
      <w:r w:rsidRPr="00AC1FF6">
        <w:rPr>
          <w:rFonts w:ascii="Book Antiqua" w:hAnsi="Book Antiqua"/>
        </w:rPr>
        <w:t>En el ámbito internacional se reconoce la CEDAW (Convención sobre la Eliminación de todas las formas de Discrim</w:t>
      </w:r>
      <w:r>
        <w:rPr>
          <w:rFonts w:ascii="Book Antiqua" w:hAnsi="Book Antiqua"/>
        </w:rPr>
        <w:t>inación contra la Mujer, 1979)</w:t>
      </w:r>
      <w:r w:rsidR="00E80368">
        <w:rPr>
          <w:rStyle w:val="FootnoteReference"/>
          <w:rFonts w:ascii="Book Antiqua" w:hAnsi="Book Antiqua"/>
        </w:rPr>
        <w:footnoteReference w:id="10"/>
      </w:r>
      <w:r>
        <w:rPr>
          <w:rFonts w:ascii="Book Antiqua" w:hAnsi="Book Antiqua"/>
        </w:rPr>
        <w:t xml:space="preserve">, </w:t>
      </w:r>
      <w:r w:rsidRPr="00AC1FF6">
        <w:rPr>
          <w:rFonts w:ascii="Book Antiqua" w:hAnsi="Book Antiqua"/>
        </w:rPr>
        <w:t xml:space="preserve">la cual fue ratificada por Chile el 7 de diciembre de 1989, e incorporada al ordenamiento jurídico nacional mediante decreto supremo Nº 789 de 1989, del Ministerio de Relaciones Exteriores. De manera más reciente, el Comité para la Eliminación de la Discriminación contra la Mujer, desarrolló </w:t>
      </w:r>
      <w:r>
        <w:rPr>
          <w:rFonts w:ascii="Book Antiqua" w:hAnsi="Book Antiqua"/>
        </w:rPr>
        <w:t>la Recomendación General N° 27</w:t>
      </w:r>
      <w:r w:rsidR="00E80368">
        <w:rPr>
          <w:rStyle w:val="FootnoteReference"/>
          <w:rFonts w:ascii="Book Antiqua" w:hAnsi="Book Antiqua"/>
        </w:rPr>
        <w:footnoteReference w:id="11"/>
      </w:r>
      <w:r>
        <w:rPr>
          <w:rFonts w:ascii="Book Antiqua" w:hAnsi="Book Antiqua"/>
        </w:rPr>
        <w:t xml:space="preserve"> </w:t>
      </w:r>
      <w:r w:rsidRPr="00AC1FF6">
        <w:rPr>
          <w:rFonts w:ascii="Book Antiqua" w:hAnsi="Book Antiqua"/>
        </w:rPr>
        <w:t>sobre las mujeres de edad y la protección de sus derechos humanos con fecha 16 de diciembre de 2010.</w:t>
      </w:r>
    </w:p>
    <w:p w14:paraId="0FF6AD56" w14:textId="5F68423C" w:rsidR="00AC1FF6" w:rsidRPr="00AC1FF6" w:rsidRDefault="00AC1FF6" w:rsidP="00AC1FF6">
      <w:pPr>
        <w:jc w:val="both"/>
        <w:rPr>
          <w:rFonts w:ascii="Book Antiqua" w:hAnsi="Book Antiqua"/>
        </w:rPr>
      </w:pPr>
      <w:r w:rsidRPr="00AC1FF6">
        <w:rPr>
          <w:rFonts w:ascii="Book Antiqua" w:hAnsi="Book Antiqua"/>
        </w:rPr>
        <w:t>Otro instrumento internacional es la Convención Interamericana para Prev</w:t>
      </w:r>
      <w:r>
        <w:rPr>
          <w:rFonts w:ascii="Book Antiqua" w:hAnsi="Book Antiqua"/>
        </w:rPr>
        <w:t xml:space="preserve">enir, Sancionar y Erradicar la </w:t>
      </w:r>
      <w:r w:rsidRPr="00AC1FF6">
        <w:rPr>
          <w:rFonts w:ascii="Book Antiqua" w:hAnsi="Book Antiqua"/>
        </w:rPr>
        <w:t>Violencia contra las Mujeres (1994), conocida como Belém do Pará, la cual tiene su entrada en vigor para Chile el 15 de diciembre de 1996, cuyo Decreto promulgatorio es el N°1640 del Ministerio de Relaciones Exteriores de 1998. De manera específica señala en su Artículo 9, lo siguiente “</w:t>
      </w:r>
      <w:r w:rsidRPr="00AC1FF6">
        <w:rPr>
          <w:rFonts w:ascii="Book Antiqua" w:hAnsi="Book Antiqua"/>
          <w:i/>
        </w:rPr>
        <w:t>Los Estados Partes tendrán especialmente en cuenta la situación de vulnerabilidad a la violencia que pueda sufrir la mujer en razón, entre otras, de su raza o de su condición étnica, de migrante, refugiada o desplazada. En igual sentido se considerará a la mujer que es objeto de violencia cuando está embarazada, es discapacitada, menor de edad, anciana, o está en situación socioeconómica desfavorable</w:t>
      </w:r>
      <w:r w:rsidRPr="00AC1FF6">
        <w:rPr>
          <w:rFonts w:ascii="Book Antiqua" w:hAnsi="Book Antiqua"/>
        </w:rPr>
        <w:t>”.</w:t>
      </w:r>
    </w:p>
    <w:p w14:paraId="05647438" w14:textId="77777777" w:rsidR="00AC1FF6" w:rsidRPr="00AC1FF6" w:rsidRDefault="00AC1FF6" w:rsidP="00AC1FF6">
      <w:pPr>
        <w:jc w:val="both"/>
        <w:rPr>
          <w:rFonts w:ascii="Book Antiqua" w:hAnsi="Book Antiqua"/>
        </w:rPr>
      </w:pPr>
      <w:r w:rsidRPr="00AC1FF6">
        <w:rPr>
          <w:rFonts w:ascii="Book Antiqua" w:hAnsi="Book Antiqua"/>
        </w:rPr>
        <w:t xml:space="preserve">Como un instrumento más reciente tenemos la Convención Interamericana sobre la Protección de los Derechos Humanos de las Personas Mayores. Con el Decreto N°162 /09/2017 Chile la ratifica, lo que obliga al Estado a implementar los derechos que ésta reconoce. El objeto de la Convención es promover, proteger y asegurar el reconocimiento y el pleno goce y ejercicio, en condiciones de igualdad, de todos los derechos humanos y libertades fundamentales de la persona mayor y dentro de sus principios generales declara la igualdad de género. </w:t>
      </w:r>
    </w:p>
    <w:p w14:paraId="7DD383A8" w14:textId="77777777" w:rsidR="00485697" w:rsidRDefault="00485697" w:rsidP="00AC1FF6">
      <w:pPr>
        <w:jc w:val="both"/>
        <w:rPr>
          <w:rFonts w:ascii="Book Antiqua" w:hAnsi="Book Antiqua"/>
          <w:b/>
        </w:rPr>
      </w:pPr>
    </w:p>
    <w:p w14:paraId="79CB2FC1" w14:textId="1C979248" w:rsidR="00AC1FF6" w:rsidRPr="00AC1FF6" w:rsidRDefault="00AC1FF6" w:rsidP="00AC1FF6">
      <w:pPr>
        <w:jc w:val="both"/>
        <w:rPr>
          <w:rFonts w:ascii="Book Antiqua" w:hAnsi="Book Antiqua"/>
          <w:b/>
        </w:rPr>
      </w:pPr>
      <w:r w:rsidRPr="00AC1FF6">
        <w:rPr>
          <w:rFonts w:ascii="Book Antiqua" w:hAnsi="Book Antiqua"/>
          <w:b/>
        </w:rPr>
        <w:lastRenderedPageBreak/>
        <w:t xml:space="preserve">Ámbito Nacional </w:t>
      </w:r>
    </w:p>
    <w:p w14:paraId="5DA9CBDD" w14:textId="6DDDC5C9" w:rsidR="00C64E0C" w:rsidRDefault="00AC1FF6" w:rsidP="00AC1FF6">
      <w:pPr>
        <w:pStyle w:val="ListParagraph"/>
        <w:numPr>
          <w:ilvl w:val="0"/>
          <w:numId w:val="27"/>
        </w:numPr>
        <w:jc w:val="both"/>
        <w:rPr>
          <w:rFonts w:ascii="Book Antiqua" w:hAnsi="Book Antiqua"/>
        </w:rPr>
      </w:pPr>
      <w:r>
        <w:rPr>
          <w:rFonts w:ascii="Book Antiqua" w:hAnsi="Book Antiqua"/>
        </w:rPr>
        <w:t xml:space="preserve">Reforma Previsional: </w:t>
      </w:r>
      <w:r w:rsidRPr="00AC1FF6">
        <w:rPr>
          <w:rFonts w:ascii="Book Antiqua" w:hAnsi="Book Antiqua"/>
        </w:rPr>
        <w:t>Por su parte en el ámbito nacional podemos señalar la Ley N°20.255/2008 (Ministerio del Trabajo y Previsión Social) que Establece la Reforma Previsional. Dicha reforma introdujo el principio de solidaridad al modelo previsional chileno, lo que permitió reducir inequidades sociales desde la perspectiva de género, sobre todo en el contexto de capitalización individual</w:t>
      </w:r>
      <w:r w:rsidR="009F1888">
        <w:rPr>
          <w:rFonts w:ascii="Book Antiqua" w:hAnsi="Book Antiqua"/>
        </w:rPr>
        <w:t>,</w:t>
      </w:r>
      <w:r w:rsidRPr="00AC1FF6">
        <w:rPr>
          <w:rFonts w:ascii="Book Antiqua" w:hAnsi="Book Antiqua"/>
        </w:rPr>
        <w:t xml:space="preserve"> el que reproduce desigualdades. Este sistema de pensiones solidarias de cargo fiscal permitió entregar una pensión básica solidaria para las personas que no accedían a una pensión autofinanciada y, por otro lado, otorgar un aporte previsional solidario para quienes recibían bajas pensiones. Si bien, tanto hombres como mujeres pueden acceder a estos beneficios, son las mujeres las mayores beneficiadas, ya que esta política fue diseñada aplicando la perspectiva de género. Esta iniciativa apuntó a disminuir las principales brechas existentes que afectan principalmente a mujeres, tales como los efectos de las bajas densidades de cotización, la cobertura y los montos de pensiones (CEPAL, 2010)</w:t>
      </w:r>
      <w:r w:rsidR="00E80368">
        <w:rPr>
          <w:rStyle w:val="FootnoteReference"/>
          <w:rFonts w:ascii="Book Antiqua" w:hAnsi="Book Antiqua"/>
        </w:rPr>
        <w:footnoteReference w:id="12"/>
      </w:r>
      <w:r w:rsidRPr="00AC1FF6">
        <w:rPr>
          <w:rFonts w:ascii="Book Antiqua" w:hAnsi="Book Antiqua"/>
        </w:rPr>
        <w:t xml:space="preserve">. </w:t>
      </w:r>
    </w:p>
    <w:p w14:paraId="750B0226" w14:textId="77777777" w:rsidR="00C64E0C" w:rsidRDefault="00AC1FF6" w:rsidP="00C64E0C">
      <w:pPr>
        <w:pStyle w:val="ListParagraph"/>
        <w:jc w:val="both"/>
        <w:rPr>
          <w:rFonts w:ascii="Book Antiqua" w:hAnsi="Book Antiqua"/>
        </w:rPr>
      </w:pPr>
      <w:r w:rsidRPr="00C64E0C">
        <w:rPr>
          <w:rFonts w:ascii="Book Antiqua" w:hAnsi="Book Antiqua"/>
        </w:rPr>
        <w:t xml:space="preserve">Lo anterior ha permitido que mujeres mayores que en trayectoria vital no pudieron trabajar, ya sea por el cuidado de sus hijos o bien porque tuvieron empleos precarios o no formales, hoy tengan acceso a una pensión (o al incremento de ésta). </w:t>
      </w:r>
    </w:p>
    <w:p w14:paraId="2AB0B1A1" w14:textId="4AAB2BDB" w:rsidR="00AC1FF6" w:rsidRPr="00AC1FF6" w:rsidRDefault="00C64E0C" w:rsidP="00C64E0C">
      <w:pPr>
        <w:pStyle w:val="ListParagraph"/>
        <w:jc w:val="both"/>
        <w:rPr>
          <w:rFonts w:ascii="Book Antiqua" w:hAnsi="Book Antiqua"/>
        </w:rPr>
      </w:pPr>
      <w:r>
        <w:rPr>
          <w:rFonts w:ascii="Book Antiqua" w:hAnsi="Book Antiqua"/>
        </w:rPr>
        <w:t>En el marco de la misma</w:t>
      </w:r>
      <w:r w:rsidR="009F1888">
        <w:rPr>
          <w:rFonts w:ascii="Book Antiqua" w:hAnsi="Book Antiqua"/>
        </w:rPr>
        <w:t>,</w:t>
      </w:r>
      <w:r>
        <w:rPr>
          <w:rFonts w:ascii="Book Antiqua" w:hAnsi="Book Antiqua"/>
        </w:rPr>
        <w:t xml:space="preserve"> ley</w:t>
      </w:r>
      <w:r w:rsidR="00AC1FF6" w:rsidRPr="00AC1FF6">
        <w:rPr>
          <w:rFonts w:ascii="Book Antiqua" w:hAnsi="Book Antiqua"/>
        </w:rPr>
        <w:t xml:space="preserve"> N° 20.255 estableció el Bono por Hijo, el cual es un beneficio que incrementa el monto de la pensión de la mujer a través de la entrega de una bonificación por cada hijo nacido vivo o adoptado; éste no se paga al momento del nacimiento del hijo, sino que junto a su pensión. El beneficio se genera tanto para la madre biológica como para la madre adoptiva.</w:t>
      </w:r>
    </w:p>
    <w:p w14:paraId="370728C7" w14:textId="420CE788" w:rsidR="00C64E0C" w:rsidRDefault="00AC1FF6" w:rsidP="00AC1FF6">
      <w:pPr>
        <w:pStyle w:val="ListParagraph"/>
        <w:numPr>
          <w:ilvl w:val="0"/>
          <w:numId w:val="27"/>
        </w:numPr>
        <w:jc w:val="both"/>
        <w:rPr>
          <w:rFonts w:ascii="Book Antiqua" w:hAnsi="Book Antiqua"/>
        </w:rPr>
      </w:pPr>
      <w:r w:rsidRPr="00C64E0C">
        <w:rPr>
          <w:rFonts w:ascii="Book Antiqua" w:hAnsi="Book Antiqua"/>
        </w:rPr>
        <w:t>Chile Cuida, Sistem</w:t>
      </w:r>
      <w:r w:rsidR="00C64E0C" w:rsidRPr="00C64E0C">
        <w:rPr>
          <w:rFonts w:ascii="Book Antiqua" w:hAnsi="Book Antiqua"/>
        </w:rPr>
        <w:t xml:space="preserve">a Nacional de Apoyos y Cuidados: </w:t>
      </w:r>
      <w:r w:rsidRPr="00C64E0C">
        <w:rPr>
          <w:rFonts w:ascii="Book Antiqua" w:hAnsi="Book Antiqua"/>
        </w:rPr>
        <w:t>Otra medida importante</w:t>
      </w:r>
      <w:r w:rsidR="009F1888">
        <w:rPr>
          <w:rFonts w:ascii="Book Antiqua" w:hAnsi="Book Antiqua"/>
        </w:rPr>
        <w:t xml:space="preserve"> </w:t>
      </w:r>
      <w:r w:rsidRPr="00C64E0C">
        <w:rPr>
          <w:rFonts w:ascii="Book Antiqua" w:hAnsi="Book Antiqua"/>
        </w:rPr>
        <w:t>es el desarrollo de Chile Cuida -Sistema Nacional de Apoyos y Cuidados- que forma parte del Sistema de Protección Social del Estado y tiene como misión acompañar y apoyar</w:t>
      </w:r>
      <w:r w:rsidR="009F1888">
        <w:rPr>
          <w:rFonts w:ascii="Book Antiqua" w:hAnsi="Book Antiqua"/>
        </w:rPr>
        <w:t>,</w:t>
      </w:r>
      <w:r w:rsidRPr="00C64E0C">
        <w:rPr>
          <w:rFonts w:ascii="Book Antiqua" w:hAnsi="Book Antiqua"/>
        </w:rPr>
        <w:t xml:space="preserve"> a través de diferentes servicios</w:t>
      </w:r>
      <w:r w:rsidR="009F1888">
        <w:rPr>
          <w:rFonts w:ascii="Book Antiqua" w:hAnsi="Book Antiqua"/>
        </w:rPr>
        <w:t>,</w:t>
      </w:r>
      <w:r w:rsidRPr="00C64E0C">
        <w:rPr>
          <w:rFonts w:ascii="Book Antiqua" w:hAnsi="Book Antiqua"/>
        </w:rPr>
        <w:t xml:space="preserve"> a las personas en situación dependencia, sus cuidadores y cuidadoras, sus hogares y su red de apoyo. Va dirigido a los hogares más vulnerables del país y que presenten un integrante en situación de dependencia. La población beneficiaria es: personas de 60 años y más en situación de dependencia; los niños, niñas y adulto</w:t>
      </w:r>
      <w:r w:rsidR="00C64E0C">
        <w:rPr>
          <w:rFonts w:ascii="Book Antiqua" w:hAnsi="Book Antiqua"/>
        </w:rPr>
        <w:t>s en situación de dependencia y</w:t>
      </w:r>
      <w:r w:rsidRPr="00C64E0C">
        <w:rPr>
          <w:rFonts w:ascii="Book Antiqua" w:hAnsi="Book Antiqua"/>
        </w:rPr>
        <w:t xml:space="preserve"> </w:t>
      </w:r>
      <w:r w:rsidR="009F1888">
        <w:rPr>
          <w:rFonts w:ascii="Book Antiqua" w:hAnsi="Book Antiqua"/>
        </w:rPr>
        <w:t xml:space="preserve">sus </w:t>
      </w:r>
      <w:r w:rsidRPr="00C64E0C">
        <w:rPr>
          <w:rFonts w:ascii="Book Antiqua" w:hAnsi="Book Antiqua"/>
        </w:rPr>
        <w:t xml:space="preserve">cuidadores y cuidadoras. </w:t>
      </w:r>
    </w:p>
    <w:p w14:paraId="1FB86799" w14:textId="726296DE" w:rsidR="00C64E0C" w:rsidRDefault="00AC1FF6" w:rsidP="00C64E0C">
      <w:pPr>
        <w:pStyle w:val="ListParagraph"/>
        <w:jc w:val="both"/>
        <w:rPr>
          <w:rFonts w:ascii="Book Antiqua" w:hAnsi="Book Antiqua"/>
        </w:rPr>
      </w:pPr>
      <w:r w:rsidRPr="00C64E0C">
        <w:rPr>
          <w:rFonts w:ascii="Book Antiqua" w:hAnsi="Book Antiqua"/>
        </w:rPr>
        <w:t xml:space="preserve">El apoyo a </w:t>
      </w:r>
      <w:r w:rsidR="00C64E0C" w:rsidRPr="00C64E0C">
        <w:rPr>
          <w:rFonts w:ascii="Book Antiqua" w:hAnsi="Book Antiqua"/>
        </w:rPr>
        <w:t>los cuidadores</w:t>
      </w:r>
      <w:r w:rsidRPr="00C64E0C">
        <w:rPr>
          <w:rFonts w:ascii="Book Antiqua" w:hAnsi="Book Antiqua"/>
        </w:rPr>
        <w:t xml:space="preserve"> cobra especial relevancia, dado que las mujeres son las que ejercen estas labores, muchas veces en condiciones de gran precariedad. El programa se encarga de entregar un espacio de respiro a las labores de cuidados, dando la posibilidad de </w:t>
      </w:r>
      <w:r w:rsidR="00C64E0C" w:rsidRPr="00C64E0C">
        <w:rPr>
          <w:rFonts w:ascii="Book Antiqua" w:hAnsi="Book Antiqua"/>
        </w:rPr>
        <w:t>descanso</w:t>
      </w:r>
      <w:r w:rsidR="00E80368">
        <w:rPr>
          <w:rStyle w:val="FootnoteReference"/>
          <w:rFonts w:ascii="Book Antiqua" w:hAnsi="Book Antiqua"/>
        </w:rPr>
        <w:footnoteReference w:id="13"/>
      </w:r>
      <w:r w:rsidR="00C64E0C" w:rsidRPr="00C64E0C">
        <w:rPr>
          <w:rFonts w:ascii="Book Antiqua" w:hAnsi="Book Antiqua"/>
        </w:rPr>
        <w:t>.</w:t>
      </w:r>
    </w:p>
    <w:p w14:paraId="30A1DD8A" w14:textId="77777777" w:rsidR="00C64E0C" w:rsidRDefault="00C64E0C" w:rsidP="00AC1FF6">
      <w:pPr>
        <w:pStyle w:val="ListParagraph"/>
        <w:numPr>
          <w:ilvl w:val="0"/>
          <w:numId w:val="27"/>
        </w:numPr>
        <w:jc w:val="both"/>
        <w:rPr>
          <w:rFonts w:ascii="Book Antiqua" w:hAnsi="Book Antiqua"/>
        </w:rPr>
      </w:pPr>
      <w:r w:rsidRPr="00C64E0C">
        <w:rPr>
          <w:rFonts w:ascii="Book Antiqua" w:hAnsi="Book Antiqua"/>
        </w:rPr>
        <w:lastRenderedPageBreak/>
        <w:t xml:space="preserve">Promoción del Empleo: </w:t>
      </w:r>
      <w:r w:rsidR="00AC1FF6" w:rsidRPr="00C64E0C">
        <w:rPr>
          <w:rFonts w:ascii="Book Antiqua" w:hAnsi="Book Antiqua"/>
        </w:rPr>
        <w:t xml:space="preserve">El Ministerio de Trabajo y Previsión Social, a través del Servicio Nacional de Capacitación y Empleo (SENCE), promueve la contratación de adultos mayores y su formación al interior de las empresas. El programa se denomina Experiencia Mayor y considera una bonificación, por cada persona contratada, del 60% del ingreso mínimo mensual durante los primeros 6 meses de contrato, y un 20% del ingreso mínimo mensual los siguientes 6 meses. Las empresas además pueden optar a una contribución por el costo de capacitación por un monto de hasta $400.000. El beneficio no va directamente a la persona mayor, se trata más bien de un incentivo a las empresas para su contratación. </w:t>
      </w:r>
    </w:p>
    <w:p w14:paraId="33BB95C1" w14:textId="77777777" w:rsidR="00C64E0C" w:rsidRDefault="00AC1FF6" w:rsidP="00AC1FF6">
      <w:pPr>
        <w:pStyle w:val="ListParagraph"/>
        <w:numPr>
          <w:ilvl w:val="0"/>
          <w:numId w:val="27"/>
        </w:numPr>
        <w:jc w:val="both"/>
        <w:rPr>
          <w:rFonts w:ascii="Book Antiqua" w:hAnsi="Book Antiqua"/>
        </w:rPr>
      </w:pPr>
      <w:r w:rsidRPr="00C64E0C">
        <w:rPr>
          <w:rFonts w:ascii="Book Antiqua" w:hAnsi="Book Antiqua"/>
        </w:rPr>
        <w:t xml:space="preserve">Acciones de Prevención y Atención en </w:t>
      </w:r>
      <w:r w:rsidR="00C64E0C" w:rsidRPr="00C64E0C">
        <w:rPr>
          <w:rFonts w:ascii="Book Antiqua" w:hAnsi="Book Antiqua"/>
        </w:rPr>
        <w:t>Violencia:</w:t>
      </w:r>
      <w:r w:rsidR="00C64E0C">
        <w:rPr>
          <w:rFonts w:ascii="Book Antiqua" w:hAnsi="Book Antiqua"/>
        </w:rPr>
        <w:t xml:space="preserve"> </w:t>
      </w:r>
      <w:r w:rsidRPr="00C64E0C">
        <w:rPr>
          <w:rFonts w:ascii="Book Antiqua" w:hAnsi="Book Antiqua"/>
        </w:rPr>
        <w:t>El Servicio Nacional de la Mujer y la Equidad de Género, cuenta con programas para la atención de violencia contra las mujeres. Las Casas de Acogida del Servicio Nacional de la Mujer y Equidad de Género (SernamEG) son residencias que ofrecen protección temporal a las mujeres y sus hijas e hijos que se encuentran en situación de riesgo grave y/o vital por violencia de su pareja o ex pareja. Su acceso es gratuito y entregan un lugar de residencia transitoria, confidencial, segura y resguardada a las mujeres que viven en entornos de violencia grave, junto con brindarles atención legal y psicosocial. No existe tope de edad, solo edad mínima de ingreso (18 años) por lo tanto las mujeres mayores pueden acceder a estos servicios.</w:t>
      </w:r>
    </w:p>
    <w:p w14:paraId="4D3C58C7" w14:textId="77777777" w:rsidR="00C64E0C" w:rsidRDefault="00AC1FF6" w:rsidP="00C64E0C">
      <w:pPr>
        <w:pStyle w:val="ListParagraph"/>
        <w:jc w:val="both"/>
        <w:rPr>
          <w:rFonts w:ascii="Book Antiqua" w:hAnsi="Book Antiqua"/>
        </w:rPr>
      </w:pPr>
      <w:r w:rsidRPr="00C64E0C">
        <w:rPr>
          <w:rFonts w:ascii="Book Antiqua" w:hAnsi="Book Antiqua"/>
        </w:rPr>
        <w:t>También e</w:t>
      </w:r>
      <w:r w:rsidR="00C64E0C">
        <w:rPr>
          <w:rFonts w:ascii="Book Antiqua" w:hAnsi="Book Antiqua"/>
        </w:rPr>
        <w:t>xisten los Centros de la Mujer que o</w:t>
      </w:r>
      <w:r w:rsidRPr="00C64E0C">
        <w:rPr>
          <w:rFonts w:ascii="Book Antiqua" w:hAnsi="Book Antiqua"/>
        </w:rPr>
        <w:t>frecen orientación a las mujeres que viven violencias o hayan vivido algún tipo de violencia y a quienes son testigos de éstas. Además, aquellas que viven o han vivido esta situación, son apoyadas a través de atención psicológica, social y jurídica. La atención va dirigida a mujeres de 18 años o más que residan, estudien o trabajen en alguna de las comunas comprendidas en el territorio donde el centro focaliza su intervención. La intervención dura seis meses, aproximadamente. Este tiempo puede variar, dependiendo de las necesidades de cada mujer.</w:t>
      </w:r>
    </w:p>
    <w:p w14:paraId="53CE1D16" w14:textId="499C4F59" w:rsidR="00C64E0C" w:rsidRDefault="00AC1FF6" w:rsidP="00AC1FF6">
      <w:pPr>
        <w:pStyle w:val="ListParagraph"/>
        <w:numPr>
          <w:ilvl w:val="0"/>
          <w:numId w:val="27"/>
        </w:numPr>
        <w:jc w:val="both"/>
        <w:rPr>
          <w:rFonts w:ascii="Book Antiqua" w:hAnsi="Book Antiqua"/>
        </w:rPr>
      </w:pPr>
      <w:r w:rsidRPr="00AC1FF6">
        <w:rPr>
          <w:rFonts w:ascii="Book Antiqua" w:hAnsi="Book Antiqua"/>
        </w:rPr>
        <w:t>Acciones del Ser</w:t>
      </w:r>
      <w:r w:rsidR="00C64E0C">
        <w:rPr>
          <w:rFonts w:ascii="Book Antiqua" w:hAnsi="Book Antiqua"/>
        </w:rPr>
        <w:t>vicio Nacional del Adulto Mayor: p</w:t>
      </w:r>
      <w:r w:rsidRPr="00C64E0C">
        <w:rPr>
          <w:rFonts w:ascii="Book Antiqua" w:hAnsi="Book Antiqua"/>
        </w:rPr>
        <w:t xml:space="preserve">or su parte el Servicio Nacional del Adulto Mayor, ha realizado algunas acciones o iniciativas para prevenir la discriminación y promover los derechos de las mujeres mayores. </w:t>
      </w:r>
    </w:p>
    <w:p w14:paraId="1AFEB45A" w14:textId="02C40A58" w:rsidR="00C64E0C" w:rsidRDefault="00AC1FF6" w:rsidP="009050B8">
      <w:pPr>
        <w:pStyle w:val="ListParagraph"/>
        <w:numPr>
          <w:ilvl w:val="1"/>
          <w:numId w:val="27"/>
        </w:numPr>
        <w:jc w:val="both"/>
        <w:rPr>
          <w:rFonts w:ascii="Book Antiqua" w:hAnsi="Book Antiqua"/>
        </w:rPr>
      </w:pPr>
      <w:r w:rsidRPr="00C64E0C">
        <w:rPr>
          <w:rFonts w:ascii="Book Antiqua" w:hAnsi="Book Antiqua"/>
        </w:rPr>
        <w:t>Instancias de difusión y capacitación respect</w:t>
      </w:r>
      <w:r w:rsidR="00C64E0C">
        <w:rPr>
          <w:rFonts w:ascii="Book Antiqua" w:hAnsi="Book Antiqua"/>
        </w:rPr>
        <w:t xml:space="preserve">o del ámbito de género y vejez: </w:t>
      </w:r>
      <w:r w:rsidRPr="00C64E0C">
        <w:rPr>
          <w:rFonts w:ascii="Book Antiqua" w:hAnsi="Book Antiqua"/>
        </w:rPr>
        <w:t>Se observa un escaso conocimiento en el ámbito gerontológico y más aún en temas de vejez vinculadas a la perspectiva de género, que permitan hacer un análisis diferenciado para la intervención en el tema. Principalmente en los equipos profesionales que se desempeñan en los organismos operadores que ejecutan los programas de SENAMA, así como en funcionarios de la Institución.</w:t>
      </w:r>
    </w:p>
    <w:p w14:paraId="3AE6DD1E" w14:textId="35CD7F60" w:rsidR="00C64E0C" w:rsidRDefault="00AC1FF6" w:rsidP="009050B8">
      <w:pPr>
        <w:pStyle w:val="ListParagraph"/>
        <w:ind w:left="1418"/>
        <w:jc w:val="both"/>
        <w:rPr>
          <w:rFonts w:ascii="Book Antiqua" w:hAnsi="Book Antiqua"/>
        </w:rPr>
      </w:pPr>
      <w:r w:rsidRPr="00C64E0C">
        <w:rPr>
          <w:rFonts w:ascii="Book Antiqua" w:hAnsi="Book Antiqua"/>
        </w:rPr>
        <w:t>Por esta razón, en los últimos 5 años se han priorizado acciones de capacitación a funcionarios/as y profesionales que se desempeñan tanto en la institución como en los organismos externos que ejecutan los programas de SENAMA. Estas se han realizado con coberturas diferenciadas de acuerdo a recursos disponibles. Desde el 2014 a la fecha</w:t>
      </w:r>
      <w:r w:rsidR="009050B8">
        <w:rPr>
          <w:rFonts w:ascii="Book Antiqua" w:hAnsi="Book Antiqua"/>
        </w:rPr>
        <w:t>,</w:t>
      </w:r>
      <w:r w:rsidRPr="00C64E0C">
        <w:rPr>
          <w:rFonts w:ascii="Book Antiqua" w:hAnsi="Book Antiqua"/>
        </w:rPr>
        <w:t xml:space="preserve"> se ha capacitado a número aproximado de 448 personas, ya sea en el desarrollo de módulos específicos para diplomados, realización de capacitaciones </w:t>
      </w:r>
      <w:r w:rsidRPr="00C64E0C">
        <w:rPr>
          <w:rFonts w:ascii="Book Antiqua" w:hAnsi="Book Antiqua"/>
        </w:rPr>
        <w:lastRenderedPageBreak/>
        <w:t xml:space="preserve">presenciales, visitas a terreno, entre otras.  Destaca un Diplomado en Gerontología Social con Enfoque de Género dirigido a 190 personas.  </w:t>
      </w:r>
    </w:p>
    <w:p w14:paraId="616487DB" w14:textId="77777777" w:rsidR="00C64E0C" w:rsidRDefault="00AC1FF6" w:rsidP="009050B8">
      <w:pPr>
        <w:pStyle w:val="ListParagraph"/>
        <w:ind w:left="1418"/>
        <w:jc w:val="both"/>
        <w:rPr>
          <w:rFonts w:ascii="Book Antiqua" w:hAnsi="Book Antiqua"/>
        </w:rPr>
      </w:pPr>
      <w:r w:rsidRPr="00AC1FF6">
        <w:rPr>
          <w:rFonts w:ascii="Book Antiqua" w:hAnsi="Book Antiqua"/>
        </w:rPr>
        <w:t xml:space="preserve">Estos esfuerzos deben continuar y potenciarse, </w:t>
      </w:r>
      <w:r w:rsidR="00C64E0C" w:rsidRPr="00AC1FF6">
        <w:rPr>
          <w:rFonts w:ascii="Book Antiqua" w:hAnsi="Book Antiqua"/>
        </w:rPr>
        <w:t>ya que,</w:t>
      </w:r>
      <w:r w:rsidRPr="00AC1FF6">
        <w:rPr>
          <w:rFonts w:ascii="Book Antiqua" w:hAnsi="Book Antiqua"/>
        </w:rPr>
        <w:t xml:space="preserve"> a pesar de los avances, se requiere mayor cobertura de las capacitaciones.</w:t>
      </w:r>
    </w:p>
    <w:p w14:paraId="03838C99" w14:textId="58CEFAF0" w:rsidR="00C64E0C" w:rsidRDefault="00AC1FF6" w:rsidP="009050B8">
      <w:pPr>
        <w:pStyle w:val="ListParagraph"/>
        <w:numPr>
          <w:ilvl w:val="1"/>
          <w:numId w:val="27"/>
        </w:numPr>
        <w:jc w:val="both"/>
        <w:rPr>
          <w:rFonts w:ascii="Book Antiqua" w:hAnsi="Book Antiqua"/>
        </w:rPr>
      </w:pPr>
      <w:r w:rsidRPr="00AC1FF6">
        <w:rPr>
          <w:rFonts w:ascii="Book Antiqua" w:hAnsi="Book Antiqua"/>
        </w:rPr>
        <w:t>Acciones de Prevención en V</w:t>
      </w:r>
      <w:r w:rsidR="00C64E0C">
        <w:rPr>
          <w:rFonts w:ascii="Book Antiqua" w:hAnsi="Book Antiqua"/>
        </w:rPr>
        <w:t xml:space="preserve">iolencia hacia Mujeres Mayores: </w:t>
      </w:r>
      <w:r w:rsidRPr="00C64E0C">
        <w:rPr>
          <w:rFonts w:ascii="Book Antiqua" w:hAnsi="Book Antiqua"/>
        </w:rPr>
        <w:t xml:space="preserve">Por medio del Programa Buen Trato a los Adultos Mayores de SENAMA, se han complementado acciones que permiten el desarrollo de iniciativas en el ámbito de la prevención. Es así </w:t>
      </w:r>
      <w:r w:rsidR="00C64E0C" w:rsidRPr="00C64E0C">
        <w:rPr>
          <w:rFonts w:ascii="Book Antiqua" w:hAnsi="Book Antiqua"/>
        </w:rPr>
        <w:t>que,</w:t>
      </w:r>
      <w:r w:rsidRPr="00C64E0C">
        <w:rPr>
          <w:rFonts w:ascii="Book Antiqua" w:hAnsi="Book Antiqua"/>
        </w:rPr>
        <w:t xml:space="preserve"> en el año 2015, se desarrolló un trabajo de prevención en violencia a través de la sensibilización so</w:t>
      </w:r>
      <w:r w:rsidR="00C64E0C">
        <w:rPr>
          <w:rFonts w:ascii="Book Antiqua" w:hAnsi="Book Antiqua"/>
        </w:rPr>
        <w:t xml:space="preserve">bre estereotipos e inequidades </w:t>
      </w:r>
      <w:r w:rsidRPr="00C64E0C">
        <w:rPr>
          <w:rFonts w:ascii="Book Antiqua" w:hAnsi="Book Antiqua"/>
        </w:rPr>
        <w:t xml:space="preserve">de género que afecten tanto a hombres como a mujeres. </w:t>
      </w:r>
    </w:p>
    <w:p w14:paraId="38F7689D" w14:textId="77777777" w:rsidR="00C64E0C" w:rsidRDefault="00AC1FF6" w:rsidP="009050B8">
      <w:pPr>
        <w:pStyle w:val="ListParagraph"/>
        <w:ind w:left="1429"/>
        <w:jc w:val="both"/>
        <w:rPr>
          <w:rFonts w:ascii="Book Antiqua" w:hAnsi="Book Antiqua"/>
        </w:rPr>
      </w:pPr>
      <w:r w:rsidRPr="00C64E0C">
        <w:rPr>
          <w:rFonts w:ascii="Book Antiqua" w:hAnsi="Book Antiqua"/>
        </w:rPr>
        <w:t xml:space="preserve">Este trabajo se llevó a cabo con profesionales y funcionarios de atención directa de las redes locales, como la Corporación de Asistencia Judicial, organismos de orden y seguridad, Centros de Salud de Atención Primaria, Municipios, entre otras. Se desarrolló a nivel provincial en distintas regiones del país, a través de mesas de trabajo, donde mediante la elaboración de material y metodologías, se reflexionó sobre cómo inciden estereotipos arraigados en los propios profesionales al momento de realizar la intervención con personas mayores, tanto en mujeres como hombres, así como la imagen negativa de la vejez, en la vulneración de derechos de este grupo. </w:t>
      </w:r>
    </w:p>
    <w:p w14:paraId="78C88438" w14:textId="77777777" w:rsidR="009050B8" w:rsidRDefault="00AC1FF6" w:rsidP="009050B8">
      <w:pPr>
        <w:pStyle w:val="ListParagraph"/>
        <w:ind w:left="1429"/>
        <w:jc w:val="both"/>
        <w:rPr>
          <w:rFonts w:ascii="Book Antiqua" w:hAnsi="Book Antiqua"/>
        </w:rPr>
      </w:pPr>
      <w:r w:rsidRPr="00AC1FF6">
        <w:rPr>
          <w:rFonts w:ascii="Book Antiqua" w:hAnsi="Book Antiqua"/>
        </w:rPr>
        <w:t xml:space="preserve">Una segunda medida fue fortalecer los lineamientos de atención de personas mayores víctimas de maltrato del programa Buen trato al Adulto Mayor, las que son principalmente mujeres, por medio de la elaboración de un protocolo específico para la orientación y derivación oportuna de víctimas de violencia intrafamiliar o maltrato, con perspectiva de género. Su continuidad se respalda a través de la formalización interna de dicho protocolo.  </w:t>
      </w:r>
    </w:p>
    <w:p w14:paraId="3882C048" w14:textId="61579A54" w:rsidR="00C64E0C" w:rsidRDefault="00AC1FF6" w:rsidP="009050B8">
      <w:pPr>
        <w:pStyle w:val="ListParagraph"/>
        <w:numPr>
          <w:ilvl w:val="1"/>
          <w:numId w:val="27"/>
        </w:numPr>
        <w:jc w:val="both"/>
        <w:rPr>
          <w:rFonts w:ascii="Book Antiqua" w:hAnsi="Book Antiqua"/>
        </w:rPr>
      </w:pPr>
      <w:r w:rsidRPr="00C64E0C">
        <w:rPr>
          <w:rFonts w:ascii="Book Antiqua" w:hAnsi="Book Antiqua"/>
        </w:rPr>
        <w:t>Adecuación en el</w:t>
      </w:r>
      <w:r w:rsidR="00C64E0C">
        <w:rPr>
          <w:rFonts w:ascii="Book Antiqua" w:hAnsi="Book Antiqua"/>
        </w:rPr>
        <w:t xml:space="preserve"> diseño de oferta programática: </w:t>
      </w:r>
      <w:r w:rsidRPr="00C64E0C">
        <w:rPr>
          <w:rFonts w:ascii="Book Antiqua" w:hAnsi="Book Antiqua"/>
        </w:rPr>
        <w:t xml:space="preserve">SENAMA ha realizado de manera paulatina y de acuerdo a la pertinencia correspondiente, ajustes metodológicos de los programas en el diseño y posteriormente en las orientaciones técnicas de los mismos, desarrollando medidas que permitan implementar el enfoque de género, logrando identificar particularidades en la intervención que se adecuen a vivencias propias de mujeres mayores. </w:t>
      </w:r>
    </w:p>
    <w:p w14:paraId="7D0C782E" w14:textId="77777777" w:rsidR="00C64E0C" w:rsidRDefault="00AC1FF6" w:rsidP="00AC1FF6">
      <w:pPr>
        <w:pStyle w:val="ListParagraph"/>
        <w:numPr>
          <w:ilvl w:val="1"/>
          <w:numId w:val="27"/>
        </w:numPr>
        <w:jc w:val="both"/>
        <w:rPr>
          <w:rFonts w:ascii="Book Antiqua" w:hAnsi="Book Antiqua"/>
        </w:rPr>
      </w:pPr>
      <w:r w:rsidRPr="00C64E0C">
        <w:rPr>
          <w:rFonts w:ascii="Book Antiqua" w:hAnsi="Book Antiqua"/>
        </w:rPr>
        <w:t xml:space="preserve">Una acción que destaca es la realizada en el Fondo Nacional del Adulto Mayor, componente Autogestionado, fondo concursable dirigido a financiar proyectos presentados por organizaciones de personas mayores. Esta acción promueve mediante bonificación de puntaje extra a aquellas organizaciones de personas mayores compuestas en su mayoría por mujeres, que postulan a proyectos de actividades productivas, con el fin de impulsar el desarrollo de acciones productivas que generen capacidades en las personas. Para garantizar su continuidad se dejó establecido en las bases concursables. </w:t>
      </w:r>
    </w:p>
    <w:p w14:paraId="46FC9169" w14:textId="77777777" w:rsidR="009050B8" w:rsidRDefault="00AC1FF6" w:rsidP="00AC1FF6">
      <w:pPr>
        <w:pStyle w:val="ListParagraph"/>
        <w:numPr>
          <w:ilvl w:val="1"/>
          <w:numId w:val="27"/>
        </w:numPr>
        <w:jc w:val="both"/>
        <w:rPr>
          <w:rFonts w:ascii="Book Antiqua" w:hAnsi="Book Antiqua"/>
        </w:rPr>
      </w:pPr>
      <w:r w:rsidRPr="00C64E0C">
        <w:rPr>
          <w:rFonts w:ascii="Book Antiqua" w:hAnsi="Book Antiqua"/>
        </w:rPr>
        <w:t xml:space="preserve">Otra acción relevante es haber contribuido a que el Programa Cuidados Domiciliarios, donde se desempeña un importante número de cuidadoras en los domicilios de las </w:t>
      </w:r>
      <w:r w:rsidRPr="00C64E0C">
        <w:rPr>
          <w:rFonts w:ascii="Book Antiqua" w:hAnsi="Book Antiqua"/>
        </w:rPr>
        <w:lastRenderedPageBreak/>
        <w:t>personas, pasaron de recibir un aporte voluntario por los cuidados entregados en los domicilios a una remuneración que revalorice la acción del cuidado delimitado tradicionalmente a las mujeres</w:t>
      </w:r>
      <w:r w:rsidR="00E80368">
        <w:rPr>
          <w:rStyle w:val="FootnoteReference"/>
          <w:rFonts w:ascii="Book Antiqua" w:hAnsi="Book Antiqua"/>
        </w:rPr>
        <w:footnoteReference w:id="14"/>
      </w:r>
      <w:r w:rsidRPr="00C64E0C">
        <w:rPr>
          <w:rFonts w:ascii="Book Antiqua" w:hAnsi="Book Antiqua"/>
        </w:rPr>
        <w:t xml:space="preserve">.  </w:t>
      </w:r>
    </w:p>
    <w:p w14:paraId="78F4E56F" w14:textId="7A090472" w:rsidR="00AC1FF6" w:rsidRPr="009050B8" w:rsidRDefault="00AC1FF6" w:rsidP="009050B8">
      <w:pPr>
        <w:pStyle w:val="ListParagraph"/>
        <w:ind w:left="1440"/>
        <w:jc w:val="both"/>
        <w:rPr>
          <w:rFonts w:ascii="Book Antiqua" w:hAnsi="Book Antiqua"/>
        </w:rPr>
      </w:pPr>
      <w:r w:rsidRPr="009050B8">
        <w:rPr>
          <w:rFonts w:ascii="Book Antiqua" w:hAnsi="Book Antiqua"/>
        </w:rPr>
        <w:t>Lo anterior</w:t>
      </w:r>
      <w:r w:rsidR="009050B8" w:rsidRPr="009050B8">
        <w:rPr>
          <w:rFonts w:ascii="Book Antiqua" w:hAnsi="Book Antiqua"/>
        </w:rPr>
        <w:t>,</w:t>
      </w:r>
      <w:r w:rsidRPr="009050B8">
        <w:rPr>
          <w:rFonts w:ascii="Book Antiqua" w:hAnsi="Book Antiqua"/>
        </w:rPr>
        <w:t xml:space="preserve"> por una parte contribuye a disminuir las inequidades y brechas vinculadas a las labores de cuidado de las mujeres y por otra, a generar servicios de apoyos y cuidados a adultos y adultas mayores que lo requieren.  Por otro lado, permite que mujeres de diversas edades se desempeñen como cuidadoras con un salario y contrato. Esto le da mayor valor a la función de cuidado reconociendo la trayectoria de las vidas de quienes lo realizan y la imagen social de este quehacer vital para la mantención de las sociedades.</w:t>
      </w:r>
    </w:p>
    <w:p w14:paraId="4071CC26" w14:textId="09703BE6" w:rsidR="00C64E0C" w:rsidRDefault="00C64E0C" w:rsidP="00C64E0C">
      <w:pPr>
        <w:spacing w:line="360" w:lineRule="auto"/>
        <w:jc w:val="both"/>
        <w:rPr>
          <w:rFonts w:ascii="Book Antiqua" w:hAnsi="Book Antiqua"/>
          <w:i/>
          <w:sz w:val="24"/>
          <w:szCs w:val="24"/>
        </w:rPr>
      </w:pPr>
      <w:r w:rsidRPr="00C64E0C">
        <w:rPr>
          <w:rFonts w:ascii="Book Antiqua" w:hAnsi="Book Antiqua"/>
          <w:i/>
          <w:sz w:val="24"/>
          <w:szCs w:val="24"/>
        </w:rPr>
        <w:t>2. ¿Qué tipo de datos e</w:t>
      </w:r>
      <w:r>
        <w:rPr>
          <w:rFonts w:ascii="Book Antiqua" w:hAnsi="Book Antiqua"/>
          <w:i/>
          <w:sz w:val="24"/>
          <w:szCs w:val="24"/>
        </w:rPr>
        <w:t>stadísticos se reúnen sobre las</w:t>
      </w:r>
      <w:r w:rsidRPr="00C64E0C">
        <w:rPr>
          <w:rFonts w:ascii="Book Antiqua" w:hAnsi="Book Antiqua"/>
          <w:i/>
          <w:sz w:val="24"/>
          <w:szCs w:val="24"/>
        </w:rPr>
        <w:t xml:space="preserve"> mujeres de edad, de haberlos, y se desglosan por edad, género y otros factores pertinentes? ¿Cómo se definen las mujeres de edad a los efectos de la l</w:t>
      </w:r>
      <w:r>
        <w:rPr>
          <w:rFonts w:ascii="Book Antiqua" w:hAnsi="Book Antiqua"/>
          <w:i/>
          <w:sz w:val="24"/>
          <w:szCs w:val="24"/>
        </w:rPr>
        <w:t xml:space="preserve">egislación, las políticas y la </w:t>
      </w:r>
      <w:r w:rsidRPr="00C64E0C">
        <w:rPr>
          <w:rFonts w:ascii="Book Antiqua" w:hAnsi="Book Antiqua"/>
          <w:i/>
          <w:sz w:val="24"/>
          <w:szCs w:val="24"/>
        </w:rPr>
        <w:t>reunión de datos?</w:t>
      </w:r>
    </w:p>
    <w:p w14:paraId="374F6F9C" w14:textId="77777777" w:rsidR="00C64E0C" w:rsidRPr="00C64E0C" w:rsidRDefault="00C64E0C" w:rsidP="009050B8">
      <w:pPr>
        <w:spacing w:after="0"/>
        <w:jc w:val="both"/>
        <w:rPr>
          <w:rFonts w:ascii="Book Antiqua" w:hAnsi="Book Antiqua"/>
        </w:rPr>
      </w:pPr>
      <w:r w:rsidRPr="00C64E0C">
        <w:rPr>
          <w:rFonts w:ascii="Book Antiqua" w:hAnsi="Book Antiqua"/>
        </w:rPr>
        <w:t xml:space="preserve">La Ley Nº 19.828 que crea el Servicio Nacional del Adulto Mayores, define como adulto mayor a </w:t>
      </w:r>
      <w:r w:rsidRPr="00C64E0C">
        <w:rPr>
          <w:rFonts w:ascii="Book Antiqua" w:hAnsi="Book Antiqua"/>
          <w:i/>
        </w:rPr>
        <w:t>toda persona que ha cumplido los 60 años, sin diferencia entre hombres y mujeres</w:t>
      </w:r>
      <w:r w:rsidRPr="00C64E0C">
        <w:rPr>
          <w:rFonts w:ascii="Book Antiqua" w:hAnsi="Book Antiqua"/>
        </w:rPr>
        <w:t xml:space="preserve">. </w:t>
      </w:r>
    </w:p>
    <w:p w14:paraId="7D7990BB" w14:textId="77777777" w:rsidR="00C64E0C" w:rsidRPr="00C64E0C" w:rsidRDefault="00C64E0C" w:rsidP="009050B8">
      <w:pPr>
        <w:spacing w:after="0"/>
        <w:jc w:val="both"/>
        <w:rPr>
          <w:rFonts w:ascii="Book Antiqua" w:hAnsi="Book Antiqua"/>
        </w:rPr>
      </w:pPr>
      <w:r w:rsidRPr="00C64E0C">
        <w:rPr>
          <w:rFonts w:ascii="Book Antiqua" w:hAnsi="Book Antiqua"/>
        </w:rPr>
        <w:t xml:space="preserve">De esta manera, la legislación vigente, las políticas y la reunión de datos atiende a esta definición etaria, con la salvedad de aspectos atingentes al Ministerio de Salud, que considera la adultez mayor a partir de los 65 años de edad. </w:t>
      </w:r>
    </w:p>
    <w:p w14:paraId="414F291A" w14:textId="33792004" w:rsidR="00C64E0C" w:rsidRPr="00C64E0C" w:rsidRDefault="00C64E0C" w:rsidP="009050B8">
      <w:pPr>
        <w:spacing w:after="0"/>
        <w:jc w:val="both"/>
        <w:rPr>
          <w:rFonts w:ascii="Book Antiqua" w:hAnsi="Book Antiqua"/>
        </w:rPr>
      </w:pPr>
      <w:r w:rsidRPr="00C64E0C">
        <w:rPr>
          <w:rFonts w:ascii="Book Antiqua" w:hAnsi="Book Antiqua"/>
        </w:rPr>
        <w:t>De esta forma, algunos de los datos estadísticos que se recopilan desagregados según sexo, dicen relación con los sig</w:t>
      </w:r>
      <w:r>
        <w:rPr>
          <w:rFonts w:ascii="Book Antiqua" w:hAnsi="Book Antiqua"/>
        </w:rPr>
        <w:t>uientes ámbitos de conocimiento:</w:t>
      </w:r>
    </w:p>
    <w:p w14:paraId="60959C89" w14:textId="052B91F9" w:rsidR="00C64E0C" w:rsidRDefault="00C64E0C" w:rsidP="00C64E0C">
      <w:pPr>
        <w:pStyle w:val="ListParagraph"/>
        <w:numPr>
          <w:ilvl w:val="0"/>
          <w:numId w:val="27"/>
        </w:numPr>
        <w:jc w:val="both"/>
        <w:rPr>
          <w:rFonts w:ascii="Book Antiqua" w:hAnsi="Book Antiqua"/>
        </w:rPr>
      </w:pPr>
      <w:r w:rsidRPr="00C64E0C">
        <w:rPr>
          <w:rFonts w:ascii="Book Antiqua" w:hAnsi="Book Antiqua"/>
        </w:rPr>
        <w:t>Proyecciones de población, realizadas por entidades supra-nacionales como la CEPAL y por Organismos del Estado, en Particular el Instituto Nacional de Estadísticas</w:t>
      </w:r>
      <w:r w:rsidR="00B54BB1">
        <w:rPr>
          <w:rFonts w:ascii="Book Antiqua" w:hAnsi="Book Antiqua"/>
        </w:rPr>
        <w:t xml:space="preserve"> (INE)</w:t>
      </w:r>
      <w:r w:rsidRPr="00C64E0C">
        <w:rPr>
          <w:rFonts w:ascii="Book Antiqua" w:hAnsi="Book Antiqua"/>
        </w:rPr>
        <w:t>.</w:t>
      </w:r>
    </w:p>
    <w:p w14:paraId="223AC96D" w14:textId="77777777" w:rsidR="00C64E0C" w:rsidRDefault="00C64E0C" w:rsidP="00C64E0C">
      <w:pPr>
        <w:pStyle w:val="ListParagraph"/>
        <w:numPr>
          <w:ilvl w:val="0"/>
          <w:numId w:val="27"/>
        </w:numPr>
        <w:jc w:val="both"/>
        <w:rPr>
          <w:rFonts w:ascii="Book Antiqua" w:hAnsi="Book Antiqua"/>
        </w:rPr>
      </w:pPr>
      <w:r w:rsidRPr="00C64E0C">
        <w:rPr>
          <w:rFonts w:ascii="Book Antiqua" w:hAnsi="Book Antiqua"/>
        </w:rPr>
        <w:t>Encuestas de Hogares para temas en particular. En otras, se encuentran las siguientes:</w:t>
      </w:r>
    </w:p>
    <w:p w14:paraId="17029F6F" w14:textId="77777777" w:rsidR="00C64E0C" w:rsidRDefault="00C64E0C" w:rsidP="00C64E0C">
      <w:pPr>
        <w:pStyle w:val="ListParagraph"/>
        <w:numPr>
          <w:ilvl w:val="1"/>
          <w:numId w:val="27"/>
        </w:numPr>
        <w:jc w:val="both"/>
        <w:rPr>
          <w:rFonts w:ascii="Book Antiqua" w:hAnsi="Book Antiqua"/>
        </w:rPr>
      </w:pPr>
      <w:r w:rsidRPr="00C64E0C">
        <w:rPr>
          <w:rFonts w:ascii="Book Antiqua" w:hAnsi="Book Antiqua"/>
        </w:rPr>
        <w:t>Discapacidad.</w:t>
      </w:r>
    </w:p>
    <w:p w14:paraId="6D2DA7F7" w14:textId="77777777" w:rsidR="00C64E0C" w:rsidRDefault="00C64E0C" w:rsidP="00C64E0C">
      <w:pPr>
        <w:pStyle w:val="ListParagraph"/>
        <w:numPr>
          <w:ilvl w:val="1"/>
          <w:numId w:val="27"/>
        </w:numPr>
        <w:jc w:val="both"/>
        <w:rPr>
          <w:rFonts w:ascii="Book Antiqua" w:hAnsi="Book Antiqua"/>
        </w:rPr>
      </w:pPr>
      <w:r w:rsidRPr="00C64E0C">
        <w:rPr>
          <w:rFonts w:ascii="Book Antiqua" w:hAnsi="Book Antiqua"/>
        </w:rPr>
        <w:t>Dependencia.</w:t>
      </w:r>
    </w:p>
    <w:p w14:paraId="0E768216" w14:textId="77777777" w:rsidR="00C64E0C" w:rsidRDefault="00C64E0C" w:rsidP="00C64E0C">
      <w:pPr>
        <w:pStyle w:val="ListParagraph"/>
        <w:numPr>
          <w:ilvl w:val="1"/>
          <w:numId w:val="27"/>
        </w:numPr>
        <w:jc w:val="both"/>
        <w:rPr>
          <w:rFonts w:ascii="Book Antiqua" w:hAnsi="Book Antiqua"/>
        </w:rPr>
      </w:pPr>
      <w:r w:rsidRPr="00C64E0C">
        <w:rPr>
          <w:rFonts w:ascii="Book Antiqua" w:hAnsi="Book Antiqua"/>
        </w:rPr>
        <w:t>Caracterización Socio-económica (Serie CASEN).</w:t>
      </w:r>
    </w:p>
    <w:p w14:paraId="44677CDE" w14:textId="77777777" w:rsidR="00C64E0C" w:rsidRDefault="00C64E0C" w:rsidP="00C64E0C">
      <w:pPr>
        <w:pStyle w:val="ListParagraph"/>
        <w:numPr>
          <w:ilvl w:val="1"/>
          <w:numId w:val="27"/>
        </w:numPr>
        <w:jc w:val="both"/>
        <w:rPr>
          <w:rFonts w:ascii="Book Antiqua" w:hAnsi="Book Antiqua"/>
        </w:rPr>
      </w:pPr>
      <w:r w:rsidRPr="00C64E0C">
        <w:rPr>
          <w:rFonts w:ascii="Book Antiqua" w:hAnsi="Book Antiqua"/>
        </w:rPr>
        <w:t>Encuestas de Salud (Encuesta Nacional de Salud y Encuesta de Calidad de Vida y Salud).</w:t>
      </w:r>
    </w:p>
    <w:p w14:paraId="461F9FE9" w14:textId="77777777" w:rsidR="00C64E0C" w:rsidRDefault="00C64E0C" w:rsidP="00C64E0C">
      <w:pPr>
        <w:pStyle w:val="ListParagraph"/>
        <w:numPr>
          <w:ilvl w:val="1"/>
          <w:numId w:val="27"/>
        </w:numPr>
        <w:jc w:val="both"/>
        <w:rPr>
          <w:rFonts w:ascii="Book Antiqua" w:hAnsi="Book Antiqua"/>
        </w:rPr>
      </w:pPr>
      <w:r w:rsidRPr="00C64E0C">
        <w:rPr>
          <w:rFonts w:ascii="Book Antiqua" w:hAnsi="Book Antiqua"/>
        </w:rPr>
        <w:t>Encuesta de Calidad de Vida en la Vejez.</w:t>
      </w:r>
    </w:p>
    <w:p w14:paraId="31B6AEB6" w14:textId="2A0888BF" w:rsidR="00C64E0C" w:rsidRDefault="00C64E0C" w:rsidP="00C64E0C">
      <w:pPr>
        <w:pStyle w:val="ListParagraph"/>
        <w:numPr>
          <w:ilvl w:val="1"/>
          <w:numId w:val="27"/>
        </w:numPr>
        <w:jc w:val="both"/>
        <w:rPr>
          <w:rFonts w:ascii="Book Antiqua" w:hAnsi="Book Antiqua"/>
        </w:rPr>
      </w:pPr>
      <w:r w:rsidRPr="00C64E0C">
        <w:rPr>
          <w:rFonts w:ascii="Book Antiqua" w:hAnsi="Book Antiqua"/>
        </w:rPr>
        <w:t>Encuesta de Inclusión y Exclusión Social de las Personas Mayores.</w:t>
      </w:r>
    </w:p>
    <w:p w14:paraId="2472BF83" w14:textId="25629686" w:rsidR="00C64E0C" w:rsidRDefault="00C64E0C" w:rsidP="00C64E0C">
      <w:pPr>
        <w:jc w:val="both"/>
        <w:rPr>
          <w:rFonts w:ascii="Book Antiqua" w:hAnsi="Book Antiqua"/>
          <w:i/>
          <w:sz w:val="24"/>
          <w:szCs w:val="24"/>
        </w:rPr>
      </w:pPr>
      <w:r w:rsidRPr="00C64E0C">
        <w:rPr>
          <w:rFonts w:ascii="Book Antiqua" w:hAnsi="Book Antiqua"/>
          <w:i/>
          <w:sz w:val="24"/>
          <w:szCs w:val="24"/>
        </w:rPr>
        <w:t>3.</w:t>
      </w:r>
      <w:r>
        <w:rPr>
          <w:rFonts w:ascii="Book Antiqua" w:hAnsi="Book Antiqua"/>
          <w:i/>
          <w:sz w:val="24"/>
          <w:szCs w:val="24"/>
        </w:rPr>
        <w:t xml:space="preserve"> </w:t>
      </w:r>
      <w:r w:rsidRPr="00C64E0C">
        <w:rPr>
          <w:rFonts w:ascii="Book Antiqua" w:hAnsi="Book Antiqua"/>
          <w:i/>
          <w:sz w:val="24"/>
          <w:szCs w:val="24"/>
        </w:rPr>
        <w:t>Sírvase indicar cómo participan las mujeres de edad en los mecanismos de participación.</w:t>
      </w:r>
    </w:p>
    <w:p w14:paraId="53FCFDBB" w14:textId="73954632" w:rsidR="00C64E0C" w:rsidRDefault="00C64E0C" w:rsidP="00C64E0C">
      <w:pPr>
        <w:ind w:hanging="2"/>
        <w:jc w:val="both"/>
        <w:rPr>
          <w:rFonts w:ascii="Book Antiqua" w:hAnsi="Book Antiqua"/>
        </w:rPr>
      </w:pPr>
      <w:r w:rsidRPr="00C64E0C">
        <w:rPr>
          <w:rFonts w:ascii="Book Antiqua" w:hAnsi="Book Antiqua"/>
        </w:rPr>
        <w:t xml:space="preserve">En el mecanismo de participación ciudadana Consejos de la Sociedad Civil, que en el caso particular del Servicio Nacional del Adulto Mayor corresponde a los Consejos Asesores Regionales de Mayores </w:t>
      </w:r>
      <w:r w:rsidRPr="00C64E0C">
        <w:rPr>
          <w:rFonts w:ascii="Book Antiqua" w:hAnsi="Book Antiqua"/>
        </w:rPr>
        <w:lastRenderedPageBreak/>
        <w:t>de las 16 regiones del país, la participación de mujeres mayores alcanza un 61% respecto del total nacional de Consejeros y Consejeras. De los 266 representantes legales de organizaciones de mayores que integran los Consejos, 162 son dirigentas mayores. Lo anterior, evidencia una participación activa y protagónica de mujeres mayores en instancias de participación ciudadana, lo que también se refleja en su participación en organizaciones de la sociedad civil, donde un 38,4% de las mujeres mayores participa en alguna organización, respecto del 31,7% de participación de hombres mayores (Casen 2017).</w:t>
      </w:r>
    </w:p>
    <w:p w14:paraId="40B2DE81" w14:textId="7D6E56F8" w:rsidR="00C64E0C" w:rsidRDefault="00C64E0C" w:rsidP="00C64E0C">
      <w:pPr>
        <w:ind w:hanging="2"/>
        <w:jc w:val="both"/>
        <w:rPr>
          <w:rFonts w:ascii="Book Antiqua" w:hAnsi="Book Antiqua"/>
          <w:b/>
          <w:sz w:val="24"/>
          <w:szCs w:val="24"/>
        </w:rPr>
      </w:pPr>
      <w:r>
        <w:rPr>
          <w:rFonts w:ascii="Book Antiqua" w:hAnsi="Book Antiqua"/>
          <w:b/>
          <w:sz w:val="24"/>
          <w:szCs w:val="24"/>
        </w:rPr>
        <w:t>Realidades económicos, sociales y culturales que viven las mujeres de edad</w:t>
      </w:r>
    </w:p>
    <w:p w14:paraId="0D0B63F4" w14:textId="11EB1BE9" w:rsidR="00C64E0C" w:rsidRDefault="00C64E0C" w:rsidP="00B54BB1">
      <w:pPr>
        <w:spacing w:after="0" w:line="360" w:lineRule="auto"/>
        <w:jc w:val="both"/>
        <w:rPr>
          <w:rFonts w:ascii="Book Antiqua" w:hAnsi="Book Antiqua"/>
          <w:i/>
          <w:sz w:val="24"/>
          <w:szCs w:val="24"/>
        </w:rPr>
      </w:pPr>
      <w:r>
        <w:rPr>
          <w:rFonts w:ascii="Book Antiqua" w:hAnsi="Book Antiqua"/>
          <w:i/>
          <w:sz w:val="24"/>
          <w:szCs w:val="24"/>
        </w:rPr>
        <w:t xml:space="preserve">4. </w:t>
      </w:r>
      <w:r w:rsidRPr="00C64E0C">
        <w:rPr>
          <w:rFonts w:ascii="Book Antiqua" w:hAnsi="Book Antiqua"/>
          <w:i/>
          <w:sz w:val="24"/>
          <w:szCs w:val="24"/>
        </w:rPr>
        <w:t>¿Cuáles son los problemas y preocupaciones específicos que enfrentan las mujeres de edad, incluso sobre la base de la experiencia de vida acumulada en comparación con los hombres de edad, en el disfrute de los derechos económicos, sociales y culturales (por ejemplo, en lo que respecta a la protección social, la salud, la educación, el trabajo, el nivel de vida adecuado y la propiedad de tierras y bienes)? Sírvase proporcionar datos y estadísticas, incluidos datos desglosados, cuando se disponga de ellos.</w:t>
      </w:r>
    </w:p>
    <w:p w14:paraId="69EF68DD" w14:textId="482A1800" w:rsidR="00C64E0C" w:rsidRDefault="00C64E0C" w:rsidP="00C64E0C">
      <w:pPr>
        <w:pStyle w:val="ListParagraph"/>
        <w:numPr>
          <w:ilvl w:val="0"/>
          <w:numId w:val="28"/>
        </w:numPr>
        <w:jc w:val="both"/>
        <w:rPr>
          <w:rFonts w:ascii="Book Antiqua" w:hAnsi="Book Antiqua"/>
        </w:rPr>
      </w:pPr>
      <w:r w:rsidRPr="00C64E0C">
        <w:rPr>
          <w:rFonts w:ascii="Book Antiqua" w:hAnsi="Book Antiqua"/>
        </w:rPr>
        <w:t>Incertidumbre con el futuro. Esta incertidumbre se sustenta en la disminución de las redes de apoyo y del soporte económico. En el caso de las mujeres mayores</w:t>
      </w:r>
      <w:r w:rsidR="00B54BB1">
        <w:rPr>
          <w:rFonts w:ascii="Book Antiqua" w:hAnsi="Book Antiqua"/>
        </w:rPr>
        <w:t xml:space="preserve">, </w:t>
      </w:r>
      <w:r w:rsidRPr="00C64E0C">
        <w:rPr>
          <w:rFonts w:ascii="Book Antiqua" w:hAnsi="Book Antiqua"/>
        </w:rPr>
        <w:t>al ser más longevas que los hombres</w:t>
      </w:r>
      <w:r w:rsidR="00B54BB1">
        <w:rPr>
          <w:rFonts w:ascii="Book Antiqua" w:hAnsi="Book Antiqua"/>
        </w:rPr>
        <w:t>,</w:t>
      </w:r>
      <w:r w:rsidRPr="00C64E0C">
        <w:rPr>
          <w:rFonts w:ascii="Book Antiqua" w:hAnsi="Book Antiqua"/>
        </w:rPr>
        <w:t xml:space="preserve"> aumenta las posibilidades de vivir en situación de dependencia, lo que se puede traducir en perdida de redes de apoyo y soporte para el desarrollo de actividades de la vida diaria. De acuerdo a CASEN 2017, un 14,2% del total de las personas mayores presentan algún grado de dependencia, entre los hombres esta condición afecta al 10,8% y entre las mujeres la prevalencia es del 16,9%. </w:t>
      </w:r>
    </w:p>
    <w:p w14:paraId="1D2E4A99" w14:textId="2485D6E5" w:rsidR="00C64E0C" w:rsidRDefault="00C64E0C" w:rsidP="00C64E0C">
      <w:pPr>
        <w:pStyle w:val="ListParagraph"/>
        <w:numPr>
          <w:ilvl w:val="0"/>
          <w:numId w:val="28"/>
        </w:numPr>
        <w:jc w:val="both"/>
        <w:rPr>
          <w:rFonts w:ascii="Book Antiqua" w:hAnsi="Book Antiqua"/>
        </w:rPr>
      </w:pPr>
      <w:r w:rsidRPr="00C64E0C">
        <w:rPr>
          <w:rFonts w:ascii="Book Antiqua" w:hAnsi="Book Antiqua"/>
        </w:rPr>
        <w:t>La responsabilidad en el apoyo y cuidado familiar, en ocasiones dejando de lado su propio autocuidado. En esta perspectiva, respecto del acceso a cuidados, las personas mayores con dependencia que dicen no recibir ayuda por parte de alguna persona del hogar son 64.52</w:t>
      </w:r>
      <w:r w:rsidR="00B54BB1">
        <w:rPr>
          <w:rFonts w:ascii="Book Antiqua" w:hAnsi="Book Antiqua"/>
        </w:rPr>
        <w:t xml:space="preserve">; </w:t>
      </w:r>
      <w:r w:rsidRPr="00C64E0C">
        <w:rPr>
          <w:rFonts w:ascii="Book Antiqua" w:hAnsi="Book Antiqua"/>
        </w:rPr>
        <w:t xml:space="preserve"> de estas</w:t>
      </w:r>
      <w:r w:rsidR="00B54BB1">
        <w:rPr>
          <w:rFonts w:ascii="Book Antiqua" w:hAnsi="Book Antiqua"/>
        </w:rPr>
        <w:t xml:space="preserve">, </w:t>
      </w:r>
      <w:r w:rsidRPr="00C64E0C">
        <w:rPr>
          <w:rFonts w:ascii="Book Antiqua" w:hAnsi="Book Antiqua"/>
        </w:rPr>
        <w:t xml:space="preserve">el 74,2% corresponden a mujeres. </w:t>
      </w:r>
    </w:p>
    <w:p w14:paraId="0891B751" w14:textId="354BCF36" w:rsidR="00C64E0C" w:rsidRDefault="00C64E0C" w:rsidP="00C64E0C">
      <w:pPr>
        <w:pStyle w:val="ListParagraph"/>
        <w:numPr>
          <w:ilvl w:val="0"/>
          <w:numId w:val="28"/>
        </w:numPr>
        <w:jc w:val="both"/>
        <w:rPr>
          <w:rFonts w:ascii="Book Antiqua" w:hAnsi="Book Antiqua"/>
        </w:rPr>
      </w:pPr>
      <w:r w:rsidRPr="00C64E0C">
        <w:rPr>
          <w:rFonts w:ascii="Book Antiqua" w:hAnsi="Book Antiqua"/>
        </w:rPr>
        <w:t xml:space="preserve">Presencia de estereotipos de edad. Los estereotipos aumentan el riesgo de sufrir algún tipo de discriminación, ya sea en forma de actitudes, prácticas o políticas, que perpetúan representaciones que desvalorizan esta etapa del ciclo de vida. Una imagen social negativa, con un rol difuso en cuanto a la posible contribución de las personas mayores a la sociedad, forma parte de las definiciones desde las cuales las personas mayores pueden asumir su función para con la comunidad, lo que los </w:t>
      </w:r>
      <w:r w:rsidR="00B54BB1">
        <w:rPr>
          <w:rFonts w:ascii="Book Antiqua" w:hAnsi="Book Antiqua"/>
        </w:rPr>
        <w:t>posiciona</w:t>
      </w:r>
      <w:r w:rsidRPr="00C64E0C">
        <w:rPr>
          <w:rFonts w:ascii="Book Antiqua" w:hAnsi="Book Antiqua"/>
        </w:rPr>
        <w:t xml:space="preserve"> en una </w:t>
      </w:r>
      <w:r w:rsidR="00B54BB1">
        <w:rPr>
          <w:rFonts w:ascii="Book Antiqua" w:hAnsi="Book Antiqua"/>
        </w:rPr>
        <w:t>situación</w:t>
      </w:r>
      <w:r w:rsidRPr="00C64E0C">
        <w:rPr>
          <w:rFonts w:ascii="Book Antiqua" w:hAnsi="Book Antiqua"/>
        </w:rPr>
        <w:t xml:space="preserve"> de desventaja respecto los otros grupos sociales que tienen definido un rol más claro y de contribución para el desarrollo social, principalmente en lo económico. De acuerdo con la Quinta Encuesta de Inclusión y Exclusión de las Personas Mayores, encuesta que se aplicó a personas de 18 años o más (SENAMA, 2017) respecto de la pregunta ¿</w:t>
      </w:r>
      <w:r w:rsidRPr="00B54BB1">
        <w:rPr>
          <w:rFonts w:ascii="Book Antiqua" w:hAnsi="Book Antiqua"/>
          <w:i/>
          <w:iCs/>
        </w:rPr>
        <w:t>Diría usted que, mayoritariamente, los adultos mayores pueden valerse por sí mismos, o que mayoritariamente no pueden valerse por sí mismos</w:t>
      </w:r>
      <w:r w:rsidRPr="00C64E0C">
        <w:rPr>
          <w:rFonts w:ascii="Book Antiqua" w:hAnsi="Book Antiqua"/>
        </w:rPr>
        <w:t xml:space="preserve">?, un </w:t>
      </w:r>
      <w:r w:rsidRPr="00C64E0C">
        <w:rPr>
          <w:rFonts w:ascii="Book Antiqua" w:hAnsi="Book Antiqua"/>
        </w:rPr>
        <w:lastRenderedPageBreak/>
        <w:t>68% de los encuestados respondió que las personas mayores no pueden valerse por sí mismos. Sin embargo, según datos de la CASEN 2017, la mayoría de las personas mayores en Chile son autovalentes (85,8%).</w:t>
      </w:r>
    </w:p>
    <w:p w14:paraId="6732AC79" w14:textId="510DB201" w:rsidR="00C64E0C" w:rsidRDefault="00C64E0C" w:rsidP="00C64E0C">
      <w:pPr>
        <w:pStyle w:val="ListParagraph"/>
        <w:numPr>
          <w:ilvl w:val="0"/>
          <w:numId w:val="28"/>
        </w:numPr>
        <w:jc w:val="both"/>
        <w:rPr>
          <w:rFonts w:ascii="Book Antiqua" w:hAnsi="Book Antiqua"/>
        </w:rPr>
      </w:pPr>
      <w:r w:rsidRPr="00C64E0C">
        <w:rPr>
          <w:rFonts w:ascii="Book Antiqua" w:hAnsi="Book Antiqua"/>
        </w:rPr>
        <w:t>Manejo y acceso a nuevas tecnologías. La inclusión digital permite mantenerse participando e informado de las distintas esferas sociales. Muchas personas mayores quedan al margen de ciertos canales digitales. Éstos ofrecen oportunidades, pero no para todos por igual, siendo un problema si la mayoría de la información sobre oferta o trámites se ha digitalizado. La Superintendencia de Salud (2009) señala sobre usuarios de portal web o telefónico que existe una baja adherencia de las personas mayores en consultas Web (6%). Por su parte, de acuerdo al reporte SIAC SENAMA</w:t>
      </w:r>
      <w:r w:rsidR="00B54BB1">
        <w:rPr>
          <w:rFonts w:ascii="Book Antiqua" w:hAnsi="Book Antiqua"/>
        </w:rPr>
        <w:t>,</w:t>
      </w:r>
      <w:r w:rsidRPr="00C64E0C">
        <w:rPr>
          <w:rFonts w:ascii="Book Antiqua" w:hAnsi="Book Antiqua"/>
        </w:rPr>
        <w:t xml:space="preserve"> a mayo 2020, un 72% de los llamados son realizados por mujeres. También la Superintendencia de Pensiones indica que las mujeres realizan más trámites telefónicos (71%), identificándose brechas de género en el uso de canales tecnológicos y respondiendo también al rol de abocarse al cuidado o quehaceres de los demás. La sociedad actual ha llevado el desarrollo de programas de información o la realización de trámites a través de plataformas digitales u otros mecanismos modernos, lo que deja al margen del uso de estos medios a las personas mayores, afectando más a las mujeres, dado que son</w:t>
      </w:r>
      <w:r w:rsidR="00DD77EE">
        <w:rPr>
          <w:rFonts w:ascii="Book Antiqua" w:hAnsi="Book Antiqua"/>
        </w:rPr>
        <w:t xml:space="preserve"> mayoritariamente</w:t>
      </w:r>
      <w:r w:rsidRPr="00C64E0C">
        <w:rPr>
          <w:rFonts w:ascii="Book Antiqua" w:hAnsi="Book Antiqua"/>
        </w:rPr>
        <w:t xml:space="preserve"> ellas</w:t>
      </w:r>
      <w:r w:rsidR="00DD77EE">
        <w:rPr>
          <w:rFonts w:ascii="Book Antiqua" w:hAnsi="Book Antiqua"/>
        </w:rPr>
        <w:t xml:space="preserve"> las que</w:t>
      </w:r>
      <w:r w:rsidRPr="00C64E0C">
        <w:rPr>
          <w:rFonts w:ascii="Book Antiqua" w:hAnsi="Book Antiqua"/>
        </w:rPr>
        <w:t xml:space="preserve"> se encargan de la realización de trámites de sus familias, pago de cuentas, entre otros.  </w:t>
      </w:r>
    </w:p>
    <w:p w14:paraId="039A7ECF" w14:textId="2C722DBF" w:rsidR="00C64E0C" w:rsidRDefault="00C64E0C" w:rsidP="00C64E0C">
      <w:pPr>
        <w:pStyle w:val="ListParagraph"/>
        <w:numPr>
          <w:ilvl w:val="0"/>
          <w:numId w:val="28"/>
        </w:numPr>
        <w:jc w:val="both"/>
        <w:rPr>
          <w:rFonts w:ascii="Book Antiqua" w:hAnsi="Book Antiqua"/>
        </w:rPr>
      </w:pPr>
      <w:r w:rsidRPr="00C64E0C">
        <w:rPr>
          <w:rFonts w:ascii="Book Antiqua" w:hAnsi="Book Antiqua"/>
        </w:rPr>
        <w:t>Brechas de ingreso económico. Los hombres en promedio percibirían un monto de $278.763 pesos. Este monto entre las mujeres es de $205.575.  En este sentido las mujeres no tan solo viven más años y presentan una mayor probabilidad de presentar dependencia funcional, sino que también tienen que afrontar la vejez con menores recursos. Dado que las mujeres reciben menores ingresos en contraste a que viven más años y suelen presentar mayor dependencia, se destacan barreras para poder acceder a servicios y tener una calidad de vida en mejores condiciones, sobre todo para aquellas que no están insertas en la seguridad social o bien que desean llevar actividades de ocio, esparcimiento y cultura, y que en condición de autovalencia desean realizar, pero se ven limitadas. En una sociedad de consumo y de producción, el grupo de mujeres mayores queda excluida como grupo objetivo de la venta de productos, porque culturalmente se les ve como un grupo vulnerable, sin mayor poder de compra.</w:t>
      </w:r>
    </w:p>
    <w:p w14:paraId="3351C39E" w14:textId="4288E999" w:rsidR="00C64E0C" w:rsidRDefault="00C64E0C" w:rsidP="00D93F6F">
      <w:pPr>
        <w:spacing w:afterLines="20" w:after="48" w:line="360" w:lineRule="auto"/>
        <w:jc w:val="both"/>
        <w:rPr>
          <w:rFonts w:ascii="Book Antiqua" w:hAnsi="Book Antiqua"/>
          <w:i/>
          <w:sz w:val="24"/>
          <w:szCs w:val="24"/>
        </w:rPr>
      </w:pPr>
      <w:r w:rsidRPr="00C64E0C">
        <w:rPr>
          <w:rFonts w:ascii="Book Antiqua" w:hAnsi="Book Antiqua"/>
          <w:i/>
          <w:sz w:val="24"/>
          <w:szCs w:val="24"/>
        </w:rPr>
        <w:t>5. ¿Qué formas de discriminación y desigualdad basadas en el género que experimentan las mujeres a lo largo del ciclo de vida repercuten especialmente en el disfrute de sus derechos en la vejez?</w:t>
      </w:r>
    </w:p>
    <w:p w14:paraId="7356EA38" w14:textId="77777777" w:rsidR="00C64E0C" w:rsidRPr="00C64E0C" w:rsidRDefault="00C64E0C" w:rsidP="000269E1">
      <w:pPr>
        <w:spacing w:afterLines="20" w:after="48"/>
        <w:jc w:val="both"/>
        <w:rPr>
          <w:rFonts w:ascii="Book Antiqua" w:hAnsi="Book Antiqua"/>
        </w:rPr>
      </w:pPr>
      <w:r w:rsidRPr="00C64E0C">
        <w:rPr>
          <w:rFonts w:ascii="Book Antiqua" w:hAnsi="Book Antiqua"/>
        </w:rPr>
        <w:t>Al igual que el género, la vejez puede comprenderse como una construcción social, situada y contextuada, que involucra la asignación de roles y hábitos de acuerdo con la edad y las normas socioculturales (Aguirre Cuns y Scavino Solari, 2016; Salgado-de Snyder y Wong, 2007).</w:t>
      </w:r>
    </w:p>
    <w:p w14:paraId="68645DED" w14:textId="5423E55F" w:rsidR="00C64E0C" w:rsidRPr="00C64E0C" w:rsidRDefault="00C64E0C" w:rsidP="00DD77EE">
      <w:pPr>
        <w:spacing w:afterLines="20" w:after="48"/>
        <w:jc w:val="both"/>
        <w:rPr>
          <w:rFonts w:ascii="Book Antiqua" w:hAnsi="Book Antiqua"/>
        </w:rPr>
      </w:pPr>
      <w:r w:rsidRPr="00C64E0C">
        <w:rPr>
          <w:rFonts w:ascii="Book Antiqua" w:hAnsi="Book Antiqua"/>
        </w:rPr>
        <w:t>A lo largo del ciclo vital</w:t>
      </w:r>
      <w:r w:rsidR="00DD77EE">
        <w:rPr>
          <w:rFonts w:ascii="Book Antiqua" w:hAnsi="Book Antiqua"/>
        </w:rPr>
        <w:t>,</w:t>
      </w:r>
      <w:r w:rsidRPr="00C64E0C">
        <w:rPr>
          <w:rFonts w:ascii="Book Antiqua" w:hAnsi="Book Antiqua"/>
        </w:rPr>
        <w:t xml:space="preserve"> las mujeres que hoy son mayores de 60 años acumulan desventajas a partir de la educación desigual, la inequidad salarial y los obstáculos en el desarrollo laboral. Esto acentúa barreras y brechas durante la vejez. Además, desde la perspectiva de la interseccionalidad, no todas </w:t>
      </w:r>
      <w:r w:rsidRPr="00C64E0C">
        <w:rPr>
          <w:rFonts w:ascii="Book Antiqua" w:hAnsi="Book Antiqua"/>
        </w:rPr>
        <w:lastRenderedPageBreak/>
        <w:t xml:space="preserve">las mujeres mayores enfrentan las mismas desigualdades o discriminaciones. No es lo mismo ser una mujer mayor negra, o migrante, o con discapacidad, ya que a estas se suman otras desigualdades y discriminación a lo largo de su vida. </w:t>
      </w:r>
    </w:p>
    <w:p w14:paraId="6D744967" w14:textId="77777777" w:rsidR="00C64E0C" w:rsidRPr="00C64E0C" w:rsidRDefault="00C64E0C" w:rsidP="00DD77EE">
      <w:pPr>
        <w:spacing w:afterLines="20" w:after="48"/>
        <w:jc w:val="both"/>
        <w:rPr>
          <w:rFonts w:ascii="Book Antiqua" w:hAnsi="Book Antiqua"/>
        </w:rPr>
      </w:pPr>
      <w:r w:rsidRPr="00C64E0C">
        <w:rPr>
          <w:rFonts w:ascii="Book Antiqua" w:hAnsi="Book Antiqua"/>
        </w:rPr>
        <w:t xml:space="preserve">Otra realidad que se visibiliza es la cristalización de prácticas o comportamientos homogéneos para el cumplimiento de normas o expectativas a lo largo del ciclo vital, patrones que muchas veces se encuentran el conflicto con los deseos y expectativas personales. </w:t>
      </w:r>
    </w:p>
    <w:p w14:paraId="2130DB5F" w14:textId="77777777" w:rsidR="00C64E0C" w:rsidRPr="00C64E0C" w:rsidRDefault="00C64E0C" w:rsidP="00DD77EE">
      <w:pPr>
        <w:spacing w:after="20"/>
        <w:jc w:val="both"/>
        <w:rPr>
          <w:rFonts w:ascii="Book Antiqua" w:hAnsi="Book Antiqua"/>
        </w:rPr>
      </w:pPr>
      <w:r w:rsidRPr="00C64E0C">
        <w:rPr>
          <w:rFonts w:ascii="Book Antiqua" w:hAnsi="Book Antiqua"/>
        </w:rPr>
        <w:t xml:space="preserve">Lo anterior, sumado a las tareas de cuidado llevan repercusiones en salud mental y un desgaste emocional mayor, implicando además una sobre patologización de la vejez, asumiéndose culturalmente como una etapa de pérdidas y desgaste, afectando la propia autopercepción. </w:t>
      </w:r>
    </w:p>
    <w:p w14:paraId="6A5C952A" w14:textId="129E928A" w:rsidR="00C64E0C" w:rsidRPr="00C64E0C" w:rsidRDefault="00C64E0C" w:rsidP="00DD77EE">
      <w:pPr>
        <w:spacing w:after="20"/>
        <w:jc w:val="both"/>
        <w:rPr>
          <w:rFonts w:ascii="Book Antiqua" w:hAnsi="Book Antiqua"/>
        </w:rPr>
      </w:pPr>
      <w:r w:rsidRPr="00C64E0C">
        <w:rPr>
          <w:rFonts w:ascii="Book Antiqua" w:hAnsi="Book Antiqua"/>
        </w:rPr>
        <w:t>La situación de desventaja en cuanto a las condiciones de salud que sufren muchas mujeres mayores, también impide el disfrute de los derechos en las mujeres de edad</w:t>
      </w:r>
      <w:r w:rsidR="00DD77EE">
        <w:rPr>
          <w:rFonts w:ascii="Book Antiqua" w:hAnsi="Book Antiqua"/>
        </w:rPr>
        <w:t>.</w:t>
      </w:r>
    </w:p>
    <w:p w14:paraId="7CD35B4C" w14:textId="77777777" w:rsidR="00C64E0C" w:rsidRPr="00C64E0C" w:rsidRDefault="00C64E0C" w:rsidP="00DD77EE">
      <w:pPr>
        <w:spacing w:after="20"/>
        <w:jc w:val="both"/>
        <w:rPr>
          <w:rFonts w:ascii="Book Antiqua" w:hAnsi="Book Antiqua"/>
        </w:rPr>
      </w:pPr>
      <w:r w:rsidRPr="00C64E0C">
        <w:rPr>
          <w:rFonts w:ascii="Book Antiqua" w:hAnsi="Book Antiqua"/>
        </w:rPr>
        <w:t xml:space="preserve">A lo ya señalado respecto a la dependencia funcional, se suman algunos datos de Estructura de Gasto y Perfil de Ingresos de los Adultos Mayores en Chile (CIPEM 2019) señalan que los adultos mayores tienen un gasto promedio mensual en salud de $ 62.000 pesos. De los $62.000 pesos, $25.000 se gastan en medicamentos. Las mujeres gastan casi tres veces más en salud que los hombres. </w:t>
      </w:r>
    </w:p>
    <w:p w14:paraId="55BE2282" w14:textId="2A237DE3" w:rsidR="00DD77EE" w:rsidRDefault="00C64E0C" w:rsidP="00DD77EE">
      <w:pPr>
        <w:spacing w:after="20"/>
        <w:jc w:val="both"/>
        <w:rPr>
          <w:rFonts w:ascii="Book Antiqua" w:hAnsi="Book Antiqua"/>
        </w:rPr>
      </w:pPr>
      <w:r w:rsidRPr="00C64E0C">
        <w:rPr>
          <w:rFonts w:ascii="Book Antiqua" w:hAnsi="Book Antiqua"/>
        </w:rPr>
        <w:t xml:space="preserve">Las desigualdades en el sistema económico es otra esfera en la que las mujeres mayores verifican mayor precariedad. Las mujeres viven cada vez más que los </w:t>
      </w:r>
      <w:r w:rsidR="00907EE8" w:rsidRPr="00C64E0C">
        <w:rPr>
          <w:rFonts w:ascii="Book Antiqua" w:hAnsi="Book Antiqua"/>
        </w:rPr>
        <w:t>hombres, y</w:t>
      </w:r>
      <w:r w:rsidRPr="00C64E0C">
        <w:rPr>
          <w:rFonts w:ascii="Book Antiqua" w:hAnsi="Book Antiqua"/>
        </w:rPr>
        <w:t xml:space="preserve"> es en la vejez cuando pagan el costo de la educación desigual, la inequidad salarial y los obstáculos en el desarrollo laboral, que las marginan de mayores oportunidades. Históricamente, el trabajo no remunerado ha carecido de reconocimiento social y su distribución no ha sido equitativa, dependiendo de muchos factores, entre ellos, la edad y el género (OIT, 2009). Lo que limita el disfrute de los derechos es la precarización económica, la sobreprotección, conductas paternalistas, la limitación de acceso a créditos o préstamos bancarios, entre otros.  </w:t>
      </w:r>
    </w:p>
    <w:p w14:paraId="53E598CB" w14:textId="77777777" w:rsidR="00DD77EE" w:rsidRDefault="00DD77EE" w:rsidP="00DD77EE">
      <w:pPr>
        <w:spacing w:after="20"/>
        <w:jc w:val="both"/>
        <w:rPr>
          <w:rFonts w:ascii="Book Antiqua" w:hAnsi="Book Antiqua"/>
        </w:rPr>
      </w:pPr>
    </w:p>
    <w:p w14:paraId="07884D77" w14:textId="7A3EBD00" w:rsidR="00143458" w:rsidRDefault="00143458" w:rsidP="00D93F6F">
      <w:pPr>
        <w:spacing w:after="20" w:line="360" w:lineRule="auto"/>
        <w:jc w:val="both"/>
        <w:rPr>
          <w:rFonts w:ascii="Book Antiqua" w:hAnsi="Book Antiqua"/>
          <w:i/>
          <w:sz w:val="24"/>
          <w:szCs w:val="24"/>
        </w:rPr>
      </w:pPr>
      <w:r w:rsidRPr="00143458">
        <w:rPr>
          <w:rFonts w:ascii="Book Antiqua" w:hAnsi="Book Antiqua"/>
          <w:i/>
          <w:sz w:val="24"/>
          <w:szCs w:val="24"/>
        </w:rPr>
        <w:t>6. ¿Ha afectado la pandemia del virus COVID 19 a las mujeres de edad de manera diferente que a los hombres de edad y de qué manera?</w:t>
      </w:r>
    </w:p>
    <w:p w14:paraId="6DC4F391" w14:textId="77777777" w:rsidR="00143458" w:rsidRPr="00143458" w:rsidRDefault="00143458" w:rsidP="00DD77EE">
      <w:pPr>
        <w:spacing w:after="20"/>
        <w:jc w:val="both"/>
        <w:rPr>
          <w:rFonts w:ascii="Book Antiqua" w:hAnsi="Book Antiqua"/>
        </w:rPr>
      </w:pPr>
      <w:r w:rsidRPr="00143458">
        <w:rPr>
          <w:rFonts w:ascii="Book Antiqua" w:hAnsi="Book Antiqua"/>
        </w:rPr>
        <w:t>El distanciamiento social, la cuarentena voluntaria, la cuarentena total obligatoria y la cuarentena sanitaria, sin duda están teniendo efectos psicológicos y sociales en las personas, sobre todo en las poblaciones más vulnerables y de mayor riesgo.</w:t>
      </w:r>
    </w:p>
    <w:p w14:paraId="37C0EA9D" w14:textId="77777777" w:rsidR="00143458" w:rsidRPr="00143458" w:rsidRDefault="00143458" w:rsidP="00DD77EE">
      <w:pPr>
        <w:spacing w:after="20"/>
        <w:jc w:val="both"/>
        <w:rPr>
          <w:rFonts w:ascii="Book Antiqua" w:hAnsi="Book Antiqua"/>
        </w:rPr>
      </w:pPr>
      <w:r w:rsidRPr="00143458">
        <w:rPr>
          <w:rFonts w:ascii="Book Antiqua" w:hAnsi="Book Antiqua"/>
        </w:rPr>
        <w:t>De esta manera, en un contexto en el que muchas personas mayores están sometidas a un aislamiento social indefinido -sobre todo aquellas que viven solas- sin posibilidad de participación social y muchos de ellos sin acceso a comunicarse mediante medios tecnológicos, es posible anticipar que la calidad de vida puede verse deteriorada significativamente. A esto se deben sumar los temores y angustia frente a la posibilidad de contagio, la enfermedad de personas cercanas y seres queridos, además de factores de vulnerabilidad como dependencia funcional, enfermedades crónicas y bajos ingresos.</w:t>
      </w:r>
    </w:p>
    <w:p w14:paraId="7EF55EAD" w14:textId="36182108" w:rsidR="00143458" w:rsidRPr="00143458" w:rsidRDefault="00143458" w:rsidP="00DD77EE">
      <w:pPr>
        <w:spacing w:after="20"/>
        <w:jc w:val="both"/>
        <w:rPr>
          <w:rFonts w:ascii="Book Antiqua" w:hAnsi="Book Antiqua"/>
        </w:rPr>
      </w:pPr>
      <w:r w:rsidRPr="00143458">
        <w:rPr>
          <w:rFonts w:ascii="Book Antiqua" w:hAnsi="Book Antiqua"/>
        </w:rPr>
        <w:lastRenderedPageBreak/>
        <w:t xml:space="preserve">Además, el grupo de personas mayores ha sido tradicionalmente excluido del disfrute de ciertos derechos y del acceso a condiciones de vida y materiales. Este grupo ha visto en muchos casos profundizadas sus desventajas y vulnerabilidades como consecuencia de la pandemia. </w:t>
      </w:r>
    </w:p>
    <w:p w14:paraId="34376506" w14:textId="77777777" w:rsidR="00143458" w:rsidRPr="00143458" w:rsidRDefault="00143458" w:rsidP="00DD77EE">
      <w:pPr>
        <w:spacing w:after="20"/>
        <w:jc w:val="both"/>
        <w:rPr>
          <w:rFonts w:ascii="Book Antiqua" w:hAnsi="Book Antiqua"/>
        </w:rPr>
      </w:pPr>
      <w:r w:rsidRPr="00143458">
        <w:rPr>
          <w:rFonts w:ascii="Book Antiqua" w:hAnsi="Book Antiqua"/>
        </w:rPr>
        <w:t>Estas desventajas han sido históricamente más intensas entre las mujeres que entre los hombres mayores, lo que también se ha visto potenciado durante la pandemia.</w:t>
      </w:r>
    </w:p>
    <w:p w14:paraId="299896E1" w14:textId="77777777" w:rsidR="00D93F6F" w:rsidRDefault="00143458" w:rsidP="00DD77EE">
      <w:pPr>
        <w:spacing w:after="20"/>
        <w:jc w:val="both"/>
        <w:rPr>
          <w:rFonts w:ascii="Book Antiqua" w:hAnsi="Book Antiqua"/>
        </w:rPr>
      </w:pPr>
      <w:r w:rsidRPr="00143458">
        <w:rPr>
          <w:rFonts w:ascii="Book Antiqua" w:hAnsi="Book Antiqua"/>
        </w:rPr>
        <w:t xml:space="preserve">En cuanto a los datos, resulta difícil precisar el impacto que están teniendo las medidas de prevención de contagio que se han tomado en la calidad de vida de las personas mayores. </w:t>
      </w:r>
      <w:r w:rsidR="00D93F6F">
        <w:rPr>
          <w:rFonts w:ascii="Book Antiqua" w:hAnsi="Book Antiqua"/>
        </w:rPr>
        <w:t xml:space="preserve"> </w:t>
      </w:r>
      <w:r w:rsidRPr="00143458">
        <w:rPr>
          <w:rFonts w:ascii="Book Antiqua" w:hAnsi="Book Antiqua"/>
        </w:rPr>
        <w:t>Las datos y estadísticas que se recogen son, como es atendible, en su mayoría epidemiológicos y clínicos, en orden de orientar a la población y monitorear indicadores claves del desarrollo de la pandemia, tomando las medidas sanitarias correspondientes.</w:t>
      </w:r>
      <w:r w:rsidR="00D93F6F">
        <w:rPr>
          <w:rFonts w:ascii="Book Antiqua" w:hAnsi="Book Antiqua"/>
        </w:rPr>
        <w:t xml:space="preserve"> </w:t>
      </w:r>
    </w:p>
    <w:p w14:paraId="0DA6EE9D" w14:textId="77777777" w:rsidR="00D93F6F" w:rsidRDefault="00143458" w:rsidP="00DD77EE">
      <w:pPr>
        <w:spacing w:after="20"/>
        <w:jc w:val="both"/>
        <w:rPr>
          <w:rFonts w:ascii="Book Antiqua" w:hAnsi="Book Antiqua"/>
        </w:rPr>
      </w:pPr>
      <w:r w:rsidRPr="00143458">
        <w:rPr>
          <w:rFonts w:ascii="Book Antiqua" w:hAnsi="Book Antiqua"/>
        </w:rPr>
        <w:t>Sin embargo, estrategias exitosas como el Fono Mayor, aportan información valiosa sobre los ámbitos de mayor demanda de las personas mayores, encontrándose diferencias según sexo.</w:t>
      </w:r>
      <w:r w:rsidR="00D93F6F">
        <w:rPr>
          <w:rFonts w:ascii="Book Antiqua" w:hAnsi="Book Antiqua"/>
        </w:rPr>
        <w:t xml:space="preserve"> </w:t>
      </w:r>
      <w:r w:rsidRPr="00143458">
        <w:rPr>
          <w:rFonts w:ascii="Book Antiqua" w:hAnsi="Book Antiqua"/>
        </w:rPr>
        <w:t>El Fono Mayor COVID-19 está orientado a prestar asistencia y orientación tanto a personas de 60 años o más, como también a la ciudadanía y redes intersectoriales, específicamente en contexto COVID-19 en Chile. Complementariamente, se puede obtener orientación e información general sobre trámites y beneficios priorizados en contexto de Covid- 19, como entrega de contención y soporte emocional telefónico a personas mayores, que, en el contexto de aislamiento físico, requieran de asesoría, escucha y orientación, entregando acompañamiento psicológico y derivación a redes especializadas e institucionales.</w:t>
      </w:r>
      <w:r w:rsidR="00D93F6F">
        <w:rPr>
          <w:rFonts w:ascii="Book Antiqua" w:hAnsi="Book Antiqua"/>
        </w:rPr>
        <w:t xml:space="preserve"> </w:t>
      </w:r>
    </w:p>
    <w:p w14:paraId="169768C2" w14:textId="74EBD0CD" w:rsidR="00143458" w:rsidRPr="00143458" w:rsidRDefault="00143458" w:rsidP="00DD77EE">
      <w:pPr>
        <w:spacing w:after="20"/>
        <w:jc w:val="both"/>
        <w:rPr>
          <w:rFonts w:ascii="Book Antiqua" w:hAnsi="Book Antiqua"/>
        </w:rPr>
      </w:pPr>
      <w:r w:rsidRPr="00143458">
        <w:rPr>
          <w:rFonts w:ascii="Book Antiqua" w:hAnsi="Book Antiqua"/>
        </w:rPr>
        <w:t>Es en este contexto en el que se han expresado muchas de las demandas y necesidades de las personas mayores, presentándose diferencias estadísticamente significativas según sexo.</w:t>
      </w:r>
      <w:r w:rsidR="00D93F6F">
        <w:rPr>
          <w:rFonts w:ascii="Book Antiqua" w:hAnsi="Book Antiqua"/>
        </w:rPr>
        <w:t xml:space="preserve"> </w:t>
      </w:r>
      <w:r w:rsidRPr="00143458">
        <w:rPr>
          <w:rFonts w:ascii="Book Antiqua" w:hAnsi="Book Antiqua"/>
        </w:rPr>
        <w:t>Las mujeres mayores han requerido más apoyo psicológico especializado, con un 80% de prestaciones de apoyo. Es importante resaltar que, al analizar el contenido de las llamadas, 1 de cada 2 personas atendidas manifiestan claros síntomas de deterioro de Salud Mental, tales como: angustia, crisis de ansiedad y/o de pánico, problemas del sueño, entre otras. Cabe indicar que, en un nivel más bajo, se aprecia la pérdida/duelo/soledad, los problemas relacionales, la preocupación por sus condiciones físicas/mentales y también con sus familiares.</w:t>
      </w:r>
      <w:r w:rsidR="00D93F6F">
        <w:rPr>
          <w:rFonts w:ascii="Book Antiqua" w:hAnsi="Book Antiqua"/>
        </w:rPr>
        <w:t xml:space="preserve"> </w:t>
      </w:r>
      <w:r w:rsidRPr="00143458">
        <w:rPr>
          <w:rFonts w:ascii="Book Antiqua" w:hAnsi="Book Antiqua"/>
        </w:rPr>
        <w:t>Las mujeres de 60 y más</w:t>
      </w:r>
      <w:r w:rsidR="00D93F6F">
        <w:rPr>
          <w:rFonts w:ascii="Book Antiqua" w:hAnsi="Book Antiqua"/>
        </w:rPr>
        <w:t>,</w:t>
      </w:r>
      <w:r w:rsidRPr="00143458">
        <w:rPr>
          <w:rFonts w:ascii="Book Antiqua" w:hAnsi="Book Antiqua"/>
        </w:rPr>
        <w:t xml:space="preserve"> a su vez, denunciaron una mayor proporción de situaciones de abandono, maltrato y violencia intrafamiliar. </w:t>
      </w:r>
    </w:p>
    <w:p w14:paraId="2906EA1C" w14:textId="0CCFA971" w:rsidR="00143458" w:rsidRDefault="00143458" w:rsidP="00D93F6F">
      <w:pPr>
        <w:spacing w:after="20"/>
        <w:jc w:val="both"/>
        <w:rPr>
          <w:rFonts w:ascii="Book Antiqua" w:hAnsi="Book Antiqua"/>
        </w:rPr>
      </w:pPr>
      <w:r w:rsidRPr="00143458">
        <w:rPr>
          <w:rFonts w:ascii="Book Antiqua" w:hAnsi="Book Antiqua"/>
        </w:rPr>
        <w:t xml:space="preserve">De esta manera, la información disponible muestra que el impacto psico-social de la pandemia ha sido mucho mayor entre las mujeres que entre los hombres.  </w:t>
      </w:r>
    </w:p>
    <w:p w14:paraId="15A41BFC" w14:textId="77777777" w:rsidR="00D93F6F" w:rsidRDefault="00D93F6F" w:rsidP="00D93F6F">
      <w:pPr>
        <w:spacing w:after="20"/>
        <w:jc w:val="both"/>
        <w:rPr>
          <w:rFonts w:ascii="Book Antiqua" w:hAnsi="Book Antiqua"/>
        </w:rPr>
      </w:pPr>
    </w:p>
    <w:p w14:paraId="21C1A344" w14:textId="352AED21" w:rsidR="00143458" w:rsidRDefault="00143458" w:rsidP="00D93F6F">
      <w:pPr>
        <w:spacing w:after="20" w:line="360" w:lineRule="auto"/>
        <w:jc w:val="both"/>
        <w:rPr>
          <w:rFonts w:ascii="Book Antiqua" w:hAnsi="Book Antiqua"/>
          <w:i/>
          <w:sz w:val="24"/>
          <w:szCs w:val="24"/>
        </w:rPr>
      </w:pPr>
      <w:r w:rsidRPr="00143458">
        <w:rPr>
          <w:rFonts w:ascii="Book Antiqua" w:hAnsi="Book Antiqua"/>
          <w:i/>
          <w:sz w:val="24"/>
          <w:szCs w:val="24"/>
        </w:rPr>
        <w:t>7. Sírvase compartir ejemplos de la forma en que las mujeres de edad participan en la vida económica, social y cultural y contribuyen a ella, incluidas la solidaridad y el apoyo intergenracionales.</w:t>
      </w:r>
    </w:p>
    <w:p w14:paraId="14576FBD" w14:textId="77777777" w:rsidR="00143458" w:rsidRPr="00143458" w:rsidRDefault="00143458" w:rsidP="00D93F6F">
      <w:pPr>
        <w:spacing w:after="20"/>
        <w:jc w:val="both"/>
        <w:rPr>
          <w:rFonts w:ascii="Book Antiqua" w:hAnsi="Book Antiqua"/>
        </w:rPr>
      </w:pPr>
      <w:r w:rsidRPr="00143458">
        <w:rPr>
          <w:rFonts w:ascii="Book Antiqua" w:hAnsi="Book Antiqua"/>
        </w:rPr>
        <w:t xml:space="preserve">A través de grupos organizados como dirigentes sociales o de organizaciones de mayores. En el caso de SENAMA, existen los Consejos Asesores Regionales de Mayores, regulados por el Decreto N° 8 del año 2008. En total son 266 consejeros que se distribuyen a lo largo del país, en cada una de las 16 regiones. De este total 61% corresponde a mujeres mayores. En este caso tienen una participación política al visibilizar y promover los derechos de las personas mayores a nivel territorial. </w:t>
      </w:r>
    </w:p>
    <w:p w14:paraId="796657A2" w14:textId="38104869" w:rsidR="00143458" w:rsidRPr="00143458" w:rsidRDefault="00143458" w:rsidP="00D93F6F">
      <w:pPr>
        <w:spacing w:after="20"/>
        <w:jc w:val="both"/>
        <w:rPr>
          <w:rFonts w:ascii="Book Antiqua" w:hAnsi="Book Antiqua"/>
        </w:rPr>
      </w:pPr>
      <w:r w:rsidRPr="00143458">
        <w:rPr>
          <w:rFonts w:ascii="Book Antiqua" w:hAnsi="Book Antiqua"/>
        </w:rPr>
        <w:lastRenderedPageBreak/>
        <w:t>Otra forma de participación política do</w:t>
      </w:r>
      <w:r>
        <w:rPr>
          <w:rFonts w:ascii="Book Antiqua" w:hAnsi="Book Antiqua"/>
        </w:rPr>
        <w:t>nde se observa empo</w:t>
      </w:r>
      <w:r w:rsidRPr="00143458">
        <w:rPr>
          <w:rFonts w:ascii="Book Antiqua" w:hAnsi="Book Antiqua"/>
        </w:rPr>
        <w:t xml:space="preserve">deramiento de derechos por parte mujeres mayores fue el movimiento feminista denominado las Tesis Senior, quienes a fin de impulsar la no violencia contra las mujeres y erradicar prácticas patriarcales, el año 2020 se organizaron. Fueron cerca de 10.000 las mujeres, con un importante número de mujeres mayores de 60, que respondieron a una convocatoria de rechazo a prácticas violentas contra la mujer. </w:t>
      </w:r>
    </w:p>
    <w:p w14:paraId="663CE7F9" w14:textId="77777777" w:rsidR="00143458" w:rsidRPr="00143458" w:rsidRDefault="00143458" w:rsidP="00D93F6F">
      <w:pPr>
        <w:spacing w:after="20"/>
        <w:jc w:val="both"/>
        <w:rPr>
          <w:rFonts w:ascii="Book Antiqua" w:hAnsi="Book Antiqua"/>
        </w:rPr>
      </w:pPr>
      <w:r w:rsidRPr="00143458">
        <w:rPr>
          <w:rFonts w:ascii="Book Antiqua" w:hAnsi="Book Antiqua"/>
        </w:rPr>
        <w:t xml:space="preserve">Destaca también el Fondo Nacional de Adulto Mayor, en su línea Autogestionados, donde organizaciones de mayores postulan a proyectos en el que la mayoría de las participantes son mujeres (71% según datos del programa al 2019). </w:t>
      </w:r>
    </w:p>
    <w:p w14:paraId="499C1AB1" w14:textId="15E422A3" w:rsidR="00143458" w:rsidRPr="00143458" w:rsidRDefault="00143458" w:rsidP="00D93F6F">
      <w:pPr>
        <w:spacing w:after="20"/>
        <w:jc w:val="both"/>
        <w:rPr>
          <w:rFonts w:ascii="Book Antiqua" w:hAnsi="Book Antiqua"/>
        </w:rPr>
      </w:pPr>
      <w:r w:rsidRPr="00143458">
        <w:rPr>
          <w:rFonts w:ascii="Book Antiqua" w:hAnsi="Book Antiqua"/>
        </w:rPr>
        <w:t>Por otro lado, muchas mujeres mayores desarrollan trabajo voluntario. En Chile</w:t>
      </w:r>
      <w:r w:rsidR="00D93F6F">
        <w:rPr>
          <w:rFonts w:ascii="Book Antiqua" w:hAnsi="Book Antiqua"/>
        </w:rPr>
        <w:t>,</w:t>
      </w:r>
      <w:r w:rsidRPr="00143458">
        <w:rPr>
          <w:rFonts w:ascii="Book Antiqua" w:hAnsi="Book Antiqua"/>
        </w:rPr>
        <w:t xml:space="preserve"> las más conocidas son las Damas de Rojo que prestan apoyo en hospitales</w:t>
      </w:r>
      <w:r w:rsidR="00D93F6F">
        <w:rPr>
          <w:rFonts w:ascii="Book Antiqua" w:hAnsi="Book Antiqua"/>
        </w:rPr>
        <w:t xml:space="preserve">; y </w:t>
      </w:r>
      <w:r w:rsidRPr="00143458">
        <w:rPr>
          <w:rFonts w:ascii="Book Antiqua" w:hAnsi="Book Antiqua"/>
        </w:rPr>
        <w:t>las Damas de Blanco, voluntarias que prestan apoyo emocional y espiritual a personas mayores de residencias de larga estadía</w:t>
      </w:r>
      <w:r w:rsidR="00D93F6F">
        <w:rPr>
          <w:rFonts w:ascii="Book Antiqua" w:hAnsi="Book Antiqua"/>
        </w:rPr>
        <w:t>.</w:t>
      </w:r>
      <w:r w:rsidRPr="00143458">
        <w:rPr>
          <w:rFonts w:ascii="Book Antiqua" w:hAnsi="Book Antiqua"/>
        </w:rPr>
        <w:t xml:space="preserve"> </w:t>
      </w:r>
    </w:p>
    <w:p w14:paraId="4AD7CEB9" w14:textId="758D6A71" w:rsidR="00143458" w:rsidRDefault="00143458" w:rsidP="00D93F6F">
      <w:pPr>
        <w:spacing w:after="20"/>
        <w:jc w:val="both"/>
        <w:rPr>
          <w:rFonts w:ascii="Book Antiqua" w:hAnsi="Book Antiqua"/>
        </w:rPr>
      </w:pPr>
      <w:r w:rsidRPr="00143458">
        <w:rPr>
          <w:rFonts w:ascii="Book Antiqua" w:hAnsi="Book Antiqua"/>
        </w:rPr>
        <w:t>A nivel territorial y local, las mujeres mayores son las principales protagonistas de la participación local en los vecindarios y los barrios. En circunstancias en que la oferta pública no llega a todos los sectores o existen demandas en localidades vulnerables, son las mujeres y en un importante número, las mujeres mayores, quienes se auto-organizan para solventar necesidades y precariedades, por ejemplo, a partir de acopio y concina de alimentos, redes de cuidado, gestión de comités para postular a proyectos públicos, entre otros.</w:t>
      </w:r>
    </w:p>
    <w:p w14:paraId="4D395E98" w14:textId="77777777" w:rsidR="00D93F6F" w:rsidRDefault="00D93F6F" w:rsidP="00D93F6F">
      <w:pPr>
        <w:spacing w:after="20" w:line="240" w:lineRule="auto"/>
        <w:jc w:val="both"/>
        <w:rPr>
          <w:rFonts w:ascii="Book Antiqua" w:hAnsi="Book Antiqua"/>
        </w:rPr>
      </w:pPr>
    </w:p>
    <w:p w14:paraId="53B36CEF" w14:textId="4AA10F7D" w:rsidR="00143458" w:rsidRDefault="00143458" w:rsidP="00143458">
      <w:pPr>
        <w:jc w:val="both"/>
        <w:rPr>
          <w:rFonts w:ascii="Book Antiqua" w:hAnsi="Book Antiqua"/>
          <w:b/>
          <w:sz w:val="24"/>
          <w:szCs w:val="24"/>
        </w:rPr>
      </w:pPr>
      <w:r>
        <w:rPr>
          <w:rFonts w:ascii="Book Antiqua" w:hAnsi="Book Antiqua"/>
          <w:b/>
          <w:sz w:val="24"/>
          <w:szCs w:val="24"/>
        </w:rPr>
        <w:t>Formas de discriminación contra las mujeres de edad y abusos específicos de género</w:t>
      </w:r>
    </w:p>
    <w:p w14:paraId="1FDC088D" w14:textId="5BFAA98D" w:rsidR="00143458" w:rsidRDefault="00143458" w:rsidP="00143458">
      <w:pPr>
        <w:spacing w:line="360" w:lineRule="auto"/>
        <w:jc w:val="both"/>
        <w:rPr>
          <w:rFonts w:ascii="Book Antiqua" w:hAnsi="Book Antiqua"/>
          <w:i/>
          <w:sz w:val="24"/>
          <w:szCs w:val="24"/>
        </w:rPr>
      </w:pPr>
      <w:r w:rsidRPr="00143458">
        <w:rPr>
          <w:rFonts w:ascii="Book Antiqua" w:hAnsi="Book Antiqua"/>
          <w:i/>
          <w:sz w:val="24"/>
          <w:szCs w:val="24"/>
        </w:rPr>
        <w:t>8. ¿Qué formas de discriminación estructural y sistemática enfrentan las mujeres de edad (por ejemplo, mediante leyes, prácticas tradicionales y consuetudinarias etc.) y qué medidas se ha</w:t>
      </w:r>
      <w:r>
        <w:rPr>
          <w:rFonts w:ascii="Book Antiqua" w:hAnsi="Book Antiqua"/>
          <w:i/>
          <w:sz w:val="24"/>
          <w:szCs w:val="24"/>
        </w:rPr>
        <w:t>n adoptado para hacerles frente?</w:t>
      </w:r>
    </w:p>
    <w:p w14:paraId="307D6DDF" w14:textId="77777777" w:rsidR="00D93F6F" w:rsidRDefault="00143458" w:rsidP="00D93F6F">
      <w:pPr>
        <w:spacing w:after="20"/>
        <w:jc w:val="both"/>
        <w:rPr>
          <w:rFonts w:ascii="Book Antiqua" w:hAnsi="Book Antiqua"/>
        </w:rPr>
      </w:pPr>
      <w:r w:rsidRPr="00143458">
        <w:rPr>
          <w:rFonts w:ascii="Book Antiqua" w:hAnsi="Book Antiqua"/>
        </w:rPr>
        <w:t>Destaca</w:t>
      </w:r>
      <w:r w:rsidR="00D93F6F">
        <w:rPr>
          <w:rFonts w:ascii="Book Antiqua" w:hAnsi="Book Antiqua"/>
        </w:rPr>
        <w:t>,</w:t>
      </w:r>
      <w:r w:rsidRPr="00143458">
        <w:rPr>
          <w:rFonts w:ascii="Book Antiqua" w:hAnsi="Book Antiqua"/>
        </w:rPr>
        <w:t xml:space="preserve"> en primer lugar</w:t>
      </w:r>
      <w:r w:rsidR="00D93F6F">
        <w:rPr>
          <w:rFonts w:ascii="Book Antiqua" w:hAnsi="Book Antiqua"/>
        </w:rPr>
        <w:t>,</w:t>
      </w:r>
      <w:r w:rsidRPr="00143458">
        <w:rPr>
          <w:rFonts w:ascii="Book Antiqua" w:hAnsi="Book Antiqua"/>
        </w:rPr>
        <w:t xml:space="preserve"> la escasa planificación urbana que considere la perspectiva de género y el enfoque gerontológico. Siguiendo los planteamientos de Lafebvre en Molano (2016)</w:t>
      </w:r>
      <w:r w:rsidR="00D93F6F">
        <w:rPr>
          <w:rFonts w:ascii="Book Antiqua" w:hAnsi="Book Antiqua"/>
        </w:rPr>
        <w:t>, se</w:t>
      </w:r>
      <w:r w:rsidRPr="00143458">
        <w:rPr>
          <w:rFonts w:ascii="Book Antiqua" w:hAnsi="Book Antiqua"/>
        </w:rPr>
        <w:t xml:space="preserve"> esboza la idea de problematizar el espacio, lo que es un tema central en la comprensión y análisis de cómo las personas mayores viven las ciudades y territorios, en específico las mujeres. </w:t>
      </w:r>
    </w:p>
    <w:p w14:paraId="6BA19D7C" w14:textId="77777777" w:rsidR="00D93F6F" w:rsidRDefault="00143458" w:rsidP="00D93F6F">
      <w:pPr>
        <w:spacing w:after="20"/>
        <w:jc w:val="both"/>
        <w:rPr>
          <w:rFonts w:ascii="Book Antiqua" w:hAnsi="Book Antiqua"/>
        </w:rPr>
      </w:pPr>
      <w:r w:rsidRPr="00143458">
        <w:rPr>
          <w:rFonts w:ascii="Book Antiqua" w:hAnsi="Book Antiqua"/>
        </w:rPr>
        <w:t>Para problematizar el espacio</w:t>
      </w:r>
      <w:r w:rsidR="00D93F6F">
        <w:rPr>
          <w:rFonts w:ascii="Book Antiqua" w:hAnsi="Book Antiqua"/>
        </w:rPr>
        <w:t>,</w:t>
      </w:r>
      <w:r w:rsidRPr="00143458">
        <w:rPr>
          <w:rFonts w:ascii="Book Antiqua" w:hAnsi="Book Antiqua"/>
        </w:rPr>
        <w:t xml:space="preserve"> Lafebvre desarrolla la idea de derecho a la ciudad, y </w:t>
      </w:r>
      <w:r w:rsidR="00D93F6F">
        <w:rPr>
          <w:rFonts w:ascii="Book Antiqua" w:hAnsi="Book Antiqua"/>
        </w:rPr>
        <w:t>se refiere a</w:t>
      </w:r>
      <w:r w:rsidRPr="00143458">
        <w:rPr>
          <w:rFonts w:ascii="Book Antiqua" w:hAnsi="Book Antiqua"/>
        </w:rPr>
        <w:t>l derecho de los habitantes urbanos a construir, decidir y crear la ciudad, y hacer en ésta aquello que llamaría</w:t>
      </w:r>
      <w:r w:rsidR="00D93F6F">
        <w:rPr>
          <w:rFonts w:ascii="Book Antiqua" w:hAnsi="Book Antiqua"/>
        </w:rPr>
        <w:t>,</w:t>
      </w:r>
      <w:r w:rsidRPr="00143458">
        <w:rPr>
          <w:rFonts w:ascii="Book Antiqua" w:hAnsi="Book Antiqua"/>
        </w:rPr>
        <w:t xml:space="preserve"> en términos muy generales</w:t>
      </w:r>
      <w:r w:rsidR="00D93F6F">
        <w:rPr>
          <w:rFonts w:ascii="Book Antiqua" w:hAnsi="Book Antiqua"/>
        </w:rPr>
        <w:t>,</w:t>
      </w:r>
      <w:r w:rsidRPr="00143458">
        <w:rPr>
          <w:rFonts w:ascii="Book Antiqua" w:hAnsi="Book Antiqua"/>
        </w:rPr>
        <w:t xml:space="preserve"> la producción social del espacio, proceso en el cual la vida cotidiana y el equilibrio entre los habitantes tendrían un importante peso. </w:t>
      </w:r>
    </w:p>
    <w:p w14:paraId="30D5E2B5" w14:textId="6B7B1355" w:rsidR="00D93F6F" w:rsidRDefault="00143458" w:rsidP="00D93F6F">
      <w:pPr>
        <w:spacing w:after="20"/>
        <w:jc w:val="both"/>
        <w:rPr>
          <w:rFonts w:ascii="Book Antiqua" w:hAnsi="Book Antiqua"/>
        </w:rPr>
      </w:pPr>
      <w:r w:rsidRPr="00143458">
        <w:rPr>
          <w:rFonts w:ascii="Book Antiqua" w:hAnsi="Book Antiqua"/>
        </w:rPr>
        <w:t>Este planteamiento resulta del todo vigente y pertinente para analizar formas de discriminación estructural y sistémica que enfrentan las mujeres mayores</w:t>
      </w:r>
      <w:r w:rsidR="00D93F6F">
        <w:rPr>
          <w:rFonts w:ascii="Book Antiqua" w:hAnsi="Book Antiqua"/>
        </w:rPr>
        <w:t xml:space="preserve">. </w:t>
      </w:r>
      <w:r w:rsidRPr="00143458">
        <w:rPr>
          <w:rFonts w:ascii="Book Antiqua" w:hAnsi="Book Antiqua"/>
        </w:rPr>
        <w:t xml:space="preserve">El derecho a la ciudad es poco accesible para muchas mujeres mayores, por cuestiones asociadas a la planificación urbana, accesibilidad a edificios, infraestructura y señalética adecuada, entre otros. </w:t>
      </w:r>
    </w:p>
    <w:p w14:paraId="34C87CA3" w14:textId="322396C2" w:rsidR="00143458" w:rsidRPr="00143458" w:rsidRDefault="00143458" w:rsidP="00D93F6F">
      <w:pPr>
        <w:spacing w:after="20"/>
        <w:jc w:val="both"/>
        <w:rPr>
          <w:rFonts w:ascii="Book Antiqua" w:hAnsi="Book Antiqua"/>
        </w:rPr>
      </w:pPr>
      <w:r w:rsidRPr="00143458">
        <w:rPr>
          <w:rFonts w:ascii="Book Antiqua" w:hAnsi="Book Antiqua"/>
        </w:rPr>
        <w:t>Par</w:t>
      </w:r>
      <w:r w:rsidR="00D93F6F">
        <w:rPr>
          <w:rFonts w:ascii="Book Antiqua" w:hAnsi="Book Antiqua"/>
        </w:rPr>
        <w:t>a</w:t>
      </w:r>
      <w:r w:rsidRPr="00143458">
        <w:rPr>
          <w:rFonts w:ascii="Book Antiqua" w:hAnsi="Book Antiqua"/>
        </w:rPr>
        <w:t xml:space="preserve"> resolver lo anterior se ha planteado la necesidad de la participación de los ciudadanos relegados en la toma de decisiones para readecuar los espacios y las condiciones de la ciudad. En este sent</w:t>
      </w:r>
      <w:r>
        <w:rPr>
          <w:rFonts w:ascii="Book Antiqua" w:hAnsi="Book Antiqua"/>
        </w:rPr>
        <w:t>i</w:t>
      </w:r>
      <w:r w:rsidRPr="00143458">
        <w:rPr>
          <w:rFonts w:ascii="Book Antiqua" w:hAnsi="Book Antiqua"/>
        </w:rPr>
        <w:t>d</w:t>
      </w:r>
      <w:r>
        <w:rPr>
          <w:rFonts w:ascii="Book Antiqua" w:hAnsi="Book Antiqua"/>
        </w:rPr>
        <w:t>o</w:t>
      </w:r>
      <w:r w:rsidRPr="00143458">
        <w:rPr>
          <w:rFonts w:ascii="Book Antiqua" w:hAnsi="Book Antiqua"/>
        </w:rPr>
        <w:t xml:space="preserve"> el programa Ciudades Amigables</w:t>
      </w:r>
      <w:r w:rsidR="00D93F6F">
        <w:rPr>
          <w:rFonts w:ascii="Book Antiqua" w:hAnsi="Book Antiqua"/>
        </w:rPr>
        <w:t>,</w:t>
      </w:r>
      <w:r w:rsidRPr="00143458">
        <w:rPr>
          <w:rFonts w:ascii="Book Antiqua" w:hAnsi="Book Antiqua"/>
        </w:rPr>
        <w:t xml:space="preserve"> ya mencionado, significa un gran avance.</w:t>
      </w:r>
    </w:p>
    <w:p w14:paraId="765BB14F" w14:textId="77777777" w:rsidR="00143458" w:rsidRPr="00143458" w:rsidRDefault="00143458" w:rsidP="00D93F6F">
      <w:pPr>
        <w:spacing w:after="20"/>
        <w:jc w:val="both"/>
        <w:rPr>
          <w:rFonts w:ascii="Book Antiqua" w:hAnsi="Book Antiqua"/>
        </w:rPr>
      </w:pPr>
      <w:r w:rsidRPr="00143458">
        <w:rPr>
          <w:rFonts w:ascii="Book Antiqua" w:hAnsi="Book Antiqua"/>
        </w:rPr>
        <w:lastRenderedPageBreak/>
        <w:t xml:space="preserve">Por otro lado, se observan escasos espacios de atención de salud sexual educativa e informativa, como programa específico. Si bien las mujeres mayores pueden consultar este tipo de preocupaciones, los estereotipos existentes ponen barreras tanto en ellas mismas como en la disponibilidad de oferta, dado que en el imaginario colectivo se han instalado la creencia de que las mujeres mayores no tendrían una sexualidad activa, y por lo mismo menor riesgo de contagio de enfermedades por transmisión sexual o conductas de esta índole. </w:t>
      </w:r>
    </w:p>
    <w:p w14:paraId="3A47605D" w14:textId="388C7040" w:rsidR="00143458" w:rsidRDefault="00143458" w:rsidP="00D93F6F">
      <w:pPr>
        <w:spacing w:after="20"/>
        <w:jc w:val="both"/>
        <w:rPr>
          <w:rFonts w:ascii="Book Antiqua" w:hAnsi="Book Antiqua"/>
        </w:rPr>
      </w:pPr>
      <w:r w:rsidRPr="00143458">
        <w:rPr>
          <w:rFonts w:ascii="Book Antiqua" w:hAnsi="Book Antiqua"/>
        </w:rPr>
        <w:t>Como se ha tocado anteriormente</w:t>
      </w:r>
      <w:r w:rsidR="00D93F6F">
        <w:rPr>
          <w:rFonts w:ascii="Book Antiqua" w:hAnsi="Book Antiqua"/>
        </w:rPr>
        <w:t>,</w:t>
      </w:r>
      <w:r w:rsidRPr="00143458">
        <w:rPr>
          <w:rFonts w:ascii="Book Antiqua" w:hAnsi="Book Antiqua"/>
        </w:rPr>
        <w:t xml:space="preserve"> existen desigualdades en el Sistema de Pensiones que tienen repercusiones profundas en las condiciones de vida las mujeres. Las mujeres viven más que los hombres, y se jubilan</w:t>
      </w:r>
      <w:r w:rsidR="00D93F6F">
        <w:rPr>
          <w:rFonts w:ascii="Book Antiqua" w:hAnsi="Book Antiqua"/>
        </w:rPr>
        <w:t>,</w:t>
      </w:r>
      <w:r w:rsidRPr="00143458">
        <w:rPr>
          <w:rFonts w:ascii="Book Antiqua" w:hAnsi="Book Antiqua"/>
        </w:rPr>
        <w:t xml:space="preserve"> por ley</w:t>
      </w:r>
      <w:r w:rsidR="00D93F6F">
        <w:rPr>
          <w:rFonts w:ascii="Book Antiqua" w:hAnsi="Book Antiqua"/>
        </w:rPr>
        <w:t>,</w:t>
      </w:r>
      <w:r w:rsidRPr="00143458">
        <w:rPr>
          <w:rFonts w:ascii="Book Antiqua" w:hAnsi="Book Antiqua"/>
        </w:rPr>
        <w:t xml:space="preserve"> 5 años antes. Esto implica que reciban una pensión más baja en relación a la de los hombres y, al mismo tiempo, al ser más longevas, deben sostener las condiciones materiales con menores recursos y por un mayor tiempo. Esto las sitúa, por condiciones estructurales, en una situación de mayor precariedad y vulnerabilidad.</w:t>
      </w:r>
    </w:p>
    <w:p w14:paraId="0FBD956D" w14:textId="77777777" w:rsidR="00D93F6F" w:rsidRDefault="00D93F6F" w:rsidP="00D93F6F">
      <w:pPr>
        <w:spacing w:after="20"/>
        <w:jc w:val="both"/>
        <w:rPr>
          <w:rFonts w:ascii="Book Antiqua" w:hAnsi="Book Antiqua"/>
        </w:rPr>
      </w:pPr>
    </w:p>
    <w:p w14:paraId="1D6FFADB" w14:textId="26EB8FB2" w:rsidR="00143458" w:rsidRPr="00143458" w:rsidRDefault="00143458" w:rsidP="00D93F6F">
      <w:pPr>
        <w:spacing w:line="360" w:lineRule="auto"/>
        <w:jc w:val="both"/>
        <w:rPr>
          <w:rFonts w:ascii="Book Antiqua" w:hAnsi="Book Antiqua"/>
          <w:i/>
          <w:sz w:val="24"/>
          <w:szCs w:val="24"/>
        </w:rPr>
      </w:pPr>
      <w:r w:rsidRPr="00143458">
        <w:rPr>
          <w:rFonts w:ascii="Book Antiqua" w:hAnsi="Book Antiqua"/>
          <w:i/>
          <w:sz w:val="24"/>
          <w:szCs w:val="24"/>
        </w:rPr>
        <w:t>9. ¿De qué manera los factores intersectoriales exacerban el efecto combinado de la discriminación por motivos de edad y sexismo, incluida la perspectiva de las mujeres LGBTI de edad, las mujeres con discapacidad, las mujeres migrantes de edad, las mujeres de edad pertenecientes a grupos indígenas y minoritarios, etc.?</w:t>
      </w:r>
    </w:p>
    <w:p w14:paraId="3DBA71C4" w14:textId="09518278" w:rsidR="00143458" w:rsidRPr="00143458" w:rsidRDefault="00143458" w:rsidP="00143458">
      <w:pPr>
        <w:jc w:val="both"/>
        <w:rPr>
          <w:rFonts w:ascii="Book Antiqua" w:hAnsi="Book Antiqua"/>
        </w:rPr>
      </w:pPr>
      <w:r w:rsidRPr="00143458">
        <w:rPr>
          <w:rFonts w:ascii="Book Antiqua" w:hAnsi="Book Antiqua"/>
        </w:rPr>
        <w:t xml:space="preserve">Las personas mayores se encuentran en una situación especial de vulnerabilidad lo que las hace ser sujetos especiales de protección. Al estar en alguna otra categoría adicional se ven expuestas a discriminación múltiple por estar en una condición de doble vulnerabilidad o triple vulnerabilidad o menoscabo de sus derechos, concepto que se explica anteriormente bajo el paraguas de la interseccionalidad.  </w:t>
      </w:r>
    </w:p>
    <w:p w14:paraId="5002F560" w14:textId="5CF5D54F" w:rsidR="00143458" w:rsidRDefault="00143458" w:rsidP="00143458">
      <w:pPr>
        <w:spacing w:line="360" w:lineRule="auto"/>
        <w:jc w:val="both"/>
        <w:rPr>
          <w:rFonts w:ascii="Book Antiqua" w:hAnsi="Book Antiqua"/>
          <w:i/>
          <w:sz w:val="24"/>
          <w:szCs w:val="24"/>
        </w:rPr>
      </w:pPr>
      <w:r>
        <w:rPr>
          <w:rFonts w:ascii="Book Antiqua" w:hAnsi="Book Antiqua"/>
          <w:i/>
          <w:sz w:val="24"/>
          <w:szCs w:val="24"/>
        </w:rPr>
        <w:t xml:space="preserve">10. </w:t>
      </w:r>
      <w:r w:rsidRPr="00143458">
        <w:rPr>
          <w:rFonts w:ascii="Book Antiqua" w:hAnsi="Book Antiqua"/>
          <w:i/>
          <w:sz w:val="24"/>
          <w:szCs w:val="24"/>
        </w:rPr>
        <w:t>Qué formas adopta la violencia de género y el abuso contra las mujeres de edad y cómo prevalece esa violencia? Sírvase compartir los datos y estadísticas disponibles, incluido en relación a los feminicidios.</w:t>
      </w:r>
    </w:p>
    <w:p w14:paraId="439F8938" w14:textId="77777777" w:rsidR="00D93F6F" w:rsidRDefault="00143458" w:rsidP="00D93F6F">
      <w:pPr>
        <w:pStyle w:val="ListParagraph"/>
        <w:numPr>
          <w:ilvl w:val="0"/>
          <w:numId w:val="34"/>
        </w:numPr>
        <w:spacing w:after="20"/>
        <w:jc w:val="both"/>
        <w:rPr>
          <w:rFonts w:ascii="Book Antiqua" w:hAnsi="Book Antiqua"/>
        </w:rPr>
      </w:pPr>
      <w:r w:rsidRPr="00D93F6F">
        <w:rPr>
          <w:rFonts w:ascii="Book Antiqua" w:hAnsi="Book Antiqua"/>
        </w:rPr>
        <w:t xml:space="preserve">Más de 900 mujeres adultas mayores pasaron por algún Centro de la Mujer durante el 2019. </w:t>
      </w:r>
      <w:r w:rsidR="00D93F6F" w:rsidRPr="00D93F6F">
        <w:rPr>
          <w:rFonts w:ascii="Book Antiqua" w:hAnsi="Book Antiqua"/>
        </w:rPr>
        <w:t xml:space="preserve"> </w:t>
      </w:r>
      <w:r w:rsidRPr="00D93F6F">
        <w:rPr>
          <w:rFonts w:ascii="Book Antiqua" w:hAnsi="Book Antiqua"/>
        </w:rPr>
        <w:t>Mientras, en las Casas de Acogida</w:t>
      </w:r>
      <w:r w:rsidR="00D93F6F" w:rsidRPr="00D93F6F">
        <w:rPr>
          <w:rFonts w:ascii="Book Antiqua" w:hAnsi="Book Antiqua"/>
        </w:rPr>
        <w:t>,</w:t>
      </w:r>
      <w:r w:rsidRPr="00D93F6F">
        <w:rPr>
          <w:rFonts w:ascii="Book Antiqua" w:hAnsi="Book Antiqua"/>
        </w:rPr>
        <w:t xml:space="preserve"> la cifra llegó a 8 usuarias durante el año 2018.</w:t>
      </w:r>
    </w:p>
    <w:p w14:paraId="0ECDD6C5" w14:textId="77777777" w:rsidR="00D93F6F" w:rsidRDefault="00143458" w:rsidP="00D93F6F">
      <w:pPr>
        <w:pStyle w:val="ListParagraph"/>
        <w:numPr>
          <w:ilvl w:val="0"/>
          <w:numId w:val="34"/>
        </w:numPr>
        <w:spacing w:after="20"/>
        <w:jc w:val="both"/>
        <w:rPr>
          <w:rFonts w:ascii="Book Antiqua" w:hAnsi="Book Antiqua"/>
        </w:rPr>
      </w:pPr>
      <w:r w:rsidRPr="00D93F6F">
        <w:rPr>
          <w:rFonts w:ascii="Book Antiqua" w:hAnsi="Book Antiqua"/>
        </w:rPr>
        <w:t>En 2019 hubo un total de 43 femicidios consumados y de ellos en 3 las víctimas fueron adultas mayores. De los 108 femicidios frustrados de 2018, solo 1 fue de una víctima en la tercera edad</w:t>
      </w:r>
      <w:r w:rsidR="00E80368">
        <w:rPr>
          <w:rStyle w:val="FootnoteReference"/>
          <w:rFonts w:ascii="Book Antiqua" w:hAnsi="Book Antiqua"/>
        </w:rPr>
        <w:footnoteReference w:id="15"/>
      </w:r>
      <w:r w:rsidRPr="00D93F6F">
        <w:rPr>
          <w:rFonts w:ascii="Book Antiqua" w:hAnsi="Book Antiqua"/>
        </w:rPr>
        <w:t>.</w:t>
      </w:r>
    </w:p>
    <w:p w14:paraId="0ABC17B5" w14:textId="77777777" w:rsidR="00D93F6F" w:rsidRDefault="00143458" w:rsidP="00D93F6F">
      <w:pPr>
        <w:pStyle w:val="ListParagraph"/>
        <w:numPr>
          <w:ilvl w:val="0"/>
          <w:numId w:val="34"/>
        </w:numPr>
        <w:spacing w:after="20"/>
        <w:jc w:val="both"/>
        <w:rPr>
          <w:rFonts w:ascii="Book Antiqua" w:hAnsi="Book Antiqua"/>
        </w:rPr>
      </w:pPr>
      <w:r w:rsidRPr="00D93F6F">
        <w:rPr>
          <w:rFonts w:ascii="Book Antiqua" w:hAnsi="Book Antiqua"/>
        </w:rPr>
        <w:t xml:space="preserve">Según la IV Encuesta de Violencia contra la Mujer en el Ámbito de Violencia Intrafamiliar y en Otros Espacios (ENVIF-VCM) de la Subsecretaría de Prevención del Delito del Ministerio </w:t>
      </w:r>
      <w:r w:rsidRPr="00D93F6F">
        <w:rPr>
          <w:rFonts w:ascii="Book Antiqua" w:hAnsi="Book Antiqua"/>
        </w:rPr>
        <w:lastRenderedPageBreak/>
        <w:t>del Interior y Seguridad Pública, la Violencia contra la Mujer Adulta Mayor (de 65 y más) llega a un 14,1% a nivel nacional</w:t>
      </w:r>
      <w:r w:rsidR="00E80368">
        <w:rPr>
          <w:rStyle w:val="FootnoteReference"/>
          <w:rFonts w:ascii="Book Antiqua" w:hAnsi="Book Antiqua"/>
        </w:rPr>
        <w:footnoteReference w:id="16"/>
      </w:r>
      <w:r w:rsidRPr="00D93F6F">
        <w:rPr>
          <w:rFonts w:ascii="Book Antiqua" w:hAnsi="Book Antiqua"/>
        </w:rPr>
        <w:t xml:space="preserve">. </w:t>
      </w:r>
    </w:p>
    <w:p w14:paraId="04C4DC21" w14:textId="56F4DC81" w:rsidR="00143458" w:rsidRPr="00D93F6F" w:rsidRDefault="00143458" w:rsidP="00D93F6F">
      <w:pPr>
        <w:pStyle w:val="ListParagraph"/>
        <w:numPr>
          <w:ilvl w:val="0"/>
          <w:numId w:val="34"/>
        </w:numPr>
        <w:spacing w:after="20"/>
        <w:jc w:val="both"/>
        <w:rPr>
          <w:rFonts w:ascii="Book Antiqua" w:hAnsi="Book Antiqua"/>
        </w:rPr>
      </w:pPr>
      <w:r w:rsidRPr="00D93F6F">
        <w:rPr>
          <w:rFonts w:ascii="Book Antiqua" w:hAnsi="Book Antiqua"/>
        </w:rPr>
        <w:t>Unido a lo anterior, de todos los tipos de violencia mencionados en el estudio, la mayor prevalencia se ubica en la VIF Psicológica, con un 30,9 %.</w:t>
      </w:r>
    </w:p>
    <w:p w14:paraId="7228F44D" w14:textId="77777777" w:rsidR="00D93F6F" w:rsidRDefault="00D93F6F" w:rsidP="00D93F6F">
      <w:pPr>
        <w:spacing w:after="20"/>
        <w:jc w:val="both"/>
        <w:rPr>
          <w:rFonts w:ascii="Book Antiqua" w:hAnsi="Book Antiqua"/>
        </w:rPr>
      </w:pPr>
    </w:p>
    <w:p w14:paraId="6432984C" w14:textId="5A09604E" w:rsidR="00143458" w:rsidRDefault="00143458" w:rsidP="00143458">
      <w:pPr>
        <w:spacing w:line="360" w:lineRule="auto"/>
        <w:jc w:val="both"/>
        <w:rPr>
          <w:rFonts w:ascii="Book Antiqua" w:hAnsi="Book Antiqua"/>
          <w:i/>
          <w:sz w:val="24"/>
          <w:szCs w:val="24"/>
        </w:rPr>
      </w:pPr>
      <w:r w:rsidRPr="00143458">
        <w:rPr>
          <w:rFonts w:ascii="Book Antiqua" w:hAnsi="Book Antiqua"/>
          <w:i/>
          <w:sz w:val="24"/>
          <w:szCs w:val="24"/>
        </w:rPr>
        <w:t>11.Sírvase dar ejemplos de la forma en que la perspectiva del ciclo vital se integra en las políticas y programas para prevenir y abordar la violencia de género contra las mujeres y las niñas.</w:t>
      </w:r>
    </w:p>
    <w:p w14:paraId="15F132FC" w14:textId="3C893E82" w:rsidR="00143458" w:rsidRPr="00143458" w:rsidRDefault="00143458" w:rsidP="00D93F6F">
      <w:pPr>
        <w:spacing w:after="20"/>
        <w:jc w:val="both"/>
        <w:rPr>
          <w:rFonts w:ascii="Book Antiqua" w:hAnsi="Book Antiqua"/>
        </w:rPr>
      </w:pPr>
      <w:r w:rsidRPr="00143458">
        <w:rPr>
          <w:rFonts w:ascii="Book Antiqua" w:hAnsi="Book Antiqua"/>
        </w:rPr>
        <w:t xml:space="preserve">Desde el Servicio Nacional del Adulto Mayor, una iniciativa para integrar la perspectiva de género es el “Protocolo de Orientación, Derivación o Acompañamiento de Mujeres y Hombres Mayores víctimas de violencia intrafamiliar o maltrato del Servicio Nacional del Adulto Mayor”, aprobado por Resolución exenta Nº 2.272 de fecha 9 de diciembre de 2019. Este protocolo busca visibilizar ciertas situaciones que determinan que hombres y mujeres mayores viven la violencia de manera distinta. </w:t>
      </w:r>
    </w:p>
    <w:p w14:paraId="157F4789" w14:textId="434FABAF" w:rsidR="00143458" w:rsidRPr="00143458" w:rsidRDefault="00143458" w:rsidP="00D93F6F">
      <w:pPr>
        <w:spacing w:after="20"/>
        <w:jc w:val="both"/>
        <w:rPr>
          <w:rFonts w:ascii="Book Antiqua" w:hAnsi="Book Antiqua"/>
        </w:rPr>
      </w:pPr>
      <w:r w:rsidRPr="00143458">
        <w:rPr>
          <w:rFonts w:ascii="Book Antiqua" w:hAnsi="Book Antiqua"/>
        </w:rPr>
        <w:t>Según datos del Programa Buen Trato al Adulto Mayor, del total de atenciones recibidas durante el año 2018, un 81,45% se vincula a casos de violencia intrafamiliar, ya sea que se incorporan por demanda espontánea</w:t>
      </w:r>
      <w:r w:rsidR="00D93F6F">
        <w:rPr>
          <w:rFonts w:ascii="Book Antiqua" w:hAnsi="Book Antiqua"/>
        </w:rPr>
        <w:t>,</w:t>
      </w:r>
      <w:r w:rsidRPr="00143458">
        <w:rPr>
          <w:rFonts w:ascii="Book Antiqua" w:hAnsi="Book Antiqua"/>
        </w:rPr>
        <w:t xml:space="preserve"> o bien</w:t>
      </w:r>
      <w:r w:rsidR="00D93F6F">
        <w:rPr>
          <w:rFonts w:ascii="Book Antiqua" w:hAnsi="Book Antiqua"/>
        </w:rPr>
        <w:t>,</w:t>
      </w:r>
      <w:r w:rsidRPr="00143458">
        <w:rPr>
          <w:rFonts w:ascii="Book Antiqua" w:hAnsi="Book Antiqua"/>
        </w:rPr>
        <w:t xml:space="preserve"> son derivados desde tribunales o </w:t>
      </w:r>
      <w:r w:rsidR="00D93F6F">
        <w:rPr>
          <w:rFonts w:ascii="Book Antiqua" w:hAnsi="Book Antiqua"/>
        </w:rPr>
        <w:t>desde el M</w:t>
      </w:r>
      <w:r w:rsidRPr="00143458">
        <w:rPr>
          <w:rFonts w:ascii="Book Antiqua" w:hAnsi="Book Antiqua"/>
        </w:rPr>
        <w:t xml:space="preserve">inisterio </w:t>
      </w:r>
      <w:r w:rsidR="00D93F6F">
        <w:rPr>
          <w:rFonts w:ascii="Book Antiqua" w:hAnsi="Book Antiqua"/>
        </w:rPr>
        <w:t>P</w:t>
      </w:r>
      <w:r w:rsidRPr="00143458">
        <w:rPr>
          <w:rFonts w:ascii="Book Antiqua" w:hAnsi="Book Antiqua"/>
        </w:rPr>
        <w:t>úblico. De estos casos, un 64,16</w:t>
      </w:r>
      <w:r w:rsidR="00D93F6F">
        <w:rPr>
          <w:rFonts w:ascii="Book Antiqua" w:hAnsi="Book Antiqua"/>
        </w:rPr>
        <w:t>%</w:t>
      </w:r>
      <w:r w:rsidRPr="00143458">
        <w:rPr>
          <w:rFonts w:ascii="Book Antiqua" w:hAnsi="Book Antiqua"/>
        </w:rPr>
        <w:t xml:space="preserve"> corresponde a mujeres y un 35,7%</w:t>
      </w:r>
      <w:r w:rsidR="00D93F6F">
        <w:rPr>
          <w:rFonts w:ascii="Book Antiqua" w:hAnsi="Book Antiqua"/>
        </w:rPr>
        <w:t>,</w:t>
      </w:r>
      <w:r w:rsidRPr="00143458">
        <w:rPr>
          <w:rFonts w:ascii="Book Antiqua" w:hAnsi="Book Antiqua"/>
        </w:rPr>
        <w:t xml:space="preserve"> a hombres.</w:t>
      </w:r>
    </w:p>
    <w:p w14:paraId="35D4559A" w14:textId="42DF002C" w:rsidR="00143458" w:rsidRPr="00143458" w:rsidRDefault="00143458" w:rsidP="00D93F6F">
      <w:pPr>
        <w:spacing w:after="20"/>
        <w:jc w:val="both"/>
        <w:rPr>
          <w:rFonts w:ascii="Book Antiqua" w:hAnsi="Book Antiqua"/>
        </w:rPr>
      </w:pPr>
      <w:r w:rsidRPr="00143458">
        <w:rPr>
          <w:rFonts w:ascii="Book Antiqua" w:hAnsi="Book Antiqua"/>
        </w:rPr>
        <w:t xml:space="preserve">Si bien SENAMA no cuenta con las facultades legales y atribuciones administrativas para representar a adultos mayores en procedimientos judiciales de manera directa en casos de violencia intrafamiliar o maltrato al adulto mayor, sí puede desarrollar orientación legal, coordinación, derivación, acompañamiento (sólo en casos específicos) y/o articulación con las redes de salud, sociales, municipales, territoriales, auxiliares de justicia, etc. </w:t>
      </w:r>
      <w:r w:rsidR="004F797B">
        <w:rPr>
          <w:rFonts w:ascii="Book Antiqua" w:hAnsi="Book Antiqua"/>
        </w:rPr>
        <w:t xml:space="preserve">Así, </w:t>
      </w:r>
      <w:r w:rsidRPr="00143458">
        <w:rPr>
          <w:rFonts w:ascii="Book Antiqua" w:hAnsi="Book Antiqua"/>
        </w:rPr>
        <w:t>SENAMA trabaja activamente con la institucionalidad inserta</w:t>
      </w:r>
      <w:r w:rsidR="004F797B">
        <w:rPr>
          <w:rFonts w:ascii="Book Antiqua" w:hAnsi="Book Antiqua"/>
        </w:rPr>
        <w:t xml:space="preserve"> </w:t>
      </w:r>
      <w:r w:rsidRPr="00143458">
        <w:rPr>
          <w:rFonts w:ascii="Book Antiqua" w:hAnsi="Book Antiqua"/>
        </w:rPr>
        <w:t>en los diferentes territorios, para posibilitar y gestionar la atención de los contextos de maltrato que afecten a las personas mayores.</w:t>
      </w:r>
    </w:p>
    <w:p w14:paraId="34C0689A" w14:textId="22969715" w:rsidR="00143458" w:rsidRDefault="00143458" w:rsidP="00D93F6F">
      <w:pPr>
        <w:jc w:val="both"/>
        <w:rPr>
          <w:rFonts w:ascii="Book Antiqua" w:hAnsi="Book Antiqua"/>
        </w:rPr>
      </w:pPr>
      <w:r w:rsidRPr="00143458">
        <w:rPr>
          <w:rFonts w:ascii="Book Antiqua" w:hAnsi="Book Antiqua"/>
        </w:rPr>
        <w:t>Por otra parte, el SENAMA y SERNAMEG firmaron un Convenio sobre la prevención de la Violencia en Adultos Mayores el año 2020. Este acuerdo busca facilitar el acceso de la población mayor a los programas de ambas instituciones.</w:t>
      </w:r>
    </w:p>
    <w:p w14:paraId="062EC9B0" w14:textId="67037366" w:rsidR="00143458" w:rsidRDefault="00143458" w:rsidP="00143458">
      <w:pPr>
        <w:spacing w:line="360" w:lineRule="auto"/>
        <w:jc w:val="both"/>
        <w:rPr>
          <w:rFonts w:ascii="Book Antiqua" w:hAnsi="Book Antiqua"/>
          <w:i/>
          <w:sz w:val="24"/>
          <w:szCs w:val="24"/>
        </w:rPr>
      </w:pPr>
      <w:r w:rsidRPr="00143458">
        <w:rPr>
          <w:rFonts w:ascii="Book Antiqua" w:hAnsi="Book Antiqua"/>
          <w:i/>
          <w:sz w:val="24"/>
          <w:szCs w:val="24"/>
        </w:rPr>
        <w:t>12. Sírvase compartir información sobre los mecanismos de denuncia, rendición de cuentas, reparación y protección disponibles y destinados a las mujeres de edad víctimas de la violencia y la discriminación por motivos de género.</w:t>
      </w:r>
    </w:p>
    <w:p w14:paraId="29EBA6EC" w14:textId="38488D97" w:rsidR="00143458" w:rsidRPr="00143458" w:rsidRDefault="00143458" w:rsidP="004F797B">
      <w:pPr>
        <w:spacing w:after="20"/>
        <w:jc w:val="both"/>
        <w:rPr>
          <w:rFonts w:ascii="Book Antiqua" w:hAnsi="Book Antiqua"/>
        </w:rPr>
      </w:pPr>
      <w:r w:rsidRPr="00143458">
        <w:rPr>
          <w:rFonts w:ascii="Book Antiqua" w:hAnsi="Book Antiqua"/>
        </w:rPr>
        <w:t xml:space="preserve">El Sistema Integral de Información y Atención Ciudadana (SIAC) de la cual es parte la Oficina de informaciones, Reclamos, Sugerencias y Felicitaciones (OIRS), es una iniciativa para dotar a los servicios públicos, de dispositivos eficientes de atención a personas usuarias, constituyéndose como </w:t>
      </w:r>
      <w:r w:rsidRPr="00143458">
        <w:rPr>
          <w:rFonts w:ascii="Book Antiqua" w:hAnsi="Book Antiqua"/>
        </w:rPr>
        <w:lastRenderedPageBreak/>
        <w:t>espacios de atención y comunicación que permite a las personas entrar en contacto con los diferentes Servicios, así como vincularse con otras reparticiones públicas, garantizando el acceso oportuno a información, sin discriminación de ninguna especie.</w:t>
      </w:r>
    </w:p>
    <w:p w14:paraId="506F72EA" w14:textId="77777777" w:rsidR="00143458" w:rsidRPr="00143458" w:rsidRDefault="00143458" w:rsidP="004F797B">
      <w:pPr>
        <w:spacing w:after="20"/>
        <w:jc w:val="both"/>
        <w:rPr>
          <w:rFonts w:ascii="Book Antiqua" w:hAnsi="Book Antiqua"/>
        </w:rPr>
      </w:pPr>
      <w:r w:rsidRPr="00143458">
        <w:rPr>
          <w:rFonts w:ascii="Book Antiqua" w:hAnsi="Book Antiqua"/>
        </w:rPr>
        <w:t>El Fono Mayor es uno de los canales de atención del Sistema Integral de Información y Atención Ciudadana (SIAC) de SENAMA, al cual ya se hizo referencia. Hoy funciona como Fono Mayor Covid 19, en el marco de la pandemia. Esta línea de acción se visto fortalecida para promover que el aislamiento físico de las personas mayores, necesario para la prevención de contagios y autocuidado, no se transforme en aislamiento social, entre otros aspectos.</w:t>
      </w:r>
    </w:p>
    <w:p w14:paraId="5E986A46" w14:textId="1E700B58" w:rsidR="00143458" w:rsidRPr="00143458" w:rsidRDefault="00143458" w:rsidP="004F797B">
      <w:pPr>
        <w:spacing w:after="20"/>
        <w:jc w:val="both"/>
        <w:rPr>
          <w:rFonts w:ascii="Book Antiqua" w:hAnsi="Book Antiqua"/>
        </w:rPr>
      </w:pPr>
      <w:r w:rsidRPr="00143458">
        <w:rPr>
          <w:rFonts w:ascii="Book Antiqua" w:hAnsi="Book Antiqua"/>
        </w:rPr>
        <w:t>Asimismo, desde el Programa Buen Trato al Adulto Mayor de SENAMA, se cuenta con la figura del Defensor Mayor, quien entrega asesoría especializada y derivación oportuna hacia los dispositivos y también a través de los oficios se informa a las entidades competentes de posibles vulneraciones de derechos a las personas mayores.   Unido a lo anterior, existen articulaciones y coordinaciones con la Red de Asistencia a Víctimas (RAV) y con SernamEG.</w:t>
      </w:r>
    </w:p>
    <w:p w14:paraId="4FA4ACFB" w14:textId="77777777" w:rsidR="00143458" w:rsidRPr="00143458" w:rsidRDefault="00143458" w:rsidP="004F797B">
      <w:pPr>
        <w:spacing w:after="20"/>
        <w:jc w:val="both"/>
        <w:rPr>
          <w:rFonts w:ascii="Book Antiqua" w:hAnsi="Book Antiqua"/>
        </w:rPr>
      </w:pPr>
      <w:r w:rsidRPr="00143458">
        <w:rPr>
          <w:rFonts w:ascii="Book Antiqua" w:hAnsi="Book Antiqua"/>
        </w:rPr>
        <w:t xml:space="preserve">Finalmente, reiterar que SENAMA no es un canal formal de denuncia, sino que éstas son realizadas ante las Policías (PDI, Carabineros), Ministerio Público (Fiscalías) y Poder Judicial (Tribunales). </w:t>
      </w:r>
    </w:p>
    <w:p w14:paraId="0A6F0519" w14:textId="5B8652C8" w:rsidR="00143458" w:rsidRPr="00143458" w:rsidRDefault="00143458" w:rsidP="004F797B">
      <w:pPr>
        <w:spacing w:after="20"/>
        <w:jc w:val="both"/>
        <w:rPr>
          <w:rFonts w:ascii="Book Antiqua" w:hAnsi="Book Antiqua"/>
        </w:rPr>
      </w:pPr>
      <w:r w:rsidRPr="00143458">
        <w:rPr>
          <w:rFonts w:ascii="Book Antiqua" w:hAnsi="Book Antiqua"/>
        </w:rPr>
        <w:t>Señalar que la reparación y protección disponibles y destinados a las mujeres de edad es abordado desde el SernamEG (Servicio Nacional de la mujer y la Equidad de Género</w:t>
      </w:r>
      <w:r w:rsidR="004F797B">
        <w:rPr>
          <w:rFonts w:ascii="Book Antiqua" w:hAnsi="Book Antiqua"/>
        </w:rPr>
        <w:t xml:space="preserve">). </w:t>
      </w:r>
    </w:p>
    <w:p w14:paraId="523559A3" w14:textId="10C7CF03" w:rsidR="00A30FF8" w:rsidRDefault="00A30FF8" w:rsidP="00C64E0C">
      <w:pPr>
        <w:jc w:val="both"/>
        <w:rPr>
          <w:rFonts w:ascii="Book Antiqua" w:hAnsi="Book Antiqua"/>
          <w:sz w:val="24"/>
          <w:szCs w:val="24"/>
        </w:rPr>
      </w:pPr>
      <w:r>
        <w:rPr>
          <w:rFonts w:ascii="Book Antiqua" w:hAnsi="Book Antiqua"/>
          <w:sz w:val="24"/>
          <w:szCs w:val="24"/>
        </w:rPr>
        <w:br w:type="page"/>
      </w:r>
    </w:p>
    <w:p w14:paraId="02284A38" w14:textId="77777777" w:rsidR="00A30FF8" w:rsidRPr="00A30FF8" w:rsidRDefault="00A30FF8" w:rsidP="00A30FF8">
      <w:pPr>
        <w:ind w:hanging="2"/>
        <w:jc w:val="both"/>
        <w:rPr>
          <w:rFonts w:ascii="Book Antiqua" w:hAnsi="Book Antiqua"/>
          <w:b/>
          <w:sz w:val="24"/>
          <w:szCs w:val="24"/>
        </w:rPr>
      </w:pPr>
      <w:r w:rsidRPr="00A30FF8">
        <w:rPr>
          <w:rFonts w:ascii="Book Antiqua" w:hAnsi="Book Antiqua"/>
          <w:b/>
          <w:sz w:val="24"/>
          <w:szCs w:val="24"/>
        </w:rPr>
        <w:lastRenderedPageBreak/>
        <w:t>Referencias</w:t>
      </w:r>
    </w:p>
    <w:p w14:paraId="5EB401AF" w14:textId="77777777" w:rsidR="00A30FF8" w:rsidRPr="00A30FF8" w:rsidRDefault="00A30FF8" w:rsidP="00A30FF8">
      <w:pPr>
        <w:pStyle w:val="Notasalpie"/>
        <w:numPr>
          <w:ilvl w:val="0"/>
          <w:numId w:val="29"/>
        </w:numPr>
        <w:spacing w:line="276" w:lineRule="auto"/>
        <w:rPr>
          <w:rFonts w:ascii="Book Antiqua" w:hAnsi="Book Antiqua"/>
          <w:sz w:val="20"/>
          <w:szCs w:val="20"/>
          <w:lang w:val="es-CL"/>
        </w:rPr>
      </w:pPr>
      <w:r w:rsidRPr="00A30FF8">
        <w:rPr>
          <w:rFonts w:ascii="Book Antiqua" w:hAnsi="Book Antiqua"/>
          <w:iCs/>
          <w:sz w:val="20"/>
          <w:szCs w:val="20"/>
          <w:lang w:val="es-CL"/>
        </w:rPr>
        <w:t xml:space="preserve">Aguirre Cuns, R y Scavino, S. (2016). Cuidar y ser cuidado en la vejez. Disponible en: </w:t>
      </w:r>
      <w:r w:rsidR="00645B4B">
        <w:fldChar w:fldCharType="begin"/>
      </w:r>
      <w:r w:rsidR="00645B4B" w:rsidRPr="005A3992">
        <w:rPr>
          <w:lang w:val="es-ES"/>
        </w:rPr>
        <w:instrText xml:space="preserve"> HYPERLINK "https://ojs.ehu.eus/index.php/papelesCEIC/article/view/15449" </w:instrText>
      </w:r>
      <w:r w:rsidR="00645B4B">
        <w:fldChar w:fldCharType="separate"/>
      </w:r>
      <w:r w:rsidRPr="00A30FF8">
        <w:rPr>
          <w:rStyle w:val="Hyperlink"/>
          <w:rFonts w:ascii="Book Antiqua" w:hAnsi="Book Antiqua"/>
          <w:iCs/>
          <w:sz w:val="20"/>
          <w:szCs w:val="20"/>
          <w:lang w:val="es-CL"/>
        </w:rPr>
        <w:t>https://ojs.ehu.eus/index.php/papelesCEIC/article/view/15449</w:t>
      </w:r>
      <w:r w:rsidR="00645B4B">
        <w:rPr>
          <w:rStyle w:val="Hyperlink"/>
          <w:rFonts w:ascii="Book Antiqua" w:hAnsi="Book Antiqua"/>
          <w:iCs/>
          <w:sz w:val="20"/>
          <w:szCs w:val="20"/>
          <w:lang w:val="es-CL"/>
        </w:rPr>
        <w:fldChar w:fldCharType="end"/>
      </w:r>
      <w:r w:rsidRPr="00A30FF8">
        <w:rPr>
          <w:rFonts w:ascii="Book Antiqua" w:hAnsi="Book Antiqua"/>
          <w:iCs/>
          <w:sz w:val="20"/>
          <w:szCs w:val="20"/>
          <w:lang w:val="es-CL"/>
        </w:rPr>
        <w:t>.</w:t>
      </w:r>
    </w:p>
    <w:p w14:paraId="3AB19162" w14:textId="77777777" w:rsidR="00A30FF8" w:rsidRPr="00A30FF8" w:rsidRDefault="00645B4B" w:rsidP="00A30FF8">
      <w:pPr>
        <w:pStyle w:val="Notasalpie"/>
        <w:numPr>
          <w:ilvl w:val="0"/>
          <w:numId w:val="29"/>
        </w:numPr>
        <w:spacing w:line="276" w:lineRule="auto"/>
        <w:rPr>
          <w:rFonts w:ascii="Book Antiqua" w:hAnsi="Book Antiqua"/>
          <w:sz w:val="20"/>
          <w:szCs w:val="20"/>
          <w:lang w:val="es-CL"/>
        </w:rPr>
      </w:pPr>
      <w:hyperlink r:id="rId11" w:history="1">
        <w:r w:rsidR="00A30FF8" w:rsidRPr="00A30FF8">
          <w:rPr>
            <w:rFonts w:ascii="Book Antiqua" w:hAnsi="Book Antiqua" w:cstheme="majorHAnsi"/>
            <w:sz w:val="20"/>
            <w:szCs w:val="20"/>
            <w:highlight w:val="white"/>
            <w:lang w:val="en-GB"/>
          </w:rPr>
          <w:t>Gilleard</w:t>
        </w:r>
      </w:hyperlink>
      <w:r w:rsidR="00A30FF8" w:rsidRPr="00A30FF8">
        <w:rPr>
          <w:rFonts w:ascii="Book Antiqua" w:hAnsi="Book Antiqua" w:cstheme="majorHAnsi"/>
          <w:sz w:val="20"/>
          <w:szCs w:val="20"/>
          <w:highlight w:val="white"/>
          <w:lang w:val="en-GB"/>
        </w:rPr>
        <w:t>, C y </w:t>
      </w:r>
      <w:hyperlink r:id="rId12" w:history="1">
        <w:r w:rsidR="00A30FF8" w:rsidRPr="00A30FF8">
          <w:rPr>
            <w:rFonts w:ascii="Book Antiqua" w:hAnsi="Book Antiqua" w:cstheme="majorHAnsi"/>
            <w:sz w:val="20"/>
            <w:szCs w:val="20"/>
            <w:highlight w:val="white"/>
            <w:lang w:val="en-GB"/>
          </w:rPr>
          <w:t>Higgs</w:t>
        </w:r>
      </w:hyperlink>
      <w:r w:rsidR="00A30FF8" w:rsidRPr="00A30FF8">
        <w:rPr>
          <w:rFonts w:ascii="Book Antiqua" w:hAnsi="Book Antiqua" w:cstheme="majorHAnsi"/>
          <w:sz w:val="20"/>
          <w:szCs w:val="20"/>
          <w:highlight w:val="white"/>
          <w:lang w:val="en-GB"/>
        </w:rPr>
        <w:t>, P (2016).</w:t>
      </w:r>
      <w:r w:rsidR="00A30FF8" w:rsidRPr="00A30FF8">
        <w:rPr>
          <w:rFonts w:ascii="Book Antiqua" w:hAnsi="Book Antiqua" w:cstheme="majorHAnsi"/>
          <w:sz w:val="20"/>
          <w:szCs w:val="20"/>
          <w:lang w:val="en-GB"/>
        </w:rPr>
        <w:t xml:space="preserve"> Connecting Life Span Development with the Sociology of the Life Course: A New Direction. </w:t>
      </w:r>
      <w:r w:rsidR="00A30FF8" w:rsidRPr="00A30FF8">
        <w:rPr>
          <w:rFonts w:ascii="Book Antiqua" w:hAnsi="Book Antiqua" w:cstheme="majorHAnsi"/>
          <w:sz w:val="20"/>
          <w:szCs w:val="20"/>
          <w:lang w:val="es-ES"/>
        </w:rPr>
        <w:t xml:space="preserve">Disponible en: </w:t>
      </w:r>
      <w:hyperlink r:id="rId13" w:history="1">
        <w:r w:rsidR="00A30FF8" w:rsidRPr="00A30FF8">
          <w:rPr>
            <w:rStyle w:val="Hyperlink"/>
            <w:rFonts w:ascii="Book Antiqua" w:hAnsi="Book Antiqua" w:cstheme="majorHAnsi"/>
            <w:sz w:val="20"/>
            <w:szCs w:val="20"/>
            <w:lang w:val="es-ES"/>
          </w:rPr>
          <w:t>https://pubmed.ncbi.nlm.nih.gov/27041774/</w:t>
        </w:r>
      </w:hyperlink>
      <w:r w:rsidR="00A30FF8" w:rsidRPr="00A30FF8">
        <w:rPr>
          <w:rFonts w:ascii="Book Antiqua" w:hAnsi="Book Antiqua" w:cstheme="majorHAnsi"/>
          <w:sz w:val="20"/>
          <w:szCs w:val="20"/>
          <w:lang w:val="es-ES"/>
        </w:rPr>
        <w:t xml:space="preserve">. </w:t>
      </w:r>
    </w:p>
    <w:p w14:paraId="49234247" w14:textId="77777777" w:rsidR="00A30FF8" w:rsidRPr="00A30FF8" w:rsidRDefault="00A30FF8" w:rsidP="00A30FF8">
      <w:pPr>
        <w:pStyle w:val="Notasalpie"/>
        <w:numPr>
          <w:ilvl w:val="0"/>
          <w:numId w:val="29"/>
        </w:numPr>
        <w:spacing w:line="276" w:lineRule="auto"/>
        <w:rPr>
          <w:rFonts w:ascii="Book Antiqua" w:hAnsi="Book Antiqua"/>
          <w:sz w:val="20"/>
          <w:szCs w:val="20"/>
          <w:lang w:val="es-ES"/>
        </w:rPr>
      </w:pPr>
      <w:proofErr w:type="spellStart"/>
      <w:r w:rsidRPr="00A30FF8">
        <w:rPr>
          <w:rFonts w:ascii="Book Antiqua" w:hAnsi="Book Antiqua" w:cstheme="majorHAnsi"/>
          <w:sz w:val="20"/>
          <w:szCs w:val="20"/>
          <w:highlight w:val="white"/>
          <w:lang w:val="es-ES"/>
        </w:rPr>
        <w:t>Huenchuan</w:t>
      </w:r>
      <w:proofErr w:type="spellEnd"/>
      <w:r w:rsidRPr="00A30FF8">
        <w:rPr>
          <w:rFonts w:ascii="Book Antiqua" w:hAnsi="Book Antiqua" w:cstheme="majorHAnsi"/>
          <w:sz w:val="20"/>
          <w:szCs w:val="20"/>
          <w:highlight w:val="white"/>
          <w:lang w:val="es-ES"/>
        </w:rPr>
        <w:t xml:space="preserve">, S. (2020). Covid-19: </w:t>
      </w:r>
      <w:r w:rsidRPr="00A30FF8">
        <w:rPr>
          <w:rFonts w:ascii="Book Antiqua" w:hAnsi="Book Antiqua" w:cstheme="majorHAnsi"/>
          <w:i/>
          <w:iCs/>
          <w:sz w:val="20"/>
          <w:szCs w:val="20"/>
          <w:highlight w:val="white"/>
          <w:lang w:val="es-ES"/>
        </w:rPr>
        <w:t>Recomendaciones generales para la atención a personas mayores desde una perspectiva de derechos humanos</w:t>
      </w:r>
      <w:r w:rsidRPr="00A30FF8">
        <w:rPr>
          <w:rFonts w:ascii="Book Antiqua" w:hAnsi="Book Antiqua" w:cstheme="majorHAnsi"/>
          <w:sz w:val="20"/>
          <w:szCs w:val="20"/>
          <w:highlight w:val="white"/>
          <w:lang w:val="es-ES"/>
        </w:rPr>
        <w:t>.</w:t>
      </w:r>
      <w:r w:rsidRPr="00A30FF8">
        <w:rPr>
          <w:rFonts w:ascii="Book Antiqua" w:hAnsi="Book Antiqua" w:cstheme="majorHAnsi"/>
          <w:sz w:val="20"/>
          <w:szCs w:val="20"/>
          <w:lang w:val="es-ES"/>
        </w:rPr>
        <w:t xml:space="preserve"> Disponible en: </w:t>
      </w:r>
      <w:hyperlink r:id="rId14" w:history="1">
        <w:r w:rsidRPr="00A30FF8">
          <w:rPr>
            <w:rFonts w:ascii="Book Antiqua" w:hAnsi="Book Antiqua"/>
            <w:sz w:val="20"/>
            <w:szCs w:val="20"/>
            <w:highlight w:val="white"/>
            <w:lang w:val="es-ES"/>
          </w:rPr>
          <w:t>https://www.cepal.org/es/publicaciones/45316-covid-19-recomendaciones-generales-la-atencion-personas-mayores-perspectiva</w:t>
        </w:r>
      </w:hyperlink>
      <w:r w:rsidRPr="00A30FF8">
        <w:rPr>
          <w:rFonts w:ascii="Book Antiqua" w:hAnsi="Book Antiqua"/>
          <w:sz w:val="20"/>
          <w:szCs w:val="20"/>
          <w:lang w:val="es-ES"/>
        </w:rPr>
        <w:t>.</w:t>
      </w:r>
    </w:p>
    <w:p w14:paraId="68B28A49" w14:textId="77777777" w:rsidR="00A30FF8" w:rsidRPr="00A30FF8" w:rsidRDefault="00A30FF8" w:rsidP="00A30FF8">
      <w:pPr>
        <w:pStyle w:val="Notasalpie"/>
        <w:numPr>
          <w:ilvl w:val="0"/>
          <w:numId w:val="29"/>
        </w:numPr>
        <w:spacing w:line="276" w:lineRule="auto"/>
        <w:rPr>
          <w:rFonts w:ascii="Book Antiqua" w:hAnsi="Book Antiqua"/>
          <w:sz w:val="20"/>
          <w:szCs w:val="20"/>
          <w:lang w:val="es-ES"/>
        </w:rPr>
      </w:pPr>
      <w:r w:rsidRPr="00A30FF8">
        <w:rPr>
          <w:rFonts w:ascii="Book Antiqua" w:hAnsi="Book Antiqua" w:cstheme="majorHAnsi"/>
          <w:sz w:val="20"/>
          <w:szCs w:val="20"/>
          <w:lang w:val="es-ES"/>
        </w:rPr>
        <w:t>Molano S.</w:t>
      </w:r>
      <w:r w:rsidRPr="00A30FF8">
        <w:rPr>
          <w:rFonts w:ascii="Book Antiqua" w:hAnsi="Book Antiqua"/>
          <w:sz w:val="20"/>
          <w:szCs w:val="20"/>
          <w:lang w:val="es-ES"/>
        </w:rPr>
        <w:t xml:space="preserve"> (2015). El derecho a la ciudad: de Henri </w:t>
      </w:r>
      <w:proofErr w:type="spellStart"/>
      <w:r w:rsidRPr="00A30FF8">
        <w:rPr>
          <w:rFonts w:ascii="Book Antiqua" w:hAnsi="Book Antiqua"/>
          <w:sz w:val="20"/>
          <w:szCs w:val="20"/>
          <w:lang w:val="es-ES"/>
        </w:rPr>
        <w:t>Lefebvre</w:t>
      </w:r>
      <w:proofErr w:type="spellEnd"/>
      <w:r w:rsidRPr="00A30FF8">
        <w:rPr>
          <w:rFonts w:ascii="Book Antiqua" w:hAnsi="Book Antiqua"/>
          <w:sz w:val="20"/>
          <w:szCs w:val="20"/>
          <w:lang w:val="es-ES"/>
        </w:rPr>
        <w:t xml:space="preserve"> a los análisis sobre la ciudad</w:t>
      </w:r>
    </w:p>
    <w:p w14:paraId="24701353" w14:textId="77777777" w:rsidR="00A30FF8" w:rsidRPr="00A30FF8" w:rsidRDefault="00A30FF8" w:rsidP="00A30FF8">
      <w:pPr>
        <w:pStyle w:val="Notasalpie"/>
        <w:spacing w:line="276" w:lineRule="auto"/>
        <w:ind w:left="720" w:firstLine="0"/>
        <w:rPr>
          <w:rFonts w:ascii="Book Antiqua" w:hAnsi="Book Antiqua"/>
          <w:sz w:val="20"/>
          <w:szCs w:val="20"/>
          <w:lang w:val="es-ES"/>
        </w:rPr>
      </w:pPr>
      <w:r w:rsidRPr="00A30FF8">
        <w:rPr>
          <w:rFonts w:ascii="Book Antiqua" w:hAnsi="Book Antiqua"/>
          <w:sz w:val="20"/>
          <w:szCs w:val="20"/>
          <w:lang w:val="es-ES"/>
        </w:rPr>
        <w:t>capitalista contemporánea. Disponible en: http://www.scielo.org.co/pdf/folios/n44/n44a01.pdf.</w:t>
      </w:r>
    </w:p>
    <w:p w14:paraId="7AA213D7" w14:textId="77777777" w:rsidR="00A30FF8" w:rsidRPr="00A30FF8" w:rsidRDefault="00A30FF8" w:rsidP="00A30FF8">
      <w:pPr>
        <w:pStyle w:val="Notasalpie"/>
        <w:spacing w:line="276" w:lineRule="auto"/>
        <w:ind w:left="720" w:firstLine="0"/>
        <w:rPr>
          <w:rFonts w:ascii="Book Antiqua" w:hAnsi="Book Antiqua"/>
          <w:sz w:val="20"/>
          <w:szCs w:val="20"/>
          <w:lang w:val="es-ES"/>
        </w:rPr>
      </w:pPr>
      <w:r w:rsidRPr="00A30FF8">
        <w:rPr>
          <w:rFonts w:ascii="Book Antiqua" w:hAnsi="Book Antiqua"/>
          <w:sz w:val="20"/>
          <w:szCs w:val="20"/>
          <w:lang w:val="es-ES"/>
        </w:rPr>
        <w:t xml:space="preserve">Salgado-de </w:t>
      </w:r>
      <w:proofErr w:type="spellStart"/>
      <w:r w:rsidRPr="00A30FF8">
        <w:rPr>
          <w:rFonts w:ascii="Book Antiqua" w:hAnsi="Book Antiqua"/>
          <w:sz w:val="20"/>
          <w:szCs w:val="20"/>
          <w:lang w:val="es-ES"/>
        </w:rPr>
        <w:t>Snyder</w:t>
      </w:r>
      <w:proofErr w:type="spellEnd"/>
      <w:r w:rsidRPr="00A30FF8">
        <w:rPr>
          <w:rFonts w:ascii="Book Antiqua" w:hAnsi="Book Antiqua"/>
          <w:sz w:val="20"/>
          <w:szCs w:val="20"/>
          <w:lang w:val="es-ES"/>
        </w:rPr>
        <w:t xml:space="preserve">, N y Wong, R. (2007). Género y pobreza: determinantes de la salud en la vejez. Disponible en: </w:t>
      </w:r>
      <w:hyperlink r:id="rId15" w:history="1">
        <w:r w:rsidRPr="00A30FF8">
          <w:rPr>
            <w:rStyle w:val="Hyperlink"/>
            <w:rFonts w:ascii="Book Antiqua" w:hAnsi="Book Antiqua"/>
            <w:sz w:val="20"/>
            <w:szCs w:val="20"/>
            <w:lang w:val="es-ES"/>
          </w:rPr>
          <w:t>http://www.scielo.org.mx/scielo.php?script=sci_arttext&amp;pid=S0036-36342007001000011</w:t>
        </w:r>
      </w:hyperlink>
      <w:r w:rsidRPr="00A30FF8">
        <w:rPr>
          <w:rFonts w:ascii="Book Antiqua" w:hAnsi="Book Antiqua"/>
          <w:sz w:val="20"/>
          <w:szCs w:val="20"/>
          <w:lang w:val="es-ES"/>
        </w:rPr>
        <w:t xml:space="preserve">. </w:t>
      </w:r>
    </w:p>
    <w:p w14:paraId="36E02441" w14:textId="77777777" w:rsidR="00A30FF8" w:rsidRPr="00A30FF8" w:rsidRDefault="00A30FF8" w:rsidP="00A30FF8">
      <w:pPr>
        <w:pStyle w:val="Notasalpie"/>
        <w:numPr>
          <w:ilvl w:val="0"/>
          <w:numId w:val="29"/>
        </w:numPr>
        <w:spacing w:line="276" w:lineRule="auto"/>
        <w:rPr>
          <w:rFonts w:ascii="Book Antiqua" w:hAnsi="Book Antiqua"/>
          <w:sz w:val="20"/>
          <w:szCs w:val="20"/>
          <w:lang w:val="es-ES"/>
        </w:rPr>
      </w:pPr>
      <w:r w:rsidRPr="00A30FF8">
        <w:rPr>
          <w:rFonts w:ascii="Book Antiqua" w:hAnsi="Book Antiqua" w:cstheme="majorHAnsi"/>
          <w:sz w:val="20"/>
          <w:szCs w:val="20"/>
          <w:lang w:val="es-ES"/>
        </w:rPr>
        <w:t>SENAMA.</w:t>
      </w:r>
      <w:r w:rsidRPr="00A30FF8">
        <w:rPr>
          <w:rFonts w:ascii="Book Antiqua" w:hAnsi="Book Antiqua"/>
          <w:sz w:val="20"/>
          <w:szCs w:val="20"/>
          <w:lang w:val="es-ES"/>
        </w:rPr>
        <w:t xml:space="preserve"> (2010). Las Personas Mayores en Chile: Situación, Avances y Desafíos del Envejecimiento y la Vejez. Disponible en: http://www.senama.gob.cl/storage/docs/Las-personas-mayores-de-chile-situacion-avances-desafios-del-envejecimiento-y-vejez-2009.pdf</w:t>
      </w:r>
    </w:p>
    <w:p w14:paraId="4FDBA2E9" w14:textId="77777777" w:rsidR="00A30FF8" w:rsidRPr="00A30FF8" w:rsidRDefault="00A30FF8" w:rsidP="00A30FF8">
      <w:pPr>
        <w:pStyle w:val="Notasalpie"/>
        <w:numPr>
          <w:ilvl w:val="0"/>
          <w:numId w:val="29"/>
        </w:numPr>
        <w:spacing w:line="276" w:lineRule="auto"/>
        <w:rPr>
          <w:rFonts w:ascii="Book Antiqua" w:hAnsi="Book Antiqua"/>
          <w:sz w:val="20"/>
          <w:szCs w:val="20"/>
          <w:lang w:val="es-ES"/>
        </w:rPr>
      </w:pPr>
      <w:r w:rsidRPr="00A30FF8">
        <w:rPr>
          <w:rFonts w:ascii="Book Antiqua" w:hAnsi="Book Antiqua"/>
          <w:sz w:val="20"/>
          <w:szCs w:val="20"/>
          <w:lang w:val="es-ES"/>
        </w:rPr>
        <w:t xml:space="preserve">SENAMA. (2010) Estudio Nacional de la Dependencia en las Personas Mayores. Disponible en: </w:t>
      </w:r>
      <w:hyperlink r:id="rId16" w:history="1">
        <w:r w:rsidRPr="00A30FF8">
          <w:rPr>
            <w:rStyle w:val="Hyperlink"/>
            <w:rFonts w:ascii="Book Antiqua" w:hAnsi="Book Antiqua"/>
            <w:sz w:val="20"/>
            <w:szCs w:val="20"/>
            <w:lang w:val="es-ES"/>
          </w:rPr>
          <w:t>http://www.senama.gob.cl/storage/docs/Dependencia-Personas-Mayores-2009.pdf</w:t>
        </w:r>
      </w:hyperlink>
      <w:r w:rsidRPr="00A30FF8">
        <w:rPr>
          <w:rFonts w:ascii="Book Antiqua" w:hAnsi="Book Antiqua"/>
          <w:sz w:val="20"/>
          <w:szCs w:val="20"/>
          <w:lang w:val="es-ES"/>
        </w:rPr>
        <w:t>.</w:t>
      </w:r>
    </w:p>
    <w:p w14:paraId="3805A18E" w14:textId="77777777" w:rsidR="00A30FF8" w:rsidRPr="00A30FF8" w:rsidRDefault="00A30FF8" w:rsidP="00A30FF8">
      <w:pPr>
        <w:pStyle w:val="Notasalpie"/>
        <w:numPr>
          <w:ilvl w:val="0"/>
          <w:numId w:val="29"/>
        </w:numPr>
        <w:spacing w:line="276" w:lineRule="auto"/>
        <w:rPr>
          <w:rFonts w:ascii="Book Antiqua" w:hAnsi="Book Antiqua"/>
          <w:sz w:val="20"/>
          <w:szCs w:val="20"/>
          <w:lang w:val="es-ES"/>
        </w:rPr>
      </w:pPr>
      <w:r w:rsidRPr="00A30FF8">
        <w:rPr>
          <w:rFonts w:ascii="Book Antiqua" w:hAnsi="Book Antiqua"/>
          <w:sz w:val="20"/>
          <w:szCs w:val="20"/>
          <w:lang w:val="es-ES"/>
        </w:rPr>
        <w:t xml:space="preserve">SENAMA (2017). </w:t>
      </w:r>
      <w:r w:rsidRPr="00A30FF8">
        <w:rPr>
          <w:rFonts w:ascii="Book Antiqua" w:hAnsi="Book Antiqua"/>
          <w:sz w:val="20"/>
          <w:szCs w:val="20"/>
          <w:lang w:val="es-CL"/>
        </w:rPr>
        <w:t xml:space="preserve">“QUINTA ENCUESTA NACIONAL DE INCLUSIÓN Y EXCLUSIÓN SOCIAL DE LAS PERSONAS MAYORES EN CHILE: Opiniones de la población chilena respecto al envejecimiento poblacional. Disponible en: </w:t>
      </w:r>
      <w:hyperlink r:id="rId17" w:history="1">
        <w:r w:rsidRPr="00A30FF8">
          <w:rPr>
            <w:rStyle w:val="Hyperlink"/>
            <w:rFonts w:ascii="Book Antiqua" w:hAnsi="Book Antiqua"/>
            <w:sz w:val="20"/>
            <w:szCs w:val="20"/>
            <w:lang w:val="es-CL"/>
          </w:rPr>
          <w:t>http://www.senama.gob.cl/storage/docs/SENAMA_libro_5ta_encuesta_BAJA_libro_final_JULIO.pdf</w:t>
        </w:r>
      </w:hyperlink>
      <w:r w:rsidRPr="00A30FF8">
        <w:rPr>
          <w:rFonts w:ascii="Book Antiqua" w:hAnsi="Book Antiqua"/>
          <w:sz w:val="20"/>
          <w:szCs w:val="20"/>
          <w:lang w:val="es-CL"/>
        </w:rPr>
        <w:t>.</w:t>
      </w:r>
    </w:p>
    <w:p w14:paraId="4B13A76A" w14:textId="77777777" w:rsidR="00A30FF8" w:rsidRPr="00A30FF8" w:rsidRDefault="00A30FF8" w:rsidP="00A30FF8">
      <w:pPr>
        <w:pStyle w:val="Notasalpie"/>
        <w:numPr>
          <w:ilvl w:val="0"/>
          <w:numId w:val="29"/>
        </w:numPr>
        <w:spacing w:line="276" w:lineRule="auto"/>
        <w:rPr>
          <w:rFonts w:ascii="Book Antiqua" w:hAnsi="Book Antiqua"/>
          <w:sz w:val="20"/>
          <w:szCs w:val="20"/>
          <w:lang w:val="es-ES"/>
        </w:rPr>
      </w:pPr>
      <w:r w:rsidRPr="00A30FF8">
        <w:rPr>
          <w:rFonts w:ascii="Book Antiqua" w:hAnsi="Book Antiqua"/>
          <w:sz w:val="20"/>
          <w:szCs w:val="20"/>
          <w:lang w:val="es-CL"/>
        </w:rPr>
        <w:t xml:space="preserve">SENAMA. (2013). El maltrato hacia las personas mayores en la Región Metropolitana, Chile Investigación cualitativa en vejez y envejecimiento. Disponible en: </w:t>
      </w:r>
      <w:hyperlink r:id="rId18" w:history="1">
        <w:r w:rsidRPr="00A30FF8">
          <w:rPr>
            <w:rStyle w:val="Hyperlink"/>
            <w:rFonts w:ascii="Book Antiqua" w:hAnsi="Book Antiqua"/>
            <w:sz w:val="20"/>
            <w:szCs w:val="20"/>
            <w:lang w:val="es-CL"/>
          </w:rPr>
          <w:t>http://www.senama.gob.cl/storage/docs/El-maltrato-hacia-las-personas-mayores-en-la-RM-2013-investigacion-cualitativa-en-vejez-y-envejecimiento-2013.pdf</w:t>
        </w:r>
      </w:hyperlink>
      <w:r w:rsidRPr="00A30FF8">
        <w:rPr>
          <w:rFonts w:ascii="Book Antiqua" w:hAnsi="Book Antiqua"/>
          <w:sz w:val="20"/>
          <w:szCs w:val="20"/>
          <w:lang w:val="es-CL"/>
        </w:rPr>
        <w:t>.</w:t>
      </w:r>
    </w:p>
    <w:p w14:paraId="4C0A7DC0" w14:textId="77777777" w:rsidR="00A30FF8" w:rsidRPr="00A30FF8" w:rsidRDefault="00A30FF8" w:rsidP="00A30FF8">
      <w:pPr>
        <w:pStyle w:val="Notasalpie"/>
        <w:numPr>
          <w:ilvl w:val="0"/>
          <w:numId w:val="29"/>
        </w:numPr>
        <w:spacing w:line="276" w:lineRule="auto"/>
        <w:rPr>
          <w:rFonts w:ascii="Book Antiqua" w:hAnsi="Book Antiqua"/>
          <w:sz w:val="20"/>
          <w:szCs w:val="20"/>
          <w:lang w:val="es-ES"/>
        </w:rPr>
      </w:pPr>
      <w:r w:rsidRPr="00A30FF8">
        <w:rPr>
          <w:rFonts w:ascii="Book Antiqua" w:hAnsi="Book Antiqua"/>
          <w:sz w:val="20"/>
          <w:szCs w:val="20"/>
          <w:lang w:val="es-CL"/>
        </w:rPr>
        <w:t xml:space="preserve">SENAMA. (2018) “Convención Interamericana sobre la protección de los derechos humanos de las Personas Mayores: ANÁLISIS DE BRECHAS LEGISLATIVAS Y PROPUESTAS PARA SU IMPLEMENTACIÓN EN CHILE”. Disponible en: </w:t>
      </w:r>
      <w:hyperlink r:id="rId19" w:history="1">
        <w:r w:rsidRPr="00A30FF8">
          <w:rPr>
            <w:rStyle w:val="Hyperlink"/>
            <w:rFonts w:ascii="Book Antiqua" w:hAnsi="Book Antiqua"/>
            <w:sz w:val="20"/>
            <w:szCs w:val="20"/>
            <w:lang w:val="es-CL"/>
          </w:rPr>
          <w:t>http://www.senama.gob.cl/storage/docs/SENAMA_libro_DDHH_final_FINAL.pdf</w:t>
        </w:r>
      </w:hyperlink>
      <w:r w:rsidRPr="00A30FF8">
        <w:rPr>
          <w:rFonts w:ascii="Book Antiqua" w:hAnsi="Book Antiqua"/>
          <w:sz w:val="20"/>
          <w:szCs w:val="20"/>
          <w:lang w:val="es-CL"/>
        </w:rPr>
        <w:t>.</w:t>
      </w:r>
    </w:p>
    <w:p w14:paraId="49870C56" w14:textId="77777777" w:rsidR="00A30FF8" w:rsidRPr="00A30FF8" w:rsidRDefault="00A30FF8" w:rsidP="00A30FF8">
      <w:pPr>
        <w:pStyle w:val="Notasalpie"/>
        <w:numPr>
          <w:ilvl w:val="0"/>
          <w:numId w:val="29"/>
        </w:numPr>
        <w:spacing w:line="276" w:lineRule="auto"/>
        <w:rPr>
          <w:rFonts w:ascii="Book Antiqua" w:hAnsi="Book Antiqua"/>
          <w:sz w:val="20"/>
          <w:szCs w:val="20"/>
          <w:lang w:val="es-ES"/>
        </w:rPr>
      </w:pPr>
      <w:r w:rsidRPr="00A30FF8">
        <w:rPr>
          <w:rFonts w:ascii="Book Antiqua" w:hAnsi="Book Antiqua"/>
          <w:sz w:val="20"/>
          <w:szCs w:val="20"/>
          <w:lang w:val="es-CL"/>
        </w:rPr>
        <w:t xml:space="preserve">Yañez, S. (2010). </w:t>
      </w:r>
      <w:r w:rsidRPr="00A30FF8">
        <w:rPr>
          <w:rFonts w:ascii="Book Antiqua" w:hAnsi="Book Antiqua"/>
          <w:sz w:val="20"/>
          <w:szCs w:val="20"/>
          <w:lang w:val="es-ES"/>
        </w:rPr>
        <w:t xml:space="preserve">La dimensión de género en la reforma previsional chilena (Ley </w:t>
      </w:r>
      <w:proofErr w:type="gramStart"/>
      <w:r w:rsidRPr="00A30FF8">
        <w:rPr>
          <w:rFonts w:ascii="Book Antiqua" w:hAnsi="Book Antiqua"/>
          <w:sz w:val="20"/>
          <w:szCs w:val="20"/>
          <w:lang w:val="es-ES"/>
        </w:rPr>
        <w:t>No  20.255</w:t>
      </w:r>
      <w:proofErr w:type="gramEnd"/>
      <w:r w:rsidRPr="00A30FF8">
        <w:rPr>
          <w:rFonts w:ascii="Book Antiqua" w:hAnsi="Book Antiqua"/>
          <w:sz w:val="20"/>
          <w:szCs w:val="20"/>
          <w:lang w:val="es-ES"/>
        </w:rPr>
        <w:t xml:space="preserve"> de reforma de pensiones). Disponible en: </w:t>
      </w:r>
      <w:hyperlink r:id="rId20" w:history="1">
        <w:r w:rsidRPr="00A30FF8">
          <w:rPr>
            <w:rStyle w:val="Hyperlink"/>
            <w:rFonts w:ascii="Book Antiqua" w:hAnsi="Book Antiqua"/>
            <w:sz w:val="20"/>
            <w:szCs w:val="20"/>
            <w:lang w:val="es-ES"/>
          </w:rPr>
          <w:t>https://repositorio.cepal.org/bitstream/handle/11362/5823/1/S1000091_es.pdf</w:t>
        </w:r>
      </w:hyperlink>
      <w:r w:rsidRPr="00A30FF8">
        <w:rPr>
          <w:rFonts w:ascii="Book Antiqua" w:hAnsi="Book Antiqua"/>
          <w:sz w:val="20"/>
          <w:szCs w:val="20"/>
          <w:lang w:val="es-ES"/>
        </w:rPr>
        <w:t>.</w:t>
      </w:r>
    </w:p>
    <w:p w14:paraId="5C5D6E78" w14:textId="77777777" w:rsidR="00C64E0C" w:rsidRPr="00A30FF8" w:rsidRDefault="00C64E0C" w:rsidP="00C64E0C">
      <w:pPr>
        <w:jc w:val="both"/>
        <w:rPr>
          <w:rFonts w:ascii="Book Antiqua" w:hAnsi="Book Antiqua"/>
          <w:sz w:val="24"/>
          <w:szCs w:val="24"/>
          <w:lang w:val="es-ES"/>
        </w:rPr>
      </w:pPr>
    </w:p>
    <w:sectPr w:rsidR="00C64E0C" w:rsidRPr="00A30FF8" w:rsidSect="001C7D6A">
      <w:footerReference w:type="default" r:id="rId21"/>
      <w:pgSz w:w="12240" w:h="15840"/>
      <w:pgMar w:top="2207"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5C9E3E" w14:textId="77777777" w:rsidR="00645B4B" w:rsidRDefault="00645B4B" w:rsidP="00EE63B6">
      <w:pPr>
        <w:spacing w:after="0" w:line="240" w:lineRule="auto"/>
      </w:pPr>
      <w:r>
        <w:separator/>
      </w:r>
    </w:p>
  </w:endnote>
  <w:endnote w:type="continuationSeparator" w:id="0">
    <w:p w14:paraId="18DD3F8A" w14:textId="77777777" w:rsidR="00645B4B" w:rsidRDefault="00645B4B" w:rsidP="00EE6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FrizQuadrata BT">
    <w:altName w:val="Tahoma"/>
    <w:panose1 w:val="020B0604020202020204"/>
    <w:charset w:val="00"/>
    <w:family w:val="swiss"/>
    <w:pitch w:val="variable"/>
    <w:sig w:usb0="00000001"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5489772"/>
      <w:docPartObj>
        <w:docPartGallery w:val="Page Numbers (Bottom of Page)"/>
        <w:docPartUnique/>
      </w:docPartObj>
    </w:sdtPr>
    <w:sdtEndPr>
      <w:rPr>
        <w:rFonts w:ascii="Times New Roman" w:hAnsi="Times New Roman" w:cs="Times New Roman"/>
      </w:rPr>
    </w:sdtEndPr>
    <w:sdtContent>
      <w:p w14:paraId="1BFF0A65" w14:textId="02077E78" w:rsidR="004651EB" w:rsidRPr="00F7505B" w:rsidRDefault="004651EB">
        <w:pPr>
          <w:pStyle w:val="Footer"/>
          <w:jc w:val="right"/>
          <w:rPr>
            <w:rFonts w:ascii="Times New Roman" w:hAnsi="Times New Roman" w:cs="Times New Roman"/>
          </w:rPr>
        </w:pPr>
        <w:r w:rsidRPr="00F7505B">
          <w:rPr>
            <w:rFonts w:ascii="Times New Roman" w:hAnsi="Times New Roman" w:cs="Times New Roman"/>
          </w:rPr>
          <w:fldChar w:fldCharType="begin"/>
        </w:r>
        <w:r w:rsidRPr="00F7505B">
          <w:rPr>
            <w:rFonts w:ascii="Times New Roman" w:hAnsi="Times New Roman" w:cs="Times New Roman"/>
          </w:rPr>
          <w:instrText>PAGE   \* MERGEFORMAT</w:instrText>
        </w:r>
        <w:r w:rsidRPr="00F7505B">
          <w:rPr>
            <w:rFonts w:ascii="Times New Roman" w:hAnsi="Times New Roman" w:cs="Times New Roman"/>
          </w:rPr>
          <w:fldChar w:fldCharType="separate"/>
        </w:r>
        <w:r w:rsidR="00A30FF8" w:rsidRPr="00A30FF8">
          <w:rPr>
            <w:rFonts w:ascii="Times New Roman" w:hAnsi="Times New Roman" w:cs="Times New Roman"/>
            <w:noProof/>
            <w:lang w:val="es-ES"/>
          </w:rPr>
          <w:t>2</w:t>
        </w:r>
        <w:r w:rsidRPr="00F7505B">
          <w:rPr>
            <w:rFonts w:ascii="Times New Roman" w:hAnsi="Times New Roman" w:cs="Times New Roman"/>
          </w:rPr>
          <w:fldChar w:fldCharType="end"/>
        </w:r>
      </w:p>
    </w:sdtContent>
  </w:sdt>
  <w:p w14:paraId="223E7A58" w14:textId="77777777" w:rsidR="004651EB" w:rsidRDefault="004651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1653777"/>
      <w:docPartObj>
        <w:docPartGallery w:val="Page Numbers (Bottom of Page)"/>
        <w:docPartUnique/>
      </w:docPartObj>
    </w:sdtPr>
    <w:sdtEndPr>
      <w:rPr>
        <w:rFonts w:ascii="Book Antiqua" w:hAnsi="Book Antiqua"/>
      </w:rPr>
    </w:sdtEndPr>
    <w:sdtContent>
      <w:p w14:paraId="1B56BE9B" w14:textId="681CF152" w:rsidR="00B16CAD" w:rsidRPr="00E06C66" w:rsidRDefault="00BD7B5B">
        <w:pPr>
          <w:pStyle w:val="Footer"/>
          <w:jc w:val="right"/>
          <w:rPr>
            <w:rFonts w:ascii="Book Antiqua" w:hAnsi="Book Antiqua"/>
          </w:rPr>
        </w:pPr>
        <w:r w:rsidRPr="00E06C66">
          <w:rPr>
            <w:rFonts w:ascii="Book Antiqua" w:hAnsi="Book Antiqua"/>
          </w:rPr>
          <w:fldChar w:fldCharType="begin"/>
        </w:r>
        <w:r w:rsidRPr="00E06C66">
          <w:rPr>
            <w:rFonts w:ascii="Book Antiqua" w:hAnsi="Book Antiqua"/>
          </w:rPr>
          <w:instrText>PAGE   \* MERGEFORMAT</w:instrText>
        </w:r>
        <w:r w:rsidRPr="00E06C66">
          <w:rPr>
            <w:rFonts w:ascii="Book Antiqua" w:hAnsi="Book Antiqua"/>
          </w:rPr>
          <w:fldChar w:fldCharType="separate"/>
        </w:r>
        <w:r w:rsidR="00A30FF8" w:rsidRPr="00A30FF8">
          <w:rPr>
            <w:rFonts w:ascii="Book Antiqua" w:hAnsi="Book Antiqua"/>
            <w:noProof/>
            <w:lang w:val="es-ES"/>
          </w:rPr>
          <w:t>28</w:t>
        </w:r>
        <w:r w:rsidRPr="00E06C66">
          <w:rPr>
            <w:rFonts w:ascii="Book Antiqua" w:hAnsi="Book Antiqua"/>
          </w:rPr>
          <w:fldChar w:fldCharType="end"/>
        </w:r>
      </w:p>
    </w:sdtContent>
  </w:sdt>
  <w:p w14:paraId="69DAF6EE" w14:textId="77777777" w:rsidR="00B16CAD" w:rsidRDefault="00B16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57C8E1" w14:textId="77777777" w:rsidR="00645B4B" w:rsidRDefault="00645B4B" w:rsidP="00EE63B6">
      <w:pPr>
        <w:spacing w:after="0" w:line="240" w:lineRule="auto"/>
      </w:pPr>
      <w:r>
        <w:separator/>
      </w:r>
    </w:p>
  </w:footnote>
  <w:footnote w:type="continuationSeparator" w:id="0">
    <w:p w14:paraId="70E085B5" w14:textId="77777777" w:rsidR="00645B4B" w:rsidRDefault="00645B4B" w:rsidP="00EE63B6">
      <w:pPr>
        <w:spacing w:after="0" w:line="240" w:lineRule="auto"/>
      </w:pPr>
      <w:r>
        <w:continuationSeparator/>
      </w:r>
    </w:p>
  </w:footnote>
  <w:footnote w:id="1">
    <w:p w14:paraId="5FFB7EC8" w14:textId="7A6F7E75" w:rsidR="0033156F" w:rsidRPr="0033156F" w:rsidRDefault="0033156F">
      <w:pPr>
        <w:pStyle w:val="FootnoteText"/>
        <w:rPr>
          <w:rFonts w:ascii="Book Antiqua" w:hAnsi="Book Antiqua"/>
          <w:lang w:val="es-ES"/>
        </w:rPr>
      </w:pPr>
      <w:r w:rsidRPr="0033156F">
        <w:rPr>
          <w:rStyle w:val="FootnoteReference"/>
          <w:rFonts w:ascii="Book Antiqua" w:hAnsi="Book Antiqua"/>
        </w:rPr>
        <w:footnoteRef/>
      </w:r>
      <w:r w:rsidRPr="0033156F">
        <w:rPr>
          <w:rFonts w:ascii="Book Antiqua" w:hAnsi="Book Antiqua"/>
        </w:rPr>
        <w:t xml:space="preserve"> </w:t>
      </w:r>
      <w:hyperlink r:id="rId1">
        <w:r w:rsidRPr="0033156F">
          <w:rPr>
            <w:rFonts w:ascii="Book Antiqua" w:eastAsia="Arial" w:hAnsi="Book Antiqua" w:cs="Arial"/>
            <w:color w:val="1155CC"/>
            <w:u w:val="single"/>
          </w:rPr>
          <w:t>http://www.senama.gob.cl/storage/docs/SENAMA_libro_5ta_encuesta_BAJA_libro_final_JULIO.pdf</w:t>
        </w:r>
      </w:hyperlink>
    </w:p>
  </w:footnote>
  <w:footnote w:id="2">
    <w:p w14:paraId="53D2B538" w14:textId="77777777" w:rsidR="001C7D6A" w:rsidRPr="001C7D6A" w:rsidRDefault="001C7D6A" w:rsidP="001C7D6A">
      <w:pPr>
        <w:spacing w:after="0"/>
        <w:jc w:val="both"/>
        <w:rPr>
          <w:rFonts w:ascii="Book Antiqua" w:hAnsi="Book Antiqua" w:cstheme="minorHAnsi"/>
          <w:sz w:val="18"/>
          <w:szCs w:val="18"/>
        </w:rPr>
      </w:pPr>
      <w:r w:rsidRPr="001C7D6A">
        <w:rPr>
          <w:rStyle w:val="FootnoteReference"/>
          <w:sz w:val="18"/>
          <w:szCs w:val="18"/>
        </w:rPr>
        <w:footnoteRef/>
      </w:r>
      <w:r w:rsidRPr="001C7D6A">
        <w:rPr>
          <w:sz w:val="18"/>
          <w:szCs w:val="18"/>
          <w:lang w:val="es-ES"/>
        </w:rPr>
        <w:t xml:space="preserve"> </w:t>
      </w:r>
      <w:r w:rsidRPr="001C7D6A">
        <w:rPr>
          <w:rFonts w:ascii="Book Antiqua" w:hAnsi="Book Antiqua" w:cstheme="minorHAnsi"/>
          <w:sz w:val="18"/>
          <w:szCs w:val="18"/>
        </w:rPr>
        <w:t>La inclusión primaria, que comprende los grados del efectivo reconocimiento institucional y protección que se extiende a las personas adultas mayores, considera una evaluación de las posibilidades de contar con prestaciones que contribuyen a su existencia material, biológica, psíquica y social. Estas posibilidades se adjudican a las decisiones de los agentes políticos que son los responsables de diagnosticar, anticipar y responder adecuadamente a las demandas sociales. Su balance indica el capital socio-estructural del país, sus déficits (las exclusiones) reflejan las carencias e inequidades percibidas.</w:t>
      </w:r>
    </w:p>
    <w:p w14:paraId="21907B1C" w14:textId="557F06C0" w:rsidR="001C7D6A" w:rsidRPr="001C7D6A" w:rsidRDefault="001C7D6A">
      <w:pPr>
        <w:pStyle w:val="FootnoteText"/>
        <w:rPr>
          <w:lang w:val="es-CL"/>
        </w:rPr>
      </w:pPr>
    </w:p>
  </w:footnote>
  <w:footnote w:id="3">
    <w:p w14:paraId="10A289B5" w14:textId="1B8BBE8B" w:rsidR="00382839" w:rsidRPr="00382839" w:rsidRDefault="00382839" w:rsidP="00382839">
      <w:pPr>
        <w:pStyle w:val="FootnoteText"/>
        <w:jc w:val="both"/>
        <w:rPr>
          <w:rFonts w:ascii="Book Antiqua" w:hAnsi="Book Antiqua"/>
          <w:lang w:val="es-ES"/>
        </w:rPr>
      </w:pPr>
      <w:r w:rsidRPr="00382839">
        <w:rPr>
          <w:rStyle w:val="FootnoteReference"/>
          <w:rFonts w:ascii="Book Antiqua" w:hAnsi="Book Antiqua"/>
        </w:rPr>
        <w:footnoteRef/>
      </w:r>
      <w:r w:rsidRPr="00382839">
        <w:rPr>
          <w:rFonts w:ascii="Book Antiqua" w:hAnsi="Book Antiqua"/>
          <w:lang w:val="es-ES"/>
        </w:rPr>
        <w:t xml:space="preserve"> </w:t>
      </w:r>
      <w:hyperlink r:id="rId2">
        <w:r w:rsidRPr="00382839">
          <w:rPr>
            <w:rFonts w:ascii="Book Antiqua" w:eastAsia="Arial" w:hAnsi="Book Antiqua" w:cs="Arial"/>
            <w:color w:val="1155CC"/>
            <w:u w:val="single"/>
            <w:lang w:val="es-ES"/>
          </w:rPr>
          <w:t>https://www.who.int/es/news/item/29-09-2016-discrimination-and-negative-attitudes-about-ageing-are-bad-for-your-health</w:t>
        </w:r>
      </w:hyperlink>
    </w:p>
  </w:footnote>
  <w:footnote w:id="4">
    <w:p w14:paraId="68FA8041" w14:textId="77777777" w:rsidR="00382839" w:rsidRPr="00382839" w:rsidRDefault="00382839" w:rsidP="00382839">
      <w:pPr>
        <w:spacing w:after="0" w:line="240" w:lineRule="auto"/>
        <w:ind w:hanging="2"/>
        <w:jc w:val="both"/>
        <w:rPr>
          <w:rFonts w:ascii="Book Antiqua" w:eastAsia="Arial" w:hAnsi="Book Antiqua" w:cs="Arial"/>
          <w:sz w:val="20"/>
          <w:szCs w:val="20"/>
        </w:rPr>
      </w:pPr>
      <w:r w:rsidRPr="00382839">
        <w:rPr>
          <w:rStyle w:val="FootnoteReference"/>
          <w:rFonts w:ascii="Book Antiqua" w:hAnsi="Book Antiqua"/>
          <w:sz w:val="20"/>
          <w:szCs w:val="20"/>
        </w:rPr>
        <w:footnoteRef/>
      </w:r>
      <w:r w:rsidRPr="00382839">
        <w:rPr>
          <w:rFonts w:ascii="Book Antiqua" w:hAnsi="Book Antiqua"/>
          <w:sz w:val="20"/>
          <w:szCs w:val="20"/>
        </w:rPr>
        <w:t xml:space="preserve"> </w:t>
      </w:r>
      <w:r w:rsidRPr="00382839">
        <w:rPr>
          <w:rFonts w:ascii="Book Antiqua" w:eastAsia="Arial" w:hAnsi="Book Antiqua" w:cs="Arial"/>
          <w:sz w:val="20"/>
          <w:szCs w:val="20"/>
        </w:rPr>
        <w:t>FLACSO. (2015). Informe Técnico para el Diseño de Plan de Trabajo para reorientación de</w:t>
      </w:r>
    </w:p>
    <w:p w14:paraId="162523F2" w14:textId="6D1729BB" w:rsidR="00382839" w:rsidRPr="00382839" w:rsidRDefault="00382839" w:rsidP="00382839">
      <w:pPr>
        <w:pStyle w:val="FootnoteText"/>
        <w:jc w:val="both"/>
        <w:rPr>
          <w:rFonts w:ascii="Book Antiqua" w:hAnsi="Book Antiqua"/>
          <w:lang w:val="es-ES"/>
        </w:rPr>
      </w:pPr>
      <w:r w:rsidRPr="00382839">
        <w:rPr>
          <w:rFonts w:ascii="Book Antiqua" w:eastAsia="Arial" w:hAnsi="Book Antiqua" w:cs="Arial"/>
          <w:lang w:val="es-ES"/>
        </w:rPr>
        <w:t>Programas de Salud Pública. Chile: Facultad Latinoamericana de Ciencias Sociales.</w:t>
      </w:r>
    </w:p>
  </w:footnote>
  <w:footnote w:id="5">
    <w:p w14:paraId="15D4E7D8" w14:textId="5955B835" w:rsidR="00382839" w:rsidRPr="00382839" w:rsidRDefault="00382839" w:rsidP="00382839">
      <w:pPr>
        <w:pStyle w:val="FootnoteText"/>
        <w:jc w:val="both"/>
        <w:rPr>
          <w:lang w:val="es-ES"/>
        </w:rPr>
      </w:pPr>
      <w:r w:rsidRPr="00382839">
        <w:rPr>
          <w:rStyle w:val="FootnoteReference"/>
          <w:rFonts w:ascii="Book Antiqua" w:hAnsi="Book Antiqua"/>
        </w:rPr>
        <w:footnoteRef/>
      </w:r>
      <w:r w:rsidRPr="00382839">
        <w:rPr>
          <w:rFonts w:ascii="Book Antiqua" w:hAnsi="Book Antiqua"/>
          <w:lang w:val="es-ES"/>
        </w:rPr>
        <w:t xml:space="preserve"> </w:t>
      </w:r>
      <w:r w:rsidRPr="00382839">
        <w:rPr>
          <w:rFonts w:ascii="Book Antiqua" w:eastAsia="Arial" w:hAnsi="Book Antiqua" w:cs="Arial"/>
          <w:lang w:val="es-ES"/>
        </w:rPr>
        <w:t xml:space="preserve">Ministerio de Salud Chile. (2014). Orientaciones para Planes Comunales de promoción de la Salud. Recuperado de </w:t>
      </w:r>
      <w:hyperlink r:id="rId3">
        <w:r w:rsidRPr="00382839">
          <w:rPr>
            <w:rFonts w:ascii="Book Antiqua" w:eastAsia="Arial" w:hAnsi="Book Antiqua" w:cs="Arial"/>
            <w:color w:val="1155CC"/>
            <w:u w:val="single"/>
            <w:lang w:val="es-ES"/>
          </w:rPr>
          <w:t>http://web.minsal.cl/sites/default/files/orienplancom2014.pdf</w:t>
        </w:r>
      </w:hyperlink>
    </w:p>
  </w:footnote>
  <w:footnote w:id="6">
    <w:p w14:paraId="0D4F2D49" w14:textId="1D13A2BC" w:rsidR="00382839" w:rsidRPr="00382839" w:rsidRDefault="00382839">
      <w:pPr>
        <w:pStyle w:val="FootnoteText"/>
        <w:rPr>
          <w:rFonts w:ascii="Book Antiqua" w:hAnsi="Book Antiqua"/>
          <w:lang w:val="es-ES"/>
        </w:rPr>
      </w:pPr>
      <w:r w:rsidRPr="00382839">
        <w:rPr>
          <w:rStyle w:val="FootnoteReference"/>
          <w:rFonts w:ascii="Book Antiqua" w:hAnsi="Book Antiqua"/>
        </w:rPr>
        <w:footnoteRef/>
      </w:r>
      <w:r w:rsidRPr="00382839">
        <w:rPr>
          <w:rFonts w:ascii="Book Antiqua" w:hAnsi="Book Antiqua"/>
          <w:lang w:val="es-ES"/>
        </w:rPr>
        <w:t xml:space="preserve"> </w:t>
      </w:r>
      <w:hyperlink r:id="rId4">
        <w:r w:rsidRPr="00382839">
          <w:rPr>
            <w:rFonts w:ascii="Book Antiqua" w:eastAsia="Arial" w:hAnsi="Book Antiqua" w:cs="Arial"/>
            <w:color w:val="1155CC"/>
            <w:u w:val="single"/>
            <w:lang w:val="es-ES"/>
          </w:rPr>
          <w:t>https://www.minsal.cl/sites/default/files/La_construccion_intersectorialidad_salud.pdf</w:t>
        </w:r>
      </w:hyperlink>
    </w:p>
  </w:footnote>
  <w:footnote w:id="7">
    <w:p w14:paraId="2DB98D32" w14:textId="582B93D9" w:rsidR="00382839" w:rsidRPr="00382839" w:rsidRDefault="00382839">
      <w:pPr>
        <w:pStyle w:val="FootnoteText"/>
        <w:rPr>
          <w:rFonts w:ascii="Book Antiqua" w:hAnsi="Book Antiqua"/>
          <w:lang w:val="es-ES"/>
        </w:rPr>
      </w:pPr>
      <w:r w:rsidRPr="00382839">
        <w:rPr>
          <w:rStyle w:val="FootnoteReference"/>
          <w:rFonts w:ascii="Book Antiqua" w:hAnsi="Book Antiqua"/>
        </w:rPr>
        <w:footnoteRef/>
      </w:r>
      <w:r w:rsidRPr="00382839">
        <w:rPr>
          <w:rFonts w:ascii="Book Antiqua" w:hAnsi="Book Antiqua"/>
          <w:lang w:val="es-ES"/>
        </w:rPr>
        <w:t xml:space="preserve"> </w:t>
      </w:r>
      <w:hyperlink r:id="rId5">
        <w:r w:rsidRPr="00382839">
          <w:rPr>
            <w:rFonts w:ascii="Book Antiqua" w:eastAsia="Arial" w:hAnsi="Book Antiqua" w:cs="Arial"/>
            <w:color w:val="1155CC"/>
            <w:highlight w:val="white"/>
            <w:u w:val="single"/>
            <w:lang w:val="es-ES"/>
          </w:rPr>
          <w:t>https://www.youtube.com/watch?v=DMhvC05-WxA&amp;t=3s</w:t>
        </w:r>
      </w:hyperlink>
    </w:p>
  </w:footnote>
  <w:footnote w:id="8">
    <w:p w14:paraId="7F7D93E4" w14:textId="661C4A29" w:rsidR="00382839" w:rsidRPr="00382839" w:rsidRDefault="00382839" w:rsidP="00382839">
      <w:pPr>
        <w:pStyle w:val="FootnoteText"/>
        <w:ind w:left="709" w:hanging="709"/>
        <w:rPr>
          <w:rFonts w:ascii="Book Antiqua" w:hAnsi="Book Antiqua"/>
          <w:lang w:val="es-ES"/>
        </w:rPr>
      </w:pPr>
      <w:r w:rsidRPr="00382839">
        <w:rPr>
          <w:rStyle w:val="FootnoteReference"/>
          <w:rFonts w:ascii="Book Antiqua" w:hAnsi="Book Antiqua"/>
        </w:rPr>
        <w:footnoteRef/>
      </w:r>
      <w:r w:rsidRPr="00382839">
        <w:rPr>
          <w:rFonts w:ascii="Book Antiqua" w:hAnsi="Book Antiqua"/>
          <w:lang w:val="es-ES"/>
        </w:rPr>
        <w:t xml:space="preserve"> </w:t>
      </w:r>
      <w:hyperlink r:id="rId6">
        <w:r w:rsidRPr="00382839">
          <w:rPr>
            <w:rFonts w:ascii="Book Antiqua" w:eastAsia="Arial" w:hAnsi="Book Antiqua" w:cs="Arial"/>
            <w:color w:val="0563C1"/>
            <w:u w:val="single"/>
            <w:lang w:val="es-ES"/>
          </w:rPr>
          <w:t>http://www.senama.gob.cl//storage/docs/GB2020-2021.pdf</w:t>
        </w:r>
      </w:hyperlink>
    </w:p>
  </w:footnote>
  <w:footnote w:id="9">
    <w:p w14:paraId="3AF4CA62" w14:textId="32C45780" w:rsidR="00E80368" w:rsidRPr="00E80368" w:rsidRDefault="00E80368">
      <w:pPr>
        <w:pStyle w:val="FootnoteText"/>
        <w:rPr>
          <w:rFonts w:ascii="Book Antiqua" w:hAnsi="Book Antiqua"/>
          <w:lang w:val="es-ES"/>
        </w:rPr>
      </w:pPr>
      <w:r w:rsidRPr="00E80368">
        <w:rPr>
          <w:rStyle w:val="FootnoteReference"/>
          <w:rFonts w:ascii="Book Antiqua" w:hAnsi="Book Antiqua"/>
        </w:rPr>
        <w:footnoteRef/>
      </w:r>
      <w:r w:rsidRPr="00E80368">
        <w:rPr>
          <w:rFonts w:ascii="Book Antiqua" w:hAnsi="Book Antiqua"/>
          <w:lang w:val="es-ES"/>
        </w:rPr>
        <w:t xml:space="preserve"> </w:t>
      </w:r>
      <w:r w:rsidRPr="00E80368">
        <w:rPr>
          <w:rFonts w:ascii="Book Antiqua" w:eastAsia="Arial" w:hAnsi="Book Antiqua" w:cs="Arial"/>
          <w:lang w:val="es-ES"/>
        </w:rPr>
        <w:t xml:space="preserve">Corte IDH, Caso González </w:t>
      </w:r>
      <w:proofErr w:type="spellStart"/>
      <w:r w:rsidRPr="00E80368">
        <w:rPr>
          <w:rFonts w:ascii="Book Antiqua" w:eastAsia="Arial" w:hAnsi="Book Antiqua" w:cs="Arial"/>
          <w:lang w:val="es-ES"/>
        </w:rPr>
        <w:t>Lluy</w:t>
      </w:r>
      <w:proofErr w:type="spellEnd"/>
      <w:r w:rsidRPr="00E80368">
        <w:rPr>
          <w:rFonts w:ascii="Book Antiqua" w:eastAsia="Arial" w:hAnsi="Book Antiqua" w:cs="Arial"/>
          <w:lang w:val="es-ES"/>
        </w:rPr>
        <w:t xml:space="preserve"> y otros Vs. Ecuador. Sentencia de 1 de septiembre de 2015.</w:t>
      </w:r>
    </w:p>
  </w:footnote>
  <w:footnote w:id="10">
    <w:p w14:paraId="50128C98" w14:textId="0295A62C" w:rsidR="00E80368" w:rsidRPr="00E80368" w:rsidRDefault="00E80368" w:rsidP="00E80368">
      <w:pPr>
        <w:pStyle w:val="FootnoteText"/>
        <w:jc w:val="both"/>
        <w:rPr>
          <w:rFonts w:ascii="Book Antiqua" w:hAnsi="Book Antiqua"/>
          <w:lang w:val="es-ES"/>
        </w:rPr>
      </w:pPr>
      <w:r w:rsidRPr="00E80368">
        <w:rPr>
          <w:rStyle w:val="FootnoteReference"/>
          <w:rFonts w:ascii="Book Antiqua" w:hAnsi="Book Antiqua"/>
        </w:rPr>
        <w:footnoteRef/>
      </w:r>
      <w:r w:rsidRPr="00E80368">
        <w:rPr>
          <w:rFonts w:ascii="Book Antiqua" w:hAnsi="Book Antiqua"/>
          <w:lang w:val="es-ES"/>
        </w:rPr>
        <w:t xml:space="preserve"> Decreto N° 789 (1989). Promulga la Convención Sobre la Eliminación de todas las Formas de Discriminación Contra la Mujer. Ministerio de Relaciones Exteriores. Disponible en https://www.bcn.cl/leychile/navegar?idNorma=15606</w:t>
      </w:r>
    </w:p>
  </w:footnote>
  <w:footnote w:id="11">
    <w:p w14:paraId="6644A6A2" w14:textId="24ADA535" w:rsidR="00E80368" w:rsidRPr="00E80368" w:rsidRDefault="00E80368" w:rsidP="00E80368">
      <w:pPr>
        <w:pStyle w:val="FootnoteText"/>
        <w:jc w:val="both"/>
        <w:rPr>
          <w:lang w:val="es-ES"/>
        </w:rPr>
      </w:pPr>
      <w:r w:rsidRPr="00E80368">
        <w:rPr>
          <w:rStyle w:val="FootnoteReference"/>
          <w:rFonts w:ascii="Book Antiqua" w:hAnsi="Book Antiqua"/>
        </w:rPr>
        <w:footnoteRef/>
      </w:r>
      <w:r w:rsidRPr="00E80368">
        <w:rPr>
          <w:rFonts w:ascii="Book Antiqua" w:hAnsi="Book Antiqua"/>
          <w:lang w:val="es-ES"/>
        </w:rPr>
        <w:t xml:space="preserve"> Alto Comisionado de las Naciones Unidas para los Derechos Humanos (s/f). Recomendaciones generales para Comité para la eliminación de la discriminación contra la mujer. Disponible en https://www.ohchr.org/SP/HRBodies/CEDAW/Pages/Recommendations.aspx</w:t>
      </w:r>
    </w:p>
  </w:footnote>
  <w:footnote w:id="12">
    <w:p w14:paraId="62453C6B" w14:textId="37DA46E2" w:rsidR="00E80368" w:rsidRPr="00E80368" w:rsidRDefault="00E80368">
      <w:pPr>
        <w:pStyle w:val="FootnoteText"/>
        <w:rPr>
          <w:rFonts w:ascii="Book Antiqua" w:hAnsi="Book Antiqua"/>
          <w:lang w:val="es-ES"/>
        </w:rPr>
      </w:pPr>
      <w:r w:rsidRPr="00E80368">
        <w:rPr>
          <w:rStyle w:val="FootnoteReference"/>
          <w:rFonts w:ascii="Book Antiqua" w:hAnsi="Book Antiqua"/>
        </w:rPr>
        <w:footnoteRef/>
      </w:r>
      <w:r w:rsidRPr="00E80368">
        <w:rPr>
          <w:rFonts w:ascii="Book Antiqua" w:hAnsi="Book Antiqua"/>
          <w:lang w:val="es-ES"/>
        </w:rPr>
        <w:t xml:space="preserve"> CEPAL (2010). La dimensión de género en la reforma previsional chilena (Ley No.  20.255 de reforma de pensiones). División de Asuntos de Género. Disponible en https://repositorio.cepal.org/bitstream/handle/11362/5823/1/S1000091_es.pdf</w:t>
      </w:r>
    </w:p>
  </w:footnote>
  <w:footnote w:id="13">
    <w:p w14:paraId="45F0FF30" w14:textId="77777777" w:rsidR="00E80368" w:rsidRPr="00E80368" w:rsidRDefault="00E80368" w:rsidP="00E80368">
      <w:pPr>
        <w:pStyle w:val="FootnoteText"/>
        <w:ind w:hanging="2"/>
        <w:jc w:val="both"/>
        <w:rPr>
          <w:rFonts w:ascii="Book Antiqua" w:hAnsi="Book Antiqua"/>
          <w:lang w:val="es-ES"/>
        </w:rPr>
      </w:pPr>
      <w:r w:rsidRPr="00E80368">
        <w:rPr>
          <w:rStyle w:val="FootnoteReference"/>
          <w:rFonts w:ascii="Book Antiqua" w:hAnsi="Book Antiqua"/>
        </w:rPr>
        <w:footnoteRef/>
      </w:r>
      <w:r w:rsidRPr="00E80368">
        <w:rPr>
          <w:rFonts w:ascii="Book Antiqua" w:hAnsi="Book Antiqua"/>
          <w:lang w:val="es-ES"/>
        </w:rPr>
        <w:t xml:space="preserve"> Banco Integrado de Programas Sociales y no Sociales.  Red Local de Apoyos y Cuidados – SNAC. Ministerio de Desarrollo Social. Subsecretaría de Servicios Sociales. Disponible en https://programassociales.ministeriodesarrollosocial.gob.cl/programas/63383/2020/3</w:t>
      </w:r>
    </w:p>
    <w:p w14:paraId="4B42C0FA" w14:textId="14E5E484" w:rsidR="00E80368" w:rsidRPr="00E80368" w:rsidRDefault="00E80368">
      <w:pPr>
        <w:pStyle w:val="FootnoteText"/>
        <w:rPr>
          <w:lang w:val="es-ES"/>
        </w:rPr>
      </w:pPr>
    </w:p>
  </w:footnote>
  <w:footnote w:id="14">
    <w:p w14:paraId="08A5BE1E" w14:textId="0A6151A0" w:rsidR="00E80368" w:rsidRPr="00E80368" w:rsidRDefault="00E80368">
      <w:pPr>
        <w:pStyle w:val="FootnoteText"/>
        <w:rPr>
          <w:rFonts w:ascii="Book Antiqua" w:hAnsi="Book Antiqua"/>
          <w:lang w:val="es-ES"/>
        </w:rPr>
      </w:pPr>
      <w:r w:rsidRPr="00E80368">
        <w:rPr>
          <w:rStyle w:val="FootnoteReference"/>
          <w:rFonts w:ascii="Book Antiqua" w:hAnsi="Book Antiqua"/>
        </w:rPr>
        <w:footnoteRef/>
      </w:r>
      <w:r w:rsidRPr="00E80368">
        <w:rPr>
          <w:rFonts w:ascii="Book Antiqua" w:hAnsi="Book Antiqua"/>
          <w:lang w:val="es-ES"/>
        </w:rPr>
        <w:t xml:space="preserve"> Información histórica del desarrollo de Programa de Mejoramiento de Gestión de Género en SENAMA. </w:t>
      </w:r>
      <w:r w:rsidRPr="001C7D6A">
        <w:rPr>
          <w:rFonts w:ascii="Book Antiqua" w:hAnsi="Book Antiqua"/>
          <w:lang w:val="es-ES"/>
        </w:rPr>
        <w:t>Corte 2020.</w:t>
      </w:r>
    </w:p>
  </w:footnote>
  <w:footnote w:id="15">
    <w:p w14:paraId="36D075C9" w14:textId="4A68A047" w:rsidR="00E80368" w:rsidRPr="00E80368" w:rsidRDefault="00E80368">
      <w:pPr>
        <w:pStyle w:val="FootnoteText"/>
        <w:rPr>
          <w:rFonts w:ascii="Book Antiqua" w:hAnsi="Book Antiqua"/>
          <w:lang w:val="es-ES"/>
        </w:rPr>
      </w:pPr>
      <w:r w:rsidRPr="00E80368">
        <w:rPr>
          <w:rStyle w:val="FootnoteReference"/>
          <w:rFonts w:ascii="Book Antiqua" w:hAnsi="Book Antiqua"/>
        </w:rPr>
        <w:footnoteRef/>
      </w:r>
      <w:r w:rsidRPr="00E80368">
        <w:rPr>
          <w:rFonts w:ascii="Book Antiqua" w:hAnsi="Book Antiqua"/>
          <w:lang w:val="es-ES"/>
        </w:rPr>
        <w:t xml:space="preserve"> </w:t>
      </w:r>
      <w:hyperlink r:id="rId7">
        <w:r w:rsidRPr="00E80368">
          <w:rPr>
            <w:rFonts w:ascii="Book Antiqua" w:eastAsia="Arial" w:hAnsi="Book Antiqua" w:cs="Arial"/>
            <w:color w:val="1155CC"/>
            <w:u w:val="single"/>
            <w:lang w:val="es-ES"/>
          </w:rPr>
          <w:t>http://www.senama.gob.cl/noticias/sernameg-y-senama-firman-convenio-sobre-prevencion-de-violencia-y-sexualidad-en-adultos-mayores</w:t>
        </w:r>
      </w:hyperlink>
    </w:p>
  </w:footnote>
  <w:footnote w:id="16">
    <w:p w14:paraId="640E37FD" w14:textId="45A2A888" w:rsidR="00E80368" w:rsidRPr="00E80368" w:rsidRDefault="00E80368">
      <w:pPr>
        <w:pStyle w:val="FootnoteText"/>
        <w:rPr>
          <w:lang w:val="es-ES"/>
        </w:rPr>
      </w:pPr>
      <w:r w:rsidRPr="00E80368">
        <w:rPr>
          <w:rStyle w:val="FootnoteReference"/>
          <w:rFonts w:ascii="Book Antiqua" w:hAnsi="Book Antiqua"/>
        </w:rPr>
        <w:footnoteRef/>
      </w:r>
      <w:r w:rsidRPr="00E80368">
        <w:rPr>
          <w:rFonts w:ascii="Book Antiqua" w:hAnsi="Book Antiqua"/>
          <w:lang w:val="es-ES"/>
        </w:rPr>
        <w:t xml:space="preserve"> </w:t>
      </w:r>
      <w:hyperlink r:id="rId8">
        <w:r w:rsidRPr="00E80368">
          <w:rPr>
            <w:rFonts w:ascii="Book Antiqua" w:eastAsia="Arial" w:hAnsi="Book Antiqua" w:cs="Arial"/>
            <w:color w:val="0563C1"/>
            <w:u w:val="single"/>
            <w:lang w:val="es-ES"/>
          </w:rPr>
          <w:t>http://cead.spd.gov.cl/wp-content/uploads/filemanager/Presentaci%C3%B3n%20de%20Resultados%20IV%20ENVIF-VCM.pdf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E4617" w14:textId="20A3C8F9" w:rsidR="00F7505B" w:rsidRDefault="00F7505B">
    <w:pPr>
      <w:pStyle w:val="Header"/>
    </w:pPr>
    <w:r w:rsidRPr="00A304DF">
      <w:rPr>
        <w:rFonts w:ascii="FrizQuadrata BT" w:hAnsi="FrizQuadrata BT"/>
        <w:noProof/>
        <w:sz w:val="16"/>
        <w:lang w:val="es-ES" w:eastAsia="es-ES"/>
      </w:rPr>
      <w:drawing>
        <wp:anchor distT="0" distB="0" distL="114300" distR="114300" simplePos="0" relativeHeight="251656192" behindDoc="0" locked="0" layoutInCell="1" allowOverlap="1" wp14:anchorId="4661B3A6" wp14:editId="7D72FE74">
          <wp:simplePos x="0" y="0"/>
          <wp:positionH relativeFrom="margin">
            <wp:posOffset>0</wp:posOffset>
          </wp:positionH>
          <wp:positionV relativeFrom="paragraph">
            <wp:posOffset>-163618</wp:posOffset>
          </wp:positionV>
          <wp:extent cx="1041149" cy="995881"/>
          <wp:effectExtent l="0" t="0" r="6985" b="0"/>
          <wp:wrapTopAndBottom/>
          <wp:docPr id="27" name="Imagen 1" descr="Ministerio de relaciones Exterior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Ministerio de relaciones Exteriores"/>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149" cy="99588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209C9"/>
    <w:multiLevelType w:val="hybridMultilevel"/>
    <w:tmpl w:val="1BBA1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26D3E"/>
    <w:multiLevelType w:val="hybridMultilevel"/>
    <w:tmpl w:val="8CD8B6B4"/>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15:restartNumberingAfterBreak="0">
    <w:nsid w:val="095118F2"/>
    <w:multiLevelType w:val="hybridMultilevel"/>
    <w:tmpl w:val="546A007A"/>
    <w:lvl w:ilvl="0" w:tplc="0C0A0001">
      <w:start w:val="1"/>
      <w:numFmt w:val="bullet"/>
      <w:lvlText w:val=""/>
      <w:lvlJc w:val="left"/>
      <w:pPr>
        <w:ind w:left="880" w:hanging="360"/>
      </w:pPr>
      <w:rPr>
        <w:rFonts w:ascii="Symbol" w:hAnsi="Symbol" w:hint="default"/>
      </w:rPr>
    </w:lvl>
    <w:lvl w:ilvl="1" w:tplc="0C0A0003" w:tentative="1">
      <w:start w:val="1"/>
      <w:numFmt w:val="bullet"/>
      <w:lvlText w:val="o"/>
      <w:lvlJc w:val="left"/>
      <w:pPr>
        <w:ind w:left="1600" w:hanging="360"/>
      </w:pPr>
      <w:rPr>
        <w:rFonts w:ascii="Courier New" w:hAnsi="Courier New" w:cs="Courier New" w:hint="default"/>
      </w:rPr>
    </w:lvl>
    <w:lvl w:ilvl="2" w:tplc="0C0A0005" w:tentative="1">
      <w:start w:val="1"/>
      <w:numFmt w:val="bullet"/>
      <w:lvlText w:val=""/>
      <w:lvlJc w:val="left"/>
      <w:pPr>
        <w:ind w:left="2320" w:hanging="360"/>
      </w:pPr>
      <w:rPr>
        <w:rFonts w:ascii="Wingdings" w:hAnsi="Wingdings" w:hint="default"/>
      </w:rPr>
    </w:lvl>
    <w:lvl w:ilvl="3" w:tplc="0C0A0001" w:tentative="1">
      <w:start w:val="1"/>
      <w:numFmt w:val="bullet"/>
      <w:lvlText w:val=""/>
      <w:lvlJc w:val="left"/>
      <w:pPr>
        <w:ind w:left="3040" w:hanging="360"/>
      </w:pPr>
      <w:rPr>
        <w:rFonts w:ascii="Symbol" w:hAnsi="Symbol" w:hint="default"/>
      </w:rPr>
    </w:lvl>
    <w:lvl w:ilvl="4" w:tplc="0C0A0003" w:tentative="1">
      <w:start w:val="1"/>
      <w:numFmt w:val="bullet"/>
      <w:lvlText w:val="o"/>
      <w:lvlJc w:val="left"/>
      <w:pPr>
        <w:ind w:left="3760" w:hanging="360"/>
      </w:pPr>
      <w:rPr>
        <w:rFonts w:ascii="Courier New" w:hAnsi="Courier New" w:cs="Courier New" w:hint="default"/>
      </w:rPr>
    </w:lvl>
    <w:lvl w:ilvl="5" w:tplc="0C0A0005" w:tentative="1">
      <w:start w:val="1"/>
      <w:numFmt w:val="bullet"/>
      <w:lvlText w:val=""/>
      <w:lvlJc w:val="left"/>
      <w:pPr>
        <w:ind w:left="4480" w:hanging="360"/>
      </w:pPr>
      <w:rPr>
        <w:rFonts w:ascii="Wingdings" w:hAnsi="Wingdings" w:hint="default"/>
      </w:rPr>
    </w:lvl>
    <w:lvl w:ilvl="6" w:tplc="0C0A0001" w:tentative="1">
      <w:start w:val="1"/>
      <w:numFmt w:val="bullet"/>
      <w:lvlText w:val=""/>
      <w:lvlJc w:val="left"/>
      <w:pPr>
        <w:ind w:left="5200" w:hanging="360"/>
      </w:pPr>
      <w:rPr>
        <w:rFonts w:ascii="Symbol" w:hAnsi="Symbol" w:hint="default"/>
      </w:rPr>
    </w:lvl>
    <w:lvl w:ilvl="7" w:tplc="0C0A0003" w:tentative="1">
      <w:start w:val="1"/>
      <w:numFmt w:val="bullet"/>
      <w:lvlText w:val="o"/>
      <w:lvlJc w:val="left"/>
      <w:pPr>
        <w:ind w:left="5920" w:hanging="360"/>
      </w:pPr>
      <w:rPr>
        <w:rFonts w:ascii="Courier New" w:hAnsi="Courier New" w:cs="Courier New" w:hint="default"/>
      </w:rPr>
    </w:lvl>
    <w:lvl w:ilvl="8" w:tplc="0C0A0005" w:tentative="1">
      <w:start w:val="1"/>
      <w:numFmt w:val="bullet"/>
      <w:lvlText w:val=""/>
      <w:lvlJc w:val="left"/>
      <w:pPr>
        <w:ind w:left="6640" w:hanging="360"/>
      </w:pPr>
      <w:rPr>
        <w:rFonts w:ascii="Wingdings" w:hAnsi="Wingdings" w:hint="default"/>
      </w:rPr>
    </w:lvl>
  </w:abstractNum>
  <w:abstractNum w:abstractNumId="3" w15:restartNumberingAfterBreak="0">
    <w:nsid w:val="0AC5590D"/>
    <w:multiLevelType w:val="hybridMultilevel"/>
    <w:tmpl w:val="186E8578"/>
    <w:lvl w:ilvl="0" w:tplc="ABE2B160">
      <w:start w:val="1"/>
      <w:numFmt w:val="decimal"/>
      <w:lvlText w:val="%1."/>
      <w:lvlJc w:val="left"/>
      <w:pPr>
        <w:ind w:left="599" w:hanging="720"/>
      </w:pPr>
      <w:rPr>
        <w:rFonts w:ascii="Calibri" w:eastAsia="Calibri" w:hAnsi="Calibri" w:cs="Calibri" w:hint="default"/>
        <w:spacing w:val="-2"/>
        <w:w w:val="100"/>
        <w:sz w:val="22"/>
        <w:szCs w:val="22"/>
        <w:lang w:val="es-ES" w:eastAsia="es-ES" w:bidi="es-ES"/>
      </w:rPr>
    </w:lvl>
    <w:lvl w:ilvl="1" w:tplc="1BD8B62A">
      <w:numFmt w:val="bullet"/>
      <w:lvlText w:val="•"/>
      <w:lvlJc w:val="left"/>
      <w:pPr>
        <w:ind w:left="1508" w:hanging="720"/>
      </w:pPr>
      <w:rPr>
        <w:rFonts w:hint="default"/>
        <w:lang w:val="es-ES" w:eastAsia="es-ES" w:bidi="es-ES"/>
      </w:rPr>
    </w:lvl>
    <w:lvl w:ilvl="2" w:tplc="F6F83E46">
      <w:numFmt w:val="bullet"/>
      <w:lvlText w:val="•"/>
      <w:lvlJc w:val="left"/>
      <w:pPr>
        <w:ind w:left="2416" w:hanging="720"/>
      </w:pPr>
      <w:rPr>
        <w:rFonts w:hint="default"/>
        <w:lang w:val="es-ES" w:eastAsia="es-ES" w:bidi="es-ES"/>
      </w:rPr>
    </w:lvl>
    <w:lvl w:ilvl="3" w:tplc="502C3548">
      <w:numFmt w:val="bullet"/>
      <w:lvlText w:val="•"/>
      <w:lvlJc w:val="left"/>
      <w:pPr>
        <w:ind w:left="3324" w:hanging="720"/>
      </w:pPr>
      <w:rPr>
        <w:rFonts w:hint="default"/>
        <w:lang w:val="es-ES" w:eastAsia="es-ES" w:bidi="es-ES"/>
      </w:rPr>
    </w:lvl>
    <w:lvl w:ilvl="4" w:tplc="51E6434C">
      <w:numFmt w:val="bullet"/>
      <w:lvlText w:val="•"/>
      <w:lvlJc w:val="left"/>
      <w:pPr>
        <w:ind w:left="4232" w:hanging="720"/>
      </w:pPr>
      <w:rPr>
        <w:rFonts w:hint="default"/>
        <w:lang w:val="es-ES" w:eastAsia="es-ES" w:bidi="es-ES"/>
      </w:rPr>
    </w:lvl>
    <w:lvl w:ilvl="5" w:tplc="1D1899EE">
      <w:numFmt w:val="bullet"/>
      <w:lvlText w:val="•"/>
      <w:lvlJc w:val="left"/>
      <w:pPr>
        <w:ind w:left="5140" w:hanging="720"/>
      </w:pPr>
      <w:rPr>
        <w:rFonts w:hint="default"/>
        <w:lang w:val="es-ES" w:eastAsia="es-ES" w:bidi="es-ES"/>
      </w:rPr>
    </w:lvl>
    <w:lvl w:ilvl="6" w:tplc="AECEC3F8">
      <w:numFmt w:val="bullet"/>
      <w:lvlText w:val="•"/>
      <w:lvlJc w:val="left"/>
      <w:pPr>
        <w:ind w:left="6048" w:hanging="720"/>
      </w:pPr>
      <w:rPr>
        <w:rFonts w:hint="default"/>
        <w:lang w:val="es-ES" w:eastAsia="es-ES" w:bidi="es-ES"/>
      </w:rPr>
    </w:lvl>
    <w:lvl w:ilvl="7" w:tplc="98D0CD3E">
      <w:numFmt w:val="bullet"/>
      <w:lvlText w:val="•"/>
      <w:lvlJc w:val="left"/>
      <w:pPr>
        <w:ind w:left="6956" w:hanging="720"/>
      </w:pPr>
      <w:rPr>
        <w:rFonts w:hint="default"/>
        <w:lang w:val="es-ES" w:eastAsia="es-ES" w:bidi="es-ES"/>
      </w:rPr>
    </w:lvl>
    <w:lvl w:ilvl="8" w:tplc="77847CEE">
      <w:numFmt w:val="bullet"/>
      <w:lvlText w:val="•"/>
      <w:lvlJc w:val="left"/>
      <w:pPr>
        <w:ind w:left="7864" w:hanging="720"/>
      </w:pPr>
      <w:rPr>
        <w:rFonts w:hint="default"/>
        <w:lang w:val="es-ES" w:eastAsia="es-ES" w:bidi="es-ES"/>
      </w:rPr>
    </w:lvl>
  </w:abstractNum>
  <w:abstractNum w:abstractNumId="4" w15:restartNumberingAfterBreak="0">
    <w:nsid w:val="0D355ED4"/>
    <w:multiLevelType w:val="hybridMultilevel"/>
    <w:tmpl w:val="B0AC4D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E55133D"/>
    <w:multiLevelType w:val="hybridMultilevel"/>
    <w:tmpl w:val="D8CE0D4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7804555"/>
    <w:multiLevelType w:val="hybridMultilevel"/>
    <w:tmpl w:val="2D8473B0"/>
    <w:lvl w:ilvl="0" w:tplc="0C0A0001">
      <w:start w:val="1"/>
      <w:numFmt w:val="bullet"/>
      <w:lvlText w:val=""/>
      <w:lvlJc w:val="left"/>
      <w:pPr>
        <w:ind w:left="863" w:hanging="360"/>
      </w:pPr>
      <w:rPr>
        <w:rFonts w:ascii="Symbol" w:hAnsi="Symbol" w:hint="default"/>
      </w:rPr>
    </w:lvl>
    <w:lvl w:ilvl="1" w:tplc="0C0A0003" w:tentative="1">
      <w:start w:val="1"/>
      <w:numFmt w:val="bullet"/>
      <w:lvlText w:val="o"/>
      <w:lvlJc w:val="left"/>
      <w:pPr>
        <w:ind w:left="1583" w:hanging="360"/>
      </w:pPr>
      <w:rPr>
        <w:rFonts w:ascii="Courier New" w:hAnsi="Courier New" w:cs="Courier New" w:hint="default"/>
      </w:rPr>
    </w:lvl>
    <w:lvl w:ilvl="2" w:tplc="0C0A0005" w:tentative="1">
      <w:start w:val="1"/>
      <w:numFmt w:val="bullet"/>
      <w:lvlText w:val=""/>
      <w:lvlJc w:val="left"/>
      <w:pPr>
        <w:ind w:left="2303" w:hanging="360"/>
      </w:pPr>
      <w:rPr>
        <w:rFonts w:ascii="Wingdings" w:hAnsi="Wingdings" w:hint="default"/>
      </w:rPr>
    </w:lvl>
    <w:lvl w:ilvl="3" w:tplc="0C0A0001" w:tentative="1">
      <w:start w:val="1"/>
      <w:numFmt w:val="bullet"/>
      <w:lvlText w:val=""/>
      <w:lvlJc w:val="left"/>
      <w:pPr>
        <w:ind w:left="3023" w:hanging="360"/>
      </w:pPr>
      <w:rPr>
        <w:rFonts w:ascii="Symbol" w:hAnsi="Symbol" w:hint="default"/>
      </w:rPr>
    </w:lvl>
    <w:lvl w:ilvl="4" w:tplc="0C0A0003" w:tentative="1">
      <w:start w:val="1"/>
      <w:numFmt w:val="bullet"/>
      <w:lvlText w:val="o"/>
      <w:lvlJc w:val="left"/>
      <w:pPr>
        <w:ind w:left="3743" w:hanging="360"/>
      </w:pPr>
      <w:rPr>
        <w:rFonts w:ascii="Courier New" w:hAnsi="Courier New" w:cs="Courier New" w:hint="default"/>
      </w:rPr>
    </w:lvl>
    <w:lvl w:ilvl="5" w:tplc="0C0A0005" w:tentative="1">
      <w:start w:val="1"/>
      <w:numFmt w:val="bullet"/>
      <w:lvlText w:val=""/>
      <w:lvlJc w:val="left"/>
      <w:pPr>
        <w:ind w:left="4463" w:hanging="360"/>
      </w:pPr>
      <w:rPr>
        <w:rFonts w:ascii="Wingdings" w:hAnsi="Wingdings" w:hint="default"/>
      </w:rPr>
    </w:lvl>
    <w:lvl w:ilvl="6" w:tplc="0C0A0001" w:tentative="1">
      <w:start w:val="1"/>
      <w:numFmt w:val="bullet"/>
      <w:lvlText w:val=""/>
      <w:lvlJc w:val="left"/>
      <w:pPr>
        <w:ind w:left="5183" w:hanging="360"/>
      </w:pPr>
      <w:rPr>
        <w:rFonts w:ascii="Symbol" w:hAnsi="Symbol" w:hint="default"/>
      </w:rPr>
    </w:lvl>
    <w:lvl w:ilvl="7" w:tplc="0C0A0003" w:tentative="1">
      <w:start w:val="1"/>
      <w:numFmt w:val="bullet"/>
      <w:lvlText w:val="o"/>
      <w:lvlJc w:val="left"/>
      <w:pPr>
        <w:ind w:left="5903" w:hanging="360"/>
      </w:pPr>
      <w:rPr>
        <w:rFonts w:ascii="Courier New" w:hAnsi="Courier New" w:cs="Courier New" w:hint="default"/>
      </w:rPr>
    </w:lvl>
    <w:lvl w:ilvl="8" w:tplc="0C0A0005" w:tentative="1">
      <w:start w:val="1"/>
      <w:numFmt w:val="bullet"/>
      <w:lvlText w:val=""/>
      <w:lvlJc w:val="left"/>
      <w:pPr>
        <w:ind w:left="6623" w:hanging="360"/>
      </w:pPr>
      <w:rPr>
        <w:rFonts w:ascii="Wingdings" w:hAnsi="Wingdings" w:hint="default"/>
      </w:rPr>
    </w:lvl>
  </w:abstractNum>
  <w:abstractNum w:abstractNumId="7" w15:restartNumberingAfterBreak="0">
    <w:nsid w:val="18EC39B2"/>
    <w:multiLevelType w:val="hybridMultilevel"/>
    <w:tmpl w:val="5B80A656"/>
    <w:lvl w:ilvl="0" w:tplc="AE7A1FC0">
      <w:start w:val="1"/>
      <w:numFmt w:val="decimal"/>
      <w:lvlText w:val="%1."/>
      <w:lvlJc w:val="left"/>
      <w:pPr>
        <w:ind w:left="640" w:hanging="361"/>
      </w:pPr>
      <w:rPr>
        <w:rFonts w:ascii="Calibri" w:eastAsia="Calibri" w:hAnsi="Calibri" w:cs="Calibri" w:hint="default"/>
        <w:spacing w:val="-1"/>
        <w:w w:val="99"/>
        <w:sz w:val="20"/>
        <w:szCs w:val="20"/>
        <w:lang w:val="es-ES" w:eastAsia="en-US" w:bidi="ar-SA"/>
      </w:rPr>
    </w:lvl>
    <w:lvl w:ilvl="1" w:tplc="6FA692F0">
      <w:numFmt w:val="bullet"/>
      <w:lvlText w:val="•"/>
      <w:lvlJc w:val="left"/>
      <w:pPr>
        <w:ind w:left="1618" w:hanging="361"/>
      </w:pPr>
      <w:rPr>
        <w:rFonts w:hint="default"/>
        <w:lang w:val="es-ES" w:eastAsia="en-US" w:bidi="ar-SA"/>
      </w:rPr>
    </w:lvl>
    <w:lvl w:ilvl="2" w:tplc="A95823C0">
      <w:numFmt w:val="bullet"/>
      <w:lvlText w:val="•"/>
      <w:lvlJc w:val="left"/>
      <w:pPr>
        <w:ind w:left="2596" w:hanging="361"/>
      </w:pPr>
      <w:rPr>
        <w:rFonts w:hint="default"/>
        <w:lang w:val="es-ES" w:eastAsia="en-US" w:bidi="ar-SA"/>
      </w:rPr>
    </w:lvl>
    <w:lvl w:ilvl="3" w:tplc="FAC03ED2">
      <w:numFmt w:val="bullet"/>
      <w:lvlText w:val="•"/>
      <w:lvlJc w:val="left"/>
      <w:pPr>
        <w:ind w:left="3574" w:hanging="361"/>
      </w:pPr>
      <w:rPr>
        <w:rFonts w:hint="default"/>
        <w:lang w:val="es-ES" w:eastAsia="en-US" w:bidi="ar-SA"/>
      </w:rPr>
    </w:lvl>
    <w:lvl w:ilvl="4" w:tplc="63505D34">
      <w:numFmt w:val="bullet"/>
      <w:lvlText w:val="•"/>
      <w:lvlJc w:val="left"/>
      <w:pPr>
        <w:ind w:left="4552" w:hanging="361"/>
      </w:pPr>
      <w:rPr>
        <w:rFonts w:hint="default"/>
        <w:lang w:val="es-ES" w:eastAsia="en-US" w:bidi="ar-SA"/>
      </w:rPr>
    </w:lvl>
    <w:lvl w:ilvl="5" w:tplc="FAD69D26">
      <w:numFmt w:val="bullet"/>
      <w:lvlText w:val="•"/>
      <w:lvlJc w:val="left"/>
      <w:pPr>
        <w:ind w:left="5531" w:hanging="361"/>
      </w:pPr>
      <w:rPr>
        <w:rFonts w:hint="default"/>
        <w:lang w:val="es-ES" w:eastAsia="en-US" w:bidi="ar-SA"/>
      </w:rPr>
    </w:lvl>
    <w:lvl w:ilvl="6" w:tplc="3C922E82">
      <w:numFmt w:val="bullet"/>
      <w:lvlText w:val="•"/>
      <w:lvlJc w:val="left"/>
      <w:pPr>
        <w:ind w:left="6509" w:hanging="361"/>
      </w:pPr>
      <w:rPr>
        <w:rFonts w:hint="default"/>
        <w:lang w:val="es-ES" w:eastAsia="en-US" w:bidi="ar-SA"/>
      </w:rPr>
    </w:lvl>
    <w:lvl w:ilvl="7" w:tplc="99668236">
      <w:numFmt w:val="bullet"/>
      <w:lvlText w:val="•"/>
      <w:lvlJc w:val="left"/>
      <w:pPr>
        <w:ind w:left="7487" w:hanging="361"/>
      </w:pPr>
      <w:rPr>
        <w:rFonts w:hint="default"/>
        <w:lang w:val="es-ES" w:eastAsia="en-US" w:bidi="ar-SA"/>
      </w:rPr>
    </w:lvl>
    <w:lvl w:ilvl="8" w:tplc="D3225126">
      <w:numFmt w:val="bullet"/>
      <w:lvlText w:val="•"/>
      <w:lvlJc w:val="left"/>
      <w:pPr>
        <w:ind w:left="8465" w:hanging="361"/>
      </w:pPr>
      <w:rPr>
        <w:rFonts w:hint="default"/>
        <w:lang w:val="es-ES" w:eastAsia="en-US" w:bidi="ar-SA"/>
      </w:rPr>
    </w:lvl>
  </w:abstractNum>
  <w:abstractNum w:abstractNumId="8" w15:restartNumberingAfterBreak="0">
    <w:nsid w:val="18F41153"/>
    <w:multiLevelType w:val="hybridMultilevel"/>
    <w:tmpl w:val="7E261594"/>
    <w:lvl w:ilvl="0" w:tplc="2B9A1B92">
      <w:start w:val="1"/>
      <w:numFmt w:val="decimal"/>
      <w:lvlText w:val="%1."/>
      <w:lvlJc w:val="left"/>
      <w:pPr>
        <w:ind w:left="391" w:hanging="217"/>
      </w:pPr>
      <w:rPr>
        <w:rFonts w:ascii="Calibri" w:eastAsia="Calibri" w:hAnsi="Calibri" w:cs="Calibri" w:hint="default"/>
        <w:spacing w:val="-3"/>
        <w:w w:val="100"/>
        <w:sz w:val="18"/>
        <w:szCs w:val="18"/>
        <w:lang w:val="es-ES" w:eastAsia="en-US" w:bidi="ar-SA"/>
      </w:rPr>
    </w:lvl>
    <w:lvl w:ilvl="1" w:tplc="32345280">
      <w:numFmt w:val="bullet"/>
      <w:lvlText w:val="•"/>
      <w:lvlJc w:val="left"/>
      <w:pPr>
        <w:ind w:left="1378" w:hanging="217"/>
      </w:pPr>
      <w:rPr>
        <w:rFonts w:hint="default"/>
        <w:lang w:val="es-ES" w:eastAsia="en-US" w:bidi="ar-SA"/>
      </w:rPr>
    </w:lvl>
    <w:lvl w:ilvl="2" w:tplc="8968BDE6">
      <w:numFmt w:val="bullet"/>
      <w:lvlText w:val="•"/>
      <w:lvlJc w:val="left"/>
      <w:pPr>
        <w:ind w:left="2356" w:hanging="217"/>
      </w:pPr>
      <w:rPr>
        <w:rFonts w:hint="default"/>
        <w:lang w:val="es-ES" w:eastAsia="en-US" w:bidi="ar-SA"/>
      </w:rPr>
    </w:lvl>
    <w:lvl w:ilvl="3" w:tplc="985ED6AE">
      <w:numFmt w:val="bullet"/>
      <w:lvlText w:val="•"/>
      <w:lvlJc w:val="left"/>
      <w:pPr>
        <w:ind w:left="3334" w:hanging="217"/>
      </w:pPr>
      <w:rPr>
        <w:rFonts w:hint="default"/>
        <w:lang w:val="es-ES" w:eastAsia="en-US" w:bidi="ar-SA"/>
      </w:rPr>
    </w:lvl>
    <w:lvl w:ilvl="4" w:tplc="86CEF448">
      <w:numFmt w:val="bullet"/>
      <w:lvlText w:val="•"/>
      <w:lvlJc w:val="left"/>
      <w:pPr>
        <w:ind w:left="4312" w:hanging="217"/>
      </w:pPr>
      <w:rPr>
        <w:rFonts w:hint="default"/>
        <w:lang w:val="es-ES" w:eastAsia="en-US" w:bidi="ar-SA"/>
      </w:rPr>
    </w:lvl>
    <w:lvl w:ilvl="5" w:tplc="EFDC4FB6">
      <w:numFmt w:val="bullet"/>
      <w:lvlText w:val="•"/>
      <w:lvlJc w:val="left"/>
      <w:pPr>
        <w:ind w:left="5291" w:hanging="217"/>
      </w:pPr>
      <w:rPr>
        <w:rFonts w:hint="default"/>
        <w:lang w:val="es-ES" w:eastAsia="en-US" w:bidi="ar-SA"/>
      </w:rPr>
    </w:lvl>
    <w:lvl w:ilvl="6" w:tplc="56789676">
      <w:numFmt w:val="bullet"/>
      <w:lvlText w:val="•"/>
      <w:lvlJc w:val="left"/>
      <w:pPr>
        <w:ind w:left="6269" w:hanging="217"/>
      </w:pPr>
      <w:rPr>
        <w:rFonts w:hint="default"/>
        <w:lang w:val="es-ES" w:eastAsia="en-US" w:bidi="ar-SA"/>
      </w:rPr>
    </w:lvl>
    <w:lvl w:ilvl="7" w:tplc="A36E2E06">
      <w:numFmt w:val="bullet"/>
      <w:lvlText w:val="•"/>
      <w:lvlJc w:val="left"/>
      <w:pPr>
        <w:ind w:left="7247" w:hanging="217"/>
      </w:pPr>
      <w:rPr>
        <w:rFonts w:hint="default"/>
        <w:lang w:val="es-ES" w:eastAsia="en-US" w:bidi="ar-SA"/>
      </w:rPr>
    </w:lvl>
    <w:lvl w:ilvl="8" w:tplc="2886E122">
      <w:numFmt w:val="bullet"/>
      <w:lvlText w:val="•"/>
      <w:lvlJc w:val="left"/>
      <w:pPr>
        <w:ind w:left="8225" w:hanging="217"/>
      </w:pPr>
      <w:rPr>
        <w:rFonts w:hint="default"/>
        <w:lang w:val="es-ES" w:eastAsia="en-US" w:bidi="ar-SA"/>
      </w:rPr>
    </w:lvl>
  </w:abstractNum>
  <w:abstractNum w:abstractNumId="9" w15:restartNumberingAfterBreak="0">
    <w:nsid w:val="19476F7C"/>
    <w:multiLevelType w:val="hybridMultilevel"/>
    <w:tmpl w:val="4BA43B24"/>
    <w:lvl w:ilvl="0" w:tplc="7902D254">
      <w:start w:val="1"/>
      <w:numFmt w:val="bullet"/>
      <w:lvlText w:val="•"/>
      <w:lvlJc w:val="left"/>
      <w:pPr>
        <w:ind w:left="720" w:hanging="360"/>
      </w:pPr>
      <w:rPr>
        <w:rFonts w:ascii="Times New Roman" w:hAnsi="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1D270991"/>
    <w:multiLevelType w:val="hybridMultilevel"/>
    <w:tmpl w:val="4E3E3300"/>
    <w:lvl w:ilvl="0" w:tplc="061CB704">
      <w:start w:val="1"/>
      <w:numFmt w:val="decimal"/>
      <w:lvlText w:val="%1."/>
      <w:lvlJc w:val="left"/>
      <w:pPr>
        <w:ind w:left="324" w:hanging="284"/>
      </w:pPr>
      <w:rPr>
        <w:rFonts w:ascii="Calibri" w:eastAsia="Calibri" w:hAnsi="Calibri" w:cs="Calibri" w:hint="default"/>
        <w:spacing w:val="-17"/>
        <w:w w:val="100"/>
        <w:sz w:val="18"/>
        <w:szCs w:val="18"/>
        <w:lang w:val="es-ES" w:eastAsia="en-US" w:bidi="ar-SA"/>
      </w:rPr>
    </w:lvl>
    <w:lvl w:ilvl="1" w:tplc="A69C4640">
      <w:numFmt w:val="bullet"/>
      <w:lvlText w:val=""/>
      <w:lvlJc w:val="left"/>
      <w:pPr>
        <w:ind w:left="749" w:hanging="286"/>
      </w:pPr>
      <w:rPr>
        <w:rFonts w:ascii="Symbol" w:eastAsia="Symbol" w:hAnsi="Symbol" w:cs="Symbol" w:hint="default"/>
        <w:w w:val="100"/>
        <w:sz w:val="18"/>
        <w:szCs w:val="18"/>
        <w:lang w:val="es-ES" w:eastAsia="en-US" w:bidi="ar-SA"/>
      </w:rPr>
    </w:lvl>
    <w:lvl w:ilvl="2" w:tplc="69EC0B0C">
      <w:numFmt w:val="bullet"/>
      <w:lvlText w:val="•"/>
      <w:lvlJc w:val="left"/>
      <w:pPr>
        <w:ind w:left="1274" w:hanging="286"/>
      </w:pPr>
      <w:rPr>
        <w:rFonts w:hint="default"/>
        <w:lang w:val="es-ES" w:eastAsia="en-US" w:bidi="ar-SA"/>
      </w:rPr>
    </w:lvl>
    <w:lvl w:ilvl="3" w:tplc="265031E2">
      <w:numFmt w:val="bullet"/>
      <w:lvlText w:val="•"/>
      <w:lvlJc w:val="left"/>
      <w:pPr>
        <w:ind w:left="1809" w:hanging="286"/>
      </w:pPr>
      <w:rPr>
        <w:rFonts w:hint="default"/>
        <w:lang w:val="es-ES" w:eastAsia="en-US" w:bidi="ar-SA"/>
      </w:rPr>
    </w:lvl>
    <w:lvl w:ilvl="4" w:tplc="3746DE14">
      <w:numFmt w:val="bullet"/>
      <w:lvlText w:val="•"/>
      <w:lvlJc w:val="left"/>
      <w:pPr>
        <w:ind w:left="2343" w:hanging="286"/>
      </w:pPr>
      <w:rPr>
        <w:rFonts w:hint="default"/>
        <w:lang w:val="es-ES" w:eastAsia="en-US" w:bidi="ar-SA"/>
      </w:rPr>
    </w:lvl>
    <w:lvl w:ilvl="5" w:tplc="31E441CC">
      <w:numFmt w:val="bullet"/>
      <w:lvlText w:val="•"/>
      <w:lvlJc w:val="left"/>
      <w:pPr>
        <w:ind w:left="2878" w:hanging="286"/>
      </w:pPr>
      <w:rPr>
        <w:rFonts w:hint="default"/>
        <w:lang w:val="es-ES" w:eastAsia="en-US" w:bidi="ar-SA"/>
      </w:rPr>
    </w:lvl>
    <w:lvl w:ilvl="6" w:tplc="8362DAE6">
      <w:numFmt w:val="bullet"/>
      <w:lvlText w:val="•"/>
      <w:lvlJc w:val="left"/>
      <w:pPr>
        <w:ind w:left="3412" w:hanging="286"/>
      </w:pPr>
      <w:rPr>
        <w:rFonts w:hint="default"/>
        <w:lang w:val="es-ES" w:eastAsia="en-US" w:bidi="ar-SA"/>
      </w:rPr>
    </w:lvl>
    <w:lvl w:ilvl="7" w:tplc="6BA65FE4">
      <w:numFmt w:val="bullet"/>
      <w:lvlText w:val="•"/>
      <w:lvlJc w:val="left"/>
      <w:pPr>
        <w:ind w:left="3947" w:hanging="286"/>
      </w:pPr>
      <w:rPr>
        <w:rFonts w:hint="default"/>
        <w:lang w:val="es-ES" w:eastAsia="en-US" w:bidi="ar-SA"/>
      </w:rPr>
    </w:lvl>
    <w:lvl w:ilvl="8" w:tplc="2F4A8E1E">
      <w:numFmt w:val="bullet"/>
      <w:lvlText w:val="•"/>
      <w:lvlJc w:val="left"/>
      <w:pPr>
        <w:ind w:left="4481" w:hanging="286"/>
      </w:pPr>
      <w:rPr>
        <w:rFonts w:hint="default"/>
        <w:lang w:val="es-ES" w:eastAsia="en-US" w:bidi="ar-SA"/>
      </w:rPr>
    </w:lvl>
  </w:abstractNum>
  <w:abstractNum w:abstractNumId="11" w15:restartNumberingAfterBreak="0">
    <w:nsid w:val="1D644F0B"/>
    <w:multiLevelType w:val="multilevel"/>
    <w:tmpl w:val="32F65586"/>
    <w:lvl w:ilvl="0">
      <w:start w:val="4"/>
      <w:numFmt w:val="bullet"/>
      <w:lvlText w:val="-"/>
      <w:lvlJc w:val="left"/>
      <w:pPr>
        <w:ind w:left="720" w:hanging="360"/>
      </w:pPr>
      <w:rPr>
        <w:rFonts w:ascii="Calibri" w:eastAsia="Calibri" w:hAnsi="Calibri" w:cs="Calibri" w:hint="default"/>
        <w:color w:val="333333"/>
        <w:sz w:val="20"/>
        <w:szCs w:val="20"/>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12" w15:restartNumberingAfterBreak="0">
    <w:nsid w:val="24A100C6"/>
    <w:multiLevelType w:val="hybridMultilevel"/>
    <w:tmpl w:val="A7D64990"/>
    <w:lvl w:ilvl="0" w:tplc="340A000F">
      <w:start w:val="1"/>
      <w:numFmt w:val="decimal"/>
      <w:lvlText w:val="%1."/>
      <w:lvlJc w:val="left"/>
      <w:pPr>
        <w:ind w:left="720" w:hanging="360"/>
      </w:pPr>
      <w:rPr>
        <w:rFonts w:hint="default"/>
      </w:rPr>
    </w:lvl>
    <w:lvl w:ilvl="1" w:tplc="340A000F">
      <w:start w:val="1"/>
      <w:numFmt w:val="decimal"/>
      <w:lvlText w:val="%2."/>
      <w:lvlJc w:val="left"/>
      <w:pPr>
        <w:ind w:left="360" w:hanging="360"/>
      </w:pPr>
    </w:lvl>
    <w:lvl w:ilvl="2" w:tplc="340A0019">
      <w:start w:val="1"/>
      <w:numFmt w:val="lowerLetter"/>
      <w:lvlText w:val="%3."/>
      <w:lvlJc w:val="lef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57822EE"/>
    <w:multiLevelType w:val="hybridMultilevel"/>
    <w:tmpl w:val="728A87E6"/>
    <w:lvl w:ilvl="0" w:tplc="0C0A0001">
      <w:start w:val="1"/>
      <w:numFmt w:val="bullet"/>
      <w:lvlText w:val=""/>
      <w:lvlJc w:val="left"/>
      <w:pPr>
        <w:ind w:left="880" w:hanging="360"/>
      </w:pPr>
      <w:rPr>
        <w:rFonts w:ascii="Symbol" w:hAnsi="Symbol" w:hint="default"/>
      </w:rPr>
    </w:lvl>
    <w:lvl w:ilvl="1" w:tplc="0C0A0003" w:tentative="1">
      <w:start w:val="1"/>
      <w:numFmt w:val="bullet"/>
      <w:lvlText w:val="o"/>
      <w:lvlJc w:val="left"/>
      <w:pPr>
        <w:ind w:left="1600" w:hanging="360"/>
      </w:pPr>
      <w:rPr>
        <w:rFonts w:ascii="Courier New" w:hAnsi="Courier New" w:cs="Courier New" w:hint="default"/>
      </w:rPr>
    </w:lvl>
    <w:lvl w:ilvl="2" w:tplc="0C0A0005" w:tentative="1">
      <w:start w:val="1"/>
      <w:numFmt w:val="bullet"/>
      <w:lvlText w:val=""/>
      <w:lvlJc w:val="left"/>
      <w:pPr>
        <w:ind w:left="2320" w:hanging="360"/>
      </w:pPr>
      <w:rPr>
        <w:rFonts w:ascii="Wingdings" w:hAnsi="Wingdings" w:hint="default"/>
      </w:rPr>
    </w:lvl>
    <w:lvl w:ilvl="3" w:tplc="0C0A0001" w:tentative="1">
      <w:start w:val="1"/>
      <w:numFmt w:val="bullet"/>
      <w:lvlText w:val=""/>
      <w:lvlJc w:val="left"/>
      <w:pPr>
        <w:ind w:left="3040" w:hanging="360"/>
      </w:pPr>
      <w:rPr>
        <w:rFonts w:ascii="Symbol" w:hAnsi="Symbol" w:hint="default"/>
      </w:rPr>
    </w:lvl>
    <w:lvl w:ilvl="4" w:tplc="0C0A0003" w:tentative="1">
      <w:start w:val="1"/>
      <w:numFmt w:val="bullet"/>
      <w:lvlText w:val="o"/>
      <w:lvlJc w:val="left"/>
      <w:pPr>
        <w:ind w:left="3760" w:hanging="360"/>
      </w:pPr>
      <w:rPr>
        <w:rFonts w:ascii="Courier New" w:hAnsi="Courier New" w:cs="Courier New" w:hint="default"/>
      </w:rPr>
    </w:lvl>
    <w:lvl w:ilvl="5" w:tplc="0C0A0005" w:tentative="1">
      <w:start w:val="1"/>
      <w:numFmt w:val="bullet"/>
      <w:lvlText w:val=""/>
      <w:lvlJc w:val="left"/>
      <w:pPr>
        <w:ind w:left="4480" w:hanging="360"/>
      </w:pPr>
      <w:rPr>
        <w:rFonts w:ascii="Wingdings" w:hAnsi="Wingdings" w:hint="default"/>
      </w:rPr>
    </w:lvl>
    <w:lvl w:ilvl="6" w:tplc="0C0A0001" w:tentative="1">
      <w:start w:val="1"/>
      <w:numFmt w:val="bullet"/>
      <w:lvlText w:val=""/>
      <w:lvlJc w:val="left"/>
      <w:pPr>
        <w:ind w:left="5200" w:hanging="360"/>
      </w:pPr>
      <w:rPr>
        <w:rFonts w:ascii="Symbol" w:hAnsi="Symbol" w:hint="default"/>
      </w:rPr>
    </w:lvl>
    <w:lvl w:ilvl="7" w:tplc="0C0A0003" w:tentative="1">
      <w:start w:val="1"/>
      <w:numFmt w:val="bullet"/>
      <w:lvlText w:val="o"/>
      <w:lvlJc w:val="left"/>
      <w:pPr>
        <w:ind w:left="5920" w:hanging="360"/>
      </w:pPr>
      <w:rPr>
        <w:rFonts w:ascii="Courier New" w:hAnsi="Courier New" w:cs="Courier New" w:hint="default"/>
      </w:rPr>
    </w:lvl>
    <w:lvl w:ilvl="8" w:tplc="0C0A0005" w:tentative="1">
      <w:start w:val="1"/>
      <w:numFmt w:val="bullet"/>
      <w:lvlText w:val=""/>
      <w:lvlJc w:val="left"/>
      <w:pPr>
        <w:ind w:left="6640" w:hanging="360"/>
      </w:pPr>
      <w:rPr>
        <w:rFonts w:ascii="Wingdings" w:hAnsi="Wingdings" w:hint="default"/>
      </w:rPr>
    </w:lvl>
  </w:abstractNum>
  <w:abstractNum w:abstractNumId="14" w15:restartNumberingAfterBreak="0">
    <w:nsid w:val="26CC2BFE"/>
    <w:multiLevelType w:val="hybridMultilevel"/>
    <w:tmpl w:val="C568D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A96D7F"/>
    <w:multiLevelType w:val="hybridMultilevel"/>
    <w:tmpl w:val="F426DB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D251E99"/>
    <w:multiLevelType w:val="hybridMultilevel"/>
    <w:tmpl w:val="25C0C3A6"/>
    <w:lvl w:ilvl="0" w:tplc="73B67F54">
      <w:numFmt w:val="bullet"/>
      <w:lvlText w:val=""/>
      <w:lvlJc w:val="left"/>
      <w:pPr>
        <w:ind w:left="333" w:hanging="219"/>
      </w:pPr>
      <w:rPr>
        <w:rFonts w:ascii="Symbol" w:eastAsia="Symbol" w:hAnsi="Symbol" w:cs="Symbol" w:hint="default"/>
        <w:w w:val="100"/>
        <w:sz w:val="18"/>
        <w:szCs w:val="18"/>
        <w:lang w:val="es-ES" w:eastAsia="en-US" w:bidi="ar-SA"/>
      </w:rPr>
    </w:lvl>
    <w:lvl w:ilvl="1" w:tplc="535A3E64">
      <w:numFmt w:val="bullet"/>
      <w:lvlText w:val="•"/>
      <w:lvlJc w:val="left"/>
      <w:pPr>
        <w:ind w:left="851" w:hanging="219"/>
      </w:pPr>
      <w:rPr>
        <w:rFonts w:hint="default"/>
        <w:lang w:val="es-ES" w:eastAsia="en-US" w:bidi="ar-SA"/>
      </w:rPr>
    </w:lvl>
    <w:lvl w:ilvl="2" w:tplc="EBBAC4B2">
      <w:numFmt w:val="bullet"/>
      <w:lvlText w:val="•"/>
      <w:lvlJc w:val="left"/>
      <w:pPr>
        <w:ind w:left="1363" w:hanging="219"/>
      </w:pPr>
      <w:rPr>
        <w:rFonts w:hint="default"/>
        <w:lang w:val="es-ES" w:eastAsia="en-US" w:bidi="ar-SA"/>
      </w:rPr>
    </w:lvl>
    <w:lvl w:ilvl="3" w:tplc="67800388">
      <w:numFmt w:val="bullet"/>
      <w:lvlText w:val="•"/>
      <w:lvlJc w:val="left"/>
      <w:pPr>
        <w:ind w:left="1875" w:hanging="219"/>
      </w:pPr>
      <w:rPr>
        <w:rFonts w:hint="default"/>
        <w:lang w:val="es-ES" w:eastAsia="en-US" w:bidi="ar-SA"/>
      </w:rPr>
    </w:lvl>
    <w:lvl w:ilvl="4" w:tplc="E8BCF61E">
      <w:numFmt w:val="bullet"/>
      <w:lvlText w:val="•"/>
      <w:lvlJc w:val="left"/>
      <w:pPr>
        <w:ind w:left="2387" w:hanging="219"/>
      </w:pPr>
      <w:rPr>
        <w:rFonts w:hint="default"/>
        <w:lang w:val="es-ES" w:eastAsia="en-US" w:bidi="ar-SA"/>
      </w:rPr>
    </w:lvl>
    <w:lvl w:ilvl="5" w:tplc="8B2A3C10">
      <w:numFmt w:val="bullet"/>
      <w:lvlText w:val="•"/>
      <w:lvlJc w:val="left"/>
      <w:pPr>
        <w:ind w:left="2899" w:hanging="219"/>
      </w:pPr>
      <w:rPr>
        <w:rFonts w:hint="default"/>
        <w:lang w:val="es-ES" w:eastAsia="en-US" w:bidi="ar-SA"/>
      </w:rPr>
    </w:lvl>
    <w:lvl w:ilvl="6" w:tplc="8D34843C">
      <w:numFmt w:val="bullet"/>
      <w:lvlText w:val="•"/>
      <w:lvlJc w:val="left"/>
      <w:pPr>
        <w:ind w:left="3410" w:hanging="219"/>
      </w:pPr>
      <w:rPr>
        <w:rFonts w:hint="default"/>
        <w:lang w:val="es-ES" w:eastAsia="en-US" w:bidi="ar-SA"/>
      </w:rPr>
    </w:lvl>
    <w:lvl w:ilvl="7" w:tplc="5928A61C">
      <w:numFmt w:val="bullet"/>
      <w:lvlText w:val="•"/>
      <w:lvlJc w:val="left"/>
      <w:pPr>
        <w:ind w:left="3922" w:hanging="219"/>
      </w:pPr>
      <w:rPr>
        <w:rFonts w:hint="default"/>
        <w:lang w:val="es-ES" w:eastAsia="en-US" w:bidi="ar-SA"/>
      </w:rPr>
    </w:lvl>
    <w:lvl w:ilvl="8" w:tplc="12140F82">
      <w:numFmt w:val="bullet"/>
      <w:lvlText w:val="•"/>
      <w:lvlJc w:val="left"/>
      <w:pPr>
        <w:ind w:left="4434" w:hanging="219"/>
      </w:pPr>
      <w:rPr>
        <w:rFonts w:hint="default"/>
        <w:lang w:val="es-ES" w:eastAsia="en-US" w:bidi="ar-SA"/>
      </w:rPr>
    </w:lvl>
  </w:abstractNum>
  <w:abstractNum w:abstractNumId="17" w15:restartNumberingAfterBreak="0">
    <w:nsid w:val="2E942353"/>
    <w:multiLevelType w:val="hybridMultilevel"/>
    <w:tmpl w:val="3B4C20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20A68F2"/>
    <w:multiLevelType w:val="hybridMultilevel"/>
    <w:tmpl w:val="BF7EDD8A"/>
    <w:lvl w:ilvl="0" w:tplc="0C0A0001">
      <w:start w:val="1"/>
      <w:numFmt w:val="bullet"/>
      <w:lvlText w:val=""/>
      <w:lvlJc w:val="left"/>
      <w:pPr>
        <w:ind w:left="2509" w:hanging="360"/>
      </w:pPr>
      <w:rPr>
        <w:rFonts w:ascii="Symbol" w:hAnsi="Symbol" w:hint="default"/>
      </w:rPr>
    </w:lvl>
    <w:lvl w:ilvl="1" w:tplc="0C0A0003" w:tentative="1">
      <w:start w:val="1"/>
      <w:numFmt w:val="bullet"/>
      <w:lvlText w:val="o"/>
      <w:lvlJc w:val="left"/>
      <w:pPr>
        <w:ind w:left="3229" w:hanging="360"/>
      </w:pPr>
      <w:rPr>
        <w:rFonts w:ascii="Courier New" w:hAnsi="Courier New" w:cs="Courier New" w:hint="default"/>
      </w:rPr>
    </w:lvl>
    <w:lvl w:ilvl="2" w:tplc="0C0A0005" w:tentative="1">
      <w:start w:val="1"/>
      <w:numFmt w:val="bullet"/>
      <w:lvlText w:val=""/>
      <w:lvlJc w:val="left"/>
      <w:pPr>
        <w:ind w:left="3949" w:hanging="360"/>
      </w:pPr>
      <w:rPr>
        <w:rFonts w:ascii="Wingdings" w:hAnsi="Wingdings" w:hint="default"/>
      </w:rPr>
    </w:lvl>
    <w:lvl w:ilvl="3" w:tplc="0C0A0001" w:tentative="1">
      <w:start w:val="1"/>
      <w:numFmt w:val="bullet"/>
      <w:lvlText w:val=""/>
      <w:lvlJc w:val="left"/>
      <w:pPr>
        <w:ind w:left="4669" w:hanging="360"/>
      </w:pPr>
      <w:rPr>
        <w:rFonts w:ascii="Symbol" w:hAnsi="Symbol" w:hint="default"/>
      </w:rPr>
    </w:lvl>
    <w:lvl w:ilvl="4" w:tplc="0C0A0003" w:tentative="1">
      <w:start w:val="1"/>
      <w:numFmt w:val="bullet"/>
      <w:lvlText w:val="o"/>
      <w:lvlJc w:val="left"/>
      <w:pPr>
        <w:ind w:left="5389" w:hanging="360"/>
      </w:pPr>
      <w:rPr>
        <w:rFonts w:ascii="Courier New" w:hAnsi="Courier New" w:cs="Courier New" w:hint="default"/>
      </w:rPr>
    </w:lvl>
    <w:lvl w:ilvl="5" w:tplc="0C0A0005" w:tentative="1">
      <w:start w:val="1"/>
      <w:numFmt w:val="bullet"/>
      <w:lvlText w:val=""/>
      <w:lvlJc w:val="left"/>
      <w:pPr>
        <w:ind w:left="6109" w:hanging="360"/>
      </w:pPr>
      <w:rPr>
        <w:rFonts w:ascii="Wingdings" w:hAnsi="Wingdings" w:hint="default"/>
      </w:rPr>
    </w:lvl>
    <w:lvl w:ilvl="6" w:tplc="0C0A0001" w:tentative="1">
      <w:start w:val="1"/>
      <w:numFmt w:val="bullet"/>
      <w:lvlText w:val=""/>
      <w:lvlJc w:val="left"/>
      <w:pPr>
        <w:ind w:left="6829" w:hanging="360"/>
      </w:pPr>
      <w:rPr>
        <w:rFonts w:ascii="Symbol" w:hAnsi="Symbol" w:hint="default"/>
      </w:rPr>
    </w:lvl>
    <w:lvl w:ilvl="7" w:tplc="0C0A0003" w:tentative="1">
      <w:start w:val="1"/>
      <w:numFmt w:val="bullet"/>
      <w:lvlText w:val="o"/>
      <w:lvlJc w:val="left"/>
      <w:pPr>
        <w:ind w:left="7549" w:hanging="360"/>
      </w:pPr>
      <w:rPr>
        <w:rFonts w:ascii="Courier New" w:hAnsi="Courier New" w:cs="Courier New" w:hint="default"/>
      </w:rPr>
    </w:lvl>
    <w:lvl w:ilvl="8" w:tplc="0C0A0005" w:tentative="1">
      <w:start w:val="1"/>
      <w:numFmt w:val="bullet"/>
      <w:lvlText w:val=""/>
      <w:lvlJc w:val="left"/>
      <w:pPr>
        <w:ind w:left="8269" w:hanging="360"/>
      </w:pPr>
      <w:rPr>
        <w:rFonts w:ascii="Wingdings" w:hAnsi="Wingdings" w:hint="default"/>
      </w:rPr>
    </w:lvl>
  </w:abstractNum>
  <w:abstractNum w:abstractNumId="19" w15:restartNumberingAfterBreak="0">
    <w:nsid w:val="330A4572"/>
    <w:multiLevelType w:val="hybridMultilevel"/>
    <w:tmpl w:val="D228F8DE"/>
    <w:lvl w:ilvl="0" w:tplc="0C0A0001">
      <w:start w:val="1"/>
      <w:numFmt w:val="bullet"/>
      <w:lvlText w:val=""/>
      <w:lvlJc w:val="left"/>
      <w:pPr>
        <w:ind w:left="718" w:hanging="360"/>
      </w:pPr>
      <w:rPr>
        <w:rFonts w:ascii="Symbol" w:hAnsi="Symbol" w:hint="default"/>
      </w:rPr>
    </w:lvl>
    <w:lvl w:ilvl="1" w:tplc="0C0A0003" w:tentative="1">
      <w:start w:val="1"/>
      <w:numFmt w:val="bullet"/>
      <w:lvlText w:val="o"/>
      <w:lvlJc w:val="left"/>
      <w:pPr>
        <w:ind w:left="1438" w:hanging="360"/>
      </w:pPr>
      <w:rPr>
        <w:rFonts w:ascii="Courier New" w:hAnsi="Courier New" w:cs="Courier New" w:hint="default"/>
      </w:rPr>
    </w:lvl>
    <w:lvl w:ilvl="2" w:tplc="0C0A0005" w:tentative="1">
      <w:start w:val="1"/>
      <w:numFmt w:val="bullet"/>
      <w:lvlText w:val=""/>
      <w:lvlJc w:val="left"/>
      <w:pPr>
        <w:ind w:left="2158" w:hanging="360"/>
      </w:pPr>
      <w:rPr>
        <w:rFonts w:ascii="Wingdings" w:hAnsi="Wingdings" w:hint="default"/>
      </w:rPr>
    </w:lvl>
    <w:lvl w:ilvl="3" w:tplc="0C0A0001" w:tentative="1">
      <w:start w:val="1"/>
      <w:numFmt w:val="bullet"/>
      <w:lvlText w:val=""/>
      <w:lvlJc w:val="left"/>
      <w:pPr>
        <w:ind w:left="2878" w:hanging="360"/>
      </w:pPr>
      <w:rPr>
        <w:rFonts w:ascii="Symbol" w:hAnsi="Symbol" w:hint="default"/>
      </w:rPr>
    </w:lvl>
    <w:lvl w:ilvl="4" w:tplc="0C0A0003" w:tentative="1">
      <w:start w:val="1"/>
      <w:numFmt w:val="bullet"/>
      <w:lvlText w:val="o"/>
      <w:lvlJc w:val="left"/>
      <w:pPr>
        <w:ind w:left="3598" w:hanging="360"/>
      </w:pPr>
      <w:rPr>
        <w:rFonts w:ascii="Courier New" w:hAnsi="Courier New" w:cs="Courier New" w:hint="default"/>
      </w:rPr>
    </w:lvl>
    <w:lvl w:ilvl="5" w:tplc="0C0A0005" w:tentative="1">
      <w:start w:val="1"/>
      <w:numFmt w:val="bullet"/>
      <w:lvlText w:val=""/>
      <w:lvlJc w:val="left"/>
      <w:pPr>
        <w:ind w:left="4318" w:hanging="360"/>
      </w:pPr>
      <w:rPr>
        <w:rFonts w:ascii="Wingdings" w:hAnsi="Wingdings" w:hint="default"/>
      </w:rPr>
    </w:lvl>
    <w:lvl w:ilvl="6" w:tplc="0C0A0001" w:tentative="1">
      <w:start w:val="1"/>
      <w:numFmt w:val="bullet"/>
      <w:lvlText w:val=""/>
      <w:lvlJc w:val="left"/>
      <w:pPr>
        <w:ind w:left="5038" w:hanging="360"/>
      </w:pPr>
      <w:rPr>
        <w:rFonts w:ascii="Symbol" w:hAnsi="Symbol" w:hint="default"/>
      </w:rPr>
    </w:lvl>
    <w:lvl w:ilvl="7" w:tplc="0C0A0003" w:tentative="1">
      <w:start w:val="1"/>
      <w:numFmt w:val="bullet"/>
      <w:lvlText w:val="o"/>
      <w:lvlJc w:val="left"/>
      <w:pPr>
        <w:ind w:left="5758" w:hanging="360"/>
      </w:pPr>
      <w:rPr>
        <w:rFonts w:ascii="Courier New" w:hAnsi="Courier New" w:cs="Courier New" w:hint="default"/>
      </w:rPr>
    </w:lvl>
    <w:lvl w:ilvl="8" w:tplc="0C0A0005" w:tentative="1">
      <w:start w:val="1"/>
      <w:numFmt w:val="bullet"/>
      <w:lvlText w:val=""/>
      <w:lvlJc w:val="left"/>
      <w:pPr>
        <w:ind w:left="6478" w:hanging="360"/>
      </w:pPr>
      <w:rPr>
        <w:rFonts w:ascii="Wingdings" w:hAnsi="Wingdings" w:hint="default"/>
      </w:rPr>
    </w:lvl>
  </w:abstractNum>
  <w:abstractNum w:abstractNumId="20" w15:restartNumberingAfterBreak="0">
    <w:nsid w:val="332553F4"/>
    <w:multiLevelType w:val="hybridMultilevel"/>
    <w:tmpl w:val="041E4F7E"/>
    <w:lvl w:ilvl="0" w:tplc="04090003">
      <w:start w:val="1"/>
      <w:numFmt w:val="bullet"/>
      <w:lvlText w:val="o"/>
      <w:lvlJc w:val="left"/>
      <w:pPr>
        <w:ind w:left="1069" w:hanging="360"/>
      </w:pPr>
      <w:rPr>
        <w:rFonts w:ascii="Courier New" w:hAnsi="Courier New" w:cs="Courier New"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15:restartNumberingAfterBreak="0">
    <w:nsid w:val="390F39CE"/>
    <w:multiLevelType w:val="hybridMultilevel"/>
    <w:tmpl w:val="B2169A52"/>
    <w:lvl w:ilvl="0" w:tplc="C3B822AE">
      <w:start w:val="1"/>
      <w:numFmt w:val="decimal"/>
      <w:lvlText w:val="%1)"/>
      <w:lvlJc w:val="left"/>
      <w:pPr>
        <w:ind w:left="640" w:hanging="361"/>
      </w:pPr>
      <w:rPr>
        <w:rFonts w:ascii="Calibri" w:eastAsia="Calibri" w:hAnsi="Calibri" w:cs="Calibri" w:hint="default"/>
        <w:spacing w:val="-1"/>
        <w:w w:val="99"/>
        <w:sz w:val="20"/>
        <w:szCs w:val="20"/>
        <w:lang w:val="es-ES" w:eastAsia="en-US" w:bidi="ar-SA"/>
      </w:rPr>
    </w:lvl>
    <w:lvl w:ilvl="1" w:tplc="B456D76C">
      <w:numFmt w:val="bullet"/>
      <w:lvlText w:val="•"/>
      <w:lvlJc w:val="left"/>
      <w:pPr>
        <w:ind w:left="1618" w:hanging="361"/>
      </w:pPr>
      <w:rPr>
        <w:rFonts w:hint="default"/>
        <w:lang w:val="es-ES" w:eastAsia="en-US" w:bidi="ar-SA"/>
      </w:rPr>
    </w:lvl>
    <w:lvl w:ilvl="2" w:tplc="CE66D240">
      <w:numFmt w:val="bullet"/>
      <w:lvlText w:val="•"/>
      <w:lvlJc w:val="left"/>
      <w:pPr>
        <w:ind w:left="2596" w:hanging="361"/>
      </w:pPr>
      <w:rPr>
        <w:rFonts w:hint="default"/>
        <w:lang w:val="es-ES" w:eastAsia="en-US" w:bidi="ar-SA"/>
      </w:rPr>
    </w:lvl>
    <w:lvl w:ilvl="3" w:tplc="9FD65050">
      <w:numFmt w:val="bullet"/>
      <w:lvlText w:val="•"/>
      <w:lvlJc w:val="left"/>
      <w:pPr>
        <w:ind w:left="3574" w:hanging="361"/>
      </w:pPr>
      <w:rPr>
        <w:rFonts w:hint="default"/>
        <w:lang w:val="es-ES" w:eastAsia="en-US" w:bidi="ar-SA"/>
      </w:rPr>
    </w:lvl>
    <w:lvl w:ilvl="4" w:tplc="6C5A32C2">
      <w:numFmt w:val="bullet"/>
      <w:lvlText w:val="•"/>
      <w:lvlJc w:val="left"/>
      <w:pPr>
        <w:ind w:left="4552" w:hanging="361"/>
      </w:pPr>
      <w:rPr>
        <w:rFonts w:hint="default"/>
        <w:lang w:val="es-ES" w:eastAsia="en-US" w:bidi="ar-SA"/>
      </w:rPr>
    </w:lvl>
    <w:lvl w:ilvl="5" w:tplc="C0306F2A">
      <w:numFmt w:val="bullet"/>
      <w:lvlText w:val="•"/>
      <w:lvlJc w:val="left"/>
      <w:pPr>
        <w:ind w:left="5531" w:hanging="361"/>
      </w:pPr>
      <w:rPr>
        <w:rFonts w:hint="default"/>
        <w:lang w:val="es-ES" w:eastAsia="en-US" w:bidi="ar-SA"/>
      </w:rPr>
    </w:lvl>
    <w:lvl w:ilvl="6" w:tplc="27E87692">
      <w:numFmt w:val="bullet"/>
      <w:lvlText w:val="•"/>
      <w:lvlJc w:val="left"/>
      <w:pPr>
        <w:ind w:left="6509" w:hanging="361"/>
      </w:pPr>
      <w:rPr>
        <w:rFonts w:hint="default"/>
        <w:lang w:val="es-ES" w:eastAsia="en-US" w:bidi="ar-SA"/>
      </w:rPr>
    </w:lvl>
    <w:lvl w:ilvl="7" w:tplc="37B209AC">
      <w:numFmt w:val="bullet"/>
      <w:lvlText w:val="•"/>
      <w:lvlJc w:val="left"/>
      <w:pPr>
        <w:ind w:left="7487" w:hanging="361"/>
      </w:pPr>
      <w:rPr>
        <w:rFonts w:hint="default"/>
        <w:lang w:val="es-ES" w:eastAsia="en-US" w:bidi="ar-SA"/>
      </w:rPr>
    </w:lvl>
    <w:lvl w:ilvl="8" w:tplc="67A4545E">
      <w:numFmt w:val="bullet"/>
      <w:lvlText w:val="•"/>
      <w:lvlJc w:val="left"/>
      <w:pPr>
        <w:ind w:left="8465" w:hanging="361"/>
      </w:pPr>
      <w:rPr>
        <w:rFonts w:hint="default"/>
        <w:lang w:val="es-ES" w:eastAsia="en-US" w:bidi="ar-SA"/>
      </w:rPr>
    </w:lvl>
  </w:abstractNum>
  <w:abstractNum w:abstractNumId="22" w15:restartNumberingAfterBreak="0">
    <w:nsid w:val="3ECC4777"/>
    <w:multiLevelType w:val="hybridMultilevel"/>
    <w:tmpl w:val="B53C6D0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782182D"/>
    <w:multiLevelType w:val="hybridMultilevel"/>
    <w:tmpl w:val="78E0AF2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F4E3812"/>
    <w:multiLevelType w:val="hybridMultilevel"/>
    <w:tmpl w:val="7F08F1F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1794F6A"/>
    <w:multiLevelType w:val="hybridMultilevel"/>
    <w:tmpl w:val="BE240226"/>
    <w:lvl w:ilvl="0" w:tplc="EF0411BE">
      <w:start w:val="1"/>
      <w:numFmt w:val="lowerLetter"/>
      <w:lvlText w:val="%1)"/>
      <w:lvlJc w:val="left"/>
      <w:pPr>
        <w:ind w:left="319" w:hanging="219"/>
      </w:pPr>
      <w:rPr>
        <w:rFonts w:ascii="Calibri" w:eastAsia="Calibri" w:hAnsi="Calibri" w:cs="Calibri" w:hint="default"/>
        <w:spacing w:val="-9"/>
        <w:w w:val="100"/>
        <w:sz w:val="18"/>
        <w:szCs w:val="18"/>
        <w:lang w:val="es-ES" w:eastAsia="en-US" w:bidi="ar-SA"/>
      </w:rPr>
    </w:lvl>
    <w:lvl w:ilvl="1" w:tplc="F23444D0">
      <w:numFmt w:val="bullet"/>
      <w:lvlText w:val="•"/>
      <w:lvlJc w:val="left"/>
      <w:pPr>
        <w:ind w:left="806" w:hanging="219"/>
      </w:pPr>
      <w:rPr>
        <w:rFonts w:hint="default"/>
        <w:lang w:val="es-ES" w:eastAsia="en-US" w:bidi="ar-SA"/>
      </w:rPr>
    </w:lvl>
    <w:lvl w:ilvl="2" w:tplc="7026CC64">
      <w:numFmt w:val="bullet"/>
      <w:lvlText w:val="•"/>
      <w:lvlJc w:val="left"/>
      <w:pPr>
        <w:ind w:left="1292" w:hanging="219"/>
      </w:pPr>
      <w:rPr>
        <w:rFonts w:hint="default"/>
        <w:lang w:val="es-ES" w:eastAsia="en-US" w:bidi="ar-SA"/>
      </w:rPr>
    </w:lvl>
    <w:lvl w:ilvl="3" w:tplc="97A40C94">
      <w:numFmt w:val="bullet"/>
      <w:lvlText w:val="•"/>
      <w:lvlJc w:val="left"/>
      <w:pPr>
        <w:ind w:left="1778" w:hanging="219"/>
      </w:pPr>
      <w:rPr>
        <w:rFonts w:hint="default"/>
        <w:lang w:val="es-ES" w:eastAsia="en-US" w:bidi="ar-SA"/>
      </w:rPr>
    </w:lvl>
    <w:lvl w:ilvl="4" w:tplc="F75C3F12">
      <w:numFmt w:val="bullet"/>
      <w:lvlText w:val="•"/>
      <w:lvlJc w:val="left"/>
      <w:pPr>
        <w:ind w:left="2264" w:hanging="219"/>
      </w:pPr>
      <w:rPr>
        <w:rFonts w:hint="default"/>
        <w:lang w:val="es-ES" w:eastAsia="en-US" w:bidi="ar-SA"/>
      </w:rPr>
    </w:lvl>
    <w:lvl w:ilvl="5" w:tplc="E946E550">
      <w:numFmt w:val="bullet"/>
      <w:lvlText w:val="•"/>
      <w:lvlJc w:val="left"/>
      <w:pPr>
        <w:ind w:left="2751" w:hanging="219"/>
      </w:pPr>
      <w:rPr>
        <w:rFonts w:hint="default"/>
        <w:lang w:val="es-ES" w:eastAsia="en-US" w:bidi="ar-SA"/>
      </w:rPr>
    </w:lvl>
    <w:lvl w:ilvl="6" w:tplc="EA127400">
      <w:numFmt w:val="bullet"/>
      <w:lvlText w:val="•"/>
      <w:lvlJc w:val="left"/>
      <w:pPr>
        <w:ind w:left="3237" w:hanging="219"/>
      </w:pPr>
      <w:rPr>
        <w:rFonts w:hint="default"/>
        <w:lang w:val="es-ES" w:eastAsia="en-US" w:bidi="ar-SA"/>
      </w:rPr>
    </w:lvl>
    <w:lvl w:ilvl="7" w:tplc="7DA6E806">
      <w:numFmt w:val="bullet"/>
      <w:lvlText w:val="•"/>
      <w:lvlJc w:val="left"/>
      <w:pPr>
        <w:ind w:left="3723" w:hanging="219"/>
      </w:pPr>
      <w:rPr>
        <w:rFonts w:hint="default"/>
        <w:lang w:val="es-ES" w:eastAsia="en-US" w:bidi="ar-SA"/>
      </w:rPr>
    </w:lvl>
    <w:lvl w:ilvl="8" w:tplc="D5DE4590">
      <w:numFmt w:val="bullet"/>
      <w:lvlText w:val="•"/>
      <w:lvlJc w:val="left"/>
      <w:pPr>
        <w:ind w:left="4209" w:hanging="219"/>
      </w:pPr>
      <w:rPr>
        <w:rFonts w:hint="default"/>
        <w:lang w:val="es-ES" w:eastAsia="en-US" w:bidi="ar-SA"/>
      </w:rPr>
    </w:lvl>
  </w:abstractNum>
  <w:abstractNum w:abstractNumId="26" w15:restartNumberingAfterBreak="0">
    <w:nsid w:val="54B32F08"/>
    <w:multiLevelType w:val="hybridMultilevel"/>
    <w:tmpl w:val="EB442F6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56A0CC5"/>
    <w:multiLevelType w:val="hybridMultilevel"/>
    <w:tmpl w:val="3A740040"/>
    <w:lvl w:ilvl="0" w:tplc="DC3EBCD2">
      <w:start w:val="1"/>
      <w:numFmt w:val="decimal"/>
      <w:lvlText w:val="%1."/>
      <w:lvlJc w:val="left"/>
      <w:pPr>
        <w:ind w:left="535" w:hanging="361"/>
      </w:pPr>
      <w:rPr>
        <w:rFonts w:ascii="Calibri" w:eastAsia="Calibri" w:hAnsi="Calibri" w:cs="Calibri" w:hint="default"/>
        <w:b/>
        <w:bCs/>
        <w:i/>
        <w:spacing w:val="-20"/>
        <w:w w:val="100"/>
        <w:sz w:val="18"/>
        <w:szCs w:val="18"/>
        <w:lang w:val="es-ES" w:eastAsia="en-US" w:bidi="ar-SA"/>
      </w:rPr>
    </w:lvl>
    <w:lvl w:ilvl="1" w:tplc="4240FDE2">
      <w:numFmt w:val="bullet"/>
      <w:lvlText w:val="•"/>
      <w:lvlJc w:val="left"/>
      <w:pPr>
        <w:ind w:left="1504" w:hanging="361"/>
      </w:pPr>
      <w:rPr>
        <w:rFonts w:hint="default"/>
        <w:lang w:val="es-ES" w:eastAsia="en-US" w:bidi="ar-SA"/>
      </w:rPr>
    </w:lvl>
    <w:lvl w:ilvl="2" w:tplc="57D05CBA">
      <w:numFmt w:val="bullet"/>
      <w:lvlText w:val="•"/>
      <w:lvlJc w:val="left"/>
      <w:pPr>
        <w:ind w:left="2468" w:hanging="361"/>
      </w:pPr>
      <w:rPr>
        <w:rFonts w:hint="default"/>
        <w:lang w:val="es-ES" w:eastAsia="en-US" w:bidi="ar-SA"/>
      </w:rPr>
    </w:lvl>
    <w:lvl w:ilvl="3" w:tplc="B058C72E">
      <w:numFmt w:val="bullet"/>
      <w:lvlText w:val="•"/>
      <w:lvlJc w:val="left"/>
      <w:pPr>
        <w:ind w:left="3432" w:hanging="361"/>
      </w:pPr>
      <w:rPr>
        <w:rFonts w:hint="default"/>
        <w:lang w:val="es-ES" w:eastAsia="en-US" w:bidi="ar-SA"/>
      </w:rPr>
    </w:lvl>
    <w:lvl w:ilvl="4" w:tplc="CD2C8690">
      <w:numFmt w:val="bullet"/>
      <w:lvlText w:val="•"/>
      <w:lvlJc w:val="left"/>
      <w:pPr>
        <w:ind w:left="4396" w:hanging="361"/>
      </w:pPr>
      <w:rPr>
        <w:rFonts w:hint="default"/>
        <w:lang w:val="es-ES" w:eastAsia="en-US" w:bidi="ar-SA"/>
      </w:rPr>
    </w:lvl>
    <w:lvl w:ilvl="5" w:tplc="E32E17FE">
      <w:numFmt w:val="bullet"/>
      <w:lvlText w:val="•"/>
      <w:lvlJc w:val="left"/>
      <w:pPr>
        <w:ind w:left="5361" w:hanging="361"/>
      </w:pPr>
      <w:rPr>
        <w:rFonts w:hint="default"/>
        <w:lang w:val="es-ES" w:eastAsia="en-US" w:bidi="ar-SA"/>
      </w:rPr>
    </w:lvl>
    <w:lvl w:ilvl="6" w:tplc="EF6A7C72">
      <w:numFmt w:val="bullet"/>
      <w:lvlText w:val="•"/>
      <w:lvlJc w:val="left"/>
      <w:pPr>
        <w:ind w:left="6325" w:hanging="361"/>
      </w:pPr>
      <w:rPr>
        <w:rFonts w:hint="default"/>
        <w:lang w:val="es-ES" w:eastAsia="en-US" w:bidi="ar-SA"/>
      </w:rPr>
    </w:lvl>
    <w:lvl w:ilvl="7" w:tplc="9B98977C">
      <w:numFmt w:val="bullet"/>
      <w:lvlText w:val="•"/>
      <w:lvlJc w:val="left"/>
      <w:pPr>
        <w:ind w:left="7289" w:hanging="361"/>
      </w:pPr>
      <w:rPr>
        <w:rFonts w:hint="default"/>
        <w:lang w:val="es-ES" w:eastAsia="en-US" w:bidi="ar-SA"/>
      </w:rPr>
    </w:lvl>
    <w:lvl w:ilvl="8" w:tplc="D414A50C">
      <w:numFmt w:val="bullet"/>
      <w:lvlText w:val="•"/>
      <w:lvlJc w:val="left"/>
      <w:pPr>
        <w:ind w:left="8253" w:hanging="361"/>
      </w:pPr>
      <w:rPr>
        <w:rFonts w:hint="default"/>
        <w:lang w:val="es-ES" w:eastAsia="en-US" w:bidi="ar-SA"/>
      </w:rPr>
    </w:lvl>
  </w:abstractNum>
  <w:abstractNum w:abstractNumId="28" w15:restartNumberingAfterBreak="0">
    <w:nsid w:val="5C02779F"/>
    <w:multiLevelType w:val="hybridMultilevel"/>
    <w:tmpl w:val="B5003A5A"/>
    <w:lvl w:ilvl="0" w:tplc="0C0A0001">
      <w:start w:val="1"/>
      <w:numFmt w:val="bullet"/>
      <w:lvlText w:val=""/>
      <w:lvlJc w:val="left"/>
      <w:pPr>
        <w:ind w:left="844" w:hanging="360"/>
      </w:pPr>
      <w:rPr>
        <w:rFonts w:ascii="Symbol" w:hAnsi="Symbol" w:hint="default"/>
      </w:rPr>
    </w:lvl>
    <w:lvl w:ilvl="1" w:tplc="0C0A0003" w:tentative="1">
      <w:start w:val="1"/>
      <w:numFmt w:val="bullet"/>
      <w:lvlText w:val="o"/>
      <w:lvlJc w:val="left"/>
      <w:pPr>
        <w:ind w:left="1564" w:hanging="360"/>
      </w:pPr>
      <w:rPr>
        <w:rFonts w:ascii="Courier New" w:hAnsi="Courier New" w:cs="Courier New" w:hint="default"/>
      </w:rPr>
    </w:lvl>
    <w:lvl w:ilvl="2" w:tplc="0C0A0005" w:tentative="1">
      <w:start w:val="1"/>
      <w:numFmt w:val="bullet"/>
      <w:lvlText w:val=""/>
      <w:lvlJc w:val="left"/>
      <w:pPr>
        <w:ind w:left="2284" w:hanging="360"/>
      </w:pPr>
      <w:rPr>
        <w:rFonts w:ascii="Wingdings" w:hAnsi="Wingdings" w:hint="default"/>
      </w:rPr>
    </w:lvl>
    <w:lvl w:ilvl="3" w:tplc="0C0A0001" w:tentative="1">
      <w:start w:val="1"/>
      <w:numFmt w:val="bullet"/>
      <w:lvlText w:val=""/>
      <w:lvlJc w:val="left"/>
      <w:pPr>
        <w:ind w:left="3004" w:hanging="360"/>
      </w:pPr>
      <w:rPr>
        <w:rFonts w:ascii="Symbol" w:hAnsi="Symbol" w:hint="default"/>
      </w:rPr>
    </w:lvl>
    <w:lvl w:ilvl="4" w:tplc="0C0A0003" w:tentative="1">
      <w:start w:val="1"/>
      <w:numFmt w:val="bullet"/>
      <w:lvlText w:val="o"/>
      <w:lvlJc w:val="left"/>
      <w:pPr>
        <w:ind w:left="3724" w:hanging="360"/>
      </w:pPr>
      <w:rPr>
        <w:rFonts w:ascii="Courier New" w:hAnsi="Courier New" w:cs="Courier New" w:hint="default"/>
      </w:rPr>
    </w:lvl>
    <w:lvl w:ilvl="5" w:tplc="0C0A0005" w:tentative="1">
      <w:start w:val="1"/>
      <w:numFmt w:val="bullet"/>
      <w:lvlText w:val=""/>
      <w:lvlJc w:val="left"/>
      <w:pPr>
        <w:ind w:left="4444" w:hanging="360"/>
      </w:pPr>
      <w:rPr>
        <w:rFonts w:ascii="Wingdings" w:hAnsi="Wingdings" w:hint="default"/>
      </w:rPr>
    </w:lvl>
    <w:lvl w:ilvl="6" w:tplc="0C0A0001" w:tentative="1">
      <w:start w:val="1"/>
      <w:numFmt w:val="bullet"/>
      <w:lvlText w:val=""/>
      <w:lvlJc w:val="left"/>
      <w:pPr>
        <w:ind w:left="5164" w:hanging="360"/>
      </w:pPr>
      <w:rPr>
        <w:rFonts w:ascii="Symbol" w:hAnsi="Symbol" w:hint="default"/>
      </w:rPr>
    </w:lvl>
    <w:lvl w:ilvl="7" w:tplc="0C0A0003" w:tentative="1">
      <w:start w:val="1"/>
      <w:numFmt w:val="bullet"/>
      <w:lvlText w:val="o"/>
      <w:lvlJc w:val="left"/>
      <w:pPr>
        <w:ind w:left="5884" w:hanging="360"/>
      </w:pPr>
      <w:rPr>
        <w:rFonts w:ascii="Courier New" w:hAnsi="Courier New" w:cs="Courier New" w:hint="default"/>
      </w:rPr>
    </w:lvl>
    <w:lvl w:ilvl="8" w:tplc="0C0A0005" w:tentative="1">
      <w:start w:val="1"/>
      <w:numFmt w:val="bullet"/>
      <w:lvlText w:val=""/>
      <w:lvlJc w:val="left"/>
      <w:pPr>
        <w:ind w:left="6604" w:hanging="360"/>
      </w:pPr>
      <w:rPr>
        <w:rFonts w:ascii="Wingdings" w:hAnsi="Wingdings" w:hint="default"/>
      </w:rPr>
    </w:lvl>
  </w:abstractNum>
  <w:abstractNum w:abstractNumId="29" w15:restartNumberingAfterBreak="0">
    <w:nsid w:val="5E262519"/>
    <w:multiLevelType w:val="hybridMultilevel"/>
    <w:tmpl w:val="A4781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684B4E"/>
    <w:multiLevelType w:val="hybridMultilevel"/>
    <w:tmpl w:val="7AB04B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91F152D"/>
    <w:multiLevelType w:val="hybridMultilevel"/>
    <w:tmpl w:val="4FCCC084"/>
    <w:lvl w:ilvl="0" w:tplc="1662FC70">
      <w:start w:val="1"/>
      <w:numFmt w:val="decimal"/>
      <w:lvlText w:val="%1."/>
      <w:lvlJc w:val="left"/>
      <w:pPr>
        <w:ind w:left="644" w:hanging="360"/>
      </w:pPr>
      <w:rPr>
        <w:rFonts w:hint="default"/>
      </w:rPr>
    </w:lvl>
    <w:lvl w:ilvl="1" w:tplc="357408FE">
      <w:start w:val="1"/>
      <w:numFmt w:val="lowerLetter"/>
      <w:lvlText w:val="%2."/>
      <w:lvlJc w:val="left"/>
      <w:pPr>
        <w:ind w:left="1364" w:hanging="360"/>
      </w:pPr>
      <w:rPr>
        <w:b/>
      </w:r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32" w15:restartNumberingAfterBreak="0">
    <w:nsid w:val="6E6B5013"/>
    <w:multiLevelType w:val="hybridMultilevel"/>
    <w:tmpl w:val="544C7E76"/>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4D4CB2"/>
    <w:multiLevelType w:val="hybridMultilevel"/>
    <w:tmpl w:val="475A9C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7"/>
  </w:num>
  <w:num w:numId="4">
    <w:abstractNumId w:val="5"/>
  </w:num>
  <w:num w:numId="5">
    <w:abstractNumId w:val="4"/>
  </w:num>
  <w:num w:numId="6">
    <w:abstractNumId w:val="1"/>
  </w:num>
  <w:num w:numId="7">
    <w:abstractNumId w:val="7"/>
  </w:num>
  <w:num w:numId="8">
    <w:abstractNumId w:val="25"/>
  </w:num>
  <w:num w:numId="9">
    <w:abstractNumId w:val="10"/>
  </w:num>
  <w:num w:numId="10">
    <w:abstractNumId w:val="27"/>
  </w:num>
  <w:num w:numId="11">
    <w:abstractNumId w:val="8"/>
  </w:num>
  <w:num w:numId="12">
    <w:abstractNumId w:val="16"/>
  </w:num>
  <w:num w:numId="13">
    <w:abstractNumId w:val="21"/>
  </w:num>
  <w:num w:numId="14">
    <w:abstractNumId w:val="28"/>
  </w:num>
  <w:num w:numId="15">
    <w:abstractNumId w:val="6"/>
  </w:num>
  <w:num w:numId="16">
    <w:abstractNumId w:val="13"/>
  </w:num>
  <w:num w:numId="17">
    <w:abstractNumId w:val="2"/>
  </w:num>
  <w:num w:numId="18">
    <w:abstractNumId w:val="33"/>
  </w:num>
  <w:num w:numId="19">
    <w:abstractNumId w:val="31"/>
  </w:num>
  <w:num w:numId="20">
    <w:abstractNumId w:val="3"/>
  </w:num>
  <w:num w:numId="21">
    <w:abstractNumId w:val="15"/>
  </w:num>
  <w:num w:numId="22">
    <w:abstractNumId w:val="26"/>
  </w:num>
  <w:num w:numId="23">
    <w:abstractNumId w:val="23"/>
  </w:num>
  <w:num w:numId="24">
    <w:abstractNumId w:val="30"/>
  </w:num>
  <w:num w:numId="25">
    <w:abstractNumId w:val="22"/>
  </w:num>
  <w:num w:numId="26">
    <w:abstractNumId w:val="18"/>
  </w:num>
  <w:num w:numId="27">
    <w:abstractNumId w:val="24"/>
  </w:num>
  <w:num w:numId="28">
    <w:abstractNumId w:val="19"/>
  </w:num>
  <w:num w:numId="29">
    <w:abstractNumId w:val="11"/>
  </w:num>
  <w:num w:numId="30">
    <w:abstractNumId w:val="0"/>
  </w:num>
  <w:num w:numId="31">
    <w:abstractNumId w:val="20"/>
  </w:num>
  <w:num w:numId="32">
    <w:abstractNumId w:val="29"/>
  </w:num>
  <w:num w:numId="33">
    <w:abstractNumId w:val="14"/>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3B6"/>
    <w:rsid w:val="00004121"/>
    <w:rsid w:val="000148E5"/>
    <w:rsid w:val="00023345"/>
    <w:rsid w:val="000269E1"/>
    <w:rsid w:val="00037AAE"/>
    <w:rsid w:val="00037D55"/>
    <w:rsid w:val="00042C1B"/>
    <w:rsid w:val="00043E40"/>
    <w:rsid w:val="000653B1"/>
    <w:rsid w:val="00091C71"/>
    <w:rsid w:val="000A0924"/>
    <w:rsid w:val="00102B7D"/>
    <w:rsid w:val="00104BAC"/>
    <w:rsid w:val="00113FB0"/>
    <w:rsid w:val="00123283"/>
    <w:rsid w:val="00143458"/>
    <w:rsid w:val="0018652D"/>
    <w:rsid w:val="001B1A06"/>
    <w:rsid w:val="001C7D6A"/>
    <w:rsid w:val="001D33A1"/>
    <w:rsid w:val="001F0DF7"/>
    <w:rsid w:val="00222CE1"/>
    <w:rsid w:val="00231FF6"/>
    <w:rsid w:val="00246F8C"/>
    <w:rsid w:val="002472F7"/>
    <w:rsid w:val="0025772B"/>
    <w:rsid w:val="002731D4"/>
    <w:rsid w:val="00285C85"/>
    <w:rsid w:val="00287570"/>
    <w:rsid w:val="00290DDF"/>
    <w:rsid w:val="002D385E"/>
    <w:rsid w:val="002D3B18"/>
    <w:rsid w:val="002D3FAC"/>
    <w:rsid w:val="002D6B4B"/>
    <w:rsid w:val="0033156F"/>
    <w:rsid w:val="00382839"/>
    <w:rsid w:val="00382BFE"/>
    <w:rsid w:val="00385091"/>
    <w:rsid w:val="003954C5"/>
    <w:rsid w:val="003A2493"/>
    <w:rsid w:val="003A7F1F"/>
    <w:rsid w:val="003F0D1E"/>
    <w:rsid w:val="004075AE"/>
    <w:rsid w:val="0043364B"/>
    <w:rsid w:val="004651EB"/>
    <w:rsid w:val="00467258"/>
    <w:rsid w:val="00473067"/>
    <w:rsid w:val="00485697"/>
    <w:rsid w:val="00490400"/>
    <w:rsid w:val="004E7888"/>
    <w:rsid w:val="004F797B"/>
    <w:rsid w:val="005720D0"/>
    <w:rsid w:val="00594C27"/>
    <w:rsid w:val="005A3992"/>
    <w:rsid w:val="006145D7"/>
    <w:rsid w:val="00645B4B"/>
    <w:rsid w:val="006B6737"/>
    <w:rsid w:val="006C2224"/>
    <w:rsid w:val="006C27E3"/>
    <w:rsid w:val="00731D6B"/>
    <w:rsid w:val="007461B0"/>
    <w:rsid w:val="00790FD6"/>
    <w:rsid w:val="007961E6"/>
    <w:rsid w:val="007E1349"/>
    <w:rsid w:val="007F362A"/>
    <w:rsid w:val="007F39BD"/>
    <w:rsid w:val="00823B95"/>
    <w:rsid w:val="008471AA"/>
    <w:rsid w:val="00860FAC"/>
    <w:rsid w:val="00867A76"/>
    <w:rsid w:val="009050B8"/>
    <w:rsid w:val="00907EE8"/>
    <w:rsid w:val="0091269C"/>
    <w:rsid w:val="0095777C"/>
    <w:rsid w:val="00970563"/>
    <w:rsid w:val="00991F75"/>
    <w:rsid w:val="00992469"/>
    <w:rsid w:val="009A00F8"/>
    <w:rsid w:val="009A5D92"/>
    <w:rsid w:val="009B56AF"/>
    <w:rsid w:val="009F1533"/>
    <w:rsid w:val="009F1888"/>
    <w:rsid w:val="00A1411B"/>
    <w:rsid w:val="00A22405"/>
    <w:rsid w:val="00A30FF8"/>
    <w:rsid w:val="00A327F8"/>
    <w:rsid w:val="00A51E06"/>
    <w:rsid w:val="00A75A79"/>
    <w:rsid w:val="00A7760C"/>
    <w:rsid w:val="00AA5B7C"/>
    <w:rsid w:val="00AC1FF6"/>
    <w:rsid w:val="00AC2B7E"/>
    <w:rsid w:val="00AD6A2A"/>
    <w:rsid w:val="00AF0197"/>
    <w:rsid w:val="00B00A5C"/>
    <w:rsid w:val="00B16CAD"/>
    <w:rsid w:val="00B22414"/>
    <w:rsid w:val="00B54BB1"/>
    <w:rsid w:val="00B771A2"/>
    <w:rsid w:val="00B8069C"/>
    <w:rsid w:val="00BC2BBA"/>
    <w:rsid w:val="00BD7B5B"/>
    <w:rsid w:val="00C15E86"/>
    <w:rsid w:val="00C20493"/>
    <w:rsid w:val="00C32DE1"/>
    <w:rsid w:val="00C532F2"/>
    <w:rsid w:val="00C64E0C"/>
    <w:rsid w:val="00C81433"/>
    <w:rsid w:val="00CA127C"/>
    <w:rsid w:val="00CC5815"/>
    <w:rsid w:val="00CD0309"/>
    <w:rsid w:val="00CE7D9F"/>
    <w:rsid w:val="00D0432C"/>
    <w:rsid w:val="00D0792D"/>
    <w:rsid w:val="00D43B78"/>
    <w:rsid w:val="00D45D98"/>
    <w:rsid w:val="00D66DDA"/>
    <w:rsid w:val="00D71ED5"/>
    <w:rsid w:val="00D93F6F"/>
    <w:rsid w:val="00DD77EE"/>
    <w:rsid w:val="00DF10C8"/>
    <w:rsid w:val="00DF3851"/>
    <w:rsid w:val="00E06C66"/>
    <w:rsid w:val="00E121C3"/>
    <w:rsid w:val="00E1319F"/>
    <w:rsid w:val="00E13975"/>
    <w:rsid w:val="00E15E33"/>
    <w:rsid w:val="00E80368"/>
    <w:rsid w:val="00EA6B2B"/>
    <w:rsid w:val="00EA7A52"/>
    <w:rsid w:val="00EB6BF4"/>
    <w:rsid w:val="00EC1666"/>
    <w:rsid w:val="00ED1B0F"/>
    <w:rsid w:val="00ED31AC"/>
    <w:rsid w:val="00EE63A4"/>
    <w:rsid w:val="00EE63B6"/>
    <w:rsid w:val="00F400A8"/>
    <w:rsid w:val="00F44FBC"/>
    <w:rsid w:val="00F46202"/>
    <w:rsid w:val="00F5645C"/>
    <w:rsid w:val="00F7505B"/>
    <w:rsid w:val="00F81B03"/>
    <w:rsid w:val="00F87103"/>
    <w:rsid w:val="00F90E2D"/>
    <w:rsid w:val="00FA7FAD"/>
    <w:rsid w:val="00FB4770"/>
    <w:rsid w:val="00FC1FC4"/>
    <w:rsid w:val="00FE2B0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BE4B3"/>
  <w15:docId w15:val="{5FF6BBD2-6DE8-4949-BEF2-5FF49793D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3B6"/>
  </w:style>
  <w:style w:type="paragraph" w:styleId="Heading2">
    <w:name w:val="heading 2"/>
    <w:basedOn w:val="Normal"/>
    <w:next w:val="Normal"/>
    <w:link w:val="Heading2Char"/>
    <w:uiPriority w:val="9"/>
    <w:unhideWhenUsed/>
    <w:qFormat/>
    <w:rsid w:val="00F7505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7505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EE63B6"/>
    <w:pPr>
      <w:ind w:left="720"/>
      <w:contextualSpacing/>
    </w:pPr>
  </w:style>
  <w:style w:type="character" w:styleId="Hyperlink">
    <w:name w:val="Hyperlink"/>
    <w:basedOn w:val="DefaultParagraphFont"/>
    <w:uiPriority w:val="99"/>
    <w:unhideWhenUsed/>
    <w:rsid w:val="00EE63B6"/>
    <w:rPr>
      <w:color w:val="0000FF" w:themeColor="hyperlink"/>
      <w:u w:val="single"/>
    </w:rPr>
  </w:style>
  <w:style w:type="paragraph" w:styleId="FootnoteText">
    <w:name w:val="footnote text"/>
    <w:basedOn w:val="Normal"/>
    <w:link w:val="FootnoteTextChar"/>
    <w:uiPriority w:val="99"/>
    <w:unhideWhenUsed/>
    <w:qFormat/>
    <w:rsid w:val="00EE63B6"/>
    <w:pPr>
      <w:spacing w:after="0" w:line="240" w:lineRule="auto"/>
    </w:pPr>
    <w:rPr>
      <w:sz w:val="20"/>
      <w:szCs w:val="20"/>
      <w:lang w:val="en-MY"/>
    </w:rPr>
  </w:style>
  <w:style w:type="character" w:customStyle="1" w:styleId="FootnoteTextChar">
    <w:name w:val="Footnote Text Char"/>
    <w:basedOn w:val="DefaultParagraphFont"/>
    <w:link w:val="FootnoteText"/>
    <w:uiPriority w:val="99"/>
    <w:semiHidden/>
    <w:rsid w:val="00EE63B6"/>
    <w:rPr>
      <w:sz w:val="20"/>
      <w:szCs w:val="20"/>
      <w:lang w:val="en-MY"/>
    </w:rPr>
  </w:style>
  <w:style w:type="character" w:customStyle="1" w:styleId="ListParagraphChar">
    <w:name w:val="List Paragraph Char"/>
    <w:link w:val="ListParagraph"/>
    <w:uiPriority w:val="34"/>
    <w:locked/>
    <w:rsid w:val="00EE63B6"/>
  </w:style>
  <w:style w:type="character" w:styleId="FootnoteReference">
    <w:name w:val="footnote reference"/>
    <w:basedOn w:val="DefaultParagraphFont"/>
    <w:uiPriority w:val="99"/>
    <w:semiHidden/>
    <w:unhideWhenUsed/>
    <w:rsid w:val="00EE63B6"/>
    <w:rPr>
      <w:vertAlign w:val="superscript"/>
    </w:rPr>
  </w:style>
  <w:style w:type="character" w:styleId="CommentReference">
    <w:name w:val="annotation reference"/>
    <w:basedOn w:val="DefaultParagraphFont"/>
    <w:uiPriority w:val="99"/>
    <w:semiHidden/>
    <w:unhideWhenUsed/>
    <w:rsid w:val="00EE63B6"/>
    <w:rPr>
      <w:sz w:val="16"/>
      <w:szCs w:val="16"/>
    </w:rPr>
  </w:style>
  <w:style w:type="paragraph" w:styleId="CommentText">
    <w:name w:val="annotation text"/>
    <w:basedOn w:val="Normal"/>
    <w:link w:val="CommentTextChar"/>
    <w:uiPriority w:val="99"/>
    <w:semiHidden/>
    <w:unhideWhenUsed/>
    <w:rsid w:val="00EE63B6"/>
    <w:pPr>
      <w:spacing w:line="240" w:lineRule="auto"/>
    </w:pPr>
    <w:rPr>
      <w:sz w:val="20"/>
      <w:szCs w:val="20"/>
    </w:rPr>
  </w:style>
  <w:style w:type="character" w:customStyle="1" w:styleId="CommentTextChar">
    <w:name w:val="Comment Text Char"/>
    <w:basedOn w:val="DefaultParagraphFont"/>
    <w:link w:val="CommentText"/>
    <w:uiPriority w:val="99"/>
    <w:semiHidden/>
    <w:rsid w:val="00EE63B6"/>
    <w:rPr>
      <w:sz w:val="20"/>
      <w:szCs w:val="20"/>
    </w:rPr>
  </w:style>
  <w:style w:type="paragraph" w:styleId="BalloonText">
    <w:name w:val="Balloon Text"/>
    <w:basedOn w:val="Normal"/>
    <w:link w:val="BalloonTextChar"/>
    <w:uiPriority w:val="99"/>
    <w:semiHidden/>
    <w:unhideWhenUsed/>
    <w:rsid w:val="00EE6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3B6"/>
    <w:rPr>
      <w:rFonts w:ascii="Tahoma" w:hAnsi="Tahoma" w:cs="Tahoma"/>
      <w:sz w:val="16"/>
      <w:szCs w:val="16"/>
    </w:rPr>
  </w:style>
  <w:style w:type="paragraph" w:styleId="Header">
    <w:name w:val="header"/>
    <w:basedOn w:val="Normal"/>
    <w:link w:val="HeaderChar"/>
    <w:uiPriority w:val="99"/>
    <w:unhideWhenUsed/>
    <w:rsid w:val="004651EB"/>
    <w:pPr>
      <w:tabs>
        <w:tab w:val="center" w:pos="4419"/>
        <w:tab w:val="right" w:pos="8838"/>
      </w:tabs>
      <w:spacing w:after="0" w:line="240" w:lineRule="auto"/>
    </w:pPr>
  </w:style>
  <w:style w:type="character" w:customStyle="1" w:styleId="HeaderChar">
    <w:name w:val="Header Char"/>
    <w:basedOn w:val="DefaultParagraphFont"/>
    <w:link w:val="Header"/>
    <w:uiPriority w:val="99"/>
    <w:rsid w:val="004651EB"/>
  </w:style>
  <w:style w:type="paragraph" w:styleId="Footer">
    <w:name w:val="footer"/>
    <w:basedOn w:val="Normal"/>
    <w:link w:val="FooterChar"/>
    <w:uiPriority w:val="99"/>
    <w:unhideWhenUsed/>
    <w:rsid w:val="004651EB"/>
    <w:pPr>
      <w:tabs>
        <w:tab w:val="center" w:pos="4419"/>
        <w:tab w:val="right" w:pos="8838"/>
      </w:tabs>
      <w:spacing w:after="0" w:line="240" w:lineRule="auto"/>
    </w:pPr>
  </w:style>
  <w:style w:type="character" w:customStyle="1" w:styleId="FooterChar">
    <w:name w:val="Footer Char"/>
    <w:basedOn w:val="DefaultParagraphFont"/>
    <w:link w:val="Footer"/>
    <w:uiPriority w:val="99"/>
    <w:rsid w:val="004651EB"/>
  </w:style>
  <w:style w:type="paragraph" w:styleId="TOC1">
    <w:name w:val="toc 1"/>
    <w:basedOn w:val="Normal"/>
    <w:uiPriority w:val="1"/>
    <w:qFormat/>
    <w:rsid w:val="00F7505B"/>
    <w:pPr>
      <w:widowControl w:val="0"/>
      <w:autoSpaceDE w:val="0"/>
      <w:autoSpaceDN w:val="0"/>
      <w:spacing w:before="142" w:after="0" w:line="240" w:lineRule="auto"/>
      <w:ind w:left="1302"/>
    </w:pPr>
    <w:rPr>
      <w:rFonts w:ascii="Book Antiqua" w:eastAsia="Book Antiqua" w:hAnsi="Book Antiqua" w:cs="Book Antiqua"/>
      <w:lang w:val="es-ES"/>
    </w:rPr>
  </w:style>
  <w:style w:type="paragraph" w:styleId="BodyText">
    <w:name w:val="Body Text"/>
    <w:basedOn w:val="Normal"/>
    <w:link w:val="BodyTextChar"/>
    <w:uiPriority w:val="1"/>
    <w:qFormat/>
    <w:rsid w:val="00F7505B"/>
    <w:pPr>
      <w:widowControl w:val="0"/>
      <w:autoSpaceDE w:val="0"/>
      <w:autoSpaceDN w:val="0"/>
      <w:spacing w:after="0" w:line="240" w:lineRule="auto"/>
    </w:pPr>
    <w:rPr>
      <w:rFonts w:ascii="Book Antiqua" w:eastAsia="Book Antiqua" w:hAnsi="Book Antiqua" w:cs="Book Antiqua"/>
      <w:lang w:val="es-ES"/>
    </w:rPr>
  </w:style>
  <w:style w:type="character" w:customStyle="1" w:styleId="BodyTextChar">
    <w:name w:val="Body Text Char"/>
    <w:basedOn w:val="DefaultParagraphFont"/>
    <w:link w:val="BodyText"/>
    <w:uiPriority w:val="1"/>
    <w:rsid w:val="00F7505B"/>
    <w:rPr>
      <w:rFonts w:ascii="Book Antiqua" w:eastAsia="Book Antiqua" w:hAnsi="Book Antiqua" w:cs="Book Antiqua"/>
      <w:lang w:val="es-ES"/>
    </w:rPr>
  </w:style>
  <w:style w:type="character" w:customStyle="1" w:styleId="Heading2Char">
    <w:name w:val="Heading 2 Char"/>
    <w:basedOn w:val="DefaultParagraphFont"/>
    <w:link w:val="Heading2"/>
    <w:uiPriority w:val="9"/>
    <w:rsid w:val="00F7505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F7505B"/>
    <w:rPr>
      <w:rFonts w:asciiTheme="majorHAnsi" w:eastAsiaTheme="majorEastAsia" w:hAnsiTheme="majorHAnsi" w:cstheme="majorBidi"/>
      <w:color w:val="243F60" w:themeColor="accent1" w:themeShade="7F"/>
      <w:sz w:val="24"/>
      <w:szCs w:val="24"/>
    </w:rPr>
  </w:style>
  <w:style w:type="table" w:customStyle="1" w:styleId="TableNormal1">
    <w:name w:val="Table Normal1"/>
    <w:uiPriority w:val="2"/>
    <w:semiHidden/>
    <w:unhideWhenUsed/>
    <w:qFormat/>
    <w:rsid w:val="00A1411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1411B"/>
    <w:pPr>
      <w:widowControl w:val="0"/>
      <w:autoSpaceDE w:val="0"/>
      <w:autoSpaceDN w:val="0"/>
      <w:spacing w:after="0" w:line="240" w:lineRule="auto"/>
    </w:pPr>
    <w:rPr>
      <w:rFonts w:ascii="Calibri" w:eastAsia="Calibri" w:hAnsi="Calibri" w:cs="Calibri"/>
      <w:lang w:val="es-ES"/>
    </w:rPr>
  </w:style>
  <w:style w:type="character" w:customStyle="1" w:styleId="Fuentedeprrafopredeter1">
    <w:name w:val="Fuente de párrafo predeter.1"/>
    <w:rsid w:val="00382839"/>
    <w:rPr>
      <w:w w:val="100"/>
      <w:position w:val="-1"/>
      <w:effect w:val="none"/>
      <w:vertAlign w:val="baseline"/>
      <w:cs w:val="0"/>
      <w:em w:val="none"/>
    </w:rPr>
  </w:style>
  <w:style w:type="paragraph" w:customStyle="1" w:styleId="Notasalpie">
    <w:name w:val="Notas al pie"/>
    <w:basedOn w:val="Normal"/>
    <w:link w:val="NotasalpieCar"/>
    <w:qFormat/>
    <w:rsid w:val="00A30FF8"/>
    <w:pPr>
      <w:spacing w:after="0" w:line="240" w:lineRule="auto"/>
      <w:ind w:right="333" w:hanging="142"/>
      <w:jc w:val="both"/>
    </w:pPr>
    <w:rPr>
      <w:rFonts w:ascii="Calibri Light" w:eastAsia="Times New Roman" w:hAnsi="Calibri Light" w:cs="Times New Roman"/>
      <w:sz w:val="18"/>
      <w:szCs w:val="18"/>
      <w:lang w:val="en-US"/>
    </w:rPr>
  </w:style>
  <w:style w:type="character" w:customStyle="1" w:styleId="NotasalpieCar">
    <w:name w:val="Notas al pie Car"/>
    <w:basedOn w:val="DefaultParagraphFont"/>
    <w:link w:val="Notasalpie"/>
    <w:rsid w:val="00A30FF8"/>
    <w:rPr>
      <w:rFonts w:ascii="Calibri Light" w:eastAsia="Times New Roman" w:hAnsi="Calibri Light"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ubmed.ncbi.nlm.nih.gov/27041774/" TargetMode="External"/><Relationship Id="rId18" Type="http://schemas.openxmlformats.org/officeDocument/2006/relationships/hyperlink" Target="http://www.senama.gob.cl/storage/docs/El-maltrato-hacia-las-personas-mayores-en-la-RM-2013-investigacion-cualitativa-en-vejez-y-envejecimiento-2013.pdf"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ubmed.ncbi.nlm.nih.gov/?term=Higgs+P&amp;cauthor_id=27041774" TargetMode="External"/><Relationship Id="rId17" Type="http://schemas.openxmlformats.org/officeDocument/2006/relationships/hyperlink" Target="http://www.senama.gob.cl/storage/docs/SENAMA_libro_5ta_encuesta_BAJA_libro_final_JULIO.pdf"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www.senama.gob.cl/storage/docs/Dependencia-Personas-Mayores-2009.pdf" TargetMode="External"/><Relationship Id="rId20" Type="http://schemas.openxmlformats.org/officeDocument/2006/relationships/hyperlink" Target="https://repositorio.cepal.org/bitstream/handle/11362/5823/1/S1000091_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med.ncbi.nlm.nih.gov/?term=Gilleard+C&amp;cauthor_id=27041774"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scielo.org.mx/scielo.php?script=sci_arttext&amp;pid=S0036-36342007001000011"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senama.gob.cl/storage/docs/SENAMA_libro_DDHH_final_FINAL.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epal.org/es/publicaciones/45316-covid-19-recomendaciones-generales-la-atencion-personas-mayores-perspectiva"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cead.spd.gov.cl/wp-content/uploads/filemanager/Presentaci%C3%B3n%20de%20Resultados%20IV%20ENVIF-VCM.pdf" TargetMode="External"/><Relationship Id="rId3" Type="http://schemas.openxmlformats.org/officeDocument/2006/relationships/hyperlink" Target="http://web.minsal.cl/sites/default/files/orienplancom2014.pdf" TargetMode="External"/><Relationship Id="rId7" Type="http://schemas.openxmlformats.org/officeDocument/2006/relationships/hyperlink" Target="http://www.senama.gob.cl/noticias/sernameg-y-senama-firman-convenio-sobre-prevencion-de-violencia-y-sexualidad-en-adultos-mayores" TargetMode="External"/><Relationship Id="rId2" Type="http://schemas.openxmlformats.org/officeDocument/2006/relationships/hyperlink" Target="https://www.who.int/es/news/item/29-09-2016-discrimination-and-negative-attitudes-about-ageing-are-bad-for-your-health" TargetMode="External"/><Relationship Id="rId1" Type="http://schemas.openxmlformats.org/officeDocument/2006/relationships/hyperlink" Target="http://www.senama.gob.cl/storage/docs/SENAMA_libro_5ta_encuesta_BAJA_libro_final_JULIO.pdf" TargetMode="External"/><Relationship Id="rId6" Type="http://schemas.openxmlformats.org/officeDocument/2006/relationships/hyperlink" Target="http://www.senama.gob.cl//storage/docs/GB2020-2021.pdf" TargetMode="External"/><Relationship Id="rId5" Type="http://schemas.openxmlformats.org/officeDocument/2006/relationships/hyperlink" Target="https://www.youtube.com/watch?v=DMhvC05-WxA&amp;t=3s" TargetMode="External"/><Relationship Id="rId4" Type="http://schemas.openxmlformats.org/officeDocument/2006/relationships/hyperlink" Target="https://www.minsal.cl/sites/default/files/La_construccion_intersectorialidad_salu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7E684F1-A521-48C6-99B6-584F53B7A26F}">
  <ds:schemaRefs>
    <ds:schemaRef ds:uri="http://schemas.openxmlformats.org/officeDocument/2006/bibliography"/>
  </ds:schemaRefs>
</ds:datastoreItem>
</file>

<file path=customXml/itemProps2.xml><?xml version="1.0" encoding="utf-8"?>
<ds:datastoreItem xmlns:ds="http://schemas.openxmlformats.org/officeDocument/2006/customXml" ds:itemID="{E8ADD09F-CAAE-4C70-8C11-B895D0BEADF6}"/>
</file>

<file path=customXml/itemProps3.xml><?xml version="1.0" encoding="utf-8"?>
<ds:datastoreItem xmlns:ds="http://schemas.openxmlformats.org/officeDocument/2006/customXml" ds:itemID="{A925079D-DBA6-49A9-8EE4-D5D04FD76741}"/>
</file>

<file path=customXml/itemProps4.xml><?xml version="1.0" encoding="utf-8"?>
<ds:datastoreItem xmlns:ds="http://schemas.openxmlformats.org/officeDocument/2006/customXml" ds:itemID="{B9A37444-8A98-49C0-9E04-DBF3A05980EA}"/>
</file>

<file path=docProps/app.xml><?xml version="1.0" encoding="utf-8"?>
<Properties xmlns="http://schemas.openxmlformats.org/officeDocument/2006/extended-properties" xmlns:vt="http://schemas.openxmlformats.org/officeDocument/2006/docPropsVTypes">
  <Template>Normal.dotm</Template>
  <TotalTime>45</TotalTime>
  <Pages>25</Pages>
  <Words>9723</Words>
  <Characters>55422</Characters>
  <Application>Microsoft Office Word</Application>
  <DocSecurity>0</DocSecurity>
  <Lines>461</Lines>
  <Paragraphs>130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65015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Astraín Rubio</dc:creator>
  <cp:keywords/>
  <dc:description/>
  <cp:lastModifiedBy>Maria Florenzano</cp:lastModifiedBy>
  <cp:revision>13</cp:revision>
  <dcterms:created xsi:type="dcterms:W3CDTF">2021-03-22T18:26:00Z</dcterms:created>
  <dcterms:modified xsi:type="dcterms:W3CDTF">2021-03-22T19:58:00Z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