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FA4" w:rsidRDefault="00517FA4">
      <w:pPr>
        <w:spacing w:line="200" w:lineRule="exact"/>
      </w:pPr>
    </w:p>
    <w:p w:rsidR="00517FA4" w:rsidRDefault="00517FA4">
      <w:pPr>
        <w:spacing w:before="16" w:line="260" w:lineRule="exact"/>
        <w:rPr>
          <w:sz w:val="26"/>
          <w:szCs w:val="26"/>
        </w:rPr>
      </w:pPr>
    </w:p>
    <w:p w:rsidR="00517FA4" w:rsidRPr="00671DF6" w:rsidRDefault="00F67B54" w:rsidP="00671DF6">
      <w:pPr>
        <w:spacing w:before="7" w:line="360" w:lineRule="auto"/>
        <w:jc w:val="center"/>
        <w:rPr>
          <w:rFonts w:ascii="Calibri" w:eastAsia="Calibri" w:hAnsi="Calibri" w:cs="Calibri"/>
          <w:sz w:val="28"/>
          <w:szCs w:val="28"/>
        </w:rPr>
      </w:pPr>
      <w:r w:rsidRPr="00671DF6">
        <w:rPr>
          <w:rFonts w:ascii="Calibri" w:eastAsia="Calibri" w:hAnsi="Calibri" w:cs="Calibri"/>
          <w:b/>
          <w:color w:val="1F487C"/>
          <w:sz w:val="28"/>
          <w:szCs w:val="28"/>
          <w:u w:val="single" w:color="1F487C"/>
        </w:rPr>
        <w:t>Call for Contributions</w:t>
      </w:r>
      <w:r w:rsidR="007D6D94" w:rsidRPr="00671DF6">
        <w:rPr>
          <w:rFonts w:ascii="Calibri" w:eastAsia="Calibri" w:hAnsi="Calibri" w:cs="Calibri"/>
          <w:b/>
          <w:color w:val="1F487C"/>
          <w:sz w:val="28"/>
          <w:szCs w:val="28"/>
          <w:u w:val="single" w:color="1F487C"/>
        </w:rPr>
        <w:t xml:space="preserve"> I: Ageism and Age Discrimination</w:t>
      </w:r>
    </w:p>
    <w:p w:rsidR="00517FA4" w:rsidRDefault="007D6D94">
      <w:pPr>
        <w:spacing w:before="45" w:line="276" w:lineRule="auto"/>
        <w:ind w:left="120" w:right="71"/>
        <w:rPr>
          <w:rFonts w:ascii="Calibri" w:eastAsia="Calibri" w:hAnsi="Calibri" w:cs="Calibri"/>
          <w:sz w:val="24"/>
          <w:szCs w:val="24"/>
        </w:rPr>
      </w:pPr>
      <w:r>
        <w:rPr>
          <w:rFonts w:ascii="Calibri" w:eastAsia="Calibri" w:hAnsi="Calibri" w:cs="Calibri"/>
          <w:color w:val="1F487C"/>
          <w:sz w:val="24"/>
          <w:szCs w:val="24"/>
        </w:rPr>
        <w:t>The  partial  list  below  regards  laws  and  regulations  pertaining  to  the  rights  and position  of  senior  citizens  and  their  protection  in  the  context  of  the  Ministry  of Labour, Social Affairs and Social Services and its service provision and treatment. Regarding  more  updated,  detailed  information  required  –  legal  advice,  legislation and  judicial  mechanisms  -  this  information  is  part  of  the  professional  field  of  the Ministry of Justice, also pertaining to the field of  senior citizens and  all centralized legislation and significant research data on the matter.</w:t>
      </w:r>
    </w:p>
    <w:p w:rsidR="00517FA4" w:rsidRDefault="00517FA4">
      <w:pPr>
        <w:spacing w:before="6" w:line="120" w:lineRule="exact"/>
        <w:rPr>
          <w:sz w:val="13"/>
          <w:szCs w:val="13"/>
        </w:rPr>
      </w:pPr>
    </w:p>
    <w:p w:rsidR="00517FA4" w:rsidRDefault="00517FA4">
      <w:pPr>
        <w:spacing w:line="200" w:lineRule="exact"/>
      </w:pPr>
    </w:p>
    <w:p w:rsidR="00517FA4" w:rsidRDefault="007D6D94">
      <w:pPr>
        <w:tabs>
          <w:tab w:val="left" w:pos="840"/>
        </w:tabs>
        <w:spacing w:line="276" w:lineRule="auto"/>
        <w:ind w:left="840" w:right="72" w:hanging="360"/>
        <w:jc w:val="both"/>
        <w:rPr>
          <w:rFonts w:ascii="Calibri" w:eastAsia="Calibri" w:hAnsi="Calibri" w:cs="Calibri"/>
          <w:sz w:val="24"/>
          <w:szCs w:val="24"/>
        </w:rPr>
      </w:pPr>
      <w:r>
        <w:rPr>
          <w:rFonts w:ascii="Arial Unicode MS" w:eastAsia="Arial Unicode MS" w:hAnsi="Arial Unicode MS" w:cs="Arial Unicode MS"/>
          <w:color w:val="1F487C"/>
          <w:sz w:val="24"/>
          <w:szCs w:val="24"/>
        </w:rPr>
        <w:t></w:t>
      </w:r>
      <w:r>
        <w:rPr>
          <w:rFonts w:ascii="Arial Unicode MS" w:eastAsia="Arial Unicode MS" w:hAnsi="Arial Unicode MS" w:cs="Arial Unicode MS"/>
          <w:color w:val="1F487C"/>
          <w:sz w:val="24"/>
          <w:szCs w:val="24"/>
        </w:rPr>
        <w:tab/>
      </w:r>
      <w:r>
        <w:rPr>
          <w:rFonts w:ascii="Calibri" w:eastAsia="Calibri" w:hAnsi="Calibri" w:cs="Calibri"/>
          <w:b/>
          <w:color w:val="1F487C"/>
          <w:sz w:val="24"/>
          <w:szCs w:val="24"/>
          <w:u w:val="single" w:color="1F487C"/>
        </w:rPr>
        <w:t>Prohibition   of   Discrimination   at   Work</w:t>
      </w:r>
      <w:r>
        <w:rPr>
          <w:rFonts w:ascii="Calibri" w:eastAsia="Calibri" w:hAnsi="Calibri" w:cs="Calibri"/>
          <w:b/>
          <w:color w:val="1F487C"/>
          <w:sz w:val="24"/>
          <w:szCs w:val="24"/>
        </w:rPr>
        <w:t xml:space="preserve">   </w:t>
      </w:r>
      <w:r>
        <w:rPr>
          <w:rFonts w:ascii="Calibri" w:eastAsia="Calibri" w:hAnsi="Calibri" w:cs="Calibri"/>
          <w:color w:val="1F487C"/>
          <w:sz w:val="24"/>
          <w:szCs w:val="24"/>
        </w:rPr>
        <w:t>-   Section   2   (a)   of   the   "Equal Employment    Opportunity    Law,    1988"    -    prohibits    employers    from discriminating  between  employees  on  the  grounds  of  age  in  any  of  the following:</w:t>
      </w:r>
    </w:p>
    <w:p w:rsidR="00517FA4" w:rsidRDefault="007D6D94">
      <w:pPr>
        <w:spacing w:before="6"/>
        <w:ind w:left="480"/>
        <w:rPr>
          <w:rFonts w:ascii="Calibri" w:eastAsia="Calibri" w:hAnsi="Calibri" w:cs="Calibri"/>
          <w:sz w:val="24"/>
          <w:szCs w:val="24"/>
        </w:rPr>
      </w:pPr>
      <w:proofErr w:type="gramStart"/>
      <w:r>
        <w:rPr>
          <w:rFonts w:ascii="Courier New" w:eastAsia="Courier New" w:hAnsi="Courier New" w:cs="Courier New"/>
          <w:color w:val="1F487C"/>
          <w:sz w:val="24"/>
          <w:szCs w:val="24"/>
        </w:rPr>
        <w:t>o</w:t>
      </w:r>
      <w:proofErr w:type="gramEnd"/>
      <w:r>
        <w:rPr>
          <w:rFonts w:ascii="Courier New" w:eastAsia="Courier New" w:hAnsi="Courier New" w:cs="Courier New"/>
          <w:color w:val="1F487C"/>
          <w:sz w:val="24"/>
          <w:szCs w:val="24"/>
        </w:rPr>
        <w:t xml:space="preserve"> </w:t>
      </w:r>
      <w:r>
        <w:rPr>
          <w:rFonts w:ascii="Calibri" w:eastAsia="Calibri" w:hAnsi="Calibri" w:cs="Calibri"/>
          <w:color w:val="1F487C"/>
          <w:sz w:val="24"/>
          <w:szCs w:val="24"/>
        </w:rPr>
        <w:t>Recruitment</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Working conditions</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Promotion</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Vocational training or advanced training</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lastRenderedPageBreak/>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Dismissals or severance pay</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Benefits   and   payments   provided   to   the   employee   in   connection   with</w:t>
      </w:r>
    </w:p>
    <w:p w:rsidR="00517FA4" w:rsidRDefault="007D6D94">
      <w:pPr>
        <w:spacing w:line="280" w:lineRule="exact"/>
        <w:ind w:left="840"/>
        <w:rPr>
          <w:rFonts w:ascii="Calibri" w:eastAsia="Calibri" w:hAnsi="Calibri" w:cs="Calibri"/>
          <w:sz w:val="24"/>
          <w:szCs w:val="24"/>
        </w:rPr>
      </w:pPr>
      <w:proofErr w:type="gramStart"/>
      <w:r>
        <w:rPr>
          <w:rFonts w:ascii="Calibri" w:eastAsia="Calibri" w:hAnsi="Calibri" w:cs="Calibri"/>
          <w:color w:val="1F487C"/>
          <w:sz w:val="24"/>
          <w:szCs w:val="24"/>
        </w:rPr>
        <w:t>retirement</w:t>
      </w:r>
      <w:proofErr w:type="gramEnd"/>
      <w:r>
        <w:rPr>
          <w:rFonts w:ascii="Calibri" w:eastAsia="Calibri" w:hAnsi="Calibri" w:cs="Calibri"/>
          <w:color w:val="1F487C"/>
          <w:sz w:val="24"/>
          <w:szCs w:val="24"/>
        </w:rPr>
        <w:t xml:space="preserve"> from work</w:t>
      </w:r>
    </w:p>
    <w:p w:rsidR="00517FA4" w:rsidRDefault="00517FA4">
      <w:pPr>
        <w:spacing w:before="8" w:line="140" w:lineRule="exact"/>
        <w:rPr>
          <w:sz w:val="14"/>
          <w:szCs w:val="14"/>
        </w:rPr>
      </w:pPr>
    </w:p>
    <w:p w:rsidR="00517FA4" w:rsidRDefault="00517FA4">
      <w:pPr>
        <w:spacing w:line="200" w:lineRule="exact"/>
      </w:pPr>
    </w:p>
    <w:p w:rsidR="00517FA4" w:rsidRDefault="007D6D94" w:rsidP="00F67B54">
      <w:pPr>
        <w:tabs>
          <w:tab w:val="left" w:pos="840"/>
        </w:tabs>
        <w:spacing w:line="276" w:lineRule="auto"/>
        <w:ind w:left="840" w:right="75" w:hanging="360"/>
        <w:jc w:val="both"/>
        <w:rPr>
          <w:rFonts w:ascii="Calibri" w:eastAsia="Calibri" w:hAnsi="Calibri" w:cs="Calibri"/>
          <w:sz w:val="24"/>
          <w:szCs w:val="24"/>
        </w:rPr>
      </w:pPr>
      <w:r>
        <w:rPr>
          <w:rFonts w:ascii="Arial Unicode MS" w:eastAsia="Arial Unicode MS" w:hAnsi="Arial Unicode MS" w:cs="Arial Unicode MS"/>
          <w:color w:val="1F487C"/>
          <w:sz w:val="24"/>
          <w:szCs w:val="24"/>
        </w:rPr>
        <w:t></w:t>
      </w:r>
      <w:r>
        <w:rPr>
          <w:rFonts w:ascii="Arial Unicode MS" w:eastAsia="Arial Unicode MS" w:hAnsi="Arial Unicode MS" w:cs="Arial Unicode MS"/>
          <w:color w:val="1F487C"/>
          <w:sz w:val="24"/>
          <w:szCs w:val="24"/>
        </w:rPr>
        <w:tab/>
      </w:r>
      <w:r>
        <w:rPr>
          <w:rFonts w:ascii="Calibri" w:eastAsia="Calibri" w:hAnsi="Calibri" w:cs="Calibri"/>
          <w:b/>
          <w:color w:val="1F487C"/>
          <w:sz w:val="24"/>
          <w:szCs w:val="24"/>
          <w:u w:val="single" w:color="1F487C"/>
        </w:rPr>
        <w:t>Guardianship, decision support and continuing power of attorney</w:t>
      </w:r>
      <w:r>
        <w:rPr>
          <w:rFonts w:ascii="Calibri" w:eastAsia="Calibri" w:hAnsi="Calibri" w:cs="Calibri"/>
          <w:b/>
          <w:color w:val="1F487C"/>
          <w:sz w:val="24"/>
          <w:szCs w:val="24"/>
        </w:rPr>
        <w:t xml:space="preserve"> </w:t>
      </w:r>
      <w:r>
        <w:rPr>
          <w:rFonts w:ascii="Calibri" w:eastAsia="Calibri" w:hAnsi="Calibri" w:cs="Calibri"/>
          <w:color w:val="1F487C"/>
          <w:sz w:val="24"/>
          <w:szCs w:val="24"/>
        </w:rPr>
        <w:t>– "</w:t>
      </w:r>
      <w:r w:rsidR="00F67B54">
        <w:rPr>
          <w:rFonts w:ascii="Calibri" w:eastAsia="Calibri" w:hAnsi="Calibri" w:cs="Calibri"/>
          <w:color w:val="1F487C"/>
          <w:sz w:val="24"/>
          <w:szCs w:val="24"/>
        </w:rPr>
        <w:t>Legal Capacity</w:t>
      </w:r>
      <w:r>
        <w:rPr>
          <w:rFonts w:ascii="Calibri" w:eastAsia="Calibri" w:hAnsi="Calibri" w:cs="Calibri"/>
          <w:color w:val="1F487C"/>
          <w:sz w:val="24"/>
          <w:szCs w:val="24"/>
        </w:rPr>
        <w:t xml:space="preserve">  and  Guardianship  Law,  1962"  -  sets  definitions  and  restrictions (qualifications) for  legal action  by people  from  different  categories,  such  as age (differentiating between minors and adults) and disabilities.</w:t>
      </w:r>
    </w:p>
    <w:p w:rsidR="00517FA4" w:rsidRDefault="007D6D94" w:rsidP="00F67B54">
      <w:pPr>
        <w:spacing w:before="6" w:line="276" w:lineRule="auto"/>
        <w:ind w:left="120" w:right="74"/>
        <w:jc w:val="both"/>
        <w:rPr>
          <w:rFonts w:ascii="Calibri" w:eastAsia="Calibri" w:hAnsi="Calibri" w:cs="Calibri"/>
          <w:sz w:val="24"/>
          <w:szCs w:val="24"/>
        </w:rPr>
      </w:pPr>
      <w:r>
        <w:rPr>
          <w:rFonts w:ascii="Calibri" w:eastAsia="Calibri" w:hAnsi="Calibri" w:cs="Calibri"/>
          <w:color w:val="1F487C"/>
          <w:sz w:val="24"/>
          <w:szCs w:val="24"/>
        </w:rPr>
        <w:t>The institution of guardianship is designed to prevent situations in which people who are unable to conduct their personal affairs will be unprotected. The court appoints the guardian if necessary. In addition, a person who is in full function can prepare in advance  for  a  future  situation  in  which  he</w:t>
      </w:r>
      <w:r w:rsidR="00F67B54">
        <w:rPr>
          <w:rFonts w:ascii="Calibri" w:eastAsia="Calibri" w:hAnsi="Calibri" w:cs="Calibri"/>
          <w:color w:val="1F487C"/>
          <w:sz w:val="24"/>
          <w:szCs w:val="24"/>
        </w:rPr>
        <w:t xml:space="preserve"> or she</w:t>
      </w:r>
      <w:r>
        <w:rPr>
          <w:rFonts w:ascii="Calibri" w:eastAsia="Calibri" w:hAnsi="Calibri" w:cs="Calibri"/>
          <w:color w:val="1F487C"/>
          <w:sz w:val="24"/>
          <w:szCs w:val="24"/>
        </w:rPr>
        <w:t xml:space="preserve">  will  not  be  able  to  make  decisions,  by granting a continuing power of attorney to another person and even giving advance instructions to a future guardian if appointed. An individual can also be appointed as a  so-called  "decision  supporter"  for  that  person  and  help  </w:t>
      </w:r>
      <w:r w:rsidR="00F67B54">
        <w:rPr>
          <w:rFonts w:ascii="Calibri" w:eastAsia="Calibri" w:hAnsi="Calibri" w:cs="Calibri"/>
          <w:color w:val="1F487C"/>
          <w:sz w:val="24"/>
          <w:szCs w:val="24"/>
        </w:rPr>
        <w:t>them</w:t>
      </w:r>
      <w:r>
        <w:rPr>
          <w:rFonts w:ascii="Calibri" w:eastAsia="Calibri" w:hAnsi="Calibri" w:cs="Calibri"/>
          <w:color w:val="1F487C"/>
          <w:sz w:val="24"/>
          <w:szCs w:val="24"/>
        </w:rPr>
        <w:t xml:space="preserve">  make  the  decisions </w:t>
      </w:r>
      <w:r w:rsidR="00F67B54">
        <w:rPr>
          <w:rFonts w:ascii="Calibri" w:eastAsia="Calibri" w:hAnsi="Calibri" w:cs="Calibri"/>
          <w:color w:val="1F487C"/>
          <w:sz w:val="24"/>
          <w:szCs w:val="24"/>
        </w:rPr>
        <w:t>themselves</w:t>
      </w:r>
      <w:r>
        <w:rPr>
          <w:rFonts w:ascii="Calibri" w:eastAsia="Calibri" w:hAnsi="Calibri" w:cs="Calibri"/>
          <w:color w:val="1F487C"/>
          <w:sz w:val="24"/>
          <w:szCs w:val="24"/>
        </w:rPr>
        <w:t xml:space="preserve"> instead of being appointed as guardian who makes the decisions in </w:t>
      </w:r>
      <w:r w:rsidR="00F67B54">
        <w:rPr>
          <w:rFonts w:ascii="Calibri" w:eastAsia="Calibri" w:hAnsi="Calibri" w:cs="Calibri"/>
          <w:color w:val="1F487C"/>
          <w:sz w:val="24"/>
          <w:szCs w:val="24"/>
        </w:rPr>
        <w:t>their</w:t>
      </w:r>
      <w:r>
        <w:rPr>
          <w:rFonts w:ascii="Calibri" w:eastAsia="Calibri" w:hAnsi="Calibri" w:cs="Calibri"/>
          <w:color w:val="1F487C"/>
          <w:sz w:val="24"/>
          <w:szCs w:val="24"/>
        </w:rPr>
        <w:t xml:space="preserve"> place. All of these </w:t>
      </w:r>
      <w:r w:rsidR="00F67B54">
        <w:rPr>
          <w:rFonts w:ascii="Calibri" w:eastAsia="Calibri" w:hAnsi="Calibri" w:cs="Calibri"/>
          <w:color w:val="1F487C"/>
          <w:sz w:val="24"/>
          <w:szCs w:val="24"/>
        </w:rPr>
        <w:t>procedures</w:t>
      </w:r>
      <w:r>
        <w:rPr>
          <w:rFonts w:ascii="Calibri" w:eastAsia="Calibri" w:hAnsi="Calibri" w:cs="Calibri"/>
          <w:color w:val="1F487C"/>
          <w:sz w:val="24"/>
          <w:szCs w:val="24"/>
        </w:rPr>
        <w:t xml:space="preserve"> are accompanied by rights and obligations for both parties.</w:t>
      </w:r>
    </w:p>
    <w:p w:rsidR="00517FA4" w:rsidRDefault="00517FA4">
      <w:pPr>
        <w:spacing w:before="8" w:line="140" w:lineRule="exact"/>
        <w:rPr>
          <w:sz w:val="15"/>
          <w:szCs w:val="15"/>
        </w:rPr>
      </w:pPr>
    </w:p>
    <w:p w:rsidR="00517FA4" w:rsidRDefault="00517FA4">
      <w:pPr>
        <w:spacing w:line="200" w:lineRule="exact"/>
      </w:pPr>
    </w:p>
    <w:p w:rsidR="00517FA4" w:rsidRDefault="007D6D94">
      <w:pPr>
        <w:tabs>
          <w:tab w:val="left" w:pos="840"/>
        </w:tabs>
        <w:spacing w:line="276" w:lineRule="auto"/>
        <w:ind w:left="840" w:right="74" w:hanging="360"/>
        <w:jc w:val="both"/>
        <w:rPr>
          <w:rFonts w:ascii="Calibri" w:eastAsia="Calibri" w:hAnsi="Calibri" w:cs="Calibri"/>
          <w:sz w:val="24"/>
          <w:szCs w:val="24"/>
        </w:rPr>
        <w:sectPr w:rsidR="00517FA4">
          <w:headerReference w:type="even" r:id="rId7"/>
          <w:headerReference w:type="default" r:id="rId8"/>
          <w:footerReference w:type="even" r:id="rId9"/>
          <w:footerReference w:type="default" r:id="rId10"/>
          <w:headerReference w:type="first" r:id="rId11"/>
          <w:footerReference w:type="first" r:id="rId12"/>
          <w:pgSz w:w="11920" w:h="16840"/>
          <w:pgMar w:top="1560" w:right="1680" w:bottom="280" w:left="1680" w:header="708" w:footer="1622" w:gutter="0"/>
          <w:cols w:space="720"/>
        </w:sectPr>
      </w:pPr>
      <w:r>
        <w:rPr>
          <w:rFonts w:ascii="Arial Unicode MS" w:eastAsia="Arial Unicode MS" w:hAnsi="Arial Unicode MS" w:cs="Arial Unicode MS"/>
          <w:color w:val="1F487C"/>
          <w:sz w:val="24"/>
          <w:szCs w:val="24"/>
        </w:rPr>
        <w:t></w:t>
      </w:r>
      <w:r>
        <w:rPr>
          <w:rFonts w:ascii="Arial Unicode MS" w:eastAsia="Arial Unicode MS" w:hAnsi="Arial Unicode MS" w:cs="Arial Unicode MS"/>
          <w:color w:val="1F487C"/>
          <w:sz w:val="24"/>
          <w:szCs w:val="24"/>
        </w:rPr>
        <w:tab/>
      </w:r>
      <w:r>
        <w:rPr>
          <w:rFonts w:ascii="Calibri" w:eastAsia="Calibri" w:hAnsi="Calibri" w:cs="Calibri"/>
          <w:b/>
          <w:color w:val="1F487C"/>
          <w:sz w:val="24"/>
          <w:szCs w:val="24"/>
          <w:u w:val="single" w:color="1F487C"/>
        </w:rPr>
        <w:t>Retirement age</w:t>
      </w:r>
      <w:r>
        <w:rPr>
          <w:rFonts w:ascii="Calibri" w:eastAsia="Calibri" w:hAnsi="Calibri" w:cs="Calibri"/>
          <w:b/>
          <w:color w:val="1F487C"/>
          <w:sz w:val="24"/>
          <w:szCs w:val="24"/>
        </w:rPr>
        <w:t xml:space="preserve"> </w:t>
      </w:r>
      <w:r>
        <w:rPr>
          <w:rFonts w:ascii="Calibri" w:eastAsia="Calibri" w:hAnsi="Calibri" w:cs="Calibri"/>
          <w:color w:val="1F487C"/>
          <w:sz w:val="24"/>
          <w:szCs w:val="24"/>
        </w:rPr>
        <w:t>- The age at which one can retire from work is currently 67 for men and 62 for women. Mandatory retirement age is the age at which an employer may require an employee to retire, set at 67 (for women and men),</w:t>
      </w:r>
    </w:p>
    <w:p w:rsidR="00517FA4" w:rsidRDefault="00517FA4">
      <w:pPr>
        <w:spacing w:before="7" w:line="140" w:lineRule="exact"/>
        <w:rPr>
          <w:sz w:val="14"/>
          <w:szCs w:val="14"/>
        </w:rPr>
      </w:pPr>
    </w:p>
    <w:p w:rsidR="00517FA4" w:rsidRDefault="007D6D94">
      <w:pPr>
        <w:spacing w:line="276" w:lineRule="auto"/>
        <w:ind w:left="840" w:right="77"/>
        <w:jc w:val="both"/>
        <w:rPr>
          <w:rFonts w:ascii="Calibri" w:eastAsia="Calibri" w:hAnsi="Calibri" w:cs="Calibri"/>
          <w:sz w:val="24"/>
          <w:szCs w:val="24"/>
        </w:rPr>
      </w:pPr>
      <w:proofErr w:type="gramStart"/>
      <w:r>
        <w:rPr>
          <w:rFonts w:ascii="Calibri" w:eastAsia="Calibri" w:hAnsi="Calibri" w:cs="Calibri"/>
          <w:color w:val="1F487C"/>
          <w:sz w:val="24"/>
          <w:szCs w:val="24"/>
        </w:rPr>
        <w:t>but</w:t>
      </w:r>
      <w:proofErr w:type="gramEnd"/>
      <w:r>
        <w:rPr>
          <w:rFonts w:ascii="Calibri" w:eastAsia="Calibri" w:hAnsi="Calibri" w:cs="Calibri"/>
          <w:color w:val="1F487C"/>
          <w:sz w:val="24"/>
          <w:szCs w:val="24"/>
        </w:rPr>
        <w:t xml:space="preserve"> in the event that an employee wishes to continue working beyond that age, the employer must consider his</w:t>
      </w:r>
      <w:r w:rsidR="00F67B54">
        <w:rPr>
          <w:rFonts w:ascii="Calibri" w:eastAsia="Calibri" w:hAnsi="Calibri" w:cs="Calibri"/>
          <w:color w:val="1F487C"/>
          <w:sz w:val="24"/>
          <w:szCs w:val="24"/>
        </w:rPr>
        <w:t xml:space="preserve"> or her</w:t>
      </w:r>
      <w:r>
        <w:rPr>
          <w:rFonts w:ascii="Calibri" w:eastAsia="Calibri" w:hAnsi="Calibri" w:cs="Calibri"/>
          <w:color w:val="1F487C"/>
          <w:sz w:val="24"/>
          <w:szCs w:val="24"/>
        </w:rPr>
        <w:t xml:space="preserve"> request individually. The age of eligibility for early retirement is 60.</w:t>
      </w:r>
    </w:p>
    <w:p w:rsidR="00517FA4" w:rsidRDefault="00517FA4">
      <w:pPr>
        <w:spacing w:before="5" w:line="140" w:lineRule="exact"/>
        <w:rPr>
          <w:sz w:val="15"/>
          <w:szCs w:val="15"/>
        </w:rPr>
      </w:pPr>
    </w:p>
    <w:p w:rsidR="00517FA4" w:rsidRDefault="00517FA4">
      <w:pPr>
        <w:spacing w:line="200" w:lineRule="exact"/>
      </w:pPr>
    </w:p>
    <w:p w:rsidR="00517FA4" w:rsidRDefault="007D6D94">
      <w:pPr>
        <w:ind w:left="480"/>
        <w:rPr>
          <w:rFonts w:ascii="Calibri" w:eastAsia="Calibri" w:hAnsi="Calibri" w:cs="Calibri"/>
          <w:sz w:val="24"/>
          <w:szCs w:val="24"/>
        </w:rPr>
      </w:pPr>
      <w:proofErr w:type="gramStart"/>
      <w:r>
        <w:rPr>
          <w:rFonts w:ascii="Arial Unicode MS" w:eastAsia="Arial Unicode MS" w:hAnsi="Arial Unicode MS" w:cs="Arial Unicode MS"/>
          <w:color w:val="1F487C"/>
          <w:sz w:val="24"/>
          <w:szCs w:val="24"/>
        </w:rPr>
        <w:t xml:space="preserve">  </w:t>
      </w:r>
      <w:r>
        <w:rPr>
          <w:rFonts w:ascii="Calibri" w:eastAsia="Calibri" w:hAnsi="Calibri" w:cs="Calibri"/>
          <w:b/>
          <w:color w:val="1F487C"/>
          <w:sz w:val="24"/>
          <w:szCs w:val="24"/>
          <w:u w:val="single" w:color="1F487C"/>
        </w:rPr>
        <w:t>Pensions</w:t>
      </w:r>
      <w:proofErr w:type="gramEnd"/>
      <w:r>
        <w:rPr>
          <w:rFonts w:ascii="Calibri" w:eastAsia="Calibri" w:hAnsi="Calibri" w:cs="Calibri"/>
          <w:b/>
          <w:color w:val="1F487C"/>
          <w:sz w:val="24"/>
          <w:szCs w:val="24"/>
        </w:rPr>
        <w:t xml:space="preserve"> </w:t>
      </w:r>
      <w:r>
        <w:rPr>
          <w:rFonts w:ascii="Calibri" w:eastAsia="Calibri" w:hAnsi="Calibri" w:cs="Calibri"/>
          <w:color w:val="1F487C"/>
          <w:sz w:val="24"/>
          <w:szCs w:val="24"/>
        </w:rPr>
        <w:t>– This encompasses the following rights, benefits and services:</w:t>
      </w:r>
    </w:p>
    <w:p w:rsidR="00517FA4" w:rsidRDefault="007D6D94">
      <w:pPr>
        <w:spacing w:before="45"/>
        <w:ind w:left="480"/>
        <w:rPr>
          <w:rFonts w:ascii="Calibri" w:eastAsia="Calibri" w:hAnsi="Calibri" w:cs="Calibri"/>
          <w:sz w:val="24"/>
          <w:szCs w:val="24"/>
        </w:rPr>
      </w:pPr>
      <w:proofErr w:type="gramStart"/>
      <w:r>
        <w:rPr>
          <w:rFonts w:ascii="Courier New" w:eastAsia="Courier New" w:hAnsi="Courier New" w:cs="Courier New"/>
          <w:color w:val="1F487C"/>
          <w:sz w:val="24"/>
          <w:szCs w:val="24"/>
        </w:rPr>
        <w:t>o</w:t>
      </w:r>
      <w:proofErr w:type="gramEnd"/>
      <w:r>
        <w:rPr>
          <w:rFonts w:ascii="Courier New" w:eastAsia="Courier New" w:hAnsi="Courier New" w:cs="Courier New"/>
          <w:color w:val="1F487C"/>
          <w:sz w:val="24"/>
          <w:szCs w:val="24"/>
        </w:rPr>
        <w:t xml:space="preserve"> </w:t>
      </w:r>
      <w:r>
        <w:rPr>
          <w:rFonts w:ascii="Calibri" w:eastAsia="Calibri" w:hAnsi="Calibri" w:cs="Calibri"/>
          <w:color w:val="1F487C"/>
          <w:sz w:val="24"/>
          <w:szCs w:val="24"/>
        </w:rPr>
        <w:t>Old-age pension (senior citizen's pension)</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Disability pension at retirement age</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Surviving relatives' pension and related benefits</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Nursing and caretaking benefits</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Mobility benefits after retirement age</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Security (guarantee)/supplementation of income</w:t>
      </w:r>
    </w:p>
    <w:p w:rsidR="00517FA4" w:rsidRDefault="007D6D94">
      <w:pPr>
        <w:spacing w:line="280" w:lineRule="exact"/>
        <w:ind w:left="480"/>
        <w:rPr>
          <w:rFonts w:ascii="Calibri" w:eastAsia="Calibri" w:hAnsi="Calibri" w:cs="Calibri"/>
          <w:sz w:val="24"/>
          <w:szCs w:val="24"/>
        </w:rPr>
      </w:pPr>
      <w:proofErr w:type="gramStart"/>
      <w:r>
        <w:rPr>
          <w:rFonts w:ascii="Courier New" w:eastAsia="Courier New" w:hAnsi="Courier New" w:cs="Courier New"/>
          <w:color w:val="1F487C"/>
          <w:position w:val="1"/>
          <w:sz w:val="24"/>
          <w:szCs w:val="24"/>
        </w:rPr>
        <w:t>o</w:t>
      </w:r>
      <w:proofErr w:type="gramEnd"/>
      <w:r>
        <w:rPr>
          <w:rFonts w:ascii="Courier New" w:eastAsia="Courier New" w:hAnsi="Courier New" w:cs="Courier New"/>
          <w:color w:val="1F487C"/>
          <w:position w:val="1"/>
          <w:sz w:val="24"/>
          <w:szCs w:val="24"/>
        </w:rPr>
        <w:t xml:space="preserve"> </w:t>
      </w:r>
      <w:r>
        <w:rPr>
          <w:rFonts w:ascii="Calibri" w:eastAsia="Calibri" w:hAnsi="Calibri" w:cs="Calibri"/>
          <w:color w:val="1F487C"/>
          <w:position w:val="1"/>
          <w:sz w:val="24"/>
          <w:szCs w:val="24"/>
        </w:rPr>
        <w:t>Protection of social security rights of the National Insurance  Institute in the</w:t>
      </w:r>
    </w:p>
    <w:p w:rsidR="00517FA4" w:rsidRDefault="007D6D94">
      <w:pPr>
        <w:spacing w:line="280" w:lineRule="exact"/>
        <w:ind w:left="840" w:right="83"/>
        <w:jc w:val="both"/>
        <w:rPr>
          <w:rFonts w:ascii="Calibri" w:eastAsia="Calibri" w:hAnsi="Calibri" w:cs="Calibri"/>
          <w:sz w:val="24"/>
          <w:szCs w:val="24"/>
        </w:rPr>
      </w:pPr>
      <w:proofErr w:type="gramStart"/>
      <w:r>
        <w:rPr>
          <w:rFonts w:ascii="Calibri" w:eastAsia="Calibri" w:hAnsi="Calibri" w:cs="Calibri"/>
          <w:color w:val="1F487C"/>
          <w:sz w:val="24"/>
          <w:szCs w:val="24"/>
        </w:rPr>
        <w:t>transition</w:t>
      </w:r>
      <w:proofErr w:type="gramEnd"/>
      <w:r>
        <w:rPr>
          <w:rFonts w:ascii="Calibri" w:eastAsia="Calibri" w:hAnsi="Calibri" w:cs="Calibri"/>
          <w:color w:val="1F487C"/>
          <w:sz w:val="24"/>
          <w:szCs w:val="24"/>
        </w:rPr>
        <w:t xml:space="preserve">   between  treaty-party   countries,   and   rights  from  the  National</w:t>
      </w:r>
    </w:p>
    <w:p w:rsidR="00517FA4" w:rsidRDefault="007D6D94">
      <w:pPr>
        <w:ind w:left="840" w:right="5781"/>
        <w:jc w:val="both"/>
        <w:rPr>
          <w:rFonts w:ascii="Calibri" w:eastAsia="Calibri" w:hAnsi="Calibri" w:cs="Calibri"/>
          <w:sz w:val="24"/>
          <w:szCs w:val="24"/>
        </w:rPr>
      </w:pPr>
      <w:r>
        <w:rPr>
          <w:rFonts w:ascii="Calibri" w:eastAsia="Calibri" w:hAnsi="Calibri" w:cs="Calibri"/>
          <w:color w:val="1F487C"/>
          <w:sz w:val="24"/>
          <w:szCs w:val="24"/>
        </w:rPr>
        <w:t>Insurance Institute.</w:t>
      </w:r>
    </w:p>
    <w:p w:rsidR="00671DF6" w:rsidRDefault="00671DF6">
      <w:pPr>
        <w:spacing w:line="276" w:lineRule="auto"/>
        <w:ind w:left="120" w:right="75"/>
        <w:jc w:val="both"/>
        <w:rPr>
          <w:rFonts w:ascii="Calibri" w:eastAsia="Calibri" w:hAnsi="Calibri" w:cs="Calibri"/>
          <w:color w:val="1F487C"/>
          <w:sz w:val="24"/>
          <w:szCs w:val="24"/>
        </w:rPr>
      </w:pPr>
    </w:p>
    <w:p w:rsidR="00517FA4" w:rsidRDefault="007D6D94">
      <w:pPr>
        <w:spacing w:line="276" w:lineRule="auto"/>
        <w:ind w:left="120" w:right="75"/>
        <w:jc w:val="both"/>
        <w:rPr>
          <w:rFonts w:ascii="Calibri" w:eastAsia="Calibri" w:hAnsi="Calibri" w:cs="Calibri"/>
          <w:sz w:val="24"/>
          <w:szCs w:val="24"/>
        </w:rPr>
      </w:pPr>
      <w:r>
        <w:rPr>
          <w:rFonts w:ascii="Calibri" w:eastAsia="Calibri" w:hAnsi="Calibri" w:cs="Calibri"/>
          <w:color w:val="1F487C"/>
          <w:sz w:val="24"/>
          <w:szCs w:val="24"/>
        </w:rPr>
        <w:t xml:space="preserve">Regarding nursing and caretaking benefits, this is given to those who have reached the retirement age, live in the community and need help with day-to-day activities and  in  accordance  with  the  relevant  legislation  such  as  "The  National  Insurance Institute Law - Chapter X (Nursing and </w:t>
      </w:r>
      <w:r>
        <w:rPr>
          <w:rFonts w:ascii="Calibri" w:eastAsia="Calibri" w:hAnsi="Calibri" w:cs="Calibri"/>
          <w:color w:val="1F487C"/>
          <w:sz w:val="24"/>
          <w:szCs w:val="24"/>
        </w:rPr>
        <w:lastRenderedPageBreak/>
        <w:t>Caretaking Insurance), the National Insurance Regulations  (Nursing  Insurance)  (Income  Eligibility  Standards  for  Determining  the Right to Nursing and Caretaking Benefits and Their Rate), 1988"</w:t>
      </w:r>
    </w:p>
    <w:p w:rsidR="00517FA4" w:rsidRDefault="00517FA4">
      <w:pPr>
        <w:spacing w:before="5" w:line="140" w:lineRule="exact"/>
        <w:rPr>
          <w:sz w:val="15"/>
          <w:szCs w:val="15"/>
        </w:rPr>
      </w:pPr>
    </w:p>
    <w:p w:rsidR="00517FA4" w:rsidRDefault="00517FA4">
      <w:pPr>
        <w:spacing w:line="200" w:lineRule="exact"/>
      </w:pPr>
    </w:p>
    <w:p w:rsidR="00517FA4" w:rsidRDefault="007D6D94" w:rsidP="00F67B54">
      <w:pPr>
        <w:tabs>
          <w:tab w:val="left" w:pos="840"/>
        </w:tabs>
        <w:spacing w:line="276" w:lineRule="auto"/>
        <w:ind w:left="840" w:right="72" w:hanging="360"/>
        <w:jc w:val="both"/>
        <w:rPr>
          <w:rFonts w:ascii="Calibri" w:eastAsia="Calibri" w:hAnsi="Calibri" w:cs="Calibri"/>
          <w:sz w:val="24"/>
          <w:szCs w:val="24"/>
        </w:rPr>
      </w:pPr>
      <w:r>
        <w:rPr>
          <w:rFonts w:ascii="Arial Unicode MS" w:eastAsia="Arial Unicode MS" w:hAnsi="Arial Unicode MS" w:cs="Arial Unicode MS"/>
          <w:color w:val="1F487C"/>
          <w:sz w:val="24"/>
          <w:szCs w:val="24"/>
        </w:rPr>
        <w:t></w:t>
      </w:r>
      <w:r>
        <w:rPr>
          <w:rFonts w:ascii="Arial Unicode MS" w:eastAsia="Arial Unicode MS" w:hAnsi="Arial Unicode MS" w:cs="Arial Unicode MS"/>
          <w:color w:val="1F487C"/>
          <w:sz w:val="24"/>
          <w:szCs w:val="24"/>
        </w:rPr>
        <w:tab/>
      </w:r>
      <w:r>
        <w:rPr>
          <w:rFonts w:ascii="Calibri" w:eastAsia="Calibri" w:hAnsi="Calibri" w:cs="Calibri"/>
          <w:b/>
          <w:color w:val="1F487C"/>
          <w:sz w:val="24"/>
          <w:szCs w:val="24"/>
          <w:u w:val="single" w:color="1F487C"/>
        </w:rPr>
        <w:t>"The Family Law (Alimony/Financial Support) Amendment Law, 1959"</w:t>
      </w:r>
      <w:r>
        <w:rPr>
          <w:rFonts w:ascii="Calibri" w:eastAsia="Calibri" w:hAnsi="Calibri" w:cs="Calibri"/>
          <w:b/>
          <w:color w:val="1F487C"/>
          <w:sz w:val="24"/>
          <w:szCs w:val="24"/>
        </w:rPr>
        <w:t xml:space="preserve"> </w:t>
      </w:r>
      <w:r>
        <w:rPr>
          <w:rFonts w:ascii="Calibri" w:eastAsia="Calibri" w:hAnsi="Calibri" w:cs="Calibri"/>
          <w:color w:val="1F487C"/>
          <w:sz w:val="24"/>
          <w:szCs w:val="24"/>
        </w:rPr>
        <w:t xml:space="preserve">- The law  stipulates  that  a  person  owes  alimony/financial  support  to  </w:t>
      </w:r>
      <w:r w:rsidR="00F67B54">
        <w:rPr>
          <w:rFonts w:ascii="Calibri" w:eastAsia="Calibri" w:hAnsi="Calibri" w:cs="Calibri"/>
          <w:color w:val="1F487C"/>
          <w:sz w:val="24"/>
          <w:szCs w:val="24"/>
        </w:rPr>
        <w:t>their</w:t>
      </w:r>
      <w:r>
        <w:rPr>
          <w:rFonts w:ascii="Calibri" w:eastAsia="Calibri" w:hAnsi="Calibri" w:cs="Calibri"/>
          <w:color w:val="1F487C"/>
          <w:sz w:val="24"/>
          <w:szCs w:val="24"/>
        </w:rPr>
        <w:t xml:space="preserve">  minor children and the minor children of </w:t>
      </w:r>
      <w:r w:rsidR="00F67B54">
        <w:rPr>
          <w:rFonts w:ascii="Calibri" w:eastAsia="Calibri" w:hAnsi="Calibri" w:cs="Calibri"/>
          <w:color w:val="1F487C"/>
          <w:sz w:val="24"/>
          <w:szCs w:val="24"/>
        </w:rPr>
        <w:t>their</w:t>
      </w:r>
      <w:r>
        <w:rPr>
          <w:rFonts w:ascii="Calibri" w:eastAsia="Calibri" w:hAnsi="Calibri" w:cs="Calibri"/>
          <w:color w:val="1F487C"/>
          <w:sz w:val="24"/>
          <w:szCs w:val="24"/>
        </w:rPr>
        <w:t xml:space="preserve"> spouse according to the personal law applicable to </w:t>
      </w:r>
      <w:r w:rsidR="00F67B54">
        <w:rPr>
          <w:rFonts w:ascii="Calibri" w:eastAsia="Calibri" w:hAnsi="Calibri" w:cs="Calibri"/>
          <w:color w:val="1F487C"/>
          <w:sz w:val="24"/>
          <w:szCs w:val="24"/>
        </w:rPr>
        <w:t>them</w:t>
      </w:r>
      <w:r>
        <w:rPr>
          <w:rFonts w:ascii="Calibri" w:eastAsia="Calibri" w:hAnsi="Calibri" w:cs="Calibri"/>
          <w:color w:val="1F487C"/>
          <w:sz w:val="24"/>
          <w:szCs w:val="24"/>
        </w:rPr>
        <w:t xml:space="preserve">. In addition, the law stipulates that a person owes financial support to the rest of </w:t>
      </w:r>
      <w:r w:rsidR="00F67B54">
        <w:rPr>
          <w:rFonts w:ascii="Calibri" w:eastAsia="Calibri" w:hAnsi="Calibri" w:cs="Calibri"/>
          <w:color w:val="1F487C"/>
          <w:sz w:val="24"/>
          <w:szCs w:val="24"/>
        </w:rPr>
        <w:t>their</w:t>
      </w:r>
      <w:r>
        <w:rPr>
          <w:rFonts w:ascii="Calibri" w:eastAsia="Calibri" w:hAnsi="Calibri" w:cs="Calibri"/>
          <w:color w:val="1F487C"/>
          <w:sz w:val="24"/>
          <w:szCs w:val="24"/>
        </w:rPr>
        <w:t xml:space="preserve"> family as follows:</w:t>
      </w:r>
    </w:p>
    <w:p w:rsidR="00517FA4" w:rsidRDefault="007D6D94">
      <w:pPr>
        <w:spacing w:before="9"/>
        <w:ind w:left="480"/>
        <w:rPr>
          <w:rFonts w:ascii="Calibri" w:eastAsia="Calibri" w:hAnsi="Calibri" w:cs="Calibri"/>
          <w:sz w:val="24"/>
          <w:szCs w:val="24"/>
        </w:rPr>
      </w:pPr>
      <w:proofErr w:type="gramStart"/>
      <w:r>
        <w:rPr>
          <w:rFonts w:ascii="Courier New" w:eastAsia="Courier New" w:hAnsi="Courier New" w:cs="Courier New"/>
          <w:color w:val="1F487C"/>
          <w:sz w:val="24"/>
          <w:szCs w:val="24"/>
        </w:rPr>
        <w:t>o</w:t>
      </w:r>
      <w:proofErr w:type="gramEnd"/>
      <w:r>
        <w:rPr>
          <w:rFonts w:ascii="Courier New" w:eastAsia="Courier New" w:hAnsi="Courier New" w:cs="Courier New"/>
          <w:color w:val="1F487C"/>
          <w:sz w:val="24"/>
          <w:szCs w:val="24"/>
        </w:rPr>
        <w:t xml:space="preserve"> </w:t>
      </w:r>
      <w:r>
        <w:rPr>
          <w:rFonts w:ascii="Calibri" w:eastAsia="Calibri" w:hAnsi="Calibri" w:cs="Calibri"/>
          <w:b/>
          <w:color w:val="1F487C"/>
          <w:sz w:val="24"/>
          <w:szCs w:val="24"/>
        </w:rPr>
        <w:t>Parents and partner's parents</w:t>
      </w:r>
    </w:p>
    <w:p w:rsidR="00517FA4" w:rsidRDefault="007D6D94">
      <w:pPr>
        <w:spacing w:before="31"/>
        <w:ind w:left="480"/>
        <w:rPr>
          <w:rFonts w:ascii="Calibri" w:eastAsia="Calibri" w:hAnsi="Calibri" w:cs="Calibri"/>
          <w:sz w:val="24"/>
          <w:szCs w:val="24"/>
        </w:rPr>
      </w:pPr>
      <w:proofErr w:type="gramStart"/>
      <w:r>
        <w:rPr>
          <w:rFonts w:ascii="Courier New" w:eastAsia="Courier New" w:hAnsi="Courier New" w:cs="Courier New"/>
          <w:color w:val="1F487C"/>
          <w:sz w:val="24"/>
          <w:szCs w:val="24"/>
        </w:rPr>
        <w:t>o</w:t>
      </w:r>
      <w:proofErr w:type="gramEnd"/>
      <w:r>
        <w:rPr>
          <w:rFonts w:ascii="Courier New" w:eastAsia="Courier New" w:hAnsi="Courier New" w:cs="Courier New"/>
          <w:color w:val="1F487C"/>
          <w:sz w:val="24"/>
          <w:szCs w:val="24"/>
        </w:rPr>
        <w:t xml:space="preserve"> </w:t>
      </w:r>
      <w:r>
        <w:rPr>
          <w:rFonts w:ascii="Calibri" w:eastAsia="Calibri" w:hAnsi="Calibri" w:cs="Calibri"/>
          <w:color w:val="1F487C"/>
          <w:sz w:val="24"/>
          <w:szCs w:val="24"/>
        </w:rPr>
        <w:t>Adult children and spouses</w:t>
      </w:r>
    </w:p>
    <w:p w:rsidR="00517FA4" w:rsidRDefault="007D6D94">
      <w:pPr>
        <w:spacing w:before="31"/>
        <w:ind w:left="480"/>
        <w:rPr>
          <w:rFonts w:ascii="Calibri" w:eastAsia="Calibri" w:hAnsi="Calibri" w:cs="Calibri"/>
          <w:sz w:val="24"/>
          <w:szCs w:val="24"/>
        </w:rPr>
      </w:pPr>
      <w:proofErr w:type="gramStart"/>
      <w:r>
        <w:rPr>
          <w:rFonts w:ascii="Courier New" w:eastAsia="Courier New" w:hAnsi="Courier New" w:cs="Courier New"/>
          <w:color w:val="1F487C"/>
          <w:sz w:val="24"/>
          <w:szCs w:val="24"/>
        </w:rPr>
        <w:t>o</w:t>
      </w:r>
      <w:proofErr w:type="gramEnd"/>
      <w:r>
        <w:rPr>
          <w:rFonts w:ascii="Courier New" w:eastAsia="Courier New" w:hAnsi="Courier New" w:cs="Courier New"/>
          <w:color w:val="1F487C"/>
          <w:sz w:val="24"/>
          <w:szCs w:val="24"/>
        </w:rPr>
        <w:t xml:space="preserve"> </w:t>
      </w:r>
      <w:r>
        <w:rPr>
          <w:rFonts w:ascii="Calibri" w:eastAsia="Calibri" w:hAnsi="Calibri" w:cs="Calibri"/>
          <w:color w:val="1F487C"/>
          <w:sz w:val="24"/>
          <w:szCs w:val="24"/>
        </w:rPr>
        <w:t>Grandchildren</w:t>
      </w:r>
    </w:p>
    <w:p w:rsidR="00517FA4" w:rsidRDefault="007D6D94">
      <w:pPr>
        <w:spacing w:before="33"/>
        <w:ind w:left="480"/>
        <w:rPr>
          <w:rFonts w:ascii="Calibri" w:eastAsia="Calibri" w:hAnsi="Calibri" w:cs="Calibri"/>
          <w:sz w:val="24"/>
          <w:szCs w:val="24"/>
        </w:rPr>
      </w:pPr>
      <w:proofErr w:type="gramStart"/>
      <w:r>
        <w:rPr>
          <w:rFonts w:ascii="Courier New" w:eastAsia="Courier New" w:hAnsi="Courier New" w:cs="Courier New"/>
          <w:color w:val="1F487C"/>
          <w:sz w:val="24"/>
          <w:szCs w:val="24"/>
        </w:rPr>
        <w:t>o</w:t>
      </w:r>
      <w:proofErr w:type="gramEnd"/>
      <w:r>
        <w:rPr>
          <w:rFonts w:ascii="Courier New" w:eastAsia="Courier New" w:hAnsi="Courier New" w:cs="Courier New"/>
          <w:color w:val="1F487C"/>
          <w:sz w:val="24"/>
          <w:szCs w:val="24"/>
        </w:rPr>
        <w:t xml:space="preserve"> </w:t>
      </w:r>
      <w:r>
        <w:rPr>
          <w:rFonts w:ascii="Calibri" w:eastAsia="Calibri" w:hAnsi="Calibri" w:cs="Calibri"/>
          <w:b/>
          <w:color w:val="1F487C"/>
          <w:sz w:val="24"/>
          <w:szCs w:val="24"/>
        </w:rPr>
        <w:t>Grandparents and their spouses</w:t>
      </w:r>
    </w:p>
    <w:p w:rsidR="00517FA4" w:rsidRDefault="007D6D94" w:rsidP="00F67B54">
      <w:pPr>
        <w:spacing w:before="31"/>
        <w:ind w:left="480"/>
        <w:rPr>
          <w:rFonts w:ascii="Calibri" w:eastAsia="Calibri" w:hAnsi="Calibri" w:cs="Calibri"/>
          <w:sz w:val="24"/>
          <w:szCs w:val="24"/>
        </w:rPr>
      </w:pPr>
      <w:proofErr w:type="gramStart"/>
      <w:r>
        <w:rPr>
          <w:rFonts w:ascii="Courier New" w:eastAsia="Courier New" w:hAnsi="Courier New" w:cs="Courier New"/>
          <w:color w:val="1F487C"/>
          <w:sz w:val="24"/>
          <w:szCs w:val="24"/>
        </w:rPr>
        <w:t>o</w:t>
      </w:r>
      <w:proofErr w:type="gramEnd"/>
      <w:r>
        <w:rPr>
          <w:rFonts w:ascii="Courier New" w:eastAsia="Courier New" w:hAnsi="Courier New" w:cs="Courier New"/>
          <w:color w:val="1F487C"/>
          <w:sz w:val="24"/>
          <w:szCs w:val="24"/>
        </w:rPr>
        <w:t xml:space="preserve"> </w:t>
      </w:r>
      <w:r>
        <w:rPr>
          <w:rFonts w:ascii="Calibri" w:eastAsia="Calibri" w:hAnsi="Calibri" w:cs="Calibri"/>
          <w:color w:val="1F487C"/>
          <w:sz w:val="24"/>
          <w:szCs w:val="24"/>
        </w:rPr>
        <w:t xml:space="preserve">Own </w:t>
      </w:r>
      <w:r w:rsidR="00F67B54">
        <w:rPr>
          <w:rFonts w:ascii="Calibri" w:eastAsia="Calibri" w:hAnsi="Calibri" w:cs="Calibri"/>
          <w:color w:val="1F487C"/>
          <w:sz w:val="24"/>
          <w:szCs w:val="24"/>
        </w:rPr>
        <w:t>siblings</w:t>
      </w:r>
      <w:r>
        <w:rPr>
          <w:rFonts w:ascii="Calibri" w:eastAsia="Calibri" w:hAnsi="Calibri" w:cs="Calibri"/>
          <w:color w:val="1F487C"/>
          <w:sz w:val="24"/>
          <w:szCs w:val="24"/>
        </w:rPr>
        <w:t xml:space="preserve"> and their spouses</w:t>
      </w:r>
    </w:p>
    <w:p w:rsidR="00517FA4" w:rsidRDefault="007D6D94">
      <w:pPr>
        <w:spacing w:before="31"/>
        <w:ind w:left="120" w:right="1841"/>
        <w:jc w:val="both"/>
        <w:rPr>
          <w:rFonts w:ascii="Calibri" w:eastAsia="Calibri" w:hAnsi="Calibri" w:cs="Calibri"/>
          <w:sz w:val="24"/>
          <w:szCs w:val="24"/>
        </w:rPr>
      </w:pPr>
      <w:r>
        <w:rPr>
          <w:rFonts w:ascii="Calibri" w:eastAsia="Calibri" w:hAnsi="Calibri" w:cs="Calibri"/>
          <w:color w:val="1F487C"/>
          <w:sz w:val="24"/>
          <w:szCs w:val="24"/>
        </w:rPr>
        <w:t>All of these are subject to certain conditions as specified in the law.</w:t>
      </w:r>
    </w:p>
    <w:p w:rsidR="00517FA4" w:rsidRDefault="00517FA4">
      <w:pPr>
        <w:spacing w:before="2" w:line="120" w:lineRule="exact"/>
        <w:rPr>
          <w:sz w:val="13"/>
          <w:szCs w:val="13"/>
        </w:rPr>
      </w:pPr>
    </w:p>
    <w:p w:rsidR="00517FA4" w:rsidRDefault="00517FA4">
      <w:pPr>
        <w:spacing w:line="200" w:lineRule="exact"/>
      </w:pPr>
    </w:p>
    <w:p w:rsidR="00517FA4" w:rsidRDefault="00517FA4">
      <w:pPr>
        <w:spacing w:line="200" w:lineRule="exact"/>
      </w:pPr>
    </w:p>
    <w:p w:rsidR="00517FA4" w:rsidRDefault="00517FA4">
      <w:pPr>
        <w:spacing w:line="200" w:lineRule="exact"/>
      </w:pPr>
    </w:p>
    <w:p w:rsidR="00517FA4" w:rsidRDefault="007D6D94">
      <w:pPr>
        <w:tabs>
          <w:tab w:val="left" w:pos="840"/>
        </w:tabs>
        <w:spacing w:line="276" w:lineRule="auto"/>
        <w:ind w:left="840" w:right="71" w:hanging="360"/>
        <w:jc w:val="both"/>
        <w:rPr>
          <w:rFonts w:ascii="Calibri" w:eastAsia="Calibri" w:hAnsi="Calibri" w:cs="Calibri"/>
          <w:sz w:val="24"/>
          <w:szCs w:val="24"/>
        </w:rPr>
      </w:pPr>
      <w:r>
        <w:rPr>
          <w:rFonts w:ascii="Arial Unicode MS" w:eastAsia="Arial Unicode MS" w:hAnsi="Arial Unicode MS" w:cs="Arial Unicode MS"/>
          <w:color w:val="1F487C"/>
          <w:sz w:val="24"/>
          <w:szCs w:val="24"/>
        </w:rPr>
        <w:lastRenderedPageBreak/>
        <w:t></w:t>
      </w:r>
      <w:r>
        <w:rPr>
          <w:rFonts w:ascii="Arial Unicode MS" w:eastAsia="Arial Unicode MS" w:hAnsi="Arial Unicode MS" w:cs="Arial Unicode MS"/>
          <w:color w:val="1F487C"/>
          <w:sz w:val="24"/>
          <w:szCs w:val="24"/>
        </w:rPr>
        <w:tab/>
      </w:r>
      <w:r>
        <w:rPr>
          <w:rFonts w:ascii="Calibri" w:eastAsia="Calibri" w:hAnsi="Calibri" w:cs="Calibri"/>
          <w:b/>
          <w:color w:val="1F487C"/>
          <w:sz w:val="24"/>
          <w:szCs w:val="24"/>
          <w:u w:val="single" w:color="1F487C"/>
        </w:rPr>
        <w:t>"The  Consumer  Protection  Law,  1981"</w:t>
      </w:r>
      <w:r>
        <w:rPr>
          <w:rFonts w:ascii="Calibri" w:eastAsia="Calibri" w:hAnsi="Calibri" w:cs="Calibri"/>
          <w:color w:val="1F487C"/>
          <w:sz w:val="24"/>
          <w:szCs w:val="24"/>
        </w:rPr>
        <w:t>,  which  was  enacted  in  accordance with the concept and approach that the consumer needs special protections beyond  those  in  the  general  legislation,  and  that  the  treatment  of  his/her protection should be unified by a special authority.</w:t>
      </w:r>
    </w:p>
    <w:p w:rsidR="00517FA4" w:rsidRDefault="007D6D94">
      <w:pPr>
        <w:spacing w:before="7" w:line="277" w:lineRule="auto"/>
        <w:ind w:left="840" w:right="73"/>
        <w:jc w:val="both"/>
        <w:rPr>
          <w:rFonts w:ascii="Calibri" w:eastAsia="Calibri" w:hAnsi="Calibri" w:cs="Calibri"/>
          <w:sz w:val="24"/>
          <w:szCs w:val="24"/>
        </w:rPr>
        <w:sectPr w:rsidR="00517FA4">
          <w:pgSz w:w="11920" w:h="16840"/>
          <w:pgMar w:top="1560" w:right="1680" w:bottom="280" w:left="1680" w:header="708" w:footer="1622" w:gutter="0"/>
          <w:cols w:space="720"/>
        </w:sectPr>
      </w:pPr>
      <w:r>
        <w:rPr>
          <w:rFonts w:ascii="Calibri" w:eastAsia="Calibri" w:hAnsi="Calibri" w:cs="Calibri"/>
          <w:color w:val="1F487C"/>
          <w:sz w:val="24"/>
          <w:szCs w:val="24"/>
        </w:rPr>
        <w:t>The main issue in the law is prohibition of misleading the consumer - the law applies to transactions between owner/dealer/employer and consumer, with</w:t>
      </w:r>
    </w:p>
    <w:p w:rsidR="00517FA4" w:rsidRDefault="00517FA4">
      <w:pPr>
        <w:spacing w:before="7" w:line="140" w:lineRule="exact"/>
        <w:rPr>
          <w:sz w:val="14"/>
          <w:szCs w:val="14"/>
        </w:rPr>
      </w:pPr>
    </w:p>
    <w:p w:rsidR="00517FA4" w:rsidRDefault="007D6D94">
      <w:pPr>
        <w:spacing w:line="275" w:lineRule="auto"/>
        <w:ind w:left="840" w:right="83"/>
        <w:jc w:val="both"/>
        <w:rPr>
          <w:rFonts w:ascii="Calibri" w:eastAsia="Calibri" w:hAnsi="Calibri" w:cs="Calibri"/>
          <w:sz w:val="24"/>
          <w:szCs w:val="24"/>
        </w:rPr>
      </w:pPr>
      <w:proofErr w:type="gramStart"/>
      <w:r>
        <w:rPr>
          <w:rFonts w:ascii="Calibri" w:eastAsia="Calibri" w:hAnsi="Calibri" w:cs="Calibri"/>
          <w:color w:val="1F487C"/>
          <w:sz w:val="24"/>
          <w:szCs w:val="24"/>
        </w:rPr>
        <w:t>the</w:t>
      </w:r>
      <w:proofErr w:type="gramEnd"/>
      <w:r>
        <w:rPr>
          <w:rFonts w:ascii="Calibri" w:eastAsia="Calibri" w:hAnsi="Calibri" w:cs="Calibri"/>
          <w:color w:val="1F487C"/>
          <w:sz w:val="24"/>
          <w:szCs w:val="24"/>
        </w:rPr>
        <w:t xml:space="preserve"> exception of the banking and insurance industries, which were expressly excluded from its application.</w:t>
      </w:r>
    </w:p>
    <w:p w:rsidR="00517FA4" w:rsidRDefault="007D6D94">
      <w:pPr>
        <w:spacing w:before="10"/>
        <w:ind w:left="840" w:right="81"/>
        <w:jc w:val="both"/>
        <w:rPr>
          <w:rFonts w:ascii="Calibri" w:eastAsia="Calibri" w:hAnsi="Calibri" w:cs="Calibri"/>
          <w:sz w:val="24"/>
          <w:szCs w:val="24"/>
        </w:rPr>
      </w:pPr>
      <w:r>
        <w:rPr>
          <w:rFonts w:ascii="Calibri" w:eastAsia="Calibri" w:hAnsi="Calibri" w:cs="Calibri"/>
          <w:b/>
          <w:color w:val="1F487C"/>
          <w:sz w:val="24"/>
          <w:szCs w:val="24"/>
          <w:u w:val="single" w:color="1F487C"/>
        </w:rPr>
        <w:t xml:space="preserve">"The   Consumer   </w:t>
      </w:r>
      <w:proofErr w:type="gramStart"/>
      <w:r>
        <w:rPr>
          <w:rFonts w:ascii="Calibri" w:eastAsia="Calibri" w:hAnsi="Calibri" w:cs="Calibri"/>
          <w:b/>
          <w:color w:val="1F487C"/>
          <w:sz w:val="24"/>
          <w:szCs w:val="24"/>
          <w:u w:val="single" w:color="1F487C"/>
        </w:rPr>
        <w:t>Protection  (</w:t>
      </w:r>
      <w:proofErr w:type="gramEnd"/>
      <w:r>
        <w:rPr>
          <w:rFonts w:ascii="Calibri" w:eastAsia="Calibri" w:hAnsi="Calibri" w:cs="Calibri"/>
          <w:b/>
          <w:color w:val="1F487C"/>
          <w:sz w:val="24"/>
          <w:szCs w:val="24"/>
          <w:u w:val="single" w:color="1F487C"/>
        </w:rPr>
        <w:t>Cancellation  of  a   Transaction)   Regulations,</w:t>
      </w:r>
    </w:p>
    <w:p w:rsidR="00517FA4" w:rsidRDefault="007D6D94">
      <w:pPr>
        <w:spacing w:before="43" w:line="276" w:lineRule="auto"/>
        <w:ind w:left="840" w:right="71"/>
        <w:jc w:val="both"/>
        <w:rPr>
          <w:rFonts w:ascii="Calibri" w:eastAsia="Calibri" w:hAnsi="Calibri" w:cs="Calibri"/>
          <w:sz w:val="24"/>
          <w:szCs w:val="24"/>
        </w:rPr>
      </w:pPr>
      <w:r>
        <w:rPr>
          <w:rFonts w:ascii="Calibri" w:eastAsia="Calibri" w:hAnsi="Calibri" w:cs="Calibri"/>
          <w:b/>
          <w:color w:val="1F487C"/>
          <w:sz w:val="24"/>
          <w:szCs w:val="24"/>
          <w:u w:val="single" w:color="1F487C"/>
        </w:rPr>
        <w:t>2010"</w:t>
      </w:r>
      <w:r>
        <w:rPr>
          <w:rFonts w:ascii="Calibri" w:eastAsia="Calibri" w:hAnsi="Calibri" w:cs="Calibri"/>
          <w:b/>
          <w:color w:val="1F487C"/>
          <w:sz w:val="24"/>
          <w:szCs w:val="24"/>
        </w:rPr>
        <w:t xml:space="preserve">  </w:t>
      </w:r>
      <w:r>
        <w:rPr>
          <w:rFonts w:ascii="Calibri" w:eastAsia="Calibri" w:hAnsi="Calibri" w:cs="Calibri"/>
          <w:color w:val="1F487C"/>
          <w:sz w:val="24"/>
          <w:szCs w:val="24"/>
        </w:rPr>
        <w:t>-  allow  the  consumer  to  cancel  a  consumer  transaction  made  at  the business   unilaterally   and   without   giving   a   reason.   If   the   reason   for cancellation is not a defect in the product or another technical malfunction issue,  the  business  may  charge  a  cancellation  fee  for  cancellation  of  a transaction. (</w:t>
      </w:r>
      <w:r>
        <w:rPr>
          <w:rFonts w:ascii="Calibri" w:eastAsia="Calibri" w:hAnsi="Calibri" w:cs="Calibri"/>
          <w:b/>
          <w:color w:val="1F487C"/>
          <w:sz w:val="24"/>
          <w:szCs w:val="24"/>
        </w:rPr>
        <w:t xml:space="preserve">One can and may pursue the existing possibility of contacting </w:t>
      </w:r>
      <w:proofErr w:type="gramStart"/>
      <w:r>
        <w:rPr>
          <w:rFonts w:ascii="Calibri" w:eastAsia="Calibri" w:hAnsi="Calibri" w:cs="Calibri"/>
          <w:b/>
          <w:color w:val="1F487C"/>
          <w:sz w:val="24"/>
          <w:szCs w:val="24"/>
        </w:rPr>
        <w:t>the  Consumer</w:t>
      </w:r>
      <w:proofErr w:type="gramEnd"/>
      <w:r>
        <w:rPr>
          <w:rFonts w:ascii="Calibri" w:eastAsia="Calibri" w:hAnsi="Calibri" w:cs="Calibri"/>
          <w:b/>
          <w:color w:val="1F487C"/>
          <w:sz w:val="24"/>
          <w:szCs w:val="24"/>
        </w:rPr>
        <w:t xml:space="preserve">  Protection  and  </w:t>
      </w:r>
      <w:r w:rsidR="00F67B54">
        <w:rPr>
          <w:rFonts w:ascii="Calibri" w:eastAsia="Calibri" w:hAnsi="Calibri" w:cs="Calibri"/>
          <w:b/>
          <w:color w:val="1F487C"/>
          <w:sz w:val="24"/>
          <w:szCs w:val="24"/>
        </w:rPr>
        <w:t xml:space="preserve">Governmental </w:t>
      </w:r>
      <w:r>
        <w:rPr>
          <w:rFonts w:ascii="Calibri" w:eastAsia="Calibri" w:hAnsi="Calibri" w:cs="Calibri"/>
          <w:b/>
          <w:color w:val="1F487C"/>
          <w:sz w:val="24"/>
          <w:szCs w:val="24"/>
        </w:rPr>
        <w:t>Fair  Trade  Authority  and  request  particular tailor-made information regarding senior citizens</w:t>
      </w:r>
      <w:r>
        <w:rPr>
          <w:rFonts w:ascii="Calibri" w:eastAsia="Calibri" w:hAnsi="Calibri" w:cs="Calibri"/>
          <w:color w:val="1F487C"/>
          <w:sz w:val="24"/>
          <w:szCs w:val="24"/>
        </w:rPr>
        <w:t>).</w:t>
      </w:r>
    </w:p>
    <w:p w:rsidR="00517FA4" w:rsidRDefault="00517FA4">
      <w:pPr>
        <w:spacing w:before="8" w:line="140" w:lineRule="exact"/>
        <w:rPr>
          <w:sz w:val="15"/>
          <w:szCs w:val="15"/>
        </w:rPr>
      </w:pPr>
    </w:p>
    <w:p w:rsidR="00517FA4" w:rsidRDefault="00517FA4">
      <w:pPr>
        <w:spacing w:line="200" w:lineRule="exact"/>
      </w:pPr>
    </w:p>
    <w:p w:rsidR="00517FA4" w:rsidRDefault="007D6D94">
      <w:pPr>
        <w:tabs>
          <w:tab w:val="left" w:pos="840"/>
        </w:tabs>
        <w:spacing w:line="276" w:lineRule="auto"/>
        <w:ind w:left="840" w:right="74" w:hanging="360"/>
        <w:jc w:val="both"/>
        <w:rPr>
          <w:rFonts w:ascii="Calibri" w:eastAsia="Calibri" w:hAnsi="Calibri" w:cs="Calibri"/>
          <w:sz w:val="24"/>
          <w:szCs w:val="24"/>
        </w:rPr>
      </w:pPr>
      <w:r>
        <w:rPr>
          <w:rFonts w:ascii="Arial Unicode MS" w:eastAsia="Arial Unicode MS" w:hAnsi="Arial Unicode MS" w:cs="Arial Unicode MS"/>
          <w:color w:val="1F487C"/>
          <w:sz w:val="24"/>
          <w:szCs w:val="24"/>
        </w:rPr>
        <w:t></w:t>
      </w:r>
      <w:r>
        <w:rPr>
          <w:rFonts w:ascii="Arial Unicode MS" w:eastAsia="Arial Unicode MS" w:hAnsi="Arial Unicode MS" w:cs="Arial Unicode MS"/>
          <w:color w:val="1F487C"/>
          <w:sz w:val="24"/>
          <w:szCs w:val="24"/>
        </w:rPr>
        <w:tab/>
      </w:r>
      <w:r>
        <w:rPr>
          <w:rFonts w:ascii="Calibri" w:eastAsia="Calibri" w:hAnsi="Calibri" w:cs="Calibri"/>
          <w:b/>
          <w:color w:val="1F487C"/>
          <w:sz w:val="24"/>
          <w:szCs w:val="24"/>
          <w:u w:val="single" w:color="1F487C"/>
        </w:rPr>
        <w:t>"The  Prohibition  of  Discrimination  in  Products,  Services  and  Entry  into</w:t>
      </w:r>
      <w:r>
        <w:rPr>
          <w:rFonts w:ascii="Calibri" w:eastAsia="Calibri" w:hAnsi="Calibri" w:cs="Calibri"/>
          <w:b/>
          <w:color w:val="1F487C"/>
          <w:sz w:val="24"/>
          <w:szCs w:val="24"/>
        </w:rPr>
        <w:t xml:space="preserve"> </w:t>
      </w:r>
      <w:r>
        <w:rPr>
          <w:rFonts w:ascii="Calibri" w:eastAsia="Calibri" w:hAnsi="Calibri" w:cs="Calibri"/>
          <w:b/>
          <w:color w:val="1F487C"/>
          <w:sz w:val="24"/>
          <w:szCs w:val="24"/>
          <w:u w:val="single" w:color="1F487C"/>
        </w:rPr>
        <w:t>Entertainment and Public Places Law, 2000"</w:t>
      </w:r>
      <w:r>
        <w:rPr>
          <w:rFonts w:ascii="Calibri" w:eastAsia="Calibri" w:hAnsi="Calibri" w:cs="Calibri"/>
          <w:b/>
          <w:color w:val="1F487C"/>
          <w:sz w:val="24"/>
          <w:szCs w:val="24"/>
        </w:rPr>
        <w:t xml:space="preserve"> </w:t>
      </w:r>
      <w:r>
        <w:rPr>
          <w:rFonts w:ascii="Calibri" w:eastAsia="Calibri" w:hAnsi="Calibri" w:cs="Calibri"/>
          <w:color w:val="1F487C"/>
          <w:sz w:val="24"/>
          <w:szCs w:val="24"/>
        </w:rPr>
        <w:t>- In section 3 (a), the prohibition of  providing  services  as  based  on  discrimination  on  grounds  of  age  was added.</w:t>
      </w:r>
    </w:p>
    <w:p w:rsidR="00517FA4" w:rsidRDefault="00517FA4">
      <w:pPr>
        <w:spacing w:before="7" w:line="140" w:lineRule="exact"/>
        <w:rPr>
          <w:sz w:val="15"/>
          <w:szCs w:val="15"/>
        </w:rPr>
      </w:pPr>
    </w:p>
    <w:p w:rsidR="00517FA4" w:rsidRDefault="00517FA4">
      <w:pPr>
        <w:spacing w:line="200" w:lineRule="exact"/>
      </w:pPr>
    </w:p>
    <w:p w:rsidR="00517FA4" w:rsidRDefault="007D6D94">
      <w:pPr>
        <w:tabs>
          <w:tab w:val="left" w:pos="840"/>
        </w:tabs>
        <w:spacing w:line="276" w:lineRule="auto"/>
        <w:ind w:left="840" w:right="75" w:hanging="360"/>
        <w:jc w:val="both"/>
        <w:rPr>
          <w:rFonts w:ascii="Calibri" w:eastAsia="Calibri" w:hAnsi="Calibri" w:cs="Calibri"/>
          <w:sz w:val="24"/>
          <w:szCs w:val="24"/>
        </w:rPr>
      </w:pPr>
      <w:r>
        <w:rPr>
          <w:rFonts w:ascii="Arial Unicode MS" w:eastAsia="Arial Unicode MS" w:hAnsi="Arial Unicode MS" w:cs="Arial Unicode MS"/>
          <w:color w:val="1F487C"/>
          <w:sz w:val="24"/>
          <w:szCs w:val="24"/>
        </w:rPr>
        <w:lastRenderedPageBreak/>
        <w:t></w:t>
      </w:r>
      <w:r>
        <w:rPr>
          <w:rFonts w:ascii="Arial Unicode MS" w:eastAsia="Arial Unicode MS" w:hAnsi="Arial Unicode MS" w:cs="Arial Unicode MS"/>
          <w:color w:val="1F487C"/>
          <w:sz w:val="24"/>
          <w:szCs w:val="24"/>
        </w:rPr>
        <w:tab/>
      </w:r>
      <w:r>
        <w:rPr>
          <w:rFonts w:ascii="Calibri" w:eastAsia="Calibri" w:hAnsi="Calibri" w:cs="Calibri"/>
          <w:b/>
          <w:color w:val="1F487C"/>
          <w:sz w:val="24"/>
          <w:szCs w:val="24"/>
          <w:u w:val="single" w:color="1F487C"/>
        </w:rPr>
        <w:t>"Ill  Persons  and  Patients'  Rights  Law,  1996"</w:t>
      </w:r>
      <w:r>
        <w:rPr>
          <w:rFonts w:ascii="Calibri" w:eastAsia="Calibri" w:hAnsi="Calibri" w:cs="Calibri"/>
          <w:b/>
          <w:color w:val="1F487C"/>
          <w:sz w:val="24"/>
          <w:szCs w:val="24"/>
        </w:rPr>
        <w:t xml:space="preserve">  </w:t>
      </w:r>
      <w:r>
        <w:rPr>
          <w:rFonts w:ascii="Calibri" w:eastAsia="Calibri" w:hAnsi="Calibri" w:cs="Calibri"/>
          <w:color w:val="1F487C"/>
          <w:sz w:val="24"/>
          <w:szCs w:val="24"/>
        </w:rPr>
        <w:t xml:space="preserve">-  In  Amendment  No.  4  to  the Law   adopted   on   2/3/2010,   the   amendment   added   the   prohibition   of discrimination on grounds of age, and stipulated that a therapist or medical institution  would  not  discriminate  between  patients  for  age  reasons,  but when    the    case    regards    differentiating    between    different    ages    as professionally    required    for    medical    reasons,    this    is    not    concerning discrimination  by  definition.  </w:t>
      </w:r>
      <w:proofErr w:type="gramStart"/>
      <w:r>
        <w:rPr>
          <w:rFonts w:ascii="Calibri" w:eastAsia="Calibri" w:hAnsi="Calibri" w:cs="Calibri"/>
          <w:color w:val="1F487C"/>
          <w:sz w:val="24"/>
          <w:szCs w:val="24"/>
        </w:rPr>
        <w:t>Another  amendment</w:t>
      </w:r>
      <w:proofErr w:type="gramEnd"/>
      <w:r>
        <w:rPr>
          <w:rFonts w:ascii="Calibri" w:eastAsia="Calibri" w:hAnsi="Calibri" w:cs="Calibri"/>
          <w:color w:val="1F487C"/>
          <w:sz w:val="24"/>
          <w:szCs w:val="24"/>
        </w:rPr>
        <w:t xml:space="preserve">  passed  in  the  Knesset  on</w:t>
      </w:r>
    </w:p>
    <w:p w:rsidR="00517FA4" w:rsidRDefault="007D6D94">
      <w:pPr>
        <w:spacing w:before="7" w:line="277" w:lineRule="auto"/>
        <w:ind w:left="840" w:right="73"/>
        <w:jc w:val="both"/>
        <w:rPr>
          <w:rFonts w:ascii="Calibri" w:eastAsia="Calibri" w:hAnsi="Calibri" w:cs="Calibri"/>
          <w:sz w:val="24"/>
          <w:szCs w:val="24"/>
        </w:rPr>
      </w:pPr>
      <w:r>
        <w:rPr>
          <w:rFonts w:ascii="Calibri" w:eastAsia="Calibri" w:hAnsi="Calibri" w:cs="Calibri"/>
          <w:color w:val="1F487C"/>
          <w:sz w:val="24"/>
          <w:szCs w:val="24"/>
        </w:rPr>
        <w:t>7/7/2014 added to the law the imposing a fine on anyone who discriminates against a patient on grounds of age.</w:t>
      </w:r>
    </w:p>
    <w:p w:rsidR="00517FA4" w:rsidRDefault="00517FA4">
      <w:pPr>
        <w:spacing w:before="4" w:line="140" w:lineRule="exact"/>
        <w:rPr>
          <w:sz w:val="15"/>
          <w:szCs w:val="15"/>
        </w:rPr>
      </w:pPr>
    </w:p>
    <w:p w:rsidR="00517FA4" w:rsidRDefault="00517FA4">
      <w:pPr>
        <w:spacing w:line="200" w:lineRule="exact"/>
      </w:pPr>
    </w:p>
    <w:p w:rsidR="00671DF6" w:rsidRDefault="007D6D94">
      <w:pPr>
        <w:tabs>
          <w:tab w:val="left" w:pos="840"/>
        </w:tabs>
        <w:spacing w:line="276" w:lineRule="auto"/>
        <w:ind w:left="840" w:right="77" w:hanging="360"/>
        <w:jc w:val="both"/>
        <w:rPr>
          <w:rFonts w:ascii="Calibri" w:eastAsia="Calibri" w:hAnsi="Calibri" w:cs="Calibri"/>
          <w:color w:val="1F487C"/>
          <w:sz w:val="24"/>
          <w:szCs w:val="24"/>
        </w:rPr>
      </w:pPr>
      <w:r>
        <w:rPr>
          <w:rFonts w:ascii="Arial Unicode MS" w:eastAsia="Arial Unicode MS" w:hAnsi="Arial Unicode MS" w:cs="Arial Unicode MS"/>
          <w:color w:val="1F487C"/>
          <w:sz w:val="24"/>
          <w:szCs w:val="24"/>
        </w:rPr>
        <w:t></w:t>
      </w:r>
      <w:r>
        <w:rPr>
          <w:rFonts w:ascii="Arial Unicode MS" w:eastAsia="Arial Unicode MS" w:hAnsi="Arial Unicode MS" w:cs="Arial Unicode MS"/>
          <w:color w:val="1F487C"/>
          <w:sz w:val="24"/>
          <w:szCs w:val="24"/>
        </w:rPr>
        <w:tab/>
      </w:r>
      <w:r>
        <w:rPr>
          <w:rFonts w:ascii="Calibri" w:eastAsia="Calibri" w:hAnsi="Calibri" w:cs="Calibri"/>
          <w:b/>
          <w:color w:val="1F487C"/>
          <w:sz w:val="24"/>
          <w:szCs w:val="24"/>
          <w:u w:val="single" w:color="1F487C"/>
        </w:rPr>
        <w:t>"The Senior Citizens Law, 1989"</w:t>
      </w:r>
      <w:r>
        <w:rPr>
          <w:rFonts w:ascii="Calibri" w:eastAsia="Calibri" w:hAnsi="Calibri" w:cs="Calibri"/>
          <w:b/>
          <w:color w:val="1F487C"/>
          <w:sz w:val="24"/>
          <w:szCs w:val="24"/>
        </w:rPr>
        <w:t xml:space="preserve"> </w:t>
      </w:r>
      <w:r>
        <w:rPr>
          <w:rFonts w:ascii="Calibri" w:eastAsia="Calibri" w:hAnsi="Calibri" w:cs="Calibri"/>
          <w:color w:val="1F487C"/>
          <w:sz w:val="24"/>
          <w:szCs w:val="24"/>
        </w:rPr>
        <w:t>- grants various rights and benefits to senior citizens  in  various  fields  such  as:  property  taxes,  travel  by  public  transport, payments  for  medicines,  entrance  fees  to  national  parks,  nature  reserves, cultural exhibitions, muse</w:t>
      </w:r>
      <w:r w:rsidR="00671DF6">
        <w:rPr>
          <w:rFonts w:ascii="Calibri" w:eastAsia="Calibri" w:hAnsi="Calibri" w:cs="Calibri"/>
          <w:color w:val="1F487C"/>
          <w:sz w:val="24"/>
          <w:szCs w:val="24"/>
        </w:rPr>
        <w:t>ums, and cultural and art shows</w:t>
      </w:r>
    </w:p>
    <w:p w:rsidR="00517FA4" w:rsidRPr="00A3541C" w:rsidRDefault="00517FA4" w:rsidP="00A3541C">
      <w:pPr>
        <w:rPr>
          <w:rFonts w:ascii="Calibri" w:eastAsia="Calibri" w:hAnsi="Calibri" w:cs="Calibri"/>
          <w:color w:val="1F487C"/>
          <w:sz w:val="24"/>
          <w:szCs w:val="24"/>
        </w:rPr>
      </w:pPr>
      <w:bookmarkStart w:id="0" w:name="_GoBack"/>
      <w:bookmarkEnd w:id="0"/>
    </w:p>
    <w:sectPr w:rsidR="00517FA4" w:rsidRPr="00A3541C">
      <w:pgSz w:w="11920" w:h="16840"/>
      <w:pgMar w:top="1560" w:right="1680" w:bottom="280" w:left="1680" w:header="708" w:footer="1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94" w:rsidRDefault="007D6D94">
      <w:r>
        <w:separator/>
      </w:r>
    </w:p>
  </w:endnote>
  <w:endnote w:type="continuationSeparator" w:id="0">
    <w:p w:rsidR="007D6D94" w:rsidRDefault="007D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370" w:rsidRDefault="007A2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A4" w:rsidRDefault="007A2370">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90pt;margin-top:753.25pt;width:32.15pt;height:39.85pt;z-index:-251659264;mso-position-horizontal-relative:page;mso-position-vertical-relative:page">
          <v:imagedata r:id="rId1" o:title=""/>
          <w10:wrap anchorx="page" anchory="page"/>
        </v:shape>
      </w:pict>
    </w:r>
    <w:r>
      <w:pict>
        <v:group id="_x0000_s2050" style="position:absolute;margin-left:126.9pt;margin-top:752.55pt;width:0;height:38.45pt;z-index:-251658240;mso-position-horizontal-relative:page;mso-position-vertical-relative:page" coordorigin="2538,15051" coordsize="0,769">
          <v:shape id="_x0000_s2051" style="position:absolute;left:2538;top:15051;width:0;height:769" coordorigin="2538,15051" coordsize="0,769" path="m2538,15051r,769e" filled="f" strokecolor="#0087cd" strokeweight="3.5pt">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150.45pt;margin-top:751.3pt;width:246.75pt;height:36.1pt;z-index:-251657216;mso-position-horizontal-relative:page;mso-position-vertical-relative:page" filled="f" stroked="f">
          <v:textbox inset="0,0,0,0">
            <w:txbxContent>
              <w:p w:rsidR="00517FA4" w:rsidRDefault="007D6D94">
                <w:pPr>
                  <w:spacing w:line="220" w:lineRule="exact"/>
                  <w:ind w:left="22"/>
                  <w:rPr>
                    <w:rFonts w:ascii="Tahoma" w:eastAsia="Tahoma" w:hAnsi="Tahoma" w:cs="Tahoma"/>
                  </w:rPr>
                </w:pPr>
                <w:r>
                  <w:rPr>
                    <w:rFonts w:ascii="Tahoma" w:eastAsia="Tahoma" w:hAnsi="Tahoma" w:cs="Tahoma"/>
                    <w:b/>
                    <w:w w:val="99"/>
                  </w:rPr>
                  <w:t>Department</w:t>
                </w:r>
                <w:r>
                  <w:rPr>
                    <w:rFonts w:ascii="Tahoma" w:eastAsia="Tahoma" w:hAnsi="Tahoma" w:cs="Tahoma"/>
                    <w:b/>
                  </w:rPr>
                  <w:t xml:space="preserve"> </w:t>
                </w:r>
                <w:r>
                  <w:rPr>
                    <w:rFonts w:ascii="Tahoma" w:eastAsia="Tahoma" w:hAnsi="Tahoma" w:cs="Tahoma"/>
                    <w:b/>
                    <w:w w:val="99"/>
                  </w:rPr>
                  <w:t>of</w:t>
                </w:r>
                <w:r>
                  <w:rPr>
                    <w:rFonts w:ascii="Tahoma" w:eastAsia="Tahoma" w:hAnsi="Tahoma" w:cs="Tahoma"/>
                    <w:b/>
                  </w:rPr>
                  <w:t xml:space="preserve"> </w:t>
                </w:r>
                <w:r>
                  <w:rPr>
                    <w:rFonts w:ascii="Tahoma" w:eastAsia="Tahoma" w:hAnsi="Tahoma" w:cs="Tahoma"/>
                    <w:b/>
                    <w:w w:val="99"/>
                  </w:rPr>
                  <w:t>International</w:t>
                </w:r>
                <w:r>
                  <w:rPr>
                    <w:rFonts w:ascii="Tahoma" w:eastAsia="Tahoma" w:hAnsi="Tahoma" w:cs="Tahoma"/>
                    <w:b/>
                  </w:rPr>
                  <w:t xml:space="preserve"> </w:t>
                </w:r>
                <w:r>
                  <w:rPr>
                    <w:rFonts w:ascii="Tahoma" w:eastAsia="Tahoma" w:hAnsi="Tahoma" w:cs="Tahoma"/>
                    <w:b/>
                    <w:w w:val="99"/>
                  </w:rPr>
                  <w:t>Relations</w:t>
                </w:r>
              </w:p>
              <w:p w:rsidR="00517FA4" w:rsidRDefault="007D6D94">
                <w:pPr>
                  <w:spacing w:line="240" w:lineRule="exact"/>
                  <w:ind w:left="22"/>
                  <w:rPr>
                    <w:rFonts w:ascii="Tahoma" w:eastAsia="Tahoma" w:hAnsi="Tahoma" w:cs="Tahoma"/>
                  </w:rPr>
                </w:pPr>
                <w:r>
                  <w:rPr>
                    <w:rFonts w:ascii="Tahoma" w:eastAsia="Tahoma" w:hAnsi="Tahoma" w:cs="Tahoma"/>
                    <w:w w:val="99"/>
                    <w:position w:val="-1"/>
                  </w:rPr>
                  <w:t>www.gov.il</w:t>
                </w:r>
                <w:r>
                  <w:rPr>
                    <w:rFonts w:ascii="Tahoma" w:eastAsia="Tahoma" w:hAnsi="Tahoma" w:cs="Tahoma"/>
                    <w:position w:val="-1"/>
                  </w:rPr>
                  <w:t xml:space="preserve"> </w:t>
                </w:r>
                <w:r>
                  <w:rPr>
                    <w:rFonts w:ascii="Tahoma" w:eastAsia="Tahoma" w:hAnsi="Tahoma" w:cs="Tahoma"/>
                    <w:w w:val="99"/>
                    <w:position w:val="-1"/>
                  </w:rPr>
                  <w:t>|</w:t>
                </w:r>
                <w:r>
                  <w:rPr>
                    <w:rFonts w:ascii="Tahoma" w:eastAsia="Tahoma" w:hAnsi="Tahoma" w:cs="Tahoma"/>
                    <w:position w:val="-1"/>
                  </w:rPr>
                  <w:t xml:space="preserve"> </w:t>
                </w:r>
                <w:r>
                  <w:rPr>
                    <w:rFonts w:ascii="Tahoma" w:eastAsia="Tahoma" w:hAnsi="Tahoma" w:cs="Tahoma"/>
                    <w:w w:val="99"/>
                    <w:position w:val="-1"/>
                  </w:rPr>
                  <w:t>niliber@molsa.gov.il</w:t>
                </w:r>
                <w:r>
                  <w:rPr>
                    <w:rFonts w:ascii="Tahoma" w:eastAsia="Tahoma" w:hAnsi="Tahoma" w:cs="Tahoma"/>
                    <w:position w:val="-1"/>
                  </w:rPr>
                  <w:t xml:space="preserve"> </w:t>
                </w:r>
                <w:r>
                  <w:rPr>
                    <w:rFonts w:ascii="Tahoma" w:eastAsia="Tahoma" w:hAnsi="Tahoma" w:cs="Tahoma"/>
                    <w:w w:val="99"/>
                    <w:position w:val="-1"/>
                  </w:rPr>
                  <w:t>|</w:t>
                </w:r>
                <w:r>
                  <w:rPr>
                    <w:rFonts w:ascii="Tahoma" w:eastAsia="Tahoma" w:hAnsi="Tahoma" w:cs="Tahoma"/>
                    <w:position w:val="-1"/>
                  </w:rPr>
                  <w:t xml:space="preserve"> </w:t>
                </w:r>
                <w:r>
                  <w:rPr>
                    <w:rFonts w:ascii="Tahoma" w:eastAsia="Tahoma" w:hAnsi="Tahoma" w:cs="Tahoma"/>
                    <w:w w:val="99"/>
                    <w:position w:val="-1"/>
                  </w:rPr>
                  <w:t>www.molsa.gov.il</w:t>
                </w:r>
              </w:p>
              <w:p w:rsidR="00517FA4" w:rsidRDefault="007D6D94">
                <w:pPr>
                  <w:spacing w:before="1"/>
                  <w:ind w:left="20" w:right="-30"/>
                  <w:rPr>
                    <w:rFonts w:ascii="Tahoma" w:eastAsia="Tahoma" w:hAnsi="Tahoma" w:cs="Tahoma"/>
                  </w:rPr>
                </w:pPr>
                <w:r>
                  <w:rPr>
                    <w:rFonts w:ascii="Tahoma" w:eastAsia="Tahoma" w:hAnsi="Tahoma" w:cs="Tahoma"/>
                    <w:w w:val="99"/>
                  </w:rPr>
                  <w:t>39</w:t>
                </w:r>
                <w:r>
                  <w:rPr>
                    <w:rFonts w:ascii="Tahoma" w:eastAsia="Tahoma" w:hAnsi="Tahoma" w:cs="Tahoma"/>
                  </w:rPr>
                  <w:t xml:space="preserve"> </w:t>
                </w:r>
                <w:proofErr w:type="spellStart"/>
                <w:r>
                  <w:rPr>
                    <w:rFonts w:ascii="Tahoma" w:eastAsia="Tahoma" w:hAnsi="Tahoma" w:cs="Tahoma"/>
                    <w:w w:val="99"/>
                  </w:rPr>
                  <w:t>Yirmiyahu</w:t>
                </w:r>
                <w:proofErr w:type="spellEnd"/>
                <w:r>
                  <w:rPr>
                    <w:rFonts w:ascii="Tahoma" w:eastAsia="Tahoma" w:hAnsi="Tahoma" w:cs="Tahoma"/>
                  </w:rPr>
                  <w:t xml:space="preserve"> </w:t>
                </w:r>
                <w:r>
                  <w:rPr>
                    <w:rFonts w:ascii="Tahoma" w:eastAsia="Tahoma" w:hAnsi="Tahoma" w:cs="Tahoma"/>
                    <w:w w:val="99"/>
                  </w:rPr>
                  <w:t>Street,</w:t>
                </w:r>
                <w:r>
                  <w:rPr>
                    <w:rFonts w:ascii="Tahoma" w:eastAsia="Tahoma" w:hAnsi="Tahoma" w:cs="Tahoma"/>
                  </w:rPr>
                  <w:t xml:space="preserve"> </w:t>
                </w:r>
                <w:proofErr w:type="spellStart"/>
                <w:r>
                  <w:rPr>
                    <w:rFonts w:ascii="Tahoma" w:eastAsia="Tahoma" w:hAnsi="Tahoma" w:cs="Tahoma"/>
                    <w:w w:val="99"/>
                  </w:rPr>
                  <w:t>Migdaley</w:t>
                </w:r>
                <w:proofErr w:type="spellEnd"/>
                <w:r>
                  <w:rPr>
                    <w:rFonts w:ascii="Tahoma" w:eastAsia="Tahoma" w:hAnsi="Tahoma" w:cs="Tahoma"/>
                  </w:rPr>
                  <w:t xml:space="preserve"> </w:t>
                </w:r>
                <w:proofErr w:type="spellStart"/>
                <w:r>
                  <w:rPr>
                    <w:rFonts w:ascii="Tahoma" w:eastAsia="Tahoma" w:hAnsi="Tahoma" w:cs="Tahoma"/>
                    <w:w w:val="99"/>
                  </w:rPr>
                  <w:t>Habira</w:t>
                </w:r>
                <w:proofErr w:type="spellEnd"/>
                <w:r>
                  <w:rPr>
                    <w:rFonts w:ascii="Tahoma" w:eastAsia="Tahoma" w:hAnsi="Tahoma" w:cs="Tahoma"/>
                    <w:w w:val="99"/>
                  </w:rPr>
                  <w:t>,</w:t>
                </w:r>
                <w:r>
                  <w:rPr>
                    <w:rFonts w:ascii="Tahoma" w:eastAsia="Tahoma" w:hAnsi="Tahoma" w:cs="Tahoma"/>
                  </w:rPr>
                  <w:t xml:space="preserve"> </w:t>
                </w:r>
                <w:r>
                  <w:rPr>
                    <w:rFonts w:ascii="Tahoma" w:eastAsia="Tahoma" w:hAnsi="Tahoma" w:cs="Tahoma"/>
                    <w:w w:val="99"/>
                  </w:rPr>
                  <w:t>Jerusalem</w:t>
                </w:r>
                <w:r>
                  <w:rPr>
                    <w:rFonts w:ascii="Tahoma" w:eastAsia="Tahoma" w:hAnsi="Tahoma" w:cs="Tahoma"/>
                  </w:rPr>
                  <w:t xml:space="preserve"> </w:t>
                </w:r>
                <w:r>
                  <w:rPr>
                    <w:rFonts w:ascii="Tahoma" w:eastAsia="Tahoma" w:hAnsi="Tahoma" w:cs="Tahoma"/>
                    <w:w w:val="99"/>
                  </w:rPr>
                  <w:t>91012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370" w:rsidRDefault="007A2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94" w:rsidRDefault="007D6D94">
      <w:r>
        <w:separator/>
      </w:r>
    </w:p>
  </w:footnote>
  <w:footnote w:type="continuationSeparator" w:id="0">
    <w:p w:rsidR="007D6D94" w:rsidRDefault="007D6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370" w:rsidRDefault="007A2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A4" w:rsidRDefault="007A2370">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90pt;margin-top:35.4pt;width:273.6pt;height:50.75pt;z-index:-251660288;mso-position-horizontal-relative:page;mso-position-vertical-relative:page">
          <v:imagedata r:id="rId1" o:title=""/>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370" w:rsidRDefault="007A2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3373B"/>
    <w:multiLevelType w:val="multilevel"/>
    <w:tmpl w:val="2A1824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A4"/>
    <w:rsid w:val="002F0C4B"/>
    <w:rsid w:val="00517FA4"/>
    <w:rsid w:val="00671DF6"/>
    <w:rsid w:val="007A2370"/>
    <w:rsid w:val="007D6D94"/>
    <w:rsid w:val="00A3541C"/>
    <w:rsid w:val="00F6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A2370"/>
    <w:pPr>
      <w:tabs>
        <w:tab w:val="center" w:pos="4513"/>
        <w:tab w:val="right" w:pos="9026"/>
      </w:tabs>
    </w:pPr>
  </w:style>
  <w:style w:type="character" w:customStyle="1" w:styleId="HeaderChar">
    <w:name w:val="Header Char"/>
    <w:basedOn w:val="DefaultParagraphFont"/>
    <w:link w:val="Header"/>
    <w:uiPriority w:val="99"/>
    <w:rsid w:val="007A2370"/>
  </w:style>
  <w:style w:type="paragraph" w:styleId="Footer">
    <w:name w:val="footer"/>
    <w:basedOn w:val="Normal"/>
    <w:link w:val="FooterChar"/>
    <w:uiPriority w:val="99"/>
    <w:unhideWhenUsed/>
    <w:rsid w:val="007A2370"/>
    <w:pPr>
      <w:tabs>
        <w:tab w:val="center" w:pos="4513"/>
        <w:tab w:val="right" w:pos="9026"/>
      </w:tabs>
    </w:pPr>
  </w:style>
  <w:style w:type="character" w:customStyle="1" w:styleId="FooterChar">
    <w:name w:val="Footer Char"/>
    <w:basedOn w:val="DefaultParagraphFont"/>
    <w:link w:val="Footer"/>
    <w:uiPriority w:val="99"/>
    <w:rsid w:val="007A2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26BFAD-9A19-41FA-8399-E3581C7B4F66}"/>
</file>

<file path=customXml/itemProps2.xml><?xml version="1.0" encoding="utf-8"?>
<ds:datastoreItem xmlns:ds="http://schemas.openxmlformats.org/officeDocument/2006/customXml" ds:itemID="{FB94E6F2-4EF2-4FB3-9A27-BB20FD69DAD7}"/>
</file>

<file path=customXml/itemProps3.xml><?xml version="1.0" encoding="utf-8"?>
<ds:datastoreItem xmlns:ds="http://schemas.openxmlformats.org/officeDocument/2006/customXml" ds:itemID="{B624C718-129F-4168-8E7E-FCDB0F098B50}"/>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2021-04-29T12:31:00Z</dcterms:created>
  <dcterms:modified xsi:type="dcterms:W3CDTF">2021-04-29T12:31:00Z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