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6D669" w14:textId="77777777" w:rsidR="004567D3" w:rsidRPr="004567D3" w:rsidRDefault="004567D3" w:rsidP="004567D3">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lang w:eastAsia="en-GB"/>
        </w:rPr>
      </w:pPr>
      <w:bookmarkStart w:id="0" w:name="_GoBack"/>
      <w:bookmarkEnd w:id="0"/>
      <w:r w:rsidRPr="004567D3">
        <w:rPr>
          <w:rFonts w:ascii="Verdana" w:eastAsia="Times New Roman" w:hAnsi="Verdana" w:cs="Times New Roman"/>
          <w:color w:val="0072C6"/>
          <w:sz w:val="35"/>
          <w:szCs w:val="35"/>
          <w:lang w:eastAsia="en-GB"/>
        </w:rPr>
        <w:t>Call for input: thematic report on the human rights of older women</w:t>
      </w:r>
    </w:p>
    <w:p w14:paraId="4C9C2EF8" w14:textId="77777777" w:rsidR="004567D3" w:rsidRPr="004567D3" w:rsidRDefault="004567D3" w:rsidP="004567D3">
      <w:pPr>
        <w:spacing w:after="0" w:line="240" w:lineRule="auto"/>
        <w:rPr>
          <w:rFonts w:ascii="Times New Roman" w:eastAsia="Times New Roman" w:hAnsi="Times New Roman" w:cs="Times New Roman"/>
          <w:sz w:val="24"/>
          <w:szCs w:val="24"/>
          <w:lang w:eastAsia="en-GB"/>
        </w:rPr>
      </w:pPr>
    </w:p>
    <w:p w14:paraId="1EC2BC1C"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b/>
          <w:bCs/>
          <w:color w:val="000000"/>
          <w:sz w:val="19"/>
          <w:szCs w:val="19"/>
          <w:lang w:eastAsia="en-GB"/>
        </w:rPr>
        <w:t>Deadline</w:t>
      </w:r>
    </w:p>
    <w:p w14:paraId="2FB733BF"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22 March 2021</w:t>
      </w:r>
    </w:p>
    <w:p w14:paraId="2248FB5C"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b/>
          <w:bCs/>
          <w:color w:val="000000"/>
          <w:sz w:val="19"/>
          <w:szCs w:val="19"/>
          <w:lang w:eastAsia="en-GB"/>
        </w:rPr>
        <w:t>Issued by</w:t>
      </w:r>
    </w:p>
    <w:p w14:paraId="64DFAB25"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Independent Expert on the human rights of older persons</w:t>
      </w:r>
    </w:p>
    <w:p w14:paraId="73B5A984"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b/>
          <w:bCs/>
          <w:color w:val="000000"/>
          <w:sz w:val="19"/>
          <w:szCs w:val="19"/>
          <w:lang w:eastAsia="en-GB"/>
        </w:rPr>
        <w:t>Purpose</w:t>
      </w:r>
    </w:p>
    <w:p w14:paraId="1B352F8E" w14:textId="77777777" w:rsidR="004567D3" w:rsidRPr="004567D3" w:rsidRDefault="004567D3" w:rsidP="004567D3">
      <w:pPr>
        <w:shd w:val="clear" w:color="auto" w:fill="FFFFFF"/>
        <w:spacing w:after="0" w:line="240" w:lineRule="auto"/>
        <w:jc w:val="both"/>
        <w:textAlignment w:val="top"/>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To inform Independent Expert’s forthcoming report to the 76</w:t>
      </w:r>
      <w:r w:rsidRPr="004567D3">
        <w:rPr>
          <w:rFonts w:ascii="Verdana" w:eastAsia="Times New Roman" w:hAnsi="Verdana" w:cs="Times New Roman"/>
          <w:color w:val="000000"/>
          <w:sz w:val="19"/>
          <w:szCs w:val="19"/>
          <w:vertAlign w:val="superscript"/>
          <w:lang w:eastAsia="en-GB"/>
        </w:rPr>
        <w:t>th</w:t>
      </w:r>
      <w:r w:rsidRPr="004567D3">
        <w:rPr>
          <w:rFonts w:ascii="Verdana" w:eastAsia="Times New Roman" w:hAnsi="Verdana" w:cs="Times New Roman"/>
          <w:color w:val="000000"/>
          <w:sz w:val="19"/>
          <w:szCs w:val="19"/>
          <w:lang w:eastAsia="en-GB"/>
        </w:rPr>
        <w:t> session of the General Assembly</w:t>
      </w:r>
    </w:p>
    <w:p w14:paraId="626E2523" w14:textId="77777777" w:rsidR="004567D3" w:rsidRPr="004567D3" w:rsidRDefault="004567D3" w:rsidP="004567D3">
      <w:pPr>
        <w:spacing w:after="0" w:line="240" w:lineRule="auto"/>
        <w:jc w:val="both"/>
        <w:rPr>
          <w:rFonts w:ascii="Times New Roman" w:eastAsia="Times New Roman" w:hAnsi="Times New Roman" w:cs="Times New Roman"/>
          <w:sz w:val="24"/>
          <w:szCs w:val="24"/>
          <w:lang w:eastAsia="en-GB"/>
        </w:rPr>
      </w:pPr>
      <w:r w:rsidRPr="004567D3">
        <w:rPr>
          <w:rFonts w:ascii="Verdana" w:eastAsia="Times New Roman" w:hAnsi="Verdana" w:cs="Times New Roman"/>
          <w:color w:val="000000"/>
          <w:sz w:val="19"/>
          <w:szCs w:val="19"/>
          <w:lang w:eastAsia="en-GB"/>
        </w:rPr>
        <w:br/>
      </w:r>
    </w:p>
    <w:p w14:paraId="3693A5A7" w14:textId="77777777" w:rsidR="004567D3" w:rsidRPr="004567D3" w:rsidRDefault="004567D3" w:rsidP="004567D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n-GB"/>
        </w:rPr>
      </w:pPr>
      <w:r w:rsidRPr="004567D3">
        <w:rPr>
          <w:rFonts w:ascii="Verdana" w:eastAsia="Times New Roman" w:hAnsi="Verdana" w:cs="Times New Roman"/>
          <w:color w:val="262626"/>
          <w:sz w:val="28"/>
          <w:szCs w:val="28"/>
          <w:lang w:eastAsia="en-GB"/>
        </w:rPr>
        <w:t>Background</w:t>
      </w:r>
    </w:p>
    <w:p w14:paraId="5946CDC2"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 xml:space="preserve">The </w:t>
      </w:r>
      <w:bookmarkStart w:id="1" w:name="_Hlk67653493"/>
      <w:r w:rsidRPr="004567D3">
        <w:rPr>
          <w:rFonts w:ascii="Verdana" w:eastAsia="Times New Roman" w:hAnsi="Verdana" w:cs="Times New Roman"/>
          <w:color w:val="000000"/>
          <w:sz w:val="19"/>
          <w:szCs w:val="19"/>
          <w:lang w:eastAsia="en-GB"/>
        </w:rPr>
        <w:t xml:space="preserve">Independent Expert on the enjoyment of all human rights by older persons, Claudia Mahler, is </w:t>
      </w:r>
      <w:bookmarkEnd w:id="1"/>
      <w:r w:rsidRPr="004567D3">
        <w:rPr>
          <w:rFonts w:ascii="Verdana" w:eastAsia="Times New Roman" w:hAnsi="Verdana" w:cs="Times New Roman"/>
          <w:color w:val="000000"/>
          <w:sz w:val="19"/>
          <w:szCs w:val="19"/>
          <w:lang w:eastAsia="en-GB"/>
        </w:rPr>
        <w:t>mandated by the United Nations Human Rights Council (</w:t>
      </w:r>
      <w:hyperlink r:id="rId8" w:history="1">
        <w:r w:rsidRPr="004567D3">
          <w:rPr>
            <w:rFonts w:ascii="Verdana" w:eastAsia="Times New Roman" w:hAnsi="Verdana" w:cs="Times New Roman"/>
            <w:color w:val="0000FF"/>
            <w:sz w:val="19"/>
            <w:szCs w:val="19"/>
            <w:u w:val="single"/>
            <w:lang w:eastAsia="en-GB"/>
          </w:rPr>
          <w:t>HRC/RES/33/5</w:t>
        </w:r>
      </w:hyperlink>
      <w:r w:rsidRPr="004567D3">
        <w:rPr>
          <w:rFonts w:ascii="Verdana" w:eastAsia="Times New Roman" w:hAnsi="Verdana" w:cs="Times New Roman"/>
          <w:color w:val="000000"/>
          <w:sz w:val="19"/>
          <w:szCs w:val="19"/>
          <w:lang w:eastAsia="en-GB"/>
        </w:rPr>
        <w:t>) to report on developments, challenges and protection gaps in the realization of the rights of older persons as well as to assess the implementation of national, regional and international standards and identify best practices relevant to the rights of older persons. Throughout her work, the Independent Expert adopts an intersectional approach so as to address multiple and aggravated forms of discrimination faced by older persons.</w:t>
      </w:r>
    </w:p>
    <w:p w14:paraId="0C50805E"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Older persons represent a large, and the fastest growing, segment of the global population. Women form the majority of older persons with global demographic data consistently showing that women tend to live longer than men, especially at advanced ages. Older women also make substantial contributions to our societies and economies, including as informal caregivers, volunteers and community leaders. Ageing, however, is not gender-neutral and inequality and discrimination experienced by women during their lifespan is often exacerbated in older age. For example, older women are at a higher risk of living in poverty and of facing barriers in accessing basic rights such as health, adequate housing, and protection from violence, abuse and neglect. Yet, the specific challenges created by the intersection between age and gender often remain invisible and understudied.</w:t>
      </w:r>
    </w:p>
    <w:p w14:paraId="0759576A" w14:textId="77777777" w:rsidR="004567D3" w:rsidRPr="004567D3" w:rsidRDefault="004567D3" w:rsidP="004567D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n-GB"/>
        </w:rPr>
      </w:pPr>
      <w:r w:rsidRPr="004567D3">
        <w:rPr>
          <w:rFonts w:ascii="Verdana" w:eastAsia="Times New Roman" w:hAnsi="Verdana" w:cs="Times New Roman"/>
          <w:color w:val="262626"/>
          <w:sz w:val="28"/>
          <w:szCs w:val="28"/>
          <w:lang w:eastAsia="en-GB"/>
        </w:rPr>
        <w:t>Objectives</w:t>
      </w:r>
    </w:p>
    <w:p w14:paraId="097B3901"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In this context, the Independent Expert will examine how older women experience ageing differently and what specific human rights concerns and challenges they face. In particular, her report will seek to analyse the causes of the discrimination and inequality affecting older women, identify good practices and formulate concrete recommendations.</w:t>
      </w:r>
    </w:p>
    <w:p w14:paraId="57469761" w14:textId="77777777" w:rsidR="004567D3" w:rsidRPr="004567D3" w:rsidRDefault="004567D3" w:rsidP="004567D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n-GB"/>
        </w:rPr>
      </w:pPr>
      <w:r w:rsidRPr="004567D3">
        <w:rPr>
          <w:rFonts w:ascii="Verdana" w:eastAsia="Times New Roman" w:hAnsi="Verdana" w:cs="Times New Roman"/>
          <w:color w:val="262626"/>
          <w:sz w:val="28"/>
          <w:szCs w:val="28"/>
          <w:lang w:eastAsia="en-GB"/>
        </w:rPr>
        <w:t>Key questions</w:t>
      </w:r>
    </w:p>
    <w:p w14:paraId="4A2A5109"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In order to inform the preparation of her report, the Independent Expert would like to seek contributions from States, national human rights institutions, civil society, academia, international and regional organizations, and all other relevant stakeholders, with a particular emphasis on sharing concrete examples and good practices where available.</w:t>
      </w:r>
    </w:p>
    <w:p w14:paraId="54739638"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t>While the Independent Expert welcomes any information, reports, legislation or other materials deemed pertinent to the protection and promotion of human rights of older women, she is particularly interested in the areas highlighted in this questionnaire: </w:t>
      </w:r>
    </w:p>
    <w:p w14:paraId="7156B4E9"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r w:rsidRPr="004567D3">
        <w:rPr>
          <w:rFonts w:ascii="Verdana" w:eastAsia="Times New Roman" w:hAnsi="Verdana" w:cs="Times New Roman"/>
          <w:color w:val="000000"/>
          <w:sz w:val="19"/>
          <w:szCs w:val="19"/>
          <w:lang w:eastAsia="en-GB"/>
        </w:rPr>
        <w:lastRenderedPageBreak/>
        <w:t>Download the questionnaire (PDF): </w:t>
      </w:r>
      <w:hyperlink r:id="rId9" w:history="1">
        <w:r w:rsidRPr="004567D3">
          <w:rPr>
            <w:rFonts w:ascii="Verdana" w:eastAsia="Times New Roman" w:hAnsi="Verdana" w:cs="Times New Roman"/>
            <w:color w:val="0000FF"/>
            <w:sz w:val="19"/>
            <w:szCs w:val="19"/>
            <w:u w:val="single"/>
            <w:lang w:eastAsia="en-GB"/>
          </w:rPr>
          <w:t>English</w:t>
        </w:r>
      </w:hyperlink>
      <w:r w:rsidRPr="004567D3">
        <w:rPr>
          <w:rFonts w:ascii="Verdana" w:eastAsia="Times New Roman" w:hAnsi="Verdana" w:cs="Times New Roman"/>
          <w:color w:val="000000"/>
          <w:sz w:val="19"/>
          <w:szCs w:val="19"/>
          <w:lang w:eastAsia="en-GB"/>
        </w:rPr>
        <w:t> | </w:t>
      </w:r>
      <w:hyperlink r:id="rId10" w:history="1">
        <w:r w:rsidRPr="004567D3">
          <w:rPr>
            <w:rFonts w:ascii="Verdana" w:eastAsia="Times New Roman" w:hAnsi="Verdana" w:cs="Times New Roman"/>
            <w:color w:val="0000FF"/>
            <w:sz w:val="19"/>
            <w:szCs w:val="19"/>
            <w:u w:val="single"/>
            <w:lang w:eastAsia="en-GB"/>
          </w:rPr>
          <w:t>Français</w:t>
        </w:r>
      </w:hyperlink>
      <w:r w:rsidRPr="004567D3">
        <w:rPr>
          <w:rFonts w:ascii="Verdana" w:eastAsia="Times New Roman" w:hAnsi="Verdana" w:cs="Times New Roman"/>
          <w:color w:val="000000"/>
          <w:sz w:val="19"/>
          <w:szCs w:val="19"/>
          <w:lang w:eastAsia="en-GB"/>
        </w:rPr>
        <w:t> | </w:t>
      </w:r>
      <w:hyperlink r:id="rId11" w:history="1">
        <w:r w:rsidRPr="004567D3">
          <w:rPr>
            <w:rFonts w:ascii="Verdana" w:eastAsia="Times New Roman" w:hAnsi="Verdana" w:cs="Times New Roman"/>
            <w:color w:val="0000FF"/>
            <w:sz w:val="19"/>
            <w:szCs w:val="19"/>
            <w:u w:val="single"/>
            <w:lang w:eastAsia="en-GB"/>
          </w:rPr>
          <w:t>Español</w:t>
        </w:r>
      </w:hyperlink>
    </w:p>
    <w:p w14:paraId="2667554B" w14:textId="77777777" w:rsidR="004567D3" w:rsidRPr="004567D3" w:rsidRDefault="004567D3" w:rsidP="004567D3">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n-GB"/>
        </w:rPr>
      </w:pPr>
      <w:r w:rsidRPr="004567D3">
        <w:rPr>
          <w:rFonts w:ascii="Verdana" w:eastAsia="Times New Roman" w:hAnsi="Verdana" w:cs="Times New Roman"/>
          <w:color w:val="262626"/>
          <w:sz w:val="28"/>
          <w:szCs w:val="28"/>
          <w:lang w:eastAsia="en-GB"/>
        </w:rPr>
        <w:t>How to submit inputs</w:t>
      </w:r>
    </w:p>
    <w:p w14:paraId="653FE174" w14:textId="77777777" w:rsidR="004567D3" w:rsidRPr="004567D3" w:rsidRDefault="004567D3" w:rsidP="004567D3">
      <w:pPr>
        <w:shd w:val="clear" w:color="auto" w:fill="FFFFFF"/>
        <w:spacing w:after="150" w:line="240" w:lineRule="auto"/>
        <w:jc w:val="both"/>
        <w:rPr>
          <w:rFonts w:ascii="Verdana" w:eastAsia="Times New Roman" w:hAnsi="Verdana" w:cs="Times New Roman"/>
          <w:color w:val="000000"/>
          <w:sz w:val="19"/>
          <w:szCs w:val="19"/>
          <w:lang w:eastAsia="en-GB"/>
        </w:rPr>
      </w:pPr>
      <w:bookmarkStart w:id="2" w:name="_Hlk67653226"/>
      <w:r w:rsidRPr="004567D3">
        <w:rPr>
          <w:rFonts w:ascii="Verdana" w:eastAsia="Times New Roman" w:hAnsi="Verdana" w:cs="Times New Roman"/>
          <w:color w:val="000000"/>
          <w:sz w:val="19"/>
          <w:szCs w:val="19"/>
          <w:lang w:eastAsia="en-GB"/>
        </w:rPr>
        <w:t>Please send your submissions in English, French or Spanish in attachment by email to </w:t>
      </w:r>
      <w:hyperlink r:id="rId12" w:history="1">
        <w:r w:rsidRPr="004567D3">
          <w:rPr>
            <w:rFonts w:ascii="Verdana" w:eastAsia="Times New Roman" w:hAnsi="Verdana" w:cs="Times New Roman"/>
            <w:color w:val="0000FF"/>
            <w:sz w:val="19"/>
            <w:szCs w:val="19"/>
            <w:u w:val="single"/>
            <w:lang w:eastAsia="en-GB"/>
          </w:rPr>
          <w:t>olderpersons@ohchr.org</w:t>
        </w:r>
      </w:hyperlink>
      <w:r w:rsidRPr="004567D3">
        <w:rPr>
          <w:rFonts w:ascii="Verdana" w:eastAsia="Times New Roman" w:hAnsi="Verdana" w:cs="Times New Roman"/>
          <w:color w:val="000000"/>
          <w:sz w:val="19"/>
          <w:szCs w:val="19"/>
          <w:lang w:eastAsia="en-GB"/>
        </w:rPr>
        <w:t>, indicating in the heading “Submission to the call for contributions on older women – 2021”. Please also kindly indicate whether you have any objection for the responses provided to be made available on the OHCHR webpage of the Independent Expert.</w:t>
      </w:r>
    </w:p>
    <w:bookmarkEnd w:id="2"/>
    <w:p w14:paraId="4414AFED" w14:textId="440602AA" w:rsidR="009855E3" w:rsidRDefault="00130BF8" w:rsidP="004567D3">
      <w:pPr>
        <w:jc w:val="both"/>
      </w:pPr>
    </w:p>
    <w:p w14:paraId="1A0278E8" w14:textId="388C90CB" w:rsidR="007A42E3" w:rsidRPr="004F2B4D" w:rsidRDefault="00237CAA" w:rsidP="00F75E9E">
      <w:pPr>
        <w:pStyle w:val="ListParagraph"/>
        <w:spacing w:line="276" w:lineRule="auto"/>
        <w:ind w:left="0"/>
        <w:jc w:val="both"/>
        <w:rPr>
          <w:rFonts w:cstheme="minorHAnsi"/>
          <w:sz w:val="24"/>
          <w:szCs w:val="24"/>
          <w:shd w:val="clear" w:color="auto" w:fill="FFFFFF"/>
        </w:rPr>
      </w:pPr>
      <w:r>
        <w:rPr>
          <w:noProof/>
          <w:lang w:eastAsia="en-GB"/>
        </w:rPr>
        <w:drawing>
          <wp:inline distT="0" distB="0" distL="0" distR="0" wp14:anchorId="0A9ECAAC" wp14:editId="39091245">
            <wp:extent cx="572452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781425"/>
                    </a:xfrm>
                    <a:prstGeom prst="rect">
                      <a:avLst/>
                    </a:prstGeom>
                    <a:noFill/>
                    <a:ln>
                      <a:noFill/>
                    </a:ln>
                  </pic:spPr>
                </pic:pic>
              </a:graphicData>
            </a:graphic>
          </wp:inline>
        </w:drawing>
      </w:r>
      <w:r w:rsidR="00B574F1" w:rsidRPr="004F2B4D">
        <w:rPr>
          <w:rFonts w:cstheme="minorHAnsi"/>
          <w:b/>
          <w:bCs/>
          <w:noProof/>
          <w:sz w:val="24"/>
          <w:szCs w:val="24"/>
        </w:rPr>
        <w:t>1</w:t>
      </w:r>
      <w:r w:rsidR="00B574F1" w:rsidRPr="004F2B4D">
        <w:rPr>
          <w:rFonts w:cstheme="minorHAnsi"/>
          <w:noProof/>
          <w:sz w:val="24"/>
          <w:szCs w:val="24"/>
        </w:rPr>
        <w:t xml:space="preserve">. </w:t>
      </w:r>
      <w:r w:rsidR="0094043D" w:rsidRPr="004F2B4D">
        <w:rPr>
          <w:rFonts w:cstheme="minorHAnsi"/>
          <w:sz w:val="24"/>
          <w:szCs w:val="24"/>
          <w:shd w:val="clear" w:color="auto" w:fill="FFFFFF"/>
        </w:rPr>
        <w:t xml:space="preserve">The </w:t>
      </w:r>
      <w:r w:rsidR="007D61E4" w:rsidRPr="004F2B4D">
        <w:rPr>
          <w:rFonts w:cstheme="minorHAnsi"/>
          <w:sz w:val="24"/>
          <w:szCs w:val="24"/>
          <w:shd w:val="clear" w:color="auto" w:fill="FFFFFF"/>
        </w:rPr>
        <w:t>National Commission for the Promotion of Equality (</w:t>
      </w:r>
      <w:r w:rsidR="0094043D" w:rsidRPr="004F2B4D">
        <w:rPr>
          <w:rFonts w:cstheme="minorHAnsi"/>
          <w:sz w:val="24"/>
          <w:szCs w:val="24"/>
          <w:shd w:val="clear" w:color="auto" w:fill="FFFFFF"/>
        </w:rPr>
        <w:t>NCPE</w:t>
      </w:r>
      <w:r w:rsidR="007D61E4" w:rsidRPr="004F2B4D">
        <w:rPr>
          <w:rFonts w:cstheme="minorHAnsi"/>
          <w:sz w:val="24"/>
          <w:szCs w:val="24"/>
          <w:shd w:val="clear" w:color="auto" w:fill="FFFFFF"/>
        </w:rPr>
        <w:t>)</w:t>
      </w:r>
      <w:r w:rsidR="0094043D" w:rsidRPr="004F2B4D">
        <w:rPr>
          <w:rFonts w:cstheme="minorHAnsi"/>
          <w:sz w:val="24"/>
          <w:szCs w:val="24"/>
          <w:shd w:val="clear" w:color="auto" w:fill="FFFFFF"/>
        </w:rPr>
        <w:t xml:space="preserve"> monitors the implementation of </w:t>
      </w:r>
      <w:r w:rsidR="007A42E3" w:rsidRPr="004F2B4D">
        <w:rPr>
          <w:rFonts w:cstheme="minorHAnsi"/>
          <w:sz w:val="24"/>
          <w:szCs w:val="24"/>
          <w:shd w:val="clear" w:color="auto" w:fill="FFFFFF"/>
        </w:rPr>
        <w:t>Cap. 456 Equality for Men and Women Act</w:t>
      </w:r>
      <w:r w:rsidR="007A42E3" w:rsidRPr="004F2B4D">
        <w:rPr>
          <w:rStyle w:val="FootnoteReference"/>
          <w:rFonts w:cstheme="minorHAnsi"/>
          <w:sz w:val="24"/>
          <w:szCs w:val="24"/>
          <w:shd w:val="clear" w:color="auto" w:fill="FFFFFF"/>
        </w:rPr>
        <w:footnoteReference w:id="1"/>
      </w:r>
      <w:r w:rsidR="0094043D" w:rsidRPr="004F2B4D">
        <w:rPr>
          <w:rFonts w:cstheme="minorHAnsi"/>
          <w:sz w:val="24"/>
          <w:szCs w:val="24"/>
          <w:shd w:val="clear" w:color="auto" w:fill="FFFFFF"/>
        </w:rPr>
        <w:t xml:space="preserve">, and works towards ensuring that Maltese society is free from discrimination based on the grounds of </w:t>
      </w:r>
      <w:r w:rsidR="0094043D" w:rsidRPr="004F2B4D">
        <w:rPr>
          <w:rFonts w:cstheme="minorHAnsi"/>
          <w:b/>
          <w:bCs/>
          <w:sz w:val="24"/>
          <w:szCs w:val="24"/>
          <w:shd w:val="clear" w:color="auto" w:fill="FFFFFF"/>
        </w:rPr>
        <w:t>sex/gender</w:t>
      </w:r>
      <w:r w:rsidR="0094043D" w:rsidRPr="004F2B4D">
        <w:rPr>
          <w:rFonts w:cstheme="minorHAnsi"/>
          <w:sz w:val="24"/>
          <w:szCs w:val="24"/>
          <w:shd w:val="clear" w:color="auto" w:fill="FFFFFF"/>
        </w:rPr>
        <w:t xml:space="preserve"> and family responsibilities, sexual orientation, </w:t>
      </w:r>
      <w:r w:rsidR="0094043D" w:rsidRPr="004F2B4D">
        <w:rPr>
          <w:rFonts w:cstheme="minorHAnsi"/>
          <w:b/>
          <w:bCs/>
          <w:sz w:val="24"/>
          <w:szCs w:val="24"/>
          <w:shd w:val="clear" w:color="auto" w:fill="FFFFFF"/>
        </w:rPr>
        <w:t>age</w:t>
      </w:r>
      <w:r w:rsidR="0094043D" w:rsidRPr="004F2B4D">
        <w:rPr>
          <w:rFonts w:cstheme="minorHAnsi"/>
          <w:sz w:val="24"/>
          <w:szCs w:val="24"/>
          <w:shd w:val="clear" w:color="auto" w:fill="FFFFFF"/>
        </w:rPr>
        <w:t xml:space="preserve">, religion or belief, racial or ethnic origin, and gender identity, gender expression or sex characteristics in employment; banks and financial institutions, as well as education. </w:t>
      </w:r>
      <w:r w:rsidR="00AE61FF" w:rsidRPr="004F2B4D">
        <w:rPr>
          <w:rFonts w:cstheme="minorHAnsi"/>
          <w:sz w:val="24"/>
          <w:szCs w:val="24"/>
          <w:shd w:val="clear" w:color="auto" w:fill="FFFFFF"/>
        </w:rPr>
        <w:t>I</w:t>
      </w:r>
      <w:r w:rsidR="00744D91" w:rsidRPr="004F2B4D">
        <w:rPr>
          <w:rFonts w:cstheme="minorHAnsi"/>
          <w:sz w:val="24"/>
          <w:szCs w:val="24"/>
          <w:shd w:val="clear" w:color="auto" w:fill="FFFFFF"/>
        </w:rPr>
        <w:t>n</w:t>
      </w:r>
      <w:r w:rsidR="00AE61FF" w:rsidRPr="004F2B4D">
        <w:rPr>
          <w:rFonts w:cstheme="minorHAnsi"/>
          <w:sz w:val="24"/>
          <w:szCs w:val="24"/>
          <w:shd w:val="clear" w:color="auto" w:fill="FFFFFF"/>
        </w:rPr>
        <w:t xml:space="preserve"> its work, </w:t>
      </w:r>
      <w:r w:rsidR="001A1349" w:rsidRPr="004F2B4D">
        <w:rPr>
          <w:rFonts w:cstheme="minorHAnsi"/>
          <w:sz w:val="24"/>
          <w:szCs w:val="24"/>
          <w:shd w:val="clear" w:color="auto" w:fill="FFFFFF"/>
        </w:rPr>
        <w:t xml:space="preserve">the </w:t>
      </w:r>
      <w:r w:rsidR="00AE61FF" w:rsidRPr="004F2B4D">
        <w:rPr>
          <w:rFonts w:cstheme="minorHAnsi"/>
          <w:sz w:val="24"/>
          <w:szCs w:val="24"/>
          <w:shd w:val="clear" w:color="auto" w:fill="FFFFFF"/>
        </w:rPr>
        <w:t xml:space="preserve">NCPE investigates cases of alleged discrimination and sexual harassment, </w:t>
      </w:r>
      <w:r w:rsidR="00C53106" w:rsidRPr="004F2B4D">
        <w:rPr>
          <w:rFonts w:cstheme="minorHAnsi"/>
          <w:sz w:val="24"/>
          <w:szCs w:val="24"/>
          <w:shd w:val="clear" w:color="auto" w:fill="FFFFFF"/>
        </w:rPr>
        <w:t>raises awareness on equality issues</w:t>
      </w:r>
      <w:r w:rsidR="00C3249B" w:rsidRPr="004F2B4D">
        <w:rPr>
          <w:rFonts w:cstheme="minorHAnsi"/>
          <w:sz w:val="24"/>
          <w:szCs w:val="24"/>
          <w:shd w:val="clear" w:color="auto" w:fill="FFFFFF"/>
        </w:rPr>
        <w:t xml:space="preserve"> and through its policy-work provides input </w:t>
      </w:r>
      <w:r w:rsidR="001835EF" w:rsidRPr="004F2B4D">
        <w:rPr>
          <w:rFonts w:cstheme="minorHAnsi"/>
          <w:sz w:val="24"/>
          <w:szCs w:val="24"/>
          <w:shd w:val="clear" w:color="auto" w:fill="FFFFFF"/>
        </w:rPr>
        <w:t>from an equality perspective.</w:t>
      </w:r>
      <w:r w:rsidR="00C3249B" w:rsidRPr="004F2B4D">
        <w:rPr>
          <w:rFonts w:cstheme="minorHAnsi"/>
          <w:sz w:val="24"/>
          <w:szCs w:val="24"/>
          <w:shd w:val="clear" w:color="auto" w:fill="FFFFFF"/>
        </w:rPr>
        <w:t xml:space="preserve"> </w:t>
      </w:r>
    </w:p>
    <w:p w14:paraId="00A2D044" w14:textId="5EF74578" w:rsidR="00DF3080" w:rsidRPr="004F2B4D" w:rsidRDefault="0034450F" w:rsidP="00F75E9E">
      <w:pPr>
        <w:pStyle w:val="ListParagraph"/>
        <w:numPr>
          <w:ilvl w:val="0"/>
          <w:numId w:val="1"/>
        </w:numPr>
        <w:spacing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 xml:space="preserve">In Malta, the </w:t>
      </w:r>
      <w:r w:rsidR="009F4EBF" w:rsidRPr="004F2B4D">
        <w:rPr>
          <w:rFonts w:cstheme="minorHAnsi"/>
          <w:sz w:val="24"/>
          <w:szCs w:val="24"/>
          <w:shd w:val="clear" w:color="auto" w:fill="FFFFFF"/>
        </w:rPr>
        <w:t xml:space="preserve">Human Rights and Equality Commission </w:t>
      </w:r>
      <w:r w:rsidR="00DA6AE4" w:rsidRPr="004F2B4D">
        <w:rPr>
          <w:rFonts w:cstheme="minorHAnsi"/>
          <w:sz w:val="24"/>
          <w:szCs w:val="24"/>
          <w:shd w:val="clear" w:color="auto" w:fill="FFFFFF"/>
        </w:rPr>
        <w:t xml:space="preserve">(HREC) </w:t>
      </w:r>
      <w:r w:rsidR="009F4EBF" w:rsidRPr="004F2B4D">
        <w:rPr>
          <w:rFonts w:cstheme="minorHAnsi"/>
          <w:sz w:val="24"/>
          <w:szCs w:val="24"/>
          <w:shd w:val="clear" w:color="auto" w:fill="FFFFFF"/>
        </w:rPr>
        <w:t>Bill and the Equality Bill are currently</w:t>
      </w:r>
      <w:r w:rsidR="00DA6AE4" w:rsidRPr="004F2B4D">
        <w:rPr>
          <w:rFonts w:cstheme="minorHAnsi"/>
          <w:sz w:val="24"/>
          <w:szCs w:val="24"/>
          <w:shd w:val="clear" w:color="auto" w:fill="FFFFFF"/>
        </w:rPr>
        <w:t xml:space="preserve"> being discussed</w:t>
      </w:r>
      <w:r w:rsidR="009F4EBF" w:rsidRPr="004F2B4D">
        <w:rPr>
          <w:rFonts w:cstheme="minorHAnsi"/>
          <w:sz w:val="24"/>
          <w:szCs w:val="24"/>
          <w:shd w:val="clear" w:color="auto" w:fill="FFFFFF"/>
        </w:rPr>
        <w:t xml:space="preserve"> at Parliamentary Committee Stage. </w:t>
      </w:r>
      <w:r w:rsidR="00DF3080" w:rsidRPr="004F2B4D">
        <w:rPr>
          <w:rFonts w:cstheme="minorHAnsi"/>
          <w:sz w:val="24"/>
          <w:szCs w:val="24"/>
          <w:shd w:val="clear" w:color="auto" w:fill="FFFFFF"/>
        </w:rPr>
        <w:t xml:space="preserve">Once </w:t>
      </w:r>
      <w:r w:rsidR="009F4EBF" w:rsidRPr="004F2B4D">
        <w:rPr>
          <w:rFonts w:cstheme="minorHAnsi"/>
          <w:sz w:val="24"/>
          <w:szCs w:val="24"/>
          <w:shd w:val="clear" w:color="auto" w:fill="FFFFFF"/>
        </w:rPr>
        <w:t xml:space="preserve">the Bills are </w:t>
      </w:r>
      <w:r w:rsidR="00DF3080" w:rsidRPr="004F2B4D">
        <w:rPr>
          <w:rFonts w:cstheme="minorHAnsi"/>
          <w:sz w:val="24"/>
          <w:szCs w:val="24"/>
          <w:shd w:val="clear" w:color="auto" w:fill="FFFFFF"/>
        </w:rPr>
        <w:t>enacted</w:t>
      </w:r>
      <w:r w:rsidR="009F4EBF" w:rsidRPr="004F2B4D">
        <w:rPr>
          <w:rFonts w:cstheme="minorHAnsi"/>
          <w:sz w:val="24"/>
          <w:szCs w:val="24"/>
          <w:shd w:val="clear" w:color="auto" w:fill="FFFFFF"/>
        </w:rPr>
        <w:t>,</w:t>
      </w:r>
      <w:r w:rsidR="00DF3080" w:rsidRPr="004F2B4D">
        <w:rPr>
          <w:rFonts w:cstheme="minorHAnsi"/>
          <w:sz w:val="24"/>
          <w:szCs w:val="24"/>
          <w:shd w:val="clear" w:color="auto" w:fill="FFFFFF"/>
        </w:rPr>
        <w:t xml:space="preserve"> the </w:t>
      </w:r>
      <w:r w:rsidR="00DF3080" w:rsidRPr="004F2B4D">
        <w:rPr>
          <w:rFonts w:cstheme="minorHAnsi"/>
          <w:sz w:val="24"/>
          <w:szCs w:val="24"/>
          <w:shd w:val="clear" w:color="auto" w:fill="FFFFFF"/>
        </w:rPr>
        <w:lastRenderedPageBreak/>
        <w:t>current</w:t>
      </w:r>
      <w:r w:rsidR="009F4EBF" w:rsidRPr="004F2B4D">
        <w:rPr>
          <w:rFonts w:cstheme="minorHAnsi"/>
          <w:sz w:val="24"/>
          <w:szCs w:val="24"/>
          <w:shd w:val="clear" w:color="auto" w:fill="FFFFFF"/>
        </w:rPr>
        <w:t xml:space="preserve"> National Commission for the Promotion of Equality (NCPE) will be </w:t>
      </w:r>
      <w:r w:rsidR="00DF3080" w:rsidRPr="004F2B4D">
        <w:rPr>
          <w:rFonts w:cstheme="minorHAnsi"/>
          <w:sz w:val="24"/>
          <w:szCs w:val="24"/>
          <w:shd w:val="clear" w:color="auto" w:fill="FFFFFF"/>
        </w:rPr>
        <w:t xml:space="preserve">transformed into </w:t>
      </w:r>
      <w:r w:rsidR="00DA6AE4" w:rsidRPr="004F2B4D">
        <w:rPr>
          <w:rFonts w:cstheme="minorHAnsi"/>
          <w:sz w:val="24"/>
          <w:szCs w:val="24"/>
          <w:shd w:val="clear" w:color="auto" w:fill="FFFFFF"/>
        </w:rPr>
        <w:t>the HREC</w:t>
      </w:r>
      <w:r w:rsidR="009F4EBF" w:rsidRPr="004F2B4D">
        <w:rPr>
          <w:rFonts w:cstheme="minorHAnsi"/>
          <w:sz w:val="24"/>
          <w:szCs w:val="24"/>
          <w:shd w:val="clear" w:color="auto" w:fill="FFFFFF"/>
        </w:rPr>
        <w:t xml:space="preserve"> that </w:t>
      </w:r>
      <w:r w:rsidR="00DA6AE4" w:rsidRPr="004F2B4D">
        <w:rPr>
          <w:rFonts w:cstheme="minorHAnsi"/>
          <w:sz w:val="24"/>
          <w:szCs w:val="24"/>
          <w:shd w:val="clear" w:color="auto" w:fill="FFFFFF"/>
        </w:rPr>
        <w:t>will have a considerably ext</w:t>
      </w:r>
      <w:r w:rsidR="00A16C45" w:rsidRPr="004F2B4D">
        <w:rPr>
          <w:rFonts w:cstheme="minorHAnsi"/>
          <w:sz w:val="24"/>
          <w:szCs w:val="24"/>
          <w:shd w:val="clear" w:color="auto" w:fill="FFFFFF"/>
        </w:rPr>
        <w:t>e</w:t>
      </w:r>
      <w:r w:rsidR="00DA6AE4" w:rsidRPr="004F2B4D">
        <w:rPr>
          <w:rFonts w:cstheme="minorHAnsi"/>
          <w:sz w:val="24"/>
          <w:szCs w:val="24"/>
          <w:shd w:val="clear" w:color="auto" w:fill="FFFFFF"/>
        </w:rPr>
        <w:t xml:space="preserve">nded </w:t>
      </w:r>
      <w:r w:rsidR="009F4EBF" w:rsidRPr="004F2B4D">
        <w:rPr>
          <w:rFonts w:cstheme="minorHAnsi"/>
          <w:sz w:val="24"/>
          <w:szCs w:val="24"/>
          <w:shd w:val="clear" w:color="auto" w:fill="FFFFFF"/>
        </w:rPr>
        <w:t xml:space="preserve">remit and powers. This will give the Commission </w:t>
      </w:r>
      <w:r w:rsidR="001835EF" w:rsidRPr="004F2B4D">
        <w:rPr>
          <w:rFonts w:cstheme="minorHAnsi"/>
          <w:sz w:val="24"/>
          <w:szCs w:val="24"/>
          <w:shd w:val="clear" w:color="auto" w:fill="FFFFFF"/>
        </w:rPr>
        <w:t xml:space="preserve">the </w:t>
      </w:r>
      <w:r w:rsidR="009F4EBF" w:rsidRPr="004F2B4D">
        <w:rPr>
          <w:rFonts w:cstheme="minorHAnsi"/>
          <w:sz w:val="24"/>
          <w:szCs w:val="24"/>
          <w:shd w:val="clear" w:color="auto" w:fill="FFFFFF"/>
        </w:rPr>
        <w:t xml:space="preserve">power to </w:t>
      </w:r>
      <w:r w:rsidR="001835EF" w:rsidRPr="004F2B4D">
        <w:rPr>
          <w:rFonts w:cstheme="minorHAnsi"/>
          <w:sz w:val="24"/>
          <w:szCs w:val="24"/>
          <w:shd w:val="clear" w:color="auto" w:fill="FFFFFF"/>
        </w:rPr>
        <w:t xml:space="preserve">take binding decisions on cases of discrimination </w:t>
      </w:r>
      <w:r w:rsidR="009E19F4" w:rsidRPr="004F2B4D">
        <w:rPr>
          <w:rFonts w:cstheme="minorHAnsi"/>
          <w:sz w:val="24"/>
          <w:szCs w:val="24"/>
          <w:shd w:val="clear" w:color="auto" w:fill="FFFFFF"/>
        </w:rPr>
        <w:t xml:space="preserve">and </w:t>
      </w:r>
      <w:r w:rsidR="00D30D73" w:rsidRPr="004F2B4D">
        <w:rPr>
          <w:rFonts w:cstheme="minorHAnsi"/>
          <w:sz w:val="24"/>
          <w:szCs w:val="24"/>
          <w:shd w:val="clear" w:color="auto" w:fill="FFFFFF"/>
        </w:rPr>
        <w:t xml:space="preserve">will </w:t>
      </w:r>
      <w:r w:rsidR="009E19F4" w:rsidRPr="004F2B4D">
        <w:rPr>
          <w:rFonts w:cstheme="minorHAnsi"/>
          <w:sz w:val="24"/>
          <w:szCs w:val="24"/>
          <w:shd w:val="clear" w:color="auto" w:fill="FFFFFF"/>
        </w:rPr>
        <w:t>extend its remit</w:t>
      </w:r>
      <w:r w:rsidR="00D30D73" w:rsidRPr="004F2B4D">
        <w:rPr>
          <w:rFonts w:cstheme="minorHAnsi"/>
          <w:sz w:val="24"/>
          <w:szCs w:val="24"/>
          <w:shd w:val="clear" w:color="auto" w:fill="FFFFFF"/>
        </w:rPr>
        <w:t xml:space="preserve"> to also cover human rights. </w:t>
      </w:r>
      <w:r w:rsidR="009E19F4" w:rsidRPr="004F2B4D">
        <w:rPr>
          <w:rFonts w:cstheme="minorHAnsi"/>
          <w:sz w:val="24"/>
          <w:szCs w:val="24"/>
          <w:shd w:val="clear" w:color="auto" w:fill="FFFFFF"/>
        </w:rPr>
        <w:t xml:space="preserve"> </w:t>
      </w:r>
      <w:r w:rsidR="009F4EBF" w:rsidRPr="004F2B4D">
        <w:rPr>
          <w:rFonts w:cstheme="minorHAnsi"/>
          <w:sz w:val="24"/>
          <w:szCs w:val="24"/>
          <w:shd w:val="clear" w:color="auto" w:fill="FFFFFF"/>
        </w:rPr>
        <w:t xml:space="preserve"> </w:t>
      </w:r>
      <w:r w:rsidR="00DF3080" w:rsidRPr="004F2B4D">
        <w:rPr>
          <w:rFonts w:cstheme="minorHAnsi"/>
          <w:sz w:val="24"/>
          <w:szCs w:val="24"/>
          <w:shd w:val="clear" w:color="auto" w:fill="FFFFFF"/>
        </w:rPr>
        <w:t xml:space="preserve"> </w:t>
      </w:r>
    </w:p>
    <w:p w14:paraId="1494EB1C" w14:textId="27042873" w:rsidR="00694971" w:rsidRPr="004F2B4D" w:rsidRDefault="00694971" w:rsidP="00F75E9E">
      <w:pPr>
        <w:pStyle w:val="ListParagraph"/>
        <w:numPr>
          <w:ilvl w:val="0"/>
          <w:numId w:val="1"/>
        </w:numPr>
        <w:spacing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The National Strategic Policy for Active Ageing: Malta 2014-2020</w:t>
      </w:r>
      <w:r w:rsidRPr="004F2B4D">
        <w:rPr>
          <w:rStyle w:val="FootnoteReference"/>
          <w:rFonts w:cstheme="minorHAnsi"/>
          <w:sz w:val="24"/>
          <w:szCs w:val="24"/>
          <w:shd w:val="clear" w:color="auto" w:fill="FFFFFF"/>
        </w:rPr>
        <w:footnoteReference w:id="2"/>
      </w:r>
      <w:r w:rsidRPr="004F2B4D">
        <w:rPr>
          <w:rFonts w:cstheme="minorHAnsi"/>
          <w:sz w:val="24"/>
          <w:szCs w:val="24"/>
          <w:shd w:val="clear" w:color="auto" w:fill="FFFFFF"/>
        </w:rPr>
        <w:t xml:space="preserve"> focused on three main themes: active participation in the labour market; participation in society; and independent living. </w:t>
      </w:r>
    </w:p>
    <w:p w14:paraId="03C00FF1" w14:textId="75F44268" w:rsidR="00775DF4" w:rsidRPr="004F2B4D" w:rsidRDefault="0034450F" w:rsidP="00F75E9E">
      <w:pPr>
        <w:pStyle w:val="ListParagraph"/>
        <w:numPr>
          <w:ilvl w:val="0"/>
          <w:numId w:val="1"/>
        </w:numPr>
        <w:spacing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 xml:space="preserve">The </w:t>
      </w:r>
      <w:r w:rsidR="004904CA" w:rsidRPr="004F2B4D">
        <w:rPr>
          <w:rFonts w:cstheme="minorHAnsi"/>
          <w:sz w:val="24"/>
          <w:szCs w:val="24"/>
          <w:shd w:val="clear" w:color="auto" w:fill="FFFFFF"/>
        </w:rPr>
        <w:t>Malta National Lifelong Learning Strategy 2020</w:t>
      </w:r>
      <w:r w:rsidR="004904CA" w:rsidRPr="004F2B4D">
        <w:rPr>
          <w:rStyle w:val="FootnoteReference"/>
          <w:rFonts w:cstheme="minorHAnsi"/>
          <w:sz w:val="24"/>
          <w:szCs w:val="24"/>
          <w:shd w:val="clear" w:color="auto" w:fill="FFFFFF"/>
        </w:rPr>
        <w:footnoteReference w:id="3"/>
      </w:r>
      <w:r w:rsidR="004904CA" w:rsidRPr="004F2B4D">
        <w:rPr>
          <w:rFonts w:cstheme="minorHAnsi"/>
          <w:sz w:val="24"/>
          <w:szCs w:val="24"/>
          <w:shd w:val="clear" w:color="auto" w:fill="FFFFFF"/>
        </w:rPr>
        <w:t xml:space="preserve"> seeks to improve the quality of life of older people through lifelong learning opportunities and facilitate</w:t>
      </w:r>
      <w:r w:rsidR="00AA7536" w:rsidRPr="004F2B4D">
        <w:rPr>
          <w:rFonts w:cstheme="minorHAnsi"/>
          <w:sz w:val="24"/>
          <w:szCs w:val="24"/>
          <w:shd w:val="clear" w:color="auto" w:fill="FFFFFF"/>
        </w:rPr>
        <w:t>s</w:t>
      </w:r>
      <w:r w:rsidR="004904CA" w:rsidRPr="004F2B4D">
        <w:rPr>
          <w:rFonts w:cstheme="minorHAnsi"/>
          <w:sz w:val="24"/>
          <w:szCs w:val="24"/>
          <w:shd w:val="clear" w:color="auto" w:fill="FFFFFF"/>
        </w:rPr>
        <w:t xml:space="preserve"> women’s participation in the workplace through lifelong learning</w:t>
      </w:r>
      <w:r w:rsidR="00AA7536" w:rsidRPr="004F2B4D">
        <w:rPr>
          <w:rFonts w:cstheme="minorHAnsi"/>
          <w:sz w:val="24"/>
          <w:szCs w:val="24"/>
          <w:shd w:val="clear" w:color="auto" w:fill="FFFFFF"/>
        </w:rPr>
        <w:t>.</w:t>
      </w:r>
    </w:p>
    <w:p w14:paraId="79404EC6" w14:textId="0A31BB4B" w:rsidR="00A772DD" w:rsidRPr="004F2B4D" w:rsidRDefault="007A42E3" w:rsidP="00F75E9E">
      <w:pPr>
        <w:pStyle w:val="ListParagraph"/>
        <w:numPr>
          <w:ilvl w:val="0"/>
          <w:numId w:val="1"/>
        </w:numPr>
        <w:spacing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 xml:space="preserve">With respect to the rights of older women, the </w:t>
      </w:r>
      <w:r w:rsidR="00870FAD" w:rsidRPr="004F2B4D">
        <w:rPr>
          <w:rFonts w:cstheme="minorHAnsi"/>
          <w:sz w:val="24"/>
          <w:szCs w:val="24"/>
          <w:shd w:val="clear" w:color="auto" w:fill="FFFFFF"/>
        </w:rPr>
        <w:t xml:space="preserve">European Commission’s </w:t>
      </w:r>
      <w:r w:rsidR="00FE20A8" w:rsidRPr="004F2B4D">
        <w:rPr>
          <w:rFonts w:cstheme="minorHAnsi"/>
          <w:sz w:val="24"/>
          <w:szCs w:val="24"/>
          <w:shd w:val="clear" w:color="auto" w:fill="FFFFFF"/>
        </w:rPr>
        <w:t>‘</w:t>
      </w:r>
      <w:r w:rsidR="00FE20A8" w:rsidRPr="004F2B4D">
        <w:rPr>
          <w:rFonts w:cstheme="minorHAnsi"/>
          <w:i/>
          <w:iCs/>
          <w:sz w:val="24"/>
          <w:szCs w:val="24"/>
          <w:shd w:val="clear" w:color="auto" w:fill="FFFFFF"/>
        </w:rPr>
        <w:t xml:space="preserve">A Union of Equality: </w:t>
      </w:r>
      <w:r w:rsidR="00A772DD" w:rsidRPr="004F2B4D">
        <w:rPr>
          <w:rFonts w:cstheme="minorHAnsi"/>
          <w:i/>
          <w:iCs/>
          <w:sz w:val="24"/>
          <w:szCs w:val="24"/>
          <w:shd w:val="clear" w:color="auto" w:fill="FFFFFF"/>
        </w:rPr>
        <w:t>Gender Equality Strategy 2020-2025</w:t>
      </w:r>
      <w:r w:rsidR="007E43BC" w:rsidRPr="004F2B4D">
        <w:rPr>
          <w:rFonts w:cstheme="minorHAnsi"/>
          <w:sz w:val="24"/>
          <w:szCs w:val="24"/>
          <w:shd w:val="clear" w:color="auto" w:fill="FFFFFF"/>
        </w:rPr>
        <w:t>’</w:t>
      </w:r>
      <w:r w:rsidR="00A772DD" w:rsidRPr="004F2B4D">
        <w:rPr>
          <w:rStyle w:val="FootnoteReference"/>
          <w:rFonts w:cstheme="minorHAnsi"/>
          <w:sz w:val="24"/>
          <w:szCs w:val="24"/>
          <w:shd w:val="clear" w:color="auto" w:fill="FFFFFF"/>
        </w:rPr>
        <w:footnoteReference w:id="4"/>
      </w:r>
      <w:r w:rsidRPr="004F2B4D">
        <w:rPr>
          <w:rFonts w:cstheme="minorHAnsi"/>
          <w:sz w:val="24"/>
          <w:szCs w:val="24"/>
          <w:shd w:val="clear" w:color="auto" w:fill="FFFFFF"/>
        </w:rPr>
        <w:t xml:space="preserve"> aims at closing the gender employment gap in order to address the proportion of women living in poverty, </w:t>
      </w:r>
      <w:r w:rsidR="0086219D" w:rsidRPr="004F2B4D">
        <w:rPr>
          <w:rFonts w:cstheme="minorHAnsi"/>
          <w:sz w:val="24"/>
          <w:szCs w:val="24"/>
          <w:shd w:val="clear" w:color="auto" w:fill="FFFFFF"/>
        </w:rPr>
        <w:t>particularly in older age.</w:t>
      </w:r>
    </w:p>
    <w:p w14:paraId="5F8C6D0A" w14:textId="65907E5F" w:rsidR="007A42E3" w:rsidRPr="004F2B4D" w:rsidRDefault="00D76B40" w:rsidP="00F75E9E">
      <w:pPr>
        <w:pStyle w:val="ListParagraph"/>
        <w:numPr>
          <w:ilvl w:val="0"/>
          <w:numId w:val="1"/>
        </w:numPr>
        <w:spacing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 xml:space="preserve">The European Commission’s </w:t>
      </w:r>
      <w:r w:rsidR="007A42E3" w:rsidRPr="004F2B4D">
        <w:rPr>
          <w:rFonts w:cstheme="minorHAnsi"/>
          <w:sz w:val="24"/>
          <w:szCs w:val="24"/>
          <w:shd w:val="clear" w:color="auto" w:fill="FFFFFF"/>
        </w:rPr>
        <w:t>Green Paper on Ageing</w:t>
      </w:r>
      <w:r w:rsidR="007A42E3" w:rsidRPr="004F2B4D">
        <w:rPr>
          <w:rStyle w:val="FootnoteReference"/>
          <w:rFonts w:cstheme="minorHAnsi"/>
          <w:sz w:val="24"/>
          <w:szCs w:val="24"/>
          <w:shd w:val="clear" w:color="auto" w:fill="FFFFFF"/>
        </w:rPr>
        <w:footnoteReference w:id="5"/>
      </w:r>
      <w:r w:rsidR="007A42E3" w:rsidRPr="004F2B4D">
        <w:rPr>
          <w:rFonts w:cstheme="minorHAnsi"/>
          <w:sz w:val="24"/>
          <w:szCs w:val="24"/>
          <w:shd w:val="clear" w:color="auto" w:fill="FFFFFF"/>
        </w:rPr>
        <w:t xml:space="preserve"> focuses on long-term care, pensions and active ageing.</w:t>
      </w:r>
    </w:p>
    <w:p w14:paraId="28454948" w14:textId="734CDDFF" w:rsidR="00B574F1" w:rsidRPr="004F2B4D" w:rsidRDefault="00B574F1" w:rsidP="00F75E9E">
      <w:pPr>
        <w:spacing w:line="276" w:lineRule="auto"/>
        <w:ind w:left="-284"/>
        <w:jc w:val="both"/>
        <w:rPr>
          <w:rFonts w:cstheme="minorHAnsi"/>
          <w:sz w:val="24"/>
          <w:szCs w:val="24"/>
          <w:shd w:val="clear" w:color="auto" w:fill="FFFFFF"/>
        </w:rPr>
      </w:pPr>
      <w:r w:rsidRPr="004F2B4D">
        <w:rPr>
          <w:rFonts w:cstheme="minorHAnsi"/>
          <w:b/>
          <w:bCs/>
          <w:sz w:val="24"/>
          <w:szCs w:val="24"/>
          <w:shd w:val="clear" w:color="auto" w:fill="FFFFFF"/>
        </w:rPr>
        <w:t>2</w:t>
      </w:r>
      <w:r w:rsidRPr="004F2B4D">
        <w:rPr>
          <w:rFonts w:cstheme="minorHAnsi"/>
          <w:sz w:val="24"/>
          <w:szCs w:val="24"/>
          <w:shd w:val="clear" w:color="auto" w:fill="FFFFFF"/>
        </w:rPr>
        <w:t>. Statistical data is collected and can be obtained from the National Statistics Office (NSO).</w:t>
      </w:r>
    </w:p>
    <w:p w14:paraId="25C3AB7B" w14:textId="3EE0FCDD" w:rsidR="00B574F1" w:rsidRPr="004F2B4D" w:rsidRDefault="00B574F1" w:rsidP="00F75E9E">
      <w:pPr>
        <w:spacing w:line="276" w:lineRule="auto"/>
        <w:ind w:left="-284"/>
        <w:jc w:val="both"/>
        <w:rPr>
          <w:rFonts w:cstheme="minorHAnsi"/>
          <w:sz w:val="24"/>
          <w:szCs w:val="24"/>
          <w:shd w:val="clear" w:color="auto" w:fill="FFFFFF"/>
        </w:rPr>
      </w:pPr>
      <w:r w:rsidRPr="004F2B4D">
        <w:rPr>
          <w:rFonts w:cstheme="minorHAnsi"/>
          <w:b/>
          <w:bCs/>
          <w:sz w:val="24"/>
          <w:szCs w:val="24"/>
          <w:shd w:val="clear" w:color="auto" w:fill="FFFFFF"/>
        </w:rPr>
        <w:t>3</w:t>
      </w:r>
      <w:r w:rsidRPr="004F2B4D">
        <w:rPr>
          <w:rFonts w:cstheme="minorHAnsi"/>
          <w:sz w:val="24"/>
          <w:szCs w:val="24"/>
          <w:shd w:val="clear" w:color="auto" w:fill="FFFFFF"/>
        </w:rPr>
        <w:t>. In 1993 the University of Malta launched the University of the Third Age Malta (U3A) which offers an extensive range of learning programmes. U3A is a key pillar in Maltese national policies on lifelong learning and active ageing.</w:t>
      </w:r>
      <w:r w:rsidRPr="004F2B4D">
        <w:rPr>
          <w:rStyle w:val="FootnoteReference"/>
          <w:rFonts w:cstheme="minorHAnsi"/>
          <w:sz w:val="24"/>
          <w:szCs w:val="24"/>
          <w:shd w:val="clear" w:color="auto" w:fill="FFFFFF"/>
        </w:rPr>
        <w:footnoteReference w:id="6"/>
      </w:r>
    </w:p>
    <w:p w14:paraId="1B6E5E1C" w14:textId="77777777" w:rsidR="0066590C" w:rsidRDefault="0066590C" w:rsidP="0066590C">
      <w:pPr>
        <w:jc w:val="both"/>
        <w:rPr>
          <w:rFonts w:ascii="Arial" w:hAnsi="Arial" w:cs="Arial"/>
          <w:sz w:val="24"/>
          <w:szCs w:val="24"/>
          <w:highlight w:val="green"/>
          <w:shd w:val="clear" w:color="auto" w:fill="FFFFFF"/>
        </w:rPr>
      </w:pPr>
    </w:p>
    <w:p w14:paraId="467502E8" w14:textId="77777777" w:rsidR="002F3AF5" w:rsidRPr="004904CA" w:rsidRDefault="002F3AF5" w:rsidP="00506283">
      <w:pPr>
        <w:pStyle w:val="ListParagraph"/>
        <w:ind w:left="0"/>
        <w:jc w:val="both"/>
        <w:rPr>
          <w:rFonts w:ascii="Segoe UI" w:hAnsi="Segoe UI" w:cs="Segoe UI"/>
          <w:shd w:val="clear" w:color="auto" w:fill="FFFFFF"/>
        </w:rPr>
      </w:pPr>
    </w:p>
    <w:p w14:paraId="6915E00D" w14:textId="07414824" w:rsidR="005F5E3B" w:rsidRDefault="005F5E3B" w:rsidP="008304A6">
      <w:pPr>
        <w:spacing w:after="0" w:line="24" w:lineRule="atLeast"/>
        <w:jc w:val="both"/>
        <w:rPr>
          <w:rFonts w:ascii="Times New Roman" w:hAnsi="Times New Roman" w:cs="Times New Roman"/>
          <w:sz w:val="28"/>
          <w:szCs w:val="28"/>
          <w:lang w:val="mt-MT"/>
        </w:rPr>
      </w:pPr>
    </w:p>
    <w:p w14:paraId="23EADD57" w14:textId="759B7CF6" w:rsidR="00506283" w:rsidRPr="008304A6" w:rsidRDefault="00237CAA" w:rsidP="008304A6">
      <w:pPr>
        <w:spacing w:after="0" w:line="24" w:lineRule="atLeast"/>
        <w:jc w:val="both"/>
        <w:rPr>
          <w:rFonts w:ascii="Times New Roman" w:hAnsi="Times New Roman" w:cs="Times New Roman"/>
          <w:sz w:val="28"/>
          <w:szCs w:val="28"/>
          <w:lang w:val="mt-MT"/>
        </w:rPr>
      </w:pPr>
      <w:r>
        <w:rPr>
          <w:noProof/>
          <w:lang w:eastAsia="en-GB"/>
        </w:rPr>
        <w:lastRenderedPageBreak/>
        <w:drawing>
          <wp:inline distT="0" distB="0" distL="0" distR="0" wp14:anchorId="09AD27FF" wp14:editId="2545988B">
            <wp:extent cx="56959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2562225"/>
                    </a:xfrm>
                    <a:prstGeom prst="rect">
                      <a:avLst/>
                    </a:prstGeom>
                    <a:noFill/>
                    <a:ln>
                      <a:noFill/>
                    </a:ln>
                  </pic:spPr>
                </pic:pic>
              </a:graphicData>
            </a:graphic>
          </wp:inline>
        </w:drawing>
      </w:r>
      <w:r w:rsidR="00506283" w:rsidRPr="00506283">
        <w:rPr>
          <w:rFonts w:ascii="Times New Roman" w:hAnsi="Times New Roman" w:cs="Times New Roman"/>
          <w:sz w:val="28"/>
          <w:szCs w:val="28"/>
          <w:lang w:val="mt-MT"/>
        </w:rPr>
        <w:t xml:space="preserve"> </w:t>
      </w:r>
    </w:p>
    <w:p w14:paraId="3D53FE00" w14:textId="77777777" w:rsidR="003B2DDC" w:rsidRDefault="003B2DDC" w:rsidP="003B2DDC">
      <w:pPr>
        <w:spacing w:line="300" w:lineRule="auto"/>
        <w:jc w:val="both"/>
        <w:rPr>
          <w:rFonts w:ascii="Arial" w:hAnsi="Arial" w:cs="Arial"/>
          <w:b/>
        </w:rPr>
      </w:pPr>
    </w:p>
    <w:p w14:paraId="04243A29" w14:textId="77777777" w:rsidR="003B2DDC" w:rsidRPr="004F2B4D" w:rsidRDefault="003B2DDC" w:rsidP="003B2DDC">
      <w:pPr>
        <w:spacing w:line="300" w:lineRule="auto"/>
        <w:jc w:val="both"/>
        <w:rPr>
          <w:rFonts w:cstheme="minorHAnsi"/>
          <w:b/>
          <w:sz w:val="24"/>
          <w:szCs w:val="24"/>
        </w:rPr>
      </w:pPr>
    </w:p>
    <w:p w14:paraId="30D797EC" w14:textId="1196E31A" w:rsidR="00247366" w:rsidRPr="004F2B4D" w:rsidRDefault="006B2401" w:rsidP="00F75E9E">
      <w:pPr>
        <w:pStyle w:val="ListParagraph"/>
        <w:spacing w:after="0" w:line="276" w:lineRule="auto"/>
        <w:ind w:left="0"/>
        <w:jc w:val="both"/>
        <w:rPr>
          <w:rFonts w:cstheme="minorHAnsi"/>
          <w:bCs/>
          <w:sz w:val="24"/>
          <w:szCs w:val="24"/>
        </w:rPr>
      </w:pPr>
      <w:r w:rsidRPr="004F2B4D">
        <w:rPr>
          <w:rFonts w:cstheme="minorHAnsi"/>
          <w:b/>
          <w:sz w:val="24"/>
          <w:szCs w:val="24"/>
        </w:rPr>
        <w:t xml:space="preserve">4. </w:t>
      </w:r>
      <w:r w:rsidR="000112AB" w:rsidRPr="004F2B4D">
        <w:rPr>
          <w:rFonts w:cstheme="minorHAnsi"/>
          <w:sz w:val="24"/>
          <w:szCs w:val="24"/>
          <w:shd w:val="clear" w:color="auto" w:fill="FFFFFF"/>
        </w:rPr>
        <w:t>According to Eurostat data</w:t>
      </w:r>
      <w:r w:rsidR="00DB07AD" w:rsidRPr="004F2B4D">
        <w:rPr>
          <w:rStyle w:val="FootnoteReference"/>
          <w:rFonts w:cstheme="minorHAnsi"/>
          <w:sz w:val="24"/>
          <w:szCs w:val="24"/>
          <w:shd w:val="clear" w:color="auto" w:fill="FFFFFF"/>
        </w:rPr>
        <w:footnoteReference w:id="7"/>
      </w:r>
      <w:r w:rsidR="000112AB" w:rsidRPr="004F2B4D">
        <w:rPr>
          <w:rFonts w:cstheme="minorHAnsi"/>
          <w:sz w:val="24"/>
          <w:szCs w:val="24"/>
          <w:shd w:val="clear" w:color="auto" w:fill="FFFFFF"/>
        </w:rPr>
        <w:t>, women</w:t>
      </w:r>
      <w:r w:rsidR="00E5653C" w:rsidRPr="004F2B4D">
        <w:rPr>
          <w:rFonts w:cstheme="minorHAnsi"/>
          <w:sz w:val="24"/>
          <w:szCs w:val="24"/>
          <w:shd w:val="clear" w:color="auto" w:fill="FFFFFF"/>
        </w:rPr>
        <w:t xml:space="preserve">’s healthy life years in 2019 stood at 65.1% in the EU27 and 73.5% in Malta, whereas that of men stood at 64.2% in the EU27 and 72.9% in Malta respectively. Even though the statistics </w:t>
      </w:r>
      <w:r w:rsidRPr="004F2B4D">
        <w:rPr>
          <w:rFonts w:cstheme="minorHAnsi"/>
          <w:sz w:val="24"/>
          <w:szCs w:val="24"/>
          <w:shd w:val="clear" w:color="auto" w:fill="FFFFFF"/>
        </w:rPr>
        <w:t>show</w:t>
      </w:r>
      <w:r w:rsidR="00E5653C" w:rsidRPr="004F2B4D">
        <w:rPr>
          <w:rFonts w:cstheme="minorHAnsi"/>
          <w:sz w:val="24"/>
          <w:szCs w:val="24"/>
          <w:shd w:val="clear" w:color="auto" w:fill="FFFFFF"/>
        </w:rPr>
        <w:t xml:space="preserve"> that women live longer healthier years, </w:t>
      </w:r>
      <w:r w:rsidR="00CB02C6" w:rsidRPr="004F2B4D">
        <w:rPr>
          <w:rFonts w:cstheme="minorHAnsi"/>
          <w:sz w:val="24"/>
          <w:szCs w:val="24"/>
          <w:shd w:val="clear" w:color="auto" w:fill="FFFFFF"/>
        </w:rPr>
        <w:t>w</w:t>
      </w:r>
      <w:r w:rsidR="00DB07AD" w:rsidRPr="004F2B4D">
        <w:rPr>
          <w:rFonts w:cstheme="minorHAnsi"/>
          <w:sz w:val="24"/>
          <w:szCs w:val="24"/>
        </w:rPr>
        <w:t xml:space="preserve">omen’s self-perceived health in old age is not as good as men’s, and such </w:t>
      </w:r>
      <w:r w:rsidR="00DB07AD" w:rsidRPr="004F2B4D">
        <w:rPr>
          <w:rFonts w:cstheme="minorHAnsi"/>
          <w:bCs/>
          <w:sz w:val="24"/>
          <w:szCs w:val="24"/>
        </w:rPr>
        <w:t>perceptions of ill health increase with age</w:t>
      </w:r>
      <w:r w:rsidR="00DB07AD" w:rsidRPr="004F2B4D">
        <w:rPr>
          <w:rStyle w:val="FootnoteReference"/>
          <w:rFonts w:cstheme="minorHAnsi"/>
          <w:bCs/>
          <w:sz w:val="24"/>
          <w:szCs w:val="24"/>
        </w:rPr>
        <w:footnoteReference w:id="8"/>
      </w:r>
      <w:r w:rsidR="00DB07AD" w:rsidRPr="004F2B4D">
        <w:rPr>
          <w:rFonts w:cstheme="minorHAnsi"/>
          <w:bCs/>
          <w:sz w:val="24"/>
          <w:szCs w:val="24"/>
        </w:rPr>
        <w:t>.  Moreover, women aged 65+ are more likely to report unmet medical needs than their male counterparts</w:t>
      </w:r>
      <w:r w:rsidR="00DB07AD" w:rsidRPr="004F2B4D">
        <w:rPr>
          <w:rStyle w:val="FootnoteReference"/>
          <w:rFonts w:cstheme="minorHAnsi"/>
          <w:bCs/>
          <w:sz w:val="24"/>
          <w:szCs w:val="24"/>
        </w:rPr>
        <w:footnoteReference w:id="9"/>
      </w:r>
      <w:r w:rsidR="00DB07AD" w:rsidRPr="004F2B4D">
        <w:rPr>
          <w:rFonts w:cstheme="minorHAnsi"/>
          <w:bCs/>
          <w:sz w:val="24"/>
          <w:szCs w:val="24"/>
        </w:rPr>
        <w:t>.</w:t>
      </w:r>
      <w:r w:rsidR="008F6F8E" w:rsidRPr="004F2B4D">
        <w:rPr>
          <w:rFonts w:cstheme="minorHAnsi"/>
          <w:bCs/>
          <w:sz w:val="24"/>
          <w:szCs w:val="24"/>
        </w:rPr>
        <w:t xml:space="preserve"> </w:t>
      </w:r>
      <w:r w:rsidR="00E104EE" w:rsidRPr="004F2B4D">
        <w:rPr>
          <w:rFonts w:cstheme="minorHAnsi"/>
          <w:bCs/>
          <w:sz w:val="24"/>
          <w:szCs w:val="24"/>
        </w:rPr>
        <w:t>In Malta</w:t>
      </w:r>
      <w:r w:rsidR="00E104EE" w:rsidRPr="004F2B4D">
        <w:rPr>
          <w:rStyle w:val="FootnoteReference"/>
          <w:rFonts w:cstheme="minorHAnsi"/>
          <w:bCs/>
          <w:sz w:val="24"/>
          <w:szCs w:val="24"/>
        </w:rPr>
        <w:footnoteReference w:id="10"/>
      </w:r>
      <w:r w:rsidR="00E104EE" w:rsidRPr="004F2B4D">
        <w:rPr>
          <w:rFonts w:cstheme="minorHAnsi"/>
          <w:bCs/>
          <w:sz w:val="24"/>
          <w:szCs w:val="24"/>
        </w:rPr>
        <w:t xml:space="preserve"> 21.4% of women are at risk of poverty or social exclusion, as opposed to 18.8% of men; women live longer with higher risks of poverty in their ageing years. </w:t>
      </w:r>
    </w:p>
    <w:p w14:paraId="47F5FDDB" w14:textId="43189718" w:rsidR="00E72275" w:rsidRPr="004F2B4D" w:rsidRDefault="00E72275" w:rsidP="00F75E9E">
      <w:pPr>
        <w:pStyle w:val="ListParagraph"/>
        <w:spacing w:after="0" w:line="276" w:lineRule="auto"/>
        <w:ind w:left="0"/>
        <w:jc w:val="both"/>
        <w:rPr>
          <w:rFonts w:cstheme="minorHAnsi"/>
          <w:bCs/>
          <w:sz w:val="24"/>
          <w:szCs w:val="24"/>
        </w:rPr>
      </w:pPr>
    </w:p>
    <w:p w14:paraId="21695A13" w14:textId="61B14306" w:rsidR="00E72275" w:rsidRPr="004F2B4D" w:rsidRDefault="00E72275" w:rsidP="00F75E9E">
      <w:pPr>
        <w:pStyle w:val="ListParagraph"/>
        <w:spacing w:after="0" w:line="276" w:lineRule="auto"/>
        <w:ind w:left="0"/>
        <w:jc w:val="both"/>
        <w:rPr>
          <w:rFonts w:cstheme="minorHAnsi"/>
          <w:bCs/>
          <w:sz w:val="24"/>
          <w:szCs w:val="24"/>
        </w:rPr>
      </w:pPr>
    </w:p>
    <w:p w14:paraId="4F4F9A51" w14:textId="0E8DE14B" w:rsidR="00E72275" w:rsidRPr="004F2B4D" w:rsidRDefault="00E72275" w:rsidP="00F75E9E">
      <w:pPr>
        <w:pStyle w:val="ListParagraph"/>
        <w:spacing w:after="0" w:line="276" w:lineRule="auto"/>
        <w:ind w:left="0"/>
        <w:jc w:val="both"/>
        <w:rPr>
          <w:rFonts w:cstheme="minorHAnsi"/>
          <w:bCs/>
          <w:sz w:val="24"/>
          <w:szCs w:val="24"/>
        </w:rPr>
      </w:pPr>
    </w:p>
    <w:p w14:paraId="7EB0AF24" w14:textId="77777777" w:rsidR="00247366" w:rsidRPr="004F2B4D" w:rsidRDefault="00247366" w:rsidP="00F75E9E">
      <w:pPr>
        <w:pStyle w:val="ListParagraph"/>
        <w:spacing w:after="0" w:line="276" w:lineRule="auto"/>
        <w:ind w:left="0"/>
        <w:jc w:val="both"/>
        <w:rPr>
          <w:rFonts w:cstheme="minorHAnsi"/>
          <w:bCs/>
          <w:sz w:val="24"/>
          <w:szCs w:val="24"/>
        </w:rPr>
      </w:pPr>
    </w:p>
    <w:p w14:paraId="7DA87287" w14:textId="275DAD2E" w:rsidR="00725C16" w:rsidRPr="004F2B4D" w:rsidRDefault="0033037C" w:rsidP="00F75E9E">
      <w:pPr>
        <w:spacing w:line="276" w:lineRule="auto"/>
        <w:jc w:val="both"/>
        <w:rPr>
          <w:rFonts w:cstheme="minorHAnsi"/>
          <w:sz w:val="24"/>
          <w:szCs w:val="24"/>
        </w:rPr>
      </w:pPr>
      <w:r w:rsidRPr="004F2B4D">
        <w:rPr>
          <w:rFonts w:cstheme="minorHAnsi"/>
          <w:b/>
          <w:bCs/>
          <w:sz w:val="24"/>
          <w:szCs w:val="24"/>
        </w:rPr>
        <w:t>5</w:t>
      </w:r>
      <w:r w:rsidRPr="004F2B4D">
        <w:rPr>
          <w:rFonts w:cstheme="minorHAnsi"/>
          <w:sz w:val="24"/>
          <w:szCs w:val="24"/>
        </w:rPr>
        <w:t>.</w:t>
      </w:r>
      <w:r w:rsidR="006B2401" w:rsidRPr="004F2B4D">
        <w:rPr>
          <w:rFonts w:cstheme="minorHAnsi"/>
          <w:sz w:val="24"/>
          <w:szCs w:val="24"/>
        </w:rPr>
        <w:t>W</w:t>
      </w:r>
      <w:r w:rsidR="00CB02C6" w:rsidRPr="004F2B4D">
        <w:rPr>
          <w:rFonts w:cstheme="minorHAnsi"/>
          <w:sz w:val="24"/>
          <w:szCs w:val="24"/>
        </w:rPr>
        <w:t>omen (including older women) are more likely than men to be the informal caregivers of adult dependent family members</w:t>
      </w:r>
      <w:r w:rsidR="00CB02C6" w:rsidRPr="004F2B4D">
        <w:rPr>
          <w:rStyle w:val="FootnoteReference"/>
          <w:rFonts w:cstheme="minorHAnsi"/>
          <w:sz w:val="24"/>
          <w:szCs w:val="24"/>
        </w:rPr>
        <w:footnoteReference w:id="11"/>
      </w:r>
      <w:r w:rsidR="00CE77EC" w:rsidRPr="004F2B4D">
        <w:rPr>
          <w:rFonts w:cstheme="minorHAnsi"/>
          <w:sz w:val="24"/>
          <w:szCs w:val="24"/>
        </w:rPr>
        <w:t>, as well as the main carers of children and grandchildren</w:t>
      </w:r>
      <w:r w:rsidR="00247366" w:rsidRPr="004F2B4D">
        <w:rPr>
          <w:rFonts w:cstheme="minorHAnsi"/>
          <w:sz w:val="24"/>
          <w:szCs w:val="24"/>
        </w:rPr>
        <w:t>.</w:t>
      </w:r>
      <w:r w:rsidR="00CB02C6" w:rsidRPr="004F2B4D">
        <w:rPr>
          <w:rFonts w:cstheme="minorHAnsi"/>
          <w:sz w:val="24"/>
          <w:szCs w:val="24"/>
        </w:rPr>
        <w:t xml:space="preserve"> Informal caregiving can entail physical and mental stress that affects </w:t>
      </w:r>
      <w:r w:rsidR="00247366" w:rsidRPr="004F2B4D">
        <w:rPr>
          <w:rFonts w:cstheme="minorHAnsi"/>
          <w:sz w:val="24"/>
          <w:szCs w:val="24"/>
        </w:rPr>
        <w:t xml:space="preserve">the wellbeing of the </w:t>
      </w:r>
      <w:r w:rsidR="00247366" w:rsidRPr="004F2B4D">
        <w:rPr>
          <w:rFonts w:cstheme="minorHAnsi"/>
          <w:sz w:val="24"/>
          <w:szCs w:val="24"/>
        </w:rPr>
        <w:lastRenderedPageBreak/>
        <w:t>caregivers</w:t>
      </w:r>
      <w:r w:rsidR="00CB02C6" w:rsidRPr="004F2B4D">
        <w:rPr>
          <w:rFonts w:cstheme="minorHAnsi"/>
          <w:sz w:val="24"/>
          <w:szCs w:val="24"/>
        </w:rPr>
        <w:t xml:space="preserve"> and that of the dependant/s,</w:t>
      </w:r>
      <w:r w:rsidR="00247366" w:rsidRPr="004F2B4D">
        <w:rPr>
          <w:rFonts w:cstheme="minorHAnsi"/>
          <w:sz w:val="24"/>
          <w:szCs w:val="24"/>
        </w:rPr>
        <w:t xml:space="preserve"> and </w:t>
      </w:r>
      <w:r w:rsidR="00CB02C6" w:rsidRPr="004F2B4D">
        <w:rPr>
          <w:rFonts w:cstheme="minorHAnsi"/>
          <w:sz w:val="24"/>
          <w:szCs w:val="24"/>
        </w:rPr>
        <w:t xml:space="preserve">also </w:t>
      </w:r>
      <w:r w:rsidR="00247366" w:rsidRPr="004F2B4D">
        <w:rPr>
          <w:rFonts w:cstheme="minorHAnsi"/>
          <w:sz w:val="24"/>
          <w:szCs w:val="24"/>
        </w:rPr>
        <w:t xml:space="preserve">affects </w:t>
      </w:r>
      <w:r w:rsidR="00CB02C6" w:rsidRPr="004F2B4D">
        <w:rPr>
          <w:rFonts w:cstheme="minorHAnsi"/>
          <w:sz w:val="24"/>
          <w:szCs w:val="24"/>
        </w:rPr>
        <w:t xml:space="preserve">their participation </w:t>
      </w:r>
      <w:r w:rsidR="00247366" w:rsidRPr="004F2B4D">
        <w:rPr>
          <w:rFonts w:cstheme="minorHAnsi"/>
          <w:sz w:val="24"/>
          <w:szCs w:val="24"/>
        </w:rPr>
        <w:t>i</w:t>
      </w:r>
      <w:r w:rsidR="00CB02C6" w:rsidRPr="004F2B4D">
        <w:rPr>
          <w:rFonts w:cstheme="minorHAnsi"/>
          <w:sz w:val="24"/>
          <w:szCs w:val="24"/>
        </w:rPr>
        <w:t xml:space="preserve">n other spheres including </w:t>
      </w:r>
      <w:r w:rsidR="00CE77EC" w:rsidRPr="004F2B4D">
        <w:rPr>
          <w:rFonts w:cstheme="minorHAnsi"/>
          <w:sz w:val="24"/>
          <w:szCs w:val="24"/>
        </w:rPr>
        <w:t>work</w:t>
      </w:r>
      <w:r w:rsidR="00CB02C6" w:rsidRPr="004F2B4D">
        <w:rPr>
          <w:rStyle w:val="FootnoteReference"/>
          <w:rFonts w:cstheme="minorHAnsi"/>
          <w:sz w:val="24"/>
          <w:szCs w:val="24"/>
        </w:rPr>
        <w:footnoteReference w:id="12"/>
      </w:r>
      <w:r w:rsidR="00913855" w:rsidRPr="004F2B4D">
        <w:rPr>
          <w:rFonts w:cstheme="minorHAnsi"/>
          <w:sz w:val="24"/>
          <w:szCs w:val="24"/>
        </w:rPr>
        <w:t xml:space="preserve">. </w:t>
      </w:r>
    </w:p>
    <w:p w14:paraId="43D2B2F2" w14:textId="196850FB" w:rsidR="00CB02C6" w:rsidRPr="004F2B4D" w:rsidRDefault="00913855" w:rsidP="00F75E9E">
      <w:pPr>
        <w:spacing w:line="276" w:lineRule="auto"/>
        <w:jc w:val="both"/>
        <w:rPr>
          <w:rFonts w:cstheme="minorHAnsi"/>
          <w:sz w:val="24"/>
          <w:szCs w:val="24"/>
        </w:rPr>
      </w:pPr>
      <w:r w:rsidRPr="004F2B4D">
        <w:rPr>
          <w:rFonts w:cstheme="minorHAnsi"/>
          <w:sz w:val="24"/>
          <w:szCs w:val="24"/>
        </w:rPr>
        <w:t>Statistics show that women in the 55-64 year cohort are less likely to be in employment than their younger counterparts. Career interruptions of women throughout their working life results in disadvantages including lost opportunities for training and promotions, that tend to accumulate with age and are reflected in their income. In fact, the gender pension gap is much wider than the gender pay gap, which in 2019 stood at</w:t>
      </w:r>
      <w:r w:rsidR="00996126" w:rsidRPr="004F2B4D">
        <w:rPr>
          <w:rFonts w:cstheme="minorHAnsi"/>
          <w:sz w:val="24"/>
          <w:szCs w:val="24"/>
        </w:rPr>
        <w:t xml:space="preserve"> 29.4% in the EU27 and 39.5% in Malta</w:t>
      </w:r>
      <w:r w:rsidR="007F5D6C" w:rsidRPr="004F2B4D">
        <w:rPr>
          <w:rStyle w:val="FootnoteReference"/>
          <w:rFonts w:cstheme="minorHAnsi"/>
          <w:sz w:val="24"/>
          <w:szCs w:val="24"/>
        </w:rPr>
        <w:footnoteReference w:id="13"/>
      </w:r>
      <w:r w:rsidR="00996126" w:rsidRPr="004F2B4D">
        <w:rPr>
          <w:rFonts w:cstheme="minorHAnsi"/>
          <w:sz w:val="24"/>
          <w:szCs w:val="24"/>
        </w:rPr>
        <w:t>; and 14.1% in the EU27 and 11.6% in Malta</w:t>
      </w:r>
      <w:r w:rsidR="00996126" w:rsidRPr="004F2B4D">
        <w:rPr>
          <w:rStyle w:val="FootnoteReference"/>
          <w:rFonts w:cstheme="minorHAnsi"/>
          <w:sz w:val="24"/>
          <w:szCs w:val="24"/>
        </w:rPr>
        <w:footnoteReference w:id="14"/>
      </w:r>
      <w:r w:rsidR="00996126" w:rsidRPr="004F2B4D">
        <w:rPr>
          <w:rFonts w:cstheme="minorHAnsi"/>
          <w:sz w:val="24"/>
          <w:szCs w:val="24"/>
        </w:rPr>
        <w:t xml:space="preserve">, respectively. </w:t>
      </w:r>
      <w:r w:rsidR="008B30F2" w:rsidRPr="004F2B4D">
        <w:rPr>
          <w:rFonts w:cstheme="minorHAnsi"/>
          <w:sz w:val="24"/>
          <w:szCs w:val="24"/>
        </w:rPr>
        <w:t>Both the gender pay gap and the gender pension gap subsequently increase women’s risk of poverty</w:t>
      </w:r>
      <w:r w:rsidR="0024262F" w:rsidRPr="004F2B4D">
        <w:rPr>
          <w:rFonts w:cstheme="minorHAnsi"/>
          <w:sz w:val="24"/>
          <w:szCs w:val="24"/>
        </w:rPr>
        <w:t>.</w:t>
      </w:r>
    </w:p>
    <w:p w14:paraId="0F1CC867" w14:textId="36109C73" w:rsidR="0024262F" w:rsidRPr="004F2B4D" w:rsidRDefault="008C7233" w:rsidP="00F75E9E">
      <w:pPr>
        <w:spacing w:line="276" w:lineRule="auto"/>
        <w:jc w:val="both"/>
        <w:rPr>
          <w:rFonts w:cstheme="minorHAnsi"/>
          <w:sz w:val="24"/>
          <w:szCs w:val="24"/>
        </w:rPr>
      </w:pPr>
      <w:r w:rsidRPr="004F2B4D">
        <w:rPr>
          <w:rFonts w:cstheme="minorHAnsi"/>
          <w:sz w:val="24"/>
          <w:szCs w:val="24"/>
        </w:rPr>
        <w:t>With respect to unpaid care work in Malta, EIGE’s Gender Equality Index 2020 revealed that 85% of women carried out the role of the ‘people caring for and educating their children or grandchildren, elderly or people with disabilities, everyday’, in comparison to 57.7% of men. With respect to ‘people doing cooking and/or housework, everyday’, 96.4% of women accounted for this role, as opposed to a mere 31.4% of men</w:t>
      </w:r>
      <w:r w:rsidRPr="004F2B4D">
        <w:rPr>
          <w:rStyle w:val="FootnoteReference"/>
          <w:rFonts w:cstheme="minorHAnsi"/>
          <w:sz w:val="24"/>
          <w:szCs w:val="24"/>
        </w:rPr>
        <w:footnoteReference w:id="15"/>
      </w:r>
      <w:r w:rsidRPr="004F2B4D">
        <w:rPr>
          <w:rFonts w:cstheme="minorHAnsi"/>
          <w:sz w:val="24"/>
          <w:szCs w:val="24"/>
        </w:rPr>
        <w:t xml:space="preserve">. Malta has the highest percentage in the EU - 30% - of women who are inactive in the labour market due to care responsibilities. Unpaid care </w:t>
      </w:r>
      <w:r w:rsidR="00060695" w:rsidRPr="004F2B4D">
        <w:rPr>
          <w:rFonts w:cstheme="minorHAnsi"/>
          <w:sz w:val="24"/>
          <w:szCs w:val="24"/>
        </w:rPr>
        <w:t xml:space="preserve">work is negatively impacting women’s role and advancement in paid work, which as a result hinders their lifelong economic independence. </w:t>
      </w:r>
      <w:r w:rsidRPr="004F2B4D">
        <w:rPr>
          <w:rFonts w:cstheme="minorHAnsi"/>
          <w:sz w:val="24"/>
          <w:szCs w:val="24"/>
        </w:rPr>
        <w:t xml:space="preserve"> </w:t>
      </w:r>
    </w:p>
    <w:p w14:paraId="26B017EC" w14:textId="12FEE536" w:rsidR="005F5E3B" w:rsidRPr="004F2B4D" w:rsidRDefault="00F150C2" w:rsidP="00F75E9E">
      <w:pPr>
        <w:spacing w:line="276" w:lineRule="auto"/>
        <w:jc w:val="both"/>
        <w:rPr>
          <w:rFonts w:cstheme="minorHAnsi"/>
          <w:sz w:val="24"/>
          <w:szCs w:val="24"/>
          <w:shd w:val="clear" w:color="auto" w:fill="FFFFFF"/>
        </w:rPr>
      </w:pPr>
      <w:r w:rsidRPr="004F2B4D">
        <w:rPr>
          <w:rFonts w:cstheme="minorHAnsi"/>
          <w:sz w:val="24"/>
          <w:szCs w:val="24"/>
        </w:rPr>
        <w:t>The Maltese government is aware of</w:t>
      </w:r>
      <w:r w:rsidR="00871C4C" w:rsidRPr="004F2B4D">
        <w:rPr>
          <w:rFonts w:cstheme="minorHAnsi"/>
          <w:sz w:val="24"/>
          <w:szCs w:val="24"/>
        </w:rPr>
        <w:t xml:space="preserve"> the</w:t>
      </w:r>
      <w:r w:rsidRPr="004F2B4D">
        <w:rPr>
          <w:rFonts w:cstheme="minorHAnsi"/>
          <w:sz w:val="24"/>
          <w:szCs w:val="24"/>
        </w:rPr>
        <w:t xml:space="preserve"> aforementioned </w:t>
      </w:r>
      <w:r w:rsidR="0024262F" w:rsidRPr="004F2B4D">
        <w:rPr>
          <w:rFonts w:cstheme="minorHAnsi"/>
          <w:sz w:val="24"/>
          <w:szCs w:val="24"/>
        </w:rPr>
        <w:t>challenges</w:t>
      </w:r>
      <w:r w:rsidRPr="004F2B4D">
        <w:rPr>
          <w:rFonts w:cstheme="minorHAnsi"/>
          <w:sz w:val="24"/>
          <w:szCs w:val="24"/>
        </w:rPr>
        <w:t xml:space="preserve"> </w:t>
      </w:r>
      <w:r w:rsidR="00871C4C" w:rsidRPr="004F2B4D">
        <w:rPr>
          <w:rFonts w:cstheme="minorHAnsi"/>
          <w:sz w:val="24"/>
          <w:szCs w:val="24"/>
        </w:rPr>
        <w:t xml:space="preserve">which directly affect </w:t>
      </w:r>
      <w:r w:rsidRPr="004F2B4D">
        <w:rPr>
          <w:rFonts w:cstheme="minorHAnsi"/>
          <w:sz w:val="24"/>
          <w:szCs w:val="24"/>
        </w:rPr>
        <w:t>women, and</w:t>
      </w:r>
      <w:r w:rsidR="00871C4C" w:rsidRPr="004F2B4D">
        <w:rPr>
          <w:rFonts w:cstheme="minorHAnsi"/>
          <w:sz w:val="24"/>
          <w:szCs w:val="24"/>
        </w:rPr>
        <w:t xml:space="preserve"> as a result has put forward</w:t>
      </w:r>
      <w:r w:rsidRPr="004F2B4D">
        <w:rPr>
          <w:rFonts w:cstheme="minorHAnsi"/>
          <w:sz w:val="24"/>
          <w:szCs w:val="24"/>
        </w:rPr>
        <w:t xml:space="preserve"> the following initiatives in order to promote and protect a good quality life for elderly women, particularly: </w:t>
      </w:r>
    </w:p>
    <w:p w14:paraId="6935E646" w14:textId="063E67B5" w:rsidR="0024262F" w:rsidRPr="004F2B4D" w:rsidRDefault="0078788E" w:rsidP="00F75E9E">
      <w:pPr>
        <w:pStyle w:val="ListParagraph"/>
        <w:numPr>
          <w:ilvl w:val="0"/>
          <w:numId w:val="1"/>
        </w:numPr>
        <w:spacing w:after="0"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 xml:space="preserve">Along the years, </w:t>
      </w:r>
      <w:r w:rsidR="0024262F" w:rsidRPr="004F2B4D">
        <w:rPr>
          <w:rFonts w:cstheme="minorHAnsi"/>
          <w:sz w:val="24"/>
          <w:szCs w:val="24"/>
          <w:shd w:val="clear" w:color="auto" w:fill="FFFFFF"/>
        </w:rPr>
        <w:t xml:space="preserve">pensions have been </w:t>
      </w:r>
      <w:r w:rsidR="00A24228" w:rsidRPr="004F2B4D">
        <w:rPr>
          <w:rFonts w:cstheme="minorHAnsi"/>
          <w:sz w:val="24"/>
          <w:szCs w:val="24"/>
          <w:shd w:val="clear" w:color="auto" w:fill="FFFFFF"/>
        </w:rPr>
        <w:t>adjusted</w:t>
      </w:r>
      <w:r w:rsidR="0024262F" w:rsidRPr="004F2B4D">
        <w:rPr>
          <w:rFonts w:cstheme="minorHAnsi"/>
          <w:sz w:val="24"/>
          <w:szCs w:val="24"/>
          <w:shd w:val="clear" w:color="auto" w:fill="FFFFFF"/>
        </w:rPr>
        <w:t xml:space="preserve"> </w:t>
      </w:r>
      <w:r w:rsidR="001A1349" w:rsidRPr="004F2B4D">
        <w:rPr>
          <w:rFonts w:cstheme="minorHAnsi"/>
          <w:sz w:val="24"/>
          <w:szCs w:val="24"/>
          <w:shd w:val="clear" w:color="auto" w:fill="FFFFFF"/>
        </w:rPr>
        <w:t xml:space="preserve">upward </w:t>
      </w:r>
      <w:r w:rsidR="0024262F" w:rsidRPr="004F2B4D">
        <w:rPr>
          <w:rFonts w:cstheme="minorHAnsi"/>
          <w:sz w:val="24"/>
          <w:szCs w:val="24"/>
          <w:shd w:val="clear" w:color="auto" w:fill="FFFFFF"/>
        </w:rPr>
        <w:t>annually</w:t>
      </w:r>
      <w:r w:rsidR="00A24228" w:rsidRPr="004F2B4D">
        <w:rPr>
          <w:rFonts w:cstheme="minorHAnsi"/>
          <w:sz w:val="24"/>
          <w:szCs w:val="24"/>
          <w:shd w:val="clear" w:color="auto" w:fill="FFFFFF"/>
        </w:rPr>
        <w:t xml:space="preserve"> through the Cost of Living Adjustment (</w:t>
      </w:r>
      <w:r w:rsidR="00890255" w:rsidRPr="004F2B4D">
        <w:rPr>
          <w:rFonts w:cstheme="minorHAnsi"/>
          <w:sz w:val="24"/>
          <w:szCs w:val="24"/>
          <w:shd w:val="clear" w:color="auto" w:fill="FFFFFF"/>
        </w:rPr>
        <w:t>COLA</w:t>
      </w:r>
      <w:r w:rsidR="00A24228" w:rsidRPr="004F2B4D">
        <w:rPr>
          <w:rFonts w:cstheme="minorHAnsi"/>
          <w:sz w:val="24"/>
          <w:szCs w:val="24"/>
          <w:shd w:val="clear" w:color="auto" w:fill="FFFFFF"/>
        </w:rPr>
        <w:t>)</w:t>
      </w:r>
      <w:r w:rsidR="0024262F" w:rsidRPr="004F2B4D">
        <w:rPr>
          <w:rFonts w:cstheme="minorHAnsi"/>
          <w:sz w:val="24"/>
          <w:szCs w:val="24"/>
          <w:shd w:val="clear" w:color="auto" w:fill="FFFFFF"/>
        </w:rPr>
        <w:t xml:space="preserve"> mechanism.</w:t>
      </w:r>
    </w:p>
    <w:p w14:paraId="205F7DDE" w14:textId="77777777" w:rsidR="0024262F" w:rsidRPr="004F2B4D" w:rsidRDefault="0024262F" w:rsidP="00F75E9E">
      <w:pPr>
        <w:pStyle w:val="ListParagraph"/>
        <w:spacing w:after="0" w:line="276" w:lineRule="auto"/>
        <w:ind w:left="0"/>
        <w:jc w:val="both"/>
        <w:rPr>
          <w:rFonts w:cstheme="minorHAnsi"/>
          <w:sz w:val="24"/>
          <w:szCs w:val="24"/>
          <w:shd w:val="clear" w:color="auto" w:fill="FFFFFF"/>
        </w:rPr>
      </w:pPr>
    </w:p>
    <w:p w14:paraId="6816B894" w14:textId="77777777" w:rsidR="00D3114C" w:rsidRPr="004F2B4D" w:rsidRDefault="00D3114C" w:rsidP="00F75E9E">
      <w:pPr>
        <w:pStyle w:val="ListParagraph"/>
        <w:spacing w:after="0" w:line="276" w:lineRule="auto"/>
        <w:ind w:left="0"/>
        <w:jc w:val="both"/>
        <w:rPr>
          <w:rFonts w:cstheme="minorHAnsi"/>
          <w:sz w:val="24"/>
          <w:szCs w:val="24"/>
          <w:shd w:val="clear" w:color="auto" w:fill="FFFFFF"/>
        </w:rPr>
      </w:pPr>
    </w:p>
    <w:p w14:paraId="041E288E" w14:textId="0C11EE95" w:rsidR="00D3114C" w:rsidRPr="004F2B4D" w:rsidRDefault="00A202B7" w:rsidP="00F75E9E">
      <w:pPr>
        <w:pStyle w:val="ListParagraph"/>
        <w:numPr>
          <w:ilvl w:val="0"/>
          <w:numId w:val="1"/>
        </w:numPr>
        <w:spacing w:after="0" w:line="276" w:lineRule="auto"/>
        <w:ind w:left="0" w:hanging="284"/>
        <w:jc w:val="both"/>
        <w:rPr>
          <w:rFonts w:cstheme="minorHAnsi"/>
          <w:sz w:val="24"/>
          <w:szCs w:val="24"/>
          <w:shd w:val="clear" w:color="auto" w:fill="FFFFFF"/>
        </w:rPr>
      </w:pPr>
      <w:r w:rsidRPr="004F2B4D">
        <w:rPr>
          <w:rFonts w:cstheme="minorHAnsi"/>
          <w:sz w:val="24"/>
          <w:szCs w:val="24"/>
          <w:shd w:val="clear" w:color="auto" w:fill="FFFFFF"/>
        </w:rPr>
        <w:t>Elderly women</w:t>
      </w:r>
      <w:r w:rsidR="00725C16" w:rsidRPr="004F2B4D">
        <w:rPr>
          <w:rFonts w:cstheme="minorHAnsi"/>
          <w:sz w:val="24"/>
          <w:szCs w:val="24"/>
          <w:shd w:val="clear" w:color="auto" w:fill="FFFFFF"/>
        </w:rPr>
        <w:t>,</w:t>
      </w:r>
      <w:r w:rsidRPr="004F2B4D">
        <w:rPr>
          <w:rFonts w:cstheme="minorHAnsi"/>
          <w:sz w:val="24"/>
          <w:szCs w:val="24"/>
          <w:shd w:val="clear" w:color="auto" w:fill="FFFFFF"/>
        </w:rPr>
        <w:t xml:space="preserve"> who</w:t>
      </w:r>
      <w:r w:rsidR="00D3114C" w:rsidRPr="004F2B4D">
        <w:rPr>
          <w:rFonts w:cstheme="minorHAnsi"/>
          <w:sz w:val="24"/>
          <w:szCs w:val="24"/>
          <w:shd w:val="clear" w:color="auto" w:fill="FFFFFF"/>
        </w:rPr>
        <w:t xml:space="preserve"> are aged 65 years and over, who</w:t>
      </w:r>
      <w:r w:rsidRPr="004F2B4D">
        <w:rPr>
          <w:rFonts w:cstheme="minorHAnsi"/>
          <w:sz w:val="24"/>
          <w:szCs w:val="24"/>
          <w:shd w:val="clear" w:color="auto" w:fill="FFFFFF"/>
        </w:rPr>
        <w:t xml:space="preserve"> have </w:t>
      </w:r>
      <w:r w:rsidR="00725C16" w:rsidRPr="004F2B4D">
        <w:rPr>
          <w:rFonts w:cstheme="minorHAnsi"/>
          <w:sz w:val="24"/>
          <w:szCs w:val="24"/>
          <w:shd w:val="clear" w:color="auto" w:fill="FFFFFF"/>
        </w:rPr>
        <w:t xml:space="preserve">paid </w:t>
      </w:r>
      <w:r w:rsidR="00D3114C" w:rsidRPr="004F2B4D">
        <w:rPr>
          <w:rFonts w:cstheme="minorHAnsi"/>
          <w:sz w:val="24"/>
          <w:szCs w:val="24"/>
          <w:shd w:val="clear" w:color="auto" w:fill="FFFFFF"/>
        </w:rPr>
        <w:t>some social security contributions, however have spent numerous years</w:t>
      </w:r>
      <w:r w:rsidR="00811D38" w:rsidRPr="004F2B4D">
        <w:rPr>
          <w:rFonts w:cstheme="minorHAnsi"/>
          <w:sz w:val="24"/>
          <w:szCs w:val="24"/>
          <w:shd w:val="clear" w:color="auto" w:fill="FFFFFF"/>
        </w:rPr>
        <w:t xml:space="preserve"> </w:t>
      </w:r>
      <w:r w:rsidR="00D3114C" w:rsidRPr="004F2B4D">
        <w:rPr>
          <w:rFonts w:cstheme="minorHAnsi"/>
          <w:sz w:val="24"/>
          <w:szCs w:val="24"/>
          <w:shd w:val="clear" w:color="auto" w:fill="FFFFFF"/>
        </w:rPr>
        <w:t>out of the labour market due to informal work (unpaid housework and caregiving roles) and are not entitled to a pension</w:t>
      </w:r>
      <w:r w:rsidR="00725C16" w:rsidRPr="004F2B4D">
        <w:rPr>
          <w:rFonts w:cstheme="minorHAnsi"/>
          <w:sz w:val="24"/>
          <w:szCs w:val="24"/>
          <w:shd w:val="clear" w:color="auto" w:fill="FFFFFF"/>
        </w:rPr>
        <w:t>,</w:t>
      </w:r>
      <w:r w:rsidR="00D3114C" w:rsidRPr="004F2B4D">
        <w:rPr>
          <w:rFonts w:cstheme="minorHAnsi"/>
          <w:sz w:val="24"/>
          <w:szCs w:val="24"/>
          <w:shd w:val="clear" w:color="auto" w:fill="FFFFFF"/>
        </w:rPr>
        <w:t xml:space="preserve"> </w:t>
      </w:r>
      <w:r w:rsidR="006950DB" w:rsidRPr="004F2B4D">
        <w:rPr>
          <w:rFonts w:cstheme="minorHAnsi"/>
          <w:sz w:val="24"/>
          <w:szCs w:val="24"/>
          <w:shd w:val="clear" w:color="auto" w:fill="FFFFFF"/>
        </w:rPr>
        <w:t>are receiving an increase in their annual bonus</w:t>
      </w:r>
      <w:r w:rsidR="00D3114C" w:rsidRPr="004F2B4D">
        <w:rPr>
          <w:rFonts w:cstheme="minorHAnsi"/>
          <w:sz w:val="24"/>
          <w:szCs w:val="24"/>
          <w:shd w:val="clear" w:color="auto" w:fill="FFFFFF"/>
        </w:rPr>
        <w:t xml:space="preserve">. </w:t>
      </w:r>
    </w:p>
    <w:p w14:paraId="60484184" w14:textId="4F064F6D" w:rsidR="00D3114C" w:rsidRPr="004F2B4D" w:rsidRDefault="00D3114C" w:rsidP="00F75E9E">
      <w:pPr>
        <w:spacing w:after="0" w:line="276" w:lineRule="auto"/>
        <w:jc w:val="both"/>
        <w:rPr>
          <w:rFonts w:cstheme="minorHAnsi"/>
          <w:sz w:val="24"/>
          <w:szCs w:val="24"/>
          <w:lang w:val="mt-MT"/>
        </w:rPr>
      </w:pPr>
    </w:p>
    <w:p w14:paraId="7DBC3AE3" w14:textId="71811CBB" w:rsidR="006950DB" w:rsidRPr="004F2B4D" w:rsidRDefault="006950DB" w:rsidP="00F75E9E">
      <w:pPr>
        <w:pStyle w:val="ListParagraph"/>
        <w:numPr>
          <w:ilvl w:val="0"/>
          <w:numId w:val="1"/>
        </w:numPr>
        <w:spacing w:after="0" w:line="276" w:lineRule="auto"/>
        <w:ind w:left="0" w:hanging="437"/>
        <w:jc w:val="both"/>
        <w:rPr>
          <w:rFonts w:cstheme="minorHAnsi"/>
          <w:sz w:val="24"/>
          <w:szCs w:val="24"/>
          <w:shd w:val="clear" w:color="auto" w:fill="FFFFFF"/>
        </w:rPr>
      </w:pPr>
      <w:r w:rsidRPr="004F2B4D">
        <w:rPr>
          <w:rFonts w:cstheme="minorHAnsi"/>
          <w:sz w:val="24"/>
          <w:szCs w:val="24"/>
          <w:shd w:val="clear" w:color="auto" w:fill="FFFFFF"/>
        </w:rPr>
        <w:lastRenderedPageBreak/>
        <w:t>Financial support is given to elderly women and men who are 75 years or older for them to continue living in their community.</w:t>
      </w:r>
      <w:r w:rsidR="000056D1" w:rsidRPr="004F2B4D">
        <w:rPr>
          <w:rFonts w:cstheme="minorHAnsi"/>
          <w:sz w:val="24"/>
          <w:szCs w:val="24"/>
          <w:shd w:val="clear" w:color="auto" w:fill="FFFFFF"/>
        </w:rPr>
        <w:t xml:space="preserve"> </w:t>
      </w:r>
    </w:p>
    <w:p w14:paraId="4AA35119" w14:textId="77777777" w:rsidR="006950DB" w:rsidRDefault="006950DB" w:rsidP="00F75E9E">
      <w:pPr>
        <w:pStyle w:val="ListParagraph"/>
        <w:spacing w:after="0" w:line="276" w:lineRule="auto"/>
        <w:ind w:left="0"/>
        <w:jc w:val="both"/>
        <w:rPr>
          <w:rFonts w:ascii="Arial" w:hAnsi="Arial" w:cs="Arial"/>
          <w:sz w:val="24"/>
          <w:szCs w:val="24"/>
          <w:shd w:val="clear" w:color="auto" w:fill="FFFFFF"/>
        </w:rPr>
      </w:pPr>
    </w:p>
    <w:p w14:paraId="4021E6B5" w14:textId="3F40D75D" w:rsidR="00D3114C" w:rsidRPr="004F2B4D" w:rsidRDefault="006950DB" w:rsidP="00F75E9E">
      <w:pPr>
        <w:pStyle w:val="ListParagraph"/>
        <w:numPr>
          <w:ilvl w:val="0"/>
          <w:numId w:val="1"/>
        </w:numPr>
        <w:spacing w:after="0" w:line="276" w:lineRule="auto"/>
        <w:ind w:left="0" w:hanging="437"/>
        <w:jc w:val="both"/>
        <w:rPr>
          <w:rFonts w:cstheme="minorHAnsi"/>
          <w:sz w:val="24"/>
          <w:szCs w:val="24"/>
          <w:shd w:val="clear" w:color="auto" w:fill="FFFFFF"/>
        </w:rPr>
      </w:pPr>
      <w:r w:rsidRPr="004F2B4D">
        <w:rPr>
          <w:rFonts w:cstheme="minorHAnsi"/>
          <w:sz w:val="24"/>
          <w:szCs w:val="24"/>
          <w:shd w:val="clear" w:color="auto" w:fill="FFFFFF"/>
        </w:rPr>
        <w:t>T</w:t>
      </w:r>
      <w:r w:rsidR="00E73327" w:rsidRPr="004F2B4D">
        <w:rPr>
          <w:rFonts w:cstheme="minorHAnsi"/>
          <w:sz w:val="24"/>
          <w:szCs w:val="24"/>
          <w:shd w:val="clear" w:color="auto" w:fill="FFFFFF"/>
        </w:rPr>
        <w:t xml:space="preserve">he </w:t>
      </w:r>
      <w:r w:rsidR="00060695" w:rsidRPr="004F2B4D">
        <w:rPr>
          <w:rFonts w:cstheme="minorHAnsi"/>
          <w:i/>
          <w:iCs/>
          <w:sz w:val="24"/>
          <w:szCs w:val="24"/>
          <w:shd w:val="clear" w:color="auto" w:fill="FFFFFF"/>
        </w:rPr>
        <w:t xml:space="preserve">Carer at Home Scheme </w:t>
      </w:r>
      <w:r w:rsidR="00060695" w:rsidRPr="004F2B4D">
        <w:rPr>
          <w:rFonts w:cstheme="minorHAnsi"/>
          <w:sz w:val="24"/>
          <w:szCs w:val="24"/>
          <w:shd w:val="clear" w:color="auto" w:fill="FFFFFF"/>
        </w:rPr>
        <w:t>is a</w:t>
      </w:r>
      <w:r w:rsidR="00DC67CC" w:rsidRPr="004F2B4D">
        <w:rPr>
          <w:rFonts w:cstheme="minorHAnsi"/>
          <w:sz w:val="24"/>
          <w:szCs w:val="24"/>
          <w:shd w:val="clear" w:color="auto" w:fill="FFFFFF"/>
        </w:rPr>
        <w:t xml:space="preserve"> </w:t>
      </w:r>
      <w:r w:rsidR="00060695" w:rsidRPr="004F2B4D">
        <w:rPr>
          <w:rFonts w:cstheme="minorHAnsi"/>
          <w:sz w:val="24"/>
          <w:szCs w:val="24"/>
          <w:shd w:val="clear" w:color="auto" w:fill="FFFFFF"/>
        </w:rPr>
        <w:t xml:space="preserve">service </w:t>
      </w:r>
      <w:r w:rsidR="00DC67CC" w:rsidRPr="004F2B4D">
        <w:rPr>
          <w:rFonts w:cstheme="minorHAnsi"/>
          <w:sz w:val="24"/>
          <w:szCs w:val="24"/>
          <w:shd w:val="clear" w:color="auto" w:fill="FFFFFF"/>
        </w:rPr>
        <w:t>for</w:t>
      </w:r>
      <w:r w:rsidR="00060695" w:rsidRPr="004F2B4D">
        <w:rPr>
          <w:rFonts w:cstheme="minorHAnsi"/>
          <w:sz w:val="24"/>
          <w:szCs w:val="24"/>
          <w:shd w:val="clear" w:color="auto" w:fill="FFFFFF"/>
        </w:rPr>
        <w:t xml:space="preserve"> senior citizens (60+)</w:t>
      </w:r>
      <w:r w:rsidR="008E069D" w:rsidRPr="004F2B4D">
        <w:rPr>
          <w:rFonts w:cstheme="minorHAnsi"/>
          <w:sz w:val="24"/>
          <w:szCs w:val="24"/>
          <w:shd w:val="clear" w:color="auto" w:fill="FFFFFF"/>
        </w:rPr>
        <w:t xml:space="preserve">, with the aim of enabling them to live in the community rather than an institution. The </w:t>
      </w:r>
      <w:r w:rsidR="00E73327" w:rsidRPr="004F2B4D">
        <w:rPr>
          <w:rFonts w:cstheme="minorHAnsi"/>
          <w:sz w:val="24"/>
          <w:szCs w:val="24"/>
          <w:shd w:val="clear" w:color="auto" w:fill="FFFFFF"/>
        </w:rPr>
        <w:t>allowanc</w:t>
      </w:r>
      <w:r w:rsidR="008E069D" w:rsidRPr="004F2B4D">
        <w:rPr>
          <w:rFonts w:cstheme="minorHAnsi"/>
          <w:sz w:val="24"/>
          <w:szCs w:val="24"/>
          <w:shd w:val="clear" w:color="auto" w:fill="FFFFFF"/>
        </w:rPr>
        <w:t>e</w:t>
      </w:r>
      <w:r w:rsidR="00E73327" w:rsidRPr="004F2B4D">
        <w:rPr>
          <w:rFonts w:cstheme="minorHAnsi"/>
          <w:sz w:val="24"/>
          <w:szCs w:val="24"/>
          <w:shd w:val="clear" w:color="auto" w:fill="FFFFFF"/>
        </w:rPr>
        <w:t xml:space="preserve"> </w:t>
      </w:r>
      <w:r w:rsidRPr="004F2B4D">
        <w:rPr>
          <w:rFonts w:cstheme="minorHAnsi"/>
          <w:sz w:val="24"/>
          <w:szCs w:val="24"/>
          <w:shd w:val="clear" w:color="auto" w:fill="FFFFFF"/>
        </w:rPr>
        <w:t>has also been increased in recent years.</w:t>
      </w:r>
    </w:p>
    <w:p w14:paraId="213DAE60" w14:textId="77777777" w:rsidR="005F5E3B" w:rsidRPr="004F2B4D" w:rsidRDefault="005F5E3B" w:rsidP="00F75E9E">
      <w:pPr>
        <w:pStyle w:val="ListParagraph"/>
        <w:spacing w:line="276" w:lineRule="auto"/>
        <w:rPr>
          <w:rFonts w:cstheme="minorHAnsi"/>
          <w:sz w:val="24"/>
          <w:szCs w:val="24"/>
          <w:shd w:val="clear" w:color="auto" w:fill="FFFFFF"/>
        </w:rPr>
      </w:pPr>
    </w:p>
    <w:p w14:paraId="506E6859" w14:textId="557EC252" w:rsidR="005F5E3B" w:rsidRPr="004F2B4D" w:rsidRDefault="005F5E3B" w:rsidP="00F75E9E">
      <w:pPr>
        <w:pStyle w:val="ListParagraph"/>
        <w:numPr>
          <w:ilvl w:val="0"/>
          <w:numId w:val="1"/>
        </w:numPr>
        <w:spacing w:after="0" w:line="276" w:lineRule="auto"/>
        <w:ind w:left="0" w:hanging="437"/>
        <w:jc w:val="both"/>
        <w:rPr>
          <w:rFonts w:cstheme="minorHAnsi"/>
          <w:sz w:val="24"/>
          <w:szCs w:val="24"/>
          <w:shd w:val="clear" w:color="auto" w:fill="FFFFFF"/>
        </w:rPr>
      </w:pPr>
      <w:r w:rsidRPr="004F2B4D">
        <w:rPr>
          <w:rFonts w:cstheme="minorHAnsi"/>
          <w:sz w:val="24"/>
          <w:szCs w:val="24"/>
          <w:shd w:val="clear" w:color="auto" w:fill="FFFFFF"/>
        </w:rPr>
        <w:t xml:space="preserve">Elderly people who are 70 years of age and over are entitled to free public transport. </w:t>
      </w:r>
    </w:p>
    <w:p w14:paraId="1732170B" w14:textId="77777777" w:rsidR="0033037C" w:rsidRPr="004F2B4D" w:rsidRDefault="0033037C" w:rsidP="00F75E9E">
      <w:pPr>
        <w:pStyle w:val="ListParagraph"/>
        <w:spacing w:line="276" w:lineRule="auto"/>
        <w:rPr>
          <w:rFonts w:cstheme="minorHAnsi"/>
          <w:sz w:val="24"/>
          <w:szCs w:val="24"/>
          <w:shd w:val="clear" w:color="auto" w:fill="FFFFFF"/>
        </w:rPr>
      </w:pPr>
    </w:p>
    <w:p w14:paraId="70C870EE" w14:textId="10A0221F" w:rsidR="00FB30E1" w:rsidRPr="004F2B4D" w:rsidRDefault="0033037C" w:rsidP="00F75E9E">
      <w:pPr>
        <w:pStyle w:val="ListParagraph"/>
        <w:spacing w:after="0" w:line="276" w:lineRule="auto"/>
        <w:ind w:left="0"/>
        <w:jc w:val="both"/>
        <w:rPr>
          <w:rFonts w:cstheme="minorHAnsi"/>
          <w:bCs/>
          <w:sz w:val="24"/>
          <w:szCs w:val="24"/>
        </w:rPr>
      </w:pPr>
      <w:r w:rsidRPr="004F2B4D">
        <w:rPr>
          <w:rFonts w:cstheme="minorHAnsi"/>
          <w:b/>
          <w:bCs/>
          <w:sz w:val="24"/>
          <w:szCs w:val="24"/>
          <w:shd w:val="clear" w:color="auto" w:fill="FFFFFF"/>
        </w:rPr>
        <w:t>6</w:t>
      </w:r>
      <w:r w:rsidRPr="004F2B4D">
        <w:rPr>
          <w:rFonts w:cstheme="minorHAnsi"/>
          <w:sz w:val="24"/>
          <w:szCs w:val="24"/>
          <w:shd w:val="clear" w:color="auto" w:fill="FFFFFF"/>
        </w:rPr>
        <w:t>.</w:t>
      </w:r>
      <w:r w:rsidR="00FB30E1" w:rsidRPr="004F2B4D">
        <w:rPr>
          <w:rFonts w:cstheme="minorHAnsi"/>
          <w:bCs/>
          <w:sz w:val="24"/>
          <w:szCs w:val="24"/>
        </w:rPr>
        <w:t xml:space="preserve"> The COVID-19 pandemic has taken its toll on older women, particularly due to them living longer and are likely to be living alone and in isolation as a precautionary measure, are more likely to experience malnourishment and malnutrition, and at other general risks since they cannot have contact with people outside their household.</w:t>
      </w:r>
      <w:r w:rsidR="00FB30E1" w:rsidRPr="004F2B4D">
        <w:rPr>
          <w:rStyle w:val="FootnoteReference"/>
          <w:rFonts w:cstheme="minorHAnsi"/>
          <w:bCs/>
          <w:sz w:val="24"/>
          <w:szCs w:val="24"/>
        </w:rPr>
        <w:footnoteReference w:id="16"/>
      </w:r>
    </w:p>
    <w:p w14:paraId="2BB900ED" w14:textId="6A49B6A2" w:rsidR="0033037C" w:rsidRPr="004F2B4D" w:rsidRDefault="0033037C" w:rsidP="00F75E9E">
      <w:pPr>
        <w:spacing w:after="0" w:line="276" w:lineRule="auto"/>
        <w:jc w:val="both"/>
        <w:rPr>
          <w:rFonts w:cstheme="minorHAnsi"/>
          <w:sz w:val="24"/>
          <w:szCs w:val="24"/>
          <w:shd w:val="clear" w:color="auto" w:fill="FFFFFF"/>
        </w:rPr>
      </w:pPr>
    </w:p>
    <w:p w14:paraId="28F0479C" w14:textId="4A78BF41" w:rsidR="00FB30E1" w:rsidRPr="004F2B4D" w:rsidRDefault="00FB30E1" w:rsidP="00F75E9E">
      <w:pPr>
        <w:spacing w:after="0" w:line="276" w:lineRule="auto"/>
        <w:jc w:val="both"/>
        <w:rPr>
          <w:rFonts w:cstheme="minorHAnsi"/>
          <w:sz w:val="24"/>
          <w:szCs w:val="24"/>
          <w:shd w:val="clear" w:color="auto" w:fill="FFFFFF"/>
        </w:rPr>
      </w:pPr>
      <w:r w:rsidRPr="004F2B4D">
        <w:rPr>
          <w:rFonts w:cstheme="minorHAnsi"/>
          <w:b/>
          <w:bCs/>
          <w:sz w:val="24"/>
          <w:szCs w:val="24"/>
          <w:shd w:val="clear" w:color="auto" w:fill="FFFFFF"/>
        </w:rPr>
        <w:t>7</w:t>
      </w:r>
      <w:r w:rsidRPr="004F2B4D">
        <w:rPr>
          <w:rFonts w:cstheme="minorHAnsi"/>
          <w:sz w:val="24"/>
          <w:szCs w:val="24"/>
          <w:shd w:val="clear" w:color="auto" w:fill="FFFFFF"/>
        </w:rPr>
        <w:t xml:space="preserve">. </w:t>
      </w:r>
      <w:r w:rsidR="00826128" w:rsidRPr="004F2B4D">
        <w:rPr>
          <w:rFonts w:cstheme="minorHAnsi"/>
          <w:sz w:val="24"/>
          <w:szCs w:val="24"/>
          <w:shd w:val="clear" w:color="auto" w:fill="FFFFFF"/>
        </w:rPr>
        <w:t>Elderly women</w:t>
      </w:r>
      <w:r w:rsidR="00CA5EDA" w:rsidRPr="004F2B4D">
        <w:rPr>
          <w:rFonts w:cstheme="minorHAnsi"/>
          <w:sz w:val="24"/>
          <w:szCs w:val="24"/>
          <w:shd w:val="clear" w:color="auto" w:fill="FFFFFF"/>
        </w:rPr>
        <w:t xml:space="preserve"> (10.9%)</w:t>
      </w:r>
      <w:r w:rsidR="00826128" w:rsidRPr="004F2B4D">
        <w:rPr>
          <w:rFonts w:cstheme="minorHAnsi"/>
          <w:sz w:val="24"/>
          <w:szCs w:val="24"/>
          <w:shd w:val="clear" w:color="auto" w:fill="FFFFFF"/>
        </w:rPr>
        <w:t xml:space="preserve"> in Malta are more likely to participate in formal or informal voluntary activities or active citizenship, than their male counterparts</w:t>
      </w:r>
      <w:r w:rsidR="00CA5EDA" w:rsidRPr="004F2B4D">
        <w:rPr>
          <w:rFonts w:cstheme="minorHAnsi"/>
          <w:sz w:val="24"/>
          <w:szCs w:val="24"/>
          <w:shd w:val="clear" w:color="auto" w:fill="FFFFFF"/>
        </w:rPr>
        <w:t xml:space="preserve"> (9.4%)</w:t>
      </w:r>
      <w:r w:rsidR="00826128" w:rsidRPr="004F2B4D">
        <w:rPr>
          <w:rFonts w:cstheme="minorHAnsi"/>
          <w:sz w:val="24"/>
          <w:szCs w:val="24"/>
          <w:shd w:val="clear" w:color="auto" w:fill="FFFFFF"/>
        </w:rPr>
        <w:t>.</w:t>
      </w:r>
      <w:r w:rsidR="00826128" w:rsidRPr="004F2B4D">
        <w:rPr>
          <w:rStyle w:val="FootnoteReference"/>
          <w:rFonts w:cstheme="minorHAnsi"/>
          <w:i/>
          <w:iCs/>
          <w:sz w:val="24"/>
          <w:szCs w:val="24"/>
          <w:shd w:val="clear" w:color="auto" w:fill="FFFFFF"/>
        </w:rPr>
        <w:footnoteReference w:id="17"/>
      </w:r>
    </w:p>
    <w:p w14:paraId="0077A4D6" w14:textId="77777777" w:rsidR="006950DB" w:rsidRPr="004F2B4D" w:rsidRDefault="006950DB" w:rsidP="00F75E9E">
      <w:pPr>
        <w:pStyle w:val="ListParagraph"/>
        <w:spacing w:after="0" w:line="276" w:lineRule="auto"/>
        <w:ind w:left="0"/>
        <w:jc w:val="both"/>
        <w:rPr>
          <w:rFonts w:ascii="Arial" w:hAnsi="Arial" w:cs="Arial"/>
          <w:sz w:val="24"/>
          <w:szCs w:val="24"/>
          <w:shd w:val="clear" w:color="auto" w:fill="FFFFFF"/>
        </w:rPr>
      </w:pPr>
    </w:p>
    <w:p w14:paraId="3197B08A" w14:textId="66AE4B4B" w:rsidR="006F2659" w:rsidRDefault="00237CAA" w:rsidP="00876772">
      <w:pPr>
        <w:spacing w:after="0" w:line="24" w:lineRule="atLeast"/>
        <w:jc w:val="both"/>
        <w:rPr>
          <w:noProof/>
        </w:rPr>
      </w:pPr>
      <w:r w:rsidRPr="004F2B4D">
        <w:rPr>
          <w:rFonts w:ascii="Arial" w:hAnsi="Arial" w:cs="Arial"/>
          <w:sz w:val="24"/>
          <w:szCs w:val="24"/>
        </w:rPr>
        <w:lastRenderedPageBreak/>
        <w:tab/>
      </w:r>
      <w:r>
        <w:rPr>
          <w:noProof/>
          <w:lang w:eastAsia="en-GB"/>
        </w:rPr>
        <w:drawing>
          <wp:inline distT="0" distB="0" distL="0" distR="0" wp14:anchorId="22195DFB" wp14:editId="38FF237F">
            <wp:extent cx="5724525" cy="1200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200150"/>
                    </a:xfrm>
                    <a:prstGeom prst="rect">
                      <a:avLst/>
                    </a:prstGeom>
                    <a:noFill/>
                    <a:ln>
                      <a:noFill/>
                    </a:ln>
                  </pic:spPr>
                </pic:pic>
              </a:graphicData>
            </a:graphic>
          </wp:inline>
        </w:drawing>
      </w:r>
      <w:r w:rsidR="006F2659">
        <w:rPr>
          <w:noProof/>
          <w:lang w:eastAsia="en-GB"/>
        </w:rPr>
        <w:drawing>
          <wp:inline distT="0" distB="0" distL="0" distR="0" wp14:anchorId="22BCAA13" wp14:editId="79922351">
            <wp:extent cx="5724525" cy="2466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466975"/>
                    </a:xfrm>
                    <a:prstGeom prst="rect">
                      <a:avLst/>
                    </a:prstGeom>
                    <a:noFill/>
                    <a:ln>
                      <a:noFill/>
                    </a:ln>
                  </pic:spPr>
                </pic:pic>
              </a:graphicData>
            </a:graphic>
          </wp:inline>
        </w:drawing>
      </w:r>
    </w:p>
    <w:p w14:paraId="6BBD2E21" w14:textId="136FF48F" w:rsidR="00CE60D7" w:rsidRPr="004F2B4D" w:rsidRDefault="00070FD0" w:rsidP="00F75E9E">
      <w:pPr>
        <w:tabs>
          <w:tab w:val="left" w:pos="2925"/>
        </w:tabs>
        <w:spacing w:line="276" w:lineRule="auto"/>
        <w:jc w:val="both"/>
        <w:rPr>
          <w:rFonts w:cstheme="minorHAnsi"/>
          <w:sz w:val="24"/>
          <w:szCs w:val="24"/>
          <w:shd w:val="clear" w:color="auto" w:fill="FFFFFF"/>
        </w:rPr>
      </w:pPr>
      <w:r w:rsidRPr="004F2B4D">
        <w:rPr>
          <w:rFonts w:cstheme="minorHAnsi"/>
          <w:b/>
          <w:bCs/>
          <w:sz w:val="24"/>
          <w:szCs w:val="24"/>
          <w:shd w:val="clear" w:color="auto" w:fill="FFFFFF"/>
        </w:rPr>
        <w:t>8.</w:t>
      </w:r>
      <w:r w:rsidR="00D2041E" w:rsidRPr="004F2B4D">
        <w:rPr>
          <w:rFonts w:cstheme="minorHAnsi"/>
          <w:b/>
          <w:bCs/>
          <w:sz w:val="24"/>
          <w:szCs w:val="24"/>
          <w:shd w:val="clear" w:color="auto" w:fill="FFFFFF"/>
        </w:rPr>
        <w:t xml:space="preserve"> </w:t>
      </w:r>
      <w:r w:rsidR="00D2041E" w:rsidRPr="004F2B4D">
        <w:rPr>
          <w:rFonts w:cstheme="minorHAnsi"/>
          <w:sz w:val="24"/>
          <w:szCs w:val="24"/>
          <w:shd w:val="clear" w:color="auto" w:fill="FFFFFF"/>
        </w:rPr>
        <w:t>Ageism is “the most widespread form of discrimination across the EU”</w:t>
      </w:r>
      <w:r w:rsidR="00D2041E" w:rsidRPr="004F2B4D">
        <w:rPr>
          <w:rStyle w:val="FootnoteReference"/>
          <w:rFonts w:cstheme="minorHAnsi"/>
          <w:sz w:val="24"/>
          <w:szCs w:val="24"/>
          <w:shd w:val="clear" w:color="auto" w:fill="FFFFFF"/>
        </w:rPr>
        <w:footnoteReference w:id="18"/>
      </w:r>
      <w:r w:rsidR="00D2041E" w:rsidRPr="004F2B4D">
        <w:rPr>
          <w:rFonts w:cstheme="minorHAnsi"/>
          <w:sz w:val="24"/>
          <w:szCs w:val="24"/>
          <w:shd w:val="clear" w:color="auto" w:fill="FFFFFF"/>
        </w:rPr>
        <w:t xml:space="preserve"> that older women particularly face</w:t>
      </w:r>
      <w:r w:rsidR="00CE60D7" w:rsidRPr="004F2B4D">
        <w:rPr>
          <w:rFonts w:cstheme="minorHAnsi"/>
          <w:sz w:val="24"/>
          <w:szCs w:val="24"/>
          <w:shd w:val="clear" w:color="auto" w:fill="FFFFFF"/>
        </w:rPr>
        <w:t xml:space="preserve">, </w:t>
      </w:r>
      <w:r w:rsidR="00D2041E" w:rsidRPr="004F2B4D">
        <w:rPr>
          <w:rFonts w:cstheme="minorHAnsi"/>
          <w:sz w:val="24"/>
          <w:szCs w:val="24"/>
          <w:shd w:val="clear" w:color="auto" w:fill="FFFFFF"/>
        </w:rPr>
        <w:t>due to</w:t>
      </w:r>
      <w:r w:rsidR="00CE60D7" w:rsidRPr="004F2B4D">
        <w:rPr>
          <w:rFonts w:cstheme="minorHAnsi"/>
          <w:sz w:val="24"/>
          <w:szCs w:val="24"/>
          <w:shd w:val="clear" w:color="auto" w:fill="FFFFFF"/>
        </w:rPr>
        <w:t xml:space="preserve"> their longer life expectancy. The COVID-19 pandemic</w:t>
      </w:r>
      <w:r w:rsidR="00B035AB" w:rsidRPr="004F2B4D">
        <w:rPr>
          <w:rStyle w:val="FootnoteReference"/>
          <w:rFonts w:cstheme="minorHAnsi"/>
          <w:sz w:val="24"/>
          <w:szCs w:val="24"/>
          <w:shd w:val="clear" w:color="auto" w:fill="FFFFFF"/>
        </w:rPr>
        <w:footnoteReference w:id="19"/>
      </w:r>
      <w:r w:rsidR="00CE60D7" w:rsidRPr="004F2B4D">
        <w:rPr>
          <w:rFonts w:cstheme="minorHAnsi"/>
          <w:sz w:val="24"/>
          <w:szCs w:val="24"/>
          <w:shd w:val="clear" w:color="auto" w:fill="FFFFFF"/>
        </w:rPr>
        <w:t xml:space="preserve"> has </w:t>
      </w:r>
      <w:r w:rsidR="002C300F" w:rsidRPr="004F2B4D">
        <w:rPr>
          <w:rFonts w:cstheme="minorHAnsi"/>
          <w:sz w:val="24"/>
          <w:szCs w:val="24"/>
          <w:shd w:val="clear" w:color="auto" w:fill="FFFFFF"/>
        </w:rPr>
        <w:t xml:space="preserve">reiterated the strong impacts of ageism since it affected </w:t>
      </w:r>
      <w:r w:rsidR="00B035AB" w:rsidRPr="004F2B4D">
        <w:rPr>
          <w:rFonts w:cstheme="minorHAnsi"/>
          <w:sz w:val="24"/>
          <w:szCs w:val="24"/>
          <w:shd w:val="clear" w:color="auto" w:fill="FFFFFF"/>
        </w:rPr>
        <w:t>and threatened the equal enjoyment of human rights by older persons.</w:t>
      </w:r>
      <w:r w:rsidR="002C300F" w:rsidRPr="004F2B4D">
        <w:rPr>
          <w:rFonts w:cstheme="minorHAnsi"/>
          <w:sz w:val="24"/>
          <w:szCs w:val="24"/>
          <w:shd w:val="clear" w:color="auto" w:fill="FFFFFF"/>
        </w:rPr>
        <w:t xml:space="preserve"> </w:t>
      </w:r>
      <w:r w:rsidR="00CE60D7" w:rsidRPr="004F2B4D">
        <w:rPr>
          <w:rFonts w:cstheme="minorHAnsi"/>
          <w:sz w:val="24"/>
          <w:szCs w:val="24"/>
          <w:shd w:val="clear" w:color="auto" w:fill="FFFFFF"/>
        </w:rPr>
        <w:t xml:space="preserve"> </w:t>
      </w:r>
      <w:r w:rsidRPr="004F2B4D">
        <w:rPr>
          <w:rFonts w:cstheme="minorHAnsi"/>
          <w:sz w:val="24"/>
          <w:szCs w:val="24"/>
          <w:shd w:val="clear" w:color="auto" w:fill="FFFFFF"/>
        </w:rPr>
        <w:t xml:space="preserve">   </w:t>
      </w:r>
    </w:p>
    <w:p w14:paraId="368770A1" w14:textId="08E45514" w:rsidR="00070FD0" w:rsidRPr="004F2B4D" w:rsidRDefault="00070FD0" w:rsidP="00F75E9E">
      <w:pPr>
        <w:pStyle w:val="ListParagraph"/>
        <w:tabs>
          <w:tab w:val="left" w:pos="2925"/>
        </w:tabs>
        <w:spacing w:line="276" w:lineRule="auto"/>
        <w:jc w:val="both"/>
        <w:rPr>
          <w:rFonts w:cstheme="minorHAnsi"/>
          <w:i/>
          <w:iCs/>
          <w:sz w:val="24"/>
          <w:szCs w:val="24"/>
          <w:shd w:val="clear" w:color="auto" w:fill="FFFFFF"/>
        </w:rPr>
      </w:pPr>
    </w:p>
    <w:p w14:paraId="25A03287" w14:textId="50657B63" w:rsidR="00152AE8" w:rsidRPr="004F2B4D" w:rsidRDefault="00070FD0" w:rsidP="00F75E9E">
      <w:pPr>
        <w:tabs>
          <w:tab w:val="left" w:pos="2925"/>
        </w:tabs>
        <w:spacing w:line="276" w:lineRule="auto"/>
        <w:jc w:val="both"/>
        <w:rPr>
          <w:rFonts w:cstheme="minorHAnsi"/>
          <w:sz w:val="24"/>
          <w:szCs w:val="24"/>
          <w:shd w:val="clear" w:color="auto" w:fill="FFFFFF"/>
        </w:rPr>
      </w:pPr>
      <w:r w:rsidRPr="004F2B4D">
        <w:rPr>
          <w:rFonts w:cstheme="minorHAnsi"/>
          <w:b/>
          <w:bCs/>
          <w:sz w:val="24"/>
          <w:szCs w:val="24"/>
          <w:shd w:val="clear" w:color="auto" w:fill="FFFFFF"/>
        </w:rPr>
        <w:t>9.</w:t>
      </w:r>
      <w:r w:rsidRPr="004F2B4D">
        <w:rPr>
          <w:rFonts w:cstheme="minorHAnsi"/>
          <w:sz w:val="24"/>
          <w:szCs w:val="24"/>
          <w:shd w:val="clear" w:color="auto" w:fill="FFFFFF"/>
        </w:rPr>
        <w:t xml:space="preserve"> </w:t>
      </w:r>
      <w:r w:rsidR="00A445F8" w:rsidRPr="004F2B4D">
        <w:rPr>
          <w:rFonts w:cstheme="minorHAnsi"/>
          <w:sz w:val="24"/>
          <w:szCs w:val="24"/>
          <w:shd w:val="clear" w:color="auto" w:fill="FFFFFF"/>
        </w:rPr>
        <w:t xml:space="preserve">In order to mitigate </w:t>
      </w:r>
      <w:r w:rsidR="00D1272F" w:rsidRPr="004F2B4D">
        <w:rPr>
          <w:rFonts w:cstheme="minorHAnsi"/>
          <w:sz w:val="24"/>
          <w:szCs w:val="24"/>
          <w:shd w:val="clear" w:color="auto" w:fill="FFFFFF"/>
        </w:rPr>
        <w:t xml:space="preserve">discrimination that is led by ageism and sexism, </w:t>
      </w:r>
      <w:r w:rsidR="00784F1F" w:rsidRPr="004F2B4D">
        <w:rPr>
          <w:rFonts w:cstheme="minorHAnsi"/>
          <w:sz w:val="24"/>
          <w:szCs w:val="24"/>
          <w:shd w:val="clear" w:color="auto" w:fill="FFFFFF"/>
        </w:rPr>
        <w:t xml:space="preserve">and </w:t>
      </w:r>
      <w:r w:rsidR="00152AE8" w:rsidRPr="004F2B4D">
        <w:rPr>
          <w:rFonts w:cstheme="minorHAnsi"/>
          <w:sz w:val="24"/>
          <w:szCs w:val="24"/>
          <w:shd w:val="clear" w:color="auto" w:fill="FFFFFF"/>
        </w:rPr>
        <w:t>exacerbated by other intersectional factors such as LGBTIQ older women, i</w:t>
      </w:r>
      <w:r w:rsidR="00EE1E55" w:rsidRPr="004F2B4D">
        <w:rPr>
          <w:rFonts w:cstheme="minorHAnsi"/>
          <w:sz w:val="24"/>
          <w:szCs w:val="24"/>
          <w:shd w:val="clear" w:color="auto" w:fill="FFFFFF"/>
        </w:rPr>
        <w:t xml:space="preserve">n 2018 Malta </w:t>
      </w:r>
      <w:r w:rsidR="00152AE8" w:rsidRPr="004F2B4D">
        <w:rPr>
          <w:rFonts w:cstheme="minorHAnsi"/>
          <w:sz w:val="24"/>
          <w:szCs w:val="24"/>
          <w:shd w:val="clear" w:color="auto" w:fill="FFFFFF"/>
        </w:rPr>
        <w:t xml:space="preserve">launched its </w:t>
      </w:r>
      <w:r w:rsidR="00EE1E55" w:rsidRPr="004F2B4D">
        <w:rPr>
          <w:rFonts w:cstheme="minorHAnsi"/>
          <w:sz w:val="24"/>
          <w:szCs w:val="24"/>
          <w:shd w:val="clear" w:color="auto" w:fill="FFFFFF"/>
        </w:rPr>
        <w:t>second LGBTIQ Strategy and Action Plan</w:t>
      </w:r>
      <w:r w:rsidR="002739F9" w:rsidRPr="004F2B4D">
        <w:rPr>
          <w:rFonts w:cstheme="minorHAnsi"/>
          <w:sz w:val="24"/>
          <w:szCs w:val="24"/>
          <w:shd w:val="clear" w:color="auto" w:fill="FFFFFF"/>
        </w:rPr>
        <w:t xml:space="preserve"> 2018-2022</w:t>
      </w:r>
      <w:r w:rsidR="00EE1E55" w:rsidRPr="004F2B4D">
        <w:rPr>
          <w:rStyle w:val="FootnoteReference"/>
          <w:rFonts w:cstheme="minorHAnsi"/>
          <w:sz w:val="24"/>
          <w:szCs w:val="24"/>
          <w:shd w:val="clear" w:color="auto" w:fill="FFFFFF"/>
        </w:rPr>
        <w:footnoteReference w:id="20"/>
      </w:r>
      <w:r w:rsidR="00EE1E55" w:rsidRPr="004F2B4D">
        <w:rPr>
          <w:rFonts w:cstheme="minorHAnsi"/>
          <w:sz w:val="24"/>
          <w:szCs w:val="24"/>
          <w:shd w:val="clear" w:color="auto" w:fill="FFFFFF"/>
        </w:rPr>
        <w:t>.</w:t>
      </w:r>
      <w:r w:rsidR="00152AE8" w:rsidRPr="004F2B4D">
        <w:rPr>
          <w:rFonts w:cstheme="minorHAnsi"/>
          <w:sz w:val="24"/>
          <w:szCs w:val="24"/>
          <w:shd w:val="clear" w:color="auto" w:fill="FFFFFF"/>
        </w:rPr>
        <w:t xml:space="preserve"> The following are measures which are directly aimed at LGBTIQ older women: </w:t>
      </w:r>
    </w:p>
    <w:p w14:paraId="2C881D60" w14:textId="603B6C24" w:rsidR="00EE1E55" w:rsidRPr="004F2B4D" w:rsidRDefault="00152AE8" w:rsidP="00F75E9E">
      <w:pPr>
        <w:tabs>
          <w:tab w:val="left" w:pos="2925"/>
        </w:tabs>
        <w:spacing w:line="276" w:lineRule="auto"/>
        <w:jc w:val="both"/>
        <w:rPr>
          <w:rFonts w:cstheme="minorHAnsi"/>
          <w:sz w:val="24"/>
          <w:szCs w:val="24"/>
          <w:shd w:val="clear" w:color="auto" w:fill="FFFFFF"/>
        </w:rPr>
      </w:pPr>
      <w:r w:rsidRPr="004F2B4D">
        <w:rPr>
          <w:rFonts w:cstheme="minorHAnsi"/>
          <w:sz w:val="24"/>
          <w:szCs w:val="24"/>
          <w:shd w:val="clear" w:color="auto" w:fill="FFFFFF"/>
        </w:rPr>
        <w:t>- The</w:t>
      </w:r>
      <w:r w:rsidR="008254E5" w:rsidRPr="004F2B4D">
        <w:rPr>
          <w:rFonts w:cstheme="minorHAnsi"/>
          <w:sz w:val="24"/>
          <w:szCs w:val="24"/>
          <w:shd w:val="clear" w:color="auto" w:fill="FFFFFF"/>
        </w:rPr>
        <w:t xml:space="preserve"> adopti</w:t>
      </w:r>
      <w:r w:rsidRPr="004F2B4D">
        <w:rPr>
          <w:rFonts w:cstheme="minorHAnsi"/>
          <w:sz w:val="24"/>
          <w:szCs w:val="24"/>
          <w:shd w:val="clear" w:color="auto" w:fill="FFFFFF"/>
        </w:rPr>
        <w:t>on of</w:t>
      </w:r>
      <w:r w:rsidR="008254E5" w:rsidRPr="004F2B4D">
        <w:rPr>
          <w:rFonts w:cstheme="minorHAnsi"/>
          <w:sz w:val="24"/>
          <w:szCs w:val="24"/>
          <w:shd w:val="clear" w:color="auto" w:fill="FFFFFF"/>
        </w:rPr>
        <w:t xml:space="preserve"> the </w:t>
      </w:r>
      <w:r w:rsidR="008254E5" w:rsidRPr="004F2B4D">
        <w:rPr>
          <w:rFonts w:cstheme="minorHAnsi"/>
          <w:i/>
          <w:iCs/>
          <w:sz w:val="24"/>
          <w:szCs w:val="24"/>
          <w:shd w:val="clear" w:color="auto" w:fill="FFFFFF"/>
        </w:rPr>
        <w:t xml:space="preserve">Equality Act </w:t>
      </w:r>
      <w:r w:rsidR="008254E5" w:rsidRPr="004F2B4D">
        <w:rPr>
          <w:rFonts w:cstheme="minorHAnsi"/>
          <w:sz w:val="24"/>
          <w:szCs w:val="24"/>
          <w:shd w:val="clear" w:color="auto" w:fill="FFFFFF"/>
        </w:rPr>
        <w:t xml:space="preserve">and the </w:t>
      </w:r>
      <w:r w:rsidR="008254E5" w:rsidRPr="004F2B4D">
        <w:rPr>
          <w:rFonts w:cstheme="minorHAnsi"/>
          <w:i/>
          <w:iCs/>
          <w:sz w:val="24"/>
          <w:szCs w:val="24"/>
          <w:shd w:val="clear" w:color="auto" w:fill="FFFFFF"/>
        </w:rPr>
        <w:t>Human Rights and Equality Commission Act</w:t>
      </w:r>
      <w:r w:rsidRPr="004F2B4D">
        <w:rPr>
          <w:rFonts w:cstheme="minorHAnsi"/>
          <w:i/>
          <w:iCs/>
          <w:sz w:val="24"/>
          <w:szCs w:val="24"/>
          <w:shd w:val="clear" w:color="auto" w:fill="FFFFFF"/>
        </w:rPr>
        <w:t>,</w:t>
      </w:r>
      <w:r w:rsidR="008254E5" w:rsidRPr="004F2B4D">
        <w:rPr>
          <w:rFonts w:cstheme="minorHAnsi"/>
          <w:sz w:val="24"/>
          <w:szCs w:val="24"/>
          <w:shd w:val="clear" w:color="auto" w:fill="FFFFFF"/>
        </w:rPr>
        <w:t xml:space="preserve"> </w:t>
      </w:r>
      <w:r w:rsidRPr="004F2B4D">
        <w:rPr>
          <w:rFonts w:cstheme="minorHAnsi"/>
          <w:sz w:val="24"/>
          <w:szCs w:val="24"/>
          <w:shd w:val="clear" w:color="auto" w:fill="FFFFFF"/>
        </w:rPr>
        <w:t>to</w:t>
      </w:r>
      <w:r w:rsidR="008254E5" w:rsidRPr="004F2B4D">
        <w:rPr>
          <w:rFonts w:cstheme="minorHAnsi"/>
          <w:sz w:val="24"/>
          <w:szCs w:val="24"/>
          <w:shd w:val="clear" w:color="auto" w:fill="FFFFFF"/>
        </w:rPr>
        <w:t xml:space="preserve"> tackle discrimination in all spheres of life</w:t>
      </w:r>
      <w:r w:rsidRPr="004F2B4D">
        <w:rPr>
          <w:rFonts w:cstheme="minorHAnsi"/>
          <w:sz w:val="24"/>
          <w:szCs w:val="24"/>
          <w:shd w:val="clear" w:color="auto" w:fill="FFFFFF"/>
        </w:rPr>
        <w:t>, and</w:t>
      </w:r>
      <w:r w:rsidR="008254E5" w:rsidRPr="004F2B4D">
        <w:rPr>
          <w:rFonts w:cstheme="minorHAnsi"/>
          <w:sz w:val="24"/>
          <w:szCs w:val="24"/>
          <w:shd w:val="clear" w:color="auto" w:fill="FFFFFF"/>
        </w:rPr>
        <w:t xml:space="preserve"> intersectional discrimination. </w:t>
      </w:r>
    </w:p>
    <w:p w14:paraId="3AFCF843" w14:textId="77777777" w:rsidR="00F75E9E" w:rsidRDefault="00AB7B5D" w:rsidP="00F75E9E">
      <w:pPr>
        <w:tabs>
          <w:tab w:val="left" w:pos="2925"/>
        </w:tabs>
        <w:spacing w:line="276" w:lineRule="auto"/>
        <w:jc w:val="both"/>
        <w:rPr>
          <w:rFonts w:cstheme="minorHAnsi"/>
          <w:i/>
          <w:iCs/>
          <w:sz w:val="24"/>
          <w:szCs w:val="24"/>
          <w:shd w:val="clear" w:color="auto" w:fill="FFFFFF"/>
        </w:rPr>
      </w:pPr>
      <w:r w:rsidRPr="004F2B4D">
        <w:rPr>
          <w:rFonts w:cstheme="minorHAnsi"/>
          <w:sz w:val="24"/>
          <w:szCs w:val="24"/>
          <w:shd w:val="clear" w:color="auto" w:fill="FFFFFF"/>
        </w:rPr>
        <w:t>- T</w:t>
      </w:r>
      <w:r w:rsidR="00C40B04" w:rsidRPr="004F2B4D">
        <w:rPr>
          <w:rFonts w:cstheme="minorHAnsi"/>
          <w:sz w:val="24"/>
          <w:szCs w:val="24"/>
          <w:shd w:val="clear" w:color="auto" w:fill="FFFFFF"/>
        </w:rPr>
        <w:t>he identification and addressing of specific needs of LGBTIQ with respect to older people, including those who are in care settings</w:t>
      </w:r>
      <w:r w:rsidRPr="004F2B4D">
        <w:rPr>
          <w:rFonts w:cstheme="minorHAnsi"/>
          <w:sz w:val="24"/>
          <w:szCs w:val="24"/>
          <w:shd w:val="clear" w:color="auto" w:fill="FFFFFF"/>
        </w:rPr>
        <w:t xml:space="preserve">. </w:t>
      </w:r>
    </w:p>
    <w:p w14:paraId="769DA46D" w14:textId="20536957" w:rsidR="000E7113" w:rsidRPr="00F75E9E" w:rsidRDefault="00070FD0" w:rsidP="00F75E9E">
      <w:pPr>
        <w:tabs>
          <w:tab w:val="left" w:pos="2925"/>
        </w:tabs>
        <w:spacing w:line="276" w:lineRule="auto"/>
        <w:jc w:val="both"/>
        <w:rPr>
          <w:rFonts w:cstheme="minorHAnsi"/>
          <w:i/>
          <w:iCs/>
          <w:sz w:val="24"/>
          <w:szCs w:val="24"/>
          <w:highlight w:val="green"/>
          <w:shd w:val="clear" w:color="auto" w:fill="FFFFFF"/>
        </w:rPr>
      </w:pPr>
      <w:r w:rsidRPr="004F2B4D">
        <w:rPr>
          <w:rFonts w:cstheme="minorHAnsi"/>
          <w:b/>
          <w:bCs/>
          <w:sz w:val="24"/>
          <w:szCs w:val="24"/>
          <w:shd w:val="clear" w:color="auto" w:fill="FFFFFF"/>
        </w:rPr>
        <w:lastRenderedPageBreak/>
        <w:t>10</w:t>
      </w:r>
      <w:r w:rsidRPr="004F2B4D">
        <w:rPr>
          <w:rFonts w:cstheme="minorHAnsi"/>
          <w:sz w:val="24"/>
          <w:szCs w:val="24"/>
          <w:shd w:val="clear" w:color="auto" w:fill="FFFFFF"/>
        </w:rPr>
        <w:t xml:space="preserve">. </w:t>
      </w:r>
      <w:r w:rsidR="00013BF5" w:rsidRPr="004F2B4D">
        <w:rPr>
          <w:rFonts w:cstheme="minorHAnsi"/>
          <w:sz w:val="24"/>
          <w:szCs w:val="24"/>
          <w:shd w:val="clear" w:color="auto" w:fill="FFFFFF"/>
        </w:rPr>
        <w:t xml:space="preserve">In 2015, the National Commission for the Promotion of Equality (NCPE) carried out a </w:t>
      </w:r>
      <w:r w:rsidR="00013BF5" w:rsidRPr="004F2B4D">
        <w:rPr>
          <w:rFonts w:cstheme="minorHAnsi"/>
          <w:i/>
          <w:iCs/>
          <w:sz w:val="24"/>
          <w:szCs w:val="24"/>
          <w:shd w:val="clear" w:color="auto" w:fill="FFFFFF"/>
        </w:rPr>
        <w:t>Research Study on Violence on Older Women and Men- A qualitative perspective</w:t>
      </w:r>
      <w:r w:rsidR="00013BF5" w:rsidRPr="004F2B4D">
        <w:rPr>
          <w:rStyle w:val="FootnoteReference"/>
          <w:rFonts w:cstheme="minorHAnsi"/>
          <w:i/>
          <w:iCs/>
          <w:sz w:val="24"/>
          <w:szCs w:val="24"/>
          <w:shd w:val="clear" w:color="auto" w:fill="FFFFFF"/>
        </w:rPr>
        <w:footnoteReference w:id="21"/>
      </w:r>
      <w:r w:rsidR="00AB16CF" w:rsidRPr="004F2B4D">
        <w:rPr>
          <w:rStyle w:val="EndnoteReference"/>
          <w:rFonts w:cstheme="minorHAnsi"/>
          <w:i/>
          <w:iCs/>
          <w:sz w:val="24"/>
          <w:szCs w:val="24"/>
          <w:shd w:val="clear" w:color="auto" w:fill="FFFFFF"/>
        </w:rPr>
        <w:endnoteReference w:id="1"/>
      </w:r>
      <w:r w:rsidR="00013BF5" w:rsidRPr="004F2B4D">
        <w:rPr>
          <w:rFonts w:cstheme="minorHAnsi"/>
          <w:sz w:val="24"/>
          <w:szCs w:val="24"/>
          <w:shd w:val="clear" w:color="auto" w:fill="FFFFFF"/>
        </w:rPr>
        <w:t xml:space="preserve"> by which 31 face-to-face in-depth interviews were carried out with victims/survivors of elder abuse, 30 of wh</w:t>
      </w:r>
      <w:r w:rsidRPr="004F2B4D">
        <w:rPr>
          <w:rFonts w:cstheme="minorHAnsi"/>
          <w:sz w:val="24"/>
          <w:szCs w:val="24"/>
          <w:shd w:val="clear" w:color="auto" w:fill="FFFFFF"/>
        </w:rPr>
        <w:t>om</w:t>
      </w:r>
      <w:r w:rsidR="00013BF5" w:rsidRPr="004F2B4D">
        <w:rPr>
          <w:rFonts w:cstheme="minorHAnsi"/>
          <w:sz w:val="24"/>
          <w:szCs w:val="24"/>
          <w:shd w:val="clear" w:color="auto" w:fill="FFFFFF"/>
        </w:rPr>
        <w:t xml:space="preserve"> were women and 1 was a male participant, respectively. </w:t>
      </w:r>
      <w:r w:rsidR="00F905FE" w:rsidRPr="004F2B4D">
        <w:rPr>
          <w:rFonts w:cstheme="minorHAnsi"/>
          <w:sz w:val="24"/>
          <w:szCs w:val="24"/>
          <w:shd w:val="clear" w:color="auto" w:fill="FFFFFF"/>
        </w:rPr>
        <w:t>52% of the respondents were aged between 60-69 years, while the remaining 48% were aged 70+</w:t>
      </w:r>
      <w:r w:rsidR="005B05D2" w:rsidRPr="004F2B4D">
        <w:rPr>
          <w:rFonts w:cstheme="minorHAnsi"/>
          <w:sz w:val="24"/>
          <w:szCs w:val="24"/>
          <w:shd w:val="clear" w:color="auto" w:fill="FFFFFF"/>
        </w:rPr>
        <w:t xml:space="preserve">. </w:t>
      </w:r>
    </w:p>
    <w:p w14:paraId="63340846" w14:textId="4DF8F7C9" w:rsidR="00FC6C49" w:rsidRPr="004F2B4D" w:rsidRDefault="000E7113" w:rsidP="00F75E9E">
      <w:pPr>
        <w:tabs>
          <w:tab w:val="left" w:pos="2925"/>
        </w:tabs>
        <w:spacing w:line="276" w:lineRule="auto"/>
        <w:jc w:val="both"/>
        <w:rPr>
          <w:rFonts w:cstheme="minorHAnsi"/>
          <w:sz w:val="24"/>
          <w:szCs w:val="24"/>
          <w:shd w:val="clear" w:color="auto" w:fill="FFFFFF"/>
        </w:rPr>
      </w:pPr>
      <w:r w:rsidRPr="004F2B4D">
        <w:rPr>
          <w:rFonts w:cstheme="minorHAnsi"/>
          <w:sz w:val="24"/>
          <w:szCs w:val="24"/>
          <w:shd w:val="clear" w:color="auto" w:fill="FFFFFF"/>
        </w:rPr>
        <w:t xml:space="preserve">The </w:t>
      </w:r>
      <w:r w:rsidR="00910305" w:rsidRPr="004F2B4D">
        <w:rPr>
          <w:rFonts w:cstheme="minorHAnsi"/>
          <w:sz w:val="24"/>
          <w:szCs w:val="24"/>
          <w:shd w:val="clear" w:color="auto" w:fill="FFFFFF"/>
        </w:rPr>
        <w:t xml:space="preserve">NCPE had put forward a number of recommendations </w:t>
      </w:r>
      <w:r w:rsidR="00DD5310" w:rsidRPr="004F2B4D">
        <w:rPr>
          <w:rFonts w:cstheme="minorHAnsi"/>
          <w:sz w:val="24"/>
          <w:szCs w:val="24"/>
          <w:shd w:val="clear" w:color="auto" w:fill="FFFFFF"/>
        </w:rPr>
        <w:t>with the aim of addressing elder abuse in Malta</w:t>
      </w:r>
      <w:r w:rsidR="00910305" w:rsidRPr="004F2B4D">
        <w:rPr>
          <w:rFonts w:cstheme="minorHAnsi"/>
          <w:sz w:val="24"/>
          <w:szCs w:val="24"/>
          <w:shd w:val="clear" w:color="auto" w:fill="FFFFFF"/>
        </w:rPr>
        <w:t xml:space="preserve">. </w:t>
      </w:r>
      <w:r w:rsidR="00BF2409" w:rsidRPr="004F2B4D">
        <w:rPr>
          <w:rFonts w:cstheme="minorHAnsi"/>
          <w:sz w:val="24"/>
          <w:szCs w:val="24"/>
          <w:shd w:val="clear" w:color="auto" w:fill="FFFFFF"/>
        </w:rPr>
        <w:t>In the past five years, advancements have been made with respect to service provisions, and awareness-raising and empowerment initiatives aimed at the victims and perpetrators.</w:t>
      </w:r>
    </w:p>
    <w:p w14:paraId="737EFBF0" w14:textId="23108710" w:rsidR="00DD5310" w:rsidRPr="004F2B4D" w:rsidRDefault="00DD5310" w:rsidP="00F75E9E">
      <w:pPr>
        <w:tabs>
          <w:tab w:val="left" w:pos="2925"/>
        </w:tabs>
        <w:spacing w:line="276" w:lineRule="auto"/>
        <w:ind w:left="1483"/>
        <w:jc w:val="both"/>
        <w:rPr>
          <w:rFonts w:ascii="Segoe UI" w:hAnsi="Segoe UI" w:cs="Segoe UI"/>
          <w:shd w:val="clear" w:color="auto" w:fill="FFFFFF"/>
        </w:rPr>
      </w:pPr>
    </w:p>
    <w:p w14:paraId="644BC4E0" w14:textId="77777777" w:rsidR="004D6E05" w:rsidRDefault="004D6E05" w:rsidP="00F75E9E">
      <w:pPr>
        <w:pStyle w:val="ListParagraph"/>
        <w:tabs>
          <w:tab w:val="left" w:pos="2925"/>
        </w:tabs>
        <w:spacing w:line="276" w:lineRule="auto"/>
        <w:jc w:val="both"/>
        <w:rPr>
          <w:rFonts w:ascii="Segoe UI" w:hAnsi="Segoe UI" w:cs="Segoe UI"/>
          <w:shd w:val="clear" w:color="auto" w:fill="FFFFFF"/>
        </w:rPr>
      </w:pPr>
    </w:p>
    <w:p w14:paraId="56819E61" w14:textId="77777777" w:rsidR="00B415B4" w:rsidRPr="00B415B4" w:rsidRDefault="00B415B4" w:rsidP="00F75E9E">
      <w:pPr>
        <w:pStyle w:val="ListParagraph"/>
        <w:tabs>
          <w:tab w:val="left" w:pos="2925"/>
        </w:tabs>
        <w:spacing w:line="276" w:lineRule="auto"/>
        <w:jc w:val="both"/>
        <w:rPr>
          <w:rFonts w:ascii="Segoe UI" w:hAnsi="Segoe UI" w:cs="Segoe UI"/>
          <w:shd w:val="clear" w:color="auto" w:fill="FFFFFF"/>
        </w:rPr>
      </w:pPr>
    </w:p>
    <w:sectPr w:rsidR="00B415B4" w:rsidRPr="00B415B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9347" w14:textId="77777777" w:rsidR="00393910" w:rsidRDefault="00393910" w:rsidP="004567D3">
      <w:pPr>
        <w:spacing w:after="0" w:line="240" w:lineRule="auto"/>
      </w:pPr>
      <w:r>
        <w:separator/>
      </w:r>
    </w:p>
  </w:endnote>
  <w:endnote w:type="continuationSeparator" w:id="0">
    <w:p w14:paraId="24F8D7C7" w14:textId="77777777" w:rsidR="00393910" w:rsidRDefault="00393910" w:rsidP="004567D3">
      <w:pPr>
        <w:spacing w:after="0" w:line="240" w:lineRule="auto"/>
      </w:pPr>
      <w:r>
        <w:continuationSeparator/>
      </w:r>
    </w:p>
  </w:endnote>
  <w:endnote w:id="1">
    <w:p w14:paraId="26E827AE" w14:textId="77777777" w:rsidR="00AB16CF" w:rsidRPr="004F2B4D" w:rsidRDefault="00AB16CF" w:rsidP="00AB16CF">
      <w:pPr>
        <w:tabs>
          <w:tab w:val="left" w:pos="2977"/>
        </w:tabs>
        <w:jc w:val="both"/>
        <w:rPr>
          <w:rFonts w:cstheme="minorHAnsi"/>
          <w:i/>
          <w:iCs/>
          <w:sz w:val="24"/>
          <w:szCs w:val="24"/>
          <w:shd w:val="clear" w:color="auto" w:fill="FFFFFF"/>
        </w:rPr>
      </w:pPr>
      <w:r>
        <w:rPr>
          <w:rStyle w:val="EndnoteReference"/>
        </w:rPr>
        <w:endnoteRef/>
      </w:r>
      <w:r>
        <w:t xml:space="preserve"> </w:t>
      </w:r>
      <w:r w:rsidRPr="004F2B4D">
        <w:rPr>
          <w:rFonts w:cstheme="minorHAnsi"/>
          <w:sz w:val="24"/>
          <w:szCs w:val="24"/>
          <w:shd w:val="clear" w:color="auto" w:fill="FFFFFF"/>
        </w:rPr>
        <w:t>The following were the main findings:</w:t>
      </w:r>
    </w:p>
    <w:p w14:paraId="3347088A" w14:textId="77777777" w:rsidR="00AB16CF" w:rsidRPr="004F2B4D" w:rsidRDefault="00AB16CF" w:rsidP="00AB16CF">
      <w:pPr>
        <w:pStyle w:val="ListParagraph"/>
        <w:numPr>
          <w:ilvl w:val="0"/>
          <w:numId w:val="3"/>
        </w:numPr>
        <w:tabs>
          <w:tab w:val="left" w:pos="2925"/>
        </w:tabs>
        <w:ind w:left="1843"/>
        <w:jc w:val="both"/>
        <w:rPr>
          <w:rFonts w:cstheme="minorHAnsi"/>
          <w:sz w:val="24"/>
          <w:szCs w:val="24"/>
          <w:shd w:val="clear" w:color="auto" w:fill="FFFFFF"/>
        </w:rPr>
      </w:pPr>
      <w:r w:rsidRPr="004F2B4D">
        <w:rPr>
          <w:rFonts w:cstheme="minorHAnsi"/>
          <w:sz w:val="24"/>
          <w:szCs w:val="24"/>
          <w:shd w:val="clear" w:color="auto" w:fill="FFFFFF"/>
        </w:rPr>
        <w:t>81% of the perpetrators were the husband/ partners; 16% were the victims’ children or partners; and 3% were the wife</w:t>
      </w:r>
    </w:p>
    <w:p w14:paraId="471F772A" w14:textId="77777777" w:rsidR="00AB16CF" w:rsidRPr="004F2B4D" w:rsidRDefault="00AB16CF" w:rsidP="00AB16CF">
      <w:pPr>
        <w:pStyle w:val="ListParagraph"/>
        <w:numPr>
          <w:ilvl w:val="0"/>
          <w:numId w:val="3"/>
        </w:numPr>
        <w:tabs>
          <w:tab w:val="left" w:pos="2925"/>
        </w:tabs>
        <w:ind w:left="1843"/>
        <w:jc w:val="both"/>
        <w:rPr>
          <w:rFonts w:cstheme="minorHAnsi"/>
          <w:sz w:val="24"/>
          <w:szCs w:val="24"/>
          <w:shd w:val="clear" w:color="auto" w:fill="FFFFFF"/>
        </w:rPr>
      </w:pPr>
      <w:r w:rsidRPr="004F2B4D">
        <w:rPr>
          <w:rFonts w:cstheme="minorHAnsi"/>
          <w:sz w:val="24"/>
          <w:szCs w:val="24"/>
          <w:shd w:val="clear" w:color="auto" w:fill="FFFFFF"/>
        </w:rPr>
        <w:t>A large percentage of respondents stated that the abuse was carried out in the household – behind closed doors and the abuse lasted from 31 to 40 years</w:t>
      </w:r>
    </w:p>
    <w:p w14:paraId="1D2B68B7" w14:textId="77777777" w:rsidR="00AB16CF" w:rsidRPr="004F2B4D" w:rsidRDefault="00AB16CF" w:rsidP="00AB16CF">
      <w:pPr>
        <w:pStyle w:val="ListParagraph"/>
        <w:numPr>
          <w:ilvl w:val="0"/>
          <w:numId w:val="3"/>
        </w:numPr>
        <w:tabs>
          <w:tab w:val="left" w:pos="2925"/>
        </w:tabs>
        <w:ind w:left="1843"/>
        <w:jc w:val="both"/>
        <w:rPr>
          <w:rFonts w:cstheme="minorHAnsi"/>
          <w:sz w:val="24"/>
          <w:szCs w:val="24"/>
          <w:shd w:val="clear" w:color="auto" w:fill="FFFFFF"/>
        </w:rPr>
      </w:pPr>
      <w:r w:rsidRPr="004F2B4D">
        <w:rPr>
          <w:rFonts w:cstheme="minorHAnsi"/>
          <w:sz w:val="24"/>
          <w:szCs w:val="24"/>
          <w:shd w:val="clear" w:color="auto" w:fill="FFFFFF"/>
        </w:rPr>
        <w:t>The forms of abuse experienced by the victims were mainly psychological/emotional, followed by neglect, physical, financial/material, and sexual</w:t>
      </w:r>
    </w:p>
    <w:p w14:paraId="255D01E2" w14:textId="77777777" w:rsidR="00AB16CF" w:rsidRPr="004F2B4D" w:rsidRDefault="00AB16CF" w:rsidP="00AB16CF">
      <w:pPr>
        <w:pStyle w:val="ListParagraph"/>
        <w:numPr>
          <w:ilvl w:val="0"/>
          <w:numId w:val="3"/>
        </w:numPr>
        <w:tabs>
          <w:tab w:val="left" w:pos="2925"/>
        </w:tabs>
        <w:ind w:left="1843"/>
        <w:jc w:val="both"/>
        <w:rPr>
          <w:rFonts w:cstheme="minorHAnsi"/>
          <w:sz w:val="24"/>
          <w:szCs w:val="24"/>
          <w:shd w:val="clear" w:color="auto" w:fill="FFFFFF"/>
        </w:rPr>
      </w:pPr>
      <w:r w:rsidRPr="004F2B4D">
        <w:rPr>
          <w:rFonts w:cstheme="minorHAnsi"/>
          <w:sz w:val="24"/>
          <w:szCs w:val="24"/>
          <w:shd w:val="clear" w:color="auto" w:fill="FFFFFF"/>
        </w:rPr>
        <w:t>The majority of respondents stated that they have opened up about the abuse they were experiencing with their sister/daughter only, whereas 36% of respondents stated that they only spoke about said abuse only after it stopped (separated/divorced)</w:t>
      </w:r>
    </w:p>
    <w:p w14:paraId="7C1E06ED" w14:textId="77777777" w:rsidR="00AB16CF" w:rsidRPr="004F2B4D" w:rsidRDefault="00AB16CF" w:rsidP="00AB16CF">
      <w:pPr>
        <w:pStyle w:val="ListParagraph"/>
        <w:numPr>
          <w:ilvl w:val="0"/>
          <w:numId w:val="3"/>
        </w:numPr>
        <w:tabs>
          <w:tab w:val="left" w:pos="2925"/>
        </w:tabs>
        <w:ind w:left="1843"/>
        <w:jc w:val="both"/>
        <w:rPr>
          <w:rFonts w:cstheme="minorHAnsi"/>
          <w:sz w:val="24"/>
          <w:szCs w:val="24"/>
          <w:shd w:val="clear" w:color="auto" w:fill="FFFFFF"/>
        </w:rPr>
      </w:pPr>
      <w:r w:rsidRPr="004F2B4D">
        <w:rPr>
          <w:rFonts w:cstheme="minorHAnsi"/>
          <w:sz w:val="24"/>
          <w:szCs w:val="24"/>
          <w:shd w:val="clear" w:color="auto" w:fill="FFFFFF"/>
        </w:rPr>
        <w:t>The majority of the victims did not seek help from third parties.</w:t>
      </w:r>
    </w:p>
    <w:p w14:paraId="0AD5EB37" w14:textId="26FCAB69" w:rsidR="00AB16CF" w:rsidRDefault="00AB16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DE81" w14:textId="77777777" w:rsidR="00130BF8" w:rsidRDefault="00130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97322"/>
      <w:docPartObj>
        <w:docPartGallery w:val="Page Numbers (Bottom of Page)"/>
        <w:docPartUnique/>
      </w:docPartObj>
    </w:sdtPr>
    <w:sdtEndPr>
      <w:rPr>
        <w:noProof/>
      </w:rPr>
    </w:sdtEndPr>
    <w:sdtContent>
      <w:p w14:paraId="1B80B935" w14:textId="2CE5673B" w:rsidR="00367AD8" w:rsidRDefault="00367AD8">
        <w:pPr>
          <w:pStyle w:val="Footer"/>
          <w:jc w:val="right"/>
        </w:pPr>
        <w:r>
          <w:fldChar w:fldCharType="begin"/>
        </w:r>
        <w:r>
          <w:instrText xml:space="preserve"> PAGE   \* MERGEFORMAT </w:instrText>
        </w:r>
        <w:r>
          <w:fldChar w:fldCharType="separate"/>
        </w:r>
        <w:r w:rsidR="00130BF8">
          <w:rPr>
            <w:noProof/>
          </w:rPr>
          <w:t>8</w:t>
        </w:r>
        <w:r>
          <w:rPr>
            <w:noProof/>
          </w:rPr>
          <w:fldChar w:fldCharType="end"/>
        </w:r>
      </w:p>
    </w:sdtContent>
  </w:sdt>
  <w:p w14:paraId="6910E175" w14:textId="77777777" w:rsidR="00367AD8" w:rsidRDefault="00367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4977" w14:textId="77777777" w:rsidR="00130BF8" w:rsidRDefault="00130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AB500" w14:textId="77777777" w:rsidR="00393910" w:rsidRDefault="00393910" w:rsidP="004567D3">
      <w:pPr>
        <w:spacing w:after="0" w:line="240" w:lineRule="auto"/>
      </w:pPr>
      <w:r>
        <w:separator/>
      </w:r>
    </w:p>
  </w:footnote>
  <w:footnote w:type="continuationSeparator" w:id="0">
    <w:p w14:paraId="03CA8E18" w14:textId="77777777" w:rsidR="00393910" w:rsidRDefault="00393910" w:rsidP="004567D3">
      <w:pPr>
        <w:spacing w:after="0" w:line="240" w:lineRule="auto"/>
      </w:pPr>
      <w:r>
        <w:continuationSeparator/>
      </w:r>
    </w:p>
  </w:footnote>
  <w:footnote w:id="1">
    <w:p w14:paraId="0372851A" w14:textId="2C60611B" w:rsidR="007A42E3" w:rsidRDefault="007A42E3">
      <w:pPr>
        <w:pStyle w:val="FootnoteText"/>
      </w:pPr>
      <w:r>
        <w:rPr>
          <w:rStyle w:val="FootnoteReference"/>
        </w:rPr>
        <w:footnoteRef/>
      </w:r>
      <w:r>
        <w:t xml:space="preserve"> </w:t>
      </w:r>
      <w:hyperlink r:id="rId1" w:history="1">
        <w:r w:rsidRPr="00EB37E6">
          <w:rPr>
            <w:rStyle w:val="Hyperlink"/>
          </w:rPr>
          <w:t>https://legislation.mt/eli/cap/456/eng/pdf</w:t>
        </w:r>
      </w:hyperlink>
    </w:p>
    <w:p w14:paraId="32DD61E4" w14:textId="77777777" w:rsidR="007A42E3" w:rsidRDefault="007A42E3">
      <w:pPr>
        <w:pStyle w:val="FootnoteText"/>
      </w:pPr>
    </w:p>
  </w:footnote>
  <w:footnote w:id="2">
    <w:p w14:paraId="36491D4C" w14:textId="5D5EFF1F" w:rsidR="00694971" w:rsidRDefault="00694971">
      <w:pPr>
        <w:pStyle w:val="FootnoteText"/>
      </w:pPr>
      <w:r>
        <w:rPr>
          <w:rStyle w:val="FootnoteReference"/>
        </w:rPr>
        <w:footnoteRef/>
      </w:r>
      <w:r>
        <w:t xml:space="preserve"> </w:t>
      </w:r>
      <w:hyperlink r:id="rId2" w:history="1">
        <w:r w:rsidRPr="00EB37E6">
          <w:rPr>
            <w:rStyle w:val="Hyperlink"/>
          </w:rPr>
          <w:t>https://activeageing.gov.mt/en/Pages/NSPAA.aspx</w:t>
        </w:r>
      </w:hyperlink>
    </w:p>
    <w:p w14:paraId="07C3E9C1" w14:textId="77777777" w:rsidR="00694971" w:rsidRDefault="00694971">
      <w:pPr>
        <w:pStyle w:val="FootnoteText"/>
      </w:pPr>
    </w:p>
  </w:footnote>
  <w:footnote w:id="3">
    <w:p w14:paraId="53031CAC" w14:textId="23710181" w:rsidR="004904CA" w:rsidRDefault="004904CA">
      <w:pPr>
        <w:pStyle w:val="FootnoteText"/>
      </w:pPr>
      <w:r>
        <w:rPr>
          <w:rStyle w:val="FootnoteReference"/>
        </w:rPr>
        <w:footnoteRef/>
      </w:r>
      <w:hyperlink r:id="rId3" w:history="1">
        <w:r w:rsidRPr="00EB37E6">
          <w:rPr>
            <w:rStyle w:val="Hyperlink"/>
          </w:rPr>
          <w:t>https://medecms.gov.mt/en/Documents/Malta%20National%20Lifelong%20Learning%20Strategy%202020.pdf</w:t>
        </w:r>
      </w:hyperlink>
    </w:p>
    <w:p w14:paraId="6CCF33D2" w14:textId="77777777" w:rsidR="004904CA" w:rsidRDefault="004904CA">
      <w:pPr>
        <w:pStyle w:val="FootnoteText"/>
      </w:pPr>
    </w:p>
  </w:footnote>
  <w:footnote w:id="4">
    <w:p w14:paraId="72CA7385" w14:textId="48B1B38C" w:rsidR="00A772DD" w:rsidRDefault="00A772DD">
      <w:pPr>
        <w:pStyle w:val="FootnoteText"/>
      </w:pPr>
      <w:r>
        <w:rPr>
          <w:rStyle w:val="FootnoteReference"/>
        </w:rPr>
        <w:footnoteRef/>
      </w:r>
      <w:r>
        <w:t xml:space="preserve"> </w:t>
      </w:r>
      <w:hyperlink r:id="rId4" w:history="1">
        <w:r w:rsidRPr="00EB37E6">
          <w:rPr>
            <w:rStyle w:val="Hyperlink"/>
          </w:rPr>
          <w:t>https://eur-lex.europa.eu/legal-content/EN/TXT/PDF/?uri=CELEX:52020DC0152&amp;from=EN</w:t>
        </w:r>
      </w:hyperlink>
    </w:p>
    <w:p w14:paraId="73CDDB94" w14:textId="77777777" w:rsidR="00A772DD" w:rsidRDefault="00A772DD">
      <w:pPr>
        <w:pStyle w:val="FootnoteText"/>
      </w:pPr>
    </w:p>
  </w:footnote>
  <w:footnote w:id="5">
    <w:p w14:paraId="5A5BAECF" w14:textId="41609DA5" w:rsidR="007A42E3" w:rsidRDefault="007A42E3">
      <w:pPr>
        <w:pStyle w:val="FootnoteText"/>
      </w:pPr>
      <w:r>
        <w:rPr>
          <w:rStyle w:val="FootnoteReference"/>
        </w:rPr>
        <w:footnoteRef/>
      </w:r>
      <w:r>
        <w:t xml:space="preserve"> </w:t>
      </w:r>
      <w:hyperlink r:id="rId5" w:history="1">
        <w:r w:rsidRPr="00EB37E6">
          <w:rPr>
            <w:rStyle w:val="Hyperlink"/>
          </w:rPr>
          <w:t>https://ec.europa.eu/info/files/green-paper-ageing-fostering-solidarity-and-responsibility-between-generations_en</w:t>
        </w:r>
      </w:hyperlink>
    </w:p>
    <w:p w14:paraId="13454649" w14:textId="77777777" w:rsidR="007A42E3" w:rsidRDefault="007A42E3">
      <w:pPr>
        <w:pStyle w:val="FootnoteText"/>
      </w:pPr>
    </w:p>
  </w:footnote>
  <w:footnote w:id="6">
    <w:p w14:paraId="585191FC" w14:textId="6545B016" w:rsidR="00B574F1" w:rsidRDefault="00B574F1">
      <w:pPr>
        <w:pStyle w:val="FootnoteText"/>
      </w:pPr>
      <w:r>
        <w:rPr>
          <w:rStyle w:val="FootnoteReference"/>
        </w:rPr>
        <w:footnoteRef/>
      </w:r>
      <w:r>
        <w:t xml:space="preserve"> </w:t>
      </w:r>
      <w:r w:rsidRPr="00B574F1">
        <w:t>https://www.um.edu.mt/services/u3a</w:t>
      </w:r>
    </w:p>
  </w:footnote>
  <w:footnote w:id="7">
    <w:p w14:paraId="27EEC484" w14:textId="05A992E6" w:rsidR="00DB07AD" w:rsidRDefault="00DB07AD">
      <w:pPr>
        <w:pStyle w:val="FootnoteText"/>
      </w:pPr>
      <w:r>
        <w:rPr>
          <w:rStyle w:val="FootnoteReference"/>
        </w:rPr>
        <w:footnoteRef/>
      </w:r>
      <w:r>
        <w:t xml:space="preserve"> </w:t>
      </w:r>
      <w:hyperlink r:id="rId6" w:history="1">
        <w:r w:rsidRPr="00B73D7F">
          <w:rPr>
            <w:rStyle w:val="Hyperlink"/>
          </w:rPr>
          <w:t>https://ec.europa.eu/eurostat/databrowser/view/hlth_hlye/default/table?lang=en</w:t>
        </w:r>
      </w:hyperlink>
    </w:p>
    <w:p w14:paraId="5B1F52CA" w14:textId="77777777" w:rsidR="00DB07AD" w:rsidRDefault="00DB07AD">
      <w:pPr>
        <w:pStyle w:val="FootnoteText"/>
      </w:pPr>
    </w:p>
  </w:footnote>
  <w:footnote w:id="8">
    <w:p w14:paraId="550A8F61" w14:textId="77777777" w:rsidR="00DB07AD" w:rsidRPr="008D76BA" w:rsidRDefault="00DB07AD" w:rsidP="00DB07AD">
      <w:pPr>
        <w:pStyle w:val="FootnoteText"/>
        <w:jc w:val="both"/>
        <w:rPr>
          <w:i/>
        </w:rPr>
      </w:pPr>
      <w:r>
        <w:rPr>
          <w:rStyle w:val="FootnoteReference"/>
        </w:rPr>
        <w:footnoteRef/>
      </w:r>
      <w:r>
        <w:t xml:space="preserve"> European Institute for Gender Equality, 2017.  </w:t>
      </w:r>
      <w:r w:rsidRPr="008D76BA">
        <w:rPr>
          <w:i/>
        </w:rPr>
        <w:t>Gender Equality Index 2017 – Measuring Gender Equality in the European Union 2005 – 2015.</w:t>
      </w:r>
    </w:p>
  </w:footnote>
  <w:footnote w:id="9">
    <w:p w14:paraId="112B55EE" w14:textId="77777777" w:rsidR="00DB07AD" w:rsidRPr="00130BF8" w:rsidRDefault="00DB07AD" w:rsidP="00DB07AD">
      <w:pPr>
        <w:pStyle w:val="FootnoteText"/>
        <w:rPr>
          <w:lang w:val="es-ES"/>
        </w:rPr>
      </w:pPr>
      <w:r>
        <w:rPr>
          <w:rStyle w:val="FootnoteReference"/>
        </w:rPr>
        <w:footnoteRef/>
      </w:r>
      <w:r w:rsidRPr="00130BF8">
        <w:rPr>
          <w:lang w:val="es-ES"/>
        </w:rPr>
        <w:t xml:space="preserve"> Ibid.</w:t>
      </w:r>
    </w:p>
  </w:footnote>
  <w:footnote w:id="10">
    <w:p w14:paraId="16E41871" w14:textId="092719FE" w:rsidR="00E104EE" w:rsidRPr="00130BF8" w:rsidRDefault="00E104EE">
      <w:pPr>
        <w:pStyle w:val="FootnoteText"/>
        <w:rPr>
          <w:lang w:val="es-ES"/>
        </w:rPr>
      </w:pPr>
      <w:r>
        <w:rPr>
          <w:rStyle w:val="FootnoteReference"/>
        </w:rPr>
        <w:footnoteRef/>
      </w:r>
      <w:r w:rsidRPr="00130BF8">
        <w:rPr>
          <w:lang w:val="es-ES"/>
        </w:rPr>
        <w:t xml:space="preserve"> https://appsso.eurostat.ec.europa.eu/nui/submitViewTableAction.do</w:t>
      </w:r>
    </w:p>
  </w:footnote>
  <w:footnote w:id="11">
    <w:p w14:paraId="0527D671" w14:textId="77777777" w:rsidR="00CB02C6" w:rsidRDefault="00CB02C6" w:rsidP="00CB02C6">
      <w:pPr>
        <w:pStyle w:val="FootnoteText"/>
      </w:pPr>
      <w:r>
        <w:rPr>
          <w:rStyle w:val="FootnoteReference"/>
        </w:rPr>
        <w:footnoteRef/>
      </w:r>
      <w:r>
        <w:t xml:space="preserve"> European Union, 2018.  </w:t>
      </w:r>
      <w:r w:rsidRPr="008364B3">
        <w:rPr>
          <w:i/>
        </w:rPr>
        <w:t>Informal care in Europe.  Exploring Formalisation, Availability and Quality</w:t>
      </w:r>
      <w:r>
        <w:t>.</w:t>
      </w:r>
    </w:p>
  </w:footnote>
  <w:footnote w:id="12">
    <w:p w14:paraId="645A6F6F" w14:textId="77777777" w:rsidR="00CB02C6" w:rsidRDefault="00CB02C6" w:rsidP="00CB02C6">
      <w:pPr>
        <w:pStyle w:val="FootnoteText"/>
      </w:pPr>
      <w:r>
        <w:rPr>
          <w:rStyle w:val="FootnoteReference"/>
        </w:rPr>
        <w:footnoteRef/>
      </w:r>
      <w:r>
        <w:t xml:space="preserve"> Ibid.</w:t>
      </w:r>
    </w:p>
  </w:footnote>
  <w:footnote w:id="13">
    <w:p w14:paraId="7FED231C" w14:textId="124DD1F1" w:rsidR="007F5D6C" w:rsidRDefault="007F5D6C">
      <w:pPr>
        <w:pStyle w:val="FootnoteText"/>
      </w:pPr>
      <w:r>
        <w:rPr>
          <w:rStyle w:val="FootnoteReference"/>
        </w:rPr>
        <w:footnoteRef/>
      </w:r>
      <w:hyperlink r:id="rId7" w:history="1">
        <w:r w:rsidR="008B30F2" w:rsidRPr="00B73D7F">
          <w:rPr>
            <w:rStyle w:val="Hyperlink"/>
          </w:rPr>
          <w:t>https://ec.europa.eu/eurostat/databrowser/view/ILC_PNP13__custom_470372/bookmark/table?lang=en&amp;bookmarkId=ca6425d8-bd3e-4a09-b6d8-c181ea76bc6a</w:t>
        </w:r>
      </w:hyperlink>
    </w:p>
    <w:p w14:paraId="377EA050" w14:textId="77777777" w:rsidR="007F5D6C" w:rsidRDefault="007F5D6C">
      <w:pPr>
        <w:pStyle w:val="FootnoteText"/>
      </w:pPr>
    </w:p>
  </w:footnote>
  <w:footnote w:id="14">
    <w:p w14:paraId="7F00EBF9" w14:textId="3016DF6E" w:rsidR="00996126" w:rsidRDefault="00996126">
      <w:pPr>
        <w:pStyle w:val="FootnoteText"/>
      </w:pPr>
      <w:r>
        <w:rPr>
          <w:rStyle w:val="FootnoteReference"/>
        </w:rPr>
        <w:footnoteRef/>
      </w:r>
      <w:r>
        <w:t xml:space="preserve"> </w:t>
      </w:r>
      <w:hyperlink r:id="rId8" w:history="1">
        <w:r w:rsidRPr="00B73D7F">
          <w:rPr>
            <w:rStyle w:val="Hyperlink"/>
          </w:rPr>
          <w:t>https://ec.europa.eu/eurostat/databrowser/view/sdg_05_20/default/table?lang=en</w:t>
        </w:r>
      </w:hyperlink>
    </w:p>
    <w:p w14:paraId="0965AC6B" w14:textId="77777777" w:rsidR="00996126" w:rsidRDefault="00996126">
      <w:pPr>
        <w:pStyle w:val="FootnoteText"/>
      </w:pPr>
    </w:p>
  </w:footnote>
  <w:footnote w:id="15">
    <w:p w14:paraId="75A8C50C" w14:textId="3F880CA8" w:rsidR="008C7233" w:rsidRDefault="008C7233">
      <w:pPr>
        <w:pStyle w:val="FootnoteText"/>
      </w:pPr>
      <w:r>
        <w:rPr>
          <w:rStyle w:val="FootnoteReference"/>
        </w:rPr>
        <w:footnoteRef/>
      </w:r>
      <w:r>
        <w:t xml:space="preserve"> </w:t>
      </w:r>
      <w:hyperlink r:id="rId9" w:history="1">
        <w:r w:rsidRPr="007776EA">
          <w:rPr>
            <w:rStyle w:val="Hyperlink"/>
          </w:rPr>
          <w:t>https://eige.europa.eu/publications/gender-equality-index-2020-malta</w:t>
        </w:r>
      </w:hyperlink>
    </w:p>
    <w:p w14:paraId="31201FFF" w14:textId="77777777" w:rsidR="008C7233" w:rsidRDefault="008C7233">
      <w:pPr>
        <w:pStyle w:val="FootnoteText"/>
      </w:pPr>
    </w:p>
  </w:footnote>
  <w:footnote w:id="16">
    <w:p w14:paraId="0A9A14EA" w14:textId="77777777" w:rsidR="00FB30E1" w:rsidRDefault="00FB30E1" w:rsidP="00FB30E1">
      <w:pPr>
        <w:pStyle w:val="FootnoteText"/>
      </w:pPr>
      <w:r>
        <w:rPr>
          <w:rStyle w:val="FootnoteReference"/>
        </w:rPr>
        <w:footnoteRef/>
      </w:r>
      <w:r>
        <w:t xml:space="preserve"> </w:t>
      </w:r>
      <w:hyperlink r:id="rId10" w:history="1">
        <w:r w:rsidRPr="00B73D7F">
          <w:rPr>
            <w:rStyle w:val="Hyperlink"/>
          </w:rPr>
          <w:t>https://www.age-platform.eu/sites/default/files/Human%20rights%20concerns%20on%20implications%20of%20COVID%2019%20to%20older%20persons_Final_18May2020.pdf</w:t>
        </w:r>
      </w:hyperlink>
    </w:p>
    <w:p w14:paraId="5420FD3E" w14:textId="77777777" w:rsidR="00FB30E1" w:rsidRDefault="00FB30E1" w:rsidP="00FB30E1">
      <w:pPr>
        <w:pStyle w:val="FootnoteText"/>
      </w:pPr>
    </w:p>
  </w:footnote>
  <w:footnote w:id="17">
    <w:p w14:paraId="2183A721" w14:textId="08E6DFF5" w:rsidR="00826128" w:rsidRDefault="00826128">
      <w:pPr>
        <w:pStyle w:val="FootnoteText"/>
      </w:pPr>
      <w:r>
        <w:rPr>
          <w:rStyle w:val="FootnoteReference"/>
        </w:rPr>
        <w:footnoteRef/>
      </w:r>
      <w:r>
        <w:t xml:space="preserve"> </w:t>
      </w:r>
      <w:r w:rsidRPr="00826128">
        <w:t>https://ec.europa.eu/eurostat/databrowser/view/ILC_SCP19__custom_729611/default/table?lang=en</w:t>
      </w:r>
    </w:p>
  </w:footnote>
  <w:footnote w:id="18">
    <w:p w14:paraId="772F08AC" w14:textId="110879FF" w:rsidR="00D2041E" w:rsidRDefault="00D2041E">
      <w:pPr>
        <w:pStyle w:val="FootnoteText"/>
      </w:pPr>
      <w:r>
        <w:rPr>
          <w:rStyle w:val="FootnoteReference"/>
        </w:rPr>
        <w:footnoteRef/>
      </w:r>
      <w:r>
        <w:t xml:space="preserve"> </w:t>
      </w:r>
      <w:r w:rsidRPr="00D2041E">
        <w:t>https://equineteurope.org/2020/covid-compounding-inequalities-against-older-persons/</w:t>
      </w:r>
    </w:p>
  </w:footnote>
  <w:footnote w:id="19">
    <w:p w14:paraId="4905C19A" w14:textId="676D8563" w:rsidR="00B035AB" w:rsidRDefault="00B035AB">
      <w:pPr>
        <w:pStyle w:val="FootnoteText"/>
      </w:pPr>
      <w:r>
        <w:rPr>
          <w:rStyle w:val="FootnoteReference"/>
        </w:rPr>
        <w:footnoteRef/>
      </w:r>
      <w:r>
        <w:t xml:space="preserve"> </w:t>
      </w:r>
      <w:hyperlink r:id="rId11" w:history="1">
        <w:r w:rsidRPr="007776EA">
          <w:rPr>
            <w:rStyle w:val="Hyperlink"/>
          </w:rPr>
          <w:t>https://age-platform.eu/special-briefing/discrimination-abuse-older-age-insidious-process-brought-light-covid-19</w:t>
        </w:r>
      </w:hyperlink>
    </w:p>
    <w:p w14:paraId="408511CA" w14:textId="77777777" w:rsidR="00B035AB" w:rsidRDefault="00B035AB">
      <w:pPr>
        <w:pStyle w:val="FootnoteText"/>
      </w:pPr>
    </w:p>
  </w:footnote>
  <w:footnote w:id="20">
    <w:p w14:paraId="61B2A164" w14:textId="524C1B2E" w:rsidR="00EE1E55" w:rsidRDefault="00EE1E55">
      <w:pPr>
        <w:pStyle w:val="FootnoteText"/>
      </w:pPr>
      <w:r>
        <w:rPr>
          <w:rStyle w:val="FootnoteReference"/>
        </w:rPr>
        <w:footnoteRef/>
      </w:r>
      <w:r>
        <w:t xml:space="preserve"> </w:t>
      </w:r>
      <w:hyperlink r:id="rId12" w:history="1">
        <w:r>
          <w:rPr>
            <w:rStyle w:val="Hyperlink"/>
          </w:rPr>
          <w:t>LGBTIQActionPlan.pdf (gov.mt)</w:t>
        </w:r>
      </w:hyperlink>
    </w:p>
  </w:footnote>
  <w:footnote w:id="21">
    <w:p w14:paraId="53D33233" w14:textId="51771745" w:rsidR="00013BF5" w:rsidRDefault="00013BF5">
      <w:pPr>
        <w:pStyle w:val="FootnoteText"/>
      </w:pPr>
      <w:r>
        <w:rPr>
          <w:rStyle w:val="FootnoteReference"/>
        </w:rPr>
        <w:footnoteRef/>
      </w:r>
      <w:r>
        <w:t xml:space="preserve"> </w:t>
      </w:r>
      <w:hyperlink r:id="rId13" w:history="1">
        <w:r w:rsidRPr="00B73D7F">
          <w:rPr>
            <w:rStyle w:val="Hyperlink"/>
          </w:rPr>
          <w:t>https://ncpe.gov.mt/en/Documents/Projects_and_Specific_Initiatives/Forms%20of%20Violence/Report%20-%20Violence%20Elderly.pdf</w:t>
        </w:r>
      </w:hyperlink>
    </w:p>
    <w:p w14:paraId="1AB61EA8" w14:textId="77777777" w:rsidR="00013BF5" w:rsidRDefault="00013B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A24C" w14:textId="77777777" w:rsidR="00130BF8" w:rsidRDefault="00130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46CB" w14:textId="5E08CF31" w:rsidR="004567D3" w:rsidRDefault="004567D3" w:rsidP="004567D3">
    <w:pPr>
      <w:pStyle w:val="Header"/>
      <w:pBdr>
        <w:bottom w:val="single" w:sz="6" w:space="1" w:color="auto"/>
      </w:pBdr>
      <w:tabs>
        <w:tab w:val="right" w:pos="9720"/>
      </w:tabs>
    </w:pPr>
    <w:r w:rsidRPr="004823E7">
      <w:rPr>
        <w:rFonts w:ascii="Arial" w:hAnsi="Arial" w:cs="Arial"/>
        <w:i/>
        <w:sz w:val="20"/>
        <w:szCs w:val="20"/>
      </w:rPr>
      <w:t>National Commission for the Promotion of Equality</w:t>
    </w:r>
    <w:r>
      <w:rPr>
        <w:rFonts w:ascii="Arial" w:hAnsi="Arial" w:cs="Arial"/>
        <w:i/>
        <w:sz w:val="20"/>
        <w:szCs w:val="20"/>
      </w:rPr>
      <w:t xml:space="preserve">                                                                    </w:t>
    </w:r>
    <w:r w:rsidRPr="00C80BB7">
      <w:rPr>
        <w:noProof/>
        <w:lang w:eastAsia="en-GB"/>
      </w:rPr>
      <w:drawing>
        <wp:inline distT="0" distB="0" distL="0" distR="0" wp14:anchorId="28FAB16E" wp14:editId="3475813C">
          <wp:extent cx="476250" cy="685800"/>
          <wp:effectExtent l="0" t="0" r="0" b="0"/>
          <wp:docPr id="2" name="Picture 2" descr="NCP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P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p w14:paraId="25FCD5D5" w14:textId="52353395" w:rsidR="004567D3" w:rsidRDefault="004567D3">
    <w:pPr>
      <w:pStyle w:val="Header"/>
    </w:pPr>
  </w:p>
  <w:p w14:paraId="2DFEE2E2" w14:textId="77777777" w:rsidR="004567D3" w:rsidRDefault="00456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942A" w14:textId="77777777" w:rsidR="00130BF8" w:rsidRDefault="00130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D92"/>
    <w:multiLevelType w:val="hybridMultilevel"/>
    <w:tmpl w:val="3238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27CEC"/>
    <w:multiLevelType w:val="hybridMultilevel"/>
    <w:tmpl w:val="88D855CE"/>
    <w:lvl w:ilvl="0" w:tplc="44E46192">
      <w:start w:val="3"/>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6853A7"/>
    <w:multiLevelType w:val="hybridMultilevel"/>
    <w:tmpl w:val="E7B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020C36"/>
    <w:multiLevelType w:val="hybridMultilevel"/>
    <w:tmpl w:val="6E58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D3"/>
    <w:rsid w:val="000056D1"/>
    <w:rsid w:val="000112AB"/>
    <w:rsid w:val="00013BF5"/>
    <w:rsid w:val="00017096"/>
    <w:rsid w:val="0001728E"/>
    <w:rsid w:val="00026AFD"/>
    <w:rsid w:val="00034B2E"/>
    <w:rsid w:val="000436D7"/>
    <w:rsid w:val="00060695"/>
    <w:rsid w:val="00070FD0"/>
    <w:rsid w:val="00071FC0"/>
    <w:rsid w:val="000A7085"/>
    <w:rsid w:val="000E7113"/>
    <w:rsid w:val="00130BF8"/>
    <w:rsid w:val="00130C89"/>
    <w:rsid w:val="00152AE8"/>
    <w:rsid w:val="00163017"/>
    <w:rsid w:val="001835EF"/>
    <w:rsid w:val="00191027"/>
    <w:rsid w:val="001A1349"/>
    <w:rsid w:val="001B49D9"/>
    <w:rsid w:val="001B7D49"/>
    <w:rsid w:val="001E4CB3"/>
    <w:rsid w:val="001E776E"/>
    <w:rsid w:val="001E7C4A"/>
    <w:rsid w:val="001F4963"/>
    <w:rsid w:val="00224A77"/>
    <w:rsid w:val="00237CAA"/>
    <w:rsid w:val="0024262F"/>
    <w:rsid w:val="00247366"/>
    <w:rsid w:val="002739F9"/>
    <w:rsid w:val="002758AA"/>
    <w:rsid w:val="002C300F"/>
    <w:rsid w:val="002D7C39"/>
    <w:rsid w:val="002F1D0F"/>
    <w:rsid w:val="002F3AF5"/>
    <w:rsid w:val="003049D8"/>
    <w:rsid w:val="00307914"/>
    <w:rsid w:val="0033037C"/>
    <w:rsid w:val="0034450F"/>
    <w:rsid w:val="0034654A"/>
    <w:rsid w:val="003501A7"/>
    <w:rsid w:val="00362246"/>
    <w:rsid w:val="00367AD8"/>
    <w:rsid w:val="00393910"/>
    <w:rsid w:val="003A5EA7"/>
    <w:rsid w:val="003B2DDC"/>
    <w:rsid w:val="003C0611"/>
    <w:rsid w:val="003C5BF4"/>
    <w:rsid w:val="003F5374"/>
    <w:rsid w:val="004225CE"/>
    <w:rsid w:val="00430753"/>
    <w:rsid w:val="00440BF9"/>
    <w:rsid w:val="00451084"/>
    <w:rsid w:val="004567D3"/>
    <w:rsid w:val="00466BB9"/>
    <w:rsid w:val="004904CA"/>
    <w:rsid w:val="004970B5"/>
    <w:rsid w:val="004C508D"/>
    <w:rsid w:val="004D1BB0"/>
    <w:rsid w:val="004D5C15"/>
    <w:rsid w:val="004D6E05"/>
    <w:rsid w:val="004E2D1B"/>
    <w:rsid w:val="004E69B6"/>
    <w:rsid w:val="004F2B4D"/>
    <w:rsid w:val="00506283"/>
    <w:rsid w:val="00506ABC"/>
    <w:rsid w:val="0051658E"/>
    <w:rsid w:val="005279E5"/>
    <w:rsid w:val="00580392"/>
    <w:rsid w:val="005B05D2"/>
    <w:rsid w:val="005C37E9"/>
    <w:rsid w:val="005E5804"/>
    <w:rsid w:val="005F5E3B"/>
    <w:rsid w:val="00650EA6"/>
    <w:rsid w:val="00654EB3"/>
    <w:rsid w:val="0066590C"/>
    <w:rsid w:val="00685221"/>
    <w:rsid w:val="00694971"/>
    <w:rsid w:val="006950DB"/>
    <w:rsid w:val="006B2401"/>
    <w:rsid w:val="006B54E6"/>
    <w:rsid w:val="006C07D0"/>
    <w:rsid w:val="006D0993"/>
    <w:rsid w:val="006F1A0D"/>
    <w:rsid w:val="006F2659"/>
    <w:rsid w:val="00725C16"/>
    <w:rsid w:val="00744914"/>
    <w:rsid w:val="00744D91"/>
    <w:rsid w:val="00775DF4"/>
    <w:rsid w:val="00782D27"/>
    <w:rsid w:val="00784F1F"/>
    <w:rsid w:val="0078788E"/>
    <w:rsid w:val="007A42E3"/>
    <w:rsid w:val="007B5ABF"/>
    <w:rsid w:val="007D61E4"/>
    <w:rsid w:val="007E43BC"/>
    <w:rsid w:val="007E576B"/>
    <w:rsid w:val="007F5D6C"/>
    <w:rsid w:val="00811D38"/>
    <w:rsid w:val="00814690"/>
    <w:rsid w:val="008254E5"/>
    <w:rsid w:val="00826128"/>
    <w:rsid w:val="008304A6"/>
    <w:rsid w:val="00836891"/>
    <w:rsid w:val="00852C1B"/>
    <w:rsid w:val="0086219D"/>
    <w:rsid w:val="00870FAD"/>
    <w:rsid w:val="00871C4C"/>
    <w:rsid w:val="00876772"/>
    <w:rsid w:val="00890255"/>
    <w:rsid w:val="008B30F2"/>
    <w:rsid w:val="008C7233"/>
    <w:rsid w:val="008E069D"/>
    <w:rsid w:val="008F6F8E"/>
    <w:rsid w:val="00910000"/>
    <w:rsid w:val="00910305"/>
    <w:rsid w:val="00912845"/>
    <w:rsid w:val="00913855"/>
    <w:rsid w:val="0094043D"/>
    <w:rsid w:val="00953C38"/>
    <w:rsid w:val="00985B04"/>
    <w:rsid w:val="0098768E"/>
    <w:rsid w:val="00996126"/>
    <w:rsid w:val="009E19F4"/>
    <w:rsid w:val="009F4EBF"/>
    <w:rsid w:val="00A16C45"/>
    <w:rsid w:val="00A202B7"/>
    <w:rsid w:val="00A24228"/>
    <w:rsid w:val="00A445F8"/>
    <w:rsid w:val="00A60734"/>
    <w:rsid w:val="00A772DD"/>
    <w:rsid w:val="00AA7536"/>
    <w:rsid w:val="00AB1172"/>
    <w:rsid w:val="00AB16CF"/>
    <w:rsid w:val="00AB7B5D"/>
    <w:rsid w:val="00AD002B"/>
    <w:rsid w:val="00AD104E"/>
    <w:rsid w:val="00AE61FF"/>
    <w:rsid w:val="00B02EA9"/>
    <w:rsid w:val="00B035AB"/>
    <w:rsid w:val="00B415B4"/>
    <w:rsid w:val="00B574F1"/>
    <w:rsid w:val="00B80A49"/>
    <w:rsid w:val="00B85CC1"/>
    <w:rsid w:val="00BA6316"/>
    <w:rsid w:val="00BC5E91"/>
    <w:rsid w:val="00BF2409"/>
    <w:rsid w:val="00C2655B"/>
    <w:rsid w:val="00C3249B"/>
    <w:rsid w:val="00C332CA"/>
    <w:rsid w:val="00C40B04"/>
    <w:rsid w:val="00C43DFB"/>
    <w:rsid w:val="00C53106"/>
    <w:rsid w:val="00C53B0D"/>
    <w:rsid w:val="00C67C0E"/>
    <w:rsid w:val="00C83E94"/>
    <w:rsid w:val="00C92F08"/>
    <w:rsid w:val="00CA05FA"/>
    <w:rsid w:val="00CA5EDA"/>
    <w:rsid w:val="00CB02C6"/>
    <w:rsid w:val="00CD3CEB"/>
    <w:rsid w:val="00CD73FA"/>
    <w:rsid w:val="00CE60D7"/>
    <w:rsid w:val="00CE77EC"/>
    <w:rsid w:val="00CE7E0D"/>
    <w:rsid w:val="00D02373"/>
    <w:rsid w:val="00D1272F"/>
    <w:rsid w:val="00D2041E"/>
    <w:rsid w:val="00D30D73"/>
    <w:rsid w:val="00D3114C"/>
    <w:rsid w:val="00D47655"/>
    <w:rsid w:val="00D6312F"/>
    <w:rsid w:val="00D70ADA"/>
    <w:rsid w:val="00D76B40"/>
    <w:rsid w:val="00DA6AE4"/>
    <w:rsid w:val="00DB07AD"/>
    <w:rsid w:val="00DC67CC"/>
    <w:rsid w:val="00DD5310"/>
    <w:rsid w:val="00DF3080"/>
    <w:rsid w:val="00E02DC3"/>
    <w:rsid w:val="00E104EE"/>
    <w:rsid w:val="00E5653C"/>
    <w:rsid w:val="00E72275"/>
    <w:rsid w:val="00E73327"/>
    <w:rsid w:val="00EE1E55"/>
    <w:rsid w:val="00EF3DA3"/>
    <w:rsid w:val="00F003A9"/>
    <w:rsid w:val="00F150C2"/>
    <w:rsid w:val="00F3634D"/>
    <w:rsid w:val="00F75E9E"/>
    <w:rsid w:val="00F905FE"/>
    <w:rsid w:val="00FA47EE"/>
    <w:rsid w:val="00FB30E1"/>
    <w:rsid w:val="00FC6C49"/>
    <w:rsid w:val="00FE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1D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67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567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567D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567D3"/>
    <w:rPr>
      <w:b/>
      <w:bCs/>
    </w:rPr>
  </w:style>
  <w:style w:type="paragraph" w:styleId="NormalWeb">
    <w:name w:val="Normal (Web)"/>
    <w:basedOn w:val="Normal"/>
    <w:uiPriority w:val="99"/>
    <w:semiHidden/>
    <w:unhideWhenUsed/>
    <w:rsid w:val="00456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67D3"/>
    <w:rPr>
      <w:color w:val="0000FF"/>
      <w:u w:val="single"/>
    </w:rPr>
  </w:style>
  <w:style w:type="paragraph" w:styleId="Header">
    <w:name w:val="header"/>
    <w:basedOn w:val="Normal"/>
    <w:link w:val="HeaderChar"/>
    <w:uiPriority w:val="99"/>
    <w:unhideWhenUsed/>
    <w:rsid w:val="0045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7D3"/>
  </w:style>
  <w:style w:type="paragraph" w:styleId="Footer">
    <w:name w:val="footer"/>
    <w:basedOn w:val="Normal"/>
    <w:link w:val="FooterChar"/>
    <w:uiPriority w:val="99"/>
    <w:unhideWhenUsed/>
    <w:rsid w:val="0045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7D3"/>
  </w:style>
  <w:style w:type="paragraph" w:styleId="BalloonText">
    <w:name w:val="Balloon Text"/>
    <w:basedOn w:val="Normal"/>
    <w:link w:val="BalloonTextChar"/>
    <w:uiPriority w:val="99"/>
    <w:semiHidden/>
    <w:unhideWhenUsed/>
    <w:rsid w:val="0091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845"/>
    <w:rPr>
      <w:rFonts w:ascii="Segoe UI" w:hAnsi="Segoe UI" w:cs="Segoe UI"/>
      <w:sz w:val="18"/>
      <w:szCs w:val="18"/>
    </w:rPr>
  </w:style>
  <w:style w:type="character" w:customStyle="1" w:styleId="egovstyle-style-arrow">
    <w:name w:val="egovstyle-style-arrow"/>
    <w:basedOn w:val="DefaultParagraphFont"/>
    <w:rsid w:val="00912845"/>
  </w:style>
  <w:style w:type="paragraph" w:styleId="ListParagraph">
    <w:name w:val="List Paragraph"/>
    <w:basedOn w:val="Normal"/>
    <w:uiPriority w:val="34"/>
    <w:qFormat/>
    <w:rsid w:val="00694971"/>
    <w:pPr>
      <w:ind w:left="720"/>
      <w:contextualSpacing/>
    </w:p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odnotetekst Tegn1,fn, Char1"/>
    <w:basedOn w:val="Normal"/>
    <w:link w:val="FootnoteTextChar"/>
    <w:uiPriority w:val="99"/>
    <w:unhideWhenUsed/>
    <w:qFormat/>
    <w:rsid w:val="00694971"/>
    <w:pPr>
      <w:spacing w:after="0" w:line="240" w:lineRule="auto"/>
    </w:pPr>
    <w:rPr>
      <w:sz w:val="20"/>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694971"/>
    <w:rPr>
      <w:sz w:val="20"/>
      <w:szCs w:val="20"/>
    </w:rPr>
  </w:style>
  <w:style w:type="character" w:styleId="FootnoteReference">
    <w:name w:val="footnote reference"/>
    <w:aliases w:val="Footnote Refernece,4_G,Footnote,callout,Footnote Reference Number,Fußnotenzeichen_Raxen,BVI fnr,Fago Fußnotenzeichen,Footnotes refss,Style 10,ftref,16 Point,Superscript 6 Point,Footnote number,Endnote Text1,Ref,de nota al pie,note TES"/>
    <w:basedOn w:val="DefaultParagraphFont"/>
    <w:link w:val="BVIfnr"/>
    <w:uiPriority w:val="99"/>
    <w:unhideWhenUsed/>
    <w:qFormat/>
    <w:rsid w:val="00694971"/>
    <w:rPr>
      <w:vertAlign w:val="superscript"/>
    </w:rPr>
  </w:style>
  <w:style w:type="character" w:customStyle="1" w:styleId="UnresolvedMention">
    <w:name w:val="Unresolved Mention"/>
    <w:basedOn w:val="DefaultParagraphFont"/>
    <w:uiPriority w:val="99"/>
    <w:semiHidden/>
    <w:unhideWhenUsed/>
    <w:rsid w:val="00694971"/>
    <w:rPr>
      <w:color w:val="605E5C"/>
      <w:shd w:val="clear" w:color="auto" w:fill="E1DFDD"/>
    </w:rPr>
  </w:style>
  <w:style w:type="character" w:styleId="FollowedHyperlink">
    <w:name w:val="FollowedHyperlink"/>
    <w:basedOn w:val="DefaultParagraphFont"/>
    <w:uiPriority w:val="99"/>
    <w:semiHidden/>
    <w:unhideWhenUsed/>
    <w:rsid w:val="00451084"/>
    <w:rPr>
      <w:color w:val="954F72" w:themeColor="followedHyperlink"/>
      <w:u w:val="single"/>
    </w:rPr>
  </w:style>
  <w:style w:type="character" w:styleId="CommentReference">
    <w:name w:val="annotation reference"/>
    <w:basedOn w:val="DefaultParagraphFont"/>
    <w:uiPriority w:val="99"/>
    <w:semiHidden/>
    <w:unhideWhenUsed/>
    <w:rsid w:val="00C53B0D"/>
    <w:rPr>
      <w:sz w:val="16"/>
      <w:szCs w:val="16"/>
    </w:rPr>
  </w:style>
  <w:style w:type="paragraph" w:styleId="CommentText">
    <w:name w:val="annotation text"/>
    <w:basedOn w:val="Normal"/>
    <w:link w:val="CommentTextChar"/>
    <w:uiPriority w:val="99"/>
    <w:semiHidden/>
    <w:unhideWhenUsed/>
    <w:rsid w:val="00C53B0D"/>
    <w:pPr>
      <w:spacing w:line="240" w:lineRule="auto"/>
    </w:pPr>
    <w:rPr>
      <w:sz w:val="20"/>
      <w:szCs w:val="20"/>
    </w:rPr>
  </w:style>
  <w:style w:type="character" w:customStyle="1" w:styleId="CommentTextChar">
    <w:name w:val="Comment Text Char"/>
    <w:basedOn w:val="DefaultParagraphFont"/>
    <w:link w:val="CommentText"/>
    <w:uiPriority w:val="99"/>
    <w:semiHidden/>
    <w:rsid w:val="00C53B0D"/>
    <w:rPr>
      <w:sz w:val="20"/>
      <w:szCs w:val="20"/>
    </w:rPr>
  </w:style>
  <w:style w:type="paragraph" w:styleId="CommentSubject">
    <w:name w:val="annotation subject"/>
    <w:basedOn w:val="CommentText"/>
    <w:next w:val="CommentText"/>
    <w:link w:val="CommentSubjectChar"/>
    <w:uiPriority w:val="99"/>
    <w:semiHidden/>
    <w:unhideWhenUsed/>
    <w:rsid w:val="00C53B0D"/>
    <w:rPr>
      <w:b/>
      <w:bCs/>
    </w:rPr>
  </w:style>
  <w:style w:type="character" w:customStyle="1" w:styleId="CommentSubjectChar">
    <w:name w:val="Comment Subject Char"/>
    <w:basedOn w:val="CommentTextChar"/>
    <w:link w:val="CommentSubject"/>
    <w:uiPriority w:val="99"/>
    <w:semiHidden/>
    <w:rsid w:val="00C53B0D"/>
    <w:rPr>
      <w:b/>
      <w:bCs/>
      <w:sz w:val="20"/>
      <w:szCs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R"/>
    <w:basedOn w:val="Normal"/>
    <w:link w:val="FootnoteReference"/>
    <w:uiPriority w:val="99"/>
    <w:rsid w:val="00DB07AD"/>
    <w:pPr>
      <w:spacing w:line="240" w:lineRule="exact"/>
    </w:pPr>
    <w:rPr>
      <w:vertAlign w:val="superscript"/>
    </w:rPr>
  </w:style>
  <w:style w:type="paragraph" w:styleId="EndnoteText">
    <w:name w:val="endnote text"/>
    <w:basedOn w:val="Normal"/>
    <w:link w:val="EndnoteTextChar"/>
    <w:uiPriority w:val="99"/>
    <w:semiHidden/>
    <w:unhideWhenUsed/>
    <w:rsid w:val="00AB16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16CF"/>
    <w:rPr>
      <w:sz w:val="20"/>
      <w:szCs w:val="20"/>
    </w:rPr>
  </w:style>
  <w:style w:type="character" w:styleId="EndnoteReference">
    <w:name w:val="endnote reference"/>
    <w:basedOn w:val="DefaultParagraphFont"/>
    <w:uiPriority w:val="99"/>
    <w:semiHidden/>
    <w:unhideWhenUsed/>
    <w:rsid w:val="00AB1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0846">
      <w:bodyDiv w:val="1"/>
      <w:marLeft w:val="0"/>
      <w:marRight w:val="0"/>
      <w:marTop w:val="0"/>
      <w:marBottom w:val="0"/>
      <w:divBdr>
        <w:top w:val="none" w:sz="0" w:space="0" w:color="auto"/>
        <w:left w:val="none" w:sz="0" w:space="0" w:color="auto"/>
        <w:bottom w:val="none" w:sz="0" w:space="0" w:color="auto"/>
        <w:right w:val="none" w:sz="0" w:space="0" w:color="auto"/>
      </w:divBdr>
      <w:divsChild>
        <w:div w:id="1860004077">
          <w:marLeft w:val="0"/>
          <w:marRight w:val="0"/>
          <w:marTop w:val="0"/>
          <w:marBottom w:val="0"/>
          <w:divBdr>
            <w:top w:val="single" w:sz="6" w:space="0" w:color="C6C6C6"/>
            <w:left w:val="single" w:sz="6" w:space="0" w:color="C6C6C6"/>
            <w:bottom w:val="single" w:sz="6" w:space="0" w:color="C6C6C6"/>
            <w:right w:val="single" w:sz="6" w:space="0" w:color="C6C6C6"/>
          </w:divBdr>
          <w:divsChild>
            <w:div w:id="883176131">
              <w:marLeft w:val="0"/>
              <w:marRight w:val="0"/>
              <w:marTop w:val="0"/>
              <w:marBottom w:val="0"/>
              <w:divBdr>
                <w:top w:val="none" w:sz="0" w:space="0" w:color="auto"/>
                <w:left w:val="none" w:sz="0" w:space="0" w:color="auto"/>
                <w:bottom w:val="none" w:sz="0" w:space="0" w:color="auto"/>
                <w:right w:val="none" w:sz="0" w:space="0" w:color="auto"/>
              </w:divBdr>
              <w:divsChild>
                <w:div w:id="3671358">
                  <w:marLeft w:val="0"/>
                  <w:marRight w:val="0"/>
                  <w:marTop w:val="0"/>
                  <w:marBottom w:val="0"/>
                  <w:divBdr>
                    <w:top w:val="none" w:sz="0" w:space="0" w:color="auto"/>
                    <w:left w:val="none" w:sz="0" w:space="0" w:color="auto"/>
                    <w:bottom w:val="none" w:sz="0" w:space="0" w:color="auto"/>
                    <w:right w:val="none" w:sz="0" w:space="0" w:color="auto"/>
                  </w:divBdr>
                  <w:divsChild>
                    <w:div w:id="851257911">
                      <w:marLeft w:val="0"/>
                      <w:marRight w:val="0"/>
                      <w:marTop w:val="0"/>
                      <w:marBottom w:val="0"/>
                      <w:divBdr>
                        <w:top w:val="single" w:sz="6" w:space="6" w:color="C6C6C6"/>
                        <w:left w:val="single" w:sz="6" w:space="6" w:color="C6C6C6"/>
                        <w:bottom w:val="single" w:sz="6" w:space="6" w:color="C6C6C6"/>
                        <w:right w:val="single" w:sz="6" w:space="6" w:color="C6C6C6"/>
                      </w:divBdr>
                    </w:div>
                    <w:div w:id="199707466">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01921887">
                  <w:marLeft w:val="0"/>
                  <w:marRight w:val="0"/>
                  <w:marTop w:val="0"/>
                  <w:marBottom w:val="0"/>
                  <w:divBdr>
                    <w:top w:val="none" w:sz="0" w:space="0" w:color="auto"/>
                    <w:left w:val="none" w:sz="0" w:space="0" w:color="auto"/>
                    <w:bottom w:val="none" w:sz="0" w:space="0" w:color="auto"/>
                    <w:right w:val="none" w:sz="0" w:space="0" w:color="auto"/>
                  </w:divBdr>
                  <w:divsChild>
                    <w:div w:id="371854054">
                      <w:marLeft w:val="0"/>
                      <w:marRight w:val="0"/>
                      <w:marTop w:val="0"/>
                      <w:marBottom w:val="0"/>
                      <w:divBdr>
                        <w:top w:val="single" w:sz="6" w:space="6" w:color="C6C6C6"/>
                        <w:left w:val="single" w:sz="6" w:space="6" w:color="C6C6C6"/>
                        <w:bottom w:val="single" w:sz="6" w:space="6" w:color="C6C6C6"/>
                        <w:right w:val="single" w:sz="6" w:space="6" w:color="C6C6C6"/>
                      </w:divBdr>
                    </w:div>
                    <w:div w:id="812405602">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08767392">
                  <w:marLeft w:val="0"/>
                  <w:marRight w:val="0"/>
                  <w:marTop w:val="0"/>
                  <w:marBottom w:val="0"/>
                  <w:divBdr>
                    <w:top w:val="none" w:sz="0" w:space="0" w:color="auto"/>
                    <w:left w:val="none" w:sz="0" w:space="0" w:color="auto"/>
                    <w:bottom w:val="none" w:sz="0" w:space="0" w:color="auto"/>
                    <w:right w:val="none" w:sz="0" w:space="0" w:color="auto"/>
                  </w:divBdr>
                  <w:divsChild>
                    <w:div w:id="942539123">
                      <w:marLeft w:val="0"/>
                      <w:marRight w:val="0"/>
                      <w:marTop w:val="0"/>
                      <w:marBottom w:val="0"/>
                      <w:divBdr>
                        <w:top w:val="single" w:sz="6" w:space="6" w:color="C6C6C6"/>
                        <w:left w:val="single" w:sz="6" w:space="6" w:color="C6C6C6"/>
                        <w:bottom w:val="single" w:sz="6" w:space="6" w:color="C6C6C6"/>
                        <w:right w:val="single" w:sz="6" w:space="6" w:color="C6C6C6"/>
                      </w:divBdr>
                    </w:div>
                    <w:div w:id="587428380">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949702890">
      <w:bodyDiv w:val="1"/>
      <w:marLeft w:val="0"/>
      <w:marRight w:val="0"/>
      <w:marTop w:val="0"/>
      <w:marBottom w:val="0"/>
      <w:divBdr>
        <w:top w:val="none" w:sz="0" w:space="0" w:color="auto"/>
        <w:left w:val="none" w:sz="0" w:space="0" w:color="auto"/>
        <w:bottom w:val="none" w:sz="0" w:space="0" w:color="auto"/>
        <w:right w:val="none" w:sz="0" w:space="0" w:color="auto"/>
      </w:divBdr>
    </w:div>
    <w:div w:id="987592355">
      <w:bodyDiv w:val="1"/>
      <w:marLeft w:val="0"/>
      <w:marRight w:val="0"/>
      <w:marTop w:val="0"/>
      <w:marBottom w:val="0"/>
      <w:divBdr>
        <w:top w:val="none" w:sz="0" w:space="0" w:color="auto"/>
        <w:left w:val="none" w:sz="0" w:space="0" w:color="auto"/>
        <w:bottom w:val="none" w:sz="0" w:space="0" w:color="auto"/>
        <w:right w:val="none" w:sz="0" w:space="0" w:color="auto"/>
      </w:divBdr>
    </w:div>
    <w:div w:id="997265838">
      <w:bodyDiv w:val="1"/>
      <w:marLeft w:val="0"/>
      <w:marRight w:val="0"/>
      <w:marTop w:val="0"/>
      <w:marBottom w:val="0"/>
      <w:divBdr>
        <w:top w:val="none" w:sz="0" w:space="0" w:color="auto"/>
        <w:left w:val="none" w:sz="0" w:space="0" w:color="auto"/>
        <w:bottom w:val="none" w:sz="0" w:space="0" w:color="auto"/>
        <w:right w:val="none" w:sz="0" w:space="0" w:color="auto"/>
      </w:divBdr>
    </w:div>
    <w:div w:id="1321348415">
      <w:bodyDiv w:val="1"/>
      <w:marLeft w:val="0"/>
      <w:marRight w:val="0"/>
      <w:marTop w:val="0"/>
      <w:marBottom w:val="0"/>
      <w:divBdr>
        <w:top w:val="none" w:sz="0" w:space="0" w:color="auto"/>
        <w:left w:val="none" w:sz="0" w:space="0" w:color="auto"/>
        <w:bottom w:val="none" w:sz="0" w:space="0" w:color="auto"/>
        <w:right w:val="none" w:sz="0" w:space="0" w:color="auto"/>
      </w:divBdr>
      <w:divsChild>
        <w:div w:id="1861353676">
          <w:marLeft w:val="0"/>
          <w:marRight w:val="0"/>
          <w:marTop w:val="0"/>
          <w:marBottom w:val="0"/>
          <w:divBdr>
            <w:top w:val="none" w:sz="0" w:space="0" w:color="auto"/>
            <w:left w:val="none" w:sz="0" w:space="0" w:color="auto"/>
            <w:bottom w:val="none" w:sz="0" w:space="0" w:color="auto"/>
            <w:right w:val="none" w:sz="0" w:space="0" w:color="auto"/>
          </w:divBdr>
        </w:div>
        <w:div w:id="522523571">
          <w:marLeft w:val="0"/>
          <w:marRight w:val="0"/>
          <w:marTop w:val="0"/>
          <w:marBottom w:val="0"/>
          <w:divBdr>
            <w:top w:val="none" w:sz="0" w:space="0" w:color="auto"/>
            <w:left w:val="none" w:sz="0" w:space="0" w:color="auto"/>
            <w:bottom w:val="none" w:sz="0" w:space="0" w:color="auto"/>
            <w:right w:val="none" w:sz="0" w:space="0" w:color="auto"/>
          </w:divBdr>
        </w:div>
        <w:div w:id="341473764">
          <w:marLeft w:val="0"/>
          <w:marRight w:val="0"/>
          <w:marTop w:val="0"/>
          <w:marBottom w:val="0"/>
          <w:divBdr>
            <w:top w:val="none" w:sz="0" w:space="0" w:color="auto"/>
            <w:left w:val="none" w:sz="0" w:space="0" w:color="auto"/>
            <w:bottom w:val="none" w:sz="0" w:space="0" w:color="auto"/>
            <w:right w:val="none" w:sz="0" w:space="0" w:color="auto"/>
          </w:divBdr>
          <w:divsChild>
            <w:div w:id="999501868">
              <w:marLeft w:val="0"/>
              <w:marRight w:val="0"/>
              <w:marTop w:val="0"/>
              <w:marBottom w:val="0"/>
              <w:divBdr>
                <w:top w:val="none" w:sz="0" w:space="0" w:color="auto"/>
                <w:left w:val="none" w:sz="0" w:space="0" w:color="auto"/>
                <w:bottom w:val="none" w:sz="0" w:space="0" w:color="auto"/>
                <w:right w:val="none" w:sz="0" w:space="0" w:color="auto"/>
              </w:divBdr>
            </w:div>
            <w:div w:id="630744278">
              <w:marLeft w:val="0"/>
              <w:marRight w:val="0"/>
              <w:marTop w:val="0"/>
              <w:marBottom w:val="0"/>
              <w:divBdr>
                <w:top w:val="none" w:sz="0" w:space="0" w:color="auto"/>
                <w:left w:val="none" w:sz="0" w:space="0" w:color="auto"/>
                <w:bottom w:val="none" w:sz="0" w:space="0" w:color="auto"/>
                <w:right w:val="none" w:sz="0" w:space="0" w:color="auto"/>
              </w:divBdr>
            </w:div>
            <w:div w:id="2109619776">
              <w:marLeft w:val="0"/>
              <w:marRight w:val="0"/>
              <w:marTop w:val="0"/>
              <w:marBottom w:val="0"/>
              <w:divBdr>
                <w:top w:val="none" w:sz="0" w:space="0" w:color="auto"/>
                <w:left w:val="none" w:sz="0" w:space="0" w:color="auto"/>
                <w:bottom w:val="none" w:sz="0" w:space="0" w:color="auto"/>
                <w:right w:val="none" w:sz="0" w:space="0" w:color="auto"/>
              </w:divBdr>
            </w:div>
            <w:div w:id="981809496">
              <w:marLeft w:val="0"/>
              <w:marRight w:val="0"/>
              <w:marTop w:val="0"/>
              <w:marBottom w:val="0"/>
              <w:divBdr>
                <w:top w:val="none" w:sz="0" w:space="0" w:color="auto"/>
                <w:left w:val="none" w:sz="0" w:space="0" w:color="auto"/>
                <w:bottom w:val="none" w:sz="0" w:space="0" w:color="auto"/>
                <w:right w:val="none" w:sz="0" w:space="0" w:color="auto"/>
              </w:divBdr>
            </w:div>
            <w:div w:id="2082672870">
              <w:marLeft w:val="0"/>
              <w:marRight w:val="0"/>
              <w:marTop w:val="0"/>
              <w:marBottom w:val="0"/>
              <w:divBdr>
                <w:top w:val="none" w:sz="0" w:space="0" w:color="auto"/>
                <w:left w:val="none" w:sz="0" w:space="0" w:color="auto"/>
                <w:bottom w:val="none" w:sz="0" w:space="0" w:color="auto"/>
                <w:right w:val="none" w:sz="0" w:space="0" w:color="auto"/>
              </w:divBdr>
            </w:div>
            <w:div w:id="16939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6624">
      <w:bodyDiv w:val="1"/>
      <w:marLeft w:val="0"/>
      <w:marRight w:val="0"/>
      <w:marTop w:val="0"/>
      <w:marBottom w:val="0"/>
      <w:divBdr>
        <w:top w:val="none" w:sz="0" w:space="0" w:color="auto"/>
        <w:left w:val="none" w:sz="0" w:space="0" w:color="auto"/>
        <w:bottom w:val="none" w:sz="0" w:space="0" w:color="auto"/>
        <w:right w:val="none" w:sz="0" w:space="0" w:color="auto"/>
      </w:divBdr>
    </w:div>
    <w:div w:id="20961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RES/33/5"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olderpersons@ohchr.org"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Issues/OlderPersons/OlderWomen/IE_HROP_questionnaire_older_women_ESP.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ohchr.org/Documents/Issues/OlderPersons/OlderWomen/IE_HROP_questionnaire_older_women_FR.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Documents/Issues/OlderPersons/OlderWomen/IE_HROP_questionnaire_older_women_EN.pdf"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databrowser/view/sdg_05_20/default/table?lang=en" TargetMode="External"/><Relationship Id="rId13" Type="http://schemas.openxmlformats.org/officeDocument/2006/relationships/hyperlink" Target="https://ncpe.gov.mt/en/Documents/Projects_and_Specific_Initiatives/Forms%20of%20Violence/Report%20-%20Violence%20Elderly.pdf" TargetMode="External"/><Relationship Id="rId3" Type="http://schemas.openxmlformats.org/officeDocument/2006/relationships/hyperlink" Target="https://medecms.gov.mt/en/Documents/Malta%20National%20Lifelong%20Learning%20Strategy%202020.pdf" TargetMode="External"/><Relationship Id="rId7" Type="http://schemas.openxmlformats.org/officeDocument/2006/relationships/hyperlink" Target="https://ec.europa.eu/eurostat/databrowser/view/ILC_PNP13__custom_470372/bookmark/table?lang=en&amp;bookmarkId=ca6425d8-bd3e-4a09-b6d8-c181ea76bc6a" TargetMode="External"/><Relationship Id="rId12" Type="http://schemas.openxmlformats.org/officeDocument/2006/relationships/hyperlink" Target="https://humanrights.gov.mt/en/Documents/LGBTIQActionPlan.pdf" TargetMode="External"/><Relationship Id="rId2" Type="http://schemas.openxmlformats.org/officeDocument/2006/relationships/hyperlink" Target="https://activeageing.gov.mt/en/Pages/NSPAA.aspx" TargetMode="External"/><Relationship Id="rId1" Type="http://schemas.openxmlformats.org/officeDocument/2006/relationships/hyperlink" Target="https://legislation.mt/eli/cap/456/eng/pdf" TargetMode="External"/><Relationship Id="rId6" Type="http://schemas.openxmlformats.org/officeDocument/2006/relationships/hyperlink" Target="https://ec.europa.eu/eurostat/databrowser/view/hlth_hlye/default/table?lang=en" TargetMode="External"/><Relationship Id="rId11" Type="http://schemas.openxmlformats.org/officeDocument/2006/relationships/hyperlink" Target="https://age-platform.eu/special-briefing/discrimination-abuse-older-age-insidious-process-brought-light-covid-19" TargetMode="External"/><Relationship Id="rId5" Type="http://schemas.openxmlformats.org/officeDocument/2006/relationships/hyperlink" Target="https://ec.europa.eu/info/files/green-paper-ageing-fostering-solidarity-and-responsibility-between-generations_en" TargetMode="External"/><Relationship Id="rId10" Type="http://schemas.openxmlformats.org/officeDocument/2006/relationships/hyperlink" Target="https://www.age-platform.eu/sites/default/files/Human%20rights%20concerns%20on%20implications%20of%20COVID%2019%20to%20older%20persons_Final_18May2020.pdf" TargetMode="External"/><Relationship Id="rId4" Type="http://schemas.openxmlformats.org/officeDocument/2006/relationships/hyperlink" Target="https://eur-lex.europa.eu/legal-content/EN/TXT/PDF/?uri=CELEX:52020DC0152&amp;from=EN" TargetMode="External"/><Relationship Id="rId9" Type="http://schemas.openxmlformats.org/officeDocument/2006/relationships/hyperlink" Target="https://eige.europa.eu/publications/gender-equality-index-2020-ma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C80087-BBF8-48B1-A14A-21B8630B3E95}">
  <ds:schemaRefs>
    <ds:schemaRef ds:uri="http://schemas.openxmlformats.org/officeDocument/2006/bibliography"/>
  </ds:schemaRefs>
</ds:datastoreItem>
</file>

<file path=customXml/itemProps2.xml><?xml version="1.0" encoding="utf-8"?>
<ds:datastoreItem xmlns:ds="http://schemas.openxmlformats.org/officeDocument/2006/customXml" ds:itemID="{A8EF27EB-5DFA-43BA-B0F2-9AC18893A010}"/>
</file>

<file path=customXml/itemProps3.xml><?xml version="1.0" encoding="utf-8"?>
<ds:datastoreItem xmlns:ds="http://schemas.openxmlformats.org/officeDocument/2006/customXml" ds:itemID="{8ADCB067-060E-49A2-B023-B5D07269C6E8}"/>
</file>

<file path=customXml/itemProps4.xml><?xml version="1.0" encoding="utf-8"?>
<ds:datastoreItem xmlns:ds="http://schemas.openxmlformats.org/officeDocument/2006/customXml" ds:itemID="{9CABFC44-B59E-4184-8237-774140900CA3}"/>
</file>

<file path=docProps/app.xml><?xml version="1.0" encoding="utf-8"?>
<Properties xmlns="http://schemas.openxmlformats.org/officeDocument/2006/extended-properties" xmlns:vt="http://schemas.openxmlformats.org/officeDocument/2006/docPropsVTypes">
  <Template>Normal.dotm</Template>
  <TotalTime>0</TotalTime>
  <Pages>8</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2021-04-26T14:47:00Z</dcterms:created>
  <dcterms:modified xsi:type="dcterms:W3CDTF">2021-04-26T14:47:00Z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