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2E" w:rsidRDefault="0059023E" w:rsidP="0059023E">
      <w:pPr>
        <w:jc w:val="center"/>
        <w:rPr>
          <w:b/>
          <w:bCs/>
          <w:noProof/>
          <w:sz w:val="24"/>
          <w:szCs w:val="24"/>
        </w:rPr>
      </w:pPr>
      <w:r w:rsidRPr="0083632E">
        <w:rPr>
          <w:b/>
          <w:bCs/>
          <w:sz w:val="24"/>
          <w:szCs w:val="24"/>
        </w:rPr>
        <w:t xml:space="preserve">Mandate of </w:t>
      </w:r>
      <w:r w:rsidRPr="0083632E">
        <w:rPr>
          <w:b/>
          <w:bCs/>
          <w:noProof/>
          <w:sz w:val="24"/>
          <w:szCs w:val="24"/>
        </w:rPr>
        <w:t>the Independent Expert on th</w:t>
      </w:r>
      <w:r w:rsidR="0083632E">
        <w:rPr>
          <w:b/>
          <w:bCs/>
          <w:noProof/>
          <w:sz w:val="24"/>
          <w:szCs w:val="24"/>
        </w:rPr>
        <w:t>e enjoyment of all human rights</w:t>
      </w:r>
    </w:p>
    <w:p w:rsidR="0059023E" w:rsidRPr="0083632E" w:rsidRDefault="0059023E" w:rsidP="0059023E">
      <w:pPr>
        <w:jc w:val="center"/>
        <w:rPr>
          <w:b/>
          <w:bCs/>
          <w:sz w:val="24"/>
          <w:szCs w:val="24"/>
        </w:rPr>
      </w:pPr>
      <w:r w:rsidRPr="0083632E">
        <w:rPr>
          <w:b/>
          <w:bCs/>
          <w:noProof/>
          <w:sz w:val="24"/>
          <w:szCs w:val="24"/>
        </w:rPr>
        <w:t>by older persons</w:t>
      </w:r>
    </w:p>
    <w:p w:rsidR="0059023E" w:rsidRPr="0083632E" w:rsidRDefault="0059023E" w:rsidP="0059023E">
      <w:pPr>
        <w:spacing w:after="120"/>
        <w:jc w:val="center"/>
        <w:rPr>
          <w:b/>
          <w:bCs/>
          <w:sz w:val="24"/>
          <w:szCs w:val="24"/>
        </w:rPr>
      </w:pPr>
    </w:p>
    <w:p w:rsidR="0059023E" w:rsidRPr="0083632E" w:rsidRDefault="0059023E" w:rsidP="0059023E">
      <w:pPr>
        <w:spacing w:after="120"/>
        <w:jc w:val="center"/>
        <w:rPr>
          <w:b/>
          <w:bCs/>
          <w:sz w:val="24"/>
          <w:szCs w:val="24"/>
        </w:rPr>
      </w:pPr>
      <w:r w:rsidRPr="0083632E">
        <w:rPr>
          <w:b/>
          <w:bCs/>
          <w:sz w:val="24"/>
          <w:szCs w:val="24"/>
        </w:rPr>
        <w:t xml:space="preserve">Call for contributions: The </w:t>
      </w:r>
      <w:r w:rsidR="00811C51" w:rsidRPr="0083632E">
        <w:rPr>
          <w:b/>
          <w:bCs/>
          <w:sz w:val="24"/>
          <w:szCs w:val="24"/>
        </w:rPr>
        <w:t>h</w:t>
      </w:r>
      <w:r w:rsidRPr="0083632E">
        <w:rPr>
          <w:b/>
          <w:bCs/>
          <w:sz w:val="24"/>
          <w:szCs w:val="24"/>
        </w:rPr>
        <w:t xml:space="preserve">uman </w:t>
      </w:r>
      <w:r w:rsidR="00811C51" w:rsidRPr="0083632E">
        <w:rPr>
          <w:b/>
          <w:bCs/>
          <w:sz w:val="24"/>
          <w:szCs w:val="24"/>
        </w:rPr>
        <w:t>r</w:t>
      </w:r>
      <w:r w:rsidRPr="0083632E">
        <w:rPr>
          <w:b/>
          <w:bCs/>
          <w:sz w:val="24"/>
          <w:szCs w:val="24"/>
        </w:rPr>
        <w:t xml:space="preserve">ights of </w:t>
      </w:r>
      <w:r w:rsidR="00811C51" w:rsidRPr="0083632E">
        <w:rPr>
          <w:b/>
          <w:bCs/>
          <w:sz w:val="24"/>
          <w:szCs w:val="24"/>
        </w:rPr>
        <w:t>o</w:t>
      </w:r>
      <w:r w:rsidRPr="0083632E">
        <w:rPr>
          <w:b/>
          <w:bCs/>
          <w:sz w:val="24"/>
          <w:szCs w:val="24"/>
        </w:rPr>
        <w:t xml:space="preserve">lder </w:t>
      </w:r>
      <w:r w:rsidR="00811C51" w:rsidRPr="0083632E">
        <w:rPr>
          <w:b/>
          <w:bCs/>
          <w:sz w:val="24"/>
          <w:szCs w:val="24"/>
        </w:rPr>
        <w:t>w</w:t>
      </w:r>
      <w:r w:rsidRPr="0083632E">
        <w:rPr>
          <w:b/>
          <w:bCs/>
          <w:sz w:val="24"/>
          <w:szCs w:val="24"/>
        </w:rPr>
        <w:t>omen</w:t>
      </w:r>
    </w:p>
    <w:p w:rsidR="0059023E" w:rsidRPr="0083632E" w:rsidRDefault="0059023E" w:rsidP="0059023E">
      <w:pPr>
        <w:spacing w:after="120"/>
        <w:jc w:val="center"/>
        <w:rPr>
          <w:b/>
          <w:bCs/>
          <w:sz w:val="24"/>
          <w:szCs w:val="24"/>
        </w:rPr>
      </w:pPr>
    </w:p>
    <w:p w:rsidR="0059023E" w:rsidRPr="0083632E" w:rsidRDefault="0059023E" w:rsidP="0059023E">
      <w:pPr>
        <w:spacing w:after="120"/>
        <w:jc w:val="center"/>
        <w:rPr>
          <w:b/>
          <w:bCs/>
          <w:sz w:val="24"/>
          <w:szCs w:val="24"/>
        </w:rPr>
      </w:pPr>
    </w:p>
    <w:p w:rsidR="0059023E" w:rsidRPr="0083632E" w:rsidRDefault="0059023E" w:rsidP="0059023E">
      <w:pPr>
        <w:spacing w:after="120"/>
        <w:jc w:val="center"/>
        <w:rPr>
          <w:b/>
          <w:bCs/>
          <w:sz w:val="24"/>
          <w:szCs w:val="24"/>
          <w:u w:val="single"/>
        </w:rPr>
      </w:pPr>
      <w:r w:rsidRPr="0083632E">
        <w:rPr>
          <w:b/>
          <w:bCs/>
          <w:sz w:val="24"/>
          <w:szCs w:val="24"/>
          <w:u w:val="single"/>
        </w:rPr>
        <w:t>General contribution related to the work of the CEDAW Committee</w:t>
      </w:r>
    </w:p>
    <w:p w:rsidR="0059023E" w:rsidRPr="0083632E" w:rsidRDefault="0059023E" w:rsidP="0059023E">
      <w:pPr>
        <w:spacing w:after="120"/>
        <w:jc w:val="center"/>
        <w:rPr>
          <w:b/>
          <w:bCs/>
          <w:sz w:val="24"/>
          <w:szCs w:val="24"/>
          <w:u w:val="single"/>
        </w:rPr>
      </w:pPr>
    </w:p>
    <w:p w:rsidR="0059023E" w:rsidRDefault="0059023E" w:rsidP="0059023E">
      <w:pPr>
        <w:spacing w:after="120"/>
        <w:jc w:val="both"/>
        <w:rPr>
          <w:sz w:val="24"/>
          <w:szCs w:val="24"/>
        </w:rPr>
      </w:pPr>
      <w:r w:rsidRPr="0083632E">
        <w:rPr>
          <w:bCs/>
          <w:sz w:val="24"/>
          <w:szCs w:val="24"/>
        </w:rPr>
        <w:t xml:space="preserve">We would like to present to the </w:t>
      </w:r>
      <w:r w:rsidRPr="0083632E">
        <w:rPr>
          <w:sz w:val="24"/>
          <w:szCs w:val="24"/>
        </w:rPr>
        <w:t>Independent Expert on the enjoyment of all human rights by old</w:t>
      </w:r>
      <w:bookmarkStart w:id="0" w:name="_GoBack"/>
      <w:bookmarkEnd w:id="0"/>
      <w:r w:rsidRPr="0083632E">
        <w:rPr>
          <w:sz w:val="24"/>
          <w:szCs w:val="24"/>
        </w:rPr>
        <w:t>er persons, Mrs. Claudia Mahler, a brief review of the work of the CEDAW Committee under the Convention which illustrates the priority given by the Committee to the rights of the older women in the context of the general monitoring and protection of women against all forms of discrimination.</w:t>
      </w:r>
    </w:p>
    <w:p w:rsidR="001733B8" w:rsidRPr="0083632E" w:rsidRDefault="001733B8" w:rsidP="0059023E">
      <w:pPr>
        <w:spacing w:after="120"/>
        <w:jc w:val="both"/>
        <w:rPr>
          <w:sz w:val="24"/>
          <w:szCs w:val="24"/>
        </w:rPr>
      </w:pPr>
    </w:p>
    <w:p w:rsidR="0059023E" w:rsidRDefault="0059023E" w:rsidP="0059023E">
      <w:pPr>
        <w:jc w:val="both"/>
        <w:rPr>
          <w:sz w:val="24"/>
          <w:szCs w:val="24"/>
          <w:lang w:val="en-US"/>
        </w:rPr>
      </w:pPr>
      <w:r w:rsidRPr="0083632E">
        <w:rPr>
          <w:sz w:val="24"/>
          <w:szCs w:val="24"/>
          <w:lang w:val="en-US"/>
        </w:rPr>
        <w:t>1.</w:t>
      </w:r>
      <w:r w:rsidR="001733B8">
        <w:rPr>
          <w:sz w:val="24"/>
          <w:szCs w:val="24"/>
          <w:lang w:val="en-US"/>
        </w:rPr>
        <w:tab/>
      </w:r>
      <w:r w:rsidRPr="0083632E">
        <w:rPr>
          <w:sz w:val="24"/>
          <w:szCs w:val="24"/>
          <w:lang w:val="en-US"/>
        </w:rPr>
        <w:t xml:space="preserve">The </w:t>
      </w:r>
      <w:r w:rsidRPr="0083632E">
        <w:rPr>
          <w:sz w:val="24"/>
          <w:szCs w:val="24"/>
        </w:rPr>
        <w:t>Convention on the Elimination of All Forms of Discrimination against Women</w:t>
      </w:r>
      <w:r w:rsidRPr="0083632E">
        <w:rPr>
          <w:sz w:val="24"/>
          <w:szCs w:val="24"/>
          <w:lang w:val="en-US"/>
        </w:rPr>
        <w:t>/</w:t>
      </w:r>
      <w:r w:rsidRPr="0083632E">
        <w:rPr>
          <w:sz w:val="24"/>
          <w:szCs w:val="24"/>
        </w:rPr>
        <w:t xml:space="preserve"> </w:t>
      </w:r>
      <w:r w:rsidR="00F93909">
        <w:rPr>
          <w:sz w:val="24"/>
          <w:szCs w:val="24"/>
          <w:lang w:val="en-US"/>
        </w:rPr>
        <w:t>CEDAW/</w:t>
      </w:r>
      <w:r w:rsidRPr="0083632E">
        <w:rPr>
          <w:sz w:val="24"/>
          <w:szCs w:val="24"/>
          <w:lang w:val="en-US"/>
        </w:rPr>
        <w:t>, currently ratified by 189 countries, is the source of universal standards concerning the</w:t>
      </w:r>
      <w:r w:rsidR="001733B8">
        <w:rPr>
          <w:sz w:val="24"/>
          <w:szCs w:val="24"/>
          <w:lang w:val="en-US"/>
        </w:rPr>
        <w:t xml:space="preserve"> </w:t>
      </w:r>
      <w:r w:rsidRPr="0083632E">
        <w:rPr>
          <w:sz w:val="24"/>
          <w:szCs w:val="24"/>
          <w:lang w:val="en-US"/>
        </w:rPr>
        <w:t>rights of all women to equality, identity, autonomy, economic independence and empowerment, including through clear obligations for States parties to adopt temporary special measures, and combat gender stereotyping to this</w:t>
      </w:r>
      <w:r w:rsidR="001733B8">
        <w:rPr>
          <w:sz w:val="24"/>
          <w:szCs w:val="24"/>
          <w:lang w:val="en-US"/>
        </w:rPr>
        <w:t xml:space="preserve"> </w:t>
      </w:r>
      <w:r w:rsidRPr="0083632E">
        <w:rPr>
          <w:sz w:val="24"/>
          <w:szCs w:val="24"/>
          <w:lang w:val="en-US"/>
        </w:rPr>
        <w:t xml:space="preserve">end. The CEDAW Committee monitors the </w:t>
      </w:r>
      <w:proofErr w:type="gramStart"/>
      <w:r w:rsidRPr="0083632E">
        <w:rPr>
          <w:sz w:val="24"/>
          <w:szCs w:val="24"/>
          <w:lang w:val="en-US"/>
        </w:rPr>
        <w:t>compliance</w:t>
      </w:r>
      <w:proofErr w:type="gramEnd"/>
      <w:r w:rsidRPr="0083632E">
        <w:rPr>
          <w:sz w:val="24"/>
          <w:szCs w:val="24"/>
          <w:lang w:val="en-US"/>
        </w:rPr>
        <w:t xml:space="preserve"> of the State</w:t>
      </w:r>
      <w:r w:rsidR="00B713E0" w:rsidRPr="0083632E">
        <w:rPr>
          <w:sz w:val="24"/>
          <w:szCs w:val="24"/>
          <w:lang w:val="en-US"/>
        </w:rPr>
        <w:t>s</w:t>
      </w:r>
      <w:r w:rsidRPr="0083632E">
        <w:rPr>
          <w:sz w:val="24"/>
          <w:szCs w:val="24"/>
          <w:lang w:val="en-US"/>
        </w:rPr>
        <w:t xml:space="preserve"> </w:t>
      </w:r>
      <w:r w:rsidR="00B713E0" w:rsidRPr="0083632E">
        <w:rPr>
          <w:sz w:val="24"/>
          <w:szCs w:val="24"/>
          <w:lang w:val="en-US"/>
        </w:rPr>
        <w:t>p</w:t>
      </w:r>
      <w:r w:rsidRPr="0083632E">
        <w:rPr>
          <w:sz w:val="24"/>
          <w:szCs w:val="24"/>
          <w:lang w:val="en-US"/>
        </w:rPr>
        <w:t>arties with the Convention through the consideration of State</w:t>
      </w:r>
      <w:r w:rsidR="00B713E0" w:rsidRPr="0083632E">
        <w:rPr>
          <w:sz w:val="24"/>
          <w:szCs w:val="24"/>
          <w:lang w:val="en-US"/>
        </w:rPr>
        <w:t xml:space="preserve"> party</w:t>
      </w:r>
      <w:r w:rsidRPr="0083632E">
        <w:rPr>
          <w:sz w:val="24"/>
          <w:szCs w:val="24"/>
          <w:lang w:val="en-US"/>
        </w:rPr>
        <w:t xml:space="preserve"> reports and the constructive dialogue with the governments, issuing concluding observations and recommendations, and monitoring of the implementation of the concluding observations and recommendations. It initiates and adopts General recommendations on issues related to its monitoring work and of relevance for further interpretation of the Convention and guidance for the reporting by States </w:t>
      </w:r>
      <w:r w:rsidR="00B713E0" w:rsidRPr="0083632E">
        <w:rPr>
          <w:sz w:val="24"/>
          <w:szCs w:val="24"/>
          <w:lang w:val="en-US"/>
        </w:rPr>
        <w:t>p</w:t>
      </w:r>
      <w:r w:rsidRPr="0083632E">
        <w:rPr>
          <w:sz w:val="24"/>
          <w:szCs w:val="24"/>
          <w:lang w:val="en-US"/>
        </w:rPr>
        <w:t>arties.</w:t>
      </w:r>
    </w:p>
    <w:p w:rsidR="001733B8" w:rsidRPr="0083632E" w:rsidRDefault="001733B8" w:rsidP="0059023E">
      <w:pPr>
        <w:jc w:val="both"/>
        <w:rPr>
          <w:sz w:val="24"/>
          <w:szCs w:val="24"/>
          <w:lang w:val="en-US"/>
        </w:rPr>
      </w:pPr>
    </w:p>
    <w:p w:rsidR="0059023E" w:rsidRPr="0083632E" w:rsidRDefault="001733B8" w:rsidP="0059023E">
      <w:pPr>
        <w:jc w:val="both"/>
        <w:rPr>
          <w:sz w:val="24"/>
          <w:szCs w:val="24"/>
          <w:lang w:val="en-US"/>
        </w:rPr>
      </w:pPr>
      <w:r>
        <w:rPr>
          <w:sz w:val="24"/>
          <w:szCs w:val="24"/>
          <w:lang w:val="en-US"/>
        </w:rPr>
        <w:t>2.</w:t>
      </w:r>
      <w:r>
        <w:rPr>
          <w:sz w:val="24"/>
          <w:szCs w:val="24"/>
          <w:lang w:val="en-US"/>
        </w:rPr>
        <w:tab/>
      </w:r>
      <w:r w:rsidR="0059023E" w:rsidRPr="0083632E">
        <w:rPr>
          <w:sz w:val="24"/>
          <w:szCs w:val="24"/>
          <w:lang w:val="en-US"/>
        </w:rPr>
        <w:t>The rights and protection from discrimination of all women, including older women, are enshrined in all the provisions of the CEDAW Convention, affirming the core obligations of States</w:t>
      </w:r>
      <w:r w:rsidR="00B713E0" w:rsidRPr="0083632E">
        <w:rPr>
          <w:sz w:val="24"/>
          <w:szCs w:val="24"/>
          <w:lang w:val="en-US"/>
        </w:rPr>
        <w:t xml:space="preserve"> parties</w:t>
      </w:r>
      <w:r w:rsidR="0059023E" w:rsidRPr="0083632E">
        <w:rPr>
          <w:sz w:val="24"/>
          <w:szCs w:val="24"/>
          <w:lang w:val="en-US"/>
        </w:rPr>
        <w:t xml:space="preserve">, as well as their obligations to respect, protect and fulfill the rights of women in all spheres, </w:t>
      </w:r>
      <w:r w:rsidR="00B713E0" w:rsidRPr="0083632E">
        <w:rPr>
          <w:sz w:val="24"/>
          <w:szCs w:val="24"/>
          <w:lang w:val="en-US"/>
        </w:rPr>
        <w:t>including</w:t>
      </w:r>
      <w:r w:rsidR="0059023E" w:rsidRPr="0083632E">
        <w:rPr>
          <w:sz w:val="24"/>
          <w:szCs w:val="24"/>
          <w:lang w:val="en-US"/>
        </w:rPr>
        <w:t xml:space="preserve"> protection form gender stereotyping and </w:t>
      </w:r>
      <w:r w:rsidR="00B713E0" w:rsidRPr="0083632E">
        <w:rPr>
          <w:sz w:val="24"/>
          <w:szCs w:val="24"/>
          <w:lang w:val="en-US"/>
        </w:rPr>
        <w:t>g</w:t>
      </w:r>
      <w:r w:rsidR="0059023E" w:rsidRPr="0083632E">
        <w:rPr>
          <w:sz w:val="24"/>
          <w:szCs w:val="24"/>
          <w:lang w:val="en-US"/>
        </w:rPr>
        <w:t>ender-based violence, trafficking and exploitation, in the sphere</w:t>
      </w:r>
      <w:r w:rsidR="00B713E0" w:rsidRPr="0083632E">
        <w:rPr>
          <w:sz w:val="24"/>
          <w:szCs w:val="24"/>
          <w:lang w:val="en-US"/>
        </w:rPr>
        <w:t>s</w:t>
      </w:r>
      <w:r w:rsidR="0059023E" w:rsidRPr="0083632E">
        <w:rPr>
          <w:sz w:val="24"/>
          <w:szCs w:val="24"/>
          <w:lang w:val="en-US"/>
        </w:rPr>
        <w:t xml:space="preserve"> of political participation and decision-making, nationality, education, the right to work and social security, </w:t>
      </w:r>
      <w:r w:rsidR="00B713E0" w:rsidRPr="0083632E">
        <w:rPr>
          <w:sz w:val="24"/>
          <w:szCs w:val="24"/>
          <w:lang w:val="en-US"/>
        </w:rPr>
        <w:t>the</w:t>
      </w:r>
      <w:r w:rsidR="0059023E" w:rsidRPr="0083632E">
        <w:rPr>
          <w:sz w:val="24"/>
          <w:szCs w:val="24"/>
          <w:lang w:val="en-US"/>
        </w:rPr>
        <w:t xml:space="preserve"> right to economic benefits and independence, the rights of rural women and </w:t>
      </w:r>
      <w:r w:rsidR="00B713E0" w:rsidRPr="0083632E">
        <w:rPr>
          <w:sz w:val="24"/>
          <w:szCs w:val="24"/>
          <w:lang w:val="en-US"/>
        </w:rPr>
        <w:t>disadvantaged</w:t>
      </w:r>
      <w:r w:rsidR="0059023E" w:rsidRPr="0083632E">
        <w:rPr>
          <w:sz w:val="24"/>
          <w:szCs w:val="24"/>
          <w:lang w:val="en-US"/>
        </w:rPr>
        <w:t xml:space="preserve"> groups of women, </w:t>
      </w:r>
      <w:r w:rsidR="00B713E0" w:rsidRPr="0083632E">
        <w:rPr>
          <w:sz w:val="24"/>
          <w:szCs w:val="24"/>
          <w:lang w:val="en-US"/>
        </w:rPr>
        <w:t xml:space="preserve">women’s </w:t>
      </w:r>
      <w:r w:rsidR="0059023E" w:rsidRPr="0083632E">
        <w:rPr>
          <w:sz w:val="24"/>
          <w:szCs w:val="24"/>
          <w:lang w:val="en-US"/>
        </w:rPr>
        <w:t xml:space="preserve">right to equality before the law and </w:t>
      </w:r>
      <w:r w:rsidR="00B713E0" w:rsidRPr="0083632E">
        <w:rPr>
          <w:sz w:val="24"/>
          <w:szCs w:val="24"/>
          <w:lang w:val="en-US"/>
        </w:rPr>
        <w:t xml:space="preserve">equal rights </w:t>
      </w:r>
      <w:r w:rsidR="0059023E" w:rsidRPr="0083632E">
        <w:rPr>
          <w:sz w:val="24"/>
          <w:szCs w:val="24"/>
          <w:lang w:val="en-US"/>
        </w:rPr>
        <w:t>in marriage and family relations.</w:t>
      </w:r>
    </w:p>
    <w:p w:rsidR="0059023E" w:rsidRPr="0083632E" w:rsidRDefault="0059023E" w:rsidP="0059023E">
      <w:pPr>
        <w:jc w:val="both"/>
        <w:rPr>
          <w:sz w:val="24"/>
          <w:szCs w:val="24"/>
          <w:lang w:val="en-US"/>
        </w:rPr>
      </w:pPr>
    </w:p>
    <w:p w:rsidR="0059023E" w:rsidRPr="0083632E" w:rsidRDefault="001733B8" w:rsidP="0059023E">
      <w:pPr>
        <w:jc w:val="both"/>
        <w:rPr>
          <w:sz w:val="24"/>
          <w:szCs w:val="24"/>
        </w:rPr>
      </w:pPr>
      <w:r>
        <w:rPr>
          <w:sz w:val="24"/>
          <w:szCs w:val="24"/>
          <w:lang w:val="en-US"/>
        </w:rPr>
        <w:t>3.</w:t>
      </w:r>
      <w:r>
        <w:rPr>
          <w:sz w:val="24"/>
          <w:szCs w:val="24"/>
          <w:lang w:val="en-US"/>
        </w:rPr>
        <w:tab/>
      </w:r>
      <w:r w:rsidR="0059023E" w:rsidRPr="0083632E">
        <w:rPr>
          <w:sz w:val="24"/>
          <w:szCs w:val="24"/>
          <w:lang w:val="en-US"/>
        </w:rPr>
        <w:t xml:space="preserve">The specific focus on older women is expressed not only </w:t>
      </w:r>
      <w:r w:rsidR="00B713E0" w:rsidRPr="0083632E">
        <w:rPr>
          <w:sz w:val="24"/>
          <w:szCs w:val="24"/>
          <w:lang w:val="en-US"/>
        </w:rPr>
        <w:t>when</w:t>
      </w:r>
      <w:r w:rsidR="0059023E" w:rsidRPr="0083632E">
        <w:rPr>
          <w:sz w:val="24"/>
          <w:szCs w:val="24"/>
          <w:lang w:val="en-US"/>
        </w:rPr>
        <w:t xml:space="preserve"> monitoring </w:t>
      </w:r>
      <w:r w:rsidR="00B713E0" w:rsidRPr="0083632E">
        <w:rPr>
          <w:sz w:val="24"/>
          <w:szCs w:val="24"/>
          <w:lang w:val="en-US"/>
        </w:rPr>
        <w:t xml:space="preserve">the </w:t>
      </w:r>
      <w:r w:rsidR="0059023E" w:rsidRPr="0083632E">
        <w:rPr>
          <w:sz w:val="24"/>
          <w:szCs w:val="24"/>
          <w:lang w:val="en-US"/>
        </w:rPr>
        <w:t xml:space="preserve">obligations of States </w:t>
      </w:r>
      <w:r w:rsidR="00B713E0" w:rsidRPr="0083632E">
        <w:rPr>
          <w:sz w:val="24"/>
          <w:szCs w:val="24"/>
          <w:lang w:val="en-US"/>
        </w:rPr>
        <w:t>p</w:t>
      </w:r>
      <w:r w:rsidR="0059023E" w:rsidRPr="0083632E">
        <w:rPr>
          <w:sz w:val="24"/>
          <w:szCs w:val="24"/>
          <w:lang w:val="en-US"/>
        </w:rPr>
        <w:t>arties but also explicitly in the</w:t>
      </w:r>
      <w:r w:rsidR="00B713E0" w:rsidRPr="0083632E">
        <w:rPr>
          <w:sz w:val="24"/>
          <w:szCs w:val="24"/>
          <w:lang w:val="en-US"/>
        </w:rPr>
        <w:t xml:space="preserve"> Committee’s</w:t>
      </w:r>
      <w:r w:rsidR="0059023E" w:rsidRPr="0083632E">
        <w:rPr>
          <w:sz w:val="24"/>
          <w:szCs w:val="24"/>
          <w:lang w:val="en-US"/>
        </w:rPr>
        <w:t xml:space="preserve"> </w:t>
      </w:r>
      <w:r w:rsidR="0059023E" w:rsidRPr="0083632E">
        <w:rPr>
          <w:b/>
          <w:sz w:val="24"/>
          <w:szCs w:val="24"/>
          <w:lang w:val="en-US"/>
        </w:rPr>
        <w:t xml:space="preserve">General recommendations, </w:t>
      </w:r>
      <w:r w:rsidR="00B713E0" w:rsidRPr="0083632E">
        <w:rPr>
          <w:b/>
          <w:sz w:val="24"/>
          <w:szCs w:val="24"/>
          <w:lang w:val="en-US"/>
        </w:rPr>
        <w:t>in particular</w:t>
      </w:r>
      <w:r w:rsidR="0059023E" w:rsidRPr="0083632E">
        <w:rPr>
          <w:b/>
          <w:sz w:val="24"/>
          <w:szCs w:val="24"/>
          <w:lang w:val="en-US"/>
        </w:rPr>
        <w:t xml:space="preserve"> General Recommendation </w:t>
      </w:r>
      <w:r w:rsidR="00B713E0" w:rsidRPr="0083632E">
        <w:rPr>
          <w:b/>
          <w:sz w:val="24"/>
          <w:szCs w:val="24"/>
          <w:lang w:val="en-US"/>
        </w:rPr>
        <w:t xml:space="preserve">No. </w:t>
      </w:r>
      <w:r w:rsidR="0059023E" w:rsidRPr="0083632E">
        <w:rPr>
          <w:b/>
          <w:sz w:val="24"/>
          <w:szCs w:val="24"/>
          <w:lang w:val="en-US"/>
        </w:rPr>
        <w:t xml:space="preserve">27 </w:t>
      </w:r>
      <w:r w:rsidR="00B713E0" w:rsidRPr="0083632E">
        <w:rPr>
          <w:b/>
          <w:sz w:val="24"/>
          <w:szCs w:val="24"/>
          <w:lang w:val="en-US"/>
        </w:rPr>
        <w:t>(</w:t>
      </w:r>
      <w:r w:rsidR="0059023E" w:rsidRPr="0083632E">
        <w:rPr>
          <w:b/>
          <w:sz w:val="24"/>
          <w:szCs w:val="24"/>
          <w:lang w:val="en-US"/>
        </w:rPr>
        <w:t>2010</w:t>
      </w:r>
      <w:r w:rsidR="00B713E0" w:rsidRPr="0083632E">
        <w:rPr>
          <w:b/>
          <w:sz w:val="24"/>
          <w:szCs w:val="24"/>
          <w:lang w:val="en-US"/>
        </w:rPr>
        <w:t>)</w:t>
      </w:r>
      <w:r w:rsidR="0059023E" w:rsidRPr="0083632E">
        <w:rPr>
          <w:b/>
          <w:sz w:val="24"/>
          <w:szCs w:val="24"/>
          <w:lang w:val="en-US"/>
        </w:rPr>
        <w:t xml:space="preserve"> on </w:t>
      </w:r>
      <w:r w:rsidR="00B713E0" w:rsidRPr="0083632E">
        <w:rPr>
          <w:b/>
          <w:sz w:val="24"/>
          <w:szCs w:val="24"/>
          <w:lang w:val="en-US"/>
        </w:rPr>
        <w:t>the rights of o</w:t>
      </w:r>
      <w:r w:rsidR="0059023E" w:rsidRPr="0083632E">
        <w:rPr>
          <w:b/>
          <w:sz w:val="24"/>
          <w:szCs w:val="24"/>
          <w:lang w:val="en-US"/>
        </w:rPr>
        <w:t>lder women</w:t>
      </w:r>
      <w:r w:rsidR="0059023E" w:rsidRPr="0083632E">
        <w:rPr>
          <w:sz w:val="24"/>
          <w:szCs w:val="24"/>
          <w:lang w:val="en-US"/>
        </w:rPr>
        <w:t>, as well in G</w:t>
      </w:r>
      <w:r w:rsidR="00B713E0" w:rsidRPr="0083632E">
        <w:rPr>
          <w:sz w:val="24"/>
          <w:szCs w:val="24"/>
          <w:lang w:val="en-US"/>
        </w:rPr>
        <w:t xml:space="preserve">eneral </w:t>
      </w:r>
      <w:r w:rsidR="0059023E" w:rsidRPr="0083632E">
        <w:rPr>
          <w:sz w:val="24"/>
          <w:szCs w:val="24"/>
          <w:lang w:val="en-US"/>
        </w:rPr>
        <w:t>R</w:t>
      </w:r>
      <w:r w:rsidR="00B713E0" w:rsidRPr="0083632E">
        <w:rPr>
          <w:sz w:val="24"/>
          <w:szCs w:val="24"/>
          <w:lang w:val="en-US"/>
        </w:rPr>
        <w:t>ecommendations</w:t>
      </w:r>
      <w:r w:rsidR="0059023E" w:rsidRPr="0083632E">
        <w:rPr>
          <w:sz w:val="24"/>
          <w:szCs w:val="24"/>
          <w:lang w:val="en-US"/>
        </w:rPr>
        <w:t xml:space="preserve"> </w:t>
      </w:r>
      <w:r w:rsidR="00B713E0" w:rsidRPr="0083632E">
        <w:rPr>
          <w:sz w:val="24"/>
          <w:szCs w:val="24"/>
          <w:lang w:val="en-US"/>
        </w:rPr>
        <w:t xml:space="preserve">No. </w:t>
      </w:r>
      <w:r w:rsidR="0059023E" w:rsidRPr="0083632E">
        <w:rPr>
          <w:sz w:val="24"/>
          <w:szCs w:val="24"/>
          <w:lang w:val="en-US"/>
        </w:rPr>
        <w:t xml:space="preserve">28 on </w:t>
      </w:r>
      <w:r w:rsidR="00B713E0" w:rsidRPr="0083632E">
        <w:rPr>
          <w:sz w:val="24"/>
          <w:szCs w:val="24"/>
          <w:lang w:val="en-US"/>
        </w:rPr>
        <w:t>c</w:t>
      </w:r>
      <w:r w:rsidR="0059023E" w:rsidRPr="0083632E">
        <w:rPr>
          <w:sz w:val="24"/>
          <w:szCs w:val="24"/>
          <w:lang w:val="en-US"/>
        </w:rPr>
        <w:t xml:space="preserve">ore obligations, </w:t>
      </w:r>
      <w:r w:rsidR="00B713E0" w:rsidRPr="0083632E">
        <w:rPr>
          <w:sz w:val="24"/>
          <w:szCs w:val="24"/>
          <w:lang w:val="en-US"/>
        </w:rPr>
        <w:t>No.</w:t>
      </w:r>
      <w:r w:rsidR="0059023E" w:rsidRPr="0083632E">
        <w:rPr>
          <w:sz w:val="24"/>
          <w:szCs w:val="24"/>
          <w:lang w:val="en-US"/>
        </w:rPr>
        <w:t xml:space="preserve"> 35 on </w:t>
      </w:r>
      <w:r w:rsidR="00B713E0" w:rsidRPr="0083632E">
        <w:rPr>
          <w:sz w:val="24"/>
          <w:szCs w:val="24"/>
          <w:lang w:val="en-US"/>
        </w:rPr>
        <w:t>g</w:t>
      </w:r>
      <w:r w:rsidR="0059023E" w:rsidRPr="0083632E">
        <w:rPr>
          <w:sz w:val="24"/>
          <w:szCs w:val="24"/>
          <w:lang w:val="en-US"/>
        </w:rPr>
        <w:t xml:space="preserve">ender-based violence against women, </w:t>
      </w:r>
      <w:r w:rsidR="00B713E0" w:rsidRPr="0083632E">
        <w:rPr>
          <w:sz w:val="24"/>
          <w:szCs w:val="24"/>
          <w:lang w:val="en-US"/>
        </w:rPr>
        <w:t>and No.</w:t>
      </w:r>
      <w:r w:rsidR="0059023E" w:rsidRPr="0083632E">
        <w:rPr>
          <w:sz w:val="24"/>
          <w:szCs w:val="24"/>
          <w:lang w:val="en-US"/>
        </w:rPr>
        <w:t xml:space="preserve"> 37 on </w:t>
      </w:r>
      <w:r w:rsidR="00B713E0" w:rsidRPr="0083632E">
        <w:rPr>
          <w:sz w:val="24"/>
          <w:szCs w:val="24"/>
        </w:rPr>
        <w:t>g</w:t>
      </w:r>
      <w:r w:rsidR="0059023E" w:rsidRPr="0083632E">
        <w:rPr>
          <w:sz w:val="24"/>
          <w:szCs w:val="24"/>
        </w:rPr>
        <w:t>ender-related dimensions of disaster risk reduction in the context of climate change.</w:t>
      </w:r>
    </w:p>
    <w:p w:rsidR="0059023E" w:rsidRPr="0083632E" w:rsidRDefault="0059023E" w:rsidP="0059023E">
      <w:pPr>
        <w:jc w:val="both"/>
        <w:rPr>
          <w:sz w:val="24"/>
          <w:szCs w:val="24"/>
        </w:rPr>
      </w:pPr>
    </w:p>
    <w:p w:rsidR="0059023E" w:rsidRPr="0083632E" w:rsidRDefault="0059023E" w:rsidP="0059023E">
      <w:pPr>
        <w:jc w:val="both"/>
        <w:rPr>
          <w:sz w:val="24"/>
          <w:szCs w:val="24"/>
        </w:rPr>
      </w:pPr>
      <w:r w:rsidRPr="0083632E">
        <w:rPr>
          <w:sz w:val="24"/>
          <w:szCs w:val="24"/>
        </w:rPr>
        <w:t xml:space="preserve">In GR </w:t>
      </w:r>
      <w:r w:rsidR="00B713E0" w:rsidRPr="0083632E">
        <w:rPr>
          <w:sz w:val="24"/>
          <w:szCs w:val="24"/>
        </w:rPr>
        <w:t xml:space="preserve">No. </w:t>
      </w:r>
      <w:r w:rsidRPr="0083632E">
        <w:rPr>
          <w:sz w:val="24"/>
          <w:szCs w:val="24"/>
        </w:rPr>
        <w:t xml:space="preserve">27 the Committee expresses concern about the multiple and multidimensional discrimination </w:t>
      </w:r>
      <w:r w:rsidR="00B713E0" w:rsidRPr="0083632E">
        <w:rPr>
          <w:sz w:val="24"/>
          <w:szCs w:val="24"/>
        </w:rPr>
        <w:t xml:space="preserve">faced by </w:t>
      </w:r>
      <w:r w:rsidRPr="0083632E">
        <w:rPr>
          <w:sz w:val="24"/>
          <w:szCs w:val="24"/>
        </w:rPr>
        <w:t xml:space="preserve">older women, the lack of relevant statistical data and the fact their situation is not sufficiently addressed by States. </w:t>
      </w:r>
      <w:r w:rsidR="00B713E0" w:rsidRPr="0083632E">
        <w:rPr>
          <w:sz w:val="24"/>
          <w:szCs w:val="24"/>
        </w:rPr>
        <w:t>This</w:t>
      </w:r>
      <w:r w:rsidRPr="0083632E">
        <w:rPr>
          <w:sz w:val="24"/>
          <w:szCs w:val="24"/>
        </w:rPr>
        <w:t xml:space="preserve"> is still the case and </w:t>
      </w:r>
      <w:r w:rsidR="00B713E0" w:rsidRPr="0083632E">
        <w:rPr>
          <w:sz w:val="24"/>
          <w:szCs w:val="24"/>
        </w:rPr>
        <w:t>discrimination against older women</w:t>
      </w:r>
      <w:r w:rsidRPr="0083632E">
        <w:rPr>
          <w:sz w:val="24"/>
          <w:szCs w:val="24"/>
        </w:rPr>
        <w:t xml:space="preserve"> should be tackled also in view of </w:t>
      </w:r>
      <w:r w:rsidR="00B713E0" w:rsidRPr="0083632E">
        <w:rPr>
          <w:sz w:val="24"/>
          <w:szCs w:val="24"/>
        </w:rPr>
        <w:t>its</w:t>
      </w:r>
      <w:r w:rsidRPr="0083632E">
        <w:rPr>
          <w:sz w:val="24"/>
          <w:szCs w:val="24"/>
        </w:rPr>
        <w:t xml:space="preserve"> exacerbation in all spheres due to </w:t>
      </w:r>
      <w:r w:rsidR="00B713E0" w:rsidRPr="0083632E">
        <w:rPr>
          <w:sz w:val="24"/>
          <w:szCs w:val="24"/>
        </w:rPr>
        <w:t xml:space="preserve">the </w:t>
      </w:r>
      <w:r w:rsidRPr="0083632E">
        <w:rPr>
          <w:sz w:val="24"/>
          <w:szCs w:val="24"/>
        </w:rPr>
        <w:t xml:space="preserve">COVID- 19 pandemic, affecting </w:t>
      </w:r>
      <w:r w:rsidR="00B713E0" w:rsidRPr="0083632E">
        <w:rPr>
          <w:sz w:val="24"/>
          <w:szCs w:val="24"/>
        </w:rPr>
        <w:t>older women disproportionately</w:t>
      </w:r>
      <w:r w:rsidRPr="0083632E">
        <w:rPr>
          <w:sz w:val="24"/>
          <w:szCs w:val="24"/>
        </w:rPr>
        <w:t>.</w:t>
      </w:r>
    </w:p>
    <w:p w:rsidR="0059023E" w:rsidRPr="0083632E" w:rsidRDefault="0059023E" w:rsidP="0059023E">
      <w:pPr>
        <w:jc w:val="both"/>
        <w:rPr>
          <w:sz w:val="24"/>
          <w:szCs w:val="24"/>
        </w:rPr>
      </w:pPr>
      <w:r w:rsidRPr="0083632E">
        <w:rPr>
          <w:sz w:val="24"/>
          <w:szCs w:val="24"/>
        </w:rPr>
        <w:lastRenderedPageBreak/>
        <w:t xml:space="preserve">GR </w:t>
      </w:r>
      <w:r w:rsidR="00B713E0" w:rsidRPr="0083632E">
        <w:rPr>
          <w:sz w:val="24"/>
          <w:szCs w:val="24"/>
        </w:rPr>
        <w:t xml:space="preserve">No. </w:t>
      </w:r>
      <w:r w:rsidRPr="0083632E">
        <w:rPr>
          <w:sz w:val="24"/>
          <w:szCs w:val="24"/>
        </w:rPr>
        <w:t>27 provides guidance to the State</w:t>
      </w:r>
      <w:r w:rsidR="00B713E0" w:rsidRPr="0083632E">
        <w:rPr>
          <w:sz w:val="24"/>
          <w:szCs w:val="24"/>
        </w:rPr>
        <w:t xml:space="preserve">s parties in </w:t>
      </w:r>
      <w:r w:rsidR="007C48B3" w:rsidRPr="0083632E">
        <w:rPr>
          <w:sz w:val="24"/>
          <w:szCs w:val="24"/>
        </w:rPr>
        <w:t>their efforts to tackle and</w:t>
      </w:r>
      <w:r w:rsidRPr="0083632E">
        <w:rPr>
          <w:sz w:val="24"/>
          <w:szCs w:val="24"/>
        </w:rPr>
        <w:t xml:space="preserve"> report</w:t>
      </w:r>
      <w:r w:rsidR="007C48B3" w:rsidRPr="0083632E">
        <w:rPr>
          <w:sz w:val="24"/>
          <w:szCs w:val="24"/>
        </w:rPr>
        <w:t xml:space="preserve"> on</w:t>
      </w:r>
      <w:r w:rsidRPr="0083632E">
        <w:rPr>
          <w:sz w:val="24"/>
          <w:szCs w:val="24"/>
        </w:rPr>
        <w:t xml:space="preserve"> discrimination against older women and to ensure the contribution of older women in public and private life.</w:t>
      </w:r>
    </w:p>
    <w:p w:rsidR="0059023E" w:rsidRPr="0083632E" w:rsidRDefault="0059023E" w:rsidP="0059023E">
      <w:pPr>
        <w:jc w:val="both"/>
        <w:rPr>
          <w:sz w:val="24"/>
          <w:szCs w:val="24"/>
        </w:rPr>
      </w:pPr>
    </w:p>
    <w:p w:rsidR="0059023E" w:rsidRPr="0083632E" w:rsidRDefault="0059023E" w:rsidP="0059023E">
      <w:pPr>
        <w:jc w:val="both"/>
        <w:rPr>
          <w:sz w:val="24"/>
          <w:szCs w:val="24"/>
        </w:rPr>
      </w:pPr>
      <w:r w:rsidRPr="0083632E">
        <w:rPr>
          <w:sz w:val="24"/>
          <w:szCs w:val="24"/>
        </w:rPr>
        <w:t xml:space="preserve">Main recommendations </w:t>
      </w:r>
      <w:r w:rsidR="007C48B3" w:rsidRPr="0083632E">
        <w:rPr>
          <w:sz w:val="24"/>
          <w:szCs w:val="24"/>
        </w:rPr>
        <w:t>to</w:t>
      </w:r>
      <w:r w:rsidRPr="0083632E">
        <w:rPr>
          <w:sz w:val="24"/>
          <w:szCs w:val="24"/>
        </w:rPr>
        <w:t xml:space="preserve"> States </w:t>
      </w:r>
      <w:r w:rsidR="007C48B3" w:rsidRPr="0083632E">
        <w:rPr>
          <w:sz w:val="24"/>
          <w:szCs w:val="24"/>
        </w:rPr>
        <w:t xml:space="preserve">parties </w:t>
      </w:r>
      <w:r w:rsidRPr="0083632E">
        <w:rPr>
          <w:sz w:val="24"/>
          <w:szCs w:val="24"/>
        </w:rPr>
        <w:t>are related to:</w:t>
      </w:r>
    </w:p>
    <w:p w:rsidR="0059023E" w:rsidRPr="0083632E" w:rsidRDefault="0059023E" w:rsidP="0059023E">
      <w:pPr>
        <w:jc w:val="both"/>
        <w:rPr>
          <w:sz w:val="24"/>
          <w:szCs w:val="24"/>
        </w:rPr>
      </w:pPr>
    </w:p>
    <w:p w:rsidR="0059023E" w:rsidRPr="0083632E" w:rsidRDefault="0059023E" w:rsidP="0059023E">
      <w:pPr>
        <w:numPr>
          <w:ilvl w:val="0"/>
          <w:numId w:val="1"/>
        </w:numPr>
        <w:jc w:val="both"/>
        <w:rPr>
          <w:sz w:val="24"/>
          <w:szCs w:val="24"/>
        </w:rPr>
      </w:pPr>
      <w:r w:rsidRPr="0083632E">
        <w:rPr>
          <w:sz w:val="24"/>
          <w:szCs w:val="24"/>
        </w:rPr>
        <w:t>Full advancement and development of women through their life cycle both in peace and conflict</w:t>
      </w:r>
      <w:r w:rsidR="007C48B3" w:rsidRPr="0083632E">
        <w:rPr>
          <w:sz w:val="24"/>
          <w:szCs w:val="24"/>
        </w:rPr>
        <w:t xml:space="preserve"> situations</w:t>
      </w:r>
      <w:r w:rsidR="00E742D0">
        <w:rPr>
          <w:sz w:val="24"/>
          <w:szCs w:val="24"/>
        </w:rPr>
        <w:t>;</w:t>
      </w:r>
    </w:p>
    <w:p w:rsidR="0059023E" w:rsidRPr="0083632E" w:rsidRDefault="0059023E" w:rsidP="0059023E">
      <w:pPr>
        <w:numPr>
          <w:ilvl w:val="0"/>
          <w:numId w:val="1"/>
        </w:numPr>
        <w:jc w:val="both"/>
        <w:rPr>
          <w:sz w:val="24"/>
          <w:szCs w:val="24"/>
        </w:rPr>
      </w:pPr>
      <w:r w:rsidRPr="0083632E">
        <w:rPr>
          <w:sz w:val="24"/>
          <w:szCs w:val="24"/>
        </w:rPr>
        <w:t xml:space="preserve">Right to information and </w:t>
      </w:r>
      <w:r w:rsidR="00E742D0">
        <w:rPr>
          <w:sz w:val="24"/>
          <w:szCs w:val="24"/>
        </w:rPr>
        <w:t>access to legal services;</w:t>
      </w:r>
    </w:p>
    <w:p w:rsidR="0059023E" w:rsidRPr="0083632E" w:rsidRDefault="0059023E" w:rsidP="0059023E">
      <w:pPr>
        <w:numPr>
          <w:ilvl w:val="0"/>
          <w:numId w:val="1"/>
        </w:numPr>
        <w:jc w:val="both"/>
        <w:rPr>
          <w:sz w:val="24"/>
          <w:szCs w:val="24"/>
        </w:rPr>
      </w:pPr>
      <w:r w:rsidRPr="0083632E">
        <w:rPr>
          <w:sz w:val="24"/>
          <w:szCs w:val="24"/>
        </w:rPr>
        <w:t>Participation in paid work and guarantees that retirement age and other conditions do</w:t>
      </w:r>
      <w:r w:rsidR="00E742D0">
        <w:rPr>
          <w:sz w:val="24"/>
          <w:szCs w:val="24"/>
        </w:rPr>
        <w:t xml:space="preserve"> not discriminate against women;</w:t>
      </w:r>
    </w:p>
    <w:p w:rsidR="0059023E" w:rsidRPr="0083632E" w:rsidRDefault="0059023E" w:rsidP="0059023E">
      <w:pPr>
        <w:numPr>
          <w:ilvl w:val="0"/>
          <w:numId w:val="1"/>
        </w:numPr>
        <w:jc w:val="both"/>
        <w:rPr>
          <w:sz w:val="24"/>
          <w:szCs w:val="24"/>
        </w:rPr>
      </w:pPr>
      <w:r w:rsidRPr="0083632E">
        <w:rPr>
          <w:sz w:val="24"/>
          <w:szCs w:val="24"/>
        </w:rPr>
        <w:t>Access to appropriate social and econo</w:t>
      </w:r>
      <w:r w:rsidR="00E742D0">
        <w:rPr>
          <w:sz w:val="24"/>
          <w:szCs w:val="24"/>
        </w:rPr>
        <w:t>mic benefits, access to housing;</w:t>
      </w:r>
    </w:p>
    <w:p w:rsidR="0059023E" w:rsidRPr="0083632E" w:rsidRDefault="0059023E" w:rsidP="0059023E">
      <w:pPr>
        <w:numPr>
          <w:ilvl w:val="0"/>
          <w:numId w:val="1"/>
        </w:numPr>
        <w:jc w:val="both"/>
        <w:rPr>
          <w:sz w:val="24"/>
          <w:szCs w:val="24"/>
        </w:rPr>
      </w:pPr>
      <w:r w:rsidRPr="0083632E">
        <w:rPr>
          <w:sz w:val="24"/>
          <w:szCs w:val="24"/>
        </w:rPr>
        <w:t xml:space="preserve">Comprehensive health-care policies, with </w:t>
      </w:r>
      <w:r w:rsidR="00E742D0">
        <w:rPr>
          <w:sz w:val="24"/>
          <w:szCs w:val="24"/>
        </w:rPr>
        <w:t>special programmes where needed;</w:t>
      </w:r>
    </w:p>
    <w:p w:rsidR="0059023E" w:rsidRPr="0083632E" w:rsidRDefault="0059023E" w:rsidP="0059023E">
      <w:pPr>
        <w:numPr>
          <w:ilvl w:val="0"/>
          <w:numId w:val="1"/>
        </w:numPr>
        <w:jc w:val="both"/>
        <w:rPr>
          <w:sz w:val="24"/>
          <w:szCs w:val="24"/>
        </w:rPr>
      </w:pPr>
      <w:r w:rsidRPr="0083632E">
        <w:rPr>
          <w:sz w:val="24"/>
          <w:szCs w:val="24"/>
        </w:rPr>
        <w:t xml:space="preserve">Age- and gender-sensitive laws and policies for </w:t>
      </w:r>
      <w:r w:rsidR="007C48B3" w:rsidRPr="0083632E">
        <w:rPr>
          <w:sz w:val="24"/>
          <w:szCs w:val="24"/>
        </w:rPr>
        <w:t xml:space="preserve">the </w:t>
      </w:r>
      <w:r w:rsidRPr="0083632E">
        <w:rPr>
          <w:sz w:val="24"/>
          <w:szCs w:val="24"/>
        </w:rPr>
        <w:t>protection of older women with ref</w:t>
      </w:r>
      <w:r w:rsidR="00E742D0">
        <w:rPr>
          <w:sz w:val="24"/>
          <w:szCs w:val="24"/>
        </w:rPr>
        <w:t>ugee status and stateless women;</w:t>
      </w:r>
    </w:p>
    <w:p w:rsidR="0059023E" w:rsidRPr="0083632E" w:rsidRDefault="0059023E" w:rsidP="0059023E">
      <w:pPr>
        <w:numPr>
          <w:ilvl w:val="0"/>
          <w:numId w:val="1"/>
        </w:numPr>
        <w:jc w:val="both"/>
        <w:rPr>
          <w:sz w:val="24"/>
          <w:szCs w:val="24"/>
        </w:rPr>
      </w:pPr>
      <w:r w:rsidRPr="0083632E">
        <w:rPr>
          <w:sz w:val="24"/>
          <w:szCs w:val="24"/>
        </w:rPr>
        <w:t>Protection from discrimination of older widows, including in family relations.</w:t>
      </w:r>
    </w:p>
    <w:p w:rsidR="0059023E" w:rsidRPr="0083632E" w:rsidRDefault="0059023E" w:rsidP="0059023E">
      <w:pPr>
        <w:jc w:val="both"/>
        <w:rPr>
          <w:sz w:val="24"/>
          <w:szCs w:val="24"/>
        </w:rPr>
      </w:pPr>
    </w:p>
    <w:p w:rsidR="0059023E" w:rsidRPr="0083632E" w:rsidRDefault="0059023E" w:rsidP="000C62CB">
      <w:pPr>
        <w:jc w:val="both"/>
        <w:rPr>
          <w:i/>
          <w:sz w:val="24"/>
          <w:szCs w:val="24"/>
        </w:rPr>
      </w:pPr>
      <w:r w:rsidRPr="0083632E">
        <w:rPr>
          <w:sz w:val="24"/>
          <w:szCs w:val="24"/>
        </w:rPr>
        <w:t xml:space="preserve">Furthermore, in </w:t>
      </w:r>
      <w:r w:rsidRPr="0083632E">
        <w:rPr>
          <w:b/>
          <w:sz w:val="24"/>
          <w:szCs w:val="24"/>
        </w:rPr>
        <w:t xml:space="preserve">GR </w:t>
      </w:r>
      <w:r w:rsidR="007C48B3" w:rsidRPr="0083632E">
        <w:rPr>
          <w:b/>
          <w:sz w:val="24"/>
          <w:szCs w:val="24"/>
        </w:rPr>
        <w:t xml:space="preserve">No. </w:t>
      </w:r>
      <w:r w:rsidRPr="0083632E">
        <w:rPr>
          <w:b/>
          <w:sz w:val="24"/>
          <w:szCs w:val="24"/>
        </w:rPr>
        <w:t xml:space="preserve">28 on </w:t>
      </w:r>
      <w:r w:rsidR="007C48B3" w:rsidRPr="0083632E">
        <w:rPr>
          <w:b/>
          <w:sz w:val="24"/>
          <w:szCs w:val="24"/>
        </w:rPr>
        <w:t>the c</w:t>
      </w:r>
      <w:r w:rsidRPr="0083632E">
        <w:rPr>
          <w:b/>
          <w:sz w:val="24"/>
          <w:szCs w:val="24"/>
        </w:rPr>
        <w:t>ore obligations</w:t>
      </w:r>
      <w:r w:rsidRPr="0083632E">
        <w:rPr>
          <w:sz w:val="24"/>
          <w:szCs w:val="24"/>
        </w:rPr>
        <w:t xml:space="preserve"> </w:t>
      </w:r>
      <w:r w:rsidR="007C48B3" w:rsidRPr="0083632E">
        <w:rPr>
          <w:b/>
          <w:sz w:val="24"/>
          <w:szCs w:val="24"/>
        </w:rPr>
        <w:t>under the Convention</w:t>
      </w:r>
      <w:r w:rsidR="007C48B3" w:rsidRPr="0083632E">
        <w:rPr>
          <w:sz w:val="24"/>
          <w:szCs w:val="24"/>
        </w:rPr>
        <w:t>,</w:t>
      </w:r>
      <w:r w:rsidRPr="0083632E">
        <w:rPr>
          <w:sz w:val="24"/>
          <w:szCs w:val="24"/>
        </w:rPr>
        <w:t xml:space="preserve"> the Committee </w:t>
      </w:r>
      <w:r w:rsidRPr="0083632E">
        <w:rPr>
          <w:sz w:val="24"/>
          <w:szCs w:val="24"/>
          <w:lang w:val="en-US"/>
        </w:rPr>
        <w:t>states that: “</w:t>
      </w:r>
      <w:proofErr w:type="spellStart"/>
      <w:r w:rsidRPr="0083632E">
        <w:rPr>
          <w:i/>
          <w:sz w:val="24"/>
          <w:szCs w:val="24"/>
        </w:rPr>
        <w:t>Intersectionality</w:t>
      </w:r>
      <w:proofErr w:type="spellEnd"/>
      <w:r w:rsidRPr="0083632E">
        <w:rPr>
          <w:i/>
          <w:sz w:val="24"/>
          <w:szCs w:val="24"/>
        </w:rPr>
        <w:t xml:space="preserve"> is a basic concept for understanding the scope of the general obligations of States parties contained in article 2</w:t>
      </w:r>
      <w:r w:rsidRPr="0083632E">
        <w:rPr>
          <w:i/>
          <w:sz w:val="24"/>
          <w:szCs w:val="24"/>
          <w:lang w:val="en-US"/>
        </w:rPr>
        <w:t xml:space="preserve"> of the Convention</w:t>
      </w:r>
      <w:r w:rsidRPr="0083632E">
        <w:rPr>
          <w:i/>
          <w:sz w:val="24"/>
          <w:szCs w:val="24"/>
        </w:rPr>
        <w:t xml:space="preserve">. The discrimination of women based on sex and gender is inextricably linked with other factors that affect women, such as race, ethnicity, religion or belief, health, status, </w:t>
      </w:r>
      <w:r w:rsidRPr="0083632E">
        <w:rPr>
          <w:b/>
          <w:i/>
          <w:sz w:val="24"/>
          <w:szCs w:val="24"/>
          <w:u w:val="single"/>
        </w:rPr>
        <w:t>age</w:t>
      </w:r>
      <w:r w:rsidRPr="0083632E">
        <w:rPr>
          <w:b/>
          <w:i/>
          <w:sz w:val="24"/>
          <w:szCs w:val="24"/>
        </w:rPr>
        <w:t>,</w:t>
      </w:r>
      <w:r w:rsidRPr="0083632E">
        <w:rPr>
          <w:i/>
          <w:sz w:val="24"/>
          <w:szCs w:val="24"/>
        </w:rPr>
        <w:t xml:space="preserve"> class, caste and sexual orientation and gender identity. Discrimination on the basis of sex or gender may affect women belonging to such groups to a different degree or in different ways to men. States parties must legally recognize such intersecting forms of discrimination and their compounded negative impact on the women concerned and prohibit them”</w:t>
      </w:r>
      <w:r w:rsidR="00E742D0">
        <w:rPr>
          <w:i/>
          <w:sz w:val="24"/>
          <w:szCs w:val="24"/>
        </w:rPr>
        <w:t>.</w:t>
      </w:r>
    </w:p>
    <w:p w:rsidR="0059023E" w:rsidRPr="0083632E" w:rsidRDefault="0059023E" w:rsidP="0059023E">
      <w:pPr>
        <w:tabs>
          <w:tab w:val="left" w:pos="360"/>
        </w:tabs>
        <w:spacing w:line="360" w:lineRule="auto"/>
        <w:jc w:val="both"/>
        <w:rPr>
          <w:i/>
          <w:sz w:val="24"/>
          <w:szCs w:val="24"/>
          <w:lang w:val="en-US"/>
        </w:rPr>
      </w:pPr>
    </w:p>
    <w:p w:rsidR="0059023E" w:rsidRPr="0083632E" w:rsidRDefault="0059023E" w:rsidP="000C62CB">
      <w:pPr>
        <w:jc w:val="both"/>
        <w:rPr>
          <w:i/>
          <w:sz w:val="24"/>
          <w:szCs w:val="24"/>
          <w:lang w:val="en-US"/>
        </w:rPr>
      </w:pPr>
      <w:r w:rsidRPr="0083632E">
        <w:rPr>
          <w:b/>
          <w:sz w:val="24"/>
          <w:szCs w:val="24"/>
        </w:rPr>
        <w:t xml:space="preserve">GR </w:t>
      </w:r>
      <w:r w:rsidR="007C48B3" w:rsidRPr="0083632E">
        <w:rPr>
          <w:b/>
          <w:sz w:val="24"/>
          <w:szCs w:val="24"/>
        </w:rPr>
        <w:t xml:space="preserve">No. </w:t>
      </w:r>
      <w:r w:rsidRPr="0083632E">
        <w:rPr>
          <w:b/>
          <w:sz w:val="24"/>
          <w:szCs w:val="24"/>
        </w:rPr>
        <w:t>35</w:t>
      </w:r>
      <w:r w:rsidR="001733B8">
        <w:rPr>
          <w:b/>
          <w:sz w:val="24"/>
          <w:szCs w:val="24"/>
        </w:rPr>
        <w:t xml:space="preserve"> </w:t>
      </w:r>
      <w:r w:rsidRPr="0083632E">
        <w:rPr>
          <w:b/>
          <w:sz w:val="24"/>
          <w:szCs w:val="24"/>
        </w:rPr>
        <w:t xml:space="preserve">on </w:t>
      </w:r>
      <w:r w:rsidR="007C48B3" w:rsidRPr="0083632E">
        <w:rPr>
          <w:b/>
          <w:sz w:val="24"/>
          <w:szCs w:val="24"/>
        </w:rPr>
        <w:t>g</w:t>
      </w:r>
      <w:r w:rsidRPr="0083632E">
        <w:rPr>
          <w:b/>
          <w:sz w:val="24"/>
          <w:szCs w:val="24"/>
        </w:rPr>
        <w:t>ender-based violence</w:t>
      </w:r>
      <w:r w:rsidR="007C48B3" w:rsidRPr="0083632E">
        <w:rPr>
          <w:b/>
          <w:sz w:val="24"/>
          <w:szCs w:val="24"/>
        </w:rPr>
        <w:t xml:space="preserve"> against women</w:t>
      </w:r>
      <w:r w:rsidRPr="0083632E">
        <w:rPr>
          <w:sz w:val="24"/>
          <w:szCs w:val="24"/>
        </w:rPr>
        <w:t xml:space="preserve"> further affirms that: </w:t>
      </w:r>
      <w:r w:rsidRPr="0083632E">
        <w:rPr>
          <w:i/>
          <w:sz w:val="24"/>
          <w:szCs w:val="24"/>
        </w:rPr>
        <w:t>“</w:t>
      </w:r>
      <w:r w:rsidRPr="0083632E">
        <w:rPr>
          <w:i/>
          <w:sz w:val="24"/>
          <w:szCs w:val="24"/>
          <w:lang w:val="en-US"/>
        </w:rPr>
        <w:t xml:space="preserve">Women’s experience of violence is shaped by factors such as their race, </w:t>
      </w:r>
      <w:proofErr w:type="spellStart"/>
      <w:r w:rsidRPr="0083632E">
        <w:rPr>
          <w:i/>
          <w:sz w:val="24"/>
          <w:szCs w:val="24"/>
          <w:lang w:val="en-US"/>
        </w:rPr>
        <w:t>colour</w:t>
      </w:r>
      <w:proofErr w:type="spellEnd"/>
      <w:r w:rsidRPr="0083632E">
        <w:rPr>
          <w:i/>
          <w:sz w:val="24"/>
          <w:szCs w:val="24"/>
          <w:lang w:val="en-US"/>
        </w:rPr>
        <w:t xml:space="preserve">, religion, political or other opinion, national or social origin, property, marital status, sexual orientation, HIV/AIDS status, migrant or refugee status, </w:t>
      </w:r>
      <w:r w:rsidRPr="0083632E">
        <w:rPr>
          <w:b/>
          <w:i/>
          <w:sz w:val="24"/>
          <w:szCs w:val="24"/>
          <w:u w:val="single"/>
          <w:lang w:val="en-US"/>
        </w:rPr>
        <w:t>age</w:t>
      </w:r>
      <w:r w:rsidRPr="0083632E">
        <w:rPr>
          <w:i/>
          <w:sz w:val="24"/>
          <w:szCs w:val="24"/>
          <w:lang w:val="en-US"/>
        </w:rPr>
        <w:t>, or disability. Consequently, interventions should include targeted measures for particular groups of women, as appropriate.”</w:t>
      </w:r>
    </w:p>
    <w:p w:rsidR="0059023E" w:rsidRPr="0083632E" w:rsidRDefault="0059023E" w:rsidP="0059023E">
      <w:pPr>
        <w:spacing w:after="120"/>
        <w:jc w:val="both"/>
        <w:rPr>
          <w:b/>
          <w:bCs/>
          <w:sz w:val="24"/>
          <w:szCs w:val="24"/>
          <w:u w:val="single"/>
          <w:lang w:val="en-US"/>
        </w:rPr>
      </w:pPr>
    </w:p>
    <w:p w:rsidR="0059023E" w:rsidRPr="0083632E" w:rsidRDefault="0059023E" w:rsidP="0059023E">
      <w:pPr>
        <w:jc w:val="both"/>
        <w:rPr>
          <w:b/>
          <w:sz w:val="24"/>
          <w:szCs w:val="24"/>
        </w:rPr>
      </w:pPr>
      <w:r w:rsidRPr="0083632E">
        <w:rPr>
          <w:sz w:val="24"/>
          <w:szCs w:val="24"/>
        </w:rPr>
        <w:t xml:space="preserve">Special attention </w:t>
      </w:r>
      <w:r w:rsidR="007C48B3" w:rsidRPr="0083632E">
        <w:rPr>
          <w:sz w:val="24"/>
          <w:szCs w:val="24"/>
        </w:rPr>
        <w:t>to</w:t>
      </w:r>
      <w:r w:rsidRPr="0083632E">
        <w:rPr>
          <w:sz w:val="24"/>
          <w:szCs w:val="24"/>
        </w:rPr>
        <w:t xml:space="preserve"> </w:t>
      </w:r>
      <w:r w:rsidR="007C48B3" w:rsidRPr="0083632E">
        <w:rPr>
          <w:sz w:val="24"/>
          <w:szCs w:val="24"/>
        </w:rPr>
        <w:t>disadvantaged</w:t>
      </w:r>
      <w:r w:rsidRPr="0083632E">
        <w:rPr>
          <w:sz w:val="24"/>
          <w:szCs w:val="24"/>
        </w:rPr>
        <w:t xml:space="preserve"> groups of women</w:t>
      </w:r>
      <w:r w:rsidR="007C48B3" w:rsidRPr="0083632E">
        <w:rPr>
          <w:sz w:val="24"/>
          <w:szCs w:val="24"/>
        </w:rPr>
        <w:t>, including</w:t>
      </w:r>
      <w:r w:rsidRPr="0083632E">
        <w:rPr>
          <w:sz w:val="24"/>
          <w:szCs w:val="24"/>
        </w:rPr>
        <w:t xml:space="preserve"> older women</w:t>
      </w:r>
      <w:r w:rsidR="007C48B3" w:rsidRPr="0083632E">
        <w:rPr>
          <w:sz w:val="24"/>
          <w:szCs w:val="24"/>
        </w:rPr>
        <w:t>,</w:t>
      </w:r>
      <w:r w:rsidRPr="0083632E">
        <w:rPr>
          <w:sz w:val="24"/>
          <w:szCs w:val="24"/>
        </w:rPr>
        <w:t xml:space="preserve"> is given by the Committee in </w:t>
      </w:r>
      <w:r w:rsidRPr="0083632E">
        <w:rPr>
          <w:b/>
          <w:sz w:val="24"/>
          <w:szCs w:val="24"/>
        </w:rPr>
        <w:t xml:space="preserve">GR </w:t>
      </w:r>
      <w:r w:rsidR="007C48B3" w:rsidRPr="0083632E">
        <w:rPr>
          <w:b/>
          <w:sz w:val="24"/>
          <w:szCs w:val="24"/>
        </w:rPr>
        <w:t xml:space="preserve">No. </w:t>
      </w:r>
      <w:r w:rsidRPr="0083632E">
        <w:rPr>
          <w:b/>
          <w:sz w:val="24"/>
          <w:szCs w:val="24"/>
        </w:rPr>
        <w:t xml:space="preserve">37 </w:t>
      </w:r>
      <w:r w:rsidR="007C48B3" w:rsidRPr="0083632E">
        <w:rPr>
          <w:b/>
          <w:sz w:val="24"/>
          <w:szCs w:val="24"/>
        </w:rPr>
        <w:t>on g</w:t>
      </w:r>
      <w:r w:rsidRPr="0083632E">
        <w:rPr>
          <w:b/>
          <w:sz w:val="24"/>
          <w:szCs w:val="24"/>
        </w:rPr>
        <w:t>ender-related dimensions of disaster risk reduction in the context of climate change</w:t>
      </w:r>
      <w:r w:rsidRPr="0083632E">
        <w:rPr>
          <w:sz w:val="24"/>
          <w:szCs w:val="24"/>
        </w:rPr>
        <w:t xml:space="preserve">, </w:t>
      </w:r>
      <w:r w:rsidR="007C48B3" w:rsidRPr="0083632E">
        <w:rPr>
          <w:sz w:val="24"/>
          <w:szCs w:val="24"/>
        </w:rPr>
        <w:t>where the Committee</w:t>
      </w:r>
      <w:r w:rsidRPr="0083632E">
        <w:rPr>
          <w:sz w:val="24"/>
          <w:szCs w:val="24"/>
        </w:rPr>
        <w:t xml:space="preserve"> states:</w:t>
      </w:r>
      <w:r w:rsidRPr="0083632E">
        <w:rPr>
          <w:b/>
          <w:sz w:val="24"/>
          <w:szCs w:val="24"/>
        </w:rPr>
        <w:t xml:space="preserve"> </w:t>
      </w:r>
    </w:p>
    <w:p w:rsidR="0059023E" w:rsidRPr="0083632E" w:rsidRDefault="0059023E" w:rsidP="0059023E">
      <w:pPr>
        <w:rPr>
          <w:sz w:val="24"/>
          <w:szCs w:val="24"/>
        </w:rPr>
      </w:pPr>
    </w:p>
    <w:p w:rsidR="0059023E" w:rsidRPr="00826C4F" w:rsidRDefault="0059023E" w:rsidP="00826C4F">
      <w:pPr>
        <w:ind w:left="720"/>
        <w:jc w:val="both"/>
        <w:rPr>
          <w:i/>
          <w:sz w:val="24"/>
          <w:szCs w:val="24"/>
        </w:rPr>
      </w:pPr>
      <w:r w:rsidRPr="0083632E">
        <w:rPr>
          <w:sz w:val="24"/>
          <w:szCs w:val="24"/>
        </w:rPr>
        <w:t>40.</w:t>
      </w:r>
      <w:r w:rsidRPr="0083632E">
        <w:rPr>
          <w:sz w:val="24"/>
          <w:szCs w:val="24"/>
        </w:rPr>
        <w:tab/>
      </w:r>
      <w:r w:rsidRPr="0083632E">
        <w:rPr>
          <w:b/>
          <w:bCs/>
          <w:i/>
          <w:sz w:val="24"/>
          <w:szCs w:val="24"/>
        </w:rPr>
        <w:t>States parties should</w:t>
      </w:r>
      <w:r w:rsidR="00826C4F">
        <w:rPr>
          <w:b/>
          <w:bCs/>
          <w:i/>
          <w:sz w:val="24"/>
          <w:szCs w:val="24"/>
        </w:rPr>
        <w:t>:</w:t>
      </w:r>
    </w:p>
    <w:p w:rsidR="00826C4F" w:rsidRPr="0083632E" w:rsidRDefault="00826C4F" w:rsidP="00826C4F">
      <w:pPr>
        <w:ind w:left="720"/>
        <w:jc w:val="both"/>
        <w:rPr>
          <w:i/>
          <w:sz w:val="24"/>
          <w:szCs w:val="24"/>
        </w:rPr>
      </w:pPr>
    </w:p>
    <w:p w:rsidR="0059023E" w:rsidRDefault="0059023E" w:rsidP="00826C4F">
      <w:pPr>
        <w:ind w:left="720" w:firstLine="696"/>
        <w:jc w:val="both"/>
        <w:rPr>
          <w:b/>
          <w:bCs/>
          <w:i/>
          <w:sz w:val="24"/>
          <w:szCs w:val="24"/>
        </w:rPr>
      </w:pPr>
      <w:r w:rsidRPr="0083632E">
        <w:rPr>
          <w:i/>
          <w:sz w:val="24"/>
          <w:szCs w:val="24"/>
        </w:rPr>
        <w:t>(a)</w:t>
      </w:r>
      <w:r w:rsidRPr="0083632E">
        <w:rPr>
          <w:i/>
          <w:sz w:val="24"/>
          <w:szCs w:val="24"/>
        </w:rPr>
        <w:tab/>
      </w:r>
      <w:r w:rsidRPr="0083632E">
        <w:rPr>
          <w:b/>
          <w:bCs/>
          <w:i/>
          <w:sz w:val="24"/>
          <w:szCs w:val="24"/>
        </w:rPr>
        <w:t xml:space="preserve">Establish or identify existing national and local mechanisms to collect, analyse and manage, and for the application of, data disaggregated by sex, </w:t>
      </w:r>
      <w:r w:rsidRPr="0083632E">
        <w:rPr>
          <w:b/>
          <w:bCs/>
          <w:i/>
          <w:sz w:val="24"/>
          <w:szCs w:val="24"/>
          <w:u w:val="single"/>
        </w:rPr>
        <w:t>age,</w:t>
      </w:r>
      <w:r w:rsidRPr="0083632E">
        <w:rPr>
          <w:b/>
          <w:bCs/>
          <w:i/>
          <w:sz w:val="24"/>
          <w:szCs w:val="24"/>
        </w:rPr>
        <w:t xml:space="preserve"> disability, ethnicity and region. Such data should be made publicly available and used to inform gender-responsive national and regional disaster risk reduction and climate resilience legislation, policies, programmes and budgets;</w:t>
      </w:r>
    </w:p>
    <w:p w:rsidR="00826C4F" w:rsidRPr="0083632E" w:rsidRDefault="00826C4F" w:rsidP="00826C4F">
      <w:pPr>
        <w:ind w:left="720" w:firstLine="696"/>
        <w:jc w:val="both"/>
        <w:rPr>
          <w:i/>
          <w:sz w:val="24"/>
          <w:szCs w:val="24"/>
        </w:rPr>
      </w:pPr>
    </w:p>
    <w:p w:rsidR="0059023E" w:rsidRPr="0083632E" w:rsidRDefault="0059023E" w:rsidP="00826C4F">
      <w:pPr>
        <w:ind w:left="720" w:firstLine="696"/>
        <w:jc w:val="both"/>
        <w:rPr>
          <w:b/>
          <w:bCs/>
          <w:i/>
          <w:sz w:val="24"/>
          <w:szCs w:val="24"/>
        </w:rPr>
      </w:pPr>
      <w:r w:rsidRPr="00826C4F">
        <w:rPr>
          <w:i/>
          <w:sz w:val="24"/>
          <w:szCs w:val="24"/>
        </w:rPr>
        <w:t>(b)</w:t>
      </w:r>
      <w:r w:rsidRPr="0083632E">
        <w:rPr>
          <w:sz w:val="24"/>
          <w:szCs w:val="24"/>
        </w:rPr>
        <w:tab/>
      </w:r>
      <w:r w:rsidRPr="0083632E">
        <w:rPr>
          <w:b/>
          <w:bCs/>
          <w:i/>
          <w:sz w:val="24"/>
          <w:szCs w:val="24"/>
        </w:rPr>
        <w:t xml:space="preserve">Develop, on the basis of disaggregated data, specific and gender-responsive indicators and monitoring mechanisms to enable States parties to establish baselines and measure progress in areas such as the participation of women in </w:t>
      </w:r>
      <w:r w:rsidRPr="0083632E">
        <w:rPr>
          <w:b/>
          <w:bCs/>
          <w:i/>
          <w:sz w:val="24"/>
          <w:szCs w:val="24"/>
        </w:rPr>
        <w:lastRenderedPageBreak/>
        <w:t>initiatives relating to disaster risk reduction and climate change and in political, economic and social institutions.</w:t>
      </w:r>
    </w:p>
    <w:p w:rsidR="0059023E" w:rsidRPr="0083632E" w:rsidRDefault="0059023E" w:rsidP="0059023E">
      <w:pPr>
        <w:rPr>
          <w:b/>
          <w:bCs/>
          <w:sz w:val="24"/>
          <w:szCs w:val="24"/>
        </w:rPr>
      </w:pPr>
    </w:p>
    <w:p w:rsidR="0059023E" w:rsidRDefault="0059023E" w:rsidP="00826C4F">
      <w:pPr>
        <w:ind w:left="720"/>
        <w:jc w:val="both"/>
        <w:rPr>
          <w:b/>
          <w:bCs/>
          <w:i/>
          <w:sz w:val="24"/>
          <w:szCs w:val="24"/>
        </w:rPr>
      </w:pPr>
      <w:r w:rsidRPr="0083632E">
        <w:rPr>
          <w:sz w:val="24"/>
          <w:szCs w:val="24"/>
        </w:rPr>
        <w:t>54</w:t>
      </w:r>
      <w:r w:rsidR="00975D83">
        <w:rPr>
          <w:sz w:val="24"/>
          <w:szCs w:val="24"/>
        </w:rPr>
        <w:t>.</w:t>
      </w:r>
      <w:r w:rsidR="00975D83">
        <w:rPr>
          <w:sz w:val="24"/>
          <w:szCs w:val="24"/>
        </w:rPr>
        <w:tab/>
      </w:r>
      <w:r w:rsidRPr="00975D83">
        <w:rPr>
          <w:i/>
          <w:sz w:val="24"/>
          <w:szCs w:val="24"/>
        </w:rPr>
        <w:t>(c)</w:t>
      </w:r>
      <w:r w:rsidR="00975D83">
        <w:rPr>
          <w:i/>
          <w:sz w:val="24"/>
          <w:szCs w:val="24"/>
        </w:rPr>
        <w:tab/>
      </w:r>
      <w:r w:rsidRPr="00975D83">
        <w:rPr>
          <w:b/>
          <w:bCs/>
          <w:i/>
          <w:sz w:val="24"/>
          <w:szCs w:val="24"/>
        </w:rPr>
        <w:t>Ensure</w:t>
      </w:r>
      <w:r w:rsidRPr="0083632E">
        <w:rPr>
          <w:b/>
          <w:bCs/>
          <w:i/>
          <w:sz w:val="24"/>
          <w:szCs w:val="24"/>
        </w:rPr>
        <w:t xml:space="preserve"> that early warning information is provided </w:t>
      </w:r>
      <w:r w:rsidRPr="002312D4">
        <w:rPr>
          <w:sz w:val="24"/>
          <w:szCs w:val="24"/>
        </w:rPr>
        <w:t>using</w:t>
      </w:r>
      <w:r w:rsidRPr="0083632E">
        <w:rPr>
          <w:b/>
          <w:bCs/>
          <w:i/>
          <w:sz w:val="24"/>
          <w:szCs w:val="24"/>
        </w:rPr>
        <w:t xml:space="preserve"> technology that is modern, culturally appropriate, accessible and inclusive, taking into account the needs of diverse groups of women. In particular, the extension of Internet and mobile telephone coverage, as well as other reliable and cost-effective communications technology such as radios, and the accessibility of that technology for all women, including women belonging to indigenous and minority groups, </w:t>
      </w:r>
      <w:r w:rsidRPr="0083632E">
        <w:rPr>
          <w:b/>
          <w:bCs/>
          <w:i/>
          <w:sz w:val="24"/>
          <w:szCs w:val="24"/>
          <w:u w:val="single"/>
        </w:rPr>
        <w:t>older women and women with disabilities</w:t>
      </w:r>
      <w:r w:rsidRPr="0083632E">
        <w:rPr>
          <w:b/>
          <w:bCs/>
          <w:i/>
          <w:sz w:val="24"/>
          <w:szCs w:val="24"/>
        </w:rPr>
        <w:t>, should be actively promoted within the context of programmes relating to disaster risk reduction and climate change;</w:t>
      </w:r>
    </w:p>
    <w:p w:rsidR="00975D83" w:rsidRPr="0083632E" w:rsidRDefault="00975D83" w:rsidP="00826C4F">
      <w:pPr>
        <w:ind w:left="720"/>
        <w:jc w:val="both"/>
        <w:rPr>
          <w:i/>
          <w:sz w:val="24"/>
          <w:szCs w:val="24"/>
        </w:rPr>
      </w:pPr>
    </w:p>
    <w:p w:rsidR="0059023E" w:rsidRDefault="0059023E" w:rsidP="00975D83">
      <w:pPr>
        <w:ind w:left="720"/>
        <w:jc w:val="both"/>
        <w:rPr>
          <w:b/>
          <w:bCs/>
          <w:i/>
          <w:sz w:val="24"/>
          <w:szCs w:val="24"/>
        </w:rPr>
      </w:pPr>
      <w:r w:rsidRPr="00975D83">
        <w:rPr>
          <w:bCs/>
          <w:sz w:val="24"/>
          <w:szCs w:val="24"/>
        </w:rPr>
        <w:t>68</w:t>
      </w:r>
      <w:r w:rsidR="000D2783" w:rsidRPr="00975D83">
        <w:rPr>
          <w:bCs/>
          <w:sz w:val="24"/>
          <w:szCs w:val="24"/>
        </w:rPr>
        <w:t>.</w:t>
      </w:r>
      <w:r w:rsidR="00975D83">
        <w:rPr>
          <w:b/>
          <w:bCs/>
          <w:sz w:val="24"/>
          <w:szCs w:val="24"/>
        </w:rPr>
        <w:tab/>
      </w:r>
      <w:r w:rsidR="007C48B3" w:rsidRPr="00975D83">
        <w:rPr>
          <w:bCs/>
          <w:i/>
          <w:sz w:val="24"/>
          <w:szCs w:val="24"/>
        </w:rPr>
        <w:t>(</w:t>
      </w:r>
      <w:r w:rsidRPr="00975D83">
        <w:rPr>
          <w:bCs/>
          <w:i/>
          <w:sz w:val="24"/>
          <w:szCs w:val="24"/>
        </w:rPr>
        <w:t>e</w:t>
      </w:r>
      <w:r w:rsidR="007C48B3" w:rsidRPr="00975D83">
        <w:rPr>
          <w:bCs/>
          <w:i/>
          <w:sz w:val="24"/>
          <w:szCs w:val="24"/>
        </w:rPr>
        <w:t>)</w:t>
      </w:r>
      <w:r w:rsidR="00975D83">
        <w:rPr>
          <w:b/>
          <w:bCs/>
          <w:sz w:val="24"/>
          <w:szCs w:val="24"/>
        </w:rPr>
        <w:tab/>
      </w:r>
      <w:r w:rsidRPr="0083632E">
        <w:rPr>
          <w:b/>
          <w:bCs/>
          <w:i/>
          <w:sz w:val="24"/>
          <w:szCs w:val="24"/>
        </w:rPr>
        <w:t xml:space="preserve">Monitor the provision of health services to women by public, non-governmental and private organizations, to ensure equal access to and quality of care that responds to the specific health needs of </w:t>
      </w:r>
      <w:r w:rsidRPr="0083632E">
        <w:rPr>
          <w:b/>
          <w:bCs/>
          <w:i/>
          <w:sz w:val="24"/>
          <w:szCs w:val="24"/>
          <w:u w:val="single"/>
        </w:rPr>
        <w:t>diverse groups of women</w:t>
      </w:r>
      <w:r w:rsidRPr="0083632E">
        <w:rPr>
          <w:b/>
          <w:bCs/>
          <w:i/>
          <w:sz w:val="24"/>
          <w:szCs w:val="24"/>
        </w:rPr>
        <w:t>, in the context of disasters and climate change;</w:t>
      </w:r>
    </w:p>
    <w:p w:rsidR="00975D83" w:rsidRPr="0083632E" w:rsidRDefault="00975D83" w:rsidP="00975D83">
      <w:pPr>
        <w:ind w:left="720"/>
        <w:jc w:val="both"/>
        <w:rPr>
          <w:i/>
          <w:sz w:val="24"/>
          <w:szCs w:val="24"/>
        </w:rPr>
      </w:pPr>
    </w:p>
    <w:p w:rsidR="0059023E" w:rsidRPr="0083632E" w:rsidRDefault="00223E8E" w:rsidP="00975D83">
      <w:pPr>
        <w:ind w:left="720"/>
        <w:jc w:val="both"/>
        <w:rPr>
          <w:i/>
          <w:sz w:val="24"/>
          <w:szCs w:val="24"/>
        </w:rPr>
      </w:pPr>
      <w:r>
        <w:rPr>
          <w:sz w:val="24"/>
          <w:szCs w:val="24"/>
        </w:rPr>
        <w:tab/>
      </w:r>
      <w:r w:rsidR="0059023E" w:rsidRPr="00975D83">
        <w:rPr>
          <w:i/>
          <w:sz w:val="24"/>
          <w:szCs w:val="24"/>
        </w:rPr>
        <w:t>(f)</w:t>
      </w:r>
      <w:r w:rsidR="0059023E" w:rsidRPr="0083632E">
        <w:rPr>
          <w:sz w:val="24"/>
          <w:szCs w:val="24"/>
        </w:rPr>
        <w:tab/>
      </w:r>
      <w:r w:rsidR="0059023E" w:rsidRPr="0083632E">
        <w:rPr>
          <w:b/>
          <w:bCs/>
          <w:i/>
          <w:sz w:val="24"/>
          <w:szCs w:val="24"/>
        </w:rPr>
        <w:t xml:space="preserve">Require that all health services operating in situations of disaster function to promote the human rights of women, including the rights to autonomy, privacy, confidentiality, informed consent, non-discrimination and choice. Specific measures to ensure the promotion and protection of the rights of women and girls with disabilities, women and girls belonging to indigenous and minority groups, lesbian, bisexual and transgender women and girls, intersex persons, older women and women and girls </w:t>
      </w:r>
      <w:r w:rsidR="0059023E" w:rsidRPr="0083632E">
        <w:rPr>
          <w:b/>
          <w:bCs/>
          <w:i/>
          <w:sz w:val="24"/>
          <w:szCs w:val="24"/>
          <w:u w:val="single"/>
        </w:rPr>
        <w:t>belonging to other marginalized groups</w:t>
      </w:r>
      <w:r w:rsidR="0059023E" w:rsidRPr="0083632E">
        <w:rPr>
          <w:b/>
          <w:bCs/>
          <w:i/>
          <w:sz w:val="24"/>
          <w:szCs w:val="24"/>
        </w:rPr>
        <w:t xml:space="preserve"> should be explicitly included in health-care policies and standards relating to situations of disaster</w:t>
      </w:r>
      <w:r w:rsidR="00F7271F">
        <w:rPr>
          <w:b/>
          <w:bCs/>
          <w:i/>
          <w:sz w:val="24"/>
          <w:szCs w:val="24"/>
        </w:rPr>
        <w:t>.</w:t>
      </w:r>
    </w:p>
    <w:p w:rsidR="0059023E" w:rsidRPr="0083632E" w:rsidRDefault="0059023E" w:rsidP="0059023E">
      <w:pPr>
        <w:rPr>
          <w:sz w:val="24"/>
          <w:szCs w:val="24"/>
        </w:rPr>
      </w:pPr>
    </w:p>
    <w:p w:rsidR="0059023E" w:rsidRPr="0083632E" w:rsidRDefault="0059023E" w:rsidP="0059023E">
      <w:pPr>
        <w:jc w:val="both"/>
        <w:rPr>
          <w:sz w:val="24"/>
          <w:szCs w:val="24"/>
        </w:rPr>
      </w:pPr>
      <w:r w:rsidRPr="0083632E">
        <w:rPr>
          <w:sz w:val="24"/>
          <w:szCs w:val="24"/>
        </w:rPr>
        <w:t xml:space="preserve">Older women in many countries </w:t>
      </w:r>
      <w:r w:rsidR="00811C51" w:rsidRPr="0083632E">
        <w:rPr>
          <w:sz w:val="24"/>
          <w:szCs w:val="24"/>
        </w:rPr>
        <w:t>represent</w:t>
      </w:r>
      <w:r w:rsidRPr="0083632E">
        <w:rPr>
          <w:sz w:val="24"/>
          <w:szCs w:val="24"/>
        </w:rPr>
        <w:t xml:space="preserve"> </w:t>
      </w:r>
      <w:r w:rsidR="00811C51" w:rsidRPr="0083632E">
        <w:rPr>
          <w:sz w:val="24"/>
          <w:szCs w:val="24"/>
        </w:rPr>
        <w:t xml:space="preserve">an </w:t>
      </w:r>
      <w:r w:rsidRPr="0083632E">
        <w:rPr>
          <w:sz w:val="24"/>
          <w:szCs w:val="24"/>
        </w:rPr>
        <w:t xml:space="preserve">important part of the rural population. Concrete guidance to the </w:t>
      </w:r>
      <w:r w:rsidR="00811C51" w:rsidRPr="0083632E">
        <w:rPr>
          <w:sz w:val="24"/>
          <w:szCs w:val="24"/>
        </w:rPr>
        <w:t>S</w:t>
      </w:r>
      <w:r w:rsidRPr="0083632E">
        <w:rPr>
          <w:sz w:val="24"/>
          <w:szCs w:val="24"/>
        </w:rPr>
        <w:t xml:space="preserve">tates </w:t>
      </w:r>
      <w:r w:rsidR="00811C51" w:rsidRPr="0083632E">
        <w:rPr>
          <w:sz w:val="24"/>
          <w:szCs w:val="24"/>
        </w:rPr>
        <w:t>parties on the</w:t>
      </w:r>
      <w:r w:rsidRPr="0083632E">
        <w:rPr>
          <w:sz w:val="24"/>
          <w:szCs w:val="24"/>
        </w:rPr>
        <w:t xml:space="preserve"> protection and empowerment of rural women is </w:t>
      </w:r>
      <w:r w:rsidR="00811C51" w:rsidRPr="0083632E">
        <w:rPr>
          <w:sz w:val="24"/>
          <w:szCs w:val="24"/>
        </w:rPr>
        <w:t>provided</w:t>
      </w:r>
      <w:r w:rsidRPr="0083632E">
        <w:rPr>
          <w:sz w:val="24"/>
          <w:szCs w:val="24"/>
        </w:rPr>
        <w:t xml:space="preserve"> in </w:t>
      </w:r>
      <w:r w:rsidRPr="0083632E">
        <w:rPr>
          <w:b/>
          <w:sz w:val="24"/>
          <w:szCs w:val="24"/>
        </w:rPr>
        <w:t xml:space="preserve">GR </w:t>
      </w:r>
      <w:r w:rsidR="00811C51" w:rsidRPr="0083632E">
        <w:rPr>
          <w:b/>
          <w:sz w:val="24"/>
          <w:szCs w:val="24"/>
        </w:rPr>
        <w:t xml:space="preserve">No. </w:t>
      </w:r>
      <w:r w:rsidRPr="0083632E">
        <w:rPr>
          <w:b/>
          <w:sz w:val="24"/>
          <w:szCs w:val="24"/>
        </w:rPr>
        <w:t xml:space="preserve">34 on </w:t>
      </w:r>
      <w:r w:rsidR="00811C51" w:rsidRPr="0083632E">
        <w:rPr>
          <w:b/>
          <w:sz w:val="24"/>
          <w:szCs w:val="24"/>
        </w:rPr>
        <w:t>the rights of r</w:t>
      </w:r>
      <w:r w:rsidRPr="0083632E">
        <w:rPr>
          <w:b/>
          <w:sz w:val="24"/>
          <w:szCs w:val="24"/>
        </w:rPr>
        <w:t xml:space="preserve">ural women, </w:t>
      </w:r>
      <w:r w:rsidRPr="0083632E">
        <w:rPr>
          <w:sz w:val="24"/>
          <w:szCs w:val="24"/>
        </w:rPr>
        <w:t xml:space="preserve">where the specific needs of older women </w:t>
      </w:r>
      <w:r w:rsidR="00811C51" w:rsidRPr="0083632E">
        <w:rPr>
          <w:sz w:val="24"/>
          <w:szCs w:val="24"/>
        </w:rPr>
        <w:t>are</w:t>
      </w:r>
      <w:r w:rsidRPr="0083632E">
        <w:rPr>
          <w:sz w:val="24"/>
          <w:szCs w:val="24"/>
        </w:rPr>
        <w:t xml:space="preserve"> explicitly and implicitly addressed in the concrete recommendations of the Committee.</w:t>
      </w:r>
    </w:p>
    <w:p w:rsidR="0059023E" w:rsidRPr="0083632E" w:rsidRDefault="0059023E" w:rsidP="0059023E">
      <w:pPr>
        <w:jc w:val="both"/>
        <w:rPr>
          <w:sz w:val="24"/>
          <w:szCs w:val="24"/>
        </w:rPr>
      </w:pPr>
    </w:p>
    <w:p w:rsidR="0059023E" w:rsidRPr="0083632E" w:rsidRDefault="002030FD" w:rsidP="0059023E">
      <w:pPr>
        <w:jc w:val="both"/>
        <w:rPr>
          <w:sz w:val="24"/>
          <w:szCs w:val="24"/>
        </w:rPr>
      </w:pPr>
      <w:r>
        <w:rPr>
          <w:sz w:val="24"/>
          <w:szCs w:val="24"/>
        </w:rPr>
        <w:t>4.</w:t>
      </w:r>
      <w:r>
        <w:rPr>
          <w:sz w:val="24"/>
          <w:szCs w:val="24"/>
        </w:rPr>
        <w:tab/>
      </w:r>
      <w:r w:rsidR="0059023E" w:rsidRPr="0083632E">
        <w:rPr>
          <w:sz w:val="24"/>
          <w:szCs w:val="24"/>
        </w:rPr>
        <w:t xml:space="preserve">In addition to the </w:t>
      </w:r>
      <w:r w:rsidR="00811C51" w:rsidRPr="0083632E">
        <w:rPr>
          <w:sz w:val="24"/>
          <w:szCs w:val="24"/>
        </w:rPr>
        <w:t>persistent</w:t>
      </w:r>
      <w:r w:rsidR="0059023E" w:rsidRPr="0083632E">
        <w:rPr>
          <w:sz w:val="24"/>
          <w:szCs w:val="24"/>
        </w:rPr>
        <w:t xml:space="preserve"> general focus on the rights of older women, the Committee addresses concrete situations of risks of violations and violations of the rights of older women during the consideration of</w:t>
      </w:r>
      <w:r w:rsidR="001733B8">
        <w:rPr>
          <w:sz w:val="24"/>
          <w:szCs w:val="24"/>
        </w:rPr>
        <w:t xml:space="preserve"> </w:t>
      </w:r>
      <w:r w:rsidR="0059023E" w:rsidRPr="0083632E">
        <w:rPr>
          <w:sz w:val="24"/>
          <w:szCs w:val="24"/>
        </w:rPr>
        <w:t xml:space="preserve">State </w:t>
      </w:r>
      <w:r w:rsidR="00811C51" w:rsidRPr="0083632E">
        <w:rPr>
          <w:sz w:val="24"/>
          <w:szCs w:val="24"/>
        </w:rPr>
        <w:t xml:space="preserve">party </w:t>
      </w:r>
      <w:r w:rsidR="0059023E" w:rsidRPr="0083632E">
        <w:rPr>
          <w:sz w:val="24"/>
          <w:szCs w:val="24"/>
        </w:rPr>
        <w:t xml:space="preserve">reports, during the dialogue and in </w:t>
      </w:r>
      <w:r w:rsidR="00811C51" w:rsidRPr="0083632E">
        <w:rPr>
          <w:sz w:val="24"/>
          <w:szCs w:val="24"/>
        </w:rPr>
        <w:t>its</w:t>
      </w:r>
      <w:r w:rsidR="0059023E" w:rsidRPr="0083632E">
        <w:rPr>
          <w:sz w:val="24"/>
          <w:szCs w:val="24"/>
        </w:rPr>
        <w:t xml:space="preserve"> </w:t>
      </w:r>
      <w:r w:rsidR="00811C51" w:rsidRPr="0083632E">
        <w:rPr>
          <w:sz w:val="24"/>
          <w:szCs w:val="24"/>
        </w:rPr>
        <w:t>c</w:t>
      </w:r>
      <w:r w:rsidR="0059023E" w:rsidRPr="0083632E">
        <w:rPr>
          <w:sz w:val="24"/>
          <w:szCs w:val="24"/>
        </w:rPr>
        <w:t xml:space="preserve">oncluding observations and recommendations. This is based on concrete information </w:t>
      </w:r>
      <w:r w:rsidR="00811C51" w:rsidRPr="0083632E">
        <w:rPr>
          <w:sz w:val="24"/>
          <w:szCs w:val="24"/>
        </w:rPr>
        <w:t>contained in</w:t>
      </w:r>
      <w:r w:rsidR="0059023E" w:rsidRPr="0083632E">
        <w:rPr>
          <w:sz w:val="24"/>
          <w:szCs w:val="24"/>
        </w:rPr>
        <w:t xml:space="preserve"> State </w:t>
      </w:r>
      <w:r w:rsidR="00811C51" w:rsidRPr="0083632E">
        <w:rPr>
          <w:sz w:val="24"/>
          <w:szCs w:val="24"/>
        </w:rPr>
        <w:t>p</w:t>
      </w:r>
      <w:r>
        <w:rPr>
          <w:sz w:val="24"/>
          <w:szCs w:val="24"/>
        </w:rPr>
        <w:t>a</w:t>
      </w:r>
      <w:r w:rsidR="00811C51" w:rsidRPr="0083632E">
        <w:rPr>
          <w:sz w:val="24"/>
          <w:szCs w:val="24"/>
        </w:rPr>
        <w:t xml:space="preserve">rty </w:t>
      </w:r>
      <w:r w:rsidR="0059023E" w:rsidRPr="0083632E">
        <w:rPr>
          <w:sz w:val="24"/>
          <w:szCs w:val="24"/>
        </w:rPr>
        <w:t>reports and other official, independent and alternative sources.</w:t>
      </w:r>
    </w:p>
    <w:p w:rsidR="0059023E" w:rsidRPr="0083632E" w:rsidRDefault="0059023E" w:rsidP="0059023E">
      <w:pPr>
        <w:jc w:val="both"/>
        <w:rPr>
          <w:sz w:val="24"/>
          <w:szCs w:val="24"/>
        </w:rPr>
      </w:pPr>
    </w:p>
    <w:p w:rsidR="0059023E" w:rsidRPr="0083632E" w:rsidRDefault="0059023E" w:rsidP="0059023E">
      <w:pPr>
        <w:jc w:val="both"/>
        <w:rPr>
          <w:sz w:val="24"/>
          <w:szCs w:val="24"/>
        </w:rPr>
      </w:pPr>
      <w:r w:rsidRPr="0083632E">
        <w:rPr>
          <w:sz w:val="24"/>
          <w:szCs w:val="24"/>
        </w:rPr>
        <w:t>Here are some examples of such recommendations:</w:t>
      </w:r>
    </w:p>
    <w:p w:rsidR="0059023E" w:rsidRPr="0083632E" w:rsidRDefault="0059023E" w:rsidP="0059023E">
      <w:pPr>
        <w:jc w:val="both"/>
        <w:rPr>
          <w:sz w:val="24"/>
          <w:szCs w:val="24"/>
        </w:rPr>
      </w:pPr>
    </w:p>
    <w:p w:rsidR="0059023E" w:rsidRPr="0083632E" w:rsidRDefault="0059023E" w:rsidP="0059023E">
      <w:pPr>
        <w:numPr>
          <w:ilvl w:val="0"/>
          <w:numId w:val="1"/>
        </w:numPr>
        <w:jc w:val="both"/>
        <w:rPr>
          <w:sz w:val="24"/>
          <w:szCs w:val="24"/>
        </w:rPr>
      </w:pPr>
      <w:r w:rsidRPr="0083632E">
        <w:rPr>
          <w:sz w:val="24"/>
          <w:szCs w:val="24"/>
        </w:rPr>
        <w:t xml:space="preserve">In the </w:t>
      </w:r>
      <w:r w:rsidRPr="0083632E">
        <w:rPr>
          <w:b/>
          <w:i/>
          <w:sz w:val="24"/>
          <w:szCs w:val="24"/>
        </w:rPr>
        <w:t>Concluding Observations and Recommendations to Serbia</w:t>
      </w:r>
      <w:r w:rsidRPr="0083632E">
        <w:rPr>
          <w:sz w:val="24"/>
          <w:szCs w:val="24"/>
        </w:rPr>
        <w:t xml:space="preserve"> </w:t>
      </w:r>
      <w:r w:rsidR="00811C51" w:rsidRPr="0083632E">
        <w:rPr>
          <w:sz w:val="24"/>
          <w:szCs w:val="24"/>
        </w:rPr>
        <w:t>(</w:t>
      </w:r>
      <w:r w:rsidRPr="0083632E">
        <w:rPr>
          <w:sz w:val="24"/>
          <w:szCs w:val="24"/>
        </w:rPr>
        <w:t xml:space="preserve">CEDAW/C/SRB/CO/4 </w:t>
      </w:r>
      <w:r w:rsidR="00811C51" w:rsidRPr="0083632E">
        <w:rPr>
          <w:sz w:val="24"/>
          <w:szCs w:val="24"/>
        </w:rPr>
        <w:t>of</w:t>
      </w:r>
      <w:r w:rsidRPr="0083632E">
        <w:rPr>
          <w:sz w:val="24"/>
          <w:szCs w:val="24"/>
        </w:rPr>
        <w:t xml:space="preserve"> 14 March 2019</w:t>
      </w:r>
      <w:r w:rsidR="00811C51" w:rsidRPr="0083632E">
        <w:rPr>
          <w:sz w:val="24"/>
          <w:szCs w:val="24"/>
        </w:rPr>
        <w:t>)</w:t>
      </w:r>
      <w:r w:rsidRPr="0083632E">
        <w:rPr>
          <w:sz w:val="24"/>
          <w:szCs w:val="24"/>
        </w:rPr>
        <w:t xml:space="preserve">, the Committee makes recommendations under </w:t>
      </w:r>
      <w:r w:rsidR="00811C51" w:rsidRPr="0083632E">
        <w:rPr>
          <w:sz w:val="24"/>
          <w:szCs w:val="24"/>
        </w:rPr>
        <w:t>a</w:t>
      </w:r>
      <w:r w:rsidRPr="0083632E">
        <w:rPr>
          <w:sz w:val="24"/>
          <w:szCs w:val="24"/>
        </w:rPr>
        <w:t xml:space="preserve">rticle 5 on </w:t>
      </w:r>
      <w:r w:rsidR="00811C51" w:rsidRPr="0083632E">
        <w:rPr>
          <w:sz w:val="24"/>
          <w:szCs w:val="24"/>
        </w:rPr>
        <w:t>g</w:t>
      </w:r>
      <w:r w:rsidRPr="0083632E">
        <w:rPr>
          <w:sz w:val="24"/>
          <w:szCs w:val="24"/>
        </w:rPr>
        <w:t xml:space="preserve">ender-based violence: </w:t>
      </w:r>
      <w:r w:rsidRPr="0083632E">
        <w:rPr>
          <w:b/>
          <w:sz w:val="24"/>
          <w:szCs w:val="24"/>
        </w:rPr>
        <w:t>to conduct a survey on the prevalence and causes of GBV, including against older women and to ensure that all women victims have unimpeded access to effective protection from violence</w:t>
      </w:r>
      <w:r w:rsidRPr="0083632E">
        <w:rPr>
          <w:sz w:val="24"/>
          <w:szCs w:val="24"/>
        </w:rPr>
        <w:t>.</w:t>
      </w:r>
    </w:p>
    <w:p w:rsidR="0059023E" w:rsidRPr="0083632E" w:rsidRDefault="0059023E" w:rsidP="0059023E">
      <w:pPr>
        <w:ind w:left="720"/>
        <w:jc w:val="both"/>
        <w:rPr>
          <w:b/>
          <w:sz w:val="24"/>
          <w:szCs w:val="24"/>
        </w:rPr>
      </w:pPr>
      <w:r w:rsidRPr="0083632E">
        <w:rPr>
          <w:sz w:val="24"/>
          <w:szCs w:val="24"/>
        </w:rPr>
        <w:t xml:space="preserve">Under </w:t>
      </w:r>
      <w:r w:rsidR="00811C51" w:rsidRPr="0083632E">
        <w:rPr>
          <w:sz w:val="24"/>
          <w:szCs w:val="24"/>
        </w:rPr>
        <w:t>a</w:t>
      </w:r>
      <w:r w:rsidRPr="0083632E">
        <w:rPr>
          <w:sz w:val="24"/>
          <w:szCs w:val="24"/>
        </w:rPr>
        <w:t xml:space="preserve">rticle 14 </w:t>
      </w:r>
      <w:r w:rsidR="00811C51" w:rsidRPr="0083632E">
        <w:rPr>
          <w:sz w:val="24"/>
          <w:szCs w:val="24"/>
        </w:rPr>
        <w:t>on r</w:t>
      </w:r>
      <w:r w:rsidRPr="0083632E">
        <w:rPr>
          <w:sz w:val="24"/>
          <w:szCs w:val="24"/>
        </w:rPr>
        <w:t xml:space="preserve">ural women and </w:t>
      </w:r>
      <w:r w:rsidR="00811C51" w:rsidRPr="0083632E">
        <w:rPr>
          <w:sz w:val="24"/>
          <w:szCs w:val="24"/>
        </w:rPr>
        <w:t>disadvantaged</w:t>
      </w:r>
      <w:r w:rsidRPr="0083632E">
        <w:rPr>
          <w:sz w:val="24"/>
          <w:szCs w:val="24"/>
        </w:rPr>
        <w:t xml:space="preserve"> groups</w:t>
      </w:r>
      <w:r w:rsidR="00811C51" w:rsidRPr="0083632E">
        <w:rPr>
          <w:sz w:val="24"/>
          <w:szCs w:val="24"/>
        </w:rPr>
        <w:t xml:space="preserve"> of women</w:t>
      </w:r>
      <w:r w:rsidRPr="0083632E">
        <w:rPr>
          <w:sz w:val="24"/>
          <w:szCs w:val="24"/>
        </w:rPr>
        <w:t xml:space="preserve">: </w:t>
      </w:r>
      <w:r w:rsidRPr="0083632E">
        <w:rPr>
          <w:b/>
          <w:sz w:val="24"/>
          <w:szCs w:val="24"/>
        </w:rPr>
        <w:t xml:space="preserve">to conduct a survey to </w:t>
      </w:r>
      <w:proofErr w:type="spellStart"/>
      <w:r w:rsidRPr="0083632E">
        <w:rPr>
          <w:b/>
          <w:sz w:val="24"/>
          <w:szCs w:val="24"/>
        </w:rPr>
        <w:t>asses</w:t>
      </w:r>
      <w:proofErr w:type="spellEnd"/>
      <w:r w:rsidRPr="0083632E">
        <w:rPr>
          <w:b/>
          <w:sz w:val="24"/>
          <w:szCs w:val="24"/>
        </w:rPr>
        <w:t xml:space="preserve"> the situation and particular needs of vulnerable groups </w:t>
      </w:r>
      <w:r w:rsidR="00223E8E">
        <w:rPr>
          <w:b/>
          <w:sz w:val="24"/>
          <w:szCs w:val="24"/>
        </w:rPr>
        <w:t>of women, including older women;</w:t>
      </w:r>
    </w:p>
    <w:p w:rsidR="0059023E" w:rsidRPr="0083632E" w:rsidRDefault="0059023E" w:rsidP="0059023E">
      <w:pPr>
        <w:ind w:left="720"/>
        <w:jc w:val="both"/>
        <w:rPr>
          <w:b/>
          <w:sz w:val="24"/>
          <w:szCs w:val="24"/>
        </w:rPr>
      </w:pPr>
    </w:p>
    <w:p w:rsidR="0059023E" w:rsidRPr="0083632E" w:rsidRDefault="0059023E" w:rsidP="0059023E">
      <w:pPr>
        <w:numPr>
          <w:ilvl w:val="0"/>
          <w:numId w:val="1"/>
        </w:numPr>
        <w:jc w:val="both"/>
        <w:rPr>
          <w:b/>
          <w:sz w:val="24"/>
          <w:szCs w:val="24"/>
        </w:rPr>
      </w:pPr>
      <w:r w:rsidRPr="0083632E">
        <w:rPr>
          <w:b/>
          <w:sz w:val="24"/>
          <w:szCs w:val="24"/>
        </w:rPr>
        <w:t xml:space="preserve">In </w:t>
      </w:r>
      <w:r w:rsidRPr="0083632E">
        <w:rPr>
          <w:b/>
          <w:i/>
          <w:sz w:val="24"/>
          <w:szCs w:val="24"/>
        </w:rPr>
        <w:t>the Concluding observations and Recommendations to Angola</w:t>
      </w:r>
      <w:r w:rsidR="001733B8">
        <w:rPr>
          <w:b/>
          <w:i/>
          <w:sz w:val="24"/>
          <w:szCs w:val="24"/>
        </w:rPr>
        <w:t xml:space="preserve"> </w:t>
      </w:r>
      <w:r w:rsidR="00811C51" w:rsidRPr="0083632E">
        <w:rPr>
          <w:b/>
          <w:i/>
          <w:sz w:val="24"/>
          <w:szCs w:val="24"/>
        </w:rPr>
        <w:t>(</w:t>
      </w:r>
      <w:r w:rsidRPr="0083632E">
        <w:rPr>
          <w:sz w:val="24"/>
          <w:szCs w:val="24"/>
        </w:rPr>
        <w:t xml:space="preserve">CEDAW/C/AGO/CO/7 </w:t>
      </w:r>
      <w:r w:rsidR="00811C51" w:rsidRPr="0083632E">
        <w:rPr>
          <w:sz w:val="24"/>
          <w:szCs w:val="24"/>
        </w:rPr>
        <w:t>of</w:t>
      </w:r>
      <w:r w:rsidRPr="0083632E">
        <w:rPr>
          <w:sz w:val="24"/>
          <w:szCs w:val="24"/>
        </w:rPr>
        <w:t xml:space="preserve"> 14 March 2019</w:t>
      </w:r>
      <w:r w:rsidR="00811C51" w:rsidRPr="0083632E">
        <w:rPr>
          <w:sz w:val="24"/>
          <w:szCs w:val="24"/>
        </w:rPr>
        <w:t>)</w:t>
      </w:r>
      <w:r w:rsidRPr="0083632E">
        <w:rPr>
          <w:sz w:val="24"/>
          <w:szCs w:val="24"/>
        </w:rPr>
        <w:t xml:space="preserve"> similar recommendations are made for </w:t>
      </w:r>
      <w:r w:rsidRPr="0083632E">
        <w:rPr>
          <w:b/>
          <w:sz w:val="24"/>
          <w:szCs w:val="24"/>
        </w:rPr>
        <w:lastRenderedPageBreak/>
        <w:t xml:space="preserve">collecting disaggregated data on women from </w:t>
      </w:r>
      <w:r w:rsidR="00811C51" w:rsidRPr="0083632E">
        <w:rPr>
          <w:b/>
          <w:sz w:val="24"/>
          <w:szCs w:val="24"/>
        </w:rPr>
        <w:t>disadvantaged</w:t>
      </w:r>
      <w:r w:rsidRPr="0083632E">
        <w:rPr>
          <w:b/>
          <w:sz w:val="24"/>
          <w:szCs w:val="24"/>
        </w:rPr>
        <w:t xml:space="preserve"> groups, based also on age specifics</w:t>
      </w:r>
      <w:r w:rsidR="00223E8E">
        <w:rPr>
          <w:b/>
          <w:sz w:val="24"/>
          <w:szCs w:val="24"/>
        </w:rPr>
        <w:t>;</w:t>
      </w:r>
    </w:p>
    <w:p w:rsidR="0059023E" w:rsidRPr="0083632E" w:rsidRDefault="0059023E" w:rsidP="0059023E">
      <w:pPr>
        <w:jc w:val="both"/>
        <w:rPr>
          <w:b/>
          <w:sz w:val="24"/>
          <w:szCs w:val="24"/>
        </w:rPr>
      </w:pPr>
    </w:p>
    <w:p w:rsidR="0059023E" w:rsidRPr="0083632E" w:rsidRDefault="0059023E" w:rsidP="0059023E">
      <w:pPr>
        <w:numPr>
          <w:ilvl w:val="0"/>
          <w:numId w:val="1"/>
        </w:numPr>
        <w:jc w:val="both"/>
        <w:rPr>
          <w:sz w:val="24"/>
          <w:szCs w:val="24"/>
        </w:rPr>
      </w:pPr>
      <w:r w:rsidRPr="0083632E">
        <w:rPr>
          <w:b/>
          <w:sz w:val="24"/>
          <w:szCs w:val="24"/>
        </w:rPr>
        <w:t xml:space="preserve">In the </w:t>
      </w:r>
      <w:r w:rsidRPr="0083632E">
        <w:rPr>
          <w:b/>
          <w:i/>
          <w:sz w:val="24"/>
          <w:szCs w:val="24"/>
        </w:rPr>
        <w:t>Concluding observations and Recommendations to Lithuania</w:t>
      </w:r>
      <w:r w:rsidRPr="0083632E">
        <w:rPr>
          <w:sz w:val="24"/>
          <w:szCs w:val="24"/>
        </w:rPr>
        <w:t xml:space="preserve"> </w:t>
      </w:r>
      <w:r w:rsidR="00811C51" w:rsidRPr="0083632E">
        <w:rPr>
          <w:sz w:val="24"/>
          <w:szCs w:val="24"/>
        </w:rPr>
        <w:t>(</w:t>
      </w:r>
      <w:r w:rsidRPr="0083632E">
        <w:rPr>
          <w:sz w:val="24"/>
          <w:szCs w:val="24"/>
        </w:rPr>
        <w:t xml:space="preserve">CEDAW/C/LTU/CO/6 </w:t>
      </w:r>
      <w:r w:rsidR="00811C51" w:rsidRPr="0083632E">
        <w:rPr>
          <w:sz w:val="24"/>
          <w:szCs w:val="24"/>
        </w:rPr>
        <w:t>of</w:t>
      </w:r>
      <w:r w:rsidRPr="0083632E">
        <w:rPr>
          <w:sz w:val="24"/>
          <w:szCs w:val="24"/>
        </w:rPr>
        <w:t xml:space="preserve"> 12 November 2019</w:t>
      </w:r>
      <w:r w:rsidR="00811C51" w:rsidRPr="0083632E">
        <w:rPr>
          <w:sz w:val="24"/>
          <w:szCs w:val="24"/>
        </w:rPr>
        <w:t>)</w:t>
      </w:r>
      <w:r w:rsidRPr="0083632E">
        <w:rPr>
          <w:sz w:val="24"/>
          <w:szCs w:val="24"/>
        </w:rPr>
        <w:t xml:space="preserve"> important recommendations were made for the </w:t>
      </w:r>
      <w:r w:rsidR="00811C51" w:rsidRPr="0083632E">
        <w:rPr>
          <w:sz w:val="24"/>
          <w:szCs w:val="24"/>
        </w:rPr>
        <w:t>advancement</w:t>
      </w:r>
      <w:r w:rsidRPr="0083632E">
        <w:rPr>
          <w:sz w:val="24"/>
          <w:szCs w:val="24"/>
        </w:rPr>
        <w:t xml:space="preserve"> of older women:</w:t>
      </w:r>
    </w:p>
    <w:p w:rsidR="0059023E" w:rsidRPr="0083632E" w:rsidRDefault="0059023E" w:rsidP="0059023E">
      <w:pPr>
        <w:jc w:val="both"/>
        <w:rPr>
          <w:sz w:val="24"/>
          <w:szCs w:val="24"/>
        </w:rPr>
      </w:pPr>
    </w:p>
    <w:p w:rsidR="0059023E" w:rsidRDefault="0059023E" w:rsidP="0059023E">
      <w:pPr>
        <w:numPr>
          <w:ilvl w:val="1"/>
          <w:numId w:val="1"/>
        </w:numPr>
        <w:jc w:val="both"/>
        <w:rPr>
          <w:sz w:val="24"/>
          <w:szCs w:val="24"/>
        </w:rPr>
      </w:pPr>
      <w:r w:rsidRPr="0083632E">
        <w:rPr>
          <w:b/>
          <w:sz w:val="24"/>
          <w:szCs w:val="24"/>
        </w:rPr>
        <w:t xml:space="preserve">To strengthen measures to address horizontal and vertical occupational segregation and enhance access for women to the labour market and for </w:t>
      </w:r>
      <w:r w:rsidRPr="0083632E">
        <w:rPr>
          <w:b/>
          <w:sz w:val="24"/>
          <w:szCs w:val="24"/>
          <w:u w:val="single"/>
        </w:rPr>
        <w:t>women who have reached pensionable age</w:t>
      </w:r>
      <w:r w:rsidRPr="0083632E">
        <w:rPr>
          <w:b/>
          <w:sz w:val="24"/>
          <w:szCs w:val="24"/>
        </w:rPr>
        <w:t>, among others</w:t>
      </w:r>
      <w:r w:rsidR="00F93909">
        <w:rPr>
          <w:b/>
          <w:sz w:val="24"/>
          <w:szCs w:val="24"/>
        </w:rPr>
        <w:t>;</w:t>
      </w:r>
    </w:p>
    <w:p w:rsidR="002312D4" w:rsidRPr="002312D4" w:rsidRDefault="002312D4" w:rsidP="002312D4">
      <w:pPr>
        <w:ind w:left="1440"/>
        <w:jc w:val="both"/>
        <w:rPr>
          <w:sz w:val="24"/>
          <w:szCs w:val="24"/>
        </w:rPr>
      </w:pPr>
    </w:p>
    <w:p w:rsidR="0059023E" w:rsidRPr="0083632E" w:rsidRDefault="0059023E" w:rsidP="00F93909">
      <w:pPr>
        <w:numPr>
          <w:ilvl w:val="1"/>
          <w:numId w:val="1"/>
        </w:numPr>
        <w:jc w:val="both"/>
        <w:rPr>
          <w:sz w:val="24"/>
          <w:szCs w:val="24"/>
          <w:u w:val="single"/>
        </w:rPr>
      </w:pPr>
      <w:r w:rsidRPr="0083632E">
        <w:rPr>
          <w:b/>
          <w:sz w:val="24"/>
          <w:szCs w:val="24"/>
        </w:rPr>
        <w:t>To adopt policies to mitigate the impact of</w:t>
      </w:r>
      <w:r w:rsidR="001733B8">
        <w:rPr>
          <w:b/>
          <w:sz w:val="24"/>
          <w:szCs w:val="24"/>
        </w:rPr>
        <w:t xml:space="preserve"> </w:t>
      </w:r>
      <w:r w:rsidRPr="0083632E">
        <w:rPr>
          <w:b/>
          <w:sz w:val="24"/>
          <w:szCs w:val="24"/>
        </w:rPr>
        <w:t xml:space="preserve">shrinking and aging of population on </w:t>
      </w:r>
      <w:r w:rsidRPr="0083632E">
        <w:rPr>
          <w:b/>
          <w:sz w:val="24"/>
          <w:szCs w:val="24"/>
          <w:u w:val="single"/>
        </w:rPr>
        <w:t>pensions and social benefits for older women.</w:t>
      </w:r>
    </w:p>
    <w:p w:rsidR="0059023E" w:rsidRPr="0083632E" w:rsidRDefault="0059023E" w:rsidP="0059023E">
      <w:pPr>
        <w:ind w:left="720"/>
        <w:jc w:val="both"/>
        <w:rPr>
          <w:b/>
          <w:sz w:val="24"/>
          <w:szCs w:val="24"/>
          <w:u w:val="single"/>
        </w:rPr>
      </w:pPr>
    </w:p>
    <w:p w:rsidR="0059023E" w:rsidRPr="0083632E" w:rsidRDefault="0059023E" w:rsidP="00826C4F">
      <w:pPr>
        <w:jc w:val="both"/>
        <w:rPr>
          <w:sz w:val="24"/>
          <w:szCs w:val="24"/>
        </w:rPr>
      </w:pPr>
      <w:r w:rsidRPr="0083632E">
        <w:rPr>
          <w:sz w:val="24"/>
          <w:szCs w:val="24"/>
        </w:rPr>
        <w:t xml:space="preserve">It is important to mention that the recommendation </w:t>
      </w:r>
      <w:r w:rsidR="00811C51" w:rsidRPr="0083632E">
        <w:rPr>
          <w:sz w:val="24"/>
          <w:szCs w:val="24"/>
        </w:rPr>
        <w:t>to ensure</w:t>
      </w:r>
      <w:r w:rsidRPr="0083632E">
        <w:rPr>
          <w:sz w:val="24"/>
          <w:szCs w:val="24"/>
        </w:rPr>
        <w:t xml:space="preserve"> access </w:t>
      </w:r>
      <w:r w:rsidR="00811C51" w:rsidRPr="0083632E">
        <w:rPr>
          <w:sz w:val="24"/>
          <w:szCs w:val="24"/>
        </w:rPr>
        <w:t>by</w:t>
      </w:r>
      <w:r w:rsidRPr="0083632E">
        <w:rPr>
          <w:sz w:val="24"/>
          <w:szCs w:val="24"/>
        </w:rPr>
        <w:t xml:space="preserve"> women</w:t>
      </w:r>
      <w:r w:rsidR="00811C51" w:rsidRPr="0083632E">
        <w:rPr>
          <w:sz w:val="24"/>
          <w:szCs w:val="24"/>
        </w:rPr>
        <w:t>,</w:t>
      </w:r>
      <w:r w:rsidRPr="0083632E">
        <w:rPr>
          <w:sz w:val="24"/>
          <w:szCs w:val="24"/>
        </w:rPr>
        <w:t xml:space="preserve"> </w:t>
      </w:r>
      <w:r w:rsidR="00811C51" w:rsidRPr="0083632E">
        <w:rPr>
          <w:sz w:val="24"/>
          <w:szCs w:val="24"/>
        </w:rPr>
        <w:t>including</w:t>
      </w:r>
      <w:r w:rsidRPr="0083632E">
        <w:rPr>
          <w:sz w:val="24"/>
          <w:szCs w:val="24"/>
        </w:rPr>
        <w:t xml:space="preserve"> older women</w:t>
      </w:r>
      <w:r w:rsidR="00811C51" w:rsidRPr="0083632E">
        <w:rPr>
          <w:sz w:val="24"/>
          <w:szCs w:val="24"/>
        </w:rPr>
        <w:t>,</w:t>
      </w:r>
      <w:r w:rsidRPr="0083632E">
        <w:rPr>
          <w:sz w:val="24"/>
          <w:szCs w:val="24"/>
        </w:rPr>
        <w:t xml:space="preserve"> to the labour market </w:t>
      </w:r>
      <w:r w:rsidR="00811C51" w:rsidRPr="0083632E">
        <w:rPr>
          <w:sz w:val="24"/>
          <w:szCs w:val="24"/>
        </w:rPr>
        <w:t>(</w:t>
      </w:r>
      <w:r w:rsidRPr="0083632E">
        <w:rPr>
          <w:sz w:val="24"/>
          <w:szCs w:val="24"/>
        </w:rPr>
        <w:t xml:space="preserve">paragraph 37 b) </w:t>
      </w:r>
      <w:r w:rsidRPr="0083632E">
        <w:rPr>
          <w:b/>
          <w:sz w:val="24"/>
          <w:szCs w:val="24"/>
        </w:rPr>
        <w:t xml:space="preserve">has been given priority by the Committee as a </w:t>
      </w:r>
      <w:r w:rsidR="00811C51" w:rsidRPr="0083632E">
        <w:rPr>
          <w:b/>
          <w:sz w:val="24"/>
          <w:szCs w:val="24"/>
        </w:rPr>
        <w:t xml:space="preserve">follow-up </w:t>
      </w:r>
      <w:r w:rsidRPr="0083632E">
        <w:rPr>
          <w:b/>
          <w:sz w:val="24"/>
          <w:szCs w:val="24"/>
        </w:rPr>
        <w:t>recommendation</w:t>
      </w:r>
      <w:r w:rsidR="00811C51" w:rsidRPr="0083632E">
        <w:rPr>
          <w:sz w:val="24"/>
          <w:szCs w:val="24"/>
        </w:rPr>
        <w:t>, on which the State party was requested to report within</w:t>
      </w:r>
      <w:r w:rsidRPr="0083632E">
        <w:rPr>
          <w:sz w:val="24"/>
          <w:szCs w:val="24"/>
        </w:rPr>
        <w:t xml:space="preserve"> the next two years.</w:t>
      </w:r>
    </w:p>
    <w:p w:rsidR="0059023E" w:rsidRPr="0083632E" w:rsidRDefault="0059023E" w:rsidP="0059023E">
      <w:pPr>
        <w:jc w:val="both"/>
        <w:rPr>
          <w:sz w:val="24"/>
          <w:szCs w:val="24"/>
        </w:rPr>
      </w:pPr>
    </w:p>
    <w:p w:rsidR="0059023E" w:rsidRDefault="0059023E" w:rsidP="002030FD">
      <w:pPr>
        <w:jc w:val="both"/>
        <w:rPr>
          <w:sz w:val="24"/>
          <w:szCs w:val="24"/>
        </w:rPr>
      </w:pPr>
      <w:r w:rsidRPr="0083632E">
        <w:rPr>
          <w:sz w:val="24"/>
          <w:szCs w:val="24"/>
        </w:rPr>
        <w:t xml:space="preserve">Based on the work and expertise of the CEDAW Committee and the UN Independent Expert on the enjoyment of all human rights by older persons, we believe that the future report of the </w:t>
      </w:r>
      <w:r w:rsidR="00811C51" w:rsidRPr="0083632E">
        <w:rPr>
          <w:sz w:val="24"/>
          <w:szCs w:val="24"/>
        </w:rPr>
        <w:t>Independent Expert</w:t>
      </w:r>
      <w:r w:rsidRPr="0083632E">
        <w:rPr>
          <w:sz w:val="24"/>
          <w:szCs w:val="24"/>
        </w:rPr>
        <w:t xml:space="preserve"> on the situation of older women will contribute to and enrich the information </w:t>
      </w:r>
      <w:r w:rsidR="00811C51" w:rsidRPr="0083632E">
        <w:rPr>
          <w:sz w:val="24"/>
          <w:szCs w:val="24"/>
        </w:rPr>
        <w:t>available</w:t>
      </w:r>
      <w:r w:rsidRPr="0083632E">
        <w:rPr>
          <w:sz w:val="24"/>
          <w:szCs w:val="24"/>
        </w:rPr>
        <w:t xml:space="preserve"> </w:t>
      </w:r>
      <w:r w:rsidR="00811C51" w:rsidRPr="0083632E">
        <w:rPr>
          <w:sz w:val="24"/>
          <w:szCs w:val="24"/>
        </w:rPr>
        <w:t xml:space="preserve">to </w:t>
      </w:r>
      <w:r w:rsidRPr="0083632E">
        <w:rPr>
          <w:sz w:val="24"/>
          <w:szCs w:val="24"/>
        </w:rPr>
        <w:t xml:space="preserve">the Committee and will </w:t>
      </w:r>
      <w:r w:rsidR="00811C51" w:rsidRPr="0083632E">
        <w:rPr>
          <w:sz w:val="24"/>
          <w:szCs w:val="24"/>
        </w:rPr>
        <w:t>provide a</w:t>
      </w:r>
      <w:r w:rsidRPr="0083632E">
        <w:rPr>
          <w:sz w:val="24"/>
          <w:szCs w:val="24"/>
        </w:rPr>
        <w:t xml:space="preserve"> further basis for cooperation between </w:t>
      </w:r>
      <w:r w:rsidR="00811C51" w:rsidRPr="0083632E">
        <w:rPr>
          <w:sz w:val="24"/>
          <w:szCs w:val="24"/>
        </w:rPr>
        <w:t>CEDAW, other treaty bodies</w:t>
      </w:r>
      <w:r w:rsidRPr="0083632E">
        <w:rPr>
          <w:sz w:val="24"/>
          <w:szCs w:val="24"/>
        </w:rPr>
        <w:t xml:space="preserve"> and the </w:t>
      </w:r>
      <w:r w:rsidR="00811C51" w:rsidRPr="0083632E">
        <w:rPr>
          <w:sz w:val="24"/>
          <w:szCs w:val="24"/>
        </w:rPr>
        <w:t>Independent Expert</w:t>
      </w:r>
      <w:r w:rsidRPr="0083632E">
        <w:rPr>
          <w:sz w:val="24"/>
          <w:szCs w:val="24"/>
        </w:rPr>
        <w:t xml:space="preserve"> in this field.</w:t>
      </w:r>
    </w:p>
    <w:p w:rsidR="002030FD" w:rsidRPr="002030FD" w:rsidRDefault="002030FD" w:rsidP="002030FD">
      <w:pPr>
        <w:suppressAutoHyphens/>
        <w:spacing w:before="240" w:line="240" w:lineRule="atLeast"/>
        <w:ind w:left="1134" w:right="1134"/>
        <w:jc w:val="center"/>
        <w:rPr>
          <w:sz w:val="24"/>
          <w:szCs w:val="24"/>
          <w:u w:val="single"/>
        </w:rPr>
      </w:pPr>
      <w:r>
        <w:rPr>
          <w:sz w:val="24"/>
          <w:szCs w:val="24"/>
          <w:u w:val="single"/>
        </w:rPr>
        <w:tab/>
      </w:r>
      <w:r>
        <w:rPr>
          <w:sz w:val="24"/>
          <w:szCs w:val="24"/>
          <w:u w:val="single"/>
        </w:rPr>
        <w:tab/>
      </w:r>
      <w:r>
        <w:rPr>
          <w:sz w:val="24"/>
          <w:szCs w:val="24"/>
          <w:u w:val="single"/>
        </w:rPr>
        <w:tab/>
      </w:r>
    </w:p>
    <w:sectPr w:rsidR="002030FD" w:rsidRPr="002030F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FCD" w:rsidRDefault="003C7FCD">
      <w:r>
        <w:separator/>
      </w:r>
    </w:p>
  </w:endnote>
  <w:endnote w:type="continuationSeparator" w:id="0">
    <w:p w:rsidR="003C7FCD" w:rsidRDefault="003C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3E" w:rsidRDefault="0059023E" w:rsidP="00811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023E" w:rsidRDefault="0059023E" w:rsidP="005902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3E" w:rsidRDefault="0059023E" w:rsidP="00811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868">
      <w:rPr>
        <w:rStyle w:val="PageNumber"/>
        <w:noProof/>
      </w:rPr>
      <w:t>4</w:t>
    </w:r>
    <w:r>
      <w:rPr>
        <w:rStyle w:val="PageNumber"/>
      </w:rPr>
      <w:fldChar w:fldCharType="end"/>
    </w:r>
  </w:p>
  <w:p w:rsidR="0059023E" w:rsidRDefault="0059023E" w:rsidP="005902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68" w:rsidRDefault="00DF6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FCD" w:rsidRDefault="003C7FCD">
      <w:r>
        <w:separator/>
      </w:r>
    </w:p>
  </w:footnote>
  <w:footnote w:type="continuationSeparator" w:id="0">
    <w:p w:rsidR="003C7FCD" w:rsidRDefault="003C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68" w:rsidRDefault="00DF6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68" w:rsidRDefault="00DF68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68" w:rsidRDefault="00DF6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6576"/>
    <w:multiLevelType w:val="hybridMultilevel"/>
    <w:tmpl w:val="800A6E7E"/>
    <w:lvl w:ilvl="0" w:tplc="D3CA8316">
      <w:start w:val="1"/>
      <w:numFmt w:val="bullet"/>
      <w:lvlText w:val="-"/>
      <w:lvlJc w:val="left"/>
      <w:pPr>
        <w:tabs>
          <w:tab w:val="num" w:pos="720"/>
        </w:tabs>
        <w:ind w:left="720" w:hanging="360"/>
      </w:pPr>
      <w:rPr>
        <w:rFonts w:ascii="Times New Roman" w:eastAsia="Calibri"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3E"/>
    <w:rsid w:val="000C62CB"/>
    <w:rsid w:val="000D2783"/>
    <w:rsid w:val="001733B8"/>
    <w:rsid w:val="002030FD"/>
    <w:rsid w:val="00223E8E"/>
    <w:rsid w:val="002312D4"/>
    <w:rsid w:val="003C7FCD"/>
    <w:rsid w:val="0059023E"/>
    <w:rsid w:val="00615A5B"/>
    <w:rsid w:val="00664C4E"/>
    <w:rsid w:val="007C48B3"/>
    <w:rsid w:val="008111E9"/>
    <w:rsid w:val="00811C51"/>
    <w:rsid w:val="00826C4F"/>
    <w:rsid w:val="0083632E"/>
    <w:rsid w:val="00975D83"/>
    <w:rsid w:val="00B713E0"/>
    <w:rsid w:val="00D818C5"/>
    <w:rsid w:val="00DF6868"/>
    <w:rsid w:val="00E742D0"/>
    <w:rsid w:val="00E832E1"/>
    <w:rsid w:val="00F7271F"/>
    <w:rsid w:val="00F93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23E"/>
    <w:rPr>
      <w:rFonts w:eastAsia="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59023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imes New Roman"/>
      <w:spacing w:val="4"/>
      <w:w w:val="103"/>
      <w:kern w:val="14"/>
    </w:rPr>
  </w:style>
  <w:style w:type="paragraph" w:styleId="Footer">
    <w:name w:val="footer"/>
    <w:basedOn w:val="Normal"/>
    <w:rsid w:val="0059023E"/>
    <w:pPr>
      <w:tabs>
        <w:tab w:val="center" w:pos="4536"/>
        <w:tab w:val="right" w:pos="9072"/>
      </w:tabs>
    </w:pPr>
  </w:style>
  <w:style w:type="character" w:styleId="PageNumber">
    <w:name w:val="page number"/>
    <w:basedOn w:val="DefaultParagraphFont"/>
    <w:rsid w:val="0059023E"/>
  </w:style>
  <w:style w:type="paragraph" w:styleId="BalloonText">
    <w:name w:val="Balloon Text"/>
    <w:basedOn w:val="Normal"/>
    <w:link w:val="BalloonTextChar"/>
    <w:rsid w:val="007C48B3"/>
    <w:rPr>
      <w:rFonts w:ascii="Segoe UI" w:hAnsi="Segoe UI" w:cs="Segoe UI"/>
      <w:sz w:val="18"/>
      <w:szCs w:val="18"/>
    </w:rPr>
  </w:style>
  <w:style w:type="character" w:customStyle="1" w:styleId="BalloonTextChar">
    <w:name w:val="Balloon Text Char"/>
    <w:link w:val="BalloonText"/>
    <w:rsid w:val="007C48B3"/>
    <w:rPr>
      <w:rFonts w:ascii="Segoe UI" w:eastAsia="Calibri" w:hAnsi="Segoe UI" w:cs="Segoe UI"/>
      <w:sz w:val="18"/>
      <w:szCs w:val="18"/>
      <w:lang w:eastAsia="en-US"/>
    </w:rPr>
  </w:style>
  <w:style w:type="paragraph" w:styleId="Header">
    <w:name w:val="header"/>
    <w:basedOn w:val="Normal"/>
    <w:link w:val="HeaderChar"/>
    <w:rsid w:val="00DF6868"/>
    <w:pPr>
      <w:tabs>
        <w:tab w:val="center" w:pos="4513"/>
        <w:tab w:val="right" w:pos="9026"/>
      </w:tabs>
    </w:pPr>
  </w:style>
  <w:style w:type="character" w:customStyle="1" w:styleId="HeaderChar">
    <w:name w:val="Header Char"/>
    <w:basedOn w:val="DefaultParagraphFont"/>
    <w:link w:val="Header"/>
    <w:rsid w:val="00DF6868"/>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212AC9-FDED-44E0-9EED-B8DC9538F8B2}"/>
</file>

<file path=customXml/itemProps2.xml><?xml version="1.0" encoding="utf-8"?>
<ds:datastoreItem xmlns:ds="http://schemas.openxmlformats.org/officeDocument/2006/customXml" ds:itemID="{CAF04215-2ED3-40BA-A3F3-C1EA5FC07C82}"/>
</file>

<file path=customXml/itemProps3.xml><?xml version="1.0" encoding="utf-8"?>
<ds:datastoreItem xmlns:ds="http://schemas.openxmlformats.org/officeDocument/2006/customXml" ds:itemID="{020EEB61-762E-4D6D-B6A4-CB6F6AD49F80}"/>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9065</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2021-04-26T13:39:00Z</dcterms:created>
  <dcterms:modified xsi:type="dcterms:W3CDTF">2021-04-26T13:39:00Z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