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986C2" w14:textId="1375FECE" w:rsidR="00F7505B" w:rsidRDefault="003A7F1F" w:rsidP="003A7F1F">
      <w:pPr>
        <w:spacing w:after="0" w:line="240" w:lineRule="auto"/>
        <w:rPr>
          <w:b/>
        </w:rPr>
      </w:pPr>
      <w:r>
        <w:rPr>
          <w:b/>
        </w:rPr>
        <w:t xml:space="preserve">    </w:t>
      </w:r>
      <w:r w:rsidR="00C81433">
        <w:rPr>
          <w:b/>
        </w:rPr>
        <w:tab/>
      </w:r>
      <w:r w:rsidR="00C81433">
        <w:rPr>
          <w:b/>
        </w:rPr>
        <w:tab/>
      </w:r>
      <w:r w:rsidR="00C81433">
        <w:rPr>
          <w:b/>
        </w:rPr>
        <w:tab/>
      </w:r>
      <w:r w:rsidR="00C81433">
        <w:rPr>
          <w:b/>
        </w:rPr>
        <w:tab/>
      </w:r>
    </w:p>
    <w:p w14:paraId="19D96585" w14:textId="77777777" w:rsidR="00A1411B" w:rsidRDefault="00A1411B" w:rsidP="00F7505B">
      <w:pPr>
        <w:pStyle w:val="TOC1"/>
        <w:ind w:left="0"/>
        <w:jc w:val="center"/>
        <w:rPr>
          <w:b/>
        </w:rPr>
      </w:pPr>
    </w:p>
    <w:p w14:paraId="1851DC5B" w14:textId="77777777" w:rsidR="00A1411B" w:rsidRDefault="00A1411B" w:rsidP="00F7505B">
      <w:pPr>
        <w:pStyle w:val="TOC1"/>
        <w:ind w:left="0"/>
        <w:jc w:val="center"/>
        <w:rPr>
          <w:b/>
        </w:rPr>
      </w:pPr>
    </w:p>
    <w:p w14:paraId="58B02773" w14:textId="1DB69096" w:rsidR="00A1411B" w:rsidRDefault="00C81433" w:rsidP="00F7505B">
      <w:pPr>
        <w:pStyle w:val="TOC1"/>
        <w:ind w:left="0"/>
        <w:jc w:val="center"/>
        <w:rPr>
          <w:b/>
        </w:rPr>
      </w:pPr>
      <w:r>
        <w:rPr>
          <w:b/>
        </w:rPr>
        <w:tab/>
      </w:r>
    </w:p>
    <w:p w14:paraId="6F71D91E" w14:textId="77777777" w:rsidR="00A1411B" w:rsidRDefault="00A1411B" w:rsidP="00F7505B">
      <w:pPr>
        <w:pStyle w:val="TOC1"/>
        <w:ind w:left="0"/>
        <w:jc w:val="center"/>
        <w:rPr>
          <w:b/>
        </w:rPr>
      </w:pPr>
    </w:p>
    <w:p w14:paraId="65CF339D" w14:textId="7A3C1EAD" w:rsidR="00F7505B" w:rsidRDefault="00C81433" w:rsidP="00F7505B">
      <w:pPr>
        <w:pStyle w:val="TOC1"/>
        <w:ind w:left="0"/>
        <w:jc w:val="center"/>
        <w:rPr>
          <w:b/>
        </w:rPr>
      </w:pPr>
      <w:r>
        <w:rPr>
          <w:b/>
        </w:rPr>
        <w:tab/>
      </w:r>
      <w:r>
        <w:rPr>
          <w:b/>
        </w:rPr>
        <w:tab/>
      </w:r>
      <w:r>
        <w:rPr>
          <w:b/>
        </w:rPr>
        <w:tab/>
      </w:r>
    </w:p>
    <w:p w14:paraId="24692833" w14:textId="717D22DC" w:rsidR="00F7505B" w:rsidRPr="00F7505B" w:rsidRDefault="00F7505B" w:rsidP="00F7505B">
      <w:pPr>
        <w:pStyle w:val="TOC1"/>
        <w:ind w:left="0"/>
        <w:jc w:val="center"/>
        <w:rPr>
          <w:b/>
          <w:i/>
          <w:sz w:val="24"/>
          <w:szCs w:val="24"/>
        </w:rPr>
      </w:pPr>
      <w:r w:rsidRPr="00F7505B">
        <w:rPr>
          <w:b/>
          <w:i/>
          <w:sz w:val="24"/>
          <w:szCs w:val="24"/>
        </w:rPr>
        <w:t xml:space="preserve">APORTE DEL </w:t>
      </w:r>
      <w:r w:rsidR="0033156F">
        <w:rPr>
          <w:b/>
          <w:i/>
          <w:sz w:val="24"/>
          <w:szCs w:val="24"/>
        </w:rPr>
        <w:t>GOBIERNO</w:t>
      </w:r>
      <w:r w:rsidRPr="00F7505B">
        <w:rPr>
          <w:b/>
          <w:i/>
          <w:sz w:val="24"/>
          <w:szCs w:val="24"/>
        </w:rPr>
        <w:t xml:space="preserve"> DE CHILE</w:t>
      </w:r>
    </w:p>
    <w:p w14:paraId="7137E565" w14:textId="77777777" w:rsidR="00F7505B" w:rsidRPr="00F7505B" w:rsidRDefault="00F7505B" w:rsidP="00F7505B">
      <w:pPr>
        <w:spacing w:before="200"/>
        <w:jc w:val="center"/>
        <w:rPr>
          <w:rFonts w:ascii="Book Antiqua" w:hAnsi="Book Antiqua" w:cs="Times New Roman"/>
          <w:sz w:val="20"/>
          <w:szCs w:val="20"/>
        </w:rPr>
      </w:pPr>
      <w:r w:rsidRPr="00F7505B">
        <w:rPr>
          <w:rFonts w:ascii="Book Antiqua" w:hAnsi="Book Antiqua" w:cs="Times New Roman"/>
          <w:sz w:val="20"/>
          <w:szCs w:val="20"/>
        </w:rPr>
        <w:t>A LA</w:t>
      </w:r>
    </w:p>
    <w:p w14:paraId="1BA0839A" w14:textId="6CD0539E" w:rsidR="00F7505B" w:rsidRPr="00F7505B" w:rsidRDefault="00F7505B" w:rsidP="0033156F">
      <w:pPr>
        <w:pStyle w:val="TOC1"/>
        <w:ind w:left="0"/>
        <w:jc w:val="center"/>
        <w:rPr>
          <w:rFonts w:cs="Times New Roman"/>
          <w:b/>
          <w:bCs/>
          <w:i/>
          <w:iCs/>
          <w:sz w:val="24"/>
          <w:szCs w:val="24"/>
        </w:rPr>
      </w:pPr>
      <w:r w:rsidRPr="00F7505B">
        <w:rPr>
          <w:b/>
          <w:i/>
          <w:sz w:val="24"/>
          <w:szCs w:val="24"/>
        </w:rPr>
        <w:t xml:space="preserve">SOLICITUD DE INFORMACIÓN </w:t>
      </w:r>
      <w:r w:rsidR="0033156F">
        <w:rPr>
          <w:b/>
          <w:i/>
          <w:sz w:val="24"/>
          <w:szCs w:val="24"/>
        </w:rPr>
        <w:t xml:space="preserve">DE LA </w:t>
      </w:r>
      <w:r w:rsidR="0033156F">
        <w:rPr>
          <w:rFonts w:cs="Times New Roman"/>
          <w:b/>
          <w:i/>
          <w:sz w:val="24"/>
          <w:szCs w:val="24"/>
        </w:rPr>
        <w:t>EXPERTA INDEPENDIENTE SOBRE EL DISFRUTE DE TODOS LOS DERECHOS HUMANOS DE LAS PERSONAS DE EDAD</w:t>
      </w:r>
    </w:p>
    <w:p w14:paraId="659BC6D6" w14:textId="77777777" w:rsidR="00F7505B" w:rsidRPr="00B653AC" w:rsidRDefault="00F7505B" w:rsidP="00F7505B">
      <w:pPr>
        <w:rPr>
          <w:rFonts w:cs="Times New Roman"/>
          <w:sz w:val="24"/>
          <w:szCs w:val="24"/>
        </w:rPr>
      </w:pPr>
    </w:p>
    <w:p w14:paraId="2427FE39" w14:textId="77777777" w:rsidR="00F7505B" w:rsidRPr="00B653AC" w:rsidRDefault="00F7505B" w:rsidP="00F7505B">
      <w:pPr>
        <w:jc w:val="center"/>
        <w:rPr>
          <w:rFonts w:cs="Times New Roman"/>
          <w:sz w:val="24"/>
          <w:szCs w:val="24"/>
        </w:rPr>
      </w:pPr>
    </w:p>
    <w:p w14:paraId="791D8C33" w14:textId="68DE57D9" w:rsidR="00A1411B" w:rsidRDefault="00A1411B" w:rsidP="00F7505B">
      <w:pPr>
        <w:rPr>
          <w:rFonts w:cs="Times New Roman"/>
          <w:sz w:val="24"/>
          <w:szCs w:val="24"/>
        </w:rPr>
      </w:pPr>
    </w:p>
    <w:p w14:paraId="34DD0A62" w14:textId="77777777" w:rsidR="00A1411B" w:rsidRPr="00B653AC" w:rsidRDefault="00A1411B" w:rsidP="00F7505B">
      <w:pPr>
        <w:rPr>
          <w:rFonts w:cs="Times New Roman"/>
          <w:sz w:val="24"/>
          <w:szCs w:val="24"/>
        </w:rPr>
      </w:pPr>
    </w:p>
    <w:p w14:paraId="758C6353" w14:textId="1A170B7B" w:rsidR="00F7505B" w:rsidRDefault="00F7505B" w:rsidP="00F7505B">
      <w:pPr>
        <w:rPr>
          <w:rFonts w:cs="Times New Roman"/>
          <w:sz w:val="24"/>
          <w:szCs w:val="24"/>
        </w:rPr>
      </w:pPr>
    </w:p>
    <w:p w14:paraId="012030E6" w14:textId="77777777" w:rsidR="00385091" w:rsidRPr="00B653AC" w:rsidRDefault="00385091" w:rsidP="00F7505B">
      <w:pPr>
        <w:rPr>
          <w:rFonts w:cs="Times New Roman"/>
          <w:sz w:val="24"/>
          <w:szCs w:val="24"/>
        </w:rPr>
      </w:pPr>
    </w:p>
    <w:p w14:paraId="25CB5107" w14:textId="7F3AA036" w:rsidR="00F7505B" w:rsidRDefault="00F7505B" w:rsidP="00F7505B">
      <w:pPr>
        <w:jc w:val="center"/>
        <w:rPr>
          <w:rFonts w:cs="Times New Roman"/>
          <w:sz w:val="24"/>
          <w:szCs w:val="24"/>
        </w:rPr>
      </w:pPr>
    </w:p>
    <w:p w14:paraId="072140F7" w14:textId="6B45E70F" w:rsidR="0033156F" w:rsidRDefault="0033156F" w:rsidP="00F7505B">
      <w:pPr>
        <w:jc w:val="center"/>
        <w:rPr>
          <w:rFonts w:cs="Times New Roman"/>
          <w:sz w:val="24"/>
          <w:szCs w:val="24"/>
        </w:rPr>
      </w:pPr>
    </w:p>
    <w:p w14:paraId="73BE09E8" w14:textId="5DB7FDCE" w:rsidR="0033156F" w:rsidRDefault="0033156F" w:rsidP="00F7505B">
      <w:pPr>
        <w:jc w:val="center"/>
        <w:rPr>
          <w:rFonts w:cs="Times New Roman"/>
          <w:sz w:val="24"/>
          <w:szCs w:val="24"/>
        </w:rPr>
      </w:pPr>
    </w:p>
    <w:p w14:paraId="7690BD8C" w14:textId="77777777" w:rsidR="0033156F" w:rsidRPr="00B653AC" w:rsidRDefault="0033156F" w:rsidP="00F7505B">
      <w:pPr>
        <w:jc w:val="center"/>
        <w:rPr>
          <w:rFonts w:cs="Times New Roman"/>
          <w:sz w:val="24"/>
          <w:szCs w:val="24"/>
        </w:rPr>
      </w:pPr>
    </w:p>
    <w:p w14:paraId="03F04659" w14:textId="77777777" w:rsidR="00F7505B" w:rsidRPr="00B653AC" w:rsidRDefault="00F7505B" w:rsidP="00F7505B">
      <w:pPr>
        <w:jc w:val="center"/>
        <w:rPr>
          <w:rFonts w:cs="Times New Roman"/>
          <w:sz w:val="24"/>
          <w:szCs w:val="24"/>
        </w:rPr>
      </w:pPr>
    </w:p>
    <w:p w14:paraId="33C77EC7" w14:textId="44936143" w:rsidR="00F7505B" w:rsidRDefault="00385091" w:rsidP="00F7505B">
      <w:pPr>
        <w:jc w:val="center"/>
        <w:rPr>
          <w:rFonts w:ascii="Book Antiqua" w:hAnsi="Book Antiqua" w:cs="Times New Roman"/>
          <w:b/>
          <w:bCs/>
          <w:sz w:val="24"/>
          <w:szCs w:val="24"/>
        </w:rPr>
      </w:pPr>
      <w:r>
        <w:rPr>
          <w:rFonts w:ascii="Book Antiqua" w:hAnsi="Book Antiqua" w:cs="Times New Roman"/>
          <w:b/>
          <w:bCs/>
          <w:sz w:val="24"/>
          <w:szCs w:val="24"/>
        </w:rPr>
        <w:t>RESPUESTAS</w:t>
      </w:r>
      <w:r w:rsidR="00F7505B" w:rsidRPr="00F7505B">
        <w:rPr>
          <w:rFonts w:ascii="Book Antiqua" w:hAnsi="Book Antiqua" w:cs="Times New Roman"/>
          <w:b/>
          <w:bCs/>
          <w:sz w:val="24"/>
          <w:szCs w:val="24"/>
        </w:rPr>
        <w:t xml:space="preserve"> ELABORAD</w:t>
      </w:r>
      <w:r>
        <w:rPr>
          <w:rFonts w:ascii="Book Antiqua" w:hAnsi="Book Antiqua" w:cs="Times New Roman"/>
          <w:b/>
          <w:bCs/>
          <w:sz w:val="24"/>
          <w:szCs w:val="24"/>
        </w:rPr>
        <w:t>AS</w:t>
      </w:r>
      <w:r w:rsidR="00F7505B" w:rsidRPr="00F7505B">
        <w:rPr>
          <w:rFonts w:ascii="Book Antiqua" w:hAnsi="Book Antiqua" w:cs="Times New Roman"/>
          <w:b/>
          <w:bCs/>
          <w:sz w:val="24"/>
          <w:szCs w:val="24"/>
        </w:rPr>
        <w:t xml:space="preserve"> POR: </w:t>
      </w:r>
    </w:p>
    <w:p w14:paraId="650731F6" w14:textId="15D0C3E9" w:rsidR="0033156F" w:rsidRPr="00F7505B" w:rsidRDefault="0033156F" w:rsidP="00F7505B">
      <w:pPr>
        <w:jc w:val="center"/>
        <w:rPr>
          <w:rFonts w:ascii="Book Antiqua" w:hAnsi="Book Antiqua" w:cs="Times New Roman"/>
          <w:b/>
          <w:bCs/>
          <w:sz w:val="24"/>
          <w:szCs w:val="24"/>
        </w:rPr>
      </w:pPr>
      <w:r>
        <w:rPr>
          <w:rFonts w:ascii="Book Antiqua" w:hAnsi="Book Antiqua" w:cs="Times New Roman"/>
          <w:b/>
          <w:bCs/>
          <w:sz w:val="24"/>
          <w:szCs w:val="24"/>
        </w:rPr>
        <w:t>Servicio Nacional del Adulto Mayor (SENAMA)</w:t>
      </w:r>
    </w:p>
    <w:p w14:paraId="075765D9" w14:textId="080F3311" w:rsidR="00F7505B" w:rsidRPr="00F7505B" w:rsidRDefault="00385091" w:rsidP="00F7505B">
      <w:pPr>
        <w:jc w:val="center"/>
        <w:rPr>
          <w:rFonts w:ascii="Book Antiqua" w:hAnsi="Book Antiqua" w:cs="Times New Roman"/>
          <w:bCs/>
          <w:sz w:val="24"/>
          <w:szCs w:val="24"/>
        </w:rPr>
      </w:pPr>
      <w:r>
        <w:rPr>
          <w:rFonts w:ascii="Book Antiqua" w:hAnsi="Book Antiqua" w:cs="Times New Roman"/>
          <w:bCs/>
          <w:sz w:val="24"/>
          <w:szCs w:val="24"/>
        </w:rPr>
        <w:t xml:space="preserve">Ministerio </w:t>
      </w:r>
      <w:r w:rsidR="0033156F">
        <w:rPr>
          <w:rFonts w:ascii="Book Antiqua" w:hAnsi="Book Antiqua" w:cs="Times New Roman"/>
          <w:bCs/>
          <w:sz w:val="24"/>
          <w:szCs w:val="24"/>
        </w:rPr>
        <w:t>de Desarrollo Social y Familia</w:t>
      </w:r>
    </w:p>
    <w:p w14:paraId="4FBEF899" w14:textId="4EB64A75" w:rsidR="00A1411B" w:rsidRDefault="00F7505B" w:rsidP="00A1411B">
      <w:pPr>
        <w:jc w:val="center"/>
        <w:rPr>
          <w:rFonts w:ascii="Book Antiqua" w:hAnsi="Book Antiqua" w:cs="Times New Roman"/>
          <w:bCs/>
          <w:sz w:val="24"/>
          <w:szCs w:val="24"/>
        </w:rPr>
      </w:pPr>
      <w:r w:rsidRPr="00F7505B">
        <w:rPr>
          <w:rFonts w:ascii="Book Antiqua" w:hAnsi="Book Antiqua" w:cs="Times New Roman"/>
          <w:bCs/>
          <w:sz w:val="24"/>
          <w:szCs w:val="24"/>
        </w:rPr>
        <w:t>GOBIERNO DE CHILE</w:t>
      </w:r>
    </w:p>
    <w:p w14:paraId="04A504F8" w14:textId="74575E12"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lastRenderedPageBreak/>
        <w:t xml:space="preserve">El presente documento contiene el aporte del Gobierno de Chile a la solicitud </w:t>
      </w:r>
      <w:r w:rsidR="00A1411B" w:rsidRPr="00EE63A4">
        <w:rPr>
          <w:rFonts w:ascii="Book Antiqua" w:hAnsi="Book Antiqua" w:cs="Times New Roman"/>
          <w:b/>
        </w:rPr>
        <w:t>de</w:t>
      </w:r>
      <w:r w:rsidR="00037D55">
        <w:rPr>
          <w:rFonts w:ascii="Book Antiqua" w:hAnsi="Book Antiqua" w:cs="Times New Roman"/>
          <w:b/>
        </w:rPr>
        <w:t xml:space="preserve"> </w:t>
      </w:r>
      <w:r w:rsidR="00A1411B" w:rsidRPr="00EE63A4">
        <w:rPr>
          <w:rFonts w:ascii="Book Antiqua" w:hAnsi="Book Antiqua" w:cs="Times New Roman"/>
          <w:b/>
        </w:rPr>
        <w:t>l</w:t>
      </w:r>
      <w:r w:rsidR="00037D55">
        <w:rPr>
          <w:rFonts w:ascii="Book Antiqua" w:hAnsi="Book Antiqua" w:cs="Times New Roman"/>
          <w:b/>
        </w:rPr>
        <w:t>a</w:t>
      </w:r>
      <w:r w:rsidR="00385091">
        <w:rPr>
          <w:rFonts w:ascii="Book Antiqua" w:hAnsi="Book Antiqua" w:cs="Times New Roman"/>
          <w:b/>
        </w:rPr>
        <w:t xml:space="preserve"> </w:t>
      </w:r>
      <w:r w:rsidR="0033156F">
        <w:rPr>
          <w:rFonts w:ascii="Book Antiqua" w:hAnsi="Book Antiqua" w:cs="Times New Roman"/>
          <w:b/>
        </w:rPr>
        <w:t>Experta Independiente sobre el disfrute de todos los derechos humanos de las personas de edad</w:t>
      </w:r>
      <w:r w:rsidR="00385091">
        <w:rPr>
          <w:rFonts w:ascii="Book Antiqua" w:hAnsi="Book Antiqua" w:cs="Times New Roman"/>
          <w:b/>
        </w:rPr>
        <w:t>,</w:t>
      </w:r>
      <w:r w:rsidR="00A1411B" w:rsidRPr="00EE63A4">
        <w:rPr>
          <w:rFonts w:ascii="Book Antiqua" w:hAnsi="Book Antiqua" w:cs="Times New Roman"/>
          <w:b/>
        </w:rPr>
        <w:t xml:space="preserve"> </w:t>
      </w:r>
      <w:r w:rsidR="00991F75">
        <w:rPr>
          <w:rFonts w:ascii="Book Antiqua" w:hAnsi="Book Antiqua" w:cs="Times New Roman"/>
          <w:b/>
        </w:rPr>
        <w:t xml:space="preserve">en virtud de la resolución </w:t>
      </w:r>
      <w:r w:rsidR="0033156F">
        <w:rPr>
          <w:rFonts w:ascii="Book Antiqua" w:hAnsi="Book Antiqua" w:cs="Times New Roman"/>
          <w:b/>
        </w:rPr>
        <w:t>33/5 y 42/12</w:t>
      </w:r>
      <w:r w:rsidR="00991F75">
        <w:rPr>
          <w:rFonts w:ascii="Book Antiqua" w:hAnsi="Book Antiqua" w:cs="Times New Roman"/>
          <w:b/>
        </w:rPr>
        <w:t xml:space="preserve"> del</w:t>
      </w:r>
      <w:r w:rsidRPr="00EE63A4">
        <w:rPr>
          <w:rFonts w:ascii="Book Antiqua" w:hAnsi="Book Antiqua" w:cs="Times New Roman"/>
          <w:b/>
        </w:rPr>
        <w:t xml:space="preserve"> Consejo de Derechos Humanos de las Naciones Unidas. </w:t>
      </w:r>
    </w:p>
    <w:p w14:paraId="56225BC6" w14:textId="3D11913D"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t xml:space="preserve">El siguiente documento, elaborado </w:t>
      </w:r>
      <w:r w:rsidR="007F39BD">
        <w:rPr>
          <w:rFonts w:ascii="Book Antiqua" w:hAnsi="Book Antiqua" w:cs="Times New Roman"/>
          <w:b/>
        </w:rPr>
        <w:t>por el Servicio Nacional del Adulto Mayor (SENAMA)</w:t>
      </w:r>
      <w:r w:rsidRPr="00EE63A4">
        <w:rPr>
          <w:rFonts w:ascii="Book Antiqua" w:hAnsi="Book Antiqua" w:cs="Times New Roman"/>
          <w:b/>
        </w:rPr>
        <w:t xml:space="preserve">, busca </w:t>
      </w:r>
      <w:r w:rsidR="00A1411B" w:rsidRPr="00EE63A4">
        <w:rPr>
          <w:rFonts w:ascii="Book Antiqua" w:hAnsi="Book Antiqua" w:cs="Times New Roman"/>
          <w:b/>
        </w:rPr>
        <w:t xml:space="preserve">aportar información para </w:t>
      </w:r>
      <w:r w:rsidR="00037D55">
        <w:rPr>
          <w:rFonts w:ascii="Book Antiqua" w:hAnsi="Book Antiqua" w:cs="Times New Roman"/>
          <w:b/>
        </w:rPr>
        <w:t xml:space="preserve">el </w:t>
      </w:r>
      <w:r w:rsidR="00385091">
        <w:rPr>
          <w:rFonts w:ascii="Book Antiqua" w:hAnsi="Book Antiqua" w:cs="Times New Roman"/>
          <w:b/>
        </w:rPr>
        <w:t xml:space="preserve">informe de la </w:t>
      </w:r>
      <w:r w:rsidR="007F39BD">
        <w:rPr>
          <w:rFonts w:ascii="Book Antiqua" w:hAnsi="Book Antiqua" w:cs="Times New Roman"/>
          <w:b/>
        </w:rPr>
        <w:t>Experta Independiente</w:t>
      </w:r>
      <w:r w:rsidR="00385091">
        <w:rPr>
          <w:rFonts w:ascii="Book Antiqua" w:hAnsi="Book Antiqua" w:cs="Times New Roman"/>
          <w:b/>
        </w:rPr>
        <w:t xml:space="preserve">, Sra. </w:t>
      </w:r>
      <w:r w:rsidR="007F39BD">
        <w:rPr>
          <w:rFonts w:ascii="Book Antiqua" w:hAnsi="Book Antiqua" w:cs="Times New Roman"/>
          <w:b/>
        </w:rPr>
        <w:t>Claudia Mahler</w:t>
      </w:r>
      <w:r w:rsidRPr="00EE63A4">
        <w:rPr>
          <w:rFonts w:ascii="Book Antiqua" w:hAnsi="Book Antiqua" w:cs="Times New Roman"/>
          <w:b/>
        </w:rPr>
        <w:t xml:space="preserve">. El Gobierno de Chile confía que </w:t>
      </w:r>
      <w:r w:rsidR="00A1411B" w:rsidRPr="00EE63A4">
        <w:rPr>
          <w:rFonts w:ascii="Book Antiqua" w:hAnsi="Book Antiqua" w:cs="Times New Roman"/>
          <w:b/>
        </w:rPr>
        <w:t>est</w:t>
      </w:r>
      <w:r w:rsidR="005A3992">
        <w:rPr>
          <w:rFonts w:ascii="Book Antiqua" w:hAnsi="Book Antiqua" w:cs="Times New Roman"/>
          <w:b/>
        </w:rPr>
        <w:t>a respu</w:t>
      </w:r>
      <w:bookmarkStart w:id="0" w:name="_GoBack"/>
      <w:bookmarkEnd w:id="0"/>
      <w:r w:rsidR="005A3992">
        <w:rPr>
          <w:rFonts w:ascii="Book Antiqua" w:hAnsi="Book Antiqua" w:cs="Times New Roman"/>
          <w:b/>
        </w:rPr>
        <w:t>esta</w:t>
      </w:r>
      <w:r w:rsidRPr="00EE63A4">
        <w:rPr>
          <w:rFonts w:ascii="Book Antiqua" w:hAnsi="Book Antiqua" w:cs="Times New Roman"/>
          <w:b/>
        </w:rPr>
        <w:t xml:space="preserve"> permita dar a conocer parte de la experiencia y de las políticas desarrolladas en Chile en referencia a esta temática. Del mismo modo, espera sea de utilidad para promover y fortalecer el intercambio internacional y el desarrollo efectivo de los derechos mencionados, y así, en última instancia, beneficien a los ciudadanos y a los sistemas democráticos de la comunidad internacional. </w:t>
      </w:r>
    </w:p>
    <w:p w14:paraId="67B3A158" w14:textId="609DE50E" w:rsidR="003A7F1F" w:rsidRPr="00F7505B" w:rsidRDefault="003A7F1F" w:rsidP="003A7F1F">
      <w:pPr>
        <w:spacing w:after="0" w:line="240" w:lineRule="auto"/>
      </w:pPr>
    </w:p>
    <w:p w14:paraId="6F32B0FE" w14:textId="77777777" w:rsidR="00A1411B" w:rsidRDefault="00A1411B" w:rsidP="00473067">
      <w:pPr>
        <w:spacing w:after="0" w:line="240" w:lineRule="auto"/>
        <w:jc w:val="center"/>
        <w:rPr>
          <w:sz w:val="20"/>
        </w:rPr>
      </w:pPr>
    </w:p>
    <w:p w14:paraId="3851172F" w14:textId="77777777" w:rsidR="00A1411B" w:rsidRDefault="00A1411B" w:rsidP="00473067">
      <w:pPr>
        <w:spacing w:after="0" w:line="240" w:lineRule="auto"/>
        <w:jc w:val="center"/>
        <w:rPr>
          <w:sz w:val="20"/>
        </w:rPr>
      </w:pPr>
    </w:p>
    <w:p w14:paraId="7BB9998B" w14:textId="77777777" w:rsidR="00A1411B" w:rsidRDefault="00A1411B" w:rsidP="00473067">
      <w:pPr>
        <w:spacing w:after="0" w:line="240" w:lineRule="auto"/>
        <w:jc w:val="center"/>
        <w:rPr>
          <w:sz w:val="20"/>
        </w:rPr>
      </w:pPr>
    </w:p>
    <w:p w14:paraId="5DC2ECDC" w14:textId="77777777" w:rsidR="00A1411B" w:rsidRDefault="00A1411B" w:rsidP="00473067">
      <w:pPr>
        <w:spacing w:after="0" w:line="240" w:lineRule="auto"/>
        <w:jc w:val="center"/>
        <w:rPr>
          <w:sz w:val="20"/>
        </w:rPr>
      </w:pPr>
    </w:p>
    <w:p w14:paraId="77E9E211" w14:textId="77777777" w:rsidR="00A1411B" w:rsidRDefault="00A1411B" w:rsidP="00473067">
      <w:pPr>
        <w:spacing w:after="0" w:line="240" w:lineRule="auto"/>
        <w:jc w:val="center"/>
        <w:rPr>
          <w:sz w:val="20"/>
        </w:rPr>
      </w:pPr>
    </w:p>
    <w:p w14:paraId="14C4CB3D" w14:textId="77777777" w:rsidR="00A1411B" w:rsidRDefault="00A1411B" w:rsidP="00473067">
      <w:pPr>
        <w:spacing w:after="0" w:line="240" w:lineRule="auto"/>
        <w:jc w:val="center"/>
        <w:rPr>
          <w:sz w:val="20"/>
        </w:rPr>
      </w:pPr>
    </w:p>
    <w:p w14:paraId="3AF33104" w14:textId="022752E8" w:rsidR="00F7505B" w:rsidRDefault="00F7505B" w:rsidP="002D3B18">
      <w:pPr>
        <w:spacing w:after="0" w:line="240" w:lineRule="auto"/>
        <w:rPr>
          <w:sz w:val="20"/>
        </w:rPr>
      </w:pPr>
    </w:p>
    <w:p w14:paraId="39A44FFE" w14:textId="76F37734" w:rsidR="002D3B18" w:rsidRDefault="002D3B18" w:rsidP="002D3B18">
      <w:pPr>
        <w:spacing w:after="0" w:line="240" w:lineRule="auto"/>
        <w:rPr>
          <w:sz w:val="20"/>
        </w:rPr>
      </w:pPr>
    </w:p>
    <w:p w14:paraId="7530F5C1" w14:textId="38604BC7" w:rsidR="002D3B18" w:rsidRDefault="002D3B18" w:rsidP="002D3B18">
      <w:pPr>
        <w:spacing w:after="0" w:line="240" w:lineRule="auto"/>
        <w:rPr>
          <w:sz w:val="20"/>
        </w:rPr>
      </w:pPr>
    </w:p>
    <w:p w14:paraId="6147EECD" w14:textId="1DA21909" w:rsidR="002D3B18" w:rsidRDefault="002D3B18" w:rsidP="002D3B18">
      <w:pPr>
        <w:spacing w:after="0" w:line="240" w:lineRule="auto"/>
        <w:rPr>
          <w:sz w:val="20"/>
        </w:rPr>
      </w:pPr>
    </w:p>
    <w:p w14:paraId="6EA71E4C" w14:textId="7D242EB2" w:rsidR="002D3B18" w:rsidRDefault="002D3B18" w:rsidP="002D3B18">
      <w:pPr>
        <w:spacing w:after="0" w:line="240" w:lineRule="auto"/>
        <w:rPr>
          <w:sz w:val="20"/>
        </w:rPr>
      </w:pPr>
    </w:p>
    <w:p w14:paraId="7020566D" w14:textId="6ADF18E0" w:rsidR="002D3B18" w:rsidRDefault="002D3B18" w:rsidP="002D3B18">
      <w:pPr>
        <w:spacing w:after="0" w:line="240" w:lineRule="auto"/>
        <w:rPr>
          <w:sz w:val="20"/>
        </w:rPr>
      </w:pPr>
    </w:p>
    <w:p w14:paraId="0BCA39EC" w14:textId="1C8E1719" w:rsidR="002D3B18" w:rsidRDefault="002D3B18" w:rsidP="002D3B18">
      <w:pPr>
        <w:spacing w:after="0" w:line="240" w:lineRule="auto"/>
        <w:rPr>
          <w:sz w:val="20"/>
        </w:rPr>
      </w:pPr>
    </w:p>
    <w:p w14:paraId="1218EB16" w14:textId="6D852D55" w:rsidR="002D3B18" w:rsidRDefault="002D3B18" w:rsidP="002D3B18">
      <w:pPr>
        <w:spacing w:after="0" w:line="240" w:lineRule="auto"/>
        <w:rPr>
          <w:sz w:val="20"/>
        </w:rPr>
      </w:pPr>
    </w:p>
    <w:p w14:paraId="292912C9" w14:textId="27A5B5E6" w:rsidR="002D3B18" w:rsidRDefault="002D3B18" w:rsidP="002D3B18">
      <w:pPr>
        <w:spacing w:after="0" w:line="240" w:lineRule="auto"/>
        <w:rPr>
          <w:sz w:val="20"/>
        </w:rPr>
      </w:pPr>
    </w:p>
    <w:p w14:paraId="1B3FF3C0" w14:textId="706428AF" w:rsidR="002D3B18" w:rsidRDefault="002D3B18" w:rsidP="002D3B18">
      <w:pPr>
        <w:spacing w:after="0" w:line="240" w:lineRule="auto"/>
        <w:rPr>
          <w:sz w:val="20"/>
        </w:rPr>
      </w:pPr>
    </w:p>
    <w:p w14:paraId="4D79BC4E" w14:textId="2A43BA41" w:rsidR="002D3B18" w:rsidRDefault="002D3B18" w:rsidP="002D3B18">
      <w:pPr>
        <w:spacing w:after="0" w:line="240" w:lineRule="auto"/>
        <w:rPr>
          <w:sz w:val="20"/>
        </w:rPr>
      </w:pPr>
    </w:p>
    <w:p w14:paraId="034D1EE4" w14:textId="66D671C5" w:rsidR="002D3B18" w:rsidRDefault="002D3B18" w:rsidP="002D3B18">
      <w:pPr>
        <w:spacing w:after="0" w:line="240" w:lineRule="auto"/>
        <w:rPr>
          <w:sz w:val="20"/>
        </w:rPr>
      </w:pPr>
    </w:p>
    <w:p w14:paraId="4BD78B6D" w14:textId="7751524C" w:rsidR="002D3B18" w:rsidRDefault="002D3B18" w:rsidP="002D3B18">
      <w:pPr>
        <w:spacing w:after="0" w:line="240" w:lineRule="auto"/>
        <w:rPr>
          <w:sz w:val="20"/>
        </w:rPr>
      </w:pPr>
    </w:p>
    <w:p w14:paraId="17EFB9AE" w14:textId="77777777" w:rsidR="006B6737" w:rsidRDefault="006B6737" w:rsidP="002D3B18">
      <w:pPr>
        <w:spacing w:after="0" w:line="240" w:lineRule="auto"/>
        <w:rPr>
          <w:sz w:val="20"/>
        </w:rPr>
        <w:sectPr w:rsidR="006B6737" w:rsidSect="002D3B18">
          <w:headerReference w:type="even" r:id="rId8"/>
          <w:headerReference w:type="default" r:id="rId9"/>
          <w:footerReference w:type="even" r:id="rId10"/>
          <w:footerReference w:type="default" r:id="rId11"/>
          <w:headerReference w:type="first" r:id="rId12"/>
          <w:footerReference w:type="first" r:id="rId13"/>
          <w:pgSz w:w="12250" w:h="15850"/>
          <w:pgMar w:top="2552" w:right="900" w:bottom="1040" w:left="920" w:header="320" w:footer="856" w:gutter="0"/>
          <w:pgNumType w:start="1"/>
          <w:cols w:space="720"/>
        </w:sectPr>
      </w:pPr>
    </w:p>
    <w:p w14:paraId="4FE6947C" w14:textId="77777777" w:rsidR="006C27E3" w:rsidRDefault="006C27E3" w:rsidP="00AC1FF6">
      <w:pPr>
        <w:rPr>
          <w:rFonts w:ascii="Book Antiqua" w:hAnsi="Book Antiqua"/>
          <w:sz w:val="24"/>
          <w:szCs w:val="24"/>
        </w:rPr>
      </w:pPr>
    </w:p>
    <w:p w14:paraId="03425341" w14:textId="353D972C" w:rsidR="00AC1FF6" w:rsidRDefault="00AC1FF6" w:rsidP="00AC1FF6">
      <w:pPr>
        <w:spacing w:after="0" w:line="360" w:lineRule="auto"/>
        <w:jc w:val="center"/>
        <w:rPr>
          <w:rFonts w:ascii="Book Antiqua" w:hAnsi="Book Antiqua" w:cstheme="minorHAnsi"/>
          <w:b/>
          <w:sz w:val="28"/>
          <w:szCs w:val="24"/>
        </w:rPr>
      </w:pPr>
      <w:r w:rsidRPr="0033156F">
        <w:rPr>
          <w:rFonts w:ascii="Book Antiqua" w:hAnsi="Book Antiqua" w:cstheme="minorHAnsi"/>
          <w:b/>
          <w:sz w:val="28"/>
          <w:szCs w:val="24"/>
        </w:rPr>
        <w:t>I</w:t>
      </w:r>
      <w:r>
        <w:rPr>
          <w:rFonts w:ascii="Book Antiqua" w:hAnsi="Book Antiqua" w:cstheme="minorHAnsi"/>
          <w:b/>
          <w:sz w:val="28"/>
          <w:szCs w:val="24"/>
        </w:rPr>
        <w:t>I</w:t>
      </w:r>
      <w:r w:rsidRPr="0033156F">
        <w:rPr>
          <w:rFonts w:ascii="Book Antiqua" w:hAnsi="Book Antiqua" w:cstheme="minorHAnsi"/>
          <w:b/>
          <w:sz w:val="28"/>
          <w:szCs w:val="24"/>
        </w:rPr>
        <w:t xml:space="preserve">. </w:t>
      </w:r>
      <w:r>
        <w:rPr>
          <w:rFonts w:ascii="Book Antiqua" w:hAnsi="Book Antiqua" w:cstheme="minorHAnsi"/>
          <w:b/>
          <w:sz w:val="28"/>
          <w:szCs w:val="24"/>
        </w:rPr>
        <w:t>DERECHOS HUMANOS DE LAS MUJERES MAYORES</w:t>
      </w:r>
    </w:p>
    <w:p w14:paraId="16DD379F" w14:textId="2110B747" w:rsidR="00AC1FF6" w:rsidRPr="00AC1FF6" w:rsidRDefault="00AC1FF6" w:rsidP="00AC1FF6">
      <w:pPr>
        <w:spacing w:after="0" w:line="360" w:lineRule="auto"/>
        <w:rPr>
          <w:rFonts w:ascii="Book Antiqua" w:hAnsi="Book Antiqua" w:cstheme="minorHAnsi"/>
          <w:b/>
          <w:sz w:val="24"/>
          <w:szCs w:val="24"/>
        </w:rPr>
      </w:pPr>
      <w:r>
        <w:rPr>
          <w:rFonts w:ascii="Book Antiqua" w:hAnsi="Book Antiqua" w:cstheme="minorHAnsi"/>
          <w:b/>
          <w:sz w:val="24"/>
          <w:szCs w:val="24"/>
        </w:rPr>
        <w:t>Los derechos de las mujeres de edad en la legislación, las políticas y los programas internacionales, regionales y nacionales</w:t>
      </w:r>
    </w:p>
    <w:p w14:paraId="421CE0B6" w14:textId="77DD1ED6" w:rsidR="00AC1FF6" w:rsidRDefault="00AC1FF6" w:rsidP="00AC1FF6">
      <w:pPr>
        <w:spacing w:line="360" w:lineRule="auto"/>
        <w:rPr>
          <w:rFonts w:ascii="Book Antiqua" w:hAnsi="Book Antiqua"/>
          <w:i/>
          <w:sz w:val="24"/>
          <w:szCs w:val="24"/>
        </w:rPr>
      </w:pPr>
      <w:r>
        <w:rPr>
          <w:rFonts w:ascii="Book Antiqua" w:hAnsi="Book Antiqua"/>
          <w:i/>
          <w:sz w:val="24"/>
          <w:szCs w:val="24"/>
        </w:rPr>
        <w:t>1. ¿</w:t>
      </w:r>
      <w:r w:rsidRPr="00AC1FF6">
        <w:rPr>
          <w:rFonts w:ascii="Book Antiqua" w:hAnsi="Book Antiqua"/>
          <w:i/>
          <w:sz w:val="24"/>
          <w:szCs w:val="24"/>
        </w:rPr>
        <w:t>Qué instrumentos jurídicos, políticas y programas existen para hacer frente a los problemas particulares que enfrentan las mujeres de edad y como se aplican y monitorean?</w:t>
      </w:r>
    </w:p>
    <w:p w14:paraId="6B66D7FF" w14:textId="7167A187" w:rsidR="00AC1FF6" w:rsidRPr="00AC1FF6" w:rsidRDefault="00AC1FF6" w:rsidP="00AC1FF6">
      <w:pPr>
        <w:jc w:val="both"/>
        <w:rPr>
          <w:rFonts w:ascii="Book Antiqua" w:hAnsi="Book Antiqua"/>
          <w:b/>
        </w:rPr>
      </w:pPr>
      <w:r w:rsidRPr="00AC1FF6">
        <w:rPr>
          <w:rFonts w:ascii="Book Antiqua" w:hAnsi="Book Antiqua"/>
          <w:b/>
        </w:rPr>
        <w:t>Ámbito Internacional</w:t>
      </w:r>
    </w:p>
    <w:p w14:paraId="31C93B5A" w14:textId="15FB56FB" w:rsidR="00AC1FF6" w:rsidRPr="00AC1FF6" w:rsidRDefault="00AC1FF6" w:rsidP="00AC1FF6">
      <w:pPr>
        <w:jc w:val="both"/>
        <w:rPr>
          <w:rFonts w:ascii="Book Antiqua" w:hAnsi="Book Antiqua"/>
        </w:rPr>
      </w:pPr>
      <w:r w:rsidRPr="00AC1FF6">
        <w:rPr>
          <w:rFonts w:ascii="Book Antiqua" w:hAnsi="Book Antiqua"/>
        </w:rPr>
        <w:t>En el ámbito internacional se reconoce la CEDAW (Convención sobre la Eliminación de todas las formas de Discrim</w:t>
      </w:r>
      <w:r>
        <w:rPr>
          <w:rFonts w:ascii="Book Antiqua" w:hAnsi="Book Antiqua"/>
        </w:rPr>
        <w:t>inación contra la Mujer, 1979)</w:t>
      </w:r>
      <w:r w:rsidR="00E80368">
        <w:rPr>
          <w:rStyle w:val="FootnoteReference"/>
          <w:rFonts w:ascii="Book Antiqua" w:hAnsi="Book Antiqua"/>
        </w:rPr>
        <w:footnoteReference w:id="1"/>
      </w:r>
      <w:r>
        <w:rPr>
          <w:rFonts w:ascii="Book Antiqua" w:hAnsi="Book Antiqua"/>
        </w:rPr>
        <w:t xml:space="preserve">, </w:t>
      </w:r>
      <w:r w:rsidRPr="00AC1FF6">
        <w:rPr>
          <w:rFonts w:ascii="Book Antiqua" w:hAnsi="Book Antiqua"/>
        </w:rPr>
        <w:t xml:space="preserve">la cual fue ratificada por Chile el 7 de diciembre de 1989, e incorporada al ordenamiento jurídico nacional mediante decreto supremo Nº 789 de 1989, del Ministerio de Relaciones Exteriores. De manera más reciente, el Comité para la Eliminación de la Discriminación contra la Mujer, desarrolló </w:t>
      </w:r>
      <w:r>
        <w:rPr>
          <w:rFonts w:ascii="Book Antiqua" w:hAnsi="Book Antiqua"/>
        </w:rPr>
        <w:t>la Recomendación General N° 27</w:t>
      </w:r>
      <w:r w:rsidR="00E80368">
        <w:rPr>
          <w:rStyle w:val="FootnoteReference"/>
          <w:rFonts w:ascii="Book Antiqua" w:hAnsi="Book Antiqua"/>
        </w:rPr>
        <w:footnoteReference w:id="2"/>
      </w:r>
      <w:r>
        <w:rPr>
          <w:rFonts w:ascii="Book Antiqua" w:hAnsi="Book Antiqua"/>
        </w:rPr>
        <w:t xml:space="preserve"> </w:t>
      </w:r>
      <w:r w:rsidRPr="00AC1FF6">
        <w:rPr>
          <w:rFonts w:ascii="Book Antiqua" w:hAnsi="Book Antiqua"/>
        </w:rPr>
        <w:t>sobre las mujeres de edad y la protección de sus derechos humanos con fecha 16 de diciembre de 2010.</w:t>
      </w:r>
    </w:p>
    <w:p w14:paraId="0FF6AD56" w14:textId="5F68423C" w:rsidR="00AC1FF6" w:rsidRPr="00AC1FF6" w:rsidRDefault="00AC1FF6" w:rsidP="00AC1FF6">
      <w:pPr>
        <w:jc w:val="both"/>
        <w:rPr>
          <w:rFonts w:ascii="Book Antiqua" w:hAnsi="Book Antiqua"/>
        </w:rPr>
      </w:pPr>
      <w:r w:rsidRPr="00AC1FF6">
        <w:rPr>
          <w:rFonts w:ascii="Book Antiqua" w:hAnsi="Book Antiqua"/>
        </w:rPr>
        <w:t>Otro instrumento internacional es la Convención Interamericana para Prev</w:t>
      </w:r>
      <w:r>
        <w:rPr>
          <w:rFonts w:ascii="Book Antiqua" w:hAnsi="Book Antiqua"/>
        </w:rPr>
        <w:t xml:space="preserve">enir, Sancionar y Erradicar la </w:t>
      </w:r>
      <w:r w:rsidRPr="00AC1FF6">
        <w:rPr>
          <w:rFonts w:ascii="Book Antiqua" w:hAnsi="Book Antiqua"/>
        </w:rPr>
        <w:t xml:space="preserve">Violencia contra las Mujeres (1994), conocida como Belém do Pará, la cual tiene su entrada en vigor para Chile el 15 de diciembre de 1996, cuyo Decreto </w:t>
      </w:r>
      <w:proofErr w:type="spellStart"/>
      <w:r w:rsidRPr="00AC1FF6">
        <w:rPr>
          <w:rFonts w:ascii="Book Antiqua" w:hAnsi="Book Antiqua"/>
        </w:rPr>
        <w:t>promulgatorio</w:t>
      </w:r>
      <w:proofErr w:type="spellEnd"/>
      <w:r w:rsidRPr="00AC1FF6">
        <w:rPr>
          <w:rFonts w:ascii="Book Antiqua" w:hAnsi="Book Antiqua"/>
        </w:rPr>
        <w:t xml:space="preserve"> es el N°1640 del Ministerio de Relaciones Exteriores de 1998. De manera específica señala en su Artículo 9, lo siguiente “</w:t>
      </w:r>
      <w:r w:rsidRPr="00AC1FF6">
        <w:rPr>
          <w:rFonts w:ascii="Book Antiqua" w:hAnsi="Book Antiqua"/>
          <w:i/>
        </w:rPr>
        <w:t>Los Estados Partes tendrán especialmente en cuenta la situación de vulnerabilidad a la violencia que pueda sufrir la mujer en razón, entre otras, de su raza o de su condición étnica, de migrante, refugiada o desplazada. En igual sentido se considerará a la mujer que es objeto de violencia cuando está embarazada, es discapacitada, menor de edad, anciana, o está en situación socioeconómica desfavorable</w:t>
      </w:r>
      <w:r w:rsidRPr="00AC1FF6">
        <w:rPr>
          <w:rFonts w:ascii="Book Antiqua" w:hAnsi="Book Antiqua"/>
        </w:rPr>
        <w:t>”.</w:t>
      </w:r>
    </w:p>
    <w:p w14:paraId="05647438" w14:textId="77777777" w:rsidR="00AC1FF6" w:rsidRPr="00AC1FF6" w:rsidRDefault="00AC1FF6" w:rsidP="00AC1FF6">
      <w:pPr>
        <w:jc w:val="both"/>
        <w:rPr>
          <w:rFonts w:ascii="Book Antiqua" w:hAnsi="Book Antiqua"/>
        </w:rPr>
      </w:pPr>
      <w:r w:rsidRPr="00AC1FF6">
        <w:rPr>
          <w:rFonts w:ascii="Book Antiqua" w:hAnsi="Book Antiqua"/>
        </w:rPr>
        <w:t xml:space="preserve">Como un instrumento más reciente tenemos la Convención Interamericana sobre la Protección de los Derechos Humanos de las Personas Mayores. Con el Decreto N°162 /09/2017 Chile la ratifica, lo que obliga al Estado a implementar los derechos que ésta reconoce. El objeto de la Convención es promover, proteger y asegurar el reconocimiento y el pleno goce y ejercicio, en condiciones de igualdad, de todos los derechos humanos y libertades fundamentales de la persona mayor y dentro de sus principios generales declara la igualdad de género. </w:t>
      </w:r>
    </w:p>
    <w:p w14:paraId="7DD383A8" w14:textId="77777777" w:rsidR="00485697" w:rsidRDefault="00485697" w:rsidP="00AC1FF6">
      <w:pPr>
        <w:jc w:val="both"/>
        <w:rPr>
          <w:rFonts w:ascii="Book Antiqua" w:hAnsi="Book Antiqua"/>
          <w:b/>
        </w:rPr>
      </w:pPr>
    </w:p>
    <w:p w14:paraId="79CB2FC1" w14:textId="1C979248" w:rsidR="00AC1FF6" w:rsidRPr="00AC1FF6" w:rsidRDefault="00AC1FF6" w:rsidP="00AC1FF6">
      <w:pPr>
        <w:jc w:val="both"/>
        <w:rPr>
          <w:rFonts w:ascii="Book Antiqua" w:hAnsi="Book Antiqua"/>
          <w:b/>
        </w:rPr>
      </w:pPr>
      <w:r w:rsidRPr="00AC1FF6">
        <w:rPr>
          <w:rFonts w:ascii="Book Antiqua" w:hAnsi="Book Antiqua"/>
          <w:b/>
        </w:rPr>
        <w:t xml:space="preserve">Ámbito Nacional </w:t>
      </w:r>
    </w:p>
    <w:p w14:paraId="5DA9CBDD" w14:textId="6DDDC5C9" w:rsidR="00C64E0C" w:rsidRDefault="00AC1FF6" w:rsidP="00AC1FF6">
      <w:pPr>
        <w:pStyle w:val="ListParagraph"/>
        <w:numPr>
          <w:ilvl w:val="0"/>
          <w:numId w:val="27"/>
        </w:numPr>
        <w:jc w:val="both"/>
        <w:rPr>
          <w:rFonts w:ascii="Book Antiqua" w:hAnsi="Book Antiqua"/>
        </w:rPr>
      </w:pPr>
      <w:r>
        <w:rPr>
          <w:rFonts w:ascii="Book Antiqua" w:hAnsi="Book Antiqua"/>
        </w:rPr>
        <w:t xml:space="preserve">Reforma Previsional: </w:t>
      </w:r>
      <w:r w:rsidRPr="00AC1FF6">
        <w:rPr>
          <w:rFonts w:ascii="Book Antiqua" w:hAnsi="Book Antiqua"/>
        </w:rPr>
        <w:t>Por su parte en el ámbito nacional podemos señalar la Ley N°20.255/2008 (Ministerio del Trabajo y Previsión Social) que Establece la Reforma Previsional. Dicha reforma introdujo el principio de solidaridad al modelo previsional chileno, lo que permitió reducir inequidades sociales desde la perspectiva de género, sobre todo en el contexto de capitalización individual</w:t>
      </w:r>
      <w:r w:rsidR="009F1888">
        <w:rPr>
          <w:rFonts w:ascii="Book Antiqua" w:hAnsi="Book Antiqua"/>
        </w:rPr>
        <w:t>,</w:t>
      </w:r>
      <w:r w:rsidRPr="00AC1FF6">
        <w:rPr>
          <w:rFonts w:ascii="Book Antiqua" w:hAnsi="Book Antiqua"/>
        </w:rPr>
        <w:t xml:space="preserve"> el que reproduce desigualdades. Este sistema de pensiones solidarias de cargo fiscal permitió entregar una pensión básica solidaria para las personas que no accedían a una pensión autofinanciada y, por otro lado, otorgar un aporte previsional solidario para quienes recibían bajas pensiones. Si bien, tanto hombres como mujeres pueden acceder a estos beneficios, son las mujeres las mayores beneficiadas, ya que esta política fue diseñada aplicando la perspectiva de género. Esta iniciativa apuntó a disminuir las principales brechas existentes que afectan principalmente a mujeres, tales como los efectos de las bajas densidades de cotización, la cobertura y los montos de pensiones (CEPAL, 2010)</w:t>
      </w:r>
      <w:r w:rsidR="00E80368">
        <w:rPr>
          <w:rStyle w:val="FootnoteReference"/>
          <w:rFonts w:ascii="Book Antiqua" w:hAnsi="Book Antiqua"/>
        </w:rPr>
        <w:footnoteReference w:id="3"/>
      </w:r>
      <w:r w:rsidRPr="00AC1FF6">
        <w:rPr>
          <w:rFonts w:ascii="Book Antiqua" w:hAnsi="Book Antiqua"/>
        </w:rPr>
        <w:t xml:space="preserve">. </w:t>
      </w:r>
    </w:p>
    <w:p w14:paraId="750B0226" w14:textId="77777777" w:rsidR="00C64E0C" w:rsidRDefault="00AC1FF6" w:rsidP="00C64E0C">
      <w:pPr>
        <w:pStyle w:val="ListParagraph"/>
        <w:jc w:val="both"/>
        <w:rPr>
          <w:rFonts w:ascii="Book Antiqua" w:hAnsi="Book Antiqua"/>
        </w:rPr>
      </w:pPr>
      <w:r w:rsidRPr="00C64E0C">
        <w:rPr>
          <w:rFonts w:ascii="Book Antiqua" w:hAnsi="Book Antiqua"/>
        </w:rPr>
        <w:t xml:space="preserve">Lo anterior ha permitido que mujeres mayores que en trayectoria vital no pudieron trabajar, ya sea por el cuidado de sus hijos o bien porque tuvieron empleos precarios o no formales, hoy tengan acceso a una pensión (o al incremento de ésta). </w:t>
      </w:r>
    </w:p>
    <w:p w14:paraId="2AB0B1A1" w14:textId="4AAB2BDB" w:rsidR="00AC1FF6" w:rsidRPr="00AC1FF6" w:rsidRDefault="00C64E0C" w:rsidP="00C64E0C">
      <w:pPr>
        <w:pStyle w:val="ListParagraph"/>
        <w:jc w:val="both"/>
        <w:rPr>
          <w:rFonts w:ascii="Book Antiqua" w:hAnsi="Book Antiqua"/>
        </w:rPr>
      </w:pPr>
      <w:r>
        <w:rPr>
          <w:rFonts w:ascii="Book Antiqua" w:hAnsi="Book Antiqua"/>
        </w:rPr>
        <w:t>En el marco de la misma</w:t>
      </w:r>
      <w:r w:rsidR="009F1888">
        <w:rPr>
          <w:rFonts w:ascii="Book Antiqua" w:hAnsi="Book Antiqua"/>
        </w:rPr>
        <w:t>,</w:t>
      </w:r>
      <w:r>
        <w:rPr>
          <w:rFonts w:ascii="Book Antiqua" w:hAnsi="Book Antiqua"/>
        </w:rPr>
        <w:t xml:space="preserve"> ley</w:t>
      </w:r>
      <w:r w:rsidR="00AC1FF6" w:rsidRPr="00AC1FF6">
        <w:rPr>
          <w:rFonts w:ascii="Book Antiqua" w:hAnsi="Book Antiqua"/>
        </w:rPr>
        <w:t xml:space="preserve"> N° 20.255 estableció el Bono por Hijo, el cual es un beneficio que incrementa el monto de la pensión de la mujer a través de la entrega de una bonificación por cada hijo nacido vivo o adoptado; éste no se paga al momento del nacimiento del hijo, sino que junto a su pensión. El beneficio se genera tanto para la madre biológica como para la madre adoptiva.</w:t>
      </w:r>
    </w:p>
    <w:p w14:paraId="370728C7" w14:textId="420CE788" w:rsidR="00C64E0C" w:rsidRDefault="00AC1FF6" w:rsidP="00AC1FF6">
      <w:pPr>
        <w:pStyle w:val="ListParagraph"/>
        <w:numPr>
          <w:ilvl w:val="0"/>
          <w:numId w:val="27"/>
        </w:numPr>
        <w:jc w:val="both"/>
        <w:rPr>
          <w:rFonts w:ascii="Book Antiqua" w:hAnsi="Book Antiqua"/>
        </w:rPr>
      </w:pPr>
      <w:r w:rsidRPr="00C64E0C">
        <w:rPr>
          <w:rFonts w:ascii="Book Antiqua" w:hAnsi="Book Antiqua"/>
        </w:rPr>
        <w:t>Chile Cuida, Sistem</w:t>
      </w:r>
      <w:r w:rsidR="00C64E0C" w:rsidRPr="00C64E0C">
        <w:rPr>
          <w:rFonts w:ascii="Book Antiqua" w:hAnsi="Book Antiqua"/>
        </w:rPr>
        <w:t xml:space="preserve">a Nacional de Apoyos y Cuidados: </w:t>
      </w:r>
      <w:r w:rsidRPr="00C64E0C">
        <w:rPr>
          <w:rFonts w:ascii="Book Antiqua" w:hAnsi="Book Antiqua"/>
        </w:rPr>
        <w:t>Otra medida importante</w:t>
      </w:r>
      <w:r w:rsidR="009F1888">
        <w:rPr>
          <w:rFonts w:ascii="Book Antiqua" w:hAnsi="Book Antiqua"/>
        </w:rPr>
        <w:t xml:space="preserve"> </w:t>
      </w:r>
      <w:r w:rsidRPr="00C64E0C">
        <w:rPr>
          <w:rFonts w:ascii="Book Antiqua" w:hAnsi="Book Antiqua"/>
        </w:rPr>
        <w:t>es el desarrollo de Chile Cuida -Sistema Nacional de Apoyos y Cuidados- que forma parte del Sistema de Protección Social del Estado y tiene como misión acompañar y apoyar</w:t>
      </w:r>
      <w:r w:rsidR="009F1888">
        <w:rPr>
          <w:rFonts w:ascii="Book Antiqua" w:hAnsi="Book Antiqua"/>
        </w:rPr>
        <w:t>,</w:t>
      </w:r>
      <w:r w:rsidRPr="00C64E0C">
        <w:rPr>
          <w:rFonts w:ascii="Book Antiqua" w:hAnsi="Book Antiqua"/>
        </w:rPr>
        <w:t xml:space="preserve"> a través de diferentes servicios</w:t>
      </w:r>
      <w:r w:rsidR="009F1888">
        <w:rPr>
          <w:rFonts w:ascii="Book Antiqua" w:hAnsi="Book Antiqua"/>
        </w:rPr>
        <w:t>,</w:t>
      </w:r>
      <w:r w:rsidRPr="00C64E0C">
        <w:rPr>
          <w:rFonts w:ascii="Book Antiqua" w:hAnsi="Book Antiqua"/>
        </w:rPr>
        <w:t xml:space="preserve"> a las personas en situación dependencia, sus cuidadores y cuidadoras, sus hogares y su red de apoyo. Va dirigido a los hogares más vulnerables del país y que presenten un integrante en situación de dependencia. La población beneficiaria es: personas de 60 años y más en situación de dependencia; los niños, niñas y adulto</w:t>
      </w:r>
      <w:r w:rsidR="00C64E0C">
        <w:rPr>
          <w:rFonts w:ascii="Book Antiqua" w:hAnsi="Book Antiqua"/>
        </w:rPr>
        <w:t>s en situación de dependencia y</w:t>
      </w:r>
      <w:r w:rsidRPr="00C64E0C">
        <w:rPr>
          <w:rFonts w:ascii="Book Antiqua" w:hAnsi="Book Antiqua"/>
        </w:rPr>
        <w:t xml:space="preserve"> </w:t>
      </w:r>
      <w:r w:rsidR="009F1888">
        <w:rPr>
          <w:rFonts w:ascii="Book Antiqua" w:hAnsi="Book Antiqua"/>
        </w:rPr>
        <w:t xml:space="preserve">sus </w:t>
      </w:r>
      <w:r w:rsidRPr="00C64E0C">
        <w:rPr>
          <w:rFonts w:ascii="Book Antiqua" w:hAnsi="Book Antiqua"/>
        </w:rPr>
        <w:t xml:space="preserve">cuidadores y cuidadoras. </w:t>
      </w:r>
    </w:p>
    <w:p w14:paraId="1FB86799" w14:textId="726296DE" w:rsidR="00C64E0C" w:rsidRDefault="00AC1FF6" w:rsidP="00C64E0C">
      <w:pPr>
        <w:pStyle w:val="ListParagraph"/>
        <w:jc w:val="both"/>
        <w:rPr>
          <w:rFonts w:ascii="Book Antiqua" w:hAnsi="Book Antiqua"/>
        </w:rPr>
      </w:pPr>
      <w:r w:rsidRPr="00C64E0C">
        <w:rPr>
          <w:rFonts w:ascii="Book Antiqua" w:hAnsi="Book Antiqua"/>
        </w:rPr>
        <w:lastRenderedPageBreak/>
        <w:t xml:space="preserve">El apoyo a </w:t>
      </w:r>
      <w:r w:rsidR="00C64E0C" w:rsidRPr="00C64E0C">
        <w:rPr>
          <w:rFonts w:ascii="Book Antiqua" w:hAnsi="Book Antiqua"/>
        </w:rPr>
        <w:t>los cuidadores</w:t>
      </w:r>
      <w:r w:rsidRPr="00C64E0C">
        <w:rPr>
          <w:rFonts w:ascii="Book Antiqua" w:hAnsi="Book Antiqua"/>
        </w:rPr>
        <w:t xml:space="preserve"> cobra especial relevancia, dado que las mujeres son las que ejercen estas labores, muchas veces en condiciones de gran precariedad. El programa se encarga de entregar un espacio de respiro a las labores de cuidados, dando la posibilidad de </w:t>
      </w:r>
      <w:r w:rsidR="00C64E0C" w:rsidRPr="00C64E0C">
        <w:rPr>
          <w:rFonts w:ascii="Book Antiqua" w:hAnsi="Book Antiqua"/>
        </w:rPr>
        <w:t>descanso</w:t>
      </w:r>
      <w:r w:rsidR="00E80368">
        <w:rPr>
          <w:rStyle w:val="FootnoteReference"/>
          <w:rFonts w:ascii="Book Antiqua" w:hAnsi="Book Antiqua"/>
        </w:rPr>
        <w:footnoteReference w:id="4"/>
      </w:r>
      <w:r w:rsidR="00C64E0C" w:rsidRPr="00C64E0C">
        <w:rPr>
          <w:rFonts w:ascii="Book Antiqua" w:hAnsi="Book Antiqua"/>
        </w:rPr>
        <w:t>.</w:t>
      </w:r>
    </w:p>
    <w:p w14:paraId="30A1DD8A" w14:textId="77777777" w:rsidR="00C64E0C" w:rsidRDefault="00C64E0C" w:rsidP="00AC1FF6">
      <w:pPr>
        <w:pStyle w:val="ListParagraph"/>
        <w:numPr>
          <w:ilvl w:val="0"/>
          <w:numId w:val="27"/>
        </w:numPr>
        <w:jc w:val="both"/>
        <w:rPr>
          <w:rFonts w:ascii="Book Antiqua" w:hAnsi="Book Antiqua"/>
        </w:rPr>
      </w:pPr>
      <w:r w:rsidRPr="00C64E0C">
        <w:rPr>
          <w:rFonts w:ascii="Book Antiqua" w:hAnsi="Book Antiqua"/>
        </w:rPr>
        <w:t xml:space="preserve">Promoción del Empleo: </w:t>
      </w:r>
      <w:r w:rsidR="00AC1FF6" w:rsidRPr="00C64E0C">
        <w:rPr>
          <w:rFonts w:ascii="Book Antiqua" w:hAnsi="Book Antiqua"/>
        </w:rPr>
        <w:t xml:space="preserve">El Ministerio de Trabajo y Previsión Social, a través del Servicio Nacional de Capacitación y Empleo (SENCE), promueve la contratación de adultos mayores y su formación al interior de las empresas. El programa se denomina Experiencia Mayor y considera una bonificación, por cada persona contratada, del 60% del ingreso mínimo mensual durante los primeros 6 meses de contrato, y un 20% del ingreso mínimo mensual los siguientes 6 meses. Las empresas además pueden optar a una contribución por el costo de capacitación por un monto de hasta $400.000. El beneficio no va directamente a la persona mayor, se trata más bien de un incentivo a las empresas para su contratación. </w:t>
      </w:r>
    </w:p>
    <w:p w14:paraId="33BB95C1" w14:textId="77777777" w:rsidR="00C64E0C" w:rsidRDefault="00AC1FF6" w:rsidP="00AC1FF6">
      <w:pPr>
        <w:pStyle w:val="ListParagraph"/>
        <w:numPr>
          <w:ilvl w:val="0"/>
          <w:numId w:val="27"/>
        </w:numPr>
        <w:jc w:val="both"/>
        <w:rPr>
          <w:rFonts w:ascii="Book Antiqua" w:hAnsi="Book Antiqua"/>
        </w:rPr>
      </w:pPr>
      <w:r w:rsidRPr="00C64E0C">
        <w:rPr>
          <w:rFonts w:ascii="Book Antiqua" w:hAnsi="Book Antiqua"/>
        </w:rPr>
        <w:t xml:space="preserve">Acciones de Prevención y Atención en </w:t>
      </w:r>
      <w:r w:rsidR="00C64E0C" w:rsidRPr="00C64E0C">
        <w:rPr>
          <w:rFonts w:ascii="Book Antiqua" w:hAnsi="Book Antiqua"/>
        </w:rPr>
        <w:t>Violencia:</w:t>
      </w:r>
      <w:r w:rsidR="00C64E0C">
        <w:rPr>
          <w:rFonts w:ascii="Book Antiqua" w:hAnsi="Book Antiqua"/>
        </w:rPr>
        <w:t xml:space="preserve"> </w:t>
      </w:r>
      <w:r w:rsidRPr="00C64E0C">
        <w:rPr>
          <w:rFonts w:ascii="Book Antiqua" w:hAnsi="Book Antiqua"/>
        </w:rPr>
        <w:t>El Servicio Nacional de la Mujer y la Equidad de Género, cuenta con programas para la atención de violencia contra las mujeres. Las Casas de Acogida del Servicio Nacional de la Mujer y Equidad de Género (</w:t>
      </w:r>
      <w:proofErr w:type="spellStart"/>
      <w:r w:rsidRPr="00C64E0C">
        <w:rPr>
          <w:rFonts w:ascii="Book Antiqua" w:hAnsi="Book Antiqua"/>
        </w:rPr>
        <w:t>SernamEG</w:t>
      </w:r>
      <w:proofErr w:type="spellEnd"/>
      <w:r w:rsidRPr="00C64E0C">
        <w:rPr>
          <w:rFonts w:ascii="Book Antiqua" w:hAnsi="Book Antiqua"/>
        </w:rPr>
        <w:t xml:space="preserve">) son residencias que ofrecen protección temporal a las mujeres y sus hijas e hijos que se encuentran en situación de riesgo grave y/o vital por violencia de su pareja o ex pareja. Su acceso es gratuito y entregan un lugar de residencia transitoria, confidencial, segura y resguardada a las mujeres que viven en entornos de violencia grave, </w:t>
      </w:r>
      <w:proofErr w:type="gramStart"/>
      <w:r w:rsidRPr="00C64E0C">
        <w:rPr>
          <w:rFonts w:ascii="Book Antiqua" w:hAnsi="Book Antiqua"/>
        </w:rPr>
        <w:t>junto</w:t>
      </w:r>
      <w:proofErr w:type="gramEnd"/>
      <w:r w:rsidRPr="00C64E0C">
        <w:rPr>
          <w:rFonts w:ascii="Book Antiqua" w:hAnsi="Book Antiqua"/>
        </w:rPr>
        <w:t xml:space="preserve"> con brindarles atención legal y psicosocial. No existe tope de edad, solo edad mínima de ingreso (18 años) por lo tanto las mujeres mayores pueden acceder a estos servicios.</w:t>
      </w:r>
    </w:p>
    <w:p w14:paraId="4D3C58C7" w14:textId="77777777" w:rsidR="00C64E0C" w:rsidRDefault="00AC1FF6" w:rsidP="00C64E0C">
      <w:pPr>
        <w:pStyle w:val="ListParagraph"/>
        <w:jc w:val="both"/>
        <w:rPr>
          <w:rFonts w:ascii="Book Antiqua" w:hAnsi="Book Antiqua"/>
        </w:rPr>
      </w:pPr>
      <w:r w:rsidRPr="00C64E0C">
        <w:rPr>
          <w:rFonts w:ascii="Book Antiqua" w:hAnsi="Book Antiqua"/>
        </w:rPr>
        <w:t>También e</w:t>
      </w:r>
      <w:r w:rsidR="00C64E0C">
        <w:rPr>
          <w:rFonts w:ascii="Book Antiqua" w:hAnsi="Book Antiqua"/>
        </w:rPr>
        <w:t>xisten los Centros de la Mujer que o</w:t>
      </w:r>
      <w:r w:rsidRPr="00C64E0C">
        <w:rPr>
          <w:rFonts w:ascii="Book Antiqua" w:hAnsi="Book Antiqua"/>
        </w:rPr>
        <w:t>frecen orientación a las mujeres que viven violencias o hayan vivido algún tipo de violencia y a quienes son testigos de éstas. Además, aquellas que viven o han vivido esta situación, son apoyadas a través de atención psicológica, social y jurídica. La atención va dirigida a mujeres de 18 años o más que residan, estudien o trabajen en alguna de las comunas comprendidas en el territorio donde el centro focaliza su intervención. La intervención dura seis meses, aproximadamente. Este tiempo puede variar, dependiendo de las necesidades de cada mujer.</w:t>
      </w:r>
    </w:p>
    <w:p w14:paraId="53CE1D16" w14:textId="499C4F59" w:rsidR="00C64E0C" w:rsidRDefault="00AC1FF6" w:rsidP="00AC1FF6">
      <w:pPr>
        <w:pStyle w:val="ListParagraph"/>
        <w:numPr>
          <w:ilvl w:val="0"/>
          <w:numId w:val="27"/>
        </w:numPr>
        <w:jc w:val="both"/>
        <w:rPr>
          <w:rFonts w:ascii="Book Antiqua" w:hAnsi="Book Antiqua"/>
        </w:rPr>
      </w:pPr>
      <w:r w:rsidRPr="00AC1FF6">
        <w:rPr>
          <w:rFonts w:ascii="Book Antiqua" w:hAnsi="Book Antiqua"/>
        </w:rPr>
        <w:t>Acciones del Ser</w:t>
      </w:r>
      <w:r w:rsidR="00C64E0C">
        <w:rPr>
          <w:rFonts w:ascii="Book Antiqua" w:hAnsi="Book Antiqua"/>
        </w:rPr>
        <w:t>vicio Nacional del Adulto Mayor: p</w:t>
      </w:r>
      <w:r w:rsidRPr="00C64E0C">
        <w:rPr>
          <w:rFonts w:ascii="Book Antiqua" w:hAnsi="Book Antiqua"/>
        </w:rPr>
        <w:t xml:space="preserve">or su parte el Servicio Nacional del Adulto Mayor, ha realizado algunas acciones o iniciativas para prevenir la discriminación y promover los derechos de las mujeres mayores. </w:t>
      </w:r>
    </w:p>
    <w:p w14:paraId="1AFEB45A" w14:textId="02C40A58" w:rsidR="00C64E0C" w:rsidRDefault="00AC1FF6" w:rsidP="009050B8">
      <w:pPr>
        <w:pStyle w:val="ListParagraph"/>
        <w:numPr>
          <w:ilvl w:val="1"/>
          <w:numId w:val="27"/>
        </w:numPr>
        <w:jc w:val="both"/>
        <w:rPr>
          <w:rFonts w:ascii="Book Antiqua" w:hAnsi="Book Antiqua"/>
        </w:rPr>
      </w:pPr>
      <w:r w:rsidRPr="00C64E0C">
        <w:rPr>
          <w:rFonts w:ascii="Book Antiqua" w:hAnsi="Book Antiqua"/>
        </w:rPr>
        <w:t>Instancias de difusión y capacitación respect</w:t>
      </w:r>
      <w:r w:rsidR="00C64E0C">
        <w:rPr>
          <w:rFonts w:ascii="Book Antiqua" w:hAnsi="Book Antiqua"/>
        </w:rPr>
        <w:t xml:space="preserve">o del ámbito de género y vejez: </w:t>
      </w:r>
      <w:r w:rsidRPr="00C64E0C">
        <w:rPr>
          <w:rFonts w:ascii="Book Antiqua" w:hAnsi="Book Antiqua"/>
        </w:rPr>
        <w:t xml:space="preserve">Se observa un escaso conocimiento en el ámbito gerontológico y más aún en temas de vejez vinculadas a la perspectiva de género, que permitan hacer un análisis diferenciado para la intervención en el tema. Principalmente en los equipos profesionales que se </w:t>
      </w:r>
      <w:r w:rsidRPr="00C64E0C">
        <w:rPr>
          <w:rFonts w:ascii="Book Antiqua" w:hAnsi="Book Antiqua"/>
        </w:rPr>
        <w:lastRenderedPageBreak/>
        <w:t>desempeñan en los organismos operadores que ejecutan los programas de SENAMA, así como en funcionarios de la Institución.</w:t>
      </w:r>
    </w:p>
    <w:p w14:paraId="3AE6DD1E" w14:textId="35CD7F60" w:rsidR="00C64E0C" w:rsidRDefault="00AC1FF6" w:rsidP="009050B8">
      <w:pPr>
        <w:pStyle w:val="ListParagraph"/>
        <w:ind w:left="1418"/>
        <w:jc w:val="both"/>
        <w:rPr>
          <w:rFonts w:ascii="Book Antiqua" w:hAnsi="Book Antiqua"/>
        </w:rPr>
      </w:pPr>
      <w:r w:rsidRPr="00C64E0C">
        <w:rPr>
          <w:rFonts w:ascii="Book Antiqua" w:hAnsi="Book Antiqua"/>
        </w:rPr>
        <w:t>Por esta razón, en los últimos 5 años se han priorizado acciones de capacitación a funcionarios/as y profesionales que se desempeñan tanto en la institución como en los organismos externos que ejecutan los programas de SENAMA. Estas se han realizado con coberturas diferenciadas de acuerdo a recursos disponibles. Desde el 2014 a la fecha</w:t>
      </w:r>
      <w:r w:rsidR="009050B8">
        <w:rPr>
          <w:rFonts w:ascii="Book Antiqua" w:hAnsi="Book Antiqua"/>
        </w:rPr>
        <w:t>,</w:t>
      </w:r>
      <w:r w:rsidRPr="00C64E0C">
        <w:rPr>
          <w:rFonts w:ascii="Book Antiqua" w:hAnsi="Book Antiqua"/>
        </w:rPr>
        <w:t xml:space="preserve"> se ha capacitado a número aproximado de 448 personas, ya sea en el desarrollo de módulos específicos para diplomados, realización de capacitaciones presenciales, visitas a terreno, entre otras.  Destaca un Diplomado en Gerontología Social con Enfoque de Género dirigido a 190 personas.  </w:t>
      </w:r>
    </w:p>
    <w:p w14:paraId="616487DB" w14:textId="77777777" w:rsidR="00C64E0C" w:rsidRDefault="00AC1FF6" w:rsidP="009050B8">
      <w:pPr>
        <w:pStyle w:val="ListParagraph"/>
        <w:ind w:left="1418"/>
        <w:jc w:val="both"/>
        <w:rPr>
          <w:rFonts w:ascii="Book Antiqua" w:hAnsi="Book Antiqua"/>
        </w:rPr>
      </w:pPr>
      <w:r w:rsidRPr="00AC1FF6">
        <w:rPr>
          <w:rFonts w:ascii="Book Antiqua" w:hAnsi="Book Antiqua"/>
        </w:rPr>
        <w:t xml:space="preserve">Estos esfuerzos deben continuar y potenciarse, </w:t>
      </w:r>
      <w:r w:rsidR="00C64E0C" w:rsidRPr="00AC1FF6">
        <w:rPr>
          <w:rFonts w:ascii="Book Antiqua" w:hAnsi="Book Antiqua"/>
        </w:rPr>
        <w:t>ya que,</w:t>
      </w:r>
      <w:r w:rsidRPr="00AC1FF6">
        <w:rPr>
          <w:rFonts w:ascii="Book Antiqua" w:hAnsi="Book Antiqua"/>
        </w:rPr>
        <w:t xml:space="preserve"> a pesar de los avances, se requiere mayor cobertura de las capacitaciones.</w:t>
      </w:r>
    </w:p>
    <w:p w14:paraId="03838C99" w14:textId="58CEFAF0" w:rsidR="00C64E0C" w:rsidRDefault="00AC1FF6" w:rsidP="009050B8">
      <w:pPr>
        <w:pStyle w:val="ListParagraph"/>
        <w:numPr>
          <w:ilvl w:val="1"/>
          <w:numId w:val="27"/>
        </w:numPr>
        <w:jc w:val="both"/>
        <w:rPr>
          <w:rFonts w:ascii="Book Antiqua" w:hAnsi="Book Antiqua"/>
        </w:rPr>
      </w:pPr>
      <w:r w:rsidRPr="00AC1FF6">
        <w:rPr>
          <w:rFonts w:ascii="Book Antiqua" w:hAnsi="Book Antiqua"/>
        </w:rPr>
        <w:t>Acciones de Prevención en V</w:t>
      </w:r>
      <w:r w:rsidR="00C64E0C">
        <w:rPr>
          <w:rFonts w:ascii="Book Antiqua" w:hAnsi="Book Antiqua"/>
        </w:rPr>
        <w:t xml:space="preserve">iolencia hacia Mujeres Mayores: </w:t>
      </w:r>
      <w:r w:rsidRPr="00C64E0C">
        <w:rPr>
          <w:rFonts w:ascii="Book Antiqua" w:hAnsi="Book Antiqua"/>
        </w:rPr>
        <w:t xml:space="preserve">Por medio del Programa Buen Trato a los Adultos Mayores de SENAMA, se han complementado acciones que permiten el desarrollo de iniciativas en el ámbito de la prevención. Es así </w:t>
      </w:r>
      <w:r w:rsidR="00C64E0C" w:rsidRPr="00C64E0C">
        <w:rPr>
          <w:rFonts w:ascii="Book Antiqua" w:hAnsi="Book Antiqua"/>
        </w:rPr>
        <w:t>que,</w:t>
      </w:r>
      <w:r w:rsidRPr="00C64E0C">
        <w:rPr>
          <w:rFonts w:ascii="Book Antiqua" w:hAnsi="Book Antiqua"/>
        </w:rPr>
        <w:t xml:space="preserve"> en el año 2015, se desarrolló un trabajo de prevención en violencia a través de la sensibilización so</w:t>
      </w:r>
      <w:r w:rsidR="00C64E0C">
        <w:rPr>
          <w:rFonts w:ascii="Book Antiqua" w:hAnsi="Book Antiqua"/>
        </w:rPr>
        <w:t xml:space="preserve">bre estereotipos e inequidades </w:t>
      </w:r>
      <w:r w:rsidRPr="00C64E0C">
        <w:rPr>
          <w:rFonts w:ascii="Book Antiqua" w:hAnsi="Book Antiqua"/>
        </w:rPr>
        <w:t xml:space="preserve">de género que afecten tanto a hombres como a mujeres. </w:t>
      </w:r>
    </w:p>
    <w:p w14:paraId="38F7689D" w14:textId="77777777" w:rsidR="00C64E0C" w:rsidRDefault="00AC1FF6" w:rsidP="009050B8">
      <w:pPr>
        <w:pStyle w:val="ListParagraph"/>
        <w:ind w:left="1429"/>
        <w:jc w:val="both"/>
        <w:rPr>
          <w:rFonts w:ascii="Book Antiqua" w:hAnsi="Book Antiqua"/>
        </w:rPr>
      </w:pPr>
      <w:r w:rsidRPr="00C64E0C">
        <w:rPr>
          <w:rFonts w:ascii="Book Antiqua" w:hAnsi="Book Antiqua"/>
        </w:rPr>
        <w:t xml:space="preserve">Este trabajo se llevó a cabo con profesionales y funcionarios de atención directa de las redes locales, como la Corporación de Asistencia Judicial, organismos de orden y seguridad, Centros de Salud de Atención Primaria, Municipios, entre otras. Se desarrolló a nivel provincial en distintas regiones del país, a través de mesas de trabajo, donde mediante la elaboración de material y metodologías, se reflexionó sobre cómo inciden estereotipos arraigados en los propios profesionales al momento de realizar la intervención con personas mayores, tanto en mujeres como hombres, así como la imagen negativa de la vejez, en la vulneración de derechos de este grupo. </w:t>
      </w:r>
    </w:p>
    <w:p w14:paraId="78C88438" w14:textId="77777777" w:rsidR="009050B8" w:rsidRDefault="00AC1FF6" w:rsidP="009050B8">
      <w:pPr>
        <w:pStyle w:val="ListParagraph"/>
        <w:ind w:left="1429"/>
        <w:jc w:val="both"/>
        <w:rPr>
          <w:rFonts w:ascii="Book Antiqua" w:hAnsi="Book Antiqua"/>
        </w:rPr>
      </w:pPr>
      <w:r w:rsidRPr="00AC1FF6">
        <w:rPr>
          <w:rFonts w:ascii="Book Antiqua" w:hAnsi="Book Antiqua"/>
        </w:rPr>
        <w:t xml:space="preserve">Una segunda medida fue fortalecer los lineamientos de atención de personas mayores víctimas de maltrato del programa Buen trato al Adulto Mayor, las que son principalmente mujeres, por medio de la elaboración de un protocolo específico para la orientación y derivación oportuna de víctimas de violencia intrafamiliar o maltrato, con perspectiva de género. Su continuidad se respalda a través de la formalización interna de dicho protocolo.  </w:t>
      </w:r>
    </w:p>
    <w:p w14:paraId="3882C048" w14:textId="61579A54" w:rsidR="00C64E0C" w:rsidRDefault="00AC1FF6" w:rsidP="009050B8">
      <w:pPr>
        <w:pStyle w:val="ListParagraph"/>
        <w:numPr>
          <w:ilvl w:val="1"/>
          <w:numId w:val="27"/>
        </w:numPr>
        <w:jc w:val="both"/>
        <w:rPr>
          <w:rFonts w:ascii="Book Antiqua" w:hAnsi="Book Antiqua"/>
        </w:rPr>
      </w:pPr>
      <w:r w:rsidRPr="00C64E0C">
        <w:rPr>
          <w:rFonts w:ascii="Book Antiqua" w:hAnsi="Book Antiqua"/>
        </w:rPr>
        <w:t>Adecuación en el</w:t>
      </w:r>
      <w:r w:rsidR="00C64E0C">
        <w:rPr>
          <w:rFonts w:ascii="Book Antiqua" w:hAnsi="Book Antiqua"/>
        </w:rPr>
        <w:t xml:space="preserve"> diseño de oferta programática: </w:t>
      </w:r>
      <w:r w:rsidRPr="00C64E0C">
        <w:rPr>
          <w:rFonts w:ascii="Book Antiqua" w:hAnsi="Book Antiqua"/>
        </w:rPr>
        <w:t xml:space="preserve">SENAMA ha realizado de manera paulatina y de acuerdo a la pertinencia correspondiente, ajustes metodológicos de los programas en el diseño y posteriormente en las orientaciones técnicas de los mismos, desarrollando medidas que permitan implementar el enfoque de género, logrando identificar particularidades en la intervención que se adecuen a vivencias propias de mujeres mayores. </w:t>
      </w:r>
    </w:p>
    <w:p w14:paraId="7D0C782E" w14:textId="77777777" w:rsidR="00C64E0C" w:rsidRDefault="00AC1FF6" w:rsidP="00AC1FF6">
      <w:pPr>
        <w:pStyle w:val="ListParagraph"/>
        <w:numPr>
          <w:ilvl w:val="1"/>
          <w:numId w:val="27"/>
        </w:numPr>
        <w:jc w:val="both"/>
        <w:rPr>
          <w:rFonts w:ascii="Book Antiqua" w:hAnsi="Book Antiqua"/>
        </w:rPr>
      </w:pPr>
      <w:r w:rsidRPr="00C64E0C">
        <w:rPr>
          <w:rFonts w:ascii="Book Antiqua" w:hAnsi="Book Antiqua"/>
        </w:rPr>
        <w:t xml:space="preserve">Una acción que destaca es la realizada en el Fondo Nacional del Adulto Mayor, componente </w:t>
      </w:r>
      <w:proofErr w:type="spellStart"/>
      <w:r w:rsidRPr="00C64E0C">
        <w:rPr>
          <w:rFonts w:ascii="Book Antiqua" w:hAnsi="Book Antiqua"/>
        </w:rPr>
        <w:t>Autogestionado</w:t>
      </w:r>
      <w:proofErr w:type="spellEnd"/>
      <w:r w:rsidRPr="00C64E0C">
        <w:rPr>
          <w:rFonts w:ascii="Book Antiqua" w:hAnsi="Book Antiqua"/>
        </w:rPr>
        <w:t xml:space="preserve">, fondo </w:t>
      </w:r>
      <w:proofErr w:type="spellStart"/>
      <w:r w:rsidRPr="00C64E0C">
        <w:rPr>
          <w:rFonts w:ascii="Book Antiqua" w:hAnsi="Book Antiqua"/>
        </w:rPr>
        <w:t>concursable</w:t>
      </w:r>
      <w:proofErr w:type="spellEnd"/>
      <w:r w:rsidRPr="00C64E0C">
        <w:rPr>
          <w:rFonts w:ascii="Book Antiqua" w:hAnsi="Book Antiqua"/>
        </w:rPr>
        <w:t xml:space="preserve"> dirigido a financiar proyectos presentados por organizaciones de personas mayores. Esta acción promueve mediante bonificación de puntaje extra a aquellas organizaciones de personas mayores compuestas en su mayoría por mujeres, que postulan a proyectos de actividades productivas, con el fin de impulsar el desarrollo de acciones productivas que generen capacidades en las personas. Para garantizar su continuidad se dejó establecido en las bases </w:t>
      </w:r>
      <w:proofErr w:type="spellStart"/>
      <w:r w:rsidRPr="00C64E0C">
        <w:rPr>
          <w:rFonts w:ascii="Book Antiqua" w:hAnsi="Book Antiqua"/>
        </w:rPr>
        <w:t>concursables</w:t>
      </w:r>
      <w:proofErr w:type="spellEnd"/>
      <w:r w:rsidRPr="00C64E0C">
        <w:rPr>
          <w:rFonts w:ascii="Book Antiqua" w:hAnsi="Book Antiqua"/>
        </w:rPr>
        <w:t xml:space="preserve">. </w:t>
      </w:r>
    </w:p>
    <w:p w14:paraId="46FC9169" w14:textId="77777777" w:rsidR="009050B8" w:rsidRDefault="00AC1FF6" w:rsidP="00AC1FF6">
      <w:pPr>
        <w:pStyle w:val="ListParagraph"/>
        <w:numPr>
          <w:ilvl w:val="1"/>
          <w:numId w:val="27"/>
        </w:numPr>
        <w:jc w:val="both"/>
        <w:rPr>
          <w:rFonts w:ascii="Book Antiqua" w:hAnsi="Book Antiqua"/>
        </w:rPr>
      </w:pPr>
      <w:r w:rsidRPr="00C64E0C">
        <w:rPr>
          <w:rFonts w:ascii="Book Antiqua" w:hAnsi="Book Antiqua"/>
        </w:rPr>
        <w:t>Otra acción relevante es haber contribuido a que el Programa Cuidados Domiciliarios, donde se desempeña un importante número de cuidadoras en los domicilios de las personas, pasaron de recibir un aporte voluntario por los cuidados entregados en los domicilios a una remuneración que revalorice la acción del cuidado delimitado tradicionalmente a las mujeres</w:t>
      </w:r>
      <w:r w:rsidR="00E80368">
        <w:rPr>
          <w:rStyle w:val="FootnoteReference"/>
          <w:rFonts w:ascii="Book Antiqua" w:hAnsi="Book Antiqua"/>
        </w:rPr>
        <w:footnoteReference w:id="5"/>
      </w:r>
      <w:r w:rsidRPr="00C64E0C">
        <w:rPr>
          <w:rFonts w:ascii="Book Antiqua" w:hAnsi="Book Antiqua"/>
        </w:rPr>
        <w:t xml:space="preserve">.  </w:t>
      </w:r>
    </w:p>
    <w:p w14:paraId="78F4E56F" w14:textId="7A090472" w:rsidR="00AC1FF6" w:rsidRPr="009050B8" w:rsidRDefault="00AC1FF6" w:rsidP="009050B8">
      <w:pPr>
        <w:pStyle w:val="ListParagraph"/>
        <w:ind w:left="1440"/>
        <w:jc w:val="both"/>
        <w:rPr>
          <w:rFonts w:ascii="Book Antiqua" w:hAnsi="Book Antiqua"/>
        </w:rPr>
      </w:pPr>
      <w:r w:rsidRPr="009050B8">
        <w:rPr>
          <w:rFonts w:ascii="Book Antiqua" w:hAnsi="Book Antiqua"/>
        </w:rPr>
        <w:t>Lo anterior</w:t>
      </w:r>
      <w:r w:rsidR="009050B8" w:rsidRPr="009050B8">
        <w:rPr>
          <w:rFonts w:ascii="Book Antiqua" w:hAnsi="Book Antiqua"/>
        </w:rPr>
        <w:t>,</w:t>
      </w:r>
      <w:r w:rsidRPr="009050B8">
        <w:rPr>
          <w:rFonts w:ascii="Book Antiqua" w:hAnsi="Book Antiqua"/>
        </w:rPr>
        <w:t xml:space="preserve"> por una parte contribuye a disminuir las inequidades y brechas vinculadas a las labores de cuidado de las mujeres y por otra, a generar servicios de apoyos y cuidados a adultos y adultas mayores que lo requieren.  Por otro lado, permite que mujeres de diversas edades se desempeñen como cuidadoras con un salario y contrato. Esto le da mayor valor a la función de cuidado reconociendo la trayectoria de las vidas de quienes lo realizan y la imagen social de este quehacer vital para la mantención de las sociedades.</w:t>
      </w:r>
    </w:p>
    <w:p w14:paraId="4071CC26" w14:textId="09703BE6" w:rsidR="00C64E0C" w:rsidRDefault="00C64E0C" w:rsidP="00C64E0C">
      <w:pPr>
        <w:spacing w:line="360" w:lineRule="auto"/>
        <w:jc w:val="both"/>
        <w:rPr>
          <w:rFonts w:ascii="Book Antiqua" w:hAnsi="Book Antiqua"/>
          <w:i/>
          <w:sz w:val="24"/>
          <w:szCs w:val="24"/>
        </w:rPr>
      </w:pPr>
      <w:r w:rsidRPr="00C64E0C">
        <w:rPr>
          <w:rFonts w:ascii="Book Antiqua" w:hAnsi="Book Antiqua"/>
          <w:i/>
          <w:sz w:val="24"/>
          <w:szCs w:val="24"/>
        </w:rPr>
        <w:t>2. ¿Qué tipo de datos e</w:t>
      </w:r>
      <w:r>
        <w:rPr>
          <w:rFonts w:ascii="Book Antiqua" w:hAnsi="Book Antiqua"/>
          <w:i/>
          <w:sz w:val="24"/>
          <w:szCs w:val="24"/>
        </w:rPr>
        <w:t>stadísticos se reúnen sobre las</w:t>
      </w:r>
      <w:r w:rsidRPr="00C64E0C">
        <w:rPr>
          <w:rFonts w:ascii="Book Antiqua" w:hAnsi="Book Antiqua"/>
          <w:i/>
          <w:sz w:val="24"/>
          <w:szCs w:val="24"/>
        </w:rPr>
        <w:t xml:space="preserve"> mujeres de edad, de haberlos, y se desglosan por edad, género y otros factores pertinentes? ¿Cómo se definen las mujeres de edad a los efectos de la l</w:t>
      </w:r>
      <w:r>
        <w:rPr>
          <w:rFonts w:ascii="Book Antiqua" w:hAnsi="Book Antiqua"/>
          <w:i/>
          <w:sz w:val="24"/>
          <w:szCs w:val="24"/>
        </w:rPr>
        <w:t xml:space="preserve">egislación, las políticas y la </w:t>
      </w:r>
      <w:r w:rsidRPr="00C64E0C">
        <w:rPr>
          <w:rFonts w:ascii="Book Antiqua" w:hAnsi="Book Antiqua"/>
          <w:i/>
          <w:sz w:val="24"/>
          <w:szCs w:val="24"/>
        </w:rPr>
        <w:t>reunión de datos?</w:t>
      </w:r>
    </w:p>
    <w:p w14:paraId="374F6F9C" w14:textId="77777777" w:rsidR="00C64E0C" w:rsidRPr="00C64E0C" w:rsidRDefault="00C64E0C" w:rsidP="009050B8">
      <w:pPr>
        <w:spacing w:after="0"/>
        <w:jc w:val="both"/>
        <w:rPr>
          <w:rFonts w:ascii="Book Antiqua" w:hAnsi="Book Antiqua"/>
        </w:rPr>
      </w:pPr>
      <w:r w:rsidRPr="00C64E0C">
        <w:rPr>
          <w:rFonts w:ascii="Book Antiqua" w:hAnsi="Book Antiqua"/>
        </w:rPr>
        <w:t xml:space="preserve">La Ley Nº 19.828 que crea el Servicio Nacional del Adulto Mayores, define como adulto mayor a </w:t>
      </w:r>
      <w:r w:rsidRPr="00C64E0C">
        <w:rPr>
          <w:rFonts w:ascii="Book Antiqua" w:hAnsi="Book Antiqua"/>
          <w:i/>
        </w:rPr>
        <w:t>toda persona que ha cumplido los 60 años, sin diferencia entre hombres y mujeres</w:t>
      </w:r>
      <w:r w:rsidRPr="00C64E0C">
        <w:rPr>
          <w:rFonts w:ascii="Book Antiqua" w:hAnsi="Book Antiqua"/>
        </w:rPr>
        <w:t xml:space="preserve">. </w:t>
      </w:r>
    </w:p>
    <w:p w14:paraId="7D7990BB" w14:textId="77777777" w:rsidR="00C64E0C" w:rsidRPr="00C64E0C" w:rsidRDefault="00C64E0C" w:rsidP="009050B8">
      <w:pPr>
        <w:spacing w:after="0"/>
        <w:jc w:val="both"/>
        <w:rPr>
          <w:rFonts w:ascii="Book Antiqua" w:hAnsi="Book Antiqua"/>
        </w:rPr>
      </w:pPr>
      <w:r w:rsidRPr="00C64E0C">
        <w:rPr>
          <w:rFonts w:ascii="Book Antiqua" w:hAnsi="Book Antiqua"/>
        </w:rPr>
        <w:t xml:space="preserve">De esta manera, la legislación vigente, las políticas y la reunión de datos atiende a esta definición etaria, con la salvedad de aspectos atingentes al Ministerio de Salud, que considera la adultez mayor a partir de los 65 años de edad. </w:t>
      </w:r>
    </w:p>
    <w:p w14:paraId="414F291A" w14:textId="33792004" w:rsidR="00C64E0C" w:rsidRPr="00C64E0C" w:rsidRDefault="00C64E0C" w:rsidP="009050B8">
      <w:pPr>
        <w:spacing w:after="0"/>
        <w:jc w:val="both"/>
        <w:rPr>
          <w:rFonts w:ascii="Book Antiqua" w:hAnsi="Book Antiqua"/>
        </w:rPr>
      </w:pPr>
      <w:r w:rsidRPr="00C64E0C">
        <w:rPr>
          <w:rFonts w:ascii="Book Antiqua" w:hAnsi="Book Antiqua"/>
        </w:rPr>
        <w:t>De esta forma, algunos de los datos estadísticos que se recopilan desagregados según sexo, dicen relación con los sig</w:t>
      </w:r>
      <w:r>
        <w:rPr>
          <w:rFonts w:ascii="Book Antiqua" w:hAnsi="Book Antiqua"/>
        </w:rPr>
        <w:t>uientes ámbitos de conocimiento:</w:t>
      </w:r>
    </w:p>
    <w:p w14:paraId="60959C89" w14:textId="052B91F9" w:rsidR="00C64E0C" w:rsidRDefault="00C64E0C" w:rsidP="00C64E0C">
      <w:pPr>
        <w:pStyle w:val="ListParagraph"/>
        <w:numPr>
          <w:ilvl w:val="0"/>
          <w:numId w:val="27"/>
        </w:numPr>
        <w:jc w:val="both"/>
        <w:rPr>
          <w:rFonts w:ascii="Book Antiqua" w:hAnsi="Book Antiqua"/>
        </w:rPr>
      </w:pPr>
      <w:r w:rsidRPr="00C64E0C">
        <w:rPr>
          <w:rFonts w:ascii="Book Antiqua" w:hAnsi="Book Antiqua"/>
        </w:rPr>
        <w:t>Proyecciones de población, realizadas por entidades supra-nacionales como la CEPAL y por Organismos del Estado, en Particular el Instituto Nacional de Estadísticas</w:t>
      </w:r>
      <w:r w:rsidR="00B54BB1">
        <w:rPr>
          <w:rFonts w:ascii="Book Antiqua" w:hAnsi="Book Antiqua"/>
        </w:rPr>
        <w:t xml:space="preserve"> (INE)</w:t>
      </w:r>
      <w:r w:rsidRPr="00C64E0C">
        <w:rPr>
          <w:rFonts w:ascii="Book Antiqua" w:hAnsi="Book Antiqua"/>
        </w:rPr>
        <w:t>.</w:t>
      </w:r>
    </w:p>
    <w:p w14:paraId="223AC96D" w14:textId="77777777" w:rsidR="00C64E0C" w:rsidRDefault="00C64E0C" w:rsidP="00C64E0C">
      <w:pPr>
        <w:pStyle w:val="ListParagraph"/>
        <w:numPr>
          <w:ilvl w:val="0"/>
          <w:numId w:val="27"/>
        </w:numPr>
        <w:jc w:val="both"/>
        <w:rPr>
          <w:rFonts w:ascii="Book Antiqua" w:hAnsi="Book Antiqua"/>
        </w:rPr>
      </w:pPr>
      <w:r w:rsidRPr="00C64E0C">
        <w:rPr>
          <w:rFonts w:ascii="Book Antiqua" w:hAnsi="Book Antiqua"/>
        </w:rPr>
        <w:t>Encuestas de Hogares para temas en particular. En otras, se encuentran las siguientes:</w:t>
      </w:r>
    </w:p>
    <w:p w14:paraId="17029F6F"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Discapacidad.</w:t>
      </w:r>
    </w:p>
    <w:p w14:paraId="6D2DA7F7"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Dependencia.</w:t>
      </w:r>
    </w:p>
    <w:p w14:paraId="0E768216"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Caracterización Socio-económica (Serie CASEN).</w:t>
      </w:r>
    </w:p>
    <w:p w14:paraId="44677CDE"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Encuestas de Salud (Encuesta Nacional de Salud y Encuesta de Calidad de Vida y Salud).</w:t>
      </w:r>
    </w:p>
    <w:p w14:paraId="461F9FE9"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Encuesta de Calidad de Vida en la Vejez.</w:t>
      </w:r>
    </w:p>
    <w:p w14:paraId="31B6AEB6" w14:textId="2A0888BF" w:rsidR="00C64E0C" w:rsidRDefault="00C64E0C" w:rsidP="00C64E0C">
      <w:pPr>
        <w:pStyle w:val="ListParagraph"/>
        <w:numPr>
          <w:ilvl w:val="1"/>
          <w:numId w:val="27"/>
        </w:numPr>
        <w:jc w:val="both"/>
        <w:rPr>
          <w:rFonts w:ascii="Book Antiqua" w:hAnsi="Book Antiqua"/>
        </w:rPr>
      </w:pPr>
      <w:r w:rsidRPr="00C64E0C">
        <w:rPr>
          <w:rFonts w:ascii="Book Antiqua" w:hAnsi="Book Antiqua"/>
        </w:rPr>
        <w:t>Encuesta de Inclusión y Exclusión Social de las Personas Mayores.</w:t>
      </w:r>
    </w:p>
    <w:p w14:paraId="2472BF83" w14:textId="25629686" w:rsidR="00C64E0C" w:rsidRDefault="00C64E0C" w:rsidP="00C64E0C">
      <w:pPr>
        <w:jc w:val="both"/>
        <w:rPr>
          <w:rFonts w:ascii="Book Antiqua" w:hAnsi="Book Antiqua"/>
          <w:i/>
          <w:sz w:val="24"/>
          <w:szCs w:val="24"/>
        </w:rPr>
      </w:pPr>
      <w:r w:rsidRPr="00C64E0C">
        <w:rPr>
          <w:rFonts w:ascii="Book Antiqua" w:hAnsi="Book Antiqua"/>
          <w:i/>
          <w:sz w:val="24"/>
          <w:szCs w:val="24"/>
        </w:rPr>
        <w:t>3.</w:t>
      </w:r>
      <w:r>
        <w:rPr>
          <w:rFonts w:ascii="Book Antiqua" w:hAnsi="Book Antiqua"/>
          <w:i/>
          <w:sz w:val="24"/>
          <w:szCs w:val="24"/>
        </w:rPr>
        <w:t xml:space="preserve"> </w:t>
      </w:r>
      <w:r w:rsidRPr="00C64E0C">
        <w:rPr>
          <w:rFonts w:ascii="Book Antiqua" w:hAnsi="Book Antiqua"/>
          <w:i/>
          <w:sz w:val="24"/>
          <w:szCs w:val="24"/>
        </w:rPr>
        <w:t>Sírvase indicar cómo participan las mujeres de edad en los mecanismos de participación.</w:t>
      </w:r>
    </w:p>
    <w:p w14:paraId="53FCFDBB" w14:textId="73954632" w:rsidR="00C64E0C" w:rsidRDefault="00C64E0C" w:rsidP="00C64E0C">
      <w:pPr>
        <w:ind w:hanging="2"/>
        <w:jc w:val="both"/>
        <w:rPr>
          <w:rFonts w:ascii="Book Antiqua" w:hAnsi="Book Antiqua"/>
        </w:rPr>
      </w:pPr>
      <w:r w:rsidRPr="00C64E0C">
        <w:rPr>
          <w:rFonts w:ascii="Book Antiqua" w:hAnsi="Book Antiqua"/>
        </w:rPr>
        <w:t xml:space="preserve">En el mecanismo de participación ciudadana Consejos de la Sociedad Civil, que en el caso particular del Servicio Nacional del Adulto Mayor corresponde a los Consejos Asesores Regionales de Mayores de las 16 regiones del país, la participación de mujeres mayores alcanza un 61% respecto del total nacional de Consejeros y Consejeras. De los 266 representantes legales de organizaciones de mayores que integran los Consejos, 162 son </w:t>
      </w:r>
      <w:proofErr w:type="spellStart"/>
      <w:r w:rsidRPr="00C64E0C">
        <w:rPr>
          <w:rFonts w:ascii="Book Antiqua" w:hAnsi="Book Antiqua"/>
        </w:rPr>
        <w:t>dirigentas</w:t>
      </w:r>
      <w:proofErr w:type="spellEnd"/>
      <w:r w:rsidRPr="00C64E0C">
        <w:rPr>
          <w:rFonts w:ascii="Book Antiqua" w:hAnsi="Book Antiqua"/>
        </w:rPr>
        <w:t xml:space="preserve"> mayores. Lo anterior, evidencia una participación activa y protagónica de mujeres mayores en instancias de participación ciudadana, lo que también se refleja en su participación en organizaciones de la sociedad civil, donde un 38,4% de las mujeres mayores participa en alguna organización, respecto del 31,7% de participación de hombres mayores (Casen 2017).</w:t>
      </w:r>
    </w:p>
    <w:p w14:paraId="40B2DE81" w14:textId="7D6E56F8" w:rsidR="00C64E0C" w:rsidRDefault="00C64E0C" w:rsidP="00C64E0C">
      <w:pPr>
        <w:ind w:hanging="2"/>
        <w:jc w:val="both"/>
        <w:rPr>
          <w:rFonts w:ascii="Book Antiqua" w:hAnsi="Book Antiqua"/>
          <w:b/>
          <w:sz w:val="24"/>
          <w:szCs w:val="24"/>
        </w:rPr>
      </w:pPr>
      <w:r>
        <w:rPr>
          <w:rFonts w:ascii="Book Antiqua" w:hAnsi="Book Antiqua"/>
          <w:b/>
          <w:sz w:val="24"/>
          <w:szCs w:val="24"/>
        </w:rPr>
        <w:t xml:space="preserve">Realidades </w:t>
      </w:r>
      <w:proofErr w:type="gramStart"/>
      <w:r>
        <w:rPr>
          <w:rFonts w:ascii="Book Antiqua" w:hAnsi="Book Antiqua"/>
          <w:b/>
          <w:sz w:val="24"/>
          <w:szCs w:val="24"/>
        </w:rPr>
        <w:t>económicos</w:t>
      </w:r>
      <w:proofErr w:type="gramEnd"/>
      <w:r>
        <w:rPr>
          <w:rFonts w:ascii="Book Antiqua" w:hAnsi="Book Antiqua"/>
          <w:b/>
          <w:sz w:val="24"/>
          <w:szCs w:val="24"/>
        </w:rPr>
        <w:t>, sociales y culturales que viven las mujeres de edad</w:t>
      </w:r>
    </w:p>
    <w:p w14:paraId="0D0B63F4" w14:textId="11EB1BE9" w:rsidR="00C64E0C" w:rsidRDefault="00C64E0C" w:rsidP="00B54BB1">
      <w:pPr>
        <w:spacing w:after="0" w:line="360" w:lineRule="auto"/>
        <w:jc w:val="both"/>
        <w:rPr>
          <w:rFonts w:ascii="Book Antiqua" w:hAnsi="Book Antiqua"/>
          <w:i/>
          <w:sz w:val="24"/>
          <w:szCs w:val="24"/>
        </w:rPr>
      </w:pPr>
      <w:r>
        <w:rPr>
          <w:rFonts w:ascii="Book Antiqua" w:hAnsi="Book Antiqua"/>
          <w:i/>
          <w:sz w:val="24"/>
          <w:szCs w:val="24"/>
        </w:rPr>
        <w:t xml:space="preserve">4. </w:t>
      </w:r>
      <w:r w:rsidRPr="00C64E0C">
        <w:rPr>
          <w:rFonts w:ascii="Book Antiqua" w:hAnsi="Book Antiqua"/>
          <w:i/>
          <w:sz w:val="24"/>
          <w:szCs w:val="24"/>
        </w:rPr>
        <w:t>¿Cuáles son los problemas y preocupaciones específicos que enfrentan las mujeres de edad, incluso sobre la base de la experiencia de vida acumulada en comparación con los hombres de edad, en el disfrute de los derechos económicos, sociales y culturales (por ejemplo, en lo que respecta a la protección social, la salud, la educación, el trabajo, el nivel de vida adecuado y la propiedad de tierras y bienes)? Sírvase proporcionar datos y estadísticas, incluidos datos desglosados, cuando se disponga de ellos.</w:t>
      </w:r>
    </w:p>
    <w:p w14:paraId="69EF68DD" w14:textId="482A1800" w:rsidR="00C64E0C" w:rsidRDefault="00C64E0C" w:rsidP="00C64E0C">
      <w:pPr>
        <w:pStyle w:val="ListParagraph"/>
        <w:numPr>
          <w:ilvl w:val="0"/>
          <w:numId w:val="28"/>
        </w:numPr>
        <w:jc w:val="both"/>
        <w:rPr>
          <w:rFonts w:ascii="Book Antiqua" w:hAnsi="Book Antiqua"/>
        </w:rPr>
      </w:pPr>
      <w:r w:rsidRPr="00C64E0C">
        <w:rPr>
          <w:rFonts w:ascii="Book Antiqua" w:hAnsi="Book Antiqua"/>
        </w:rPr>
        <w:t>Incertidumbre con el futuro. Esta incertidumbre se sustenta en la disminución de las redes de apoyo y del soporte económico. En el caso de las mujeres mayores</w:t>
      </w:r>
      <w:r w:rsidR="00B54BB1">
        <w:rPr>
          <w:rFonts w:ascii="Book Antiqua" w:hAnsi="Book Antiqua"/>
        </w:rPr>
        <w:t xml:space="preserve">, </w:t>
      </w:r>
      <w:r w:rsidRPr="00C64E0C">
        <w:rPr>
          <w:rFonts w:ascii="Book Antiqua" w:hAnsi="Book Antiqua"/>
        </w:rPr>
        <w:t>al ser más longevas que los hombres</w:t>
      </w:r>
      <w:r w:rsidR="00B54BB1">
        <w:rPr>
          <w:rFonts w:ascii="Book Antiqua" w:hAnsi="Book Antiqua"/>
        </w:rPr>
        <w:t>,</w:t>
      </w:r>
      <w:r w:rsidRPr="00C64E0C">
        <w:rPr>
          <w:rFonts w:ascii="Book Antiqua" w:hAnsi="Book Antiqua"/>
        </w:rPr>
        <w:t xml:space="preserve"> aumenta las posibilidades de vivir en situación de dependencia, lo que se puede traducir en perdida de redes de apoyo y soporte para el desarrollo de actividades de la vida diaria. De acuerdo a CASEN 2017, un 14,2% del total de las personas mayores presentan algún grado de dependencia, entre los hombres esta condición afecta al 10,8% y entre las mujeres la prevalencia es del 16,9%. </w:t>
      </w:r>
    </w:p>
    <w:p w14:paraId="1D2E4A99" w14:textId="2485D6E5" w:rsidR="00C64E0C" w:rsidRDefault="00C64E0C" w:rsidP="00C64E0C">
      <w:pPr>
        <w:pStyle w:val="ListParagraph"/>
        <w:numPr>
          <w:ilvl w:val="0"/>
          <w:numId w:val="28"/>
        </w:numPr>
        <w:jc w:val="both"/>
        <w:rPr>
          <w:rFonts w:ascii="Book Antiqua" w:hAnsi="Book Antiqua"/>
        </w:rPr>
      </w:pPr>
      <w:r w:rsidRPr="00C64E0C">
        <w:rPr>
          <w:rFonts w:ascii="Book Antiqua" w:hAnsi="Book Antiqua"/>
        </w:rPr>
        <w:t>La responsabilidad en el apoyo y cuidado familiar, en ocasiones dejando de lado su propio autocuidado. En esta perspectiva, respecto del acceso a cuidados, las personas mayores con dependencia que dicen no recibir ayuda por parte de alguna persona del hogar son 64.52</w:t>
      </w:r>
      <w:r w:rsidR="00B54BB1">
        <w:rPr>
          <w:rFonts w:ascii="Book Antiqua" w:hAnsi="Book Antiqua"/>
        </w:rPr>
        <w:t xml:space="preserve">; </w:t>
      </w:r>
      <w:r w:rsidRPr="00C64E0C">
        <w:rPr>
          <w:rFonts w:ascii="Book Antiqua" w:hAnsi="Book Antiqua"/>
        </w:rPr>
        <w:t xml:space="preserve"> de estas</w:t>
      </w:r>
      <w:r w:rsidR="00B54BB1">
        <w:rPr>
          <w:rFonts w:ascii="Book Antiqua" w:hAnsi="Book Antiqua"/>
        </w:rPr>
        <w:t xml:space="preserve">, </w:t>
      </w:r>
      <w:r w:rsidRPr="00C64E0C">
        <w:rPr>
          <w:rFonts w:ascii="Book Antiqua" w:hAnsi="Book Antiqua"/>
        </w:rPr>
        <w:t xml:space="preserve">el 74,2% corresponden a mujeres. </w:t>
      </w:r>
    </w:p>
    <w:p w14:paraId="0891B751" w14:textId="354BCF36" w:rsidR="00C64E0C" w:rsidRDefault="00C64E0C" w:rsidP="00C64E0C">
      <w:pPr>
        <w:pStyle w:val="ListParagraph"/>
        <w:numPr>
          <w:ilvl w:val="0"/>
          <w:numId w:val="28"/>
        </w:numPr>
        <w:jc w:val="both"/>
        <w:rPr>
          <w:rFonts w:ascii="Book Antiqua" w:hAnsi="Book Antiqua"/>
        </w:rPr>
      </w:pPr>
      <w:r w:rsidRPr="00C64E0C">
        <w:rPr>
          <w:rFonts w:ascii="Book Antiqua" w:hAnsi="Book Antiqua"/>
        </w:rPr>
        <w:t xml:space="preserve">Presencia de estereotipos de edad. Los estereotipos aumentan el riesgo de sufrir algún tipo de discriminación, ya sea en forma de actitudes, prácticas o políticas, que perpetúan representaciones que desvalorizan esta etapa del ciclo de vida. Una imagen social negativa, con un rol difuso en cuanto a la posible contribución de las personas mayores a la sociedad, forma parte de las definiciones desde las cuales las personas mayores pueden asumir su función para con la comunidad, lo que los </w:t>
      </w:r>
      <w:r w:rsidR="00B54BB1">
        <w:rPr>
          <w:rFonts w:ascii="Book Antiqua" w:hAnsi="Book Antiqua"/>
        </w:rPr>
        <w:t>posiciona</w:t>
      </w:r>
      <w:r w:rsidRPr="00C64E0C">
        <w:rPr>
          <w:rFonts w:ascii="Book Antiqua" w:hAnsi="Book Antiqua"/>
        </w:rPr>
        <w:t xml:space="preserve"> en una </w:t>
      </w:r>
      <w:r w:rsidR="00B54BB1">
        <w:rPr>
          <w:rFonts w:ascii="Book Antiqua" w:hAnsi="Book Antiqua"/>
        </w:rPr>
        <w:t>situación</w:t>
      </w:r>
      <w:r w:rsidRPr="00C64E0C">
        <w:rPr>
          <w:rFonts w:ascii="Book Antiqua" w:hAnsi="Book Antiqua"/>
        </w:rPr>
        <w:t xml:space="preserve"> de desventaja respecto los otros grupos sociales que tienen definido un rol más claro y de contribución para el desarrollo social, principalmente en lo económico. De acuerdo con la Quinta Encuesta de Inclusión y Exclusión de las Personas Mayores, encuesta que se aplicó a personas de 18 años o más (SENAMA, 2017) respecto de la pregunta ¿</w:t>
      </w:r>
      <w:r w:rsidRPr="00B54BB1">
        <w:rPr>
          <w:rFonts w:ascii="Book Antiqua" w:hAnsi="Book Antiqua"/>
          <w:i/>
          <w:iCs/>
        </w:rPr>
        <w:t>Diría usted que, mayoritariamente, los adultos mayores pueden valerse por sí mismos, o que mayoritariamente no pueden valerse por sí mismos</w:t>
      </w:r>
      <w:r w:rsidRPr="00C64E0C">
        <w:rPr>
          <w:rFonts w:ascii="Book Antiqua" w:hAnsi="Book Antiqua"/>
        </w:rPr>
        <w:t xml:space="preserve">?, un 68% de los encuestados respondió que las personas mayores no pueden valerse por sí mismos. Sin embargo, según datos de la CASEN 2017, la mayoría de las personas mayores en Chile son </w:t>
      </w:r>
      <w:proofErr w:type="spellStart"/>
      <w:r w:rsidRPr="00C64E0C">
        <w:rPr>
          <w:rFonts w:ascii="Book Antiqua" w:hAnsi="Book Antiqua"/>
        </w:rPr>
        <w:t>autovalentes</w:t>
      </w:r>
      <w:proofErr w:type="spellEnd"/>
      <w:r w:rsidRPr="00C64E0C">
        <w:rPr>
          <w:rFonts w:ascii="Book Antiqua" w:hAnsi="Book Antiqua"/>
        </w:rPr>
        <w:t xml:space="preserve"> (85,8%).</w:t>
      </w:r>
    </w:p>
    <w:p w14:paraId="6732AC79" w14:textId="510DB201" w:rsidR="00C64E0C" w:rsidRDefault="00C64E0C" w:rsidP="00C64E0C">
      <w:pPr>
        <w:pStyle w:val="ListParagraph"/>
        <w:numPr>
          <w:ilvl w:val="0"/>
          <w:numId w:val="28"/>
        </w:numPr>
        <w:jc w:val="both"/>
        <w:rPr>
          <w:rFonts w:ascii="Book Antiqua" w:hAnsi="Book Antiqua"/>
        </w:rPr>
      </w:pPr>
      <w:r w:rsidRPr="00C64E0C">
        <w:rPr>
          <w:rFonts w:ascii="Book Antiqua" w:hAnsi="Book Antiqua"/>
        </w:rPr>
        <w:t>Manejo y acceso a nuevas tecnologías. La inclusión digital permite mantenerse participando e informado de las distintas esferas sociales. Muchas personas mayores quedan al margen de ciertos canales digitales. Éstos ofrecen oportunidades, pero no para todos por igual, siendo un problema si la mayoría de la información sobre oferta o trámites se ha digitalizado. La Superintendencia de Salud (2009) señala sobre usuarios de portal web o telefónico que existe una baja adherencia de las personas mayores en consultas Web (6%). Por su parte, de acuerdo al reporte SIAC SENAMA</w:t>
      </w:r>
      <w:r w:rsidR="00B54BB1">
        <w:rPr>
          <w:rFonts w:ascii="Book Antiqua" w:hAnsi="Book Antiqua"/>
        </w:rPr>
        <w:t>,</w:t>
      </w:r>
      <w:r w:rsidRPr="00C64E0C">
        <w:rPr>
          <w:rFonts w:ascii="Book Antiqua" w:hAnsi="Book Antiqua"/>
        </w:rPr>
        <w:t xml:space="preserve"> a mayo 2020, un 72% de los llamados son realizados por mujeres. También la Superintendencia de Pensiones indica que las mujeres realizan más trámites telefónicos (71%), identificándose brechas de género en el uso de canales tecnológicos y respondiendo también al rol de abocarse al cuidado o quehaceres de los demás. La sociedad actual ha llevado el desarrollo de programas de información o la realización de trámites a través de plataformas digitales u otros mecanismos modernos, lo que deja al margen del uso de estos medios a las personas mayores, afectando más a las mujeres, dado que son</w:t>
      </w:r>
      <w:r w:rsidR="00DD77EE">
        <w:rPr>
          <w:rFonts w:ascii="Book Antiqua" w:hAnsi="Book Antiqua"/>
        </w:rPr>
        <w:t xml:space="preserve"> mayoritariamente</w:t>
      </w:r>
      <w:r w:rsidRPr="00C64E0C">
        <w:rPr>
          <w:rFonts w:ascii="Book Antiqua" w:hAnsi="Book Antiqua"/>
        </w:rPr>
        <w:t xml:space="preserve"> ellas</w:t>
      </w:r>
      <w:r w:rsidR="00DD77EE">
        <w:rPr>
          <w:rFonts w:ascii="Book Antiqua" w:hAnsi="Book Antiqua"/>
        </w:rPr>
        <w:t xml:space="preserve"> las que</w:t>
      </w:r>
      <w:r w:rsidRPr="00C64E0C">
        <w:rPr>
          <w:rFonts w:ascii="Book Antiqua" w:hAnsi="Book Antiqua"/>
        </w:rPr>
        <w:t xml:space="preserve"> se encargan de la realización de trámites de sus familias, pago de cuentas, entre otros.  </w:t>
      </w:r>
    </w:p>
    <w:p w14:paraId="039A7ECF" w14:textId="2C722DBF" w:rsidR="00C64E0C" w:rsidRDefault="00C64E0C" w:rsidP="00C64E0C">
      <w:pPr>
        <w:pStyle w:val="ListParagraph"/>
        <w:numPr>
          <w:ilvl w:val="0"/>
          <w:numId w:val="28"/>
        </w:numPr>
        <w:jc w:val="both"/>
        <w:rPr>
          <w:rFonts w:ascii="Book Antiqua" w:hAnsi="Book Antiqua"/>
        </w:rPr>
      </w:pPr>
      <w:r w:rsidRPr="00C64E0C">
        <w:rPr>
          <w:rFonts w:ascii="Book Antiqua" w:hAnsi="Book Antiqua"/>
        </w:rPr>
        <w:t xml:space="preserve">Brechas de ingreso económico. Los hombres en promedio percibirían un monto de $278.763 pesos. Este monto entre las mujeres es de $205.575.  En este sentido las mujeres no tan solo viven más años y presentan una mayor probabilidad de presentar dependencia funcional, sino que también tienen que afrontar la vejez con menores recursos. Dado que las mujeres reciben menores ingresos en contraste a que viven más años y suelen presentar mayor dependencia, se destacan barreras para poder acceder a servicios y tener una calidad de vida en mejores condiciones, sobre todo para aquellas que no están insertas en la seguridad social o bien que desean llevar actividades de ocio, esparcimiento y cultura, y que en condición de </w:t>
      </w:r>
      <w:proofErr w:type="spellStart"/>
      <w:r w:rsidRPr="00C64E0C">
        <w:rPr>
          <w:rFonts w:ascii="Book Antiqua" w:hAnsi="Book Antiqua"/>
        </w:rPr>
        <w:t>autovalencia</w:t>
      </w:r>
      <w:proofErr w:type="spellEnd"/>
      <w:r w:rsidRPr="00C64E0C">
        <w:rPr>
          <w:rFonts w:ascii="Book Antiqua" w:hAnsi="Book Antiqua"/>
        </w:rPr>
        <w:t xml:space="preserve"> desean realizar, pero se ven limitadas. En una sociedad de consumo y de producción, el grupo de mujeres mayores queda excluida como grupo objetivo de la venta de productos, porque culturalmente se les ve como un grupo vulnerable, sin mayor poder de compra.</w:t>
      </w:r>
    </w:p>
    <w:p w14:paraId="3351C39E" w14:textId="4288E999" w:rsidR="00C64E0C" w:rsidRDefault="00C64E0C" w:rsidP="00D93F6F">
      <w:pPr>
        <w:spacing w:afterLines="20" w:after="48" w:line="360" w:lineRule="auto"/>
        <w:jc w:val="both"/>
        <w:rPr>
          <w:rFonts w:ascii="Book Antiqua" w:hAnsi="Book Antiqua"/>
          <w:i/>
          <w:sz w:val="24"/>
          <w:szCs w:val="24"/>
        </w:rPr>
      </w:pPr>
      <w:r w:rsidRPr="00C64E0C">
        <w:rPr>
          <w:rFonts w:ascii="Book Antiqua" w:hAnsi="Book Antiqua"/>
          <w:i/>
          <w:sz w:val="24"/>
          <w:szCs w:val="24"/>
        </w:rPr>
        <w:t>5. ¿Qué formas de discriminación y desigualdad basadas en el género que experimentan las mujeres a lo largo del ciclo de vida repercuten especialmente en el disfrute de sus derechos en la vejez?</w:t>
      </w:r>
    </w:p>
    <w:p w14:paraId="7356EA38" w14:textId="77777777" w:rsidR="00C64E0C" w:rsidRPr="00C64E0C" w:rsidRDefault="00C64E0C" w:rsidP="000269E1">
      <w:pPr>
        <w:spacing w:afterLines="20" w:after="48"/>
        <w:jc w:val="both"/>
        <w:rPr>
          <w:rFonts w:ascii="Book Antiqua" w:hAnsi="Book Antiqua"/>
        </w:rPr>
      </w:pPr>
      <w:r w:rsidRPr="00C64E0C">
        <w:rPr>
          <w:rFonts w:ascii="Book Antiqua" w:hAnsi="Book Antiqua"/>
        </w:rPr>
        <w:t xml:space="preserve">Al igual que el género, la vejez puede comprenderse como una construcción social, situada y contextuada, que involucra la asignación de roles y hábitos de acuerdo con la edad y las normas socioculturales (Aguirre </w:t>
      </w:r>
      <w:proofErr w:type="spellStart"/>
      <w:r w:rsidRPr="00C64E0C">
        <w:rPr>
          <w:rFonts w:ascii="Book Antiqua" w:hAnsi="Book Antiqua"/>
        </w:rPr>
        <w:t>Cuns</w:t>
      </w:r>
      <w:proofErr w:type="spellEnd"/>
      <w:r w:rsidRPr="00C64E0C">
        <w:rPr>
          <w:rFonts w:ascii="Book Antiqua" w:hAnsi="Book Antiqua"/>
        </w:rPr>
        <w:t xml:space="preserve"> y </w:t>
      </w:r>
      <w:proofErr w:type="spellStart"/>
      <w:r w:rsidRPr="00C64E0C">
        <w:rPr>
          <w:rFonts w:ascii="Book Antiqua" w:hAnsi="Book Antiqua"/>
        </w:rPr>
        <w:t>Scavino</w:t>
      </w:r>
      <w:proofErr w:type="spellEnd"/>
      <w:r w:rsidRPr="00C64E0C">
        <w:rPr>
          <w:rFonts w:ascii="Book Antiqua" w:hAnsi="Book Antiqua"/>
        </w:rPr>
        <w:t xml:space="preserve"> Solari, 2016; Salgado-de </w:t>
      </w:r>
      <w:proofErr w:type="spellStart"/>
      <w:r w:rsidRPr="00C64E0C">
        <w:rPr>
          <w:rFonts w:ascii="Book Antiqua" w:hAnsi="Book Antiqua"/>
        </w:rPr>
        <w:t>Snyder</w:t>
      </w:r>
      <w:proofErr w:type="spellEnd"/>
      <w:r w:rsidRPr="00C64E0C">
        <w:rPr>
          <w:rFonts w:ascii="Book Antiqua" w:hAnsi="Book Antiqua"/>
        </w:rPr>
        <w:t xml:space="preserve"> y Wong, 2007).</w:t>
      </w:r>
    </w:p>
    <w:p w14:paraId="68645DED" w14:textId="5423E55F" w:rsidR="00C64E0C" w:rsidRPr="00C64E0C" w:rsidRDefault="00C64E0C" w:rsidP="00DD77EE">
      <w:pPr>
        <w:spacing w:afterLines="20" w:after="48"/>
        <w:jc w:val="both"/>
        <w:rPr>
          <w:rFonts w:ascii="Book Antiqua" w:hAnsi="Book Antiqua"/>
        </w:rPr>
      </w:pPr>
      <w:r w:rsidRPr="00C64E0C">
        <w:rPr>
          <w:rFonts w:ascii="Book Antiqua" w:hAnsi="Book Antiqua"/>
        </w:rPr>
        <w:t>A lo largo del ciclo vital</w:t>
      </w:r>
      <w:r w:rsidR="00DD77EE">
        <w:rPr>
          <w:rFonts w:ascii="Book Antiqua" w:hAnsi="Book Antiqua"/>
        </w:rPr>
        <w:t>,</w:t>
      </w:r>
      <w:r w:rsidRPr="00C64E0C">
        <w:rPr>
          <w:rFonts w:ascii="Book Antiqua" w:hAnsi="Book Antiqua"/>
        </w:rPr>
        <w:t xml:space="preserve"> las mujeres que hoy son mayores de 60 años acumulan desventajas a partir de la educación desigual, la inequidad salarial y los obstáculos en el desarrollo laboral. Esto acentúa barreras y brechas durante la vejez. Además, desde la perspectiva de la </w:t>
      </w:r>
      <w:proofErr w:type="spellStart"/>
      <w:r w:rsidRPr="00C64E0C">
        <w:rPr>
          <w:rFonts w:ascii="Book Antiqua" w:hAnsi="Book Antiqua"/>
        </w:rPr>
        <w:t>interseccionalidad</w:t>
      </w:r>
      <w:proofErr w:type="spellEnd"/>
      <w:r w:rsidRPr="00C64E0C">
        <w:rPr>
          <w:rFonts w:ascii="Book Antiqua" w:hAnsi="Book Antiqua"/>
        </w:rPr>
        <w:t xml:space="preserve">, no todas las mujeres mayores enfrentan las mismas desigualdades o discriminaciones. No es lo mismo ser una mujer mayor negra, o migrante, o con discapacidad, ya que a estas se suman otras desigualdades y discriminación a lo largo de su vida. </w:t>
      </w:r>
    </w:p>
    <w:p w14:paraId="6D744967" w14:textId="77777777" w:rsidR="00C64E0C" w:rsidRPr="00C64E0C" w:rsidRDefault="00C64E0C" w:rsidP="00DD77EE">
      <w:pPr>
        <w:spacing w:afterLines="20" w:after="48"/>
        <w:jc w:val="both"/>
        <w:rPr>
          <w:rFonts w:ascii="Book Antiqua" w:hAnsi="Book Antiqua"/>
        </w:rPr>
      </w:pPr>
      <w:r w:rsidRPr="00C64E0C">
        <w:rPr>
          <w:rFonts w:ascii="Book Antiqua" w:hAnsi="Book Antiqua"/>
        </w:rPr>
        <w:t xml:space="preserve">Otra realidad que se visibiliza es la cristalización de prácticas o comportamientos homogéneos para el cumplimiento de normas o expectativas a lo largo del ciclo vital, patrones que muchas veces se encuentran el conflicto con los deseos y expectativas personales. </w:t>
      </w:r>
    </w:p>
    <w:p w14:paraId="2130DB5F" w14:textId="77777777" w:rsidR="00C64E0C" w:rsidRPr="00C64E0C" w:rsidRDefault="00C64E0C" w:rsidP="00DD77EE">
      <w:pPr>
        <w:spacing w:after="20"/>
        <w:jc w:val="both"/>
        <w:rPr>
          <w:rFonts w:ascii="Book Antiqua" w:hAnsi="Book Antiqua"/>
        </w:rPr>
      </w:pPr>
      <w:r w:rsidRPr="00C64E0C">
        <w:rPr>
          <w:rFonts w:ascii="Book Antiqua" w:hAnsi="Book Antiqua"/>
        </w:rPr>
        <w:t xml:space="preserve">Lo anterior, sumado a las tareas de cuidado llevan repercusiones en salud mental y un desgaste emocional mayor, implicando además una sobre patologización de la vejez, asumiéndose culturalmente como una etapa de pérdidas y desgaste, afectando la propia autopercepción. </w:t>
      </w:r>
    </w:p>
    <w:p w14:paraId="6A5C952A" w14:textId="129E928A" w:rsidR="00C64E0C" w:rsidRPr="00C64E0C" w:rsidRDefault="00C64E0C" w:rsidP="00DD77EE">
      <w:pPr>
        <w:spacing w:after="20"/>
        <w:jc w:val="both"/>
        <w:rPr>
          <w:rFonts w:ascii="Book Antiqua" w:hAnsi="Book Antiqua"/>
        </w:rPr>
      </w:pPr>
      <w:r w:rsidRPr="00C64E0C">
        <w:rPr>
          <w:rFonts w:ascii="Book Antiqua" w:hAnsi="Book Antiqua"/>
        </w:rPr>
        <w:t>La situación de desventaja en cuanto a las condiciones de salud que sufren muchas mujeres mayores, también impide el disfrute de los derechos en las mujeres de edad</w:t>
      </w:r>
      <w:r w:rsidR="00DD77EE">
        <w:rPr>
          <w:rFonts w:ascii="Book Antiqua" w:hAnsi="Book Antiqua"/>
        </w:rPr>
        <w:t>.</w:t>
      </w:r>
    </w:p>
    <w:p w14:paraId="7CD35B4C" w14:textId="77777777" w:rsidR="00C64E0C" w:rsidRPr="00C64E0C" w:rsidRDefault="00C64E0C" w:rsidP="00DD77EE">
      <w:pPr>
        <w:spacing w:after="20"/>
        <w:jc w:val="both"/>
        <w:rPr>
          <w:rFonts w:ascii="Book Antiqua" w:hAnsi="Book Antiqua"/>
        </w:rPr>
      </w:pPr>
      <w:r w:rsidRPr="00C64E0C">
        <w:rPr>
          <w:rFonts w:ascii="Book Antiqua" w:hAnsi="Book Antiqua"/>
        </w:rPr>
        <w:t xml:space="preserve">A lo ya señalado respecto a la dependencia funcional, se suman algunos datos de Estructura de Gasto y Perfil de Ingresos de los Adultos Mayores en Chile (CIPEM 2019) señalan que los adultos mayores tienen un gasto promedio mensual en salud de $ 62.000 pesos. De los $62.000 pesos, $25.000 se gastan en medicamentos. Las mujeres gastan casi tres veces más en salud que los hombres. </w:t>
      </w:r>
    </w:p>
    <w:p w14:paraId="55BE2282" w14:textId="2A237DE3" w:rsidR="00DD77EE" w:rsidRDefault="00C64E0C" w:rsidP="00DD77EE">
      <w:pPr>
        <w:spacing w:after="20"/>
        <w:jc w:val="both"/>
        <w:rPr>
          <w:rFonts w:ascii="Book Antiqua" w:hAnsi="Book Antiqua"/>
        </w:rPr>
      </w:pPr>
      <w:r w:rsidRPr="00C64E0C">
        <w:rPr>
          <w:rFonts w:ascii="Book Antiqua" w:hAnsi="Book Antiqua"/>
        </w:rPr>
        <w:t xml:space="preserve">Las desigualdades en el sistema económico es otra esfera en la que las mujeres mayores verifican mayor precariedad. Las mujeres viven cada vez más que los </w:t>
      </w:r>
      <w:r w:rsidR="00907EE8" w:rsidRPr="00C64E0C">
        <w:rPr>
          <w:rFonts w:ascii="Book Antiqua" w:hAnsi="Book Antiqua"/>
        </w:rPr>
        <w:t>hombres, y</w:t>
      </w:r>
      <w:r w:rsidRPr="00C64E0C">
        <w:rPr>
          <w:rFonts w:ascii="Book Antiqua" w:hAnsi="Book Antiqua"/>
        </w:rPr>
        <w:t xml:space="preserve"> es en la vejez cuando pagan el costo de la educación desigual, la inequidad salarial y los obstáculos en el desarrollo laboral, que las marginan de mayores oportunidades. Históricamente, el trabajo no remunerado ha carecido de reconocimiento social y su distribución no ha sido equitativa, dependiendo de muchos factores, entre ellos, la edad y el género (OIT, 2009). Lo que limita el disfrute de los derechos es la precarización económica, la sobreprotección, conductas paternalistas, la limitación de acceso a créditos o préstamos bancarios, entre otros.  </w:t>
      </w:r>
    </w:p>
    <w:p w14:paraId="53E598CB" w14:textId="77777777" w:rsidR="00DD77EE" w:rsidRDefault="00DD77EE" w:rsidP="00DD77EE">
      <w:pPr>
        <w:spacing w:after="20"/>
        <w:jc w:val="both"/>
        <w:rPr>
          <w:rFonts w:ascii="Book Antiqua" w:hAnsi="Book Antiqua"/>
        </w:rPr>
      </w:pPr>
    </w:p>
    <w:p w14:paraId="07884D77" w14:textId="7A3EBD00" w:rsidR="00143458" w:rsidRDefault="00143458" w:rsidP="00D93F6F">
      <w:pPr>
        <w:spacing w:after="20" w:line="360" w:lineRule="auto"/>
        <w:jc w:val="both"/>
        <w:rPr>
          <w:rFonts w:ascii="Book Antiqua" w:hAnsi="Book Antiqua"/>
          <w:i/>
          <w:sz w:val="24"/>
          <w:szCs w:val="24"/>
        </w:rPr>
      </w:pPr>
      <w:r w:rsidRPr="00143458">
        <w:rPr>
          <w:rFonts w:ascii="Book Antiqua" w:hAnsi="Book Antiqua"/>
          <w:i/>
          <w:sz w:val="24"/>
          <w:szCs w:val="24"/>
        </w:rPr>
        <w:t>6. ¿Ha afectado la pandemia del virus COVID 19 a las mujeres de edad de manera diferente que a los hombres de edad y de qué manera?</w:t>
      </w:r>
    </w:p>
    <w:p w14:paraId="6DC4F391" w14:textId="77777777" w:rsidR="00143458" w:rsidRPr="00143458" w:rsidRDefault="00143458" w:rsidP="00DD77EE">
      <w:pPr>
        <w:spacing w:after="20"/>
        <w:jc w:val="both"/>
        <w:rPr>
          <w:rFonts w:ascii="Book Antiqua" w:hAnsi="Book Antiqua"/>
        </w:rPr>
      </w:pPr>
      <w:r w:rsidRPr="00143458">
        <w:rPr>
          <w:rFonts w:ascii="Book Antiqua" w:hAnsi="Book Antiqua"/>
        </w:rPr>
        <w:t>El distanciamiento social, la cuarentena voluntaria, la cuarentena total obligatoria y la cuarentena sanitaria, sin duda están teniendo efectos psicológicos y sociales en las personas, sobre todo en las poblaciones más vulnerables y de mayor riesgo.</w:t>
      </w:r>
    </w:p>
    <w:p w14:paraId="37C0EA9D" w14:textId="77777777" w:rsidR="00143458" w:rsidRPr="00143458" w:rsidRDefault="00143458" w:rsidP="00DD77EE">
      <w:pPr>
        <w:spacing w:after="20"/>
        <w:jc w:val="both"/>
        <w:rPr>
          <w:rFonts w:ascii="Book Antiqua" w:hAnsi="Book Antiqua"/>
        </w:rPr>
      </w:pPr>
      <w:r w:rsidRPr="00143458">
        <w:rPr>
          <w:rFonts w:ascii="Book Antiqua" w:hAnsi="Book Antiqua"/>
        </w:rPr>
        <w:t>De esta manera, en un contexto en el que muchas personas mayores están sometidas a un aislamiento social indefinido -sobre todo aquellas que viven solas- sin posibilidad de participación social y muchos de ellos sin acceso a comunicarse mediante medios tecnológicos, es posible anticipar que la calidad de vida puede verse deteriorada significativamente. A esto se deben sumar los temores y angustia frente a la posibilidad de contagio, la enfermedad de personas cercanas y seres queridos, además de factores de vulnerabilidad como dependencia funcional, enfermedades crónicas y bajos ingresos.</w:t>
      </w:r>
    </w:p>
    <w:p w14:paraId="7EF55EAD" w14:textId="36182108" w:rsidR="00143458" w:rsidRPr="00143458" w:rsidRDefault="00143458" w:rsidP="00DD77EE">
      <w:pPr>
        <w:spacing w:after="20"/>
        <w:jc w:val="both"/>
        <w:rPr>
          <w:rFonts w:ascii="Book Antiqua" w:hAnsi="Book Antiqua"/>
        </w:rPr>
      </w:pPr>
      <w:r w:rsidRPr="00143458">
        <w:rPr>
          <w:rFonts w:ascii="Book Antiqua" w:hAnsi="Book Antiqua"/>
        </w:rPr>
        <w:t xml:space="preserve">Además, el grupo de personas mayores ha sido tradicionalmente excluido del disfrute de ciertos derechos y del acceso a condiciones de vida y materiales. Este grupo ha visto en muchos casos profundizadas sus desventajas y vulnerabilidades como consecuencia de la pandemia. </w:t>
      </w:r>
    </w:p>
    <w:p w14:paraId="34376506" w14:textId="77777777" w:rsidR="00143458" w:rsidRPr="00143458" w:rsidRDefault="00143458" w:rsidP="00DD77EE">
      <w:pPr>
        <w:spacing w:after="20"/>
        <w:jc w:val="both"/>
        <w:rPr>
          <w:rFonts w:ascii="Book Antiqua" w:hAnsi="Book Antiqua"/>
        </w:rPr>
      </w:pPr>
      <w:r w:rsidRPr="00143458">
        <w:rPr>
          <w:rFonts w:ascii="Book Antiqua" w:hAnsi="Book Antiqua"/>
        </w:rPr>
        <w:t>Estas desventajas han sido históricamente más intensas entre las mujeres que entre los hombres mayores, lo que también se ha visto potenciado durante la pandemia.</w:t>
      </w:r>
    </w:p>
    <w:p w14:paraId="299896E1" w14:textId="77777777" w:rsidR="00D93F6F" w:rsidRDefault="00143458" w:rsidP="00DD77EE">
      <w:pPr>
        <w:spacing w:after="20"/>
        <w:jc w:val="both"/>
        <w:rPr>
          <w:rFonts w:ascii="Book Antiqua" w:hAnsi="Book Antiqua"/>
        </w:rPr>
      </w:pPr>
      <w:r w:rsidRPr="00143458">
        <w:rPr>
          <w:rFonts w:ascii="Book Antiqua" w:hAnsi="Book Antiqua"/>
        </w:rPr>
        <w:t xml:space="preserve">En cuanto a los datos, resulta difícil precisar el impacto que están teniendo las medidas de prevención de contagio que se han tomado en la calidad de vida de las personas mayores. </w:t>
      </w:r>
      <w:r w:rsidR="00D93F6F">
        <w:rPr>
          <w:rFonts w:ascii="Book Antiqua" w:hAnsi="Book Antiqua"/>
        </w:rPr>
        <w:t xml:space="preserve"> </w:t>
      </w:r>
      <w:proofErr w:type="gramStart"/>
      <w:r w:rsidRPr="00143458">
        <w:rPr>
          <w:rFonts w:ascii="Book Antiqua" w:hAnsi="Book Antiqua"/>
        </w:rPr>
        <w:t>Las</w:t>
      </w:r>
      <w:proofErr w:type="gramEnd"/>
      <w:r w:rsidRPr="00143458">
        <w:rPr>
          <w:rFonts w:ascii="Book Antiqua" w:hAnsi="Book Antiqua"/>
        </w:rPr>
        <w:t xml:space="preserve"> datos y estadísticas que se recogen son, como es atendible, en su mayoría epidemiológicos y clínicos, en orden de orientar a la población y monitorear indicadores claves del desarrollo de la pandemia, tomando las medidas sanitarias correspondientes.</w:t>
      </w:r>
      <w:r w:rsidR="00D93F6F">
        <w:rPr>
          <w:rFonts w:ascii="Book Antiqua" w:hAnsi="Book Antiqua"/>
        </w:rPr>
        <w:t xml:space="preserve"> </w:t>
      </w:r>
    </w:p>
    <w:p w14:paraId="0DA6EE9D" w14:textId="77777777" w:rsidR="00D93F6F" w:rsidRDefault="00143458" w:rsidP="00DD77EE">
      <w:pPr>
        <w:spacing w:after="20"/>
        <w:jc w:val="both"/>
        <w:rPr>
          <w:rFonts w:ascii="Book Antiqua" w:hAnsi="Book Antiqua"/>
        </w:rPr>
      </w:pPr>
      <w:r w:rsidRPr="00143458">
        <w:rPr>
          <w:rFonts w:ascii="Book Antiqua" w:hAnsi="Book Antiqua"/>
        </w:rPr>
        <w:t>Sin embargo, estrategias exitosas como el Fono Mayor, aportan información valiosa sobre los ámbitos de mayor demanda de las personas mayores, encontrándose diferencias según sexo.</w:t>
      </w:r>
      <w:r w:rsidR="00D93F6F">
        <w:rPr>
          <w:rFonts w:ascii="Book Antiqua" w:hAnsi="Book Antiqua"/>
        </w:rPr>
        <w:t xml:space="preserve"> </w:t>
      </w:r>
      <w:r w:rsidRPr="00143458">
        <w:rPr>
          <w:rFonts w:ascii="Book Antiqua" w:hAnsi="Book Antiqua"/>
        </w:rPr>
        <w:t xml:space="preserve">El Fono Mayor COVID-19 está orientado a prestar asistencia y orientación tanto a personas de 60 años o más, como también a la ciudadanía y redes intersectoriales, específicamente en contexto COVID-19 en Chile. Complementariamente, se puede obtener orientación e información general sobre trámites y beneficios priorizados en contexto de </w:t>
      </w:r>
      <w:proofErr w:type="spellStart"/>
      <w:r w:rsidRPr="00143458">
        <w:rPr>
          <w:rFonts w:ascii="Book Antiqua" w:hAnsi="Book Antiqua"/>
        </w:rPr>
        <w:t>Covid</w:t>
      </w:r>
      <w:proofErr w:type="spellEnd"/>
      <w:r w:rsidRPr="00143458">
        <w:rPr>
          <w:rFonts w:ascii="Book Antiqua" w:hAnsi="Book Antiqua"/>
        </w:rPr>
        <w:t>- 19, como entrega de contención y soporte emocional telefónico a personas mayores, que, en el contexto de aislamiento físico, requieran de asesoría, escucha y orientación, entregando acompañamiento psicológico y derivación a redes especializadas e institucionales.</w:t>
      </w:r>
      <w:r w:rsidR="00D93F6F">
        <w:rPr>
          <w:rFonts w:ascii="Book Antiqua" w:hAnsi="Book Antiqua"/>
        </w:rPr>
        <w:t xml:space="preserve"> </w:t>
      </w:r>
    </w:p>
    <w:p w14:paraId="169768C2" w14:textId="74EBD0CD" w:rsidR="00143458" w:rsidRPr="00143458" w:rsidRDefault="00143458" w:rsidP="00DD77EE">
      <w:pPr>
        <w:spacing w:after="20"/>
        <w:jc w:val="both"/>
        <w:rPr>
          <w:rFonts w:ascii="Book Antiqua" w:hAnsi="Book Antiqua"/>
        </w:rPr>
      </w:pPr>
      <w:r w:rsidRPr="00143458">
        <w:rPr>
          <w:rFonts w:ascii="Book Antiqua" w:hAnsi="Book Antiqua"/>
        </w:rPr>
        <w:t>Es en este contexto en el que se han expresado muchas de las demandas y necesidades de las personas mayores, presentándose diferencias estadísticamente significativas según sexo.</w:t>
      </w:r>
      <w:r w:rsidR="00D93F6F">
        <w:rPr>
          <w:rFonts w:ascii="Book Antiqua" w:hAnsi="Book Antiqua"/>
        </w:rPr>
        <w:t xml:space="preserve"> </w:t>
      </w:r>
      <w:r w:rsidRPr="00143458">
        <w:rPr>
          <w:rFonts w:ascii="Book Antiqua" w:hAnsi="Book Antiqua"/>
        </w:rPr>
        <w:t>Las mujeres mayores han requerido más apoyo psicológico especializado, con un 80% de prestaciones de apoyo. Es importante resaltar que, al analizar el contenido de las llamadas, 1 de cada 2 personas atendidas manifiestan claros síntomas de deterioro de Salud Mental, tales como: angustia, crisis de ansiedad y/o de pánico, problemas del sueño, entre otras. Cabe indicar que, en un nivel más bajo, se aprecia la pérdida/duelo/soledad, los problemas relacionales, la preocupación por sus condiciones físicas/mentales y también con sus familiares.</w:t>
      </w:r>
      <w:r w:rsidR="00D93F6F">
        <w:rPr>
          <w:rFonts w:ascii="Book Antiqua" w:hAnsi="Book Antiqua"/>
        </w:rPr>
        <w:t xml:space="preserve"> </w:t>
      </w:r>
      <w:r w:rsidRPr="00143458">
        <w:rPr>
          <w:rFonts w:ascii="Book Antiqua" w:hAnsi="Book Antiqua"/>
        </w:rPr>
        <w:t>Las mujeres de 60 y más</w:t>
      </w:r>
      <w:r w:rsidR="00D93F6F">
        <w:rPr>
          <w:rFonts w:ascii="Book Antiqua" w:hAnsi="Book Antiqua"/>
        </w:rPr>
        <w:t>,</w:t>
      </w:r>
      <w:r w:rsidRPr="00143458">
        <w:rPr>
          <w:rFonts w:ascii="Book Antiqua" w:hAnsi="Book Antiqua"/>
        </w:rPr>
        <w:t xml:space="preserve"> a su vez, denunciaron una mayor proporción de situaciones de abandono, maltrato y violencia intrafamiliar. </w:t>
      </w:r>
    </w:p>
    <w:p w14:paraId="2906EA1C" w14:textId="0CCFA971" w:rsidR="00143458" w:rsidRDefault="00143458" w:rsidP="00D93F6F">
      <w:pPr>
        <w:spacing w:after="20"/>
        <w:jc w:val="both"/>
        <w:rPr>
          <w:rFonts w:ascii="Book Antiqua" w:hAnsi="Book Antiqua"/>
        </w:rPr>
      </w:pPr>
      <w:r w:rsidRPr="00143458">
        <w:rPr>
          <w:rFonts w:ascii="Book Antiqua" w:hAnsi="Book Antiqua"/>
        </w:rPr>
        <w:t xml:space="preserve">De esta manera, la información disponible muestra que el impacto </w:t>
      </w:r>
      <w:proofErr w:type="spellStart"/>
      <w:r w:rsidRPr="00143458">
        <w:rPr>
          <w:rFonts w:ascii="Book Antiqua" w:hAnsi="Book Antiqua"/>
        </w:rPr>
        <w:t>psico</w:t>
      </w:r>
      <w:proofErr w:type="spellEnd"/>
      <w:r w:rsidRPr="00143458">
        <w:rPr>
          <w:rFonts w:ascii="Book Antiqua" w:hAnsi="Book Antiqua"/>
        </w:rPr>
        <w:t xml:space="preserve">-social de la pandemia ha sido mucho mayor entre las mujeres que entre los hombres.  </w:t>
      </w:r>
    </w:p>
    <w:p w14:paraId="15A41BFC" w14:textId="77777777" w:rsidR="00D93F6F" w:rsidRDefault="00D93F6F" w:rsidP="00D93F6F">
      <w:pPr>
        <w:spacing w:after="20"/>
        <w:jc w:val="both"/>
        <w:rPr>
          <w:rFonts w:ascii="Book Antiqua" w:hAnsi="Book Antiqua"/>
        </w:rPr>
      </w:pPr>
    </w:p>
    <w:p w14:paraId="21C1A344" w14:textId="352AED21" w:rsidR="00143458" w:rsidRDefault="00143458" w:rsidP="00D93F6F">
      <w:pPr>
        <w:spacing w:after="20" w:line="360" w:lineRule="auto"/>
        <w:jc w:val="both"/>
        <w:rPr>
          <w:rFonts w:ascii="Book Antiqua" w:hAnsi="Book Antiqua"/>
          <w:i/>
          <w:sz w:val="24"/>
          <w:szCs w:val="24"/>
        </w:rPr>
      </w:pPr>
      <w:r w:rsidRPr="00143458">
        <w:rPr>
          <w:rFonts w:ascii="Book Antiqua" w:hAnsi="Book Antiqua"/>
          <w:i/>
          <w:sz w:val="24"/>
          <w:szCs w:val="24"/>
        </w:rPr>
        <w:t xml:space="preserve">7. Sírvase compartir ejemplos de la forma en que las mujeres de edad participan en la vida económica, social y cultural y contribuyen a ella, incluidas la solidaridad y el apoyo </w:t>
      </w:r>
      <w:proofErr w:type="spellStart"/>
      <w:r w:rsidRPr="00143458">
        <w:rPr>
          <w:rFonts w:ascii="Book Antiqua" w:hAnsi="Book Antiqua"/>
          <w:i/>
          <w:sz w:val="24"/>
          <w:szCs w:val="24"/>
        </w:rPr>
        <w:t>intergenracionales</w:t>
      </w:r>
      <w:proofErr w:type="spellEnd"/>
      <w:r w:rsidRPr="00143458">
        <w:rPr>
          <w:rFonts w:ascii="Book Antiqua" w:hAnsi="Book Antiqua"/>
          <w:i/>
          <w:sz w:val="24"/>
          <w:szCs w:val="24"/>
        </w:rPr>
        <w:t>.</w:t>
      </w:r>
    </w:p>
    <w:p w14:paraId="14576FBD" w14:textId="77777777" w:rsidR="00143458" w:rsidRPr="00143458" w:rsidRDefault="00143458" w:rsidP="00D93F6F">
      <w:pPr>
        <w:spacing w:after="20"/>
        <w:jc w:val="both"/>
        <w:rPr>
          <w:rFonts w:ascii="Book Antiqua" w:hAnsi="Book Antiqua"/>
        </w:rPr>
      </w:pPr>
      <w:r w:rsidRPr="00143458">
        <w:rPr>
          <w:rFonts w:ascii="Book Antiqua" w:hAnsi="Book Antiqua"/>
        </w:rPr>
        <w:t xml:space="preserve">A través de grupos organizados como dirigentes sociales o de organizaciones de mayores. En el caso de SENAMA, existen los Consejos Asesores Regionales de Mayores, regulados por el Decreto N° 8 del año 2008. En total son 266 consejeros que se distribuyen a lo largo del país, en cada una de las 16 regiones. De este total 61% corresponde a mujeres mayores. En este caso tienen una participación política al visibilizar y promover los derechos de las personas mayores a nivel territorial. </w:t>
      </w:r>
    </w:p>
    <w:p w14:paraId="796657A2" w14:textId="38104869" w:rsidR="00143458" w:rsidRPr="00143458" w:rsidRDefault="00143458" w:rsidP="00D93F6F">
      <w:pPr>
        <w:spacing w:after="20"/>
        <w:jc w:val="both"/>
        <w:rPr>
          <w:rFonts w:ascii="Book Antiqua" w:hAnsi="Book Antiqua"/>
        </w:rPr>
      </w:pPr>
      <w:r w:rsidRPr="00143458">
        <w:rPr>
          <w:rFonts w:ascii="Book Antiqua" w:hAnsi="Book Antiqua"/>
        </w:rPr>
        <w:t>Otra forma de participación política do</w:t>
      </w:r>
      <w:r>
        <w:rPr>
          <w:rFonts w:ascii="Book Antiqua" w:hAnsi="Book Antiqua"/>
        </w:rPr>
        <w:t>nde se observa empo</w:t>
      </w:r>
      <w:r w:rsidRPr="00143458">
        <w:rPr>
          <w:rFonts w:ascii="Book Antiqua" w:hAnsi="Book Antiqua"/>
        </w:rPr>
        <w:t xml:space="preserve">deramiento de derechos por parte mujeres mayores fue el movimiento feminista denominado las Tesis Senior, quienes a fin de impulsar la no violencia contra las mujeres y erradicar prácticas patriarcales, el año 2020 se organizaron. Fueron cerca de 10.000 las mujeres, con un importante número de mujeres mayores de 60, que respondieron a una convocatoria de rechazo a prácticas violentas contra la mujer. </w:t>
      </w:r>
    </w:p>
    <w:p w14:paraId="663CE7F9" w14:textId="77777777" w:rsidR="00143458" w:rsidRPr="00143458" w:rsidRDefault="00143458" w:rsidP="00D93F6F">
      <w:pPr>
        <w:spacing w:after="20"/>
        <w:jc w:val="both"/>
        <w:rPr>
          <w:rFonts w:ascii="Book Antiqua" w:hAnsi="Book Antiqua"/>
        </w:rPr>
      </w:pPr>
      <w:r w:rsidRPr="00143458">
        <w:rPr>
          <w:rFonts w:ascii="Book Antiqua" w:hAnsi="Book Antiqua"/>
        </w:rPr>
        <w:t xml:space="preserve">Destaca también el Fondo Nacional de Adulto Mayor, en su línea </w:t>
      </w:r>
      <w:proofErr w:type="spellStart"/>
      <w:r w:rsidRPr="00143458">
        <w:rPr>
          <w:rFonts w:ascii="Book Antiqua" w:hAnsi="Book Antiqua"/>
        </w:rPr>
        <w:t>Autogestionados</w:t>
      </w:r>
      <w:proofErr w:type="spellEnd"/>
      <w:r w:rsidRPr="00143458">
        <w:rPr>
          <w:rFonts w:ascii="Book Antiqua" w:hAnsi="Book Antiqua"/>
        </w:rPr>
        <w:t xml:space="preserve">, donde organizaciones de mayores postulan a proyectos en el que la mayoría de las participantes son mujeres (71% según datos del programa al 2019). </w:t>
      </w:r>
    </w:p>
    <w:p w14:paraId="499C1AB1" w14:textId="15E422A3" w:rsidR="00143458" w:rsidRPr="00143458" w:rsidRDefault="00143458" w:rsidP="00D93F6F">
      <w:pPr>
        <w:spacing w:after="20"/>
        <w:jc w:val="both"/>
        <w:rPr>
          <w:rFonts w:ascii="Book Antiqua" w:hAnsi="Book Antiqua"/>
        </w:rPr>
      </w:pPr>
      <w:r w:rsidRPr="00143458">
        <w:rPr>
          <w:rFonts w:ascii="Book Antiqua" w:hAnsi="Book Antiqua"/>
        </w:rPr>
        <w:t>Por otro lado, muchas mujeres mayores desarrollan trabajo voluntario. En Chile</w:t>
      </w:r>
      <w:r w:rsidR="00D93F6F">
        <w:rPr>
          <w:rFonts w:ascii="Book Antiqua" w:hAnsi="Book Antiqua"/>
        </w:rPr>
        <w:t>,</w:t>
      </w:r>
      <w:r w:rsidRPr="00143458">
        <w:rPr>
          <w:rFonts w:ascii="Book Antiqua" w:hAnsi="Book Antiqua"/>
        </w:rPr>
        <w:t xml:space="preserve"> las más conocidas son las Damas de Rojo que prestan apoyo en hospitales</w:t>
      </w:r>
      <w:r w:rsidR="00D93F6F">
        <w:rPr>
          <w:rFonts w:ascii="Book Antiqua" w:hAnsi="Book Antiqua"/>
        </w:rPr>
        <w:t xml:space="preserve">; y </w:t>
      </w:r>
      <w:r w:rsidRPr="00143458">
        <w:rPr>
          <w:rFonts w:ascii="Book Antiqua" w:hAnsi="Book Antiqua"/>
        </w:rPr>
        <w:t>las Damas de Blanco, voluntarias que prestan apoyo emocional y espiritual a personas mayores de residencias de larga estadía</w:t>
      </w:r>
      <w:r w:rsidR="00D93F6F">
        <w:rPr>
          <w:rFonts w:ascii="Book Antiqua" w:hAnsi="Book Antiqua"/>
        </w:rPr>
        <w:t>.</w:t>
      </w:r>
      <w:r w:rsidRPr="00143458">
        <w:rPr>
          <w:rFonts w:ascii="Book Antiqua" w:hAnsi="Book Antiqua"/>
        </w:rPr>
        <w:t xml:space="preserve"> </w:t>
      </w:r>
    </w:p>
    <w:p w14:paraId="4AD7CEB9" w14:textId="758D6A71" w:rsidR="00143458" w:rsidRDefault="00143458" w:rsidP="00D93F6F">
      <w:pPr>
        <w:spacing w:after="20"/>
        <w:jc w:val="both"/>
        <w:rPr>
          <w:rFonts w:ascii="Book Antiqua" w:hAnsi="Book Antiqua"/>
        </w:rPr>
      </w:pPr>
      <w:r w:rsidRPr="00143458">
        <w:rPr>
          <w:rFonts w:ascii="Book Antiqua" w:hAnsi="Book Antiqua"/>
        </w:rPr>
        <w:t>A nivel territorial y local, las mujeres mayores son las principales protagonistas de la participación local en los vecindarios y los barrios. En circunstancias en que la oferta pública no llega a todos los sectores o existen demandas en localidades vulnerables, son las mujeres y en un importante número, las mujeres mayores, quienes se auto-organizan para solventar necesidades y precariedades, por ejemplo, a partir de acopio y concina de alimentos, redes de cuidado, gestión de comités para postular a proyectos públicos, entre otros.</w:t>
      </w:r>
    </w:p>
    <w:p w14:paraId="4D395E98" w14:textId="77777777" w:rsidR="00D93F6F" w:rsidRDefault="00D93F6F" w:rsidP="00D93F6F">
      <w:pPr>
        <w:spacing w:after="20" w:line="240" w:lineRule="auto"/>
        <w:jc w:val="both"/>
        <w:rPr>
          <w:rFonts w:ascii="Book Antiqua" w:hAnsi="Book Antiqua"/>
        </w:rPr>
      </w:pPr>
    </w:p>
    <w:p w14:paraId="53B36CEF" w14:textId="4AA10F7D" w:rsidR="00143458" w:rsidRDefault="00143458" w:rsidP="00143458">
      <w:pPr>
        <w:jc w:val="both"/>
        <w:rPr>
          <w:rFonts w:ascii="Book Antiqua" w:hAnsi="Book Antiqua"/>
          <w:b/>
          <w:sz w:val="24"/>
          <w:szCs w:val="24"/>
        </w:rPr>
      </w:pPr>
      <w:r>
        <w:rPr>
          <w:rFonts w:ascii="Book Antiqua" w:hAnsi="Book Antiqua"/>
          <w:b/>
          <w:sz w:val="24"/>
          <w:szCs w:val="24"/>
        </w:rPr>
        <w:t>Formas de discriminación contra las mujeres de edad y abusos específicos de género</w:t>
      </w:r>
    </w:p>
    <w:p w14:paraId="1FDC088D" w14:textId="5BFAA98D" w:rsidR="00143458" w:rsidRDefault="00143458" w:rsidP="00143458">
      <w:pPr>
        <w:spacing w:line="360" w:lineRule="auto"/>
        <w:jc w:val="both"/>
        <w:rPr>
          <w:rFonts w:ascii="Book Antiqua" w:hAnsi="Book Antiqua"/>
          <w:i/>
          <w:sz w:val="24"/>
          <w:szCs w:val="24"/>
        </w:rPr>
      </w:pPr>
      <w:r w:rsidRPr="00143458">
        <w:rPr>
          <w:rFonts w:ascii="Book Antiqua" w:hAnsi="Book Antiqua"/>
          <w:i/>
          <w:sz w:val="24"/>
          <w:szCs w:val="24"/>
        </w:rPr>
        <w:t>8. ¿Qué formas de discriminación estructural y sistemática enfrentan las mujeres de edad (por ejemplo, mediante leyes, prácticas tradicionales y consuetudinarias etc.) y qué medidas se ha</w:t>
      </w:r>
      <w:r>
        <w:rPr>
          <w:rFonts w:ascii="Book Antiqua" w:hAnsi="Book Antiqua"/>
          <w:i/>
          <w:sz w:val="24"/>
          <w:szCs w:val="24"/>
        </w:rPr>
        <w:t>n adoptado para hacerles frente?</w:t>
      </w:r>
    </w:p>
    <w:p w14:paraId="307D6DDF" w14:textId="77777777" w:rsidR="00D93F6F" w:rsidRDefault="00143458" w:rsidP="00D93F6F">
      <w:pPr>
        <w:spacing w:after="20"/>
        <w:jc w:val="both"/>
        <w:rPr>
          <w:rFonts w:ascii="Book Antiqua" w:hAnsi="Book Antiqua"/>
        </w:rPr>
      </w:pPr>
      <w:r w:rsidRPr="00143458">
        <w:rPr>
          <w:rFonts w:ascii="Book Antiqua" w:hAnsi="Book Antiqua"/>
        </w:rPr>
        <w:t>Destaca</w:t>
      </w:r>
      <w:r w:rsidR="00D93F6F">
        <w:rPr>
          <w:rFonts w:ascii="Book Antiqua" w:hAnsi="Book Antiqua"/>
        </w:rPr>
        <w:t>,</w:t>
      </w:r>
      <w:r w:rsidRPr="00143458">
        <w:rPr>
          <w:rFonts w:ascii="Book Antiqua" w:hAnsi="Book Antiqua"/>
        </w:rPr>
        <w:t xml:space="preserve"> en primer lugar</w:t>
      </w:r>
      <w:r w:rsidR="00D93F6F">
        <w:rPr>
          <w:rFonts w:ascii="Book Antiqua" w:hAnsi="Book Antiqua"/>
        </w:rPr>
        <w:t>,</w:t>
      </w:r>
      <w:r w:rsidRPr="00143458">
        <w:rPr>
          <w:rFonts w:ascii="Book Antiqua" w:hAnsi="Book Antiqua"/>
        </w:rPr>
        <w:t xml:space="preserve"> la escasa planificación urbana que considere la perspectiva de género y el enfoque gerontológico. Siguiendo los planteamientos de </w:t>
      </w:r>
      <w:proofErr w:type="spellStart"/>
      <w:r w:rsidRPr="00143458">
        <w:rPr>
          <w:rFonts w:ascii="Book Antiqua" w:hAnsi="Book Antiqua"/>
        </w:rPr>
        <w:t>Lafebvre</w:t>
      </w:r>
      <w:proofErr w:type="spellEnd"/>
      <w:r w:rsidRPr="00143458">
        <w:rPr>
          <w:rFonts w:ascii="Book Antiqua" w:hAnsi="Book Antiqua"/>
        </w:rPr>
        <w:t xml:space="preserve"> en Molano (2016)</w:t>
      </w:r>
      <w:r w:rsidR="00D93F6F">
        <w:rPr>
          <w:rFonts w:ascii="Book Antiqua" w:hAnsi="Book Antiqua"/>
        </w:rPr>
        <w:t>, se</w:t>
      </w:r>
      <w:r w:rsidRPr="00143458">
        <w:rPr>
          <w:rFonts w:ascii="Book Antiqua" w:hAnsi="Book Antiqua"/>
        </w:rPr>
        <w:t xml:space="preserve"> esboza la idea de problematizar el espacio, lo que es un tema central en la comprensión y análisis de cómo las personas mayores viven las ciudades y territorios, en específico las mujeres. </w:t>
      </w:r>
    </w:p>
    <w:p w14:paraId="6BA19D7C" w14:textId="77777777" w:rsidR="00D93F6F" w:rsidRDefault="00143458" w:rsidP="00D93F6F">
      <w:pPr>
        <w:spacing w:after="20"/>
        <w:jc w:val="both"/>
        <w:rPr>
          <w:rFonts w:ascii="Book Antiqua" w:hAnsi="Book Antiqua"/>
        </w:rPr>
      </w:pPr>
      <w:r w:rsidRPr="00143458">
        <w:rPr>
          <w:rFonts w:ascii="Book Antiqua" w:hAnsi="Book Antiqua"/>
        </w:rPr>
        <w:t>Para problematizar el espacio</w:t>
      </w:r>
      <w:r w:rsidR="00D93F6F">
        <w:rPr>
          <w:rFonts w:ascii="Book Antiqua" w:hAnsi="Book Antiqua"/>
        </w:rPr>
        <w:t>,</w:t>
      </w:r>
      <w:r w:rsidRPr="00143458">
        <w:rPr>
          <w:rFonts w:ascii="Book Antiqua" w:hAnsi="Book Antiqua"/>
        </w:rPr>
        <w:t xml:space="preserve"> </w:t>
      </w:r>
      <w:proofErr w:type="spellStart"/>
      <w:r w:rsidRPr="00143458">
        <w:rPr>
          <w:rFonts w:ascii="Book Antiqua" w:hAnsi="Book Antiqua"/>
        </w:rPr>
        <w:t>Lafebvre</w:t>
      </w:r>
      <w:proofErr w:type="spellEnd"/>
      <w:r w:rsidRPr="00143458">
        <w:rPr>
          <w:rFonts w:ascii="Book Antiqua" w:hAnsi="Book Antiqua"/>
        </w:rPr>
        <w:t xml:space="preserve"> desarrolla la idea de derecho a la ciudad, y </w:t>
      </w:r>
      <w:r w:rsidR="00D93F6F">
        <w:rPr>
          <w:rFonts w:ascii="Book Antiqua" w:hAnsi="Book Antiqua"/>
        </w:rPr>
        <w:t>se refiere a</w:t>
      </w:r>
      <w:r w:rsidRPr="00143458">
        <w:rPr>
          <w:rFonts w:ascii="Book Antiqua" w:hAnsi="Book Antiqua"/>
        </w:rPr>
        <w:t>l derecho de los habitantes urbanos a construir, decidir y crear la ciudad, y hacer en ésta aquello que llamaría</w:t>
      </w:r>
      <w:r w:rsidR="00D93F6F">
        <w:rPr>
          <w:rFonts w:ascii="Book Antiqua" w:hAnsi="Book Antiqua"/>
        </w:rPr>
        <w:t>,</w:t>
      </w:r>
      <w:r w:rsidRPr="00143458">
        <w:rPr>
          <w:rFonts w:ascii="Book Antiqua" w:hAnsi="Book Antiqua"/>
        </w:rPr>
        <w:t xml:space="preserve"> en términos muy generales</w:t>
      </w:r>
      <w:r w:rsidR="00D93F6F">
        <w:rPr>
          <w:rFonts w:ascii="Book Antiqua" w:hAnsi="Book Antiqua"/>
        </w:rPr>
        <w:t>,</w:t>
      </w:r>
      <w:r w:rsidRPr="00143458">
        <w:rPr>
          <w:rFonts w:ascii="Book Antiqua" w:hAnsi="Book Antiqua"/>
        </w:rPr>
        <w:t xml:space="preserve"> la producción social del espacio, proceso en el cual la vida cotidiana y el equilibrio entre los habitantes tendrían un importante peso. </w:t>
      </w:r>
    </w:p>
    <w:p w14:paraId="30D5E2B5" w14:textId="6B7B1355" w:rsidR="00D93F6F" w:rsidRDefault="00143458" w:rsidP="00D93F6F">
      <w:pPr>
        <w:spacing w:after="20"/>
        <w:jc w:val="both"/>
        <w:rPr>
          <w:rFonts w:ascii="Book Antiqua" w:hAnsi="Book Antiqua"/>
        </w:rPr>
      </w:pPr>
      <w:r w:rsidRPr="00143458">
        <w:rPr>
          <w:rFonts w:ascii="Book Antiqua" w:hAnsi="Book Antiqua"/>
        </w:rPr>
        <w:t>Este planteamiento resulta del todo vigente y pertinente para analizar formas de discriminación estructural y sistémica que enfrentan las mujeres mayores</w:t>
      </w:r>
      <w:r w:rsidR="00D93F6F">
        <w:rPr>
          <w:rFonts w:ascii="Book Antiqua" w:hAnsi="Book Antiqua"/>
        </w:rPr>
        <w:t xml:space="preserve">. </w:t>
      </w:r>
      <w:r w:rsidRPr="00143458">
        <w:rPr>
          <w:rFonts w:ascii="Book Antiqua" w:hAnsi="Book Antiqua"/>
        </w:rPr>
        <w:t xml:space="preserve">El derecho a la ciudad es poco accesible para muchas mujeres mayores, por cuestiones asociadas a la planificación urbana, accesibilidad a edificios, infraestructura y señalética adecuada, entre otros. </w:t>
      </w:r>
    </w:p>
    <w:p w14:paraId="34C87CA3" w14:textId="322396C2" w:rsidR="00143458" w:rsidRPr="00143458" w:rsidRDefault="00143458" w:rsidP="00D93F6F">
      <w:pPr>
        <w:spacing w:after="20"/>
        <w:jc w:val="both"/>
        <w:rPr>
          <w:rFonts w:ascii="Book Antiqua" w:hAnsi="Book Antiqua"/>
        </w:rPr>
      </w:pPr>
      <w:r w:rsidRPr="00143458">
        <w:rPr>
          <w:rFonts w:ascii="Book Antiqua" w:hAnsi="Book Antiqua"/>
        </w:rPr>
        <w:t>Par</w:t>
      </w:r>
      <w:r w:rsidR="00D93F6F">
        <w:rPr>
          <w:rFonts w:ascii="Book Antiqua" w:hAnsi="Book Antiqua"/>
        </w:rPr>
        <w:t>a</w:t>
      </w:r>
      <w:r w:rsidRPr="00143458">
        <w:rPr>
          <w:rFonts w:ascii="Book Antiqua" w:hAnsi="Book Antiqua"/>
        </w:rPr>
        <w:t xml:space="preserve"> resolver lo anterior se ha planteado la necesidad de la participación de los ciudadanos relegados en la toma de decisiones para readecuar los espacios y las condiciones de la ciudad. En este sent</w:t>
      </w:r>
      <w:r>
        <w:rPr>
          <w:rFonts w:ascii="Book Antiqua" w:hAnsi="Book Antiqua"/>
        </w:rPr>
        <w:t>i</w:t>
      </w:r>
      <w:r w:rsidRPr="00143458">
        <w:rPr>
          <w:rFonts w:ascii="Book Antiqua" w:hAnsi="Book Antiqua"/>
        </w:rPr>
        <w:t>d</w:t>
      </w:r>
      <w:r>
        <w:rPr>
          <w:rFonts w:ascii="Book Antiqua" w:hAnsi="Book Antiqua"/>
        </w:rPr>
        <w:t>o</w:t>
      </w:r>
      <w:r w:rsidRPr="00143458">
        <w:rPr>
          <w:rFonts w:ascii="Book Antiqua" w:hAnsi="Book Antiqua"/>
        </w:rPr>
        <w:t xml:space="preserve"> el programa Ciudades Amigables</w:t>
      </w:r>
      <w:r w:rsidR="00D93F6F">
        <w:rPr>
          <w:rFonts w:ascii="Book Antiqua" w:hAnsi="Book Antiqua"/>
        </w:rPr>
        <w:t>,</w:t>
      </w:r>
      <w:r w:rsidRPr="00143458">
        <w:rPr>
          <w:rFonts w:ascii="Book Antiqua" w:hAnsi="Book Antiqua"/>
        </w:rPr>
        <w:t xml:space="preserve"> ya mencionado, significa un gran avance.</w:t>
      </w:r>
    </w:p>
    <w:p w14:paraId="765BB14F" w14:textId="77777777" w:rsidR="00143458" w:rsidRPr="00143458" w:rsidRDefault="00143458" w:rsidP="00D93F6F">
      <w:pPr>
        <w:spacing w:after="20"/>
        <w:jc w:val="both"/>
        <w:rPr>
          <w:rFonts w:ascii="Book Antiqua" w:hAnsi="Book Antiqua"/>
        </w:rPr>
      </w:pPr>
      <w:r w:rsidRPr="00143458">
        <w:rPr>
          <w:rFonts w:ascii="Book Antiqua" w:hAnsi="Book Antiqua"/>
        </w:rPr>
        <w:t xml:space="preserve">Por otro lado, se observan escasos espacios de atención de salud sexual educativa e informativa, como programa específico. Si bien las mujeres mayores pueden consultar este tipo de preocupaciones, los estereotipos existentes ponen barreras tanto en ellas mismas como en la disponibilidad de oferta, dado que en el imaginario colectivo se han instalado la creencia de que las mujeres mayores no tendrían una sexualidad activa, y por lo mismo menor riesgo de contagio de enfermedades por transmisión sexual o conductas de esta índole. </w:t>
      </w:r>
    </w:p>
    <w:p w14:paraId="3A47605D" w14:textId="388C7040" w:rsidR="00143458" w:rsidRDefault="00143458" w:rsidP="00D93F6F">
      <w:pPr>
        <w:spacing w:after="20"/>
        <w:jc w:val="both"/>
        <w:rPr>
          <w:rFonts w:ascii="Book Antiqua" w:hAnsi="Book Antiqua"/>
        </w:rPr>
      </w:pPr>
      <w:r w:rsidRPr="00143458">
        <w:rPr>
          <w:rFonts w:ascii="Book Antiqua" w:hAnsi="Book Antiqua"/>
        </w:rPr>
        <w:t>Como se ha tocado anteriormente</w:t>
      </w:r>
      <w:r w:rsidR="00D93F6F">
        <w:rPr>
          <w:rFonts w:ascii="Book Antiqua" w:hAnsi="Book Antiqua"/>
        </w:rPr>
        <w:t>,</w:t>
      </w:r>
      <w:r w:rsidRPr="00143458">
        <w:rPr>
          <w:rFonts w:ascii="Book Antiqua" w:hAnsi="Book Antiqua"/>
        </w:rPr>
        <w:t xml:space="preserve"> existen desigualdades en el Sistema de Pensiones que tienen repercusiones profundas en las condiciones de vida las mujeres. Las mujeres viven más que los hombres, y se jubilan</w:t>
      </w:r>
      <w:r w:rsidR="00D93F6F">
        <w:rPr>
          <w:rFonts w:ascii="Book Antiqua" w:hAnsi="Book Antiqua"/>
        </w:rPr>
        <w:t>,</w:t>
      </w:r>
      <w:r w:rsidRPr="00143458">
        <w:rPr>
          <w:rFonts w:ascii="Book Antiqua" w:hAnsi="Book Antiqua"/>
        </w:rPr>
        <w:t xml:space="preserve"> por ley</w:t>
      </w:r>
      <w:r w:rsidR="00D93F6F">
        <w:rPr>
          <w:rFonts w:ascii="Book Antiqua" w:hAnsi="Book Antiqua"/>
        </w:rPr>
        <w:t>,</w:t>
      </w:r>
      <w:r w:rsidRPr="00143458">
        <w:rPr>
          <w:rFonts w:ascii="Book Antiqua" w:hAnsi="Book Antiqua"/>
        </w:rPr>
        <w:t xml:space="preserve"> 5 años antes. Esto implica que reciban una pensión más baja en relación a la de los hombres y, al mismo tiempo, al ser más longevas, deben sostener las condiciones materiales con menores recursos y por un mayor tiempo. Esto las sitúa, por condiciones estructurales, en una situación de mayor precariedad y vulnerabilidad.</w:t>
      </w:r>
    </w:p>
    <w:p w14:paraId="0FBD956D" w14:textId="77777777" w:rsidR="00D93F6F" w:rsidRDefault="00D93F6F" w:rsidP="00D93F6F">
      <w:pPr>
        <w:spacing w:after="20"/>
        <w:jc w:val="both"/>
        <w:rPr>
          <w:rFonts w:ascii="Book Antiqua" w:hAnsi="Book Antiqua"/>
        </w:rPr>
      </w:pPr>
    </w:p>
    <w:p w14:paraId="1D6FFADB" w14:textId="26EB8FB2" w:rsidR="00143458" w:rsidRPr="00143458" w:rsidRDefault="00143458" w:rsidP="00D93F6F">
      <w:pPr>
        <w:spacing w:line="360" w:lineRule="auto"/>
        <w:jc w:val="both"/>
        <w:rPr>
          <w:rFonts w:ascii="Book Antiqua" w:hAnsi="Book Antiqua"/>
          <w:i/>
          <w:sz w:val="24"/>
          <w:szCs w:val="24"/>
        </w:rPr>
      </w:pPr>
      <w:r w:rsidRPr="00143458">
        <w:rPr>
          <w:rFonts w:ascii="Book Antiqua" w:hAnsi="Book Antiqua"/>
          <w:i/>
          <w:sz w:val="24"/>
          <w:szCs w:val="24"/>
        </w:rPr>
        <w:t>9. ¿De qué manera los factores intersectoriales exacerban el efecto combinado de la discriminación por motivos de edad y sexismo, incluida la perspectiva de las mujeres LGBTI de edad, las mujeres con discapacidad, las mujeres migrantes de edad, las mujeres de edad pertenecientes a grupos indígenas y minoritarios, etc.?</w:t>
      </w:r>
    </w:p>
    <w:p w14:paraId="3DBA71C4" w14:textId="09518278" w:rsidR="00143458" w:rsidRPr="00143458" w:rsidRDefault="00143458" w:rsidP="00143458">
      <w:pPr>
        <w:jc w:val="both"/>
        <w:rPr>
          <w:rFonts w:ascii="Book Antiqua" w:hAnsi="Book Antiqua"/>
        </w:rPr>
      </w:pPr>
      <w:r w:rsidRPr="00143458">
        <w:rPr>
          <w:rFonts w:ascii="Book Antiqua" w:hAnsi="Book Antiqua"/>
        </w:rPr>
        <w:t xml:space="preserve">Las personas mayores se encuentran en una situación especial de vulnerabilidad lo que las hace ser sujetos especiales de protección. Al estar en alguna otra categoría adicional se ven expuestas a discriminación múltiple por estar en una condición de doble vulnerabilidad o triple vulnerabilidad o menoscabo de sus derechos, concepto que se explica anteriormente bajo el paraguas de la </w:t>
      </w:r>
      <w:proofErr w:type="spellStart"/>
      <w:r w:rsidRPr="00143458">
        <w:rPr>
          <w:rFonts w:ascii="Book Antiqua" w:hAnsi="Book Antiqua"/>
        </w:rPr>
        <w:t>interseccionalidad</w:t>
      </w:r>
      <w:proofErr w:type="spellEnd"/>
      <w:r w:rsidRPr="00143458">
        <w:rPr>
          <w:rFonts w:ascii="Book Antiqua" w:hAnsi="Book Antiqua"/>
        </w:rPr>
        <w:t xml:space="preserve">.  </w:t>
      </w:r>
    </w:p>
    <w:p w14:paraId="5002F560" w14:textId="5CF5D54F" w:rsidR="00143458" w:rsidRDefault="00143458" w:rsidP="00143458">
      <w:pPr>
        <w:spacing w:line="360" w:lineRule="auto"/>
        <w:jc w:val="both"/>
        <w:rPr>
          <w:rFonts w:ascii="Book Antiqua" w:hAnsi="Book Antiqua"/>
          <w:i/>
          <w:sz w:val="24"/>
          <w:szCs w:val="24"/>
        </w:rPr>
      </w:pPr>
      <w:r>
        <w:rPr>
          <w:rFonts w:ascii="Book Antiqua" w:hAnsi="Book Antiqua"/>
          <w:i/>
          <w:sz w:val="24"/>
          <w:szCs w:val="24"/>
        </w:rPr>
        <w:t xml:space="preserve">10. </w:t>
      </w:r>
      <w:r w:rsidRPr="00143458">
        <w:rPr>
          <w:rFonts w:ascii="Book Antiqua" w:hAnsi="Book Antiqua"/>
          <w:i/>
          <w:sz w:val="24"/>
          <w:szCs w:val="24"/>
        </w:rPr>
        <w:t>Qué formas adopta la violencia de género y el abuso contra las mujeres de edad y cómo prevalece esa violencia</w:t>
      </w:r>
      <w:proofErr w:type="gramStart"/>
      <w:r w:rsidRPr="00143458">
        <w:rPr>
          <w:rFonts w:ascii="Book Antiqua" w:hAnsi="Book Antiqua"/>
          <w:i/>
          <w:sz w:val="24"/>
          <w:szCs w:val="24"/>
        </w:rPr>
        <w:t>?</w:t>
      </w:r>
      <w:proofErr w:type="gramEnd"/>
      <w:r w:rsidRPr="00143458">
        <w:rPr>
          <w:rFonts w:ascii="Book Antiqua" w:hAnsi="Book Antiqua"/>
          <w:i/>
          <w:sz w:val="24"/>
          <w:szCs w:val="24"/>
        </w:rPr>
        <w:t xml:space="preserve"> Sírvase compartir los datos y estadísticas disponibles, incluido en relación a los feminicidios.</w:t>
      </w:r>
    </w:p>
    <w:p w14:paraId="439F8938" w14:textId="77777777" w:rsidR="00D93F6F" w:rsidRDefault="00143458" w:rsidP="00D93F6F">
      <w:pPr>
        <w:pStyle w:val="ListParagraph"/>
        <w:numPr>
          <w:ilvl w:val="0"/>
          <w:numId w:val="34"/>
        </w:numPr>
        <w:spacing w:after="20"/>
        <w:jc w:val="both"/>
        <w:rPr>
          <w:rFonts w:ascii="Book Antiqua" w:hAnsi="Book Antiqua"/>
        </w:rPr>
      </w:pPr>
      <w:r w:rsidRPr="00D93F6F">
        <w:rPr>
          <w:rFonts w:ascii="Book Antiqua" w:hAnsi="Book Antiqua"/>
        </w:rPr>
        <w:t xml:space="preserve">Más de 900 mujeres adultas mayores pasaron por algún Centro de la Mujer durante el 2019. </w:t>
      </w:r>
      <w:r w:rsidR="00D93F6F" w:rsidRPr="00D93F6F">
        <w:rPr>
          <w:rFonts w:ascii="Book Antiqua" w:hAnsi="Book Antiqua"/>
        </w:rPr>
        <w:t xml:space="preserve"> </w:t>
      </w:r>
      <w:r w:rsidRPr="00D93F6F">
        <w:rPr>
          <w:rFonts w:ascii="Book Antiqua" w:hAnsi="Book Antiqua"/>
        </w:rPr>
        <w:t>Mientras, en las Casas de Acogida</w:t>
      </w:r>
      <w:r w:rsidR="00D93F6F" w:rsidRPr="00D93F6F">
        <w:rPr>
          <w:rFonts w:ascii="Book Antiqua" w:hAnsi="Book Antiqua"/>
        </w:rPr>
        <w:t>,</w:t>
      </w:r>
      <w:r w:rsidRPr="00D93F6F">
        <w:rPr>
          <w:rFonts w:ascii="Book Antiqua" w:hAnsi="Book Antiqua"/>
        </w:rPr>
        <w:t xml:space="preserve"> la cifra llegó a 8 usuarias durante el año 2018.</w:t>
      </w:r>
    </w:p>
    <w:p w14:paraId="0ECDD6C5" w14:textId="77777777" w:rsidR="00D93F6F" w:rsidRDefault="00143458" w:rsidP="00D93F6F">
      <w:pPr>
        <w:pStyle w:val="ListParagraph"/>
        <w:numPr>
          <w:ilvl w:val="0"/>
          <w:numId w:val="34"/>
        </w:numPr>
        <w:spacing w:after="20"/>
        <w:jc w:val="both"/>
        <w:rPr>
          <w:rFonts w:ascii="Book Antiqua" w:hAnsi="Book Antiqua"/>
        </w:rPr>
      </w:pPr>
      <w:r w:rsidRPr="00D93F6F">
        <w:rPr>
          <w:rFonts w:ascii="Book Antiqua" w:hAnsi="Book Antiqua"/>
        </w:rPr>
        <w:t xml:space="preserve">En 2019 hubo un total de 43 </w:t>
      </w:r>
      <w:proofErr w:type="spellStart"/>
      <w:r w:rsidRPr="00D93F6F">
        <w:rPr>
          <w:rFonts w:ascii="Book Antiqua" w:hAnsi="Book Antiqua"/>
        </w:rPr>
        <w:t>femicidios</w:t>
      </w:r>
      <w:proofErr w:type="spellEnd"/>
      <w:r w:rsidRPr="00D93F6F">
        <w:rPr>
          <w:rFonts w:ascii="Book Antiqua" w:hAnsi="Book Antiqua"/>
        </w:rPr>
        <w:t xml:space="preserve"> consumados y de ellos en 3 las víctimas fueron adultas mayores. De los 108 </w:t>
      </w:r>
      <w:proofErr w:type="spellStart"/>
      <w:r w:rsidRPr="00D93F6F">
        <w:rPr>
          <w:rFonts w:ascii="Book Antiqua" w:hAnsi="Book Antiqua"/>
        </w:rPr>
        <w:t>femicidios</w:t>
      </w:r>
      <w:proofErr w:type="spellEnd"/>
      <w:r w:rsidRPr="00D93F6F">
        <w:rPr>
          <w:rFonts w:ascii="Book Antiqua" w:hAnsi="Book Antiqua"/>
        </w:rPr>
        <w:t xml:space="preserve"> frustrados de 2018, solo 1 fue de una víctima en la tercera edad</w:t>
      </w:r>
      <w:r w:rsidR="00E80368">
        <w:rPr>
          <w:rStyle w:val="FootnoteReference"/>
          <w:rFonts w:ascii="Book Antiqua" w:hAnsi="Book Antiqua"/>
        </w:rPr>
        <w:footnoteReference w:id="6"/>
      </w:r>
      <w:r w:rsidRPr="00D93F6F">
        <w:rPr>
          <w:rFonts w:ascii="Book Antiqua" w:hAnsi="Book Antiqua"/>
        </w:rPr>
        <w:t>.</w:t>
      </w:r>
    </w:p>
    <w:p w14:paraId="0ABC17B5" w14:textId="77777777" w:rsidR="00D93F6F" w:rsidRDefault="00143458" w:rsidP="00D93F6F">
      <w:pPr>
        <w:pStyle w:val="ListParagraph"/>
        <w:numPr>
          <w:ilvl w:val="0"/>
          <w:numId w:val="34"/>
        </w:numPr>
        <w:spacing w:after="20"/>
        <w:jc w:val="both"/>
        <w:rPr>
          <w:rFonts w:ascii="Book Antiqua" w:hAnsi="Book Antiqua"/>
        </w:rPr>
      </w:pPr>
      <w:r w:rsidRPr="00D93F6F">
        <w:rPr>
          <w:rFonts w:ascii="Book Antiqua" w:hAnsi="Book Antiqua"/>
        </w:rPr>
        <w:t>Según la IV Encuesta de Violencia contra la Mujer en el Ámbito de Violencia Intrafamiliar y en Otros Espacios (ENVIF-VCM) de la Subsecretaría de Prevención del Delito del Ministerio del Interior y Seguridad Pública, la Violencia contra la Mujer Adulta Mayor (de 65 y más) llega a un 14,1% a nivel nacional</w:t>
      </w:r>
      <w:r w:rsidR="00E80368">
        <w:rPr>
          <w:rStyle w:val="FootnoteReference"/>
          <w:rFonts w:ascii="Book Antiqua" w:hAnsi="Book Antiqua"/>
        </w:rPr>
        <w:footnoteReference w:id="7"/>
      </w:r>
      <w:r w:rsidRPr="00D93F6F">
        <w:rPr>
          <w:rFonts w:ascii="Book Antiqua" w:hAnsi="Book Antiqua"/>
        </w:rPr>
        <w:t xml:space="preserve">. </w:t>
      </w:r>
    </w:p>
    <w:p w14:paraId="04C4DC21" w14:textId="56F4DC81" w:rsidR="00143458" w:rsidRPr="00D93F6F" w:rsidRDefault="00143458" w:rsidP="00D93F6F">
      <w:pPr>
        <w:pStyle w:val="ListParagraph"/>
        <w:numPr>
          <w:ilvl w:val="0"/>
          <w:numId w:val="34"/>
        </w:numPr>
        <w:spacing w:after="20"/>
        <w:jc w:val="both"/>
        <w:rPr>
          <w:rFonts w:ascii="Book Antiqua" w:hAnsi="Book Antiqua"/>
        </w:rPr>
      </w:pPr>
      <w:r w:rsidRPr="00D93F6F">
        <w:rPr>
          <w:rFonts w:ascii="Book Antiqua" w:hAnsi="Book Antiqua"/>
        </w:rPr>
        <w:t>Unido a lo anterior, de todos los tipos de violencia mencionados en el estudio, la mayor prevalencia se ubica en la VIF Psicológica, con un 30,9 %.</w:t>
      </w:r>
    </w:p>
    <w:p w14:paraId="7228F44D" w14:textId="77777777" w:rsidR="00D93F6F" w:rsidRDefault="00D93F6F" w:rsidP="00D93F6F">
      <w:pPr>
        <w:spacing w:after="20"/>
        <w:jc w:val="both"/>
        <w:rPr>
          <w:rFonts w:ascii="Book Antiqua" w:hAnsi="Book Antiqua"/>
        </w:rPr>
      </w:pPr>
    </w:p>
    <w:p w14:paraId="6432984C" w14:textId="5A09604E" w:rsidR="00143458" w:rsidRDefault="00143458" w:rsidP="00143458">
      <w:pPr>
        <w:spacing w:line="360" w:lineRule="auto"/>
        <w:jc w:val="both"/>
        <w:rPr>
          <w:rFonts w:ascii="Book Antiqua" w:hAnsi="Book Antiqua"/>
          <w:i/>
          <w:sz w:val="24"/>
          <w:szCs w:val="24"/>
        </w:rPr>
      </w:pPr>
      <w:r w:rsidRPr="00143458">
        <w:rPr>
          <w:rFonts w:ascii="Book Antiqua" w:hAnsi="Book Antiqua"/>
          <w:i/>
          <w:sz w:val="24"/>
          <w:szCs w:val="24"/>
        </w:rPr>
        <w:t>11</w:t>
      </w:r>
      <w:proofErr w:type="gramStart"/>
      <w:r w:rsidRPr="00143458">
        <w:rPr>
          <w:rFonts w:ascii="Book Antiqua" w:hAnsi="Book Antiqua"/>
          <w:i/>
          <w:sz w:val="24"/>
          <w:szCs w:val="24"/>
        </w:rPr>
        <w:t>.Sírvase</w:t>
      </w:r>
      <w:proofErr w:type="gramEnd"/>
      <w:r w:rsidRPr="00143458">
        <w:rPr>
          <w:rFonts w:ascii="Book Antiqua" w:hAnsi="Book Antiqua"/>
          <w:i/>
          <w:sz w:val="24"/>
          <w:szCs w:val="24"/>
        </w:rPr>
        <w:t xml:space="preserve"> dar ejemplos de la forma en que la perspectiva del ciclo vital se integra en las políticas y programas para prevenir y abordar la violencia de género contra las mujeres y las niñas.</w:t>
      </w:r>
    </w:p>
    <w:p w14:paraId="15F132FC" w14:textId="3C893E82" w:rsidR="00143458" w:rsidRPr="00143458" w:rsidRDefault="00143458" w:rsidP="00D93F6F">
      <w:pPr>
        <w:spacing w:after="20"/>
        <w:jc w:val="both"/>
        <w:rPr>
          <w:rFonts w:ascii="Book Antiqua" w:hAnsi="Book Antiqua"/>
        </w:rPr>
      </w:pPr>
      <w:r w:rsidRPr="00143458">
        <w:rPr>
          <w:rFonts w:ascii="Book Antiqua" w:hAnsi="Book Antiqua"/>
        </w:rPr>
        <w:t xml:space="preserve">Desde el Servicio Nacional del Adulto Mayor, una iniciativa para integrar la perspectiva de género es el “Protocolo de Orientación, Derivación o Acompañamiento de Mujeres y Hombres Mayores víctimas de violencia intrafamiliar o maltrato del Servicio Nacional del Adulto Mayor”, aprobado por Resolución exenta Nº 2.272 de fecha 9 de diciembre de 2019. Este protocolo busca visibilizar ciertas situaciones que determinan que hombres y mujeres mayores viven la violencia de manera distinta. </w:t>
      </w:r>
    </w:p>
    <w:p w14:paraId="157F4789" w14:textId="434FABAF" w:rsidR="00143458" w:rsidRPr="00143458" w:rsidRDefault="00143458" w:rsidP="00D93F6F">
      <w:pPr>
        <w:spacing w:after="20"/>
        <w:jc w:val="both"/>
        <w:rPr>
          <w:rFonts w:ascii="Book Antiqua" w:hAnsi="Book Antiqua"/>
        </w:rPr>
      </w:pPr>
      <w:r w:rsidRPr="00143458">
        <w:rPr>
          <w:rFonts w:ascii="Book Antiqua" w:hAnsi="Book Antiqua"/>
        </w:rPr>
        <w:t>Según datos del Programa Buen Trato al Adulto Mayor, del total de atenciones recibidas durante el año 2018, un 81,45% se vincula a casos de violencia intrafamiliar, ya sea que se incorporan por demanda espontánea</w:t>
      </w:r>
      <w:r w:rsidR="00D93F6F">
        <w:rPr>
          <w:rFonts w:ascii="Book Antiqua" w:hAnsi="Book Antiqua"/>
        </w:rPr>
        <w:t>,</w:t>
      </w:r>
      <w:r w:rsidRPr="00143458">
        <w:rPr>
          <w:rFonts w:ascii="Book Antiqua" w:hAnsi="Book Antiqua"/>
        </w:rPr>
        <w:t xml:space="preserve"> o bien</w:t>
      </w:r>
      <w:r w:rsidR="00D93F6F">
        <w:rPr>
          <w:rFonts w:ascii="Book Antiqua" w:hAnsi="Book Antiqua"/>
        </w:rPr>
        <w:t>,</w:t>
      </w:r>
      <w:r w:rsidRPr="00143458">
        <w:rPr>
          <w:rFonts w:ascii="Book Antiqua" w:hAnsi="Book Antiqua"/>
        </w:rPr>
        <w:t xml:space="preserve"> son derivados desde tribunales o </w:t>
      </w:r>
      <w:r w:rsidR="00D93F6F">
        <w:rPr>
          <w:rFonts w:ascii="Book Antiqua" w:hAnsi="Book Antiqua"/>
        </w:rPr>
        <w:t>desde el M</w:t>
      </w:r>
      <w:r w:rsidRPr="00143458">
        <w:rPr>
          <w:rFonts w:ascii="Book Antiqua" w:hAnsi="Book Antiqua"/>
        </w:rPr>
        <w:t xml:space="preserve">inisterio </w:t>
      </w:r>
      <w:r w:rsidR="00D93F6F">
        <w:rPr>
          <w:rFonts w:ascii="Book Antiqua" w:hAnsi="Book Antiqua"/>
        </w:rPr>
        <w:t>P</w:t>
      </w:r>
      <w:r w:rsidRPr="00143458">
        <w:rPr>
          <w:rFonts w:ascii="Book Antiqua" w:hAnsi="Book Antiqua"/>
        </w:rPr>
        <w:t>úblico. De estos casos, un 64,16</w:t>
      </w:r>
      <w:r w:rsidR="00D93F6F">
        <w:rPr>
          <w:rFonts w:ascii="Book Antiqua" w:hAnsi="Book Antiqua"/>
        </w:rPr>
        <w:t>%</w:t>
      </w:r>
      <w:r w:rsidRPr="00143458">
        <w:rPr>
          <w:rFonts w:ascii="Book Antiqua" w:hAnsi="Book Antiqua"/>
        </w:rPr>
        <w:t xml:space="preserve"> corresponde a mujeres y un 35,7%</w:t>
      </w:r>
      <w:r w:rsidR="00D93F6F">
        <w:rPr>
          <w:rFonts w:ascii="Book Antiqua" w:hAnsi="Book Antiqua"/>
        </w:rPr>
        <w:t>,</w:t>
      </w:r>
      <w:r w:rsidRPr="00143458">
        <w:rPr>
          <w:rFonts w:ascii="Book Antiqua" w:hAnsi="Book Antiqua"/>
        </w:rPr>
        <w:t xml:space="preserve"> a hombres.</w:t>
      </w:r>
    </w:p>
    <w:p w14:paraId="35D4559A" w14:textId="42DF002C" w:rsidR="00143458" w:rsidRPr="00143458" w:rsidRDefault="00143458" w:rsidP="00D93F6F">
      <w:pPr>
        <w:spacing w:after="20"/>
        <w:jc w:val="both"/>
        <w:rPr>
          <w:rFonts w:ascii="Book Antiqua" w:hAnsi="Book Antiqua"/>
        </w:rPr>
      </w:pPr>
      <w:r w:rsidRPr="00143458">
        <w:rPr>
          <w:rFonts w:ascii="Book Antiqua" w:hAnsi="Book Antiqua"/>
        </w:rPr>
        <w:t xml:space="preserve">Si bien SENAMA no cuenta con las facultades legales y atribuciones administrativas para representar a adultos mayores en procedimientos judiciales de manera directa en casos de violencia intrafamiliar o maltrato al adulto mayor, sí puede desarrollar orientación legal, coordinación, derivación, acompañamiento (sólo en casos específicos) y/o articulación con las redes de salud, sociales, municipales, territoriales, auxiliares de justicia, etc. </w:t>
      </w:r>
      <w:r w:rsidR="004F797B">
        <w:rPr>
          <w:rFonts w:ascii="Book Antiqua" w:hAnsi="Book Antiqua"/>
        </w:rPr>
        <w:t xml:space="preserve">Así, </w:t>
      </w:r>
      <w:r w:rsidRPr="00143458">
        <w:rPr>
          <w:rFonts w:ascii="Book Antiqua" w:hAnsi="Book Antiqua"/>
        </w:rPr>
        <w:t>SENAMA trabaja activamente con la institucionalidad inserta</w:t>
      </w:r>
      <w:r w:rsidR="004F797B">
        <w:rPr>
          <w:rFonts w:ascii="Book Antiqua" w:hAnsi="Book Antiqua"/>
        </w:rPr>
        <w:t xml:space="preserve"> </w:t>
      </w:r>
      <w:r w:rsidRPr="00143458">
        <w:rPr>
          <w:rFonts w:ascii="Book Antiqua" w:hAnsi="Book Antiqua"/>
        </w:rPr>
        <w:t>en los diferentes territorios, para posibilitar y gestionar la atención de los contextos de maltrato que afecten a las personas mayores.</w:t>
      </w:r>
    </w:p>
    <w:p w14:paraId="34C0689A" w14:textId="22969715" w:rsidR="00143458" w:rsidRDefault="00143458" w:rsidP="00D93F6F">
      <w:pPr>
        <w:jc w:val="both"/>
        <w:rPr>
          <w:rFonts w:ascii="Book Antiqua" w:hAnsi="Book Antiqua"/>
        </w:rPr>
      </w:pPr>
      <w:r w:rsidRPr="00143458">
        <w:rPr>
          <w:rFonts w:ascii="Book Antiqua" w:hAnsi="Book Antiqua"/>
        </w:rPr>
        <w:t>Por otra parte, el SENAMA y SERNAMEG firmaron un Convenio sobre la prevención de la Violencia en Adultos Mayores el año 2020. Este acuerdo busca facilitar el acceso de la población mayor a los programas de ambas instituciones.</w:t>
      </w:r>
    </w:p>
    <w:p w14:paraId="062EC9B0" w14:textId="67037366" w:rsidR="00143458" w:rsidRDefault="00143458" w:rsidP="00143458">
      <w:pPr>
        <w:spacing w:line="360" w:lineRule="auto"/>
        <w:jc w:val="both"/>
        <w:rPr>
          <w:rFonts w:ascii="Book Antiqua" w:hAnsi="Book Antiqua"/>
          <w:i/>
          <w:sz w:val="24"/>
          <w:szCs w:val="24"/>
        </w:rPr>
      </w:pPr>
      <w:r w:rsidRPr="00143458">
        <w:rPr>
          <w:rFonts w:ascii="Book Antiqua" w:hAnsi="Book Antiqua"/>
          <w:i/>
          <w:sz w:val="24"/>
          <w:szCs w:val="24"/>
        </w:rPr>
        <w:t>12. Sírvase compartir información sobre los mecanismos de denuncia, rendición de cuentas, reparación y protección disponibles y destinados a las mujeres de edad víctimas de la violencia y la discriminación por motivos de género.</w:t>
      </w:r>
    </w:p>
    <w:p w14:paraId="29EBA6EC" w14:textId="38488D97" w:rsidR="00143458" w:rsidRPr="00143458" w:rsidRDefault="00143458" w:rsidP="004F797B">
      <w:pPr>
        <w:spacing w:after="20"/>
        <w:jc w:val="both"/>
        <w:rPr>
          <w:rFonts w:ascii="Book Antiqua" w:hAnsi="Book Antiqua"/>
        </w:rPr>
      </w:pPr>
      <w:r w:rsidRPr="00143458">
        <w:rPr>
          <w:rFonts w:ascii="Book Antiqua" w:hAnsi="Book Antiqua"/>
        </w:rPr>
        <w:t>El Sistema Integral de Información y Atención Ciudadana (SIAC) de la cual es parte la Oficina de informaciones, Reclamos, Sugerencias y Felicitaciones (OIRS), es una iniciativa para dotar a los servicios públicos, de dispositivos eficientes de atención a personas usuarias, constituyéndose como espacios de atención y comunicación que permite a las personas entrar en contacto con los diferentes Servicios, así como vincularse con otras reparticiones públicas, garantizando el acceso oportuno a información, sin discriminación de ninguna especie.</w:t>
      </w:r>
    </w:p>
    <w:p w14:paraId="506F72EA" w14:textId="77777777" w:rsidR="00143458" w:rsidRPr="00143458" w:rsidRDefault="00143458" w:rsidP="004F797B">
      <w:pPr>
        <w:spacing w:after="20"/>
        <w:jc w:val="both"/>
        <w:rPr>
          <w:rFonts w:ascii="Book Antiqua" w:hAnsi="Book Antiqua"/>
        </w:rPr>
      </w:pPr>
      <w:r w:rsidRPr="00143458">
        <w:rPr>
          <w:rFonts w:ascii="Book Antiqua" w:hAnsi="Book Antiqua"/>
        </w:rPr>
        <w:t xml:space="preserve">El Fono Mayor es uno de los canales de atención del Sistema Integral de Información y Atención Ciudadana (SIAC) de SENAMA, al cual ya se hizo referencia. Hoy funciona como Fono Mayor </w:t>
      </w:r>
      <w:proofErr w:type="spellStart"/>
      <w:r w:rsidRPr="00143458">
        <w:rPr>
          <w:rFonts w:ascii="Book Antiqua" w:hAnsi="Book Antiqua"/>
        </w:rPr>
        <w:t>Covid</w:t>
      </w:r>
      <w:proofErr w:type="spellEnd"/>
      <w:r w:rsidRPr="00143458">
        <w:rPr>
          <w:rFonts w:ascii="Book Antiqua" w:hAnsi="Book Antiqua"/>
        </w:rPr>
        <w:t xml:space="preserve"> 19, en el marco de la pandemia. Esta línea de acción se visto fortalecida para promover que el aislamiento físico de las personas mayores, necesario para la prevención de contagios y autocuidado, no se transforme en aislamiento social, entre otros aspectos.</w:t>
      </w:r>
    </w:p>
    <w:p w14:paraId="5E986A46" w14:textId="1E700B58" w:rsidR="00143458" w:rsidRPr="00143458" w:rsidRDefault="00143458" w:rsidP="004F797B">
      <w:pPr>
        <w:spacing w:after="20"/>
        <w:jc w:val="both"/>
        <w:rPr>
          <w:rFonts w:ascii="Book Antiqua" w:hAnsi="Book Antiqua"/>
        </w:rPr>
      </w:pPr>
      <w:r w:rsidRPr="00143458">
        <w:rPr>
          <w:rFonts w:ascii="Book Antiqua" w:hAnsi="Book Antiqua"/>
        </w:rPr>
        <w:t xml:space="preserve">Asimismo, desde el Programa Buen Trato al Adulto Mayor de SENAMA, se cuenta con la figura del Defensor Mayor, quien entrega asesoría especializada y derivación oportuna hacia los dispositivos y también a través de los oficios se informa a las entidades competentes de posibles vulneraciones de derechos a las personas mayores.   Unido a lo anterior, existen articulaciones y coordinaciones con la Red de Asistencia a Víctimas (RAV) y con </w:t>
      </w:r>
      <w:proofErr w:type="spellStart"/>
      <w:r w:rsidRPr="00143458">
        <w:rPr>
          <w:rFonts w:ascii="Book Antiqua" w:hAnsi="Book Antiqua"/>
        </w:rPr>
        <w:t>SernamEG</w:t>
      </w:r>
      <w:proofErr w:type="spellEnd"/>
      <w:r w:rsidRPr="00143458">
        <w:rPr>
          <w:rFonts w:ascii="Book Antiqua" w:hAnsi="Book Antiqua"/>
        </w:rPr>
        <w:t>.</w:t>
      </w:r>
    </w:p>
    <w:p w14:paraId="4FA4ACFB" w14:textId="77777777" w:rsidR="00143458" w:rsidRPr="00143458" w:rsidRDefault="00143458" w:rsidP="004F797B">
      <w:pPr>
        <w:spacing w:after="20"/>
        <w:jc w:val="both"/>
        <w:rPr>
          <w:rFonts w:ascii="Book Antiqua" w:hAnsi="Book Antiqua"/>
        </w:rPr>
      </w:pPr>
      <w:r w:rsidRPr="00143458">
        <w:rPr>
          <w:rFonts w:ascii="Book Antiqua" w:hAnsi="Book Antiqua"/>
        </w:rPr>
        <w:t xml:space="preserve">Finalmente, reiterar que SENAMA no es un canal formal de denuncia, sino que </w:t>
      </w:r>
      <w:proofErr w:type="gramStart"/>
      <w:r w:rsidRPr="00143458">
        <w:rPr>
          <w:rFonts w:ascii="Book Antiqua" w:hAnsi="Book Antiqua"/>
        </w:rPr>
        <w:t>éstas</w:t>
      </w:r>
      <w:proofErr w:type="gramEnd"/>
      <w:r w:rsidRPr="00143458">
        <w:rPr>
          <w:rFonts w:ascii="Book Antiqua" w:hAnsi="Book Antiqua"/>
        </w:rPr>
        <w:t xml:space="preserve"> son realizadas ante las Policías (PDI, Carabineros), Ministerio Público (Fiscalías) y Poder Judicial (Tribunales). </w:t>
      </w:r>
    </w:p>
    <w:p w14:paraId="0A6F0519" w14:textId="5B8652C8" w:rsidR="00143458" w:rsidRPr="00143458" w:rsidRDefault="00143458" w:rsidP="004F797B">
      <w:pPr>
        <w:spacing w:after="20"/>
        <w:jc w:val="both"/>
        <w:rPr>
          <w:rFonts w:ascii="Book Antiqua" w:hAnsi="Book Antiqua"/>
        </w:rPr>
      </w:pPr>
      <w:r w:rsidRPr="00143458">
        <w:rPr>
          <w:rFonts w:ascii="Book Antiqua" w:hAnsi="Book Antiqua"/>
        </w:rPr>
        <w:t xml:space="preserve">Señalar que la reparación y protección disponibles y </w:t>
      </w:r>
      <w:proofErr w:type="gramStart"/>
      <w:r w:rsidRPr="00143458">
        <w:rPr>
          <w:rFonts w:ascii="Book Antiqua" w:hAnsi="Book Antiqua"/>
        </w:rPr>
        <w:t>destinados</w:t>
      </w:r>
      <w:proofErr w:type="gramEnd"/>
      <w:r w:rsidRPr="00143458">
        <w:rPr>
          <w:rFonts w:ascii="Book Antiqua" w:hAnsi="Book Antiqua"/>
        </w:rPr>
        <w:t xml:space="preserve"> a las mujeres de edad es abordado desde el </w:t>
      </w:r>
      <w:proofErr w:type="spellStart"/>
      <w:r w:rsidRPr="00143458">
        <w:rPr>
          <w:rFonts w:ascii="Book Antiqua" w:hAnsi="Book Antiqua"/>
        </w:rPr>
        <w:t>SernamEG</w:t>
      </w:r>
      <w:proofErr w:type="spellEnd"/>
      <w:r w:rsidRPr="00143458">
        <w:rPr>
          <w:rFonts w:ascii="Book Antiqua" w:hAnsi="Book Antiqua"/>
        </w:rPr>
        <w:t xml:space="preserve"> (Servicio Nacional de la mujer y la Equidad de Género</w:t>
      </w:r>
      <w:r w:rsidR="004F797B">
        <w:rPr>
          <w:rFonts w:ascii="Book Antiqua" w:hAnsi="Book Antiqua"/>
        </w:rPr>
        <w:t xml:space="preserve">). </w:t>
      </w:r>
    </w:p>
    <w:p w14:paraId="523559A3" w14:textId="10C7CF03" w:rsidR="00A30FF8" w:rsidRDefault="00A30FF8" w:rsidP="00C64E0C">
      <w:pPr>
        <w:jc w:val="both"/>
        <w:rPr>
          <w:rFonts w:ascii="Book Antiqua" w:hAnsi="Book Antiqua"/>
          <w:sz w:val="24"/>
          <w:szCs w:val="24"/>
        </w:rPr>
      </w:pPr>
      <w:r>
        <w:rPr>
          <w:rFonts w:ascii="Book Antiqua" w:hAnsi="Book Antiqua"/>
          <w:sz w:val="24"/>
          <w:szCs w:val="24"/>
        </w:rPr>
        <w:br w:type="page"/>
      </w:r>
    </w:p>
    <w:p w14:paraId="02284A38" w14:textId="77777777" w:rsidR="00A30FF8" w:rsidRPr="00A30FF8" w:rsidRDefault="00A30FF8" w:rsidP="00A30FF8">
      <w:pPr>
        <w:ind w:hanging="2"/>
        <w:jc w:val="both"/>
        <w:rPr>
          <w:rFonts w:ascii="Book Antiqua" w:hAnsi="Book Antiqua"/>
          <w:b/>
          <w:sz w:val="24"/>
          <w:szCs w:val="24"/>
        </w:rPr>
      </w:pPr>
      <w:r w:rsidRPr="00A30FF8">
        <w:rPr>
          <w:rFonts w:ascii="Book Antiqua" w:hAnsi="Book Antiqua"/>
          <w:b/>
          <w:sz w:val="24"/>
          <w:szCs w:val="24"/>
        </w:rPr>
        <w:t>Referencias</w:t>
      </w:r>
    </w:p>
    <w:p w14:paraId="5EB401AF" w14:textId="77777777" w:rsidR="00A30FF8" w:rsidRPr="00A30FF8" w:rsidRDefault="00A30FF8" w:rsidP="00A30FF8">
      <w:pPr>
        <w:pStyle w:val="Notasalpie"/>
        <w:numPr>
          <w:ilvl w:val="0"/>
          <w:numId w:val="29"/>
        </w:numPr>
        <w:spacing w:line="276" w:lineRule="auto"/>
        <w:rPr>
          <w:rFonts w:ascii="Book Antiqua" w:hAnsi="Book Antiqua"/>
          <w:sz w:val="20"/>
          <w:szCs w:val="20"/>
          <w:lang w:val="es-CL"/>
        </w:rPr>
      </w:pPr>
      <w:r w:rsidRPr="00A30FF8">
        <w:rPr>
          <w:rFonts w:ascii="Book Antiqua" w:hAnsi="Book Antiqua"/>
          <w:iCs/>
          <w:sz w:val="20"/>
          <w:szCs w:val="20"/>
          <w:lang w:val="es-CL"/>
        </w:rPr>
        <w:t xml:space="preserve">Aguirre </w:t>
      </w:r>
      <w:proofErr w:type="spellStart"/>
      <w:r w:rsidRPr="00A30FF8">
        <w:rPr>
          <w:rFonts w:ascii="Book Antiqua" w:hAnsi="Book Antiqua"/>
          <w:iCs/>
          <w:sz w:val="20"/>
          <w:szCs w:val="20"/>
          <w:lang w:val="es-CL"/>
        </w:rPr>
        <w:t>Cuns</w:t>
      </w:r>
      <w:proofErr w:type="spellEnd"/>
      <w:r w:rsidRPr="00A30FF8">
        <w:rPr>
          <w:rFonts w:ascii="Book Antiqua" w:hAnsi="Book Antiqua"/>
          <w:iCs/>
          <w:sz w:val="20"/>
          <w:szCs w:val="20"/>
          <w:lang w:val="es-CL"/>
        </w:rPr>
        <w:t xml:space="preserve">, R y </w:t>
      </w:r>
      <w:proofErr w:type="spellStart"/>
      <w:r w:rsidRPr="00A30FF8">
        <w:rPr>
          <w:rFonts w:ascii="Book Antiqua" w:hAnsi="Book Antiqua"/>
          <w:iCs/>
          <w:sz w:val="20"/>
          <w:szCs w:val="20"/>
          <w:lang w:val="es-CL"/>
        </w:rPr>
        <w:t>Scavino</w:t>
      </w:r>
      <w:proofErr w:type="spellEnd"/>
      <w:r w:rsidRPr="00A30FF8">
        <w:rPr>
          <w:rFonts w:ascii="Book Antiqua" w:hAnsi="Book Antiqua"/>
          <w:iCs/>
          <w:sz w:val="20"/>
          <w:szCs w:val="20"/>
          <w:lang w:val="es-CL"/>
        </w:rPr>
        <w:t xml:space="preserve">, S. (2016). Cuidar y ser cuidado en la vejez. Disponible en: </w:t>
      </w:r>
      <w:hyperlink r:id="rId14" w:history="1">
        <w:r w:rsidRPr="00A30FF8">
          <w:rPr>
            <w:rStyle w:val="Hyperlink"/>
            <w:rFonts w:ascii="Book Antiqua" w:hAnsi="Book Antiqua"/>
            <w:iCs/>
            <w:sz w:val="20"/>
            <w:szCs w:val="20"/>
            <w:lang w:val="es-CL"/>
          </w:rPr>
          <w:t>https://ojs.ehu.eus/index.php/papelesCEIC/article/view/15449</w:t>
        </w:r>
      </w:hyperlink>
      <w:r w:rsidRPr="00A30FF8">
        <w:rPr>
          <w:rFonts w:ascii="Book Antiqua" w:hAnsi="Book Antiqua"/>
          <w:iCs/>
          <w:sz w:val="20"/>
          <w:szCs w:val="20"/>
          <w:lang w:val="es-CL"/>
        </w:rPr>
        <w:t>.</w:t>
      </w:r>
    </w:p>
    <w:p w14:paraId="3AB19162" w14:textId="77777777" w:rsidR="00A30FF8" w:rsidRPr="00A30FF8" w:rsidRDefault="001E5580" w:rsidP="00A30FF8">
      <w:pPr>
        <w:pStyle w:val="Notasalpie"/>
        <w:numPr>
          <w:ilvl w:val="0"/>
          <w:numId w:val="29"/>
        </w:numPr>
        <w:spacing w:line="276" w:lineRule="auto"/>
        <w:rPr>
          <w:rFonts w:ascii="Book Antiqua" w:hAnsi="Book Antiqua"/>
          <w:sz w:val="20"/>
          <w:szCs w:val="20"/>
          <w:lang w:val="es-CL"/>
        </w:rPr>
      </w:pPr>
      <w:hyperlink r:id="rId15" w:history="1">
        <w:r w:rsidR="00A30FF8" w:rsidRPr="00A30FF8">
          <w:rPr>
            <w:rFonts w:ascii="Book Antiqua" w:hAnsi="Book Antiqua" w:cstheme="majorHAnsi"/>
            <w:sz w:val="20"/>
            <w:szCs w:val="20"/>
            <w:highlight w:val="white"/>
            <w:lang w:val="en-GB"/>
          </w:rPr>
          <w:t>Gilleard</w:t>
        </w:r>
      </w:hyperlink>
      <w:r w:rsidR="00A30FF8" w:rsidRPr="00A30FF8">
        <w:rPr>
          <w:rFonts w:ascii="Book Antiqua" w:hAnsi="Book Antiqua" w:cstheme="majorHAnsi"/>
          <w:sz w:val="20"/>
          <w:szCs w:val="20"/>
          <w:highlight w:val="white"/>
          <w:lang w:val="en-GB"/>
        </w:rPr>
        <w:t>, C y </w:t>
      </w:r>
      <w:hyperlink r:id="rId16" w:history="1">
        <w:r w:rsidR="00A30FF8" w:rsidRPr="00A30FF8">
          <w:rPr>
            <w:rFonts w:ascii="Book Antiqua" w:hAnsi="Book Antiqua" w:cstheme="majorHAnsi"/>
            <w:sz w:val="20"/>
            <w:szCs w:val="20"/>
            <w:highlight w:val="white"/>
            <w:lang w:val="en-GB"/>
          </w:rPr>
          <w:t>Higgs</w:t>
        </w:r>
      </w:hyperlink>
      <w:r w:rsidR="00A30FF8" w:rsidRPr="00A30FF8">
        <w:rPr>
          <w:rFonts w:ascii="Book Antiqua" w:hAnsi="Book Antiqua" w:cstheme="majorHAnsi"/>
          <w:sz w:val="20"/>
          <w:szCs w:val="20"/>
          <w:highlight w:val="white"/>
          <w:lang w:val="en-GB"/>
        </w:rPr>
        <w:t>, P (2016).</w:t>
      </w:r>
      <w:r w:rsidR="00A30FF8" w:rsidRPr="00A30FF8">
        <w:rPr>
          <w:rFonts w:ascii="Book Antiqua" w:hAnsi="Book Antiqua" w:cstheme="majorHAnsi"/>
          <w:sz w:val="20"/>
          <w:szCs w:val="20"/>
          <w:lang w:val="en-GB"/>
        </w:rPr>
        <w:t xml:space="preserve"> Connecting Life Span Development with the Sociology of the Life Course: A New Direction. </w:t>
      </w:r>
      <w:r w:rsidR="00A30FF8" w:rsidRPr="00A30FF8">
        <w:rPr>
          <w:rFonts w:ascii="Book Antiqua" w:hAnsi="Book Antiqua" w:cstheme="majorHAnsi"/>
          <w:sz w:val="20"/>
          <w:szCs w:val="20"/>
          <w:lang w:val="es-ES"/>
        </w:rPr>
        <w:t xml:space="preserve">Disponible en: </w:t>
      </w:r>
      <w:hyperlink r:id="rId17" w:history="1">
        <w:r w:rsidR="00A30FF8" w:rsidRPr="00A30FF8">
          <w:rPr>
            <w:rStyle w:val="Hyperlink"/>
            <w:rFonts w:ascii="Book Antiqua" w:hAnsi="Book Antiqua" w:cstheme="majorHAnsi"/>
            <w:sz w:val="20"/>
            <w:szCs w:val="20"/>
            <w:lang w:val="es-ES"/>
          </w:rPr>
          <w:t>https://pubmed.ncbi.nlm.nih.gov/27041774/</w:t>
        </w:r>
      </w:hyperlink>
      <w:r w:rsidR="00A30FF8" w:rsidRPr="00A30FF8">
        <w:rPr>
          <w:rFonts w:ascii="Book Antiqua" w:hAnsi="Book Antiqua" w:cstheme="majorHAnsi"/>
          <w:sz w:val="20"/>
          <w:szCs w:val="20"/>
          <w:lang w:val="es-ES"/>
        </w:rPr>
        <w:t xml:space="preserve">. </w:t>
      </w:r>
    </w:p>
    <w:p w14:paraId="49234247"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proofErr w:type="spellStart"/>
      <w:r w:rsidRPr="00A30FF8">
        <w:rPr>
          <w:rFonts w:ascii="Book Antiqua" w:hAnsi="Book Antiqua" w:cstheme="majorHAnsi"/>
          <w:sz w:val="20"/>
          <w:szCs w:val="20"/>
          <w:highlight w:val="white"/>
          <w:lang w:val="es-ES"/>
        </w:rPr>
        <w:t>Huenchuan</w:t>
      </w:r>
      <w:proofErr w:type="spellEnd"/>
      <w:r w:rsidRPr="00A30FF8">
        <w:rPr>
          <w:rFonts w:ascii="Book Antiqua" w:hAnsi="Book Antiqua" w:cstheme="majorHAnsi"/>
          <w:sz w:val="20"/>
          <w:szCs w:val="20"/>
          <w:highlight w:val="white"/>
          <w:lang w:val="es-ES"/>
        </w:rPr>
        <w:t xml:space="preserve">, S. (2020). Covid-19: </w:t>
      </w:r>
      <w:r w:rsidRPr="00A30FF8">
        <w:rPr>
          <w:rFonts w:ascii="Book Antiqua" w:hAnsi="Book Antiqua" w:cstheme="majorHAnsi"/>
          <w:i/>
          <w:iCs/>
          <w:sz w:val="20"/>
          <w:szCs w:val="20"/>
          <w:highlight w:val="white"/>
          <w:lang w:val="es-ES"/>
        </w:rPr>
        <w:t>Recomendaciones generales para la atención a personas mayores desde una perspectiva de derechos humanos</w:t>
      </w:r>
      <w:r w:rsidRPr="00A30FF8">
        <w:rPr>
          <w:rFonts w:ascii="Book Antiqua" w:hAnsi="Book Antiqua" w:cstheme="majorHAnsi"/>
          <w:sz w:val="20"/>
          <w:szCs w:val="20"/>
          <w:highlight w:val="white"/>
          <w:lang w:val="es-ES"/>
        </w:rPr>
        <w:t>.</w:t>
      </w:r>
      <w:r w:rsidRPr="00A30FF8">
        <w:rPr>
          <w:rFonts w:ascii="Book Antiqua" w:hAnsi="Book Antiqua" w:cstheme="majorHAnsi"/>
          <w:sz w:val="20"/>
          <w:szCs w:val="20"/>
          <w:lang w:val="es-ES"/>
        </w:rPr>
        <w:t xml:space="preserve"> Disponible en: </w:t>
      </w:r>
      <w:hyperlink r:id="rId18" w:history="1">
        <w:r w:rsidRPr="00A30FF8">
          <w:rPr>
            <w:rFonts w:ascii="Book Antiqua" w:hAnsi="Book Antiqua"/>
            <w:sz w:val="20"/>
            <w:szCs w:val="20"/>
            <w:highlight w:val="white"/>
            <w:lang w:val="es-ES"/>
          </w:rPr>
          <w:t>https://www.cepal.org/es/publicaciones/45316-covid-19-recomendaciones-generales-la-atencion-personas-mayores-perspectiva</w:t>
        </w:r>
      </w:hyperlink>
      <w:r w:rsidRPr="00A30FF8">
        <w:rPr>
          <w:rFonts w:ascii="Book Antiqua" w:hAnsi="Book Antiqua"/>
          <w:sz w:val="20"/>
          <w:szCs w:val="20"/>
          <w:lang w:val="es-ES"/>
        </w:rPr>
        <w:t>.</w:t>
      </w:r>
    </w:p>
    <w:p w14:paraId="68B28A49"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cstheme="majorHAnsi"/>
          <w:sz w:val="20"/>
          <w:szCs w:val="20"/>
          <w:lang w:val="es-ES"/>
        </w:rPr>
        <w:t>Molano S.</w:t>
      </w:r>
      <w:r w:rsidRPr="00A30FF8">
        <w:rPr>
          <w:rFonts w:ascii="Book Antiqua" w:hAnsi="Book Antiqua"/>
          <w:sz w:val="20"/>
          <w:szCs w:val="20"/>
          <w:lang w:val="es-ES"/>
        </w:rPr>
        <w:t xml:space="preserve"> (2015). El derecho a la ciudad: de Henri </w:t>
      </w:r>
      <w:proofErr w:type="spellStart"/>
      <w:r w:rsidRPr="00A30FF8">
        <w:rPr>
          <w:rFonts w:ascii="Book Antiqua" w:hAnsi="Book Antiqua"/>
          <w:sz w:val="20"/>
          <w:szCs w:val="20"/>
          <w:lang w:val="es-ES"/>
        </w:rPr>
        <w:t>Lefebvre</w:t>
      </w:r>
      <w:proofErr w:type="spellEnd"/>
      <w:r w:rsidRPr="00A30FF8">
        <w:rPr>
          <w:rFonts w:ascii="Book Antiqua" w:hAnsi="Book Antiqua"/>
          <w:sz w:val="20"/>
          <w:szCs w:val="20"/>
          <w:lang w:val="es-ES"/>
        </w:rPr>
        <w:t xml:space="preserve"> a los análisis sobre la ciudad</w:t>
      </w:r>
    </w:p>
    <w:p w14:paraId="24701353" w14:textId="77777777" w:rsidR="00A30FF8" w:rsidRPr="00A30FF8" w:rsidRDefault="00A30FF8" w:rsidP="00A30FF8">
      <w:pPr>
        <w:pStyle w:val="Notasalpie"/>
        <w:spacing w:line="276" w:lineRule="auto"/>
        <w:ind w:left="720" w:firstLine="0"/>
        <w:rPr>
          <w:rFonts w:ascii="Book Antiqua" w:hAnsi="Book Antiqua"/>
          <w:sz w:val="20"/>
          <w:szCs w:val="20"/>
          <w:lang w:val="es-ES"/>
        </w:rPr>
      </w:pPr>
      <w:proofErr w:type="gramStart"/>
      <w:r w:rsidRPr="00A30FF8">
        <w:rPr>
          <w:rFonts w:ascii="Book Antiqua" w:hAnsi="Book Antiqua"/>
          <w:sz w:val="20"/>
          <w:szCs w:val="20"/>
          <w:lang w:val="es-ES"/>
        </w:rPr>
        <w:t>capitalista</w:t>
      </w:r>
      <w:proofErr w:type="gramEnd"/>
      <w:r w:rsidRPr="00A30FF8">
        <w:rPr>
          <w:rFonts w:ascii="Book Antiqua" w:hAnsi="Book Antiqua"/>
          <w:sz w:val="20"/>
          <w:szCs w:val="20"/>
          <w:lang w:val="es-ES"/>
        </w:rPr>
        <w:t xml:space="preserve"> contemporánea. Disponible en: http://www.scielo.org.co/pdf/folios/n44/n44a01.pdf.</w:t>
      </w:r>
    </w:p>
    <w:p w14:paraId="7AA213D7" w14:textId="77777777" w:rsidR="00A30FF8" w:rsidRPr="00A30FF8" w:rsidRDefault="00A30FF8" w:rsidP="00A30FF8">
      <w:pPr>
        <w:pStyle w:val="Notasalpie"/>
        <w:spacing w:line="276" w:lineRule="auto"/>
        <w:ind w:left="720" w:firstLine="0"/>
        <w:rPr>
          <w:rFonts w:ascii="Book Antiqua" w:hAnsi="Book Antiqua"/>
          <w:sz w:val="20"/>
          <w:szCs w:val="20"/>
          <w:lang w:val="es-ES"/>
        </w:rPr>
      </w:pPr>
      <w:r w:rsidRPr="00A30FF8">
        <w:rPr>
          <w:rFonts w:ascii="Book Antiqua" w:hAnsi="Book Antiqua"/>
          <w:sz w:val="20"/>
          <w:szCs w:val="20"/>
          <w:lang w:val="es-ES"/>
        </w:rPr>
        <w:t xml:space="preserve">Salgado-de </w:t>
      </w:r>
      <w:proofErr w:type="spellStart"/>
      <w:r w:rsidRPr="00A30FF8">
        <w:rPr>
          <w:rFonts w:ascii="Book Antiqua" w:hAnsi="Book Antiqua"/>
          <w:sz w:val="20"/>
          <w:szCs w:val="20"/>
          <w:lang w:val="es-ES"/>
        </w:rPr>
        <w:t>Snyder</w:t>
      </w:r>
      <w:proofErr w:type="spellEnd"/>
      <w:r w:rsidRPr="00A30FF8">
        <w:rPr>
          <w:rFonts w:ascii="Book Antiqua" w:hAnsi="Book Antiqua"/>
          <w:sz w:val="20"/>
          <w:szCs w:val="20"/>
          <w:lang w:val="es-ES"/>
        </w:rPr>
        <w:t xml:space="preserve">, N y Wong, R. (2007). Género y pobreza: determinantes de la salud en la vejez. Disponible en: </w:t>
      </w:r>
      <w:hyperlink r:id="rId19" w:history="1">
        <w:r w:rsidRPr="00A30FF8">
          <w:rPr>
            <w:rStyle w:val="Hyperlink"/>
            <w:rFonts w:ascii="Book Antiqua" w:hAnsi="Book Antiqua"/>
            <w:sz w:val="20"/>
            <w:szCs w:val="20"/>
            <w:lang w:val="es-ES"/>
          </w:rPr>
          <w:t>http://www.scielo.org.mx/scielo.php?script=sci_arttext&amp;pid=S0036-36342007001000011</w:t>
        </w:r>
      </w:hyperlink>
      <w:r w:rsidRPr="00A30FF8">
        <w:rPr>
          <w:rFonts w:ascii="Book Antiqua" w:hAnsi="Book Antiqua"/>
          <w:sz w:val="20"/>
          <w:szCs w:val="20"/>
          <w:lang w:val="es-ES"/>
        </w:rPr>
        <w:t xml:space="preserve">. </w:t>
      </w:r>
    </w:p>
    <w:p w14:paraId="36E02441"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cstheme="majorHAnsi"/>
          <w:sz w:val="20"/>
          <w:szCs w:val="20"/>
          <w:lang w:val="es-ES"/>
        </w:rPr>
        <w:t>SENAMA.</w:t>
      </w:r>
      <w:r w:rsidRPr="00A30FF8">
        <w:rPr>
          <w:rFonts w:ascii="Book Antiqua" w:hAnsi="Book Antiqua"/>
          <w:sz w:val="20"/>
          <w:szCs w:val="20"/>
          <w:lang w:val="es-ES"/>
        </w:rPr>
        <w:t xml:space="preserve"> (2010). Las Personas Mayores en Chile: Situación, Avances y Desafíos del Envejecimiento y la Vejez. Disponible en: http://www.senama.gob.cl/storage/docs/Las-personas-mayores-de-chile-situacion-avances-desafios-del-envejecimiento-y-vejez-2009.pdf</w:t>
      </w:r>
    </w:p>
    <w:p w14:paraId="4FDBA2E9"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sz w:val="20"/>
          <w:szCs w:val="20"/>
          <w:lang w:val="es-ES"/>
        </w:rPr>
        <w:t xml:space="preserve">SENAMA. (2010) Estudio Nacional de la Dependencia en las Personas Mayores. Disponible en: </w:t>
      </w:r>
      <w:hyperlink r:id="rId20" w:history="1">
        <w:r w:rsidRPr="00A30FF8">
          <w:rPr>
            <w:rStyle w:val="Hyperlink"/>
            <w:rFonts w:ascii="Book Antiqua" w:hAnsi="Book Antiqua"/>
            <w:sz w:val="20"/>
            <w:szCs w:val="20"/>
            <w:lang w:val="es-ES"/>
          </w:rPr>
          <w:t>http://www.senama.gob.cl/storage/docs/Dependencia-Personas-Mayores-2009.pdf</w:t>
        </w:r>
      </w:hyperlink>
      <w:r w:rsidRPr="00A30FF8">
        <w:rPr>
          <w:rFonts w:ascii="Book Antiqua" w:hAnsi="Book Antiqua"/>
          <w:sz w:val="20"/>
          <w:szCs w:val="20"/>
          <w:lang w:val="es-ES"/>
        </w:rPr>
        <w:t>.</w:t>
      </w:r>
    </w:p>
    <w:p w14:paraId="3805A18E"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sz w:val="20"/>
          <w:szCs w:val="20"/>
          <w:lang w:val="es-ES"/>
        </w:rPr>
        <w:t xml:space="preserve">SENAMA (2017). </w:t>
      </w:r>
      <w:r w:rsidRPr="00A30FF8">
        <w:rPr>
          <w:rFonts w:ascii="Book Antiqua" w:hAnsi="Book Antiqua"/>
          <w:sz w:val="20"/>
          <w:szCs w:val="20"/>
          <w:lang w:val="es-CL"/>
        </w:rPr>
        <w:t xml:space="preserve">“QUINTA ENCUESTA NACIONAL DE INCLUSIÓN Y EXCLUSIÓN SOCIAL DE LAS PERSONAS MAYORES EN CHILE: Opiniones de la población chilena respecto al envejecimiento poblacional. Disponible en: </w:t>
      </w:r>
      <w:hyperlink r:id="rId21" w:history="1">
        <w:r w:rsidRPr="00A30FF8">
          <w:rPr>
            <w:rStyle w:val="Hyperlink"/>
            <w:rFonts w:ascii="Book Antiqua" w:hAnsi="Book Antiqua"/>
            <w:sz w:val="20"/>
            <w:szCs w:val="20"/>
            <w:lang w:val="es-CL"/>
          </w:rPr>
          <w:t>http://www.senama.gob.cl/storage/docs/SENAMA_libro_5ta_encuesta_BAJA_libro_final_JULIO.pdf</w:t>
        </w:r>
      </w:hyperlink>
      <w:r w:rsidRPr="00A30FF8">
        <w:rPr>
          <w:rFonts w:ascii="Book Antiqua" w:hAnsi="Book Antiqua"/>
          <w:sz w:val="20"/>
          <w:szCs w:val="20"/>
          <w:lang w:val="es-CL"/>
        </w:rPr>
        <w:t>.</w:t>
      </w:r>
    </w:p>
    <w:p w14:paraId="4B13A76A"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sz w:val="20"/>
          <w:szCs w:val="20"/>
          <w:lang w:val="es-CL"/>
        </w:rPr>
        <w:t xml:space="preserve">SENAMA. (2013). El maltrato hacia las personas mayores en la Región Metropolitana, Chile Investigación cualitativa en vejez y envejecimiento. Disponible en: </w:t>
      </w:r>
      <w:hyperlink r:id="rId22" w:history="1">
        <w:r w:rsidRPr="00A30FF8">
          <w:rPr>
            <w:rStyle w:val="Hyperlink"/>
            <w:rFonts w:ascii="Book Antiqua" w:hAnsi="Book Antiqua"/>
            <w:sz w:val="20"/>
            <w:szCs w:val="20"/>
            <w:lang w:val="es-CL"/>
          </w:rPr>
          <w:t>http://www.senama.gob.cl/storage/docs/El-maltrato-hacia-las-personas-mayores-en-la-RM-2013-investigacion-cualitativa-en-vejez-y-envejecimiento-2013.pdf</w:t>
        </w:r>
      </w:hyperlink>
      <w:r w:rsidRPr="00A30FF8">
        <w:rPr>
          <w:rFonts w:ascii="Book Antiqua" w:hAnsi="Book Antiqua"/>
          <w:sz w:val="20"/>
          <w:szCs w:val="20"/>
          <w:lang w:val="es-CL"/>
        </w:rPr>
        <w:t>.</w:t>
      </w:r>
    </w:p>
    <w:p w14:paraId="4C0A7DC0"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sz w:val="20"/>
          <w:szCs w:val="20"/>
          <w:lang w:val="es-CL"/>
        </w:rPr>
        <w:t xml:space="preserve">SENAMA. (2018) “Convención Interamericana sobre la protección de los derechos humanos de las Personas Mayores: ANÁLISIS DE BRECHAS LEGISLATIVAS Y PROPUESTAS PARA SU IMPLEMENTACIÓN EN CHILE”. Disponible en: </w:t>
      </w:r>
      <w:hyperlink r:id="rId23" w:history="1">
        <w:r w:rsidRPr="00A30FF8">
          <w:rPr>
            <w:rStyle w:val="Hyperlink"/>
            <w:rFonts w:ascii="Book Antiqua" w:hAnsi="Book Antiqua"/>
            <w:sz w:val="20"/>
            <w:szCs w:val="20"/>
            <w:lang w:val="es-CL"/>
          </w:rPr>
          <w:t>http://www.senama.gob.cl/storage/docs/SENAMA_libro_DDHH_final_FINAL.pdf</w:t>
        </w:r>
      </w:hyperlink>
      <w:r w:rsidRPr="00A30FF8">
        <w:rPr>
          <w:rFonts w:ascii="Book Antiqua" w:hAnsi="Book Antiqua"/>
          <w:sz w:val="20"/>
          <w:szCs w:val="20"/>
          <w:lang w:val="es-CL"/>
        </w:rPr>
        <w:t>.</w:t>
      </w:r>
    </w:p>
    <w:p w14:paraId="49870C56"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proofErr w:type="spellStart"/>
      <w:r w:rsidRPr="00A30FF8">
        <w:rPr>
          <w:rFonts w:ascii="Book Antiqua" w:hAnsi="Book Antiqua"/>
          <w:sz w:val="20"/>
          <w:szCs w:val="20"/>
          <w:lang w:val="es-CL"/>
        </w:rPr>
        <w:t>Yañez</w:t>
      </w:r>
      <w:proofErr w:type="spellEnd"/>
      <w:r w:rsidRPr="00A30FF8">
        <w:rPr>
          <w:rFonts w:ascii="Book Antiqua" w:hAnsi="Book Antiqua"/>
          <w:sz w:val="20"/>
          <w:szCs w:val="20"/>
          <w:lang w:val="es-CL"/>
        </w:rPr>
        <w:t xml:space="preserve">, S. (2010). </w:t>
      </w:r>
      <w:r w:rsidRPr="00A30FF8">
        <w:rPr>
          <w:rFonts w:ascii="Book Antiqua" w:hAnsi="Book Antiqua"/>
          <w:sz w:val="20"/>
          <w:szCs w:val="20"/>
          <w:lang w:val="es-ES"/>
        </w:rPr>
        <w:t xml:space="preserve">La dimensión de género en la reforma previsional chilena (Ley No  20.255 de reforma de pensiones). Disponible en: </w:t>
      </w:r>
      <w:hyperlink r:id="rId24" w:history="1">
        <w:r w:rsidRPr="00A30FF8">
          <w:rPr>
            <w:rStyle w:val="Hyperlink"/>
            <w:rFonts w:ascii="Book Antiqua" w:hAnsi="Book Antiqua"/>
            <w:sz w:val="20"/>
            <w:szCs w:val="20"/>
            <w:lang w:val="es-ES"/>
          </w:rPr>
          <w:t>https://repositorio.cepal.org/bitstream/handle/11362/5823/1/S1000091_es.pdf</w:t>
        </w:r>
      </w:hyperlink>
      <w:r w:rsidRPr="00A30FF8">
        <w:rPr>
          <w:rFonts w:ascii="Book Antiqua" w:hAnsi="Book Antiqua"/>
          <w:sz w:val="20"/>
          <w:szCs w:val="20"/>
          <w:lang w:val="es-ES"/>
        </w:rPr>
        <w:t>.</w:t>
      </w:r>
    </w:p>
    <w:p w14:paraId="5C5D6E78" w14:textId="77777777" w:rsidR="00C64E0C" w:rsidRPr="00A30FF8" w:rsidRDefault="00C64E0C" w:rsidP="00C64E0C">
      <w:pPr>
        <w:jc w:val="both"/>
        <w:rPr>
          <w:rFonts w:ascii="Book Antiqua" w:hAnsi="Book Antiqua"/>
          <w:sz w:val="24"/>
          <w:szCs w:val="24"/>
          <w:lang w:val="es-ES"/>
        </w:rPr>
      </w:pPr>
    </w:p>
    <w:sectPr w:rsidR="00C64E0C" w:rsidRPr="00A30FF8" w:rsidSect="001C7D6A">
      <w:footerReference w:type="default" r:id="rId25"/>
      <w:pgSz w:w="12240" w:h="15840"/>
      <w:pgMar w:top="2207"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C9E3E" w14:textId="77777777" w:rsidR="00645B4B" w:rsidRDefault="00645B4B" w:rsidP="00EE63B6">
      <w:pPr>
        <w:spacing w:after="0" w:line="240" w:lineRule="auto"/>
      </w:pPr>
      <w:r>
        <w:separator/>
      </w:r>
    </w:p>
  </w:endnote>
  <w:endnote w:type="continuationSeparator" w:id="0">
    <w:p w14:paraId="18DD3F8A" w14:textId="77777777" w:rsidR="00645B4B" w:rsidRDefault="00645B4B" w:rsidP="00E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izQuadrata BT">
    <w:altName w:val="Tahoma"/>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17C9A" w14:textId="77777777" w:rsidR="001E5580" w:rsidRDefault="001E5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89772"/>
      <w:docPartObj>
        <w:docPartGallery w:val="Page Numbers (Bottom of Page)"/>
        <w:docPartUnique/>
      </w:docPartObj>
    </w:sdtPr>
    <w:sdtEndPr>
      <w:rPr>
        <w:rFonts w:ascii="Times New Roman" w:hAnsi="Times New Roman" w:cs="Times New Roman"/>
      </w:rPr>
    </w:sdtEndPr>
    <w:sdtContent>
      <w:p w14:paraId="1BFF0A65" w14:textId="02077E78" w:rsidR="004651EB" w:rsidRPr="00F7505B" w:rsidRDefault="004651EB">
        <w:pPr>
          <w:pStyle w:val="Footer"/>
          <w:jc w:val="right"/>
          <w:rPr>
            <w:rFonts w:ascii="Times New Roman" w:hAnsi="Times New Roman" w:cs="Times New Roman"/>
          </w:rPr>
        </w:pPr>
        <w:r w:rsidRPr="00F7505B">
          <w:rPr>
            <w:rFonts w:ascii="Times New Roman" w:hAnsi="Times New Roman" w:cs="Times New Roman"/>
          </w:rPr>
          <w:fldChar w:fldCharType="begin"/>
        </w:r>
        <w:r w:rsidRPr="00F7505B">
          <w:rPr>
            <w:rFonts w:ascii="Times New Roman" w:hAnsi="Times New Roman" w:cs="Times New Roman"/>
          </w:rPr>
          <w:instrText>PAGE   \* MERGEFORMAT</w:instrText>
        </w:r>
        <w:r w:rsidRPr="00F7505B">
          <w:rPr>
            <w:rFonts w:ascii="Times New Roman" w:hAnsi="Times New Roman" w:cs="Times New Roman"/>
          </w:rPr>
          <w:fldChar w:fldCharType="separate"/>
        </w:r>
        <w:r w:rsidR="001E5580" w:rsidRPr="001E5580">
          <w:rPr>
            <w:rFonts w:ascii="Times New Roman" w:hAnsi="Times New Roman" w:cs="Times New Roman"/>
            <w:noProof/>
            <w:lang w:val="es-ES"/>
          </w:rPr>
          <w:t>1</w:t>
        </w:r>
        <w:r w:rsidRPr="00F7505B">
          <w:rPr>
            <w:rFonts w:ascii="Times New Roman" w:hAnsi="Times New Roman" w:cs="Times New Roman"/>
          </w:rPr>
          <w:fldChar w:fldCharType="end"/>
        </w:r>
      </w:p>
    </w:sdtContent>
  </w:sdt>
  <w:p w14:paraId="223E7A58" w14:textId="77777777" w:rsidR="004651EB" w:rsidRDefault="00465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29BD4" w14:textId="77777777" w:rsidR="001E5580" w:rsidRDefault="001E55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653777"/>
      <w:docPartObj>
        <w:docPartGallery w:val="Page Numbers (Bottom of Page)"/>
        <w:docPartUnique/>
      </w:docPartObj>
    </w:sdtPr>
    <w:sdtEndPr>
      <w:rPr>
        <w:rFonts w:ascii="Book Antiqua" w:hAnsi="Book Antiqua"/>
      </w:rPr>
    </w:sdtEndPr>
    <w:sdtContent>
      <w:p w14:paraId="1B56BE9B" w14:textId="681CF152" w:rsidR="00B16CAD" w:rsidRPr="00E06C66" w:rsidRDefault="00BD7B5B">
        <w:pPr>
          <w:pStyle w:val="Footer"/>
          <w:jc w:val="right"/>
          <w:rPr>
            <w:rFonts w:ascii="Book Antiqua" w:hAnsi="Book Antiqua"/>
          </w:rPr>
        </w:pPr>
        <w:r w:rsidRPr="00E06C66">
          <w:rPr>
            <w:rFonts w:ascii="Book Antiqua" w:hAnsi="Book Antiqua"/>
          </w:rPr>
          <w:fldChar w:fldCharType="begin"/>
        </w:r>
        <w:r w:rsidRPr="00E06C66">
          <w:rPr>
            <w:rFonts w:ascii="Book Antiqua" w:hAnsi="Book Antiqua"/>
          </w:rPr>
          <w:instrText>PAGE   \* MERGEFORMAT</w:instrText>
        </w:r>
        <w:r w:rsidRPr="00E06C66">
          <w:rPr>
            <w:rFonts w:ascii="Book Antiqua" w:hAnsi="Book Antiqua"/>
          </w:rPr>
          <w:fldChar w:fldCharType="separate"/>
        </w:r>
        <w:r w:rsidR="001E5580" w:rsidRPr="001E5580">
          <w:rPr>
            <w:rFonts w:ascii="Book Antiqua" w:hAnsi="Book Antiqua"/>
            <w:noProof/>
            <w:lang w:val="es-ES"/>
          </w:rPr>
          <w:t>7</w:t>
        </w:r>
        <w:r w:rsidRPr="00E06C66">
          <w:rPr>
            <w:rFonts w:ascii="Book Antiqua" w:hAnsi="Book Antiqua"/>
          </w:rPr>
          <w:fldChar w:fldCharType="end"/>
        </w:r>
      </w:p>
    </w:sdtContent>
  </w:sdt>
  <w:p w14:paraId="69DAF6EE" w14:textId="77777777" w:rsidR="00B16CAD" w:rsidRDefault="00B16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7C8E1" w14:textId="77777777" w:rsidR="00645B4B" w:rsidRDefault="00645B4B" w:rsidP="00EE63B6">
      <w:pPr>
        <w:spacing w:after="0" w:line="240" w:lineRule="auto"/>
      </w:pPr>
      <w:r>
        <w:separator/>
      </w:r>
    </w:p>
  </w:footnote>
  <w:footnote w:type="continuationSeparator" w:id="0">
    <w:p w14:paraId="70E085B5" w14:textId="77777777" w:rsidR="00645B4B" w:rsidRDefault="00645B4B" w:rsidP="00EE63B6">
      <w:pPr>
        <w:spacing w:after="0" w:line="240" w:lineRule="auto"/>
      </w:pPr>
      <w:r>
        <w:continuationSeparator/>
      </w:r>
    </w:p>
  </w:footnote>
  <w:footnote w:id="1">
    <w:p w14:paraId="50128C98" w14:textId="0295A62C" w:rsidR="00E80368" w:rsidRPr="00E80368" w:rsidRDefault="00E80368" w:rsidP="00E80368">
      <w:pPr>
        <w:pStyle w:val="FootnoteText"/>
        <w:jc w:val="both"/>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Decreto N° 789 (1989). Promulga la Convención Sobre la Eliminación de todas las Formas de Discriminación Contra la Mujer. Ministerio de Relaciones Exteriores. Disponible en https://www.bcn.cl/leychile/navegar?idNorma=15606</w:t>
      </w:r>
    </w:p>
  </w:footnote>
  <w:footnote w:id="2">
    <w:p w14:paraId="6644A6A2" w14:textId="24ADA535" w:rsidR="00E80368" w:rsidRPr="00E80368" w:rsidRDefault="00E80368" w:rsidP="00E80368">
      <w:pPr>
        <w:pStyle w:val="FootnoteText"/>
        <w:jc w:val="both"/>
        <w:rPr>
          <w:lang w:val="es-ES"/>
        </w:rPr>
      </w:pPr>
      <w:r w:rsidRPr="00E80368">
        <w:rPr>
          <w:rStyle w:val="FootnoteReference"/>
          <w:rFonts w:ascii="Book Antiqua" w:hAnsi="Book Antiqua"/>
        </w:rPr>
        <w:footnoteRef/>
      </w:r>
      <w:r w:rsidRPr="00E80368">
        <w:rPr>
          <w:rFonts w:ascii="Book Antiqua" w:hAnsi="Book Antiqua"/>
          <w:lang w:val="es-ES"/>
        </w:rPr>
        <w:t xml:space="preserve"> Alto Comisionado de las Naciones Unidas para los Derechos Humanos (s/f). Recomendaciones generales para Comité para la eliminación de la discriminación contra la mujer. Disponible en https://www.ohchr.org/SP/HRBodies/CEDAW/Pages/Recommendations.aspx</w:t>
      </w:r>
    </w:p>
  </w:footnote>
  <w:footnote w:id="3">
    <w:p w14:paraId="62453C6B" w14:textId="37DA46E2" w:rsidR="00E80368" w:rsidRPr="00E80368" w:rsidRDefault="00E80368">
      <w:pPr>
        <w:pStyle w:val="FootnoteText"/>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CEPAL (2010). La dimensión de género en la reforma previsional chilena (Ley No.  20.255 de reforma de pensiones). División de Asuntos de Género. Disponible en https://repositorio.cepal.org/bitstream/handle/11362/5823/1/S1000091_es.pdf</w:t>
      </w:r>
    </w:p>
  </w:footnote>
  <w:footnote w:id="4">
    <w:p w14:paraId="45F0FF30" w14:textId="77777777" w:rsidR="00E80368" w:rsidRPr="00E80368" w:rsidRDefault="00E80368" w:rsidP="00E80368">
      <w:pPr>
        <w:pStyle w:val="FootnoteText"/>
        <w:ind w:hanging="2"/>
        <w:jc w:val="both"/>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Banco Integrado de Programas Sociales y no Sociales.  Red Local de Apoyos y Cuidados – SNAC. Ministerio de Desarrollo Social. Subsecretaría de Servicios Sociales. Disponible en https://programassociales.ministeriodesarrollosocial.gob.cl/programas/63383/2020/3</w:t>
      </w:r>
    </w:p>
    <w:p w14:paraId="4B42C0FA" w14:textId="14E5E484" w:rsidR="00E80368" w:rsidRPr="00E80368" w:rsidRDefault="00E80368">
      <w:pPr>
        <w:pStyle w:val="FootnoteText"/>
        <w:rPr>
          <w:lang w:val="es-ES"/>
        </w:rPr>
      </w:pPr>
    </w:p>
  </w:footnote>
  <w:footnote w:id="5">
    <w:p w14:paraId="08A5BE1E" w14:textId="0A6151A0" w:rsidR="00E80368" w:rsidRPr="00E80368" w:rsidRDefault="00E80368">
      <w:pPr>
        <w:pStyle w:val="FootnoteText"/>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Información histórica del desarrollo de Programa de Mejoramiento de Gestión de Género en SENAMA. </w:t>
      </w:r>
      <w:r w:rsidRPr="001C7D6A">
        <w:rPr>
          <w:rFonts w:ascii="Book Antiqua" w:hAnsi="Book Antiqua"/>
          <w:lang w:val="es-ES"/>
        </w:rPr>
        <w:t>Corte 2020.</w:t>
      </w:r>
    </w:p>
  </w:footnote>
  <w:footnote w:id="6">
    <w:p w14:paraId="36D075C9" w14:textId="4A68A047" w:rsidR="00E80368" w:rsidRPr="00E80368" w:rsidRDefault="00E80368">
      <w:pPr>
        <w:pStyle w:val="FootnoteText"/>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w:t>
      </w:r>
      <w:hyperlink r:id="rId1">
        <w:r w:rsidRPr="00E80368">
          <w:rPr>
            <w:rFonts w:ascii="Book Antiqua" w:eastAsia="Arial" w:hAnsi="Book Antiqua" w:cs="Arial"/>
            <w:color w:val="1155CC"/>
            <w:u w:val="single"/>
            <w:lang w:val="es-ES"/>
          </w:rPr>
          <w:t>http://www.senama.gob.cl/noticias/sernameg-y-senama-firman-convenio-sobre-prevencion-de-violencia-y-sexualidad-en-adultos-mayores</w:t>
        </w:r>
      </w:hyperlink>
    </w:p>
  </w:footnote>
  <w:footnote w:id="7">
    <w:p w14:paraId="640E37FD" w14:textId="45A2A888" w:rsidR="00E80368" w:rsidRPr="00E80368" w:rsidRDefault="00E80368">
      <w:pPr>
        <w:pStyle w:val="FootnoteText"/>
        <w:rPr>
          <w:lang w:val="es-ES"/>
        </w:rPr>
      </w:pPr>
      <w:r w:rsidRPr="00E80368">
        <w:rPr>
          <w:rStyle w:val="FootnoteReference"/>
          <w:rFonts w:ascii="Book Antiqua" w:hAnsi="Book Antiqua"/>
        </w:rPr>
        <w:footnoteRef/>
      </w:r>
      <w:r w:rsidRPr="00E80368">
        <w:rPr>
          <w:rFonts w:ascii="Book Antiqua" w:hAnsi="Book Antiqua"/>
          <w:lang w:val="es-ES"/>
        </w:rPr>
        <w:t xml:space="preserve"> </w:t>
      </w:r>
      <w:hyperlink r:id="rId2">
        <w:r w:rsidRPr="00E80368">
          <w:rPr>
            <w:rFonts w:ascii="Book Antiqua" w:eastAsia="Arial" w:hAnsi="Book Antiqua" w:cs="Arial"/>
            <w:color w:val="0563C1"/>
            <w:u w:val="single"/>
            <w:lang w:val="es-ES"/>
          </w:rPr>
          <w:t>http://cead.spd.gov.cl/wp-content/uploads/filemanager/Presentaci%C3%B3n%20de%20Resultados%20IV%20ENVIF-VCM.pdf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41A4" w14:textId="77777777" w:rsidR="001E5580" w:rsidRDefault="001E55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4617" w14:textId="20A3C8F9" w:rsidR="00F7505B" w:rsidRDefault="00F7505B">
    <w:pPr>
      <w:pStyle w:val="Header"/>
    </w:pPr>
    <w:r w:rsidRPr="00A304DF">
      <w:rPr>
        <w:rFonts w:ascii="FrizQuadrata BT" w:hAnsi="FrizQuadrata BT"/>
        <w:noProof/>
        <w:sz w:val="16"/>
        <w:lang w:val="en-GB" w:eastAsia="en-GB"/>
      </w:rPr>
      <w:drawing>
        <wp:anchor distT="0" distB="0" distL="114300" distR="114300" simplePos="0" relativeHeight="251656192" behindDoc="0" locked="0" layoutInCell="1" allowOverlap="1" wp14:anchorId="4661B3A6" wp14:editId="7D72FE74">
          <wp:simplePos x="0" y="0"/>
          <wp:positionH relativeFrom="margin">
            <wp:posOffset>0</wp:posOffset>
          </wp:positionH>
          <wp:positionV relativeFrom="paragraph">
            <wp:posOffset>-163618</wp:posOffset>
          </wp:positionV>
          <wp:extent cx="1041149" cy="995881"/>
          <wp:effectExtent l="0" t="0" r="6985" b="0"/>
          <wp:wrapTopAndBottom/>
          <wp:docPr id="27"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69C7" w14:textId="77777777" w:rsidR="001E5580" w:rsidRDefault="001E5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9C9"/>
    <w:multiLevelType w:val="hybridMultilevel"/>
    <w:tmpl w:val="1BBA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26D3E"/>
    <w:multiLevelType w:val="hybridMultilevel"/>
    <w:tmpl w:val="8CD8B6B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95118F2"/>
    <w:multiLevelType w:val="hybridMultilevel"/>
    <w:tmpl w:val="546A007A"/>
    <w:lvl w:ilvl="0" w:tplc="0C0A0001">
      <w:start w:val="1"/>
      <w:numFmt w:val="bullet"/>
      <w:lvlText w:val=""/>
      <w:lvlJc w:val="left"/>
      <w:pPr>
        <w:ind w:left="880" w:hanging="360"/>
      </w:pPr>
      <w:rPr>
        <w:rFonts w:ascii="Symbol" w:hAnsi="Symbol" w:hint="default"/>
      </w:rPr>
    </w:lvl>
    <w:lvl w:ilvl="1" w:tplc="0C0A0003" w:tentative="1">
      <w:start w:val="1"/>
      <w:numFmt w:val="bullet"/>
      <w:lvlText w:val="o"/>
      <w:lvlJc w:val="left"/>
      <w:pPr>
        <w:ind w:left="1600" w:hanging="360"/>
      </w:pPr>
      <w:rPr>
        <w:rFonts w:ascii="Courier New" w:hAnsi="Courier New" w:cs="Courier New" w:hint="default"/>
      </w:rPr>
    </w:lvl>
    <w:lvl w:ilvl="2" w:tplc="0C0A0005" w:tentative="1">
      <w:start w:val="1"/>
      <w:numFmt w:val="bullet"/>
      <w:lvlText w:val=""/>
      <w:lvlJc w:val="left"/>
      <w:pPr>
        <w:ind w:left="2320" w:hanging="360"/>
      </w:pPr>
      <w:rPr>
        <w:rFonts w:ascii="Wingdings" w:hAnsi="Wingdings" w:hint="default"/>
      </w:rPr>
    </w:lvl>
    <w:lvl w:ilvl="3" w:tplc="0C0A0001" w:tentative="1">
      <w:start w:val="1"/>
      <w:numFmt w:val="bullet"/>
      <w:lvlText w:val=""/>
      <w:lvlJc w:val="left"/>
      <w:pPr>
        <w:ind w:left="3040" w:hanging="360"/>
      </w:pPr>
      <w:rPr>
        <w:rFonts w:ascii="Symbol" w:hAnsi="Symbol" w:hint="default"/>
      </w:rPr>
    </w:lvl>
    <w:lvl w:ilvl="4" w:tplc="0C0A0003" w:tentative="1">
      <w:start w:val="1"/>
      <w:numFmt w:val="bullet"/>
      <w:lvlText w:val="o"/>
      <w:lvlJc w:val="left"/>
      <w:pPr>
        <w:ind w:left="3760" w:hanging="360"/>
      </w:pPr>
      <w:rPr>
        <w:rFonts w:ascii="Courier New" w:hAnsi="Courier New" w:cs="Courier New" w:hint="default"/>
      </w:rPr>
    </w:lvl>
    <w:lvl w:ilvl="5" w:tplc="0C0A0005" w:tentative="1">
      <w:start w:val="1"/>
      <w:numFmt w:val="bullet"/>
      <w:lvlText w:val=""/>
      <w:lvlJc w:val="left"/>
      <w:pPr>
        <w:ind w:left="4480" w:hanging="360"/>
      </w:pPr>
      <w:rPr>
        <w:rFonts w:ascii="Wingdings" w:hAnsi="Wingdings" w:hint="default"/>
      </w:rPr>
    </w:lvl>
    <w:lvl w:ilvl="6" w:tplc="0C0A0001" w:tentative="1">
      <w:start w:val="1"/>
      <w:numFmt w:val="bullet"/>
      <w:lvlText w:val=""/>
      <w:lvlJc w:val="left"/>
      <w:pPr>
        <w:ind w:left="5200" w:hanging="360"/>
      </w:pPr>
      <w:rPr>
        <w:rFonts w:ascii="Symbol" w:hAnsi="Symbol" w:hint="default"/>
      </w:rPr>
    </w:lvl>
    <w:lvl w:ilvl="7" w:tplc="0C0A0003" w:tentative="1">
      <w:start w:val="1"/>
      <w:numFmt w:val="bullet"/>
      <w:lvlText w:val="o"/>
      <w:lvlJc w:val="left"/>
      <w:pPr>
        <w:ind w:left="5920" w:hanging="360"/>
      </w:pPr>
      <w:rPr>
        <w:rFonts w:ascii="Courier New" w:hAnsi="Courier New" w:cs="Courier New" w:hint="default"/>
      </w:rPr>
    </w:lvl>
    <w:lvl w:ilvl="8" w:tplc="0C0A0005" w:tentative="1">
      <w:start w:val="1"/>
      <w:numFmt w:val="bullet"/>
      <w:lvlText w:val=""/>
      <w:lvlJc w:val="left"/>
      <w:pPr>
        <w:ind w:left="6640" w:hanging="360"/>
      </w:pPr>
      <w:rPr>
        <w:rFonts w:ascii="Wingdings" w:hAnsi="Wingdings" w:hint="default"/>
      </w:rPr>
    </w:lvl>
  </w:abstractNum>
  <w:abstractNum w:abstractNumId="3">
    <w:nsid w:val="0AC5590D"/>
    <w:multiLevelType w:val="hybridMultilevel"/>
    <w:tmpl w:val="186E8578"/>
    <w:lvl w:ilvl="0" w:tplc="ABE2B160">
      <w:start w:val="1"/>
      <w:numFmt w:val="decimal"/>
      <w:lvlText w:val="%1."/>
      <w:lvlJc w:val="left"/>
      <w:pPr>
        <w:ind w:left="599" w:hanging="720"/>
      </w:pPr>
      <w:rPr>
        <w:rFonts w:ascii="Calibri" w:eastAsia="Calibri" w:hAnsi="Calibri" w:cs="Calibri" w:hint="default"/>
        <w:spacing w:val="-2"/>
        <w:w w:val="100"/>
        <w:sz w:val="22"/>
        <w:szCs w:val="22"/>
        <w:lang w:val="es-ES" w:eastAsia="es-ES" w:bidi="es-ES"/>
      </w:rPr>
    </w:lvl>
    <w:lvl w:ilvl="1" w:tplc="1BD8B62A">
      <w:numFmt w:val="bullet"/>
      <w:lvlText w:val="•"/>
      <w:lvlJc w:val="left"/>
      <w:pPr>
        <w:ind w:left="1508" w:hanging="720"/>
      </w:pPr>
      <w:rPr>
        <w:rFonts w:hint="default"/>
        <w:lang w:val="es-ES" w:eastAsia="es-ES" w:bidi="es-ES"/>
      </w:rPr>
    </w:lvl>
    <w:lvl w:ilvl="2" w:tplc="F6F83E46">
      <w:numFmt w:val="bullet"/>
      <w:lvlText w:val="•"/>
      <w:lvlJc w:val="left"/>
      <w:pPr>
        <w:ind w:left="2416" w:hanging="720"/>
      </w:pPr>
      <w:rPr>
        <w:rFonts w:hint="default"/>
        <w:lang w:val="es-ES" w:eastAsia="es-ES" w:bidi="es-ES"/>
      </w:rPr>
    </w:lvl>
    <w:lvl w:ilvl="3" w:tplc="502C3548">
      <w:numFmt w:val="bullet"/>
      <w:lvlText w:val="•"/>
      <w:lvlJc w:val="left"/>
      <w:pPr>
        <w:ind w:left="3324" w:hanging="720"/>
      </w:pPr>
      <w:rPr>
        <w:rFonts w:hint="default"/>
        <w:lang w:val="es-ES" w:eastAsia="es-ES" w:bidi="es-ES"/>
      </w:rPr>
    </w:lvl>
    <w:lvl w:ilvl="4" w:tplc="51E6434C">
      <w:numFmt w:val="bullet"/>
      <w:lvlText w:val="•"/>
      <w:lvlJc w:val="left"/>
      <w:pPr>
        <w:ind w:left="4232" w:hanging="720"/>
      </w:pPr>
      <w:rPr>
        <w:rFonts w:hint="default"/>
        <w:lang w:val="es-ES" w:eastAsia="es-ES" w:bidi="es-ES"/>
      </w:rPr>
    </w:lvl>
    <w:lvl w:ilvl="5" w:tplc="1D1899EE">
      <w:numFmt w:val="bullet"/>
      <w:lvlText w:val="•"/>
      <w:lvlJc w:val="left"/>
      <w:pPr>
        <w:ind w:left="5140" w:hanging="720"/>
      </w:pPr>
      <w:rPr>
        <w:rFonts w:hint="default"/>
        <w:lang w:val="es-ES" w:eastAsia="es-ES" w:bidi="es-ES"/>
      </w:rPr>
    </w:lvl>
    <w:lvl w:ilvl="6" w:tplc="AECEC3F8">
      <w:numFmt w:val="bullet"/>
      <w:lvlText w:val="•"/>
      <w:lvlJc w:val="left"/>
      <w:pPr>
        <w:ind w:left="6048" w:hanging="720"/>
      </w:pPr>
      <w:rPr>
        <w:rFonts w:hint="default"/>
        <w:lang w:val="es-ES" w:eastAsia="es-ES" w:bidi="es-ES"/>
      </w:rPr>
    </w:lvl>
    <w:lvl w:ilvl="7" w:tplc="98D0CD3E">
      <w:numFmt w:val="bullet"/>
      <w:lvlText w:val="•"/>
      <w:lvlJc w:val="left"/>
      <w:pPr>
        <w:ind w:left="6956" w:hanging="720"/>
      </w:pPr>
      <w:rPr>
        <w:rFonts w:hint="default"/>
        <w:lang w:val="es-ES" w:eastAsia="es-ES" w:bidi="es-ES"/>
      </w:rPr>
    </w:lvl>
    <w:lvl w:ilvl="8" w:tplc="77847CEE">
      <w:numFmt w:val="bullet"/>
      <w:lvlText w:val="•"/>
      <w:lvlJc w:val="left"/>
      <w:pPr>
        <w:ind w:left="7864" w:hanging="720"/>
      </w:pPr>
      <w:rPr>
        <w:rFonts w:hint="default"/>
        <w:lang w:val="es-ES" w:eastAsia="es-ES" w:bidi="es-ES"/>
      </w:rPr>
    </w:lvl>
  </w:abstractNum>
  <w:abstractNum w:abstractNumId="4">
    <w:nsid w:val="0D355ED4"/>
    <w:multiLevelType w:val="hybridMultilevel"/>
    <w:tmpl w:val="B0AC4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55133D"/>
    <w:multiLevelType w:val="hybridMultilevel"/>
    <w:tmpl w:val="D8CE0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7804555"/>
    <w:multiLevelType w:val="hybridMultilevel"/>
    <w:tmpl w:val="2D8473B0"/>
    <w:lvl w:ilvl="0" w:tplc="0C0A0001">
      <w:start w:val="1"/>
      <w:numFmt w:val="bullet"/>
      <w:lvlText w:val=""/>
      <w:lvlJc w:val="left"/>
      <w:pPr>
        <w:ind w:left="863" w:hanging="360"/>
      </w:pPr>
      <w:rPr>
        <w:rFonts w:ascii="Symbol" w:hAnsi="Symbol" w:hint="default"/>
      </w:rPr>
    </w:lvl>
    <w:lvl w:ilvl="1" w:tplc="0C0A0003" w:tentative="1">
      <w:start w:val="1"/>
      <w:numFmt w:val="bullet"/>
      <w:lvlText w:val="o"/>
      <w:lvlJc w:val="left"/>
      <w:pPr>
        <w:ind w:left="1583" w:hanging="360"/>
      </w:pPr>
      <w:rPr>
        <w:rFonts w:ascii="Courier New" w:hAnsi="Courier New" w:cs="Courier New" w:hint="default"/>
      </w:rPr>
    </w:lvl>
    <w:lvl w:ilvl="2" w:tplc="0C0A0005" w:tentative="1">
      <w:start w:val="1"/>
      <w:numFmt w:val="bullet"/>
      <w:lvlText w:val=""/>
      <w:lvlJc w:val="left"/>
      <w:pPr>
        <w:ind w:left="2303" w:hanging="360"/>
      </w:pPr>
      <w:rPr>
        <w:rFonts w:ascii="Wingdings" w:hAnsi="Wingdings" w:hint="default"/>
      </w:rPr>
    </w:lvl>
    <w:lvl w:ilvl="3" w:tplc="0C0A0001" w:tentative="1">
      <w:start w:val="1"/>
      <w:numFmt w:val="bullet"/>
      <w:lvlText w:val=""/>
      <w:lvlJc w:val="left"/>
      <w:pPr>
        <w:ind w:left="3023" w:hanging="360"/>
      </w:pPr>
      <w:rPr>
        <w:rFonts w:ascii="Symbol" w:hAnsi="Symbol" w:hint="default"/>
      </w:rPr>
    </w:lvl>
    <w:lvl w:ilvl="4" w:tplc="0C0A0003" w:tentative="1">
      <w:start w:val="1"/>
      <w:numFmt w:val="bullet"/>
      <w:lvlText w:val="o"/>
      <w:lvlJc w:val="left"/>
      <w:pPr>
        <w:ind w:left="3743" w:hanging="360"/>
      </w:pPr>
      <w:rPr>
        <w:rFonts w:ascii="Courier New" w:hAnsi="Courier New" w:cs="Courier New" w:hint="default"/>
      </w:rPr>
    </w:lvl>
    <w:lvl w:ilvl="5" w:tplc="0C0A0005" w:tentative="1">
      <w:start w:val="1"/>
      <w:numFmt w:val="bullet"/>
      <w:lvlText w:val=""/>
      <w:lvlJc w:val="left"/>
      <w:pPr>
        <w:ind w:left="4463" w:hanging="360"/>
      </w:pPr>
      <w:rPr>
        <w:rFonts w:ascii="Wingdings" w:hAnsi="Wingdings" w:hint="default"/>
      </w:rPr>
    </w:lvl>
    <w:lvl w:ilvl="6" w:tplc="0C0A0001" w:tentative="1">
      <w:start w:val="1"/>
      <w:numFmt w:val="bullet"/>
      <w:lvlText w:val=""/>
      <w:lvlJc w:val="left"/>
      <w:pPr>
        <w:ind w:left="5183" w:hanging="360"/>
      </w:pPr>
      <w:rPr>
        <w:rFonts w:ascii="Symbol" w:hAnsi="Symbol" w:hint="default"/>
      </w:rPr>
    </w:lvl>
    <w:lvl w:ilvl="7" w:tplc="0C0A0003" w:tentative="1">
      <w:start w:val="1"/>
      <w:numFmt w:val="bullet"/>
      <w:lvlText w:val="o"/>
      <w:lvlJc w:val="left"/>
      <w:pPr>
        <w:ind w:left="5903" w:hanging="360"/>
      </w:pPr>
      <w:rPr>
        <w:rFonts w:ascii="Courier New" w:hAnsi="Courier New" w:cs="Courier New" w:hint="default"/>
      </w:rPr>
    </w:lvl>
    <w:lvl w:ilvl="8" w:tplc="0C0A0005" w:tentative="1">
      <w:start w:val="1"/>
      <w:numFmt w:val="bullet"/>
      <w:lvlText w:val=""/>
      <w:lvlJc w:val="left"/>
      <w:pPr>
        <w:ind w:left="6623" w:hanging="360"/>
      </w:pPr>
      <w:rPr>
        <w:rFonts w:ascii="Wingdings" w:hAnsi="Wingdings" w:hint="default"/>
      </w:rPr>
    </w:lvl>
  </w:abstractNum>
  <w:abstractNum w:abstractNumId="7">
    <w:nsid w:val="18EC39B2"/>
    <w:multiLevelType w:val="hybridMultilevel"/>
    <w:tmpl w:val="5B80A656"/>
    <w:lvl w:ilvl="0" w:tplc="AE7A1FC0">
      <w:start w:val="1"/>
      <w:numFmt w:val="decimal"/>
      <w:lvlText w:val="%1."/>
      <w:lvlJc w:val="left"/>
      <w:pPr>
        <w:ind w:left="640" w:hanging="361"/>
      </w:pPr>
      <w:rPr>
        <w:rFonts w:ascii="Calibri" w:eastAsia="Calibri" w:hAnsi="Calibri" w:cs="Calibri" w:hint="default"/>
        <w:spacing w:val="-1"/>
        <w:w w:val="99"/>
        <w:sz w:val="20"/>
        <w:szCs w:val="20"/>
        <w:lang w:val="es-ES" w:eastAsia="en-US" w:bidi="ar-SA"/>
      </w:rPr>
    </w:lvl>
    <w:lvl w:ilvl="1" w:tplc="6FA692F0">
      <w:numFmt w:val="bullet"/>
      <w:lvlText w:val="•"/>
      <w:lvlJc w:val="left"/>
      <w:pPr>
        <w:ind w:left="1618" w:hanging="361"/>
      </w:pPr>
      <w:rPr>
        <w:rFonts w:hint="default"/>
        <w:lang w:val="es-ES" w:eastAsia="en-US" w:bidi="ar-SA"/>
      </w:rPr>
    </w:lvl>
    <w:lvl w:ilvl="2" w:tplc="A95823C0">
      <w:numFmt w:val="bullet"/>
      <w:lvlText w:val="•"/>
      <w:lvlJc w:val="left"/>
      <w:pPr>
        <w:ind w:left="2596" w:hanging="361"/>
      </w:pPr>
      <w:rPr>
        <w:rFonts w:hint="default"/>
        <w:lang w:val="es-ES" w:eastAsia="en-US" w:bidi="ar-SA"/>
      </w:rPr>
    </w:lvl>
    <w:lvl w:ilvl="3" w:tplc="FAC03ED2">
      <w:numFmt w:val="bullet"/>
      <w:lvlText w:val="•"/>
      <w:lvlJc w:val="left"/>
      <w:pPr>
        <w:ind w:left="3574" w:hanging="361"/>
      </w:pPr>
      <w:rPr>
        <w:rFonts w:hint="default"/>
        <w:lang w:val="es-ES" w:eastAsia="en-US" w:bidi="ar-SA"/>
      </w:rPr>
    </w:lvl>
    <w:lvl w:ilvl="4" w:tplc="63505D34">
      <w:numFmt w:val="bullet"/>
      <w:lvlText w:val="•"/>
      <w:lvlJc w:val="left"/>
      <w:pPr>
        <w:ind w:left="4552" w:hanging="361"/>
      </w:pPr>
      <w:rPr>
        <w:rFonts w:hint="default"/>
        <w:lang w:val="es-ES" w:eastAsia="en-US" w:bidi="ar-SA"/>
      </w:rPr>
    </w:lvl>
    <w:lvl w:ilvl="5" w:tplc="FAD69D26">
      <w:numFmt w:val="bullet"/>
      <w:lvlText w:val="•"/>
      <w:lvlJc w:val="left"/>
      <w:pPr>
        <w:ind w:left="5531" w:hanging="361"/>
      </w:pPr>
      <w:rPr>
        <w:rFonts w:hint="default"/>
        <w:lang w:val="es-ES" w:eastAsia="en-US" w:bidi="ar-SA"/>
      </w:rPr>
    </w:lvl>
    <w:lvl w:ilvl="6" w:tplc="3C922E82">
      <w:numFmt w:val="bullet"/>
      <w:lvlText w:val="•"/>
      <w:lvlJc w:val="left"/>
      <w:pPr>
        <w:ind w:left="6509" w:hanging="361"/>
      </w:pPr>
      <w:rPr>
        <w:rFonts w:hint="default"/>
        <w:lang w:val="es-ES" w:eastAsia="en-US" w:bidi="ar-SA"/>
      </w:rPr>
    </w:lvl>
    <w:lvl w:ilvl="7" w:tplc="99668236">
      <w:numFmt w:val="bullet"/>
      <w:lvlText w:val="•"/>
      <w:lvlJc w:val="left"/>
      <w:pPr>
        <w:ind w:left="7487" w:hanging="361"/>
      </w:pPr>
      <w:rPr>
        <w:rFonts w:hint="default"/>
        <w:lang w:val="es-ES" w:eastAsia="en-US" w:bidi="ar-SA"/>
      </w:rPr>
    </w:lvl>
    <w:lvl w:ilvl="8" w:tplc="D3225126">
      <w:numFmt w:val="bullet"/>
      <w:lvlText w:val="•"/>
      <w:lvlJc w:val="left"/>
      <w:pPr>
        <w:ind w:left="8465" w:hanging="361"/>
      </w:pPr>
      <w:rPr>
        <w:rFonts w:hint="default"/>
        <w:lang w:val="es-ES" w:eastAsia="en-US" w:bidi="ar-SA"/>
      </w:rPr>
    </w:lvl>
  </w:abstractNum>
  <w:abstractNum w:abstractNumId="8">
    <w:nsid w:val="18F41153"/>
    <w:multiLevelType w:val="hybridMultilevel"/>
    <w:tmpl w:val="7E261594"/>
    <w:lvl w:ilvl="0" w:tplc="2B9A1B92">
      <w:start w:val="1"/>
      <w:numFmt w:val="decimal"/>
      <w:lvlText w:val="%1."/>
      <w:lvlJc w:val="left"/>
      <w:pPr>
        <w:ind w:left="391" w:hanging="217"/>
      </w:pPr>
      <w:rPr>
        <w:rFonts w:ascii="Calibri" w:eastAsia="Calibri" w:hAnsi="Calibri" w:cs="Calibri" w:hint="default"/>
        <w:spacing w:val="-3"/>
        <w:w w:val="100"/>
        <w:sz w:val="18"/>
        <w:szCs w:val="18"/>
        <w:lang w:val="es-ES" w:eastAsia="en-US" w:bidi="ar-SA"/>
      </w:rPr>
    </w:lvl>
    <w:lvl w:ilvl="1" w:tplc="32345280">
      <w:numFmt w:val="bullet"/>
      <w:lvlText w:val="•"/>
      <w:lvlJc w:val="left"/>
      <w:pPr>
        <w:ind w:left="1378" w:hanging="217"/>
      </w:pPr>
      <w:rPr>
        <w:rFonts w:hint="default"/>
        <w:lang w:val="es-ES" w:eastAsia="en-US" w:bidi="ar-SA"/>
      </w:rPr>
    </w:lvl>
    <w:lvl w:ilvl="2" w:tplc="8968BDE6">
      <w:numFmt w:val="bullet"/>
      <w:lvlText w:val="•"/>
      <w:lvlJc w:val="left"/>
      <w:pPr>
        <w:ind w:left="2356" w:hanging="217"/>
      </w:pPr>
      <w:rPr>
        <w:rFonts w:hint="default"/>
        <w:lang w:val="es-ES" w:eastAsia="en-US" w:bidi="ar-SA"/>
      </w:rPr>
    </w:lvl>
    <w:lvl w:ilvl="3" w:tplc="985ED6AE">
      <w:numFmt w:val="bullet"/>
      <w:lvlText w:val="•"/>
      <w:lvlJc w:val="left"/>
      <w:pPr>
        <w:ind w:left="3334" w:hanging="217"/>
      </w:pPr>
      <w:rPr>
        <w:rFonts w:hint="default"/>
        <w:lang w:val="es-ES" w:eastAsia="en-US" w:bidi="ar-SA"/>
      </w:rPr>
    </w:lvl>
    <w:lvl w:ilvl="4" w:tplc="86CEF448">
      <w:numFmt w:val="bullet"/>
      <w:lvlText w:val="•"/>
      <w:lvlJc w:val="left"/>
      <w:pPr>
        <w:ind w:left="4312" w:hanging="217"/>
      </w:pPr>
      <w:rPr>
        <w:rFonts w:hint="default"/>
        <w:lang w:val="es-ES" w:eastAsia="en-US" w:bidi="ar-SA"/>
      </w:rPr>
    </w:lvl>
    <w:lvl w:ilvl="5" w:tplc="EFDC4FB6">
      <w:numFmt w:val="bullet"/>
      <w:lvlText w:val="•"/>
      <w:lvlJc w:val="left"/>
      <w:pPr>
        <w:ind w:left="5291" w:hanging="217"/>
      </w:pPr>
      <w:rPr>
        <w:rFonts w:hint="default"/>
        <w:lang w:val="es-ES" w:eastAsia="en-US" w:bidi="ar-SA"/>
      </w:rPr>
    </w:lvl>
    <w:lvl w:ilvl="6" w:tplc="56789676">
      <w:numFmt w:val="bullet"/>
      <w:lvlText w:val="•"/>
      <w:lvlJc w:val="left"/>
      <w:pPr>
        <w:ind w:left="6269" w:hanging="217"/>
      </w:pPr>
      <w:rPr>
        <w:rFonts w:hint="default"/>
        <w:lang w:val="es-ES" w:eastAsia="en-US" w:bidi="ar-SA"/>
      </w:rPr>
    </w:lvl>
    <w:lvl w:ilvl="7" w:tplc="A36E2E06">
      <w:numFmt w:val="bullet"/>
      <w:lvlText w:val="•"/>
      <w:lvlJc w:val="left"/>
      <w:pPr>
        <w:ind w:left="7247" w:hanging="217"/>
      </w:pPr>
      <w:rPr>
        <w:rFonts w:hint="default"/>
        <w:lang w:val="es-ES" w:eastAsia="en-US" w:bidi="ar-SA"/>
      </w:rPr>
    </w:lvl>
    <w:lvl w:ilvl="8" w:tplc="2886E122">
      <w:numFmt w:val="bullet"/>
      <w:lvlText w:val="•"/>
      <w:lvlJc w:val="left"/>
      <w:pPr>
        <w:ind w:left="8225" w:hanging="217"/>
      </w:pPr>
      <w:rPr>
        <w:rFonts w:hint="default"/>
        <w:lang w:val="es-ES" w:eastAsia="en-US" w:bidi="ar-SA"/>
      </w:rPr>
    </w:lvl>
  </w:abstractNum>
  <w:abstractNum w:abstractNumId="9">
    <w:nsid w:val="19476F7C"/>
    <w:multiLevelType w:val="hybridMultilevel"/>
    <w:tmpl w:val="4BA43B24"/>
    <w:lvl w:ilvl="0" w:tplc="7902D254">
      <w:start w:val="1"/>
      <w:numFmt w:val="bullet"/>
      <w:lvlText w:val="•"/>
      <w:lvlJc w:val="left"/>
      <w:pPr>
        <w:ind w:left="720" w:hanging="360"/>
      </w:pPr>
      <w:rPr>
        <w:rFonts w:ascii="Times New Roman" w:hAnsi="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D270991"/>
    <w:multiLevelType w:val="hybridMultilevel"/>
    <w:tmpl w:val="4E3E3300"/>
    <w:lvl w:ilvl="0" w:tplc="061CB704">
      <w:start w:val="1"/>
      <w:numFmt w:val="decimal"/>
      <w:lvlText w:val="%1."/>
      <w:lvlJc w:val="left"/>
      <w:pPr>
        <w:ind w:left="324" w:hanging="284"/>
      </w:pPr>
      <w:rPr>
        <w:rFonts w:ascii="Calibri" w:eastAsia="Calibri" w:hAnsi="Calibri" w:cs="Calibri" w:hint="default"/>
        <w:spacing w:val="-17"/>
        <w:w w:val="100"/>
        <w:sz w:val="18"/>
        <w:szCs w:val="18"/>
        <w:lang w:val="es-ES" w:eastAsia="en-US" w:bidi="ar-SA"/>
      </w:rPr>
    </w:lvl>
    <w:lvl w:ilvl="1" w:tplc="A69C4640">
      <w:numFmt w:val="bullet"/>
      <w:lvlText w:val=""/>
      <w:lvlJc w:val="left"/>
      <w:pPr>
        <w:ind w:left="749" w:hanging="286"/>
      </w:pPr>
      <w:rPr>
        <w:rFonts w:ascii="Symbol" w:eastAsia="Symbol" w:hAnsi="Symbol" w:cs="Symbol" w:hint="default"/>
        <w:w w:val="100"/>
        <w:sz w:val="18"/>
        <w:szCs w:val="18"/>
        <w:lang w:val="es-ES" w:eastAsia="en-US" w:bidi="ar-SA"/>
      </w:rPr>
    </w:lvl>
    <w:lvl w:ilvl="2" w:tplc="69EC0B0C">
      <w:numFmt w:val="bullet"/>
      <w:lvlText w:val="•"/>
      <w:lvlJc w:val="left"/>
      <w:pPr>
        <w:ind w:left="1274" w:hanging="286"/>
      </w:pPr>
      <w:rPr>
        <w:rFonts w:hint="default"/>
        <w:lang w:val="es-ES" w:eastAsia="en-US" w:bidi="ar-SA"/>
      </w:rPr>
    </w:lvl>
    <w:lvl w:ilvl="3" w:tplc="265031E2">
      <w:numFmt w:val="bullet"/>
      <w:lvlText w:val="•"/>
      <w:lvlJc w:val="left"/>
      <w:pPr>
        <w:ind w:left="1809" w:hanging="286"/>
      </w:pPr>
      <w:rPr>
        <w:rFonts w:hint="default"/>
        <w:lang w:val="es-ES" w:eastAsia="en-US" w:bidi="ar-SA"/>
      </w:rPr>
    </w:lvl>
    <w:lvl w:ilvl="4" w:tplc="3746DE14">
      <w:numFmt w:val="bullet"/>
      <w:lvlText w:val="•"/>
      <w:lvlJc w:val="left"/>
      <w:pPr>
        <w:ind w:left="2343" w:hanging="286"/>
      </w:pPr>
      <w:rPr>
        <w:rFonts w:hint="default"/>
        <w:lang w:val="es-ES" w:eastAsia="en-US" w:bidi="ar-SA"/>
      </w:rPr>
    </w:lvl>
    <w:lvl w:ilvl="5" w:tplc="31E441CC">
      <w:numFmt w:val="bullet"/>
      <w:lvlText w:val="•"/>
      <w:lvlJc w:val="left"/>
      <w:pPr>
        <w:ind w:left="2878" w:hanging="286"/>
      </w:pPr>
      <w:rPr>
        <w:rFonts w:hint="default"/>
        <w:lang w:val="es-ES" w:eastAsia="en-US" w:bidi="ar-SA"/>
      </w:rPr>
    </w:lvl>
    <w:lvl w:ilvl="6" w:tplc="8362DAE6">
      <w:numFmt w:val="bullet"/>
      <w:lvlText w:val="•"/>
      <w:lvlJc w:val="left"/>
      <w:pPr>
        <w:ind w:left="3412" w:hanging="286"/>
      </w:pPr>
      <w:rPr>
        <w:rFonts w:hint="default"/>
        <w:lang w:val="es-ES" w:eastAsia="en-US" w:bidi="ar-SA"/>
      </w:rPr>
    </w:lvl>
    <w:lvl w:ilvl="7" w:tplc="6BA65FE4">
      <w:numFmt w:val="bullet"/>
      <w:lvlText w:val="•"/>
      <w:lvlJc w:val="left"/>
      <w:pPr>
        <w:ind w:left="3947" w:hanging="286"/>
      </w:pPr>
      <w:rPr>
        <w:rFonts w:hint="default"/>
        <w:lang w:val="es-ES" w:eastAsia="en-US" w:bidi="ar-SA"/>
      </w:rPr>
    </w:lvl>
    <w:lvl w:ilvl="8" w:tplc="2F4A8E1E">
      <w:numFmt w:val="bullet"/>
      <w:lvlText w:val="•"/>
      <w:lvlJc w:val="left"/>
      <w:pPr>
        <w:ind w:left="4481" w:hanging="286"/>
      </w:pPr>
      <w:rPr>
        <w:rFonts w:hint="default"/>
        <w:lang w:val="es-ES" w:eastAsia="en-US" w:bidi="ar-SA"/>
      </w:rPr>
    </w:lvl>
  </w:abstractNum>
  <w:abstractNum w:abstractNumId="11">
    <w:nsid w:val="1D644F0B"/>
    <w:multiLevelType w:val="multilevel"/>
    <w:tmpl w:val="32F65586"/>
    <w:lvl w:ilvl="0">
      <w:start w:val="4"/>
      <w:numFmt w:val="bullet"/>
      <w:lvlText w:val="-"/>
      <w:lvlJc w:val="left"/>
      <w:pPr>
        <w:ind w:left="720" w:hanging="360"/>
      </w:pPr>
      <w:rPr>
        <w:rFonts w:ascii="Calibri" w:eastAsia="Calibri" w:hAnsi="Calibri" w:cs="Calibri" w:hint="default"/>
        <w:color w:val="333333"/>
        <w:sz w:val="20"/>
        <w:szCs w:val="20"/>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2">
    <w:nsid w:val="24A100C6"/>
    <w:multiLevelType w:val="hybridMultilevel"/>
    <w:tmpl w:val="A7D64990"/>
    <w:lvl w:ilvl="0" w:tplc="340A000F">
      <w:start w:val="1"/>
      <w:numFmt w:val="decimal"/>
      <w:lvlText w:val="%1."/>
      <w:lvlJc w:val="left"/>
      <w:pPr>
        <w:ind w:left="720" w:hanging="360"/>
      </w:pPr>
      <w:rPr>
        <w:rFonts w:hint="default"/>
      </w:rPr>
    </w:lvl>
    <w:lvl w:ilvl="1" w:tplc="340A000F">
      <w:start w:val="1"/>
      <w:numFmt w:val="decimal"/>
      <w:lvlText w:val="%2."/>
      <w:lvlJc w:val="left"/>
      <w:pPr>
        <w:ind w:left="36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57822EE"/>
    <w:multiLevelType w:val="hybridMultilevel"/>
    <w:tmpl w:val="728A87E6"/>
    <w:lvl w:ilvl="0" w:tplc="0C0A0001">
      <w:start w:val="1"/>
      <w:numFmt w:val="bullet"/>
      <w:lvlText w:val=""/>
      <w:lvlJc w:val="left"/>
      <w:pPr>
        <w:ind w:left="880" w:hanging="360"/>
      </w:pPr>
      <w:rPr>
        <w:rFonts w:ascii="Symbol" w:hAnsi="Symbol" w:hint="default"/>
      </w:rPr>
    </w:lvl>
    <w:lvl w:ilvl="1" w:tplc="0C0A0003" w:tentative="1">
      <w:start w:val="1"/>
      <w:numFmt w:val="bullet"/>
      <w:lvlText w:val="o"/>
      <w:lvlJc w:val="left"/>
      <w:pPr>
        <w:ind w:left="1600" w:hanging="360"/>
      </w:pPr>
      <w:rPr>
        <w:rFonts w:ascii="Courier New" w:hAnsi="Courier New" w:cs="Courier New" w:hint="default"/>
      </w:rPr>
    </w:lvl>
    <w:lvl w:ilvl="2" w:tplc="0C0A0005" w:tentative="1">
      <w:start w:val="1"/>
      <w:numFmt w:val="bullet"/>
      <w:lvlText w:val=""/>
      <w:lvlJc w:val="left"/>
      <w:pPr>
        <w:ind w:left="2320" w:hanging="360"/>
      </w:pPr>
      <w:rPr>
        <w:rFonts w:ascii="Wingdings" w:hAnsi="Wingdings" w:hint="default"/>
      </w:rPr>
    </w:lvl>
    <w:lvl w:ilvl="3" w:tplc="0C0A0001" w:tentative="1">
      <w:start w:val="1"/>
      <w:numFmt w:val="bullet"/>
      <w:lvlText w:val=""/>
      <w:lvlJc w:val="left"/>
      <w:pPr>
        <w:ind w:left="3040" w:hanging="360"/>
      </w:pPr>
      <w:rPr>
        <w:rFonts w:ascii="Symbol" w:hAnsi="Symbol" w:hint="default"/>
      </w:rPr>
    </w:lvl>
    <w:lvl w:ilvl="4" w:tplc="0C0A0003" w:tentative="1">
      <w:start w:val="1"/>
      <w:numFmt w:val="bullet"/>
      <w:lvlText w:val="o"/>
      <w:lvlJc w:val="left"/>
      <w:pPr>
        <w:ind w:left="3760" w:hanging="360"/>
      </w:pPr>
      <w:rPr>
        <w:rFonts w:ascii="Courier New" w:hAnsi="Courier New" w:cs="Courier New" w:hint="default"/>
      </w:rPr>
    </w:lvl>
    <w:lvl w:ilvl="5" w:tplc="0C0A0005" w:tentative="1">
      <w:start w:val="1"/>
      <w:numFmt w:val="bullet"/>
      <w:lvlText w:val=""/>
      <w:lvlJc w:val="left"/>
      <w:pPr>
        <w:ind w:left="4480" w:hanging="360"/>
      </w:pPr>
      <w:rPr>
        <w:rFonts w:ascii="Wingdings" w:hAnsi="Wingdings" w:hint="default"/>
      </w:rPr>
    </w:lvl>
    <w:lvl w:ilvl="6" w:tplc="0C0A0001" w:tentative="1">
      <w:start w:val="1"/>
      <w:numFmt w:val="bullet"/>
      <w:lvlText w:val=""/>
      <w:lvlJc w:val="left"/>
      <w:pPr>
        <w:ind w:left="5200" w:hanging="360"/>
      </w:pPr>
      <w:rPr>
        <w:rFonts w:ascii="Symbol" w:hAnsi="Symbol" w:hint="default"/>
      </w:rPr>
    </w:lvl>
    <w:lvl w:ilvl="7" w:tplc="0C0A0003" w:tentative="1">
      <w:start w:val="1"/>
      <w:numFmt w:val="bullet"/>
      <w:lvlText w:val="o"/>
      <w:lvlJc w:val="left"/>
      <w:pPr>
        <w:ind w:left="5920" w:hanging="360"/>
      </w:pPr>
      <w:rPr>
        <w:rFonts w:ascii="Courier New" w:hAnsi="Courier New" w:cs="Courier New" w:hint="default"/>
      </w:rPr>
    </w:lvl>
    <w:lvl w:ilvl="8" w:tplc="0C0A0005" w:tentative="1">
      <w:start w:val="1"/>
      <w:numFmt w:val="bullet"/>
      <w:lvlText w:val=""/>
      <w:lvlJc w:val="left"/>
      <w:pPr>
        <w:ind w:left="6640" w:hanging="360"/>
      </w:pPr>
      <w:rPr>
        <w:rFonts w:ascii="Wingdings" w:hAnsi="Wingdings" w:hint="default"/>
      </w:rPr>
    </w:lvl>
  </w:abstractNum>
  <w:abstractNum w:abstractNumId="14">
    <w:nsid w:val="26CC2BFE"/>
    <w:multiLevelType w:val="hybridMultilevel"/>
    <w:tmpl w:val="C568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96D7F"/>
    <w:multiLevelType w:val="hybridMultilevel"/>
    <w:tmpl w:val="F426D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251E99"/>
    <w:multiLevelType w:val="hybridMultilevel"/>
    <w:tmpl w:val="25C0C3A6"/>
    <w:lvl w:ilvl="0" w:tplc="73B67F54">
      <w:numFmt w:val="bullet"/>
      <w:lvlText w:val=""/>
      <w:lvlJc w:val="left"/>
      <w:pPr>
        <w:ind w:left="333" w:hanging="219"/>
      </w:pPr>
      <w:rPr>
        <w:rFonts w:ascii="Symbol" w:eastAsia="Symbol" w:hAnsi="Symbol" w:cs="Symbol" w:hint="default"/>
        <w:w w:val="100"/>
        <w:sz w:val="18"/>
        <w:szCs w:val="18"/>
        <w:lang w:val="es-ES" w:eastAsia="en-US" w:bidi="ar-SA"/>
      </w:rPr>
    </w:lvl>
    <w:lvl w:ilvl="1" w:tplc="535A3E64">
      <w:numFmt w:val="bullet"/>
      <w:lvlText w:val="•"/>
      <w:lvlJc w:val="left"/>
      <w:pPr>
        <w:ind w:left="851" w:hanging="219"/>
      </w:pPr>
      <w:rPr>
        <w:rFonts w:hint="default"/>
        <w:lang w:val="es-ES" w:eastAsia="en-US" w:bidi="ar-SA"/>
      </w:rPr>
    </w:lvl>
    <w:lvl w:ilvl="2" w:tplc="EBBAC4B2">
      <w:numFmt w:val="bullet"/>
      <w:lvlText w:val="•"/>
      <w:lvlJc w:val="left"/>
      <w:pPr>
        <w:ind w:left="1363" w:hanging="219"/>
      </w:pPr>
      <w:rPr>
        <w:rFonts w:hint="default"/>
        <w:lang w:val="es-ES" w:eastAsia="en-US" w:bidi="ar-SA"/>
      </w:rPr>
    </w:lvl>
    <w:lvl w:ilvl="3" w:tplc="67800388">
      <w:numFmt w:val="bullet"/>
      <w:lvlText w:val="•"/>
      <w:lvlJc w:val="left"/>
      <w:pPr>
        <w:ind w:left="1875" w:hanging="219"/>
      </w:pPr>
      <w:rPr>
        <w:rFonts w:hint="default"/>
        <w:lang w:val="es-ES" w:eastAsia="en-US" w:bidi="ar-SA"/>
      </w:rPr>
    </w:lvl>
    <w:lvl w:ilvl="4" w:tplc="E8BCF61E">
      <w:numFmt w:val="bullet"/>
      <w:lvlText w:val="•"/>
      <w:lvlJc w:val="left"/>
      <w:pPr>
        <w:ind w:left="2387" w:hanging="219"/>
      </w:pPr>
      <w:rPr>
        <w:rFonts w:hint="default"/>
        <w:lang w:val="es-ES" w:eastAsia="en-US" w:bidi="ar-SA"/>
      </w:rPr>
    </w:lvl>
    <w:lvl w:ilvl="5" w:tplc="8B2A3C10">
      <w:numFmt w:val="bullet"/>
      <w:lvlText w:val="•"/>
      <w:lvlJc w:val="left"/>
      <w:pPr>
        <w:ind w:left="2899" w:hanging="219"/>
      </w:pPr>
      <w:rPr>
        <w:rFonts w:hint="default"/>
        <w:lang w:val="es-ES" w:eastAsia="en-US" w:bidi="ar-SA"/>
      </w:rPr>
    </w:lvl>
    <w:lvl w:ilvl="6" w:tplc="8D34843C">
      <w:numFmt w:val="bullet"/>
      <w:lvlText w:val="•"/>
      <w:lvlJc w:val="left"/>
      <w:pPr>
        <w:ind w:left="3410" w:hanging="219"/>
      </w:pPr>
      <w:rPr>
        <w:rFonts w:hint="default"/>
        <w:lang w:val="es-ES" w:eastAsia="en-US" w:bidi="ar-SA"/>
      </w:rPr>
    </w:lvl>
    <w:lvl w:ilvl="7" w:tplc="5928A61C">
      <w:numFmt w:val="bullet"/>
      <w:lvlText w:val="•"/>
      <w:lvlJc w:val="left"/>
      <w:pPr>
        <w:ind w:left="3922" w:hanging="219"/>
      </w:pPr>
      <w:rPr>
        <w:rFonts w:hint="default"/>
        <w:lang w:val="es-ES" w:eastAsia="en-US" w:bidi="ar-SA"/>
      </w:rPr>
    </w:lvl>
    <w:lvl w:ilvl="8" w:tplc="12140F82">
      <w:numFmt w:val="bullet"/>
      <w:lvlText w:val="•"/>
      <w:lvlJc w:val="left"/>
      <w:pPr>
        <w:ind w:left="4434" w:hanging="219"/>
      </w:pPr>
      <w:rPr>
        <w:rFonts w:hint="default"/>
        <w:lang w:val="es-ES" w:eastAsia="en-US" w:bidi="ar-SA"/>
      </w:rPr>
    </w:lvl>
  </w:abstractNum>
  <w:abstractNum w:abstractNumId="17">
    <w:nsid w:val="2E942353"/>
    <w:multiLevelType w:val="hybridMultilevel"/>
    <w:tmpl w:val="3B4C20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20A68F2"/>
    <w:multiLevelType w:val="hybridMultilevel"/>
    <w:tmpl w:val="BF7EDD8A"/>
    <w:lvl w:ilvl="0" w:tplc="0C0A0001">
      <w:start w:val="1"/>
      <w:numFmt w:val="bullet"/>
      <w:lvlText w:val=""/>
      <w:lvlJc w:val="left"/>
      <w:pPr>
        <w:ind w:left="2509" w:hanging="360"/>
      </w:pPr>
      <w:rPr>
        <w:rFonts w:ascii="Symbol" w:hAnsi="Symbol" w:hint="default"/>
      </w:rPr>
    </w:lvl>
    <w:lvl w:ilvl="1" w:tplc="0C0A0003" w:tentative="1">
      <w:start w:val="1"/>
      <w:numFmt w:val="bullet"/>
      <w:lvlText w:val="o"/>
      <w:lvlJc w:val="left"/>
      <w:pPr>
        <w:ind w:left="3229" w:hanging="360"/>
      </w:pPr>
      <w:rPr>
        <w:rFonts w:ascii="Courier New" w:hAnsi="Courier New" w:cs="Courier New" w:hint="default"/>
      </w:rPr>
    </w:lvl>
    <w:lvl w:ilvl="2" w:tplc="0C0A0005" w:tentative="1">
      <w:start w:val="1"/>
      <w:numFmt w:val="bullet"/>
      <w:lvlText w:val=""/>
      <w:lvlJc w:val="left"/>
      <w:pPr>
        <w:ind w:left="3949" w:hanging="360"/>
      </w:pPr>
      <w:rPr>
        <w:rFonts w:ascii="Wingdings" w:hAnsi="Wingdings" w:hint="default"/>
      </w:rPr>
    </w:lvl>
    <w:lvl w:ilvl="3" w:tplc="0C0A0001" w:tentative="1">
      <w:start w:val="1"/>
      <w:numFmt w:val="bullet"/>
      <w:lvlText w:val=""/>
      <w:lvlJc w:val="left"/>
      <w:pPr>
        <w:ind w:left="4669" w:hanging="360"/>
      </w:pPr>
      <w:rPr>
        <w:rFonts w:ascii="Symbol" w:hAnsi="Symbol" w:hint="default"/>
      </w:rPr>
    </w:lvl>
    <w:lvl w:ilvl="4" w:tplc="0C0A0003" w:tentative="1">
      <w:start w:val="1"/>
      <w:numFmt w:val="bullet"/>
      <w:lvlText w:val="o"/>
      <w:lvlJc w:val="left"/>
      <w:pPr>
        <w:ind w:left="5389" w:hanging="360"/>
      </w:pPr>
      <w:rPr>
        <w:rFonts w:ascii="Courier New" w:hAnsi="Courier New" w:cs="Courier New" w:hint="default"/>
      </w:rPr>
    </w:lvl>
    <w:lvl w:ilvl="5" w:tplc="0C0A0005" w:tentative="1">
      <w:start w:val="1"/>
      <w:numFmt w:val="bullet"/>
      <w:lvlText w:val=""/>
      <w:lvlJc w:val="left"/>
      <w:pPr>
        <w:ind w:left="6109" w:hanging="360"/>
      </w:pPr>
      <w:rPr>
        <w:rFonts w:ascii="Wingdings" w:hAnsi="Wingdings" w:hint="default"/>
      </w:rPr>
    </w:lvl>
    <w:lvl w:ilvl="6" w:tplc="0C0A0001" w:tentative="1">
      <w:start w:val="1"/>
      <w:numFmt w:val="bullet"/>
      <w:lvlText w:val=""/>
      <w:lvlJc w:val="left"/>
      <w:pPr>
        <w:ind w:left="6829" w:hanging="360"/>
      </w:pPr>
      <w:rPr>
        <w:rFonts w:ascii="Symbol" w:hAnsi="Symbol" w:hint="default"/>
      </w:rPr>
    </w:lvl>
    <w:lvl w:ilvl="7" w:tplc="0C0A0003" w:tentative="1">
      <w:start w:val="1"/>
      <w:numFmt w:val="bullet"/>
      <w:lvlText w:val="o"/>
      <w:lvlJc w:val="left"/>
      <w:pPr>
        <w:ind w:left="7549" w:hanging="360"/>
      </w:pPr>
      <w:rPr>
        <w:rFonts w:ascii="Courier New" w:hAnsi="Courier New" w:cs="Courier New" w:hint="default"/>
      </w:rPr>
    </w:lvl>
    <w:lvl w:ilvl="8" w:tplc="0C0A0005" w:tentative="1">
      <w:start w:val="1"/>
      <w:numFmt w:val="bullet"/>
      <w:lvlText w:val=""/>
      <w:lvlJc w:val="left"/>
      <w:pPr>
        <w:ind w:left="8269" w:hanging="360"/>
      </w:pPr>
      <w:rPr>
        <w:rFonts w:ascii="Wingdings" w:hAnsi="Wingdings" w:hint="default"/>
      </w:rPr>
    </w:lvl>
  </w:abstractNum>
  <w:abstractNum w:abstractNumId="19">
    <w:nsid w:val="330A4572"/>
    <w:multiLevelType w:val="hybridMultilevel"/>
    <w:tmpl w:val="D228F8DE"/>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20">
    <w:nsid w:val="332553F4"/>
    <w:multiLevelType w:val="hybridMultilevel"/>
    <w:tmpl w:val="041E4F7E"/>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390F39CE"/>
    <w:multiLevelType w:val="hybridMultilevel"/>
    <w:tmpl w:val="B2169A52"/>
    <w:lvl w:ilvl="0" w:tplc="C3B822AE">
      <w:start w:val="1"/>
      <w:numFmt w:val="decimal"/>
      <w:lvlText w:val="%1)"/>
      <w:lvlJc w:val="left"/>
      <w:pPr>
        <w:ind w:left="640" w:hanging="361"/>
      </w:pPr>
      <w:rPr>
        <w:rFonts w:ascii="Calibri" w:eastAsia="Calibri" w:hAnsi="Calibri" w:cs="Calibri" w:hint="default"/>
        <w:spacing w:val="-1"/>
        <w:w w:val="99"/>
        <w:sz w:val="20"/>
        <w:szCs w:val="20"/>
        <w:lang w:val="es-ES" w:eastAsia="en-US" w:bidi="ar-SA"/>
      </w:rPr>
    </w:lvl>
    <w:lvl w:ilvl="1" w:tplc="B456D76C">
      <w:numFmt w:val="bullet"/>
      <w:lvlText w:val="•"/>
      <w:lvlJc w:val="left"/>
      <w:pPr>
        <w:ind w:left="1618" w:hanging="361"/>
      </w:pPr>
      <w:rPr>
        <w:rFonts w:hint="default"/>
        <w:lang w:val="es-ES" w:eastAsia="en-US" w:bidi="ar-SA"/>
      </w:rPr>
    </w:lvl>
    <w:lvl w:ilvl="2" w:tplc="CE66D240">
      <w:numFmt w:val="bullet"/>
      <w:lvlText w:val="•"/>
      <w:lvlJc w:val="left"/>
      <w:pPr>
        <w:ind w:left="2596" w:hanging="361"/>
      </w:pPr>
      <w:rPr>
        <w:rFonts w:hint="default"/>
        <w:lang w:val="es-ES" w:eastAsia="en-US" w:bidi="ar-SA"/>
      </w:rPr>
    </w:lvl>
    <w:lvl w:ilvl="3" w:tplc="9FD65050">
      <w:numFmt w:val="bullet"/>
      <w:lvlText w:val="•"/>
      <w:lvlJc w:val="left"/>
      <w:pPr>
        <w:ind w:left="3574" w:hanging="361"/>
      </w:pPr>
      <w:rPr>
        <w:rFonts w:hint="default"/>
        <w:lang w:val="es-ES" w:eastAsia="en-US" w:bidi="ar-SA"/>
      </w:rPr>
    </w:lvl>
    <w:lvl w:ilvl="4" w:tplc="6C5A32C2">
      <w:numFmt w:val="bullet"/>
      <w:lvlText w:val="•"/>
      <w:lvlJc w:val="left"/>
      <w:pPr>
        <w:ind w:left="4552" w:hanging="361"/>
      </w:pPr>
      <w:rPr>
        <w:rFonts w:hint="default"/>
        <w:lang w:val="es-ES" w:eastAsia="en-US" w:bidi="ar-SA"/>
      </w:rPr>
    </w:lvl>
    <w:lvl w:ilvl="5" w:tplc="C0306F2A">
      <w:numFmt w:val="bullet"/>
      <w:lvlText w:val="•"/>
      <w:lvlJc w:val="left"/>
      <w:pPr>
        <w:ind w:left="5531" w:hanging="361"/>
      </w:pPr>
      <w:rPr>
        <w:rFonts w:hint="default"/>
        <w:lang w:val="es-ES" w:eastAsia="en-US" w:bidi="ar-SA"/>
      </w:rPr>
    </w:lvl>
    <w:lvl w:ilvl="6" w:tplc="27E87692">
      <w:numFmt w:val="bullet"/>
      <w:lvlText w:val="•"/>
      <w:lvlJc w:val="left"/>
      <w:pPr>
        <w:ind w:left="6509" w:hanging="361"/>
      </w:pPr>
      <w:rPr>
        <w:rFonts w:hint="default"/>
        <w:lang w:val="es-ES" w:eastAsia="en-US" w:bidi="ar-SA"/>
      </w:rPr>
    </w:lvl>
    <w:lvl w:ilvl="7" w:tplc="37B209AC">
      <w:numFmt w:val="bullet"/>
      <w:lvlText w:val="•"/>
      <w:lvlJc w:val="left"/>
      <w:pPr>
        <w:ind w:left="7487" w:hanging="361"/>
      </w:pPr>
      <w:rPr>
        <w:rFonts w:hint="default"/>
        <w:lang w:val="es-ES" w:eastAsia="en-US" w:bidi="ar-SA"/>
      </w:rPr>
    </w:lvl>
    <w:lvl w:ilvl="8" w:tplc="67A4545E">
      <w:numFmt w:val="bullet"/>
      <w:lvlText w:val="•"/>
      <w:lvlJc w:val="left"/>
      <w:pPr>
        <w:ind w:left="8465" w:hanging="361"/>
      </w:pPr>
      <w:rPr>
        <w:rFonts w:hint="default"/>
        <w:lang w:val="es-ES" w:eastAsia="en-US" w:bidi="ar-SA"/>
      </w:rPr>
    </w:lvl>
  </w:abstractNum>
  <w:abstractNum w:abstractNumId="22">
    <w:nsid w:val="3ECC4777"/>
    <w:multiLevelType w:val="hybridMultilevel"/>
    <w:tmpl w:val="B53C6D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782182D"/>
    <w:multiLevelType w:val="hybridMultilevel"/>
    <w:tmpl w:val="78E0AF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F4E3812"/>
    <w:multiLevelType w:val="hybridMultilevel"/>
    <w:tmpl w:val="7F08F1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794F6A"/>
    <w:multiLevelType w:val="hybridMultilevel"/>
    <w:tmpl w:val="BE240226"/>
    <w:lvl w:ilvl="0" w:tplc="EF0411BE">
      <w:start w:val="1"/>
      <w:numFmt w:val="lowerLetter"/>
      <w:lvlText w:val="%1)"/>
      <w:lvlJc w:val="left"/>
      <w:pPr>
        <w:ind w:left="319" w:hanging="219"/>
      </w:pPr>
      <w:rPr>
        <w:rFonts w:ascii="Calibri" w:eastAsia="Calibri" w:hAnsi="Calibri" w:cs="Calibri" w:hint="default"/>
        <w:spacing w:val="-9"/>
        <w:w w:val="100"/>
        <w:sz w:val="18"/>
        <w:szCs w:val="18"/>
        <w:lang w:val="es-ES" w:eastAsia="en-US" w:bidi="ar-SA"/>
      </w:rPr>
    </w:lvl>
    <w:lvl w:ilvl="1" w:tplc="F23444D0">
      <w:numFmt w:val="bullet"/>
      <w:lvlText w:val="•"/>
      <w:lvlJc w:val="left"/>
      <w:pPr>
        <w:ind w:left="806" w:hanging="219"/>
      </w:pPr>
      <w:rPr>
        <w:rFonts w:hint="default"/>
        <w:lang w:val="es-ES" w:eastAsia="en-US" w:bidi="ar-SA"/>
      </w:rPr>
    </w:lvl>
    <w:lvl w:ilvl="2" w:tplc="7026CC64">
      <w:numFmt w:val="bullet"/>
      <w:lvlText w:val="•"/>
      <w:lvlJc w:val="left"/>
      <w:pPr>
        <w:ind w:left="1292" w:hanging="219"/>
      </w:pPr>
      <w:rPr>
        <w:rFonts w:hint="default"/>
        <w:lang w:val="es-ES" w:eastAsia="en-US" w:bidi="ar-SA"/>
      </w:rPr>
    </w:lvl>
    <w:lvl w:ilvl="3" w:tplc="97A40C94">
      <w:numFmt w:val="bullet"/>
      <w:lvlText w:val="•"/>
      <w:lvlJc w:val="left"/>
      <w:pPr>
        <w:ind w:left="1778" w:hanging="219"/>
      </w:pPr>
      <w:rPr>
        <w:rFonts w:hint="default"/>
        <w:lang w:val="es-ES" w:eastAsia="en-US" w:bidi="ar-SA"/>
      </w:rPr>
    </w:lvl>
    <w:lvl w:ilvl="4" w:tplc="F75C3F12">
      <w:numFmt w:val="bullet"/>
      <w:lvlText w:val="•"/>
      <w:lvlJc w:val="left"/>
      <w:pPr>
        <w:ind w:left="2264" w:hanging="219"/>
      </w:pPr>
      <w:rPr>
        <w:rFonts w:hint="default"/>
        <w:lang w:val="es-ES" w:eastAsia="en-US" w:bidi="ar-SA"/>
      </w:rPr>
    </w:lvl>
    <w:lvl w:ilvl="5" w:tplc="E946E550">
      <w:numFmt w:val="bullet"/>
      <w:lvlText w:val="•"/>
      <w:lvlJc w:val="left"/>
      <w:pPr>
        <w:ind w:left="2751" w:hanging="219"/>
      </w:pPr>
      <w:rPr>
        <w:rFonts w:hint="default"/>
        <w:lang w:val="es-ES" w:eastAsia="en-US" w:bidi="ar-SA"/>
      </w:rPr>
    </w:lvl>
    <w:lvl w:ilvl="6" w:tplc="EA127400">
      <w:numFmt w:val="bullet"/>
      <w:lvlText w:val="•"/>
      <w:lvlJc w:val="left"/>
      <w:pPr>
        <w:ind w:left="3237" w:hanging="219"/>
      </w:pPr>
      <w:rPr>
        <w:rFonts w:hint="default"/>
        <w:lang w:val="es-ES" w:eastAsia="en-US" w:bidi="ar-SA"/>
      </w:rPr>
    </w:lvl>
    <w:lvl w:ilvl="7" w:tplc="7DA6E806">
      <w:numFmt w:val="bullet"/>
      <w:lvlText w:val="•"/>
      <w:lvlJc w:val="left"/>
      <w:pPr>
        <w:ind w:left="3723" w:hanging="219"/>
      </w:pPr>
      <w:rPr>
        <w:rFonts w:hint="default"/>
        <w:lang w:val="es-ES" w:eastAsia="en-US" w:bidi="ar-SA"/>
      </w:rPr>
    </w:lvl>
    <w:lvl w:ilvl="8" w:tplc="D5DE4590">
      <w:numFmt w:val="bullet"/>
      <w:lvlText w:val="•"/>
      <w:lvlJc w:val="left"/>
      <w:pPr>
        <w:ind w:left="4209" w:hanging="219"/>
      </w:pPr>
      <w:rPr>
        <w:rFonts w:hint="default"/>
        <w:lang w:val="es-ES" w:eastAsia="en-US" w:bidi="ar-SA"/>
      </w:rPr>
    </w:lvl>
  </w:abstractNum>
  <w:abstractNum w:abstractNumId="26">
    <w:nsid w:val="54B32F08"/>
    <w:multiLevelType w:val="hybridMultilevel"/>
    <w:tmpl w:val="EB442F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56A0CC5"/>
    <w:multiLevelType w:val="hybridMultilevel"/>
    <w:tmpl w:val="3A740040"/>
    <w:lvl w:ilvl="0" w:tplc="DC3EBCD2">
      <w:start w:val="1"/>
      <w:numFmt w:val="decimal"/>
      <w:lvlText w:val="%1."/>
      <w:lvlJc w:val="left"/>
      <w:pPr>
        <w:ind w:left="535" w:hanging="361"/>
      </w:pPr>
      <w:rPr>
        <w:rFonts w:ascii="Calibri" w:eastAsia="Calibri" w:hAnsi="Calibri" w:cs="Calibri" w:hint="default"/>
        <w:b/>
        <w:bCs/>
        <w:i/>
        <w:spacing w:val="-20"/>
        <w:w w:val="100"/>
        <w:sz w:val="18"/>
        <w:szCs w:val="18"/>
        <w:lang w:val="es-ES" w:eastAsia="en-US" w:bidi="ar-SA"/>
      </w:rPr>
    </w:lvl>
    <w:lvl w:ilvl="1" w:tplc="4240FDE2">
      <w:numFmt w:val="bullet"/>
      <w:lvlText w:val="•"/>
      <w:lvlJc w:val="left"/>
      <w:pPr>
        <w:ind w:left="1504" w:hanging="361"/>
      </w:pPr>
      <w:rPr>
        <w:rFonts w:hint="default"/>
        <w:lang w:val="es-ES" w:eastAsia="en-US" w:bidi="ar-SA"/>
      </w:rPr>
    </w:lvl>
    <w:lvl w:ilvl="2" w:tplc="57D05CBA">
      <w:numFmt w:val="bullet"/>
      <w:lvlText w:val="•"/>
      <w:lvlJc w:val="left"/>
      <w:pPr>
        <w:ind w:left="2468" w:hanging="361"/>
      </w:pPr>
      <w:rPr>
        <w:rFonts w:hint="default"/>
        <w:lang w:val="es-ES" w:eastAsia="en-US" w:bidi="ar-SA"/>
      </w:rPr>
    </w:lvl>
    <w:lvl w:ilvl="3" w:tplc="B058C72E">
      <w:numFmt w:val="bullet"/>
      <w:lvlText w:val="•"/>
      <w:lvlJc w:val="left"/>
      <w:pPr>
        <w:ind w:left="3432" w:hanging="361"/>
      </w:pPr>
      <w:rPr>
        <w:rFonts w:hint="default"/>
        <w:lang w:val="es-ES" w:eastAsia="en-US" w:bidi="ar-SA"/>
      </w:rPr>
    </w:lvl>
    <w:lvl w:ilvl="4" w:tplc="CD2C8690">
      <w:numFmt w:val="bullet"/>
      <w:lvlText w:val="•"/>
      <w:lvlJc w:val="left"/>
      <w:pPr>
        <w:ind w:left="4396" w:hanging="361"/>
      </w:pPr>
      <w:rPr>
        <w:rFonts w:hint="default"/>
        <w:lang w:val="es-ES" w:eastAsia="en-US" w:bidi="ar-SA"/>
      </w:rPr>
    </w:lvl>
    <w:lvl w:ilvl="5" w:tplc="E32E17FE">
      <w:numFmt w:val="bullet"/>
      <w:lvlText w:val="•"/>
      <w:lvlJc w:val="left"/>
      <w:pPr>
        <w:ind w:left="5361" w:hanging="361"/>
      </w:pPr>
      <w:rPr>
        <w:rFonts w:hint="default"/>
        <w:lang w:val="es-ES" w:eastAsia="en-US" w:bidi="ar-SA"/>
      </w:rPr>
    </w:lvl>
    <w:lvl w:ilvl="6" w:tplc="EF6A7C72">
      <w:numFmt w:val="bullet"/>
      <w:lvlText w:val="•"/>
      <w:lvlJc w:val="left"/>
      <w:pPr>
        <w:ind w:left="6325" w:hanging="361"/>
      </w:pPr>
      <w:rPr>
        <w:rFonts w:hint="default"/>
        <w:lang w:val="es-ES" w:eastAsia="en-US" w:bidi="ar-SA"/>
      </w:rPr>
    </w:lvl>
    <w:lvl w:ilvl="7" w:tplc="9B98977C">
      <w:numFmt w:val="bullet"/>
      <w:lvlText w:val="•"/>
      <w:lvlJc w:val="left"/>
      <w:pPr>
        <w:ind w:left="7289" w:hanging="361"/>
      </w:pPr>
      <w:rPr>
        <w:rFonts w:hint="default"/>
        <w:lang w:val="es-ES" w:eastAsia="en-US" w:bidi="ar-SA"/>
      </w:rPr>
    </w:lvl>
    <w:lvl w:ilvl="8" w:tplc="D414A50C">
      <w:numFmt w:val="bullet"/>
      <w:lvlText w:val="•"/>
      <w:lvlJc w:val="left"/>
      <w:pPr>
        <w:ind w:left="8253" w:hanging="361"/>
      </w:pPr>
      <w:rPr>
        <w:rFonts w:hint="default"/>
        <w:lang w:val="es-ES" w:eastAsia="en-US" w:bidi="ar-SA"/>
      </w:rPr>
    </w:lvl>
  </w:abstractNum>
  <w:abstractNum w:abstractNumId="28">
    <w:nsid w:val="5C02779F"/>
    <w:multiLevelType w:val="hybridMultilevel"/>
    <w:tmpl w:val="B5003A5A"/>
    <w:lvl w:ilvl="0" w:tplc="0C0A0001">
      <w:start w:val="1"/>
      <w:numFmt w:val="bullet"/>
      <w:lvlText w:val=""/>
      <w:lvlJc w:val="left"/>
      <w:pPr>
        <w:ind w:left="844" w:hanging="360"/>
      </w:pPr>
      <w:rPr>
        <w:rFonts w:ascii="Symbol" w:hAnsi="Symbol" w:hint="default"/>
      </w:rPr>
    </w:lvl>
    <w:lvl w:ilvl="1" w:tplc="0C0A0003" w:tentative="1">
      <w:start w:val="1"/>
      <w:numFmt w:val="bullet"/>
      <w:lvlText w:val="o"/>
      <w:lvlJc w:val="left"/>
      <w:pPr>
        <w:ind w:left="1564" w:hanging="360"/>
      </w:pPr>
      <w:rPr>
        <w:rFonts w:ascii="Courier New" w:hAnsi="Courier New" w:cs="Courier New" w:hint="default"/>
      </w:rPr>
    </w:lvl>
    <w:lvl w:ilvl="2" w:tplc="0C0A0005" w:tentative="1">
      <w:start w:val="1"/>
      <w:numFmt w:val="bullet"/>
      <w:lvlText w:val=""/>
      <w:lvlJc w:val="left"/>
      <w:pPr>
        <w:ind w:left="2284" w:hanging="360"/>
      </w:pPr>
      <w:rPr>
        <w:rFonts w:ascii="Wingdings" w:hAnsi="Wingdings" w:hint="default"/>
      </w:rPr>
    </w:lvl>
    <w:lvl w:ilvl="3" w:tplc="0C0A0001" w:tentative="1">
      <w:start w:val="1"/>
      <w:numFmt w:val="bullet"/>
      <w:lvlText w:val=""/>
      <w:lvlJc w:val="left"/>
      <w:pPr>
        <w:ind w:left="3004" w:hanging="360"/>
      </w:pPr>
      <w:rPr>
        <w:rFonts w:ascii="Symbol" w:hAnsi="Symbol" w:hint="default"/>
      </w:rPr>
    </w:lvl>
    <w:lvl w:ilvl="4" w:tplc="0C0A0003" w:tentative="1">
      <w:start w:val="1"/>
      <w:numFmt w:val="bullet"/>
      <w:lvlText w:val="o"/>
      <w:lvlJc w:val="left"/>
      <w:pPr>
        <w:ind w:left="3724" w:hanging="360"/>
      </w:pPr>
      <w:rPr>
        <w:rFonts w:ascii="Courier New" w:hAnsi="Courier New" w:cs="Courier New" w:hint="default"/>
      </w:rPr>
    </w:lvl>
    <w:lvl w:ilvl="5" w:tplc="0C0A0005" w:tentative="1">
      <w:start w:val="1"/>
      <w:numFmt w:val="bullet"/>
      <w:lvlText w:val=""/>
      <w:lvlJc w:val="left"/>
      <w:pPr>
        <w:ind w:left="4444" w:hanging="360"/>
      </w:pPr>
      <w:rPr>
        <w:rFonts w:ascii="Wingdings" w:hAnsi="Wingdings" w:hint="default"/>
      </w:rPr>
    </w:lvl>
    <w:lvl w:ilvl="6" w:tplc="0C0A0001" w:tentative="1">
      <w:start w:val="1"/>
      <w:numFmt w:val="bullet"/>
      <w:lvlText w:val=""/>
      <w:lvlJc w:val="left"/>
      <w:pPr>
        <w:ind w:left="5164" w:hanging="360"/>
      </w:pPr>
      <w:rPr>
        <w:rFonts w:ascii="Symbol" w:hAnsi="Symbol" w:hint="default"/>
      </w:rPr>
    </w:lvl>
    <w:lvl w:ilvl="7" w:tplc="0C0A0003" w:tentative="1">
      <w:start w:val="1"/>
      <w:numFmt w:val="bullet"/>
      <w:lvlText w:val="o"/>
      <w:lvlJc w:val="left"/>
      <w:pPr>
        <w:ind w:left="5884" w:hanging="360"/>
      </w:pPr>
      <w:rPr>
        <w:rFonts w:ascii="Courier New" w:hAnsi="Courier New" w:cs="Courier New" w:hint="default"/>
      </w:rPr>
    </w:lvl>
    <w:lvl w:ilvl="8" w:tplc="0C0A0005" w:tentative="1">
      <w:start w:val="1"/>
      <w:numFmt w:val="bullet"/>
      <w:lvlText w:val=""/>
      <w:lvlJc w:val="left"/>
      <w:pPr>
        <w:ind w:left="6604" w:hanging="360"/>
      </w:pPr>
      <w:rPr>
        <w:rFonts w:ascii="Wingdings" w:hAnsi="Wingdings" w:hint="default"/>
      </w:rPr>
    </w:lvl>
  </w:abstractNum>
  <w:abstractNum w:abstractNumId="29">
    <w:nsid w:val="5E262519"/>
    <w:multiLevelType w:val="hybridMultilevel"/>
    <w:tmpl w:val="A478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684B4E"/>
    <w:multiLevelType w:val="hybridMultilevel"/>
    <w:tmpl w:val="7AB04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91F152D"/>
    <w:multiLevelType w:val="hybridMultilevel"/>
    <w:tmpl w:val="4FCCC084"/>
    <w:lvl w:ilvl="0" w:tplc="1662FC70">
      <w:start w:val="1"/>
      <w:numFmt w:val="decimal"/>
      <w:lvlText w:val="%1."/>
      <w:lvlJc w:val="left"/>
      <w:pPr>
        <w:ind w:left="644" w:hanging="360"/>
      </w:pPr>
      <w:rPr>
        <w:rFonts w:hint="default"/>
      </w:rPr>
    </w:lvl>
    <w:lvl w:ilvl="1" w:tplc="357408FE">
      <w:start w:val="1"/>
      <w:numFmt w:val="lowerLetter"/>
      <w:lvlText w:val="%2."/>
      <w:lvlJc w:val="left"/>
      <w:pPr>
        <w:ind w:left="1364" w:hanging="360"/>
      </w:pPr>
      <w:rPr>
        <w:b/>
      </w:r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2">
    <w:nsid w:val="6E6B5013"/>
    <w:multiLevelType w:val="hybridMultilevel"/>
    <w:tmpl w:val="544C7E7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D4CB2"/>
    <w:multiLevelType w:val="hybridMultilevel"/>
    <w:tmpl w:val="475A9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5"/>
  </w:num>
  <w:num w:numId="5">
    <w:abstractNumId w:val="4"/>
  </w:num>
  <w:num w:numId="6">
    <w:abstractNumId w:val="1"/>
  </w:num>
  <w:num w:numId="7">
    <w:abstractNumId w:val="7"/>
  </w:num>
  <w:num w:numId="8">
    <w:abstractNumId w:val="25"/>
  </w:num>
  <w:num w:numId="9">
    <w:abstractNumId w:val="10"/>
  </w:num>
  <w:num w:numId="10">
    <w:abstractNumId w:val="27"/>
  </w:num>
  <w:num w:numId="11">
    <w:abstractNumId w:val="8"/>
  </w:num>
  <w:num w:numId="12">
    <w:abstractNumId w:val="16"/>
  </w:num>
  <w:num w:numId="13">
    <w:abstractNumId w:val="21"/>
  </w:num>
  <w:num w:numId="14">
    <w:abstractNumId w:val="28"/>
  </w:num>
  <w:num w:numId="15">
    <w:abstractNumId w:val="6"/>
  </w:num>
  <w:num w:numId="16">
    <w:abstractNumId w:val="13"/>
  </w:num>
  <w:num w:numId="17">
    <w:abstractNumId w:val="2"/>
  </w:num>
  <w:num w:numId="18">
    <w:abstractNumId w:val="33"/>
  </w:num>
  <w:num w:numId="19">
    <w:abstractNumId w:val="31"/>
  </w:num>
  <w:num w:numId="20">
    <w:abstractNumId w:val="3"/>
  </w:num>
  <w:num w:numId="21">
    <w:abstractNumId w:val="15"/>
  </w:num>
  <w:num w:numId="22">
    <w:abstractNumId w:val="26"/>
  </w:num>
  <w:num w:numId="23">
    <w:abstractNumId w:val="23"/>
  </w:num>
  <w:num w:numId="24">
    <w:abstractNumId w:val="30"/>
  </w:num>
  <w:num w:numId="25">
    <w:abstractNumId w:val="22"/>
  </w:num>
  <w:num w:numId="26">
    <w:abstractNumId w:val="18"/>
  </w:num>
  <w:num w:numId="27">
    <w:abstractNumId w:val="24"/>
  </w:num>
  <w:num w:numId="28">
    <w:abstractNumId w:val="19"/>
  </w:num>
  <w:num w:numId="29">
    <w:abstractNumId w:val="11"/>
  </w:num>
  <w:num w:numId="30">
    <w:abstractNumId w:val="0"/>
  </w:num>
  <w:num w:numId="31">
    <w:abstractNumId w:val="20"/>
  </w:num>
  <w:num w:numId="32">
    <w:abstractNumId w:val="29"/>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6"/>
    <w:rsid w:val="00004121"/>
    <w:rsid w:val="000148E5"/>
    <w:rsid w:val="00023345"/>
    <w:rsid w:val="000269E1"/>
    <w:rsid w:val="00037AAE"/>
    <w:rsid w:val="00037D55"/>
    <w:rsid w:val="00042C1B"/>
    <w:rsid w:val="00043E40"/>
    <w:rsid w:val="000653B1"/>
    <w:rsid w:val="00091C71"/>
    <w:rsid w:val="000A0924"/>
    <w:rsid w:val="00102B7D"/>
    <w:rsid w:val="00104BAC"/>
    <w:rsid w:val="00113FB0"/>
    <w:rsid w:val="00123283"/>
    <w:rsid w:val="00143458"/>
    <w:rsid w:val="0018652D"/>
    <w:rsid w:val="001B1A06"/>
    <w:rsid w:val="001C7D6A"/>
    <w:rsid w:val="001D33A1"/>
    <w:rsid w:val="001E5580"/>
    <w:rsid w:val="001F0DF7"/>
    <w:rsid w:val="00222CE1"/>
    <w:rsid w:val="00231FF6"/>
    <w:rsid w:val="00246F8C"/>
    <w:rsid w:val="002472F7"/>
    <w:rsid w:val="0025772B"/>
    <w:rsid w:val="002731D4"/>
    <w:rsid w:val="00285C85"/>
    <w:rsid w:val="00287570"/>
    <w:rsid w:val="00290DDF"/>
    <w:rsid w:val="002D385E"/>
    <w:rsid w:val="002D3B18"/>
    <w:rsid w:val="002D3FAC"/>
    <w:rsid w:val="002D6B4B"/>
    <w:rsid w:val="0033156F"/>
    <w:rsid w:val="00382839"/>
    <w:rsid w:val="00382BFE"/>
    <w:rsid w:val="00385091"/>
    <w:rsid w:val="003954C5"/>
    <w:rsid w:val="003A2493"/>
    <w:rsid w:val="003A7F1F"/>
    <w:rsid w:val="003F0D1E"/>
    <w:rsid w:val="004075AE"/>
    <w:rsid w:val="0043364B"/>
    <w:rsid w:val="004651EB"/>
    <w:rsid w:val="00467258"/>
    <w:rsid w:val="00473067"/>
    <w:rsid w:val="00485697"/>
    <w:rsid w:val="00490400"/>
    <w:rsid w:val="004E7888"/>
    <w:rsid w:val="004F797B"/>
    <w:rsid w:val="005720D0"/>
    <w:rsid w:val="00594C27"/>
    <w:rsid w:val="005A3992"/>
    <w:rsid w:val="006145D7"/>
    <w:rsid w:val="00645B4B"/>
    <w:rsid w:val="006B6737"/>
    <w:rsid w:val="006C2224"/>
    <w:rsid w:val="006C27E3"/>
    <w:rsid w:val="00731D6B"/>
    <w:rsid w:val="007461B0"/>
    <w:rsid w:val="00790FD6"/>
    <w:rsid w:val="007961E6"/>
    <w:rsid w:val="007E1349"/>
    <w:rsid w:val="007F362A"/>
    <w:rsid w:val="007F39BD"/>
    <w:rsid w:val="00823B95"/>
    <w:rsid w:val="008471AA"/>
    <w:rsid w:val="00860FAC"/>
    <w:rsid w:val="00867A76"/>
    <w:rsid w:val="009050B8"/>
    <w:rsid w:val="00907EE8"/>
    <w:rsid w:val="0091269C"/>
    <w:rsid w:val="0095777C"/>
    <w:rsid w:val="00970563"/>
    <w:rsid w:val="00991F75"/>
    <w:rsid w:val="00992469"/>
    <w:rsid w:val="009A00F8"/>
    <w:rsid w:val="009A5D92"/>
    <w:rsid w:val="009B56AF"/>
    <w:rsid w:val="009F1533"/>
    <w:rsid w:val="009F1888"/>
    <w:rsid w:val="00A1411B"/>
    <w:rsid w:val="00A22405"/>
    <w:rsid w:val="00A30FF8"/>
    <w:rsid w:val="00A327F8"/>
    <w:rsid w:val="00A51E06"/>
    <w:rsid w:val="00A710E8"/>
    <w:rsid w:val="00A75A79"/>
    <w:rsid w:val="00A7760C"/>
    <w:rsid w:val="00AA5B7C"/>
    <w:rsid w:val="00AC1FF6"/>
    <w:rsid w:val="00AC2B7E"/>
    <w:rsid w:val="00AD6A2A"/>
    <w:rsid w:val="00AF0197"/>
    <w:rsid w:val="00B00A5C"/>
    <w:rsid w:val="00B16CAD"/>
    <w:rsid w:val="00B22414"/>
    <w:rsid w:val="00B54BB1"/>
    <w:rsid w:val="00B771A2"/>
    <w:rsid w:val="00B8069C"/>
    <w:rsid w:val="00B942AC"/>
    <w:rsid w:val="00BC2BBA"/>
    <w:rsid w:val="00BD7B5B"/>
    <w:rsid w:val="00C15E86"/>
    <w:rsid w:val="00C20493"/>
    <w:rsid w:val="00C32DE1"/>
    <w:rsid w:val="00C532F2"/>
    <w:rsid w:val="00C64E0C"/>
    <w:rsid w:val="00C81433"/>
    <w:rsid w:val="00CA127C"/>
    <w:rsid w:val="00CC5815"/>
    <w:rsid w:val="00CD0309"/>
    <w:rsid w:val="00CE7D9F"/>
    <w:rsid w:val="00D0432C"/>
    <w:rsid w:val="00D0792D"/>
    <w:rsid w:val="00D43B78"/>
    <w:rsid w:val="00D45D98"/>
    <w:rsid w:val="00D66DDA"/>
    <w:rsid w:val="00D71ED5"/>
    <w:rsid w:val="00D93F6F"/>
    <w:rsid w:val="00DD77EE"/>
    <w:rsid w:val="00DF10C8"/>
    <w:rsid w:val="00DF3851"/>
    <w:rsid w:val="00E06C66"/>
    <w:rsid w:val="00E121C3"/>
    <w:rsid w:val="00E1319F"/>
    <w:rsid w:val="00E13975"/>
    <w:rsid w:val="00E15E33"/>
    <w:rsid w:val="00E80368"/>
    <w:rsid w:val="00EA6B2B"/>
    <w:rsid w:val="00EA7A52"/>
    <w:rsid w:val="00EB6BF4"/>
    <w:rsid w:val="00EC1666"/>
    <w:rsid w:val="00ED1B0F"/>
    <w:rsid w:val="00ED31AC"/>
    <w:rsid w:val="00EE63A4"/>
    <w:rsid w:val="00EE63B6"/>
    <w:rsid w:val="00F400A8"/>
    <w:rsid w:val="00F44FBC"/>
    <w:rsid w:val="00F46202"/>
    <w:rsid w:val="00F5645C"/>
    <w:rsid w:val="00F7505B"/>
    <w:rsid w:val="00F81B03"/>
    <w:rsid w:val="00F87103"/>
    <w:rsid w:val="00F90E2D"/>
    <w:rsid w:val="00FA7FAD"/>
    <w:rsid w:val="00FB4770"/>
    <w:rsid w:val="00FC1FC4"/>
    <w:rsid w:val="00FE2B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6B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Heading2">
    <w:name w:val="heading 2"/>
    <w:basedOn w:val="Normal"/>
    <w:next w:val="Normal"/>
    <w:link w:val="Heading2Ch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E63B6"/>
    <w:pPr>
      <w:ind w:left="720"/>
      <w:contextualSpacing/>
    </w:pPr>
  </w:style>
  <w:style w:type="character" w:styleId="Hyperlink">
    <w:name w:val="Hyperlink"/>
    <w:basedOn w:val="DefaultParagraphFont"/>
    <w:uiPriority w:val="99"/>
    <w:unhideWhenUsed/>
    <w:rsid w:val="00EE63B6"/>
    <w:rPr>
      <w:color w:val="0000FF" w:themeColor="hyperlink"/>
      <w:u w:val="single"/>
    </w:rPr>
  </w:style>
  <w:style w:type="paragraph" w:styleId="FootnoteText">
    <w:name w:val="footnote text"/>
    <w:basedOn w:val="Normal"/>
    <w:link w:val="FootnoteTextChar"/>
    <w:uiPriority w:val="99"/>
    <w:unhideWhenUsed/>
    <w:qFormat/>
    <w:rsid w:val="00EE63B6"/>
    <w:pPr>
      <w:spacing w:after="0" w:line="240" w:lineRule="auto"/>
    </w:pPr>
    <w:rPr>
      <w:sz w:val="20"/>
      <w:szCs w:val="20"/>
      <w:lang w:val="en-MY"/>
    </w:rPr>
  </w:style>
  <w:style w:type="character" w:customStyle="1" w:styleId="FootnoteTextChar">
    <w:name w:val="Footnote Text Char"/>
    <w:basedOn w:val="DefaultParagraphFont"/>
    <w:link w:val="FootnoteText"/>
    <w:uiPriority w:val="99"/>
    <w:semiHidden/>
    <w:rsid w:val="00EE63B6"/>
    <w:rPr>
      <w:sz w:val="20"/>
      <w:szCs w:val="20"/>
      <w:lang w:val="en-MY"/>
    </w:rPr>
  </w:style>
  <w:style w:type="character" w:customStyle="1" w:styleId="ListParagraphChar">
    <w:name w:val="List Paragraph Char"/>
    <w:link w:val="ListParagraph"/>
    <w:uiPriority w:val="34"/>
    <w:locked/>
    <w:rsid w:val="00EE63B6"/>
  </w:style>
  <w:style w:type="character" w:styleId="FootnoteReference">
    <w:name w:val="footnote reference"/>
    <w:basedOn w:val="DefaultParagraphFont"/>
    <w:uiPriority w:val="99"/>
    <w:semiHidden/>
    <w:unhideWhenUsed/>
    <w:rsid w:val="00EE63B6"/>
    <w:rPr>
      <w:vertAlign w:val="superscript"/>
    </w:rPr>
  </w:style>
  <w:style w:type="character" w:styleId="CommentReference">
    <w:name w:val="annotation reference"/>
    <w:basedOn w:val="DefaultParagraphFont"/>
    <w:uiPriority w:val="99"/>
    <w:semiHidden/>
    <w:unhideWhenUsed/>
    <w:rsid w:val="00EE63B6"/>
    <w:rPr>
      <w:sz w:val="16"/>
      <w:szCs w:val="16"/>
    </w:rPr>
  </w:style>
  <w:style w:type="paragraph" w:styleId="CommentText">
    <w:name w:val="annotation text"/>
    <w:basedOn w:val="Normal"/>
    <w:link w:val="CommentTextChar"/>
    <w:uiPriority w:val="99"/>
    <w:semiHidden/>
    <w:unhideWhenUsed/>
    <w:rsid w:val="00EE63B6"/>
    <w:pPr>
      <w:spacing w:line="240" w:lineRule="auto"/>
    </w:pPr>
    <w:rPr>
      <w:sz w:val="20"/>
      <w:szCs w:val="20"/>
    </w:rPr>
  </w:style>
  <w:style w:type="character" w:customStyle="1" w:styleId="CommentTextChar">
    <w:name w:val="Comment Text Char"/>
    <w:basedOn w:val="DefaultParagraphFont"/>
    <w:link w:val="CommentText"/>
    <w:uiPriority w:val="99"/>
    <w:semiHidden/>
    <w:rsid w:val="00EE63B6"/>
    <w:rPr>
      <w:sz w:val="20"/>
      <w:szCs w:val="20"/>
    </w:rPr>
  </w:style>
  <w:style w:type="paragraph" w:styleId="BalloonText">
    <w:name w:val="Balloon Text"/>
    <w:basedOn w:val="Normal"/>
    <w:link w:val="BalloonTextChar"/>
    <w:uiPriority w:val="99"/>
    <w:semiHidden/>
    <w:unhideWhenUsed/>
    <w:rsid w:val="00EE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B6"/>
    <w:rPr>
      <w:rFonts w:ascii="Tahoma" w:hAnsi="Tahoma" w:cs="Tahoma"/>
      <w:sz w:val="16"/>
      <w:szCs w:val="16"/>
    </w:rPr>
  </w:style>
  <w:style w:type="paragraph" w:styleId="Header">
    <w:name w:val="header"/>
    <w:basedOn w:val="Normal"/>
    <w:link w:val="HeaderChar"/>
    <w:uiPriority w:val="99"/>
    <w:unhideWhenUsed/>
    <w:rsid w:val="004651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51EB"/>
  </w:style>
  <w:style w:type="paragraph" w:styleId="TO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BodyText">
    <w:name w:val="Body Text"/>
    <w:basedOn w:val="Normal"/>
    <w:link w:val="BodyTextCh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BodyTextChar">
    <w:name w:val="Body Text Char"/>
    <w:basedOn w:val="DefaultParagraphFont"/>
    <w:link w:val="BodyText"/>
    <w:uiPriority w:val="1"/>
    <w:rsid w:val="00F7505B"/>
    <w:rPr>
      <w:rFonts w:ascii="Book Antiqua" w:eastAsia="Book Antiqua" w:hAnsi="Book Antiqua" w:cs="Book Antiqua"/>
      <w:lang w:val="es-ES"/>
    </w:rPr>
  </w:style>
  <w:style w:type="character" w:customStyle="1" w:styleId="Heading2Char">
    <w:name w:val="Heading 2 Char"/>
    <w:basedOn w:val="DefaultParagraphFont"/>
    <w:link w:val="Heading2"/>
    <w:uiPriority w:val="9"/>
    <w:rsid w:val="00F750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rFonts w:ascii="Calibri" w:eastAsia="Calibri" w:hAnsi="Calibri" w:cs="Calibri"/>
      <w:lang w:val="es-ES"/>
    </w:rPr>
  </w:style>
  <w:style w:type="character" w:customStyle="1" w:styleId="Fuentedeprrafopredeter1">
    <w:name w:val="Fuente de párrafo predeter.1"/>
    <w:rsid w:val="00382839"/>
    <w:rPr>
      <w:w w:val="100"/>
      <w:position w:val="-1"/>
      <w:effect w:val="none"/>
      <w:vertAlign w:val="baseline"/>
      <w:cs w:val="0"/>
      <w:em w:val="none"/>
    </w:rPr>
  </w:style>
  <w:style w:type="paragraph" w:customStyle="1" w:styleId="Notasalpie">
    <w:name w:val="Notas al pie"/>
    <w:basedOn w:val="Normal"/>
    <w:link w:val="NotasalpieCar"/>
    <w:qFormat/>
    <w:rsid w:val="00A30FF8"/>
    <w:pPr>
      <w:spacing w:after="0" w:line="240" w:lineRule="auto"/>
      <w:ind w:right="333" w:hanging="142"/>
      <w:jc w:val="both"/>
    </w:pPr>
    <w:rPr>
      <w:rFonts w:ascii="Calibri Light" w:eastAsia="Times New Roman" w:hAnsi="Calibri Light" w:cs="Times New Roman"/>
      <w:sz w:val="18"/>
      <w:szCs w:val="18"/>
      <w:lang w:val="en-US"/>
    </w:rPr>
  </w:style>
  <w:style w:type="character" w:customStyle="1" w:styleId="NotasalpieCar">
    <w:name w:val="Notas al pie Car"/>
    <w:basedOn w:val="DefaultParagraphFont"/>
    <w:link w:val="Notasalpie"/>
    <w:rsid w:val="00A30FF8"/>
    <w:rPr>
      <w:rFonts w:ascii="Calibri Light" w:eastAsia="Times New Roman" w:hAnsi="Calibri Light"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epal.org/es/publicaciones/45316-covid-19-recomendaciones-generales-la-atencion-personas-mayores-perspectiv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nama.gob.cl/storage/docs/SENAMA_libro_5ta_encuesta_BAJA_libro_final_JULIO.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med.ncbi.nlm.nih.gov/27041774/"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ubmed.ncbi.nlm.nih.gov/?term=Higgs+P&amp;cauthor_id=27041774" TargetMode="External"/><Relationship Id="rId20" Type="http://schemas.openxmlformats.org/officeDocument/2006/relationships/hyperlink" Target="http://www.senama.gob.cl/storage/docs/Dependencia-Personas-Mayores-2009.pdf"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positorio.cepal.org/bitstream/handle/11362/5823/1/S1000091_es.pdf" TargetMode="External"/><Relationship Id="rId5" Type="http://schemas.openxmlformats.org/officeDocument/2006/relationships/webSettings" Target="webSettings.xml"/><Relationship Id="rId15" Type="http://schemas.openxmlformats.org/officeDocument/2006/relationships/hyperlink" Target="https://pubmed.ncbi.nlm.nih.gov/?term=Gilleard+C&amp;cauthor_id=27041774" TargetMode="External"/><Relationship Id="rId23" Type="http://schemas.openxmlformats.org/officeDocument/2006/relationships/hyperlink" Target="http://www.senama.gob.cl/storage/docs/SENAMA_libro_DDHH_final_FINAL.pdf"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scielo.org.mx/scielo.php?script=sci_arttext&amp;pid=S0036-363420070010000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js.ehu.eus/index.php/papelesCEIC/article/view/15449" TargetMode="External"/><Relationship Id="rId22" Type="http://schemas.openxmlformats.org/officeDocument/2006/relationships/hyperlink" Target="http://www.senama.gob.cl/storage/docs/El-maltrato-hacia-las-personas-mayores-en-la-RM-2013-investigacion-cualitativa-en-vejez-y-envejecimiento-2013.pdf"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cead.spd.gov.cl/wp-content/uploads/filemanager/Presentaci%C3%B3n%20de%20Resultados%20IV%20ENVIF-VCM.pdf" TargetMode="External"/><Relationship Id="rId1" Type="http://schemas.openxmlformats.org/officeDocument/2006/relationships/hyperlink" Target="http://www.senama.gob.cl/noticias/sernameg-y-senama-firman-convenio-sobre-prevencion-de-violencia-y-sexualidad-en-adultos-mayor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BD768D-B01E-491F-8DAF-8B1A63E68E78}">
  <ds:schemaRefs>
    <ds:schemaRef ds:uri="http://schemas.openxmlformats.org/officeDocument/2006/bibliography"/>
  </ds:schemaRefs>
</ds:datastoreItem>
</file>

<file path=customXml/itemProps2.xml><?xml version="1.0" encoding="utf-8"?>
<ds:datastoreItem xmlns:ds="http://schemas.openxmlformats.org/officeDocument/2006/customXml" ds:itemID="{835FBCB7-A89F-4C3C-9D89-0061264C78BE}"/>
</file>

<file path=customXml/itemProps3.xml><?xml version="1.0" encoding="utf-8"?>
<ds:datastoreItem xmlns:ds="http://schemas.openxmlformats.org/officeDocument/2006/customXml" ds:itemID="{C41F2B68-1C2A-4EA0-B499-51A0E9B5D8A1}"/>
</file>

<file path=customXml/itemProps4.xml><?xml version="1.0" encoding="utf-8"?>
<ds:datastoreItem xmlns:ds="http://schemas.openxmlformats.org/officeDocument/2006/customXml" ds:itemID="{2455489B-2177-4051-B67D-19D9A5D18A6A}"/>
</file>

<file path=docProps/app.xml><?xml version="1.0" encoding="utf-8"?>
<Properties xmlns="http://schemas.openxmlformats.org/officeDocument/2006/extended-properties" xmlns:vt="http://schemas.openxmlformats.org/officeDocument/2006/docPropsVTypes">
  <Template>Normal.dotm</Template>
  <TotalTime>0</TotalTime>
  <Pages>16</Pages>
  <Words>6131</Words>
  <Characters>34953</Characters>
  <Application>Microsoft Office Word</Application>
  <DocSecurity>0</DocSecurity>
  <Lines>291</Lines>
  <Paragraphs>82</Paragraphs>
  <ScaleCrop>false</ScaleCrop>
  <Company/>
  <LinksUpToDate>false</LinksUpToDate>
  <CharactersWithSpaces>41002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2021-04-26T13:20:00Z</dcterms:created>
  <dcterms:modified xsi:type="dcterms:W3CDTF">2021-04-26T13:20:00Z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