
<file path=[Content_Types].xml><?xml version="1.0" encoding="utf-8"?>
<Types xmlns="http://schemas.openxmlformats.org/package/2006/content-types">
  <Default Extension="bin" ContentType="application/vnd.openxmlformats-officedocument.oleObject"/>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130" w:rsidRDefault="00F0438A" w:rsidP="00F0438A">
      <w:pPr>
        <w:autoSpaceDE w:val="0"/>
        <w:autoSpaceDN w:val="0"/>
        <w:adjustRightInd w:val="0"/>
        <w:jc w:val="right"/>
        <w:rPr>
          <w:rFonts w:cs="Arial"/>
          <w:szCs w:val="20"/>
        </w:rPr>
      </w:pPr>
      <w:bookmarkStart w:id="0" w:name="_GoBack"/>
      <w:bookmarkEnd w:id="0"/>
      <w:r>
        <w:rPr>
          <w:rFonts w:cs="Arial"/>
          <w:szCs w:val="20"/>
        </w:rPr>
        <w:t xml:space="preserve">Berne, le 1er </w:t>
      </w:r>
      <w:proofErr w:type="spellStart"/>
      <w:r>
        <w:rPr>
          <w:rFonts w:cs="Arial"/>
          <w:szCs w:val="20"/>
        </w:rPr>
        <w:t>juillet</w:t>
      </w:r>
      <w:proofErr w:type="spellEnd"/>
      <w:r>
        <w:rPr>
          <w:rFonts w:cs="Arial"/>
          <w:szCs w:val="20"/>
        </w:rPr>
        <w:t xml:space="preserve"> 2015 </w:t>
      </w:r>
    </w:p>
    <w:p w:rsidR="00F0438A" w:rsidRDefault="00F0438A" w:rsidP="00F0438A">
      <w:pPr>
        <w:autoSpaceDE w:val="0"/>
        <w:autoSpaceDN w:val="0"/>
        <w:adjustRightInd w:val="0"/>
        <w:jc w:val="right"/>
        <w:rPr>
          <w:rFonts w:cs="Arial"/>
          <w:szCs w:val="20"/>
        </w:rPr>
      </w:pPr>
    </w:p>
    <w:p w:rsidR="00BB7130" w:rsidRPr="00F0438A" w:rsidRDefault="00F0438A" w:rsidP="00F0438A">
      <w:pPr>
        <w:rPr>
          <w:rFonts w:cs="Arial"/>
          <w:b/>
          <w:color w:val="000000"/>
          <w:szCs w:val="20"/>
          <w:lang w:val="fr-CH"/>
        </w:rPr>
      </w:pPr>
      <w:r w:rsidRPr="00F0438A">
        <w:rPr>
          <w:b/>
          <w:lang w:val="fr-CH"/>
        </w:rPr>
        <w:t xml:space="preserve">Réponse de la Suisse au questionnaire du </w:t>
      </w:r>
      <w:r w:rsidR="008F071F" w:rsidRPr="00F0438A">
        <w:rPr>
          <w:b/>
          <w:lang w:val="fr-CH"/>
        </w:rPr>
        <w:t xml:space="preserve">Rapporteur spécial sur la liberté d'expression </w:t>
      </w:r>
      <w:r>
        <w:rPr>
          <w:rFonts w:cs="Arial"/>
          <w:b/>
          <w:color w:val="000000"/>
          <w:szCs w:val="20"/>
          <w:lang w:val="fr-CH"/>
        </w:rPr>
        <w:t>à propos de</w:t>
      </w:r>
      <w:r w:rsidRPr="00F0438A">
        <w:rPr>
          <w:rFonts w:cs="Arial"/>
          <w:b/>
          <w:color w:val="000000"/>
          <w:szCs w:val="20"/>
          <w:lang w:val="fr-CH"/>
        </w:rPr>
        <w:t xml:space="preserve"> la </w:t>
      </w:r>
      <w:r w:rsidR="008F071F" w:rsidRPr="00F0438A">
        <w:rPr>
          <w:b/>
          <w:lang w:val="fr-CH"/>
        </w:rPr>
        <w:t>Protection des sources et des lanceurs d'alerte</w:t>
      </w:r>
    </w:p>
    <w:p w:rsidR="00BE14B3" w:rsidRDefault="00BE14B3">
      <w:pPr>
        <w:jc w:val="center"/>
        <w:rPr>
          <w:lang w:val="fr-CH"/>
        </w:rPr>
      </w:pPr>
    </w:p>
    <w:p w:rsidR="00BB7130" w:rsidRPr="00203CA8" w:rsidRDefault="00BB7130">
      <w:pPr>
        <w:autoSpaceDE w:val="0"/>
        <w:autoSpaceDN w:val="0"/>
        <w:adjustRightInd w:val="0"/>
        <w:rPr>
          <w:rFonts w:cs="Arial"/>
          <w:szCs w:val="20"/>
          <w:lang w:val="fr-CH"/>
        </w:rPr>
      </w:pPr>
    </w:p>
    <w:p w:rsidR="00BB7130" w:rsidRPr="005066E3" w:rsidRDefault="008F071F" w:rsidP="00F67F32">
      <w:pPr>
        <w:pStyle w:val="ListParagraph"/>
        <w:numPr>
          <w:ilvl w:val="0"/>
          <w:numId w:val="6"/>
        </w:numPr>
        <w:autoSpaceDE w:val="0"/>
        <w:autoSpaceDN w:val="0"/>
        <w:adjustRightInd w:val="0"/>
        <w:rPr>
          <w:rFonts w:cs="Arial"/>
          <w:i/>
          <w:szCs w:val="20"/>
          <w:lang w:val="fr-CH"/>
        </w:rPr>
      </w:pPr>
      <w:r w:rsidRPr="005066E3">
        <w:rPr>
          <w:i/>
          <w:lang w:val="fr-CH"/>
        </w:rPr>
        <w:t>Quelles normes et régulations existent-elles pour protéger les journalistes et les médias et éviter qu’ils ne soient forcés de divulguer des sources d’informations secrètes? Cette protection est-elle inscrite dans la loi ? Si oui, quelles sont les limites qui peuvent y être posées, dans le respect de la loi ?</w:t>
      </w:r>
    </w:p>
    <w:p w:rsidR="00BB7130" w:rsidRPr="005066E3" w:rsidRDefault="00BB7130">
      <w:pPr>
        <w:autoSpaceDE w:val="0"/>
        <w:autoSpaceDN w:val="0"/>
        <w:adjustRightInd w:val="0"/>
        <w:jc w:val="both"/>
        <w:rPr>
          <w:rFonts w:cs="Arial"/>
          <w:szCs w:val="20"/>
          <w:lang w:val="fr-CH"/>
        </w:rPr>
      </w:pPr>
    </w:p>
    <w:p w:rsidR="00BB7130" w:rsidRPr="005066E3" w:rsidRDefault="008F071F">
      <w:pPr>
        <w:autoSpaceDE w:val="0"/>
        <w:autoSpaceDN w:val="0"/>
        <w:adjustRightInd w:val="0"/>
        <w:jc w:val="both"/>
        <w:rPr>
          <w:rFonts w:cs="Arial"/>
          <w:szCs w:val="20"/>
          <w:lang w:val="fr-CH"/>
        </w:rPr>
      </w:pPr>
      <w:r w:rsidRPr="005066E3">
        <w:rPr>
          <w:lang w:val="fr-CH"/>
        </w:rPr>
        <w:t>La protection des sources des journalistes est inscrite dans l’art. 28a, al. 1 du code pénal (CP, RS 311.0). En vertu de cet article, les personnes qui, à titre professionnel, participent à la publication d'informations dans la partie rédactionnelle d'un média à caractère périodique et leurs auxiliaires n'encourent aucune peine et ne font l'objet d'aucune mesure de coercition fondée sur le droit de procédure s'ils refusent de témoigner sur l'identité de l'auteur ou sur le contenu et les sources de leurs informations. Conformément à la jurisprudence, la protection des sources ne se limite pas aux locaux de la rédaction, ni à la personne du journaliste et par conséquent ne se cantonne pas à l’endroit dans lequel se trouvent les informations protégées (</w:t>
      </w:r>
      <w:r w:rsidR="005066E3" w:rsidRPr="005066E3">
        <w:rPr>
          <w:lang w:val="fr-CH"/>
        </w:rPr>
        <w:t>a</w:t>
      </w:r>
      <w:r w:rsidRPr="005066E3">
        <w:rPr>
          <w:lang w:val="fr-CH"/>
        </w:rPr>
        <w:t xml:space="preserve">rrêts du Tribunal fédéral 1B_420/2013, 1B_424/2013 et 1B_436/2013 du 22 juillet 2014). </w:t>
      </w:r>
    </w:p>
    <w:p w:rsidR="00BB7130" w:rsidRPr="005066E3" w:rsidRDefault="00BB7130">
      <w:pPr>
        <w:autoSpaceDE w:val="0"/>
        <w:autoSpaceDN w:val="0"/>
        <w:adjustRightInd w:val="0"/>
        <w:jc w:val="both"/>
        <w:rPr>
          <w:rFonts w:cs="Arial"/>
          <w:szCs w:val="20"/>
          <w:lang w:val="fr-CH"/>
        </w:rPr>
      </w:pPr>
    </w:p>
    <w:p w:rsidR="00BB7130" w:rsidRPr="005066E3" w:rsidRDefault="008F071F">
      <w:pPr>
        <w:autoSpaceDE w:val="0"/>
        <w:autoSpaceDN w:val="0"/>
        <w:adjustRightInd w:val="0"/>
        <w:jc w:val="both"/>
        <w:rPr>
          <w:rFonts w:cs="Arial"/>
          <w:szCs w:val="20"/>
          <w:lang w:val="fr-CH"/>
        </w:rPr>
      </w:pPr>
      <w:r w:rsidRPr="005066E3">
        <w:rPr>
          <w:lang w:val="fr-CH"/>
        </w:rPr>
        <w:t xml:space="preserve">L’art. 28a, al. 2 du code pénal (CP) réglemente les exceptions à ce principe. La protection des sources peut être limitée dans certains cas, d’une part si le témoignage est nécessaire pour prévenir une atteinte imminente à la vie ou à l'intégrité corporelle d'une personne; et d’autre part si, à défaut du témoignage, certains crimes ne peuvent être élucidés. </w:t>
      </w:r>
    </w:p>
    <w:p w:rsidR="00BB7130" w:rsidRPr="005066E3" w:rsidRDefault="00BB7130">
      <w:pPr>
        <w:autoSpaceDE w:val="0"/>
        <w:autoSpaceDN w:val="0"/>
        <w:adjustRightInd w:val="0"/>
        <w:jc w:val="both"/>
        <w:rPr>
          <w:rFonts w:cs="Arial"/>
          <w:szCs w:val="20"/>
          <w:lang w:val="fr-CH"/>
        </w:rPr>
      </w:pPr>
    </w:p>
    <w:p w:rsidR="00BB7130" w:rsidRPr="005066E3" w:rsidRDefault="008F071F">
      <w:pPr>
        <w:autoSpaceDE w:val="0"/>
        <w:autoSpaceDN w:val="0"/>
        <w:adjustRightInd w:val="0"/>
        <w:jc w:val="both"/>
        <w:rPr>
          <w:rFonts w:cs="Arial"/>
          <w:szCs w:val="20"/>
          <w:lang w:val="fr-CH"/>
        </w:rPr>
      </w:pPr>
      <w:r w:rsidRPr="005066E3">
        <w:rPr>
          <w:lang w:val="fr-CH"/>
        </w:rPr>
        <w:t xml:space="preserve">L’art. 172, al. 1 du code de procédure pénale (CPP, RS 312.0) prévoit une réglementation procédurale correspondant à l’art. 28a CP. </w:t>
      </w:r>
    </w:p>
    <w:p w:rsidR="00BB7130" w:rsidRPr="005066E3" w:rsidRDefault="00BB7130">
      <w:pPr>
        <w:autoSpaceDE w:val="0"/>
        <w:autoSpaceDN w:val="0"/>
        <w:adjustRightInd w:val="0"/>
        <w:jc w:val="both"/>
        <w:rPr>
          <w:rFonts w:cs="Arial"/>
          <w:szCs w:val="20"/>
          <w:lang w:val="fr-CH"/>
        </w:rPr>
      </w:pPr>
    </w:p>
    <w:p w:rsidR="00EB74D5" w:rsidRDefault="00EB74D5" w:rsidP="00EB74D5">
      <w:pPr>
        <w:autoSpaceDE w:val="0"/>
        <w:autoSpaceDN w:val="0"/>
        <w:adjustRightInd w:val="0"/>
        <w:jc w:val="both"/>
        <w:rPr>
          <w:rFonts w:cs="Arial"/>
          <w:szCs w:val="20"/>
          <w:lang w:val="fr-CH"/>
        </w:rPr>
      </w:pPr>
      <w:r>
        <w:rPr>
          <w:lang w:val="fr-CH"/>
        </w:rPr>
        <w:t>En outre, l’art. 28 CP réglemente la responsabilité en cascade des médias (responsabilité pénale « subsidiaire ») qui a pour but de faire respecter le secret de rédaction</w:t>
      </w:r>
      <w:r>
        <w:rPr>
          <w:vertAlign w:val="superscript"/>
        </w:rPr>
        <w:footnoteReference w:id="1"/>
      </w:r>
      <w:r>
        <w:rPr>
          <w:lang w:val="fr-CH"/>
        </w:rPr>
        <w:t xml:space="preserve">. En effet, la presse, dans l’accomplissement de sa tâche, peut faire appel à des collaborateurs, dont elle ne souhaite pas révéler le nom (ATF 76 IV 8). </w:t>
      </w:r>
    </w:p>
    <w:p w:rsidR="001601F1" w:rsidRPr="005066E3" w:rsidRDefault="001601F1">
      <w:pPr>
        <w:autoSpaceDE w:val="0"/>
        <w:autoSpaceDN w:val="0"/>
        <w:adjustRightInd w:val="0"/>
        <w:jc w:val="both"/>
        <w:rPr>
          <w:rFonts w:cs="Arial"/>
          <w:szCs w:val="20"/>
          <w:lang w:val="fr-CH"/>
        </w:rPr>
      </w:pPr>
    </w:p>
    <w:p w:rsidR="00BB7130" w:rsidRPr="005066E3" w:rsidRDefault="008F071F">
      <w:pPr>
        <w:autoSpaceDE w:val="0"/>
        <w:autoSpaceDN w:val="0"/>
        <w:adjustRightInd w:val="0"/>
        <w:jc w:val="both"/>
        <w:rPr>
          <w:rFonts w:cs="Arial"/>
          <w:szCs w:val="20"/>
          <w:lang w:val="fr-CH"/>
        </w:rPr>
      </w:pPr>
      <w:r w:rsidRPr="005066E3">
        <w:rPr>
          <w:lang w:val="fr-CH"/>
        </w:rPr>
        <w:t>Par ailleurs, en vertu de l’art 322</w:t>
      </w:r>
      <w:r w:rsidRPr="005066E3">
        <w:rPr>
          <w:vertAlign w:val="superscript"/>
          <w:lang w:val="fr-CH"/>
        </w:rPr>
        <w:t>bis</w:t>
      </w:r>
      <w:r w:rsidRPr="005066E3">
        <w:rPr>
          <w:lang w:val="fr-CH"/>
        </w:rPr>
        <w:t xml:space="preserve"> CP,</w:t>
      </w:r>
      <w:r w:rsidR="00834664">
        <w:rPr>
          <w:lang w:val="fr-CH"/>
        </w:rPr>
        <w:t xml:space="preserve"> une</w:t>
      </w:r>
      <w:r w:rsidRPr="005066E3">
        <w:rPr>
          <w:lang w:val="fr-CH"/>
        </w:rPr>
        <w:t xml:space="preserve"> personne </w:t>
      </w:r>
      <w:r w:rsidR="00834664">
        <w:rPr>
          <w:lang w:val="fr-CH"/>
        </w:rPr>
        <w:t>qui</w:t>
      </w:r>
      <w:r w:rsidR="00834664" w:rsidRPr="005066E3">
        <w:rPr>
          <w:lang w:val="fr-CH"/>
        </w:rPr>
        <w:t xml:space="preserve"> ne s'est pas opposée à </w:t>
      </w:r>
      <w:r w:rsidR="00834664">
        <w:rPr>
          <w:lang w:val="fr-CH"/>
        </w:rPr>
        <w:t>une</w:t>
      </w:r>
      <w:r w:rsidR="00834664" w:rsidRPr="005066E3">
        <w:rPr>
          <w:lang w:val="fr-CH"/>
        </w:rPr>
        <w:t xml:space="preserve"> </w:t>
      </w:r>
      <w:r w:rsidR="00834664">
        <w:rPr>
          <w:lang w:val="fr-CH"/>
        </w:rPr>
        <w:t>publication</w:t>
      </w:r>
      <w:r w:rsidRPr="005066E3">
        <w:rPr>
          <w:lang w:val="fr-CH"/>
        </w:rPr>
        <w:t xml:space="preserve"> constituant une infraction </w:t>
      </w:r>
      <w:r w:rsidR="00834664">
        <w:rPr>
          <w:lang w:val="fr-CH"/>
        </w:rPr>
        <w:t>peut être</w:t>
      </w:r>
      <w:r w:rsidRPr="005066E3">
        <w:rPr>
          <w:lang w:val="fr-CH"/>
        </w:rPr>
        <w:t xml:space="preserve"> punie </w:t>
      </w:r>
      <w:r w:rsidR="00834664" w:rsidRPr="005066E3">
        <w:rPr>
          <w:lang w:val="fr-CH"/>
        </w:rPr>
        <w:t>d'une peine pécuniaire</w:t>
      </w:r>
      <w:r w:rsidR="00834664">
        <w:rPr>
          <w:lang w:val="fr-CH"/>
        </w:rPr>
        <w:t xml:space="preserve"> ou</w:t>
      </w:r>
      <w:r w:rsidR="00834664" w:rsidRPr="005066E3">
        <w:rPr>
          <w:lang w:val="fr-CH"/>
        </w:rPr>
        <w:t xml:space="preserve"> </w:t>
      </w:r>
      <w:r w:rsidRPr="005066E3">
        <w:rPr>
          <w:lang w:val="fr-CH"/>
        </w:rPr>
        <w:t>d'une peine privative de</w:t>
      </w:r>
      <w:r w:rsidR="00834664">
        <w:rPr>
          <w:lang w:val="fr-CH"/>
        </w:rPr>
        <w:t xml:space="preserve"> liberté de trois ans au plus.</w:t>
      </w:r>
      <w:r w:rsidRPr="005066E3">
        <w:rPr>
          <w:lang w:val="fr-CH"/>
        </w:rPr>
        <w:t xml:space="preserve"> </w:t>
      </w:r>
    </w:p>
    <w:p w:rsidR="00BB7130" w:rsidRPr="005066E3" w:rsidRDefault="00BB7130">
      <w:pPr>
        <w:autoSpaceDE w:val="0"/>
        <w:autoSpaceDN w:val="0"/>
        <w:adjustRightInd w:val="0"/>
        <w:jc w:val="both"/>
        <w:rPr>
          <w:rFonts w:cs="Arial"/>
          <w:szCs w:val="20"/>
          <w:lang w:val="fr-CH"/>
        </w:rPr>
      </w:pPr>
    </w:p>
    <w:p w:rsidR="00BB7130" w:rsidRPr="00E107D7" w:rsidRDefault="008F071F">
      <w:pPr>
        <w:autoSpaceDE w:val="0"/>
        <w:autoSpaceDN w:val="0"/>
        <w:adjustRightInd w:val="0"/>
        <w:jc w:val="both"/>
        <w:rPr>
          <w:rFonts w:cs="Arial"/>
          <w:i/>
          <w:szCs w:val="20"/>
        </w:rPr>
      </w:pPr>
      <w:proofErr w:type="spellStart"/>
      <w:r>
        <w:rPr>
          <w:i/>
        </w:rPr>
        <w:t>Législation</w:t>
      </w:r>
      <w:proofErr w:type="spellEnd"/>
      <w:r>
        <w:rPr>
          <w:i/>
        </w:rPr>
        <w:t xml:space="preserve"> applicable </w:t>
      </w:r>
    </w:p>
    <w:p w:rsidR="00BB7130" w:rsidRDefault="00BB7130">
      <w:pPr>
        <w:autoSpaceDE w:val="0"/>
        <w:autoSpaceDN w:val="0"/>
        <w:adjustRightInd w:val="0"/>
        <w:jc w:val="both"/>
        <w:rPr>
          <w:rFonts w:cs="Arial"/>
          <w:szCs w:val="20"/>
        </w:rPr>
      </w:pPr>
    </w:p>
    <w:p w:rsidR="00BB7130" w:rsidRDefault="008F071F" w:rsidP="001601F1">
      <w:pPr>
        <w:pStyle w:val="ListParagraph"/>
        <w:autoSpaceDE w:val="0"/>
        <w:autoSpaceDN w:val="0"/>
        <w:adjustRightInd w:val="0"/>
        <w:ind w:left="0"/>
        <w:rPr>
          <w:rFonts w:cs="Arial"/>
          <w:szCs w:val="20"/>
          <w:lang w:val="de-DE"/>
        </w:rPr>
      </w:pPr>
      <w:r>
        <w:rPr>
          <w:rFonts w:cs="Arial"/>
          <w:szCs w:val="20"/>
          <w:lang w:val="de-DE"/>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1pt" o:ole="">
            <v:imagedata r:id="rId9" o:title=""/>
          </v:shape>
          <o:OLEObject Type="Embed" ProgID="AcroExch.Document.11" ShapeID="_x0000_i1025" DrawAspect="Icon" ObjectID="_1497787773" r:id="rId10"/>
        </w:object>
      </w:r>
      <w:r>
        <w:rPr>
          <w:rFonts w:cs="Arial"/>
          <w:szCs w:val="20"/>
          <w:lang w:val="de-DE"/>
        </w:rPr>
        <w:object w:dxaOrig="1551" w:dyaOrig="1004">
          <v:shape id="_x0000_i1026" type="#_x0000_t75" style="width:77.2pt;height:50.1pt" o:ole="">
            <v:imagedata r:id="rId11" o:title=""/>
          </v:shape>
          <o:OLEObject Type="Embed" ProgID="AcroExch.Document.11" ShapeID="_x0000_i1026" DrawAspect="Icon" ObjectID="_1497787774" r:id="rId12"/>
        </w:object>
      </w:r>
      <w:r>
        <w:rPr>
          <w:rFonts w:cs="Arial"/>
          <w:szCs w:val="20"/>
          <w:lang w:val="de-DE"/>
        </w:rPr>
        <w:object w:dxaOrig="1551" w:dyaOrig="1004">
          <v:shape id="_x0000_i1027" type="#_x0000_t75" style="width:77.2pt;height:50.1pt" o:ole="">
            <v:imagedata r:id="rId13" o:title=""/>
          </v:shape>
          <o:OLEObject Type="Embed" ProgID="AcroExch.Document.11" ShapeID="_x0000_i1027" DrawAspect="Icon" ObjectID="_1497787775" r:id="rId14"/>
        </w:object>
      </w:r>
    </w:p>
    <w:p w:rsidR="00E107D7" w:rsidRDefault="00E107D7" w:rsidP="001601F1">
      <w:pPr>
        <w:pStyle w:val="ListParagraph"/>
        <w:autoSpaceDE w:val="0"/>
        <w:autoSpaceDN w:val="0"/>
        <w:adjustRightInd w:val="0"/>
        <w:ind w:left="0"/>
        <w:rPr>
          <w:lang w:val="de-CH"/>
        </w:rPr>
      </w:pPr>
    </w:p>
    <w:p w:rsidR="00F67F32" w:rsidRPr="005066E3" w:rsidRDefault="00F67F32" w:rsidP="00F67F32">
      <w:pPr>
        <w:pStyle w:val="ListParagraph"/>
        <w:numPr>
          <w:ilvl w:val="0"/>
          <w:numId w:val="6"/>
        </w:numPr>
        <w:autoSpaceDE w:val="0"/>
        <w:autoSpaceDN w:val="0"/>
        <w:adjustRightInd w:val="0"/>
        <w:rPr>
          <w:rFonts w:cs="Arial"/>
          <w:i/>
          <w:szCs w:val="20"/>
          <w:lang w:val="fr-CH"/>
        </w:rPr>
      </w:pPr>
      <w:r w:rsidRPr="005066E3">
        <w:rPr>
          <w:i/>
          <w:lang w:val="fr-CH"/>
        </w:rPr>
        <w:t xml:space="preserve">Comment la loi protège-t-elle les lanceurs d’alerte (de manière générale et dans le secteur public) ? </w:t>
      </w:r>
    </w:p>
    <w:p w:rsidR="00F67F32" w:rsidRPr="005066E3" w:rsidRDefault="00F67F32" w:rsidP="00F67F32">
      <w:pPr>
        <w:pStyle w:val="ListParagraph"/>
        <w:autoSpaceDE w:val="0"/>
        <w:autoSpaceDN w:val="0"/>
        <w:adjustRightInd w:val="0"/>
        <w:rPr>
          <w:rFonts w:cs="Arial"/>
          <w:szCs w:val="20"/>
          <w:lang w:val="fr-CH"/>
        </w:rPr>
      </w:pPr>
    </w:p>
    <w:p w:rsidR="00E107D7" w:rsidRPr="005066E3" w:rsidRDefault="00F67F32" w:rsidP="00F67F32">
      <w:pPr>
        <w:autoSpaceDE w:val="0"/>
        <w:autoSpaceDN w:val="0"/>
        <w:adjustRightInd w:val="0"/>
        <w:jc w:val="both"/>
        <w:rPr>
          <w:rFonts w:cs="Arial"/>
          <w:szCs w:val="20"/>
          <w:lang w:val="fr-CH"/>
        </w:rPr>
      </w:pPr>
      <w:r w:rsidRPr="005066E3">
        <w:rPr>
          <w:lang w:val="fr-CH"/>
        </w:rPr>
        <w:t xml:space="preserve">Depuis 2008, la Suisse a entamé un processus d’adaptation des lois en vigueur dans le but d’améliorer la protection des lanceurs d’alerte. Ce processus a abouti à l'adoption d'une </w:t>
      </w:r>
      <w:r w:rsidRPr="00834664">
        <w:rPr>
          <w:lang w:val="fr-CH"/>
        </w:rPr>
        <w:t>réglementation pour le personnel fédéral</w:t>
      </w:r>
      <w:r w:rsidRPr="005066E3">
        <w:rPr>
          <w:lang w:val="fr-CH"/>
        </w:rPr>
        <w:t xml:space="preserve">, qui est appliquée depuis 2011 (art. 22a de la loi sur le personnel de la Confédération). Celle-ci prévoit l’obligation de signaler en interne tous les crimes et </w:t>
      </w:r>
      <w:r w:rsidRPr="005066E3">
        <w:rPr>
          <w:lang w:val="fr-CH"/>
        </w:rPr>
        <w:lastRenderedPageBreak/>
        <w:t xml:space="preserve">les infractions poursuivis d’office que des employés de l’administration fédérale pourraient avoir constatés dans l’exercice de leurs activités, ou de les dénoncer aux autorités pénales. </w:t>
      </w:r>
    </w:p>
    <w:p w:rsidR="00E107D7" w:rsidRDefault="00F67F32" w:rsidP="00F67F32">
      <w:pPr>
        <w:autoSpaceDE w:val="0"/>
        <w:autoSpaceDN w:val="0"/>
        <w:adjustRightInd w:val="0"/>
        <w:jc w:val="both"/>
        <w:rPr>
          <w:rFonts w:cs="Arial"/>
          <w:szCs w:val="20"/>
          <w:lang w:val="fr-CH"/>
        </w:rPr>
      </w:pPr>
      <w:r w:rsidRPr="005066E3">
        <w:rPr>
          <w:lang w:val="fr-CH"/>
        </w:rPr>
        <w:t xml:space="preserve">Le droit de signaler des irrégularités au Contrôle fédéral des finances, autorité indépendante au sein de l'administration fédérale, est par ailleurs reconnu dans la loi, en vertu de laquelle les mesures de représailles sont interdites et le licenciement consécutif à un signalement peut être annulé (art. 34c, al. 1, let. </w:t>
      </w:r>
      <w:proofErr w:type="gramStart"/>
      <w:r w:rsidRPr="005066E3">
        <w:rPr>
          <w:lang w:val="fr-CH"/>
        </w:rPr>
        <w:t>a</w:t>
      </w:r>
      <w:proofErr w:type="gramEnd"/>
      <w:r w:rsidRPr="005066E3">
        <w:rPr>
          <w:lang w:val="fr-CH"/>
        </w:rPr>
        <w:t xml:space="preserve">, </w:t>
      </w:r>
      <w:proofErr w:type="spellStart"/>
      <w:r w:rsidRPr="005066E3">
        <w:rPr>
          <w:lang w:val="fr-CH"/>
        </w:rPr>
        <w:t>LPers</w:t>
      </w:r>
      <w:proofErr w:type="spellEnd"/>
      <w:r w:rsidRPr="005066E3">
        <w:rPr>
          <w:lang w:val="fr-CH"/>
        </w:rPr>
        <w:t xml:space="preserve">). </w:t>
      </w:r>
    </w:p>
    <w:p w:rsidR="00E107D7" w:rsidRDefault="00E107D7" w:rsidP="00F67F32">
      <w:pPr>
        <w:autoSpaceDE w:val="0"/>
        <w:autoSpaceDN w:val="0"/>
        <w:adjustRightInd w:val="0"/>
        <w:jc w:val="both"/>
        <w:rPr>
          <w:rFonts w:cs="Arial"/>
          <w:szCs w:val="20"/>
          <w:lang w:val="fr-CH"/>
        </w:rPr>
      </w:pPr>
    </w:p>
    <w:p w:rsidR="00834664" w:rsidRDefault="00F67F32" w:rsidP="00F67F32">
      <w:pPr>
        <w:autoSpaceDE w:val="0"/>
        <w:autoSpaceDN w:val="0"/>
        <w:adjustRightInd w:val="0"/>
        <w:jc w:val="both"/>
        <w:rPr>
          <w:lang w:val="fr-CH"/>
        </w:rPr>
      </w:pPr>
      <w:r w:rsidRPr="005066E3">
        <w:rPr>
          <w:lang w:val="fr-CH"/>
        </w:rPr>
        <w:t xml:space="preserve">Pour le secteur privé, un projet a été adopté en 2013 par le Conseil fédéral. Il est actuellement examiné par le Parlement. Le Conseil fédéral a décidé de ne pas promulguer d’acte législatif spécifique englobant l’ensemble </w:t>
      </w:r>
      <w:proofErr w:type="gramStart"/>
      <w:r w:rsidR="00834664" w:rsidRPr="005066E3">
        <w:rPr>
          <w:lang w:val="fr-CH"/>
        </w:rPr>
        <w:t>des sphères publique</w:t>
      </w:r>
      <w:proofErr w:type="gramEnd"/>
      <w:r w:rsidRPr="005066E3">
        <w:rPr>
          <w:lang w:val="fr-CH"/>
        </w:rPr>
        <w:t xml:space="preserve"> et privée. Les cantons conservent donc la compétence globale de régler l’obligation et le droit de dénoncer applicables à leurs employés. </w:t>
      </w:r>
    </w:p>
    <w:p w:rsidR="00E107D7" w:rsidRDefault="00F67F32" w:rsidP="00F67F32">
      <w:pPr>
        <w:autoSpaceDE w:val="0"/>
        <w:autoSpaceDN w:val="0"/>
        <w:adjustRightInd w:val="0"/>
        <w:jc w:val="both"/>
        <w:rPr>
          <w:rFonts w:cs="Arial"/>
          <w:szCs w:val="20"/>
          <w:lang w:val="fr-CH"/>
        </w:rPr>
      </w:pPr>
      <w:r w:rsidRPr="005066E3">
        <w:rPr>
          <w:lang w:val="fr-CH"/>
        </w:rPr>
        <w:br/>
        <w:t xml:space="preserve">Cette approche est notamment motivée par le fait que des règles existent déjà dans les cantons et que l'on constate une évolution ces dernières années, plusieurs cantons ayant pris l'initiative de régler la question pour leur personnel. Ainsi, 20 cantons prévoient une obligation de dénoncer des infractions pénales. Les conditions sont plus ou moins larges. Le plus souvent, l’obligation se limite aux crimes et délits, aux crimes et infractions poursuivies d’office, voire aux crimes ou infractions graves. </w:t>
      </w:r>
    </w:p>
    <w:p w:rsidR="00E107D7" w:rsidRDefault="00E107D7" w:rsidP="00F67F32">
      <w:pPr>
        <w:autoSpaceDE w:val="0"/>
        <w:autoSpaceDN w:val="0"/>
        <w:adjustRightInd w:val="0"/>
        <w:jc w:val="both"/>
        <w:rPr>
          <w:rFonts w:cs="Arial"/>
          <w:szCs w:val="20"/>
          <w:lang w:val="fr-CH"/>
        </w:rPr>
      </w:pPr>
    </w:p>
    <w:p w:rsidR="00F67F32" w:rsidRPr="00F30CB1" w:rsidRDefault="00F67F32" w:rsidP="00F67F32">
      <w:pPr>
        <w:autoSpaceDE w:val="0"/>
        <w:autoSpaceDN w:val="0"/>
        <w:adjustRightInd w:val="0"/>
        <w:jc w:val="both"/>
        <w:rPr>
          <w:rFonts w:cs="Arial"/>
          <w:szCs w:val="20"/>
          <w:lang w:val="fr-CH"/>
        </w:rPr>
      </w:pPr>
      <w:r w:rsidRPr="005066E3">
        <w:rPr>
          <w:lang w:val="fr-CH"/>
        </w:rPr>
        <w:t xml:space="preserve">Des exceptions sont également prévues. Elles sont définies de diverses manières, mais elles visent en principe les fonctionnaires qui sont dans un rapport de confiance particulier à l’administré (domaine de la santé, assistants sociaux notamment). Le canton de Soleure prévoit un droit de dénoncer un crime ou un délit poursuivi d’office. Le canton des Grisons reconnaît également le droit de dénoncer une infraction pénale poursuivie d’office mais réserve le secret de fonction. Enfin, les cantons de Glaris, Lucerne, Vaud et Uri ne connaissent ni droit ni obligation généraux de dénoncer. Appenzell-Rhodes-Intérieures, Nidwald et Saint-Gall combinent une obligation de dénoncer les infractions les plus graves (par ex. les crimes) et un droit de dénoncer les autres infractions. Quelques cantons ont introduit un droit général de signaler pour leurs employés (notamment Saint-Gall et Bâle-Ville) ou envisagent de régler la question. Genève a introduit une disposition sur le droit de signaler dans sa constitution, dans l'article sur la liberté d'expression. </w:t>
      </w:r>
    </w:p>
    <w:p w:rsidR="00F67F32" w:rsidRPr="00A70BE5" w:rsidRDefault="00F67F32" w:rsidP="00F67F32">
      <w:pPr>
        <w:autoSpaceDE w:val="0"/>
        <w:autoSpaceDN w:val="0"/>
        <w:adjustRightInd w:val="0"/>
        <w:jc w:val="both"/>
        <w:rPr>
          <w:rFonts w:cs="Arial"/>
          <w:szCs w:val="20"/>
          <w:lang w:val="fr-CH"/>
        </w:rPr>
      </w:pPr>
    </w:p>
    <w:p w:rsidR="00F67F32" w:rsidRPr="00DA16E2" w:rsidRDefault="00F67F32" w:rsidP="00F67F32">
      <w:pPr>
        <w:autoSpaceDE w:val="0"/>
        <w:autoSpaceDN w:val="0"/>
        <w:adjustRightInd w:val="0"/>
        <w:jc w:val="both"/>
        <w:rPr>
          <w:lang w:val="fr-CH"/>
        </w:rPr>
      </w:pPr>
      <w:r w:rsidRPr="005066E3">
        <w:rPr>
          <w:lang w:val="fr-CH"/>
        </w:rPr>
        <w:t>Le projet adopté par le Conseil fédéral pour le secteur privé permet, d'une part, de réglementer les conditions du signalement licite d’irrégularités sur le lieu de travail définir dans le code des obligations (CO) et, d'autre part, d’interdire explicitement tout désavantage consécutif à un signalement licite (art. 328, al. 3 du projet) et un licenciement prononcé en raison d'un signalement licite (art. 336, al. 2, let. d du projet). Dans le sillage de ces adaptations, l’amélioration de la protection contre les licenciements abusifs a également été discutée, dans le cas des lanceurs d’alerte comme de manière générale. Actuellement, un licenciement abusif ou injustifié donne lieu au paiement d'une indemnité fixée par le juge mais qui ne peut dépasser six mois de salaire (art. 336a CO). Cette discussion sur la protection contre les licenciements abusifs sera reprise à l’issue d’une évaluation de la situation actuelle</w:t>
      </w:r>
      <w:r w:rsidR="00DA16E2">
        <w:rPr>
          <w:lang w:val="fr-CH"/>
        </w:rPr>
        <w:t>.</w:t>
      </w:r>
    </w:p>
    <w:p w:rsidR="00F67F32" w:rsidRPr="005066E3" w:rsidRDefault="00F67F32" w:rsidP="00F67F32">
      <w:pPr>
        <w:autoSpaceDE w:val="0"/>
        <w:autoSpaceDN w:val="0"/>
        <w:adjustRightInd w:val="0"/>
        <w:jc w:val="both"/>
        <w:rPr>
          <w:rFonts w:cs="Arial"/>
          <w:szCs w:val="20"/>
          <w:lang w:val="fr-CH"/>
        </w:rPr>
      </w:pPr>
    </w:p>
    <w:p w:rsidR="00DA16E2" w:rsidRDefault="00F67F32" w:rsidP="00DA16E2">
      <w:pPr>
        <w:autoSpaceDE w:val="0"/>
        <w:autoSpaceDN w:val="0"/>
        <w:adjustRightInd w:val="0"/>
        <w:jc w:val="both"/>
        <w:rPr>
          <w:lang w:val="fr-CH"/>
        </w:rPr>
      </w:pPr>
      <w:r w:rsidRPr="005066E3">
        <w:rPr>
          <w:lang w:val="fr-CH"/>
        </w:rPr>
        <w:t>S'agissant des conditions du signalement</w:t>
      </w:r>
      <w:r w:rsidR="005066E3">
        <w:rPr>
          <w:lang w:val="fr-CH"/>
        </w:rPr>
        <w:t>,</w:t>
      </w:r>
      <w:r w:rsidRPr="005066E3">
        <w:rPr>
          <w:lang w:val="fr-CH"/>
        </w:rPr>
        <w:t xml:space="preserve"> le projet prévoit que les collaborateurs informent dans un premier temps leur employeur, qui a ainsi la possibilité de prendre de son propre chef des mesures pour remédier aux irrégularités. Une fois informé, l’employeur est tenu de prendre des mesures suffisantes pour faire la lumière sur les faits dans un délai de 60 jours maximum ou doit informer le collaborateur ayant effectué le signalement de la réception et du traitement de l’information qu’il a transmise, ainsi que des résultats des mesures prises.</w:t>
      </w:r>
    </w:p>
    <w:p w:rsidR="00F67F32" w:rsidRPr="005066E3" w:rsidRDefault="00F67F32" w:rsidP="00DA16E2">
      <w:pPr>
        <w:autoSpaceDE w:val="0"/>
        <w:autoSpaceDN w:val="0"/>
        <w:adjustRightInd w:val="0"/>
        <w:jc w:val="both"/>
        <w:rPr>
          <w:rFonts w:cs="Arial"/>
          <w:szCs w:val="20"/>
          <w:lang w:val="fr-CH"/>
        </w:rPr>
      </w:pPr>
      <w:r w:rsidRPr="005066E3">
        <w:rPr>
          <w:lang w:val="fr-CH"/>
        </w:rPr>
        <w:br/>
        <w:t xml:space="preserve">Une autre option pour l'employeur est de mettre en place un système de signalement interne avec un organe de signalement indépendant. Dans ce cas, le signalement traité par ce système est présumé suffisant. Si l’employeur ne tient pas compte des plaintes, l’employé a le droit de transmettre son signalement aux autorités compétentes ou, en dernier cours, au public. Un signalement n’est considéré comme licite que lorsque cette procédure a été respectée. </w:t>
      </w:r>
    </w:p>
    <w:p w:rsidR="00F67F32" w:rsidRPr="005066E3" w:rsidRDefault="00F67F32" w:rsidP="00F67F32">
      <w:pPr>
        <w:autoSpaceDE w:val="0"/>
        <w:autoSpaceDN w:val="0"/>
        <w:adjustRightInd w:val="0"/>
        <w:jc w:val="both"/>
        <w:rPr>
          <w:rFonts w:cs="Arial"/>
          <w:szCs w:val="20"/>
          <w:lang w:val="fr-CH"/>
        </w:rPr>
      </w:pPr>
    </w:p>
    <w:p w:rsidR="001601F1" w:rsidRPr="005066E3" w:rsidRDefault="00F67F32" w:rsidP="001601F1">
      <w:pPr>
        <w:autoSpaceDE w:val="0"/>
        <w:autoSpaceDN w:val="0"/>
        <w:adjustRightInd w:val="0"/>
        <w:jc w:val="both"/>
        <w:rPr>
          <w:rFonts w:cs="Arial"/>
          <w:szCs w:val="20"/>
          <w:lang w:val="fr-CH"/>
        </w:rPr>
      </w:pPr>
      <w:r w:rsidRPr="005066E3">
        <w:rPr>
          <w:lang w:val="fr-CH"/>
        </w:rPr>
        <w:t xml:space="preserve">La législation suisse actuelle en matière de droit privé réglemente le statut et les activités des lanceurs d’alerte, en particulier dans le droit du travail. Celui-ci prévoit notamment une obligation de </w:t>
      </w:r>
      <w:r w:rsidRPr="005066E3">
        <w:rPr>
          <w:lang w:val="fr-CH"/>
        </w:rPr>
        <w:lastRenderedPageBreak/>
        <w:t xml:space="preserve">sauvegarde des intérêts et de discrétion (art. 321a, al. 4, CO) selon laquelle le travailleur ne doit pas communiquer des informations à des tiers si </w:t>
      </w:r>
      <w:r w:rsidR="005066E3">
        <w:rPr>
          <w:lang w:val="fr-CH"/>
        </w:rPr>
        <w:t>celles-ci</w:t>
      </w:r>
      <w:r w:rsidRPr="005066E3">
        <w:rPr>
          <w:lang w:val="fr-CH"/>
        </w:rPr>
        <w:t xml:space="preserve"> </w:t>
      </w:r>
      <w:r w:rsidR="005066E3">
        <w:rPr>
          <w:lang w:val="fr-CH"/>
        </w:rPr>
        <w:t>pourraient</w:t>
      </w:r>
      <w:r w:rsidRPr="005066E3">
        <w:rPr>
          <w:lang w:val="fr-CH"/>
        </w:rPr>
        <w:t xml:space="preserve"> nuire à son employeur. La jurisprudence prévoit des exceptions lorsque des intérêts supérieurs de tiers ou du public sont en jeu (ATF 127 III 310). Dans ces cas, un signalement auprès des autorités compétentes ou, en dernier recours, au public, peut être effectué. </w:t>
      </w:r>
    </w:p>
    <w:p w:rsidR="00BB7130" w:rsidRPr="005066E3" w:rsidRDefault="00BB7130">
      <w:pPr>
        <w:autoSpaceDE w:val="0"/>
        <w:autoSpaceDN w:val="0"/>
        <w:adjustRightInd w:val="0"/>
        <w:jc w:val="both"/>
        <w:rPr>
          <w:rFonts w:cs="Arial"/>
          <w:szCs w:val="20"/>
          <w:lang w:val="fr-CH"/>
        </w:rPr>
      </w:pPr>
    </w:p>
    <w:p w:rsidR="00BB7130" w:rsidRPr="005066E3" w:rsidRDefault="008F071F">
      <w:pPr>
        <w:autoSpaceDE w:val="0"/>
        <w:autoSpaceDN w:val="0"/>
        <w:adjustRightInd w:val="0"/>
        <w:jc w:val="both"/>
        <w:rPr>
          <w:rFonts w:cs="Arial"/>
          <w:szCs w:val="20"/>
          <w:u w:val="single"/>
          <w:lang w:val="fr-CH"/>
        </w:rPr>
      </w:pPr>
      <w:r w:rsidRPr="005066E3">
        <w:rPr>
          <w:lang w:val="fr-CH"/>
        </w:rPr>
        <w:t xml:space="preserve">Vous trouverez d’autres informations sur le site de l’Office fédéral de la justice </w:t>
      </w:r>
      <w:hyperlink r:id="rId15" w:history="1">
        <w:r w:rsidRPr="005066E3">
          <w:rPr>
            <w:u w:val="single"/>
            <w:lang w:val="fr-CH"/>
          </w:rPr>
          <w:t>https://www.bj.admin.ch/bj/fr/home/wirtschaft/gesetzgebung/whistleblowing.html</w:t>
        </w:r>
      </w:hyperlink>
    </w:p>
    <w:p w:rsidR="00BB7130" w:rsidRPr="005066E3" w:rsidRDefault="00BB7130">
      <w:pPr>
        <w:autoSpaceDE w:val="0"/>
        <w:autoSpaceDN w:val="0"/>
        <w:adjustRightInd w:val="0"/>
        <w:jc w:val="both"/>
        <w:rPr>
          <w:rFonts w:cs="Arial"/>
          <w:szCs w:val="20"/>
          <w:lang w:val="fr-CH"/>
        </w:rPr>
      </w:pPr>
    </w:p>
    <w:p w:rsidR="00BB7130" w:rsidRDefault="008F071F">
      <w:pPr>
        <w:autoSpaceDE w:val="0"/>
        <w:autoSpaceDN w:val="0"/>
        <w:adjustRightInd w:val="0"/>
        <w:jc w:val="both"/>
        <w:rPr>
          <w:rFonts w:cs="Arial"/>
          <w:i/>
          <w:szCs w:val="20"/>
          <w:lang w:val="fr-CH"/>
        </w:rPr>
      </w:pPr>
      <w:r>
        <w:rPr>
          <w:i/>
        </w:rPr>
        <w:t xml:space="preserve">Législation applicable </w:t>
      </w:r>
    </w:p>
    <w:p w:rsidR="00BB7130" w:rsidRDefault="00BB7130">
      <w:pPr>
        <w:autoSpaceDE w:val="0"/>
        <w:autoSpaceDN w:val="0"/>
        <w:adjustRightInd w:val="0"/>
        <w:jc w:val="both"/>
        <w:rPr>
          <w:rFonts w:cs="Arial"/>
          <w:szCs w:val="20"/>
          <w:lang w:val="fr-CH"/>
        </w:rPr>
      </w:pPr>
    </w:p>
    <w:p w:rsidR="00BB7130" w:rsidRDefault="008F071F">
      <w:pPr>
        <w:autoSpaceDE w:val="0"/>
        <w:autoSpaceDN w:val="0"/>
        <w:adjustRightInd w:val="0"/>
        <w:jc w:val="both"/>
        <w:rPr>
          <w:rFonts w:cs="Arial"/>
          <w:szCs w:val="20"/>
          <w:u w:val="single"/>
          <w:lang w:val="fr-CH"/>
        </w:rPr>
      </w:pPr>
      <w:r>
        <w:t xml:space="preserve">Code des obligations suisse: </w:t>
      </w:r>
      <w:r>
        <w:fldChar w:fldCharType="begin"/>
      </w:r>
      <w:r w:rsidRPr="00E45D4E">
        <w:rPr>
          <w:lang w:val="fr-CH"/>
        </w:rPr>
        <w:instrText xml:space="preserve">https://www.admin.ch/opc/fr/classified-compilation/22.html" </w:instrText>
      </w:r>
      <w:r>
        <w:fldChar w:fldCharType="separate"/>
      </w:r>
      <w:r>
        <w:rPr>
          <w:rFonts w:cs="Arial"/>
          <w:szCs w:val="20"/>
          <w:u w:val="single"/>
          <w:lang w:val="fr-CH"/>
        </w:rPr>
        <w:t>https://www.admin.ch/opc/fr/classified-compilation/22.html</w:t>
      </w:r>
      <w:r>
        <w:rPr>
          <w:rFonts w:cs="Arial"/>
          <w:szCs w:val="20"/>
          <w:u w:val="single"/>
          <w:lang w:val="fr-CH"/>
        </w:rPr>
        <w:fldChar w:fldCharType="end"/>
      </w:r>
    </w:p>
    <w:p w:rsidR="00BB7130" w:rsidRDefault="00BB7130">
      <w:pPr>
        <w:autoSpaceDE w:val="0"/>
        <w:autoSpaceDN w:val="0"/>
        <w:adjustRightInd w:val="0"/>
        <w:jc w:val="both"/>
        <w:rPr>
          <w:rFonts w:cs="Arial"/>
          <w:szCs w:val="20"/>
          <w:lang w:val="fr-CH"/>
        </w:rPr>
      </w:pPr>
    </w:p>
    <w:p w:rsidR="00BB7130" w:rsidRDefault="008F071F">
      <w:pPr>
        <w:jc w:val="both"/>
        <w:rPr>
          <w:rFonts w:eastAsia="Times New Roman" w:cs="Arial"/>
          <w:szCs w:val="20"/>
          <w:lang w:val="de-DE"/>
        </w:rPr>
      </w:pPr>
      <w:r>
        <w:rPr>
          <w:rFonts w:eastAsia="Times New Roman" w:cs="Arial"/>
          <w:szCs w:val="20"/>
          <w:lang w:val="de-DE"/>
        </w:rPr>
        <w:object w:dxaOrig="1551" w:dyaOrig="1004">
          <v:shape id="_x0000_i1028" type="#_x0000_t75" style="width:77.2pt;height:50.1pt" o:ole="">
            <v:imagedata r:id="rId16" o:title=""/>
          </v:shape>
          <o:OLEObject Type="Embed" ProgID="AcroExch.Document.11" ShapeID="_x0000_i1028" DrawAspect="Icon" ObjectID="_1497787776" r:id="rId17"/>
        </w:object>
      </w:r>
    </w:p>
    <w:sectPr w:rsidR="00BB7130">
      <w:headerReference w:type="default" r:id="rId18"/>
      <w:pgSz w:w="11907" w:h="16840" w:code="9"/>
      <w:pgMar w:top="680" w:right="1134" w:bottom="907" w:left="1701" w:header="680" w:footer="1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A8C" w:rsidRDefault="00C35A8C">
      <w:r>
        <w:separator/>
      </w:r>
    </w:p>
  </w:endnote>
  <w:endnote w:type="continuationSeparator" w:id="0">
    <w:p w:rsidR="00C35A8C" w:rsidRDefault="00C35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A8C" w:rsidRDefault="00C35A8C">
      <w:r>
        <w:separator/>
      </w:r>
    </w:p>
  </w:footnote>
  <w:footnote w:type="continuationSeparator" w:id="0">
    <w:p w:rsidR="00C35A8C" w:rsidRDefault="00C35A8C">
      <w:r>
        <w:continuationSeparator/>
      </w:r>
    </w:p>
  </w:footnote>
  <w:footnote w:id="1">
    <w:p w:rsidR="00EB74D5" w:rsidRPr="00EB74D5" w:rsidRDefault="00EB74D5" w:rsidP="00EB74D5">
      <w:pPr>
        <w:pStyle w:val="FootnoteText"/>
        <w:jc w:val="both"/>
        <w:rPr>
          <w:lang w:val="de-CH"/>
        </w:rPr>
      </w:pPr>
      <w:r>
        <w:rPr>
          <w:rStyle w:val="FootnoteReference"/>
          <w:rFonts w:cs="Arial"/>
          <w:sz w:val="16"/>
          <w:szCs w:val="16"/>
        </w:rPr>
        <w:footnoteRef/>
      </w:r>
      <w:r>
        <w:rPr>
          <w:rFonts w:cs="Arial"/>
          <w:sz w:val="16"/>
          <w:szCs w:val="16"/>
          <w:lang w:val="de-CH"/>
        </w:rPr>
        <w:t xml:space="preserve"> </w:t>
      </w:r>
      <w:r>
        <w:rPr>
          <w:sz w:val="18"/>
          <w:szCs w:val="18"/>
          <w:lang w:val="de-CH"/>
        </w:rPr>
        <w:t>cf. Trechsel / Jean-Richard in Trechsel/Pieth, Schweizerisches Strafgesetzbuch Praxiskommentar, Zürich/St. Gallen 2013, Art. 28 N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9" w:type="dxa"/>
      <w:tblInd w:w="-595" w:type="dxa"/>
      <w:tblLayout w:type="fixed"/>
      <w:tblLook w:val="01E0" w:firstRow="1" w:lastRow="1" w:firstColumn="1" w:lastColumn="1" w:noHBand="0" w:noVBand="0"/>
    </w:tblPr>
    <w:tblGrid>
      <w:gridCol w:w="4848"/>
      <w:gridCol w:w="4961"/>
    </w:tblGrid>
    <w:tr w:rsidR="00BB7130" w:rsidRPr="00F0438A">
      <w:trPr>
        <w:cantSplit/>
        <w:trHeight w:hRule="exact" w:val="1980"/>
      </w:trPr>
      <w:tc>
        <w:tcPr>
          <w:tcW w:w="4848" w:type="dxa"/>
        </w:tcPr>
        <w:p w:rsidR="00BB7130" w:rsidRDefault="008F071F">
          <w:pPr>
            <w:pStyle w:val="Logo"/>
          </w:pPr>
          <w:r>
            <w:rPr>
              <w:lang w:val="fr-CH" w:eastAsia="fr-CH"/>
            </w:rPr>
            <w:drawing>
              <wp:inline distT="0" distB="0" distL="0" distR="0">
                <wp:extent cx="2011680" cy="870585"/>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1680" cy="870585"/>
                        </a:xfrm>
                        <a:prstGeom prst="rect">
                          <a:avLst/>
                        </a:prstGeom>
                        <a:noFill/>
                        <a:ln>
                          <a:noFill/>
                        </a:ln>
                      </pic:spPr>
                    </pic:pic>
                  </a:graphicData>
                </a:graphic>
              </wp:inline>
            </w:drawing>
          </w:r>
        </w:p>
      </w:tc>
      <w:tc>
        <w:tcPr>
          <w:tcW w:w="4961" w:type="dxa"/>
        </w:tcPr>
        <w:p w:rsidR="00BB7130" w:rsidRDefault="008F071F">
          <w:pPr>
            <w:pStyle w:val="KopfDept"/>
            <w:rPr>
              <w:lang w:val="fr-FR"/>
            </w:rPr>
          </w:pPr>
          <w:r w:rsidRPr="005066E3">
            <w:rPr>
              <w:lang w:val="fr-CH"/>
            </w:rPr>
            <w:t>Département fédéral des affaires étrangères DFAE</w:t>
          </w:r>
        </w:p>
        <w:p w:rsidR="00BB7130" w:rsidRDefault="00BB7130">
          <w:pPr>
            <w:pStyle w:val="Header"/>
            <w:rPr>
              <w:lang w:val="fr-FR"/>
            </w:rPr>
          </w:pPr>
        </w:p>
      </w:tc>
    </w:tr>
  </w:tbl>
  <w:p w:rsidR="00BB7130" w:rsidRDefault="00BB7130">
    <w:pPr>
      <w:pStyle w:val="Heade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6D6"/>
    <w:multiLevelType w:val="multilevel"/>
    <w:tmpl w:val="90D26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3B6C50"/>
    <w:multiLevelType w:val="multilevel"/>
    <w:tmpl w:val="F766B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4D0356"/>
    <w:multiLevelType w:val="multilevel"/>
    <w:tmpl w:val="664E1B32"/>
    <w:lvl w:ilvl="0">
      <w:start w:val="1"/>
      <w:numFmt w:val="decimal"/>
      <w:pStyle w:val="Heading1"/>
      <w:lvlText w:val="%1."/>
      <w:lvlJc w:val="left"/>
      <w:pPr>
        <w:ind w:left="709" w:hanging="709"/>
      </w:pPr>
      <w:rPr>
        <w:rFonts w:hint="default"/>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709" w:hanging="709"/>
      </w:pPr>
      <w:rPr>
        <w:rFonts w:hint="default"/>
      </w:rPr>
    </w:lvl>
    <w:lvl w:ilvl="4">
      <w:start w:val="1"/>
      <w:numFmt w:val="decimal"/>
      <w:lvlText w:val="%1.%2.%3.%4.%5"/>
      <w:lvlJc w:val="left"/>
      <w:pPr>
        <w:ind w:left="709" w:hanging="709"/>
      </w:pPr>
      <w:rPr>
        <w:rFonts w:hint="default"/>
      </w:rPr>
    </w:lvl>
    <w:lvl w:ilvl="5">
      <w:start w:val="1"/>
      <w:numFmt w:val="decimal"/>
      <w:lvlText w:val="%1.%2.%3.%4.%5.%6"/>
      <w:lvlJc w:val="left"/>
      <w:pPr>
        <w:ind w:left="709" w:hanging="709"/>
      </w:pPr>
      <w:rPr>
        <w:rFonts w:hint="default"/>
      </w:rPr>
    </w:lvl>
    <w:lvl w:ilvl="6">
      <w:start w:val="1"/>
      <w:numFmt w:val="decimal"/>
      <w:lvlText w:val="%1.%2.%3.%4.%5.%6.%7"/>
      <w:lvlJc w:val="left"/>
      <w:pPr>
        <w:ind w:left="709" w:hanging="709"/>
      </w:pPr>
      <w:rPr>
        <w:rFonts w:hint="default"/>
      </w:rPr>
    </w:lvl>
    <w:lvl w:ilvl="7">
      <w:start w:val="1"/>
      <w:numFmt w:val="decimal"/>
      <w:lvlText w:val="%1.%2.%3.%4.%5.%6.%7.%8"/>
      <w:lvlJc w:val="left"/>
      <w:pPr>
        <w:ind w:left="709" w:hanging="709"/>
      </w:pPr>
      <w:rPr>
        <w:rFonts w:hint="default"/>
      </w:rPr>
    </w:lvl>
    <w:lvl w:ilvl="8">
      <w:start w:val="1"/>
      <w:numFmt w:val="decimal"/>
      <w:lvlText w:val="%1.%2.%3.%4.%5.%6.%7.%8.%9"/>
      <w:lvlJc w:val="left"/>
      <w:pPr>
        <w:ind w:left="709" w:hanging="709"/>
      </w:pPr>
      <w:rPr>
        <w:rFonts w:hint="default"/>
      </w:rPr>
    </w:lvl>
  </w:abstractNum>
  <w:abstractNum w:abstractNumId="3">
    <w:nsid w:val="165A411E"/>
    <w:multiLevelType w:val="hybridMultilevel"/>
    <w:tmpl w:val="BD68EF7C"/>
    <w:lvl w:ilvl="0" w:tplc="0D361B20">
      <w:start w:val="1"/>
      <w:numFmt w:val="bullet"/>
      <w:lvlText w:val=""/>
      <w:lvlJc w:val="left"/>
      <w:pPr>
        <w:ind w:left="1440" w:hanging="360"/>
      </w:pPr>
      <w:rPr>
        <w:rFonts w:ascii="Symbol" w:hAnsi="Symbol" w:hint="default"/>
      </w:rPr>
    </w:lvl>
    <w:lvl w:ilvl="1" w:tplc="0D361B20">
      <w:start w:val="1"/>
      <w:numFmt w:val="bullet"/>
      <w:lvlText w:val=""/>
      <w:lvlJc w:val="left"/>
      <w:pPr>
        <w:ind w:left="2160" w:hanging="360"/>
      </w:pPr>
      <w:rPr>
        <w:rFonts w:ascii="Symbol" w:hAnsi="Symbol"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4">
    <w:nsid w:val="19F90E9F"/>
    <w:multiLevelType w:val="multilevel"/>
    <w:tmpl w:val="0896B2AE"/>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5">
    <w:nsid w:val="1B9022BD"/>
    <w:multiLevelType w:val="multilevel"/>
    <w:tmpl w:val="E58E3868"/>
    <w:lvl w:ilvl="0">
      <w:start w:val="1"/>
      <w:numFmt w:val="decimal"/>
      <w:lvlText w:val="%1."/>
      <w:lvlJc w:val="left"/>
      <w:pPr>
        <w:tabs>
          <w:tab w:val="num" w:pos="714"/>
        </w:tabs>
        <w:ind w:left="354" w:hanging="360"/>
      </w:pPr>
      <w:rPr>
        <w:rFonts w:hint="default"/>
      </w:rPr>
    </w:lvl>
    <w:lvl w:ilvl="1">
      <w:start w:val="1"/>
      <w:numFmt w:val="decimal"/>
      <w:lvlText w:val="%1.%2."/>
      <w:lvlJc w:val="left"/>
      <w:pPr>
        <w:tabs>
          <w:tab w:val="num" w:pos="-3"/>
        </w:tabs>
        <w:ind w:left="-3" w:firstLine="0"/>
      </w:pPr>
      <w:rPr>
        <w:rFonts w:hint="default"/>
      </w:rPr>
    </w:lvl>
    <w:lvl w:ilvl="2">
      <w:start w:val="1"/>
      <w:numFmt w:val="decimal"/>
      <w:lvlText w:val="%2%1..%3."/>
      <w:lvlJc w:val="left"/>
      <w:pPr>
        <w:tabs>
          <w:tab w:val="num" w:pos="2154"/>
        </w:tabs>
        <w:ind w:left="1218" w:hanging="504"/>
      </w:pPr>
      <w:rPr>
        <w:rFonts w:hint="default"/>
      </w:rPr>
    </w:lvl>
    <w:lvl w:ilvl="3">
      <w:start w:val="1"/>
      <w:numFmt w:val="decimal"/>
      <w:lvlText w:val="%1.%2.%3.%4."/>
      <w:lvlJc w:val="left"/>
      <w:pPr>
        <w:tabs>
          <w:tab w:val="num" w:pos="2874"/>
        </w:tabs>
        <w:ind w:left="1722" w:hanging="648"/>
      </w:pPr>
      <w:rPr>
        <w:rFonts w:hint="default"/>
      </w:rPr>
    </w:lvl>
    <w:lvl w:ilvl="4">
      <w:start w:val="1"/>
      <w:numFmt w:val="decimal"/>
      <w:lvlText w:val="%1.%2.%3.%4.%5."/>
      <w:lvlJc w:val="left"/>
      <w:pPr>
        <w:tabs>
          <w:tab w:val="num" w:pos="3594"/>
        </w:tabs>
        <w:ind w:left="2226" w:hanging="792"/>
      </w:pPr>
      <w:rPr>
        <w:rFonts w:hint="default"/>
      </w:rPr>
    </w:lvl>
    <w:lvl w:ilvl="5">
      <w:start w:val="1"/>
      <w:numFmt w:val="decimal"/>
      <w:lvlText w:val="%1.%2.%3.%4.%5.%6."/>
      <w:lvlJc w:val="left"/>
      <w:pPr>
        <w:tabs>
          <w:tab w:val="num" w:pos="4314"/>
        </w:tabs>
        <w:ind w:left="2730" w:hanging="936"/>
      </w:pPr>
      <w:rPr>
        <w:rFonts w:hint="default"/>
      </w:rPr>
    </w:lvl>
    <w:lvl w:ilvl="6">
      <w:start w:val="1"/>
      <w:numFmt w:val="decimal"/>
      <w:lvlText w:val="%1.%2.%3.%4.%5.%6.%7."/>
      <w:lvlJc w:val="left"/>
      <w:pPr>
        <w:tabs>
          <w:tab w:val="num" w:pos="5034"/>
        </w:tabs>
        <w:ind w:left="3234" w:hanging="1080"/>
      </w:pPr>
      <w:rPr>
        <w:rFonts w:hint="default"/>
      </w:rPr>
    </w:lvl>
    <w:lvl w:ilvl="7">
      <w:start w:val="1"/>
      <w:numFmt w:val="decimal"/>
      <w:lvlText w:val="%1.%2.%3.%4.%5.%6.%7.%8."/>
      <w:lvlJc w:val="left"/>
      <w:pPr>
        <w:tabs>
          <w:tab w:val="num" w:pos="5754"/>
        </w:tabs>
        <w:ind w:left="3738" w:hanging="1224"/>
      </w:pPr>
      <w:rPr>
        <w:rFonts w:hint="default"/>
      </w:rPr>
    </w:lvl>
    <w:lvl w:ilvl="8">
      <w:start w:val="1"/>
      <w:numFmt w:val="decimal"/>
      <w:lvlText w:val="%1.%2.%3.%4.%5.%6.%7.%8.%9."/>
      <w:lvlJc w:val="left"/>
      <w:pPr>
        <w:tabs>
          <w:tab w:val="num" w:pos="6474"/>
        </w:tabs>
        <w:ind w:left="4314" w:hanging="1440"/>
      </w:pPr>
      <w:rPr>
        <w:rFonts w:hint="default"/>
      </w:rPr>
    </w:lvl>
  </w:abstractNum>
  <w:abstractNum w:abstractNumId="6">
    <w:nsid w:val="1DE80A46"/>
    <w:multiLevelType w:val="hybridMultilevel"/>
    <w:tmpl w:val="7FE01FB8"/>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7">
    <w:nsid w:val="24062811"/>
    <w:multiLevelType w:val="hybridMultilevel"/>
    <w:tmpl w:val="A5869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803487"/>
    <w:multiLevelType w:val="hybridMultilevel"/>
    <w:tmpl w:val="017C5E08"/>
    <w:lvl w:ilvl="0" w:tplc="0D361B20">
      <w:start w:val="1"/>
      <w:numFmt w:val="bullet"/>
      <w:pStyle w:val="Aufzhlung"/>
      <w:lvlText w:val=""/>
      <w:lvlJc w:val="left"/>
      <w:pPr>
        <w:ind w:left="1440" w:hanging="360"/>
      </w:pPr>
      <w:rPr>
        <w:rFonts w:ascii="Symbol" w:hAnsi="Symbol" w:hint="default"/>
      </w:rPr>
    </w:lvl>
    <w:lvl w:ilvl="1" w:tplc="08070003">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9">
    <w:nsid w:val="3B7A03F4"/>
    <w:multiLevelType w:val="hybridMultilevel"/>
    <w:tmpl w:val="B052D68E"/>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0">
    <w:nsid w:val="50AC1456"/>
    <w:multiLevelType w:val="hybridMultilevel"/>
    <w:tmpl w:val="F27C25F0"/>
    <w:lvl w:ilvl="0" w:tplc="A88ED5D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86665D"/>
    <w:multiLevelType w:val="hybridMultilevel"/>
    <w:tmpl w:val="A3EAD210"/>
    <w:lvl w:ilvl="0" w:tplc="0807000F">
      <w:start w:val="1"/>
      <w:numFmt w:val="decimal"/>
      <w:lvlText w:val="%1."/>
      <w:lvlJc w:val="left"/>
      <w:pPr>
        <w:ind w:left="1440" w:hanging="360"/>
      </w:pPr>
      <w:rPr>
        <w:rFonts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2">
    <w:nsid w:val="63CB4196"/>
    <w:multiLevelType w:val="hybridMultilevel"/>
    <w:tmpl w:val="A5869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204556"/>
    <w:multiLevelType w:val="multilevel"/>
    <w:tmpl w:val="36E8BE44"/>
    <w:lvl w:ilvl="0">
      <w:start w:val="1"/>
      <w:numFmt w:val="decimal"/>
      <w:lvlText w:val="%1."/>
      <w:lvlJc w:val="left"/>
      <w:pPr>
        <w:tabs>
          <w:tab w:val="num" w:pos="717"/>
        </w:tabs>
        <w:ind w:left="357"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2157"/>
        </w:tabs>
        <w:ind w:left="1221" w:hanging="504"/>
      </w:pPr>
      <w:rPr>
        <w:rFonts w:hint="default"/>
      </w:rPr>
    </w:lvl>
    <w:lvl w:ilvl="3">
      <w:start w:val="1"/>
      <w:numFmt w:val="decimal"/>
      <w:lvlText w:val="%1.%2.%3.%4."/>
      <w:lvlJc w:val="left"/>
      <w:pPr>
        <w:tabs>
          <w:tab w:val="num" w:pos="2877"/>
        </w:tabs>
        <w:ind w:left="1725" w:hanging="648"/>
      </w:pPr>
      <w:rPr>
        <w:rFonts w:hint="default"/>
      </w:rPr>
    </w:lvl>
    <w:lvl w:ilvl="4">
      <w:start w:val="1"/>
      <w:numFmt w:val="decimal"/>
      <w:lvlText w:val="%1.%2.%3.%4.%5."/>
      <w:lvlJc w:val="left"/>
      <w:pPr>
        <w:tabs>
          <w:tab w:val="num" w:pos="3597"/>
        </w:tabs>
        <w:ind w:left="2229" w:hanging="792"/>
      </w:pPr>
      <w:rPr>
        <w:rFonts w:hint="default"/>
      </w:rPr>
    </w:lvl>
    <w:lvl w:ilvl="5">
      <w:start w:val="1"/>
      <w:numFmt w:val="decimal"/>
      <w:lvlText w:val="%1.%2.%3.%4.%5.%6."/>
      <w:lvlJc w:val="left"/>
      <w:pPr>
        <w:tabs>
          <w:tab w:val="num" w:pos="4317"/>
        </w:tabs>
        <w:ind w:left="2733" w:hanging="936"/>
      </w:pPr>
      <w:rPr>
        <w:rFonts w:hint="default"/>
      </w:rPr>
    </w:lvl>
    <w:lvl w:ilvl="6">
      <w:start w:val="1"/>
      <w:numFmt w:val="decimal"/>
      <w:lvlText w:val="%1.%2.%3.%4.%5.%6.%7."/>
      <w:lvlJc w:val="left"/>
      <w:pPr>
        <w:tabs>
          <w:tab w:val="num" w:pos="5037"/>
        </w:tabs>
        <w:ind w:left="3237" w:hanging="1080"/>
      </w:pPr>
      <w:rPr>
        <w:rFonts w:hint="default"/>
      </w:rPr>
    </w:lvl>
    <w:lvl w:ilvl="7">
      <w:start w:val="1"/>
      <w:numFmt w:val="decimal"/>
      <w:lvlText w:val="%1.%2.%3.%4.%5.%6.%7.%8."/>
      <w:lvlJc w:val="left"/>
      <w:pPr>
        <w:tabs>
          <w:tab w:val="num" w:pos="5757"/>
        </w:tabs>
        <w:ind w:left="3741" w:hanging="1224"/>
      </w:pPr>
      <w:rPr>
        <w:rFonts w:hint="default"/>
      </w:rPr>
    </w:lvl>
    <w:lvl w:ilvl="8">
      <w:start w:val="1"/>
      <w:numFmt w:val="decimal"/>
      <w:lvlText w:val="%1.%2.%3.%4.%5.%6.%7.%8.%9."/>
      <w:lvlJc w:val="left"/>
      <w:pPr>
        <w:tabs>
          <w:tab w:val="num" w:pos="6477"/>
        </w:tabs>
        <w:ind w:left="4317" w:hanging="1440"/>
      </w:pPr>
      <w:rPr>
        <w:rFonts w:hint="default"/>
      </w:rPr>
    </w:lvl>
  </w:abstractNum>
  <w:num w:numId="1">
    <w:abstractNumId w:val="2"/>
  </w:num>
  <w:num w:numId="2">
    <w:abstractNumId w:val="4"/>
  </w:num>
  <w:num w:numId="3">
    <w:abstractNumId w:val="13"/>
  </w:num>
  <w:num w:numId="4">
    <w:abstractNumId w:val="5"/>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0"/>
  </w:num>
  <w:num w:numId="8">
    <w:abstractNumId w:val="9"/>
  </w:num>
  <w:num w:numId="9">
    <w:abstractNumId w:val="11"/>
  </w:num>
  <w:num w:numId="10">
    <w:abstractNumId w:val="6"/>
  </w:num>
  <w:num w:numId="11">
    <w:abstractNumId w:val="8"/>
  </w:num>
  <w:num w:numId="12">
    <w:abstractNumId w:val="3"/>
  </w:num>
  <w:num w:numId="13">
    <w:abstractNumId w:val="10"/>
  </w:num>
  <w:num w:numId="14">
    <w:abstractNumId w:val="1"/>
  </w:num>
  <w:num w:numId="15">
    <w:abstractNumId w:val="8"/>
  </w:num>
  <w:num w:numId="16">
    <w:abstractNumId w:val="12"/>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laus Schneider">
    <w15:presenceInfo w15:providerId="None" w15:userId="Klaus Schneid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de-CH"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130"/>
    <w:rsid w:val="00016DCE"/>
    <w:rsid w:val="001601F1"/>
    <w:rsid w:val="00203CA8"/>
    <w:rsid w:val="0046322A"/>
    <w:rsid w:val="005066E3"/>
    <w:rsid w:val="006D3310"/>
    <w:rsid w:val="00834664"/>
    <w:rsid w:val="008F071F"/>
    <w:rsid w:val="009E6F2A"/>
    <w:rsid w:val="00BB7130"/>
    <w:rsid w:val="00BE14B3"/>
    <w:rsid w:val="00C35A8C"/>
    <w:rsid w:val="00CB2CD4"/>
    <w:rsid w:val="00DA16E2"/>
    <w:rsid w:val="00E107D7"/>
    <w:rsid w:val="00E45D4E"/>
    <w:rsid w:val="00EB74D5"/>
    <w:rsid w:val="00F0438A"/>
    <w:rsid w:val="00F57FFE"/>
    <w:rsid w:val="00F67F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de-CH"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Pr>
      <w:rFonts w:ascii="Arial" w:hAnsi="Arial"/>
      <w:szCs w:val="24"/>
      <w:lang w:val="en-US"/>
    </w:rPr>
  </w:style>
  <w:style w:type="paragraph" w:styleId="Heading1">
    <w:name w:val="heading 1"/>
    <w:basedOn w:val="Normal"/>
    <w:next w:val="Normal"/>
    <w:autoRedefine/>
    <w:qFormat/>
    <w:pPr>
      <w:keepNext/>
      <w:numPr>
        <w:numId w:val="1"/>
      </w:numPr>
      <w:spacing w:line="480" w:lineRule="exact"/>
      <w:outlineLvl w:val="0"/>
    </w:pPr>
    <w:rPr>
      <w:rFonts w:cs="Arial"/>
      <w:b/>
      <w:bCs/>
      <w:kern w:val="32"/>
      <w:sz w:val="42"/>
      <w:szCs w:val="32"/>
    </w:rPr>
  </w:style>
  <w:style w:type="paragraph" w:styleId="Heading2">
    <w:name w:val="heading 2"/>
    <w:basedOn w:val="Heading1"/>
    <w:next w:val="Normal"/>
    <w:autoRedefine/>
    <w:qFormat/>
    <w:pPr>
      <w:numPr>
        <w:ilvl w:val="1"/>
      </w:numPr>
      <w:spacing w:line="380" w:lineRule="exact"/>
      <w:outlineLvl w:val="1"/>
    </w:pPr>
    <w:rPr>
      <w:bCs w:val="0"/>
      <w:iCs/>
      <w:sz w:val="32"/>
      <w:szCs w:val="28"/>
    </w:rPr>
  </w:style>
  <w:style w:type="paragraph" w:styleId="Heading3">
    <w:name w:val="heading 3"/>
    <w:basedOn w:val="Normal"/>
    <w:next w:val="Normal"/>
    <w:link w:val="Heading3Char"/>
    <w:autoRedefine/>
    <w:uiPriority w:val="9"/>
    <w:qFormat/>
    <w:pPr>
      <w:keepNext/>
      <w:numPr>
        <w:ilvl w:val="2"/>
        <w:numId w:val="1"/>
      </w:numPr>
      <w:spacing w:line="300" w:lineRule="exact"/>
      <w:outlineLvl w:val="2"/>
    </w:pPr>
    <w:rPr>
      <w:rFonts w:cs="Arial"/>
      <w:b/>
      <w:bCs/>
      <w:sz w:val="24"/>
    </w:rPr>
  </w:style>
  <w:style w:type="paragraph" w:styleId="Heading4">
    <w:name w:val="heading 4"/>
    <w:basedOn w:val="Normal"/>
    <w:next w:val="Normal"/>
    <w:autoRedefine/>
    <w:qFormat/>
    <w:pPr>
      <w:keepNext/>
      <w:numPr>
        <w:ilvl w:val="3"/>
        <w:numId w:val="1"/>
      </w:numPr>
      <w:tabs>
        <w:tab w:val="left" w:pos="720"/>
      </w:tabs>
      <w:outlineLvl w:val="3"/>
    </w:pPr>
    <w:rPr>
      <w:b/>
      <w:bCs/>
      <w:szCs w:val="28"/>
    </w:rPr>
  </w:style>
  <w:style w:type="paragraph" w:styleId="Heading5">
    <w:name w:val="heading 5"/>
    <w:basedOn w:val="Normal"/>
    <w:next w:val="Normal"/>
    <w:link w:val="Heading5Char"/>
    <w:uiPriority w:val="9"/>
    <w:semiHidden/>
    <w:unhideWhenUsed/>
    <w:qFormat/>
    <w:pPr>
      <w:keepNext/>
      <w:keepLines/>
      <w:spacing w:before="200"/>
      <w:ind w:left="709" w:hanging="709"/>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spacing w:before="200"/>
      <w:ind w:left="709" w:hanging="709"/>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ind w:left="709" w:hanging="709"/>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ind w:left="709" w:hanging="709"/>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pPr>
      <w:keepNext/>
      <w:keepLines/>
      <w:spacing w:before="200"/>
      <w:ind w:left="709" w:hanging="709"/>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 1"/>
    <w:basedOn w:val="Normal"/>
    <w:autoRedefine/>
    <w:qFormat/>
    <w:pPr>
      <w:spacing w:line="480" w:lineRule="exact"/>
    </w:pPr>
    <w:rPr>
      <w:b/>
      <w:sz w:val="42"/>
      <w:lang w:val="de-CH"/>
    </w:rPr>
  </w:style>
  <w:style w:type="paragraph" w:customStyle="1" w:styleId="Title2">
    <w:name w:val="Title 2"/>
    <w:basedOn w:val="Normal"/>
    <w:autoRedefine/>
    <w:qFormat/>
    <w:pPr>
      <w:spacing w:line="380" w:lineRule="exact"/>
    </w:pPr>
    <w:rPr>
      <w:b/>
      <w:sz w:val="32"/>
    </w:rPr>
  </w:style>
  <w:style w:type="paragraph" w:customStyle="1" w:styleId="Title3">
    <w:name w:val="Title 3"/>
    <w:basedOn w:val="Normal"/>
    <w:autoRedefine/>
    <w:qFormat/>
    <w:pPr>
      <w:spacing w:line="300" w:lineRule="exact"/>
    </w:pPr>
    <w:rPr>
      <w:b/>
      <w:sz w:val="24"/>
    </w:rPr>
  </w:style>
  <w:style w:type="paragraph" w:customStyle="1" w:styleId="Title4">
    <w:name w:val="Title 4"/>
    <w:basedOn w:val="Normal"/>
    <w:autoRedefine/>
    <w:qFormat/>
    <w:rPr>
      <w:b/>
    </w:rPr>
  </w:style>
  <w:style w:type="paragraph" w:styleId="TOC1">
    <w:name w:val="toc 1"/>
    <w:basedOn w:val="Normal"/>
    <w:next w:val="Normal"/>
    <w:pPr>
      <w:spacing w:before="120" w:after="120"/>
    </w:pPr>
  </w:style>
  <w:style w:type="paragraph" w:styleId="TOC2">
    <w:name w:val="toc 2"/>
    <w:basedOn w:val="Normal"/>
    <w:next w:val="Normal"/>
    <w:pPr>
      <w:spacing w:before="60"/>
      <w:ind w:left="238"/>
    </w:pPr>
  </w:style>
  <w:style w:type="paragraph" w:styleId="TOC3">
    <w:name w:val="toc 3"/>
    <w:basedOn w:val="Normal"/>
    <w:next w:val="Normal"/>
    <w:pPr>
      <w:ind w:left="480"/>
    </w:pPr>
  </w:style>
  <w:style w:type="paragraph" w:styleId="TOC4">
    <w:name w:val="toc 4"/>
    <w:basedOn w:val="Normal"/>
    <w:next w:val="Normal"/>
    <w:pPr>
      <w:ind w:left="720"/>
    </w:pPr>
  </w:style>
  <w:style w:type="paragraph" w:customStyle="1" w:styleId="Normal-klein">
    <w:name w:val="Normal-klein"/>
    <w:basedOn w:val="Normal"/>
    <w:autoRedefine/>
    <w:qFormat/>
    <w:pPr>
      <w:spacing w:line="200" w:lineRule="exact"/>
    </w:pPr>
    <w:rPr>
      <w:sz w:val="15"/>
    </w:rPr>
  </w:style>
  <w:style w:type="paragraph" w:styleId="Header">
    <w:name w:val="header"/>
    <w:basedOn w:val="Normal"/>
    <w:pPr>
      <w:tabs>
        <w:tab w:val="center" w:pos="4536"/>
        <w:tab w:val="right" w:pos="9072"/>
      </w:tabs>
    </w:pPr>
    <w:rPr>
      <w:sz w:val="18"/>
    </w:rPr>
  </w:style>
  <w:style w:type="paragraph" w:styleId="Footer">
    <w:name w:val="footer"/>
    <w:basedOn w:val="Normal"/>
    <w:pPr>
      <w:tabs>
        <w:tab w:val="center" w:pos="4536"/>
        <w:tab w:val="right" w:pos="9072"/>
      </w:tabs>
    </w:pPr>
    <w:rPr>
      <w:sz w:val="1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Cs w:val="24"/>
      <w:lang w:val="en-US"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Cs w:val="24"/>
      <w:lang w:val="en-US"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Cs w:val="24"/>
      <w:lang w:val="en-US"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lang w:val="en-US" w:eastAsia="en-US"/>
    </w:rPr>
  </w:style>
  <w:style w:type="paragraph" w:styleId="ListParagraph">
    <w:name w:val="List Paragraph"/>
    <w:basedOn w:val="Normal"/>
    <w:uiPriority w:val="34"/>
    <w:qFormat/>
    <w:pPr>
      <w:ind w:left="720"/>
      <w:contextualSpacing/>
    </w:pPr>
  </w:style>
  <w:style w:type="paragraph" w:customStyle="1" w:styleId="KopfDept">
    <w:name w:val="KopfDept"/>
    <w:basedOn w:val="Header"/>
    <w:next w:val="Normal"/>
    <w:pPr>
      <w:tabs>
        <w:tab w:val="clear" w:pos="4536"/>
        <w:tab w:val="clear" w:pos="9072"/>
      </w:tabs>
      <w:suppressAutoHyphens/>
      <w:spacing w:after="100" w:line="200" w:lineRule="exact"/>
      <w:contextualSpacing/>
    </w:pPr>
    <w:rPr>
      <w:rFonts w:eastAsia="Times New Roman"/>
      <w:noProof/>
      <w:sz w:val="15"/>
      <w:szCs w:val="20"/>
      <w:lang w:val="de-CH" w:eastAsia="de-CH"/>
    </w:rPr>
  </w:style>
  <w:style w:type="paragraph" w:customStyle="1" w:styleId="Logo">
    <w:name w:val="Logo"/>
    <w:rPr>
      <w:rFonts w:ascii="Arial" w:eastAsia="Times New Roman" w:hAnsi="Arial"/>
      <w:noProof/>
      <w:sz w:val="15"/>
      <w:lang w:eastAsia="de-CH"/>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character" w:customStyle="1" w:styleId="Heading3Char">
    <w:name w:val="Heading 3 Char"/>
    <w:basedOn w:val="DefaultParagraphFont"/>
    <w:link w:val="Heading3"/>
    <w:uiPriority w:val="9"/>
    <w:rPr>
      <w:rFonts w:ascii="Arial" w:hAnsi="Arial" w:cs="Arial"/>
      <w:b/>
      <w:bCs/>
      <w:sz w:val="24"/>
      <w:szCs w:val="24"/>
      <w:lang w:val="en-US"/>
    </w:rPr>
  </w:style>
  <w:style w:type="character" w:styleId="Hyperlink">
    <w:name w:val="Hyperlink"/>
    <w:basedOn w:val="DefaultParagraphFont"/>
    <w:uiPriority w:val="99"/>
    <w:unhideWhenUsed/>
    <w:rPr>
      <w:color w:val="0000EE"/>
      <w:u w:val="single"/>
    </w:rPr>
  </w:style>
  <w:style w:type="paragraph" w:customStyle="1" w:styleId="Aufzhlung">
    <w:name w:val="Aufzählung"/>
    <w:basedOn w:val="Normal"/>
    <w:pPr>
      <w:numPr>
        <w:numId w:val="11"/>
      </w:numPr>
    </w:p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sz w:val="24"/>
    </w:rPr>
  </w:style>
  <w:style w:type="paragraph" w:styleId="FootnoteText">
    <w:name w:val="footnote text"/>
    <w:basedOn w:val="Normal"/>
    <w:link w:val="FootnoteTextChar"/>
    <w:uiPriority w:val="99"/>
    <w:semiHidden/>
    <w:unhideWhenUsed/>
    <w:rPr>
      <w:szCs w:val="20"/>
    </w:rPr>
  </w:style>
  <w:style w:type="character" w:customStyle="1" w:styleId="FootnoteTextChar">
    <w:name w:val="Footnote Text Char"/>
    <w:basedOn w:val="DefaultParagraphFont"/>
    <w:link w:val="FootnoteText"/>
    <w:uiPriority w:val="99"/>
    <w:semiHidden/>
    <w:rPr>
      <w:rFonts w:ascii="Arial" w:hAnsi="Arial"/>
      <w:lang w:val="en-US"/>
    </w:rPr>
  </w:style>
  <w:style w:type="character" w:styleId="FootnoteReference">
    <w:name w:val="footnote reference"/>
    <w:basedOn w:val="DefaultParagraphFont"/>
    <w:uiPriority w:val="99"/>
    <w:semiHidden/>
    <w:unhideWhenUsed/>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Cs w:val="20"/>
    </w:rPr>
  </w:style>
  <w:style w:type="character" w:customStyle="1" w:styleId="CommentTextChar">
    <w:name w:val="Comment Text Char"/>
    <w:basedOn w:val="DefaultParagraphFont"/>
    <w:link w:val="CommentText"/>
    <w:uiPriority w:val="99"/>
    <w:semiHidden/>
    <w:rPr>
      <w:rFonts w:ascii="Arial" w:hAnsi="Arial"/>
      <w:lang w:val="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hAnsi="Arial"/>
      <w:b/>
      <w:bCs/>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de-CH"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Pr>
      <w:rFonts w:ascii="Arial" w:hAnsi="Arial"/>
      <w:szCs w:val="24"/>
      <w:lang w:val="en-US"/>
    </w:rPr>
  </w:style>
  <w:style w:type="paragraph" w:styleId="Heading1">
    <w:name w:val="heading 1"/>
    <w:basedOn w:val="Normal"/>
    <w:next w:val="Normal"/>
    <w:autoRedefine/>
    <w:qFormat/>
    <w:pPr>
      <w:keepNext/>
      <w:numPr>
        <w:numId w:val="1"/>
      </w:numPr>
      <w:spacing w:line="480" w:lineRule="exact"/>
      <w:outlineLvl w:val="0"/>
    </w:pPr>
    <w:rPr>
      <w:rFonts w:cs="Arial"/>
      <w:b/>
      <w:bCs/>
      <w:kern w:val="32"/>
      <w:sz w:val="42"/>
      <w:szCs w:val="32"/>
    </w:rPr>
  </w:style>
  <w:style w:type="paragraph" w:styleId="Heading2">
    <w:name w:val="heading 2"/>
    <w:basedOn w:val="Heading1"/>
    <w:next w:val="Normal"/>
    <w:autoRedefine/>
    <w:qFormat/>
    <w:pPr>
      <w:numPr>
        <w:ilvl w:val="1"/>
      </w:numPr>
      <w:spacing w:line="380" w:lineRule="exact"/>
      <w:outlineLvl w:val="1"/>
    </w:pPr>
    <w:rPr>
      <w:bCs w:val="0"/>
      <w:iCs/>
      <w:sz w:val="32"/>
      <w:szCs w:val="28"/>
    </w:rPr>
  </w:style>
  <w:style w:type="paragraph" w:styleId="Heading3">
    <w:name w:val="heading 3"/>
    <w:basedOn w:val="Normal"/>
    <w:next w:val="Normal"/>
    <w:link w:val="Heading3Char"/>
    <w:autoRedefine/>
    <w:uiPriority w:val="9"/>
    <w:qFormat/>
    <w:pPr>
      <w:keepNext/>
      <w:numPr>
        <w:ilvl w:val="2"/>
        <w:numId w:val="1"/>
      </w:numPr>
      <w:spacing w:line="300" w:lineRule="exact"/>
      <w:outlineLvl w:val="2"/>
    </w:pPr>
    <w:rPr>
      <w:rFonts w:cs="Arial"/>
      <w:b/>
      <w:bCs/>
      <w:sz w:val="24"/>
    </w:rPr>
  </w:style>
  <w:style w:type="paragraph" w:styleId="Heading4">
    <w:name w:val="heading 4"/>
    <w:basedOn w:val="Normal"/>
    <w:next w:val="Normal"/>
    <w:autoRedefine/>
    <w:qFormat/>
    <w:pPr>
      <w:keepNext/>
      <w:numPr>
        <w:ilvl w:val="3"/>
        <w:numId w:val="1"/>
      </w:numPr>
      <w:tabs>
        <w:tab w:val="left" w:pos="720"/>
      </w:tabs>
      <w:outlineLvl w:val="3"/>
    </w:pPr>
    <w:rPr>
      <w:b/>
      <w:bCs/>
      <w:szCs w:val="28"/>
    </w:rPr>
  </w:style>
  <w:style w:type="paragraph" w:styleId="Heading5">
    <w:name w:val="heading 5"/>
    <w:basedOn w:val="Normal"/>
    <w:next w:val="Normal"/>
    <w:link w:val="Heading5Char"/>
    <w:uiPriority w:val="9"/>
    <w:semiHidden/>
    <w:unhideWhenUsed/>
    <w:qFormat/>
    <w:pPr>
      <w:keepNext/>
      <w:keepLines/>
      <w:spacing w:before="200"/>
      <w:ind w:left="709" w:hanging="709"/>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spacing w:before="200"/>
      <w:ind w:left="709" w:hanging="709"/>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ind w:left="709" w:hanging="709"/>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ind w:left="709" w:hanging="709"/>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pPr>
      <w:keepNext/>
      <w:keepLines/>
      <w:spacing w:before="200"/>
      <w:ind w:left="709" w:hanging="709"/>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 1"/>
    <w:basedOn w:val="Normal"/>
    <w:autoRedefine/>
    <w:qFormat/>
    <w:pPr>
      <w:spacing w:line="480" w:lineRule="exact"/>
    </w:pPr>
    <w:rPr>
      <w:b/>
      <w:sz w:val="42"/>
      <w:lang w:val="de-CH"/>
    </w:rPr>
  </w:style>
  <w:style w:type="paragraph" w:customStyle="1" w:styleId="Title2">
    <w:name w:val="Title 2"/>
    <w:basedOn w:val="Normal"/>
    <w:autoRedefine/>
    <w:qFormat/>
    <w:pPr>
      <w:spacing w:line="380" w:lineRule="exact"/>
    </w:pPr>
    <w:rPr>
      <w:b/>
      <w:sz w:val="32"/>
    </w:rPr>
  </w:style>
  <w:style w:type="paragraph" w:customStyle="1" w:styleId="Title3">
    <w:name w:val="Title 3"/>
    <w:basedOn w:val="Normal"/>
    <w:autoRedefine/>
    <w:qFormat/>
    <w:pPr>
      <w:spacing w:line="300" w:lineRule="exact"/>
    </w:pPr>
    <w:rPr>
      <w:b/>
      <w:sz w:val="24"/>
    </w:rPr>
  </w:style>
  <w:style w:type="paragraph" w:customStyle="1" w:styleId="Title4">
    <w:name w:val="Title 4"/>
    <w:basedOn w:val="Normal"/>
    <w:autoRedefine/>
    <w:qFormat/>
    <w:rPr>
      <w:b/>
    </w:rPr>
  </w:style>
  <w:style w:type="paragraph" w:styleId="TOC1">
    <w:name w:val="toc 1"/>
    <w:basedOn w:val="Normal"/>
    <w:next w:val="Normal"/>
    <w:pPr>
      <w:spacing w:before="120" w:after="120"/>
    </w:pPr>
  </w:style>
  <w:style w:type="paragraph" w:styleId="TOC2">
    <w:name w:val="toc 2"/>
    <w:basedOn w:val="Normal"/>
    <w:next w:val="Normal"/>
    <w:pPr>
      <w:spacing w:before="60"/>
      <w:ind w:left="238"/>
    </w:pPr>
  </w:style>
  <w:style w:type="paragraph" w:styleId="TOC3">
    <w:name w:val="toc 3"/>
    <w:basedOn w:val="Normal"/>
    <w:next w:val="Normal"/>
    <w:pPr>
      <w:ind w:left="480"/>
    </w:pPr>
  </w:style>
  <w:style w:type="paragraph" w:styleId="TOC4">
    <w:name w:val="toc 4"/>
    <w:basedOn w:val="Normal"/>
    <w:next w:val="Normal"/>
    <w:pPr>
      <w:ind w:left="720"/>
    </w:pPr>
  </w:style>
  <w:style w:type="paragraph" w:customStyle="1" w:styleId="Normal-klein">
    <w:name w:val="Normal-klein"/>
    <w:basedOn w:val="Normal"/>
    <w:autoRedefine/>
    <w:qFormat/>
    <w:pPr>
      <w:spacing w:line="200" w:lineRule="exact"/>
    </w:pPr>
    <w:rPr>
      <w:sz w:val="15"/>
    </w:rPr>
  </w:style>
  <w:style w:type="paragraph" w:styleId="Header">
    <w:name w:val="header"/>
    <w:basedOn w:val="Normal"/>
    <w:pPr>
      <w:tabs>
        <w:tab w:val="center" w:pos="4536"/>
        <w:tab w:val="right" w:pos="9072"/>
      </w:tabs>
    </w:pPr>
    <w:rPr>
      <w:sz w:val="18"/>
    </w:rPr>
  </w:style>
  <w:style w:type="paragraph" w:styleId="Footer">
    <w:name w:val="footer"/>
    <w:basedOn w:val="Normal"/>
    <w:pPr>
      <w:tabs>
        <w:tab w:val="center" w:pos="4536"/>
        <w:tab w:val="right" w:pos="9072"/>
      </w:tabs>
    </w:pPr>
    <w:rPr>
      <w:sz w:val="1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Cs w:val="24"/>
      <w:lang w:val="en-US"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Cs w:val="24"/>
      <w:lang w:val="en-US"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Cs w:val="24"/>
      <w:lang w:val="en-US"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lang w:val="en-US" w:eastAsia="en-US"/>
    </w:rPr>
  </w:style>
  <w:style w:type="paragraph" w:styleId="ListParagraph">
    <w:name w:val="List Paragraph"/>
    <w:basedOn w:val="Normal"/>
    <w:uiPriority w:val="34"/>
    <w:qFormat/>
    <w:pPr>
      <w:ind w:left="720"/>
      <w:contextualSpacing/>
    </w:pPr>
  </w:style>
  <w:style w:type="paragraph" w:customStyle="1" w:styleId="KopfDept">
    <w:name w:val="KopfDept"/>
    <w:basedOn w:val="Header"/>
    <w:next w:val="Normal"/>
    <w:pPr>
      <w:tabs>
        <w:tab w:val="clear" w:pos="4536"/>
        <w:tab w:val="clear" w:pos="9072"/>
      </w:tabs>
      <w:suppressAutoHyphens/>
      <w:spacing w:after="100" w:line="200" w:lineRule="exact"/>
      <w:contextualSpacing/>
    </w:pPr>
    <w:rPr>
      <w:rFonts w:eastAsia="Times New Roman"/>
      <w:noProof/>
      <w:sz w:val="15"/>
      <w:szCs w:val="20"/>
      <w:lang w:val="de-CH" w:eastAsia="de-CH"/>
    </w:rPr>
  </w:style>
  <w:style w:type="paragraph" w:customStyle="1" w:styleId="Logo">
    <w:name w:val="Logo"/>
    <w:rPr>
      <w:rFonts w:ascii="Arial" w:eastAsia="Times New Roman" w:hAnsi="Arial"/>
      <w:noProof/>
      <w:sz w:val="15"/>
      <w:lang w:eastAsia="de-CH"/>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character" w:customStyle="1" w:styleId="Heading3Char">
    <w:name w:val="Heading 3 Char"/>
    <w:basedOn w:val="DefaultParagraphFont"/>
    <w:link w:val="Heading3"/>
    <w:uiPriority w:val="9"/>
    <w:rPr>
      <w:rFonts w:ascii="Arial" w:hAnsi="Arial" w:cs="Arial"/>
      <w:b/>
      <w:bCs/>
      <w:sz w:val="24"/>
      <w:szCs w:val="24"/>
      <w:lang w:val="en-US"/>
    </w:rPr>
  </w:style>
  <w:style w:type="character" w:styleId="Hyperlink">
    <w:name w:val="Hyperlink"/>
    <w:basedOn w:val="DefaultParagraphFont"/>
    <w:uiPriority w:val="99"/>
    <w:unhideWhenUsed/>
    <w:rPr>
      <w:color w:val="0000EE"/>
      <w:u w:val="single"/>
    </w:rPr>
  </w:style>
  <w:style w:type="paragraph" w:customStyle="1" w:styleId="Aufzhlung">
    <w:name w:val="Aufzählung"/>
    <w:basedOn w:val="Normal"/>
    <w:pPr>
      <w:numPr>
        <w:numId w:val="11"/>
      </w:numPr>
    </w:p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sz w:val="24"/>
    </w:rPr>
  </w:style>
  <w:style w:type="paragraph" w:styleId="FootnoteText">
    <w:name w:val="footnote text"/>
    <w:basedOn w:val="Normal"/>
    <w:link w:val="FootnoteTextChar"/>
    <w:uiPriority w:val="99"/>
    <w:semiHidden/>
    <w:unhideWhenUsed/>
    <w:rPr>
      <w:szCs w:val="20"/>
    </w:rPr>
  </w:style>
  <w:style w:type="character" w:customStyle="1" w:styleId="FootnoteTextChar">
    <w:name w:val="Footnote Text Char"/>
    <w:basedOn w:val="DefaultParagraphFont"/>
    <w:link w:val="FootnoteText"/>
    <w:uiPriority w:val="99"/>
    <w:semiHidden/>
    <w:rPr>
      <w:rFonts w:ascii="Arial" w:hAnsi="Arial"/>
      <w:lang w:val="en-US"/>
    </w:rPr>
  </w:style>
  <w:style w:type="character" w:styleId="FootnoteReference">
    <w:name w:val="footnote reference"/>
    <w:basedOn w:val="DefaultParagraphFont"/>
    <w:uiPriority w:val="99"/>
    <w:semiHidden/>
    <w:unhideWhenUsed/>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Cs w:val="20"/>
    </w:rPr>
  </w:style>
  <w:style w:type="character" w:customStyle="1" w:styleId="CommentTextChar">
    <w:name w:val="Comment Text Char"/>
    <w:basedOn w:val="DefaultParagraphFont"/>
    <w:link w:val="CommentText"/>
    <w:uiPriority w:val="99"/>
    <w:semiHidden/>
    <w:rPr>
      <w:rFonts w:ascii="Arial" w:hAnsi="Arial"/>
      <w:lang w:val="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hAnsi="Arial"/>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243142">
      <w:bodyDiv w:val="1"/>
      <w:marLeft w:val="0"/>
      <w:marRight w:val="0"/>
      <w:marTop w:val="0"/>
      <w:marBottom w:val="0"/>
      <w:divBdr>
        <w:top w:val="none" w:sz="0" w:space="0" w:color="auto"/>
        <w:left w:val="none" w:sz="0" w:space="0" w:color="auto"/>
        <w:bottom w:val="none" w:sz="0" w:space="0" w:color="auto"/>
        <w:right w:val="none" w:sz="0" w:space="0" w:color="auto"/>
      </w:divBdr>
      <w:divsChild>
        <w:div w:id="385105771">
          <w:marLeft w:val="0"/>
          <w:marRight w:val="0"/>
          <w:marTop w:val="0"/>
          <w:marBottom w:val="0"/>
          <w:divBdr>
            <w:top w:val="none" w:sz="0" w:space="0" w:color="auto"/>
            <w:left w:val="none" w:sz="0" w:space="0" w:color="auto"/>
            <w:bottom w:val="none" w:sz="0" w:space="0" w:color="auto"/>
            <w:right w:val="none" w:sz="0" w:space="0" w:color="auto"/>
          </w:divBdr>
          <w:divsChild>
            <w:div w:id="302393017">
              <w:marLeft w:val="0"/>
              <w:marRight w:val="0"/>
              <w:marTop w:val="0"/>
              <w:marBottom w:val="0"/>
              <w:divBdr>
                <w:top w:val="none" w:sz="0" w:space="0" w:color="auto"/>
                <w:left w:val="none" w:sz="0" w:space="0" w:color="auto"/>
                <w:bottom w:val="none" w:sz="0" w:space="0" w:color="auto"/>
                <w:right w:val="none" w:sz="0" w:space="0" w:color="auto"/>
              </w:divBdr>
              <w:divsChild>
                <w:div w:id="1238520588">
                  <w:marLeft w:val="-225"/>
                  <w:marRight w:val="-225"/>
                  <w:marTop w:val="0"/>
                  <w:marBottom w:val="0"/>
                  <w:divBdr>
                    <w:top w:val="none" w:sz="0" w:space="0" w:color="auto"/>
                    <w:left w:val="none" w:sz="0" w:space="0" w:color="auto"/>
                    <w:bottom w:val="none" w:sz="0" w:space="0" w:color="auto"/>
                    <w:right w:val="none" w:sz="0" w:space="0" w:color="auto"/>
                  </w:divBdr>
                  <w:divsChild>
                    <w:div w:id="173766513">
                      <w:marLeft w:val="0"/>
                      <w:marRight w:val="0"/>
                      <w:marTop w:val="0"/>
                      <w:marBottom w:val="0"/>
                      <w:divBdr>
                        <w:top w:val="none" w:sz="0" w:space="0" w:color="auto"/>
                        <w:left w:val="none" w:sz="0" w:space="0" w:color="auto"/>
                        <w:bottom w:val="none" w:sz="0" w:space="0" w:color="auto"/>
                        <w:right w:val="none" w:sz="0" w:space="0" w:color="auto"/>
                      </w:divBdr>
                      <w:divsChild>
                        <w:div w:id="1626042820">
                          <w:marLeft w:val="-225"/>
                          <w:marRight w:val="-225"/>
                          <w:marTop w:val="0"/>
                          <w:marBottom w:val="0"/>
                          <w:divBdr>
                            <w:top w:val="none" w:sz="0" w:space="0" w:color="auto"/>
                            <w:left w:val="none" w:sz="0" w:space="0" w:color="auto"/>
                            <w:bottom w:val="none" w:sz="0" w:space="0" w:color="auto"/>
                            <w:right w:val="none" w:sz="0" w:space="0" w:color="auto"/>
                          </w:divBdr>
                          <w:divsChild>
                            <w:div w:id="1024479430">
                              <w:marLeft w:val="0"/>
                              <w:marRight w:val="0"/>
                              <w:marTop w:val="0"/>
                              <w:marBottom w:val="0"/>
                              <w:divBdr>
                                <w:top w:val="none" w:sz="0" w:space="0" w:color="auto"/>
                                <w:left w:val="none" w:sz="0" w:space="0" w:color="auto"/>
                                <w:bottom w:val="none" w:sz="0" w:space="0" w:color="auto"/>
                                <w:right w:val="none" w:sz="0" w:space="0" w:color="auto"/>
                              </w:divBdr>
                              <w:divsChild>
                                <w:div w:id="99064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721993">
      <w:bodyDiv w:val="1"/>
      <w:marLeft w:val="0"/>
      <w:marRight w:val="0"/>
      <w:marTop w:val="0"/>
      <w:marBottom w:val="0"/>
      <w:divBdr>
        <w:top w:val="none" w:sz="0" w:space="0" w:color="auto"/>
        <w:left w:val="none" w:sz="0" w:space="0" w:color="auto"/>
        <w:bottom w:val="none" w:sz="0" w:space="0" w:color="auto"/>
        <w:right w:val="none" w:sz="0" w:space="0" w:color="auto"/>
      </w:divBdr>
      <w:divsChild>
        <w:div w:id="1334644347">
          <w:marLeft w:val="0"/>
          <w:marRight w:val="0"/>
          <w:marTop w:val="0"/>
          <w:marBottom w:val="0"/>
          <w:divBdr>
            <w:top w:val="none" w:sz="0" w:space="0" w:color="auto"/>
            <w:left w:val="none" w:sz="0" w:space="0" w:color="auto"/>
            <w:bottom w:val="none" w:sz="0" w:space="0" w:color="auto"/>
            <w:right w:val="none" w:sz="0" w:space="0" w:color="auto"/>
          </w:divBdr>
          <w:divsChild>
            <w:div w:id="395055658">
              <w:marLeft w:val="0"/>
              <w:marRight w:val="0"/>
              <w:marTop w:val="0"/>
              <w:marBottom w:val="0"/>
              <w:divBdr>
                <w:top w:val="none" w:sz="0" w:space="0" w:color="auto"/>
                <w:left w:val="none" w:sz="0" w:space="0" w:color="auto"/>
                <w:bottom w:val="none" w:sz="0" w:space="0" w:color="auto"/>
                <w:right w:val="none" w:sz="0" w:space="0" w:color="auto"/>
              </w:divBdr>
              <w:divsChild>
                <w:div w:id="1822959185">
                  <w:marLeft w:val="0"/>
                  <w:marRight w:val="0"/>
                  <w:marTop w:val="0"/>
                  <w:marBottom w:val="0"/>
                  <w:divBdr>
                    <w:top w:val="none" w:sz="0" w:space="0" w:color="auto"/>
                    <w:left w:val="none" w:sz="0" w:space="0" w:color="auto"/>
                    <w:bottom w:val="none" w:sz="0" w:space="0" w:color="auto"/>
                    <w:right w:val="none" w:sz="0" w:space="0" w:color="auto"/>
                  </w:divBdr>
                  <w:divsChild>
                    <w:div w:id="1694576893">
                      <w:marLeft w:val="-384"/>
                      <w:marRight w:val="0"/>
                      <w:marTop w:val="0"/>
                      <w:marBottom w:val="0"/>
                      <w:divBdr>
                        <w:top w:val="none" w:sz="0" w:space="0" w:color="auto"/>
                        <w:left w:val="none" w:sz="0" w:space="0" w:color="auto"/>
                        <w:bottom w:val="none" w:sz="0" w:space="0" w:color="auto"/>
                        <w:right w:val="none" w:sz="0" w:space="0" w:color="auto"/>
                      </w:divBdr>
                      <w:divsChild>
                        <w:div w:id="1790582929">
                          <w:marLeft w:val="0"/>
                          <w:marRight w:val="0"/>
                          <w:marTop w:val="0"/>
                          <w:marBottom w:val="0"/>
                          <w:divBdr>
                            <w:top w:val="none" w:sz="0" w:space="0" w:color="auto"/>
                            <w:left w:val="none" w:sz="0" w:space="0" w:color="auto"/>
                            <w:bottom w:val="none" w:sz="0" w:space="0" w:color="auto"/>
                            <w:right w:val="none" w:sz="0" w:space="0" w:color="auto"/>
                          </w:divBdr>
                          <w:divsChild>
                            <w:div w:id="681591672">
                              <w:marLeft w:val="0"/>
                              <w:marRight w:val="0"/>
                              <w:marTop w:val="0"/>
                              <w:marBottom w:val="0"/>
                              <w:divBdr>
                                <w:top w:val="none" w:sz="0" w:space="0" w:color="auto"/>
                                <w:left w:val="none" w:sz="0" w:space="0" w:color="auto"/>
                                <w:bottom w:val="none" w:sz="0" w:space="0" w:color="auto"/>
                                <w:right w:val="none" w:sz="0" w:space="0" w:color="auto"/>
                              </w:divBdr>
                              <w:divsChild>
                                <w:div w:id="13412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285029">
      <w:bodyDiv w:val="1"/>
      <w:marLeft w:val="0"/>
      <w:marRight w:val="0"/>
      <w:marTop w:val="0"/>
      <w:marBottom w:val="0"/>
      <w:divBdr>
        <w:top w:val="none" w:sz="0" w:space="0" w:color="auto"/>
        <w:left w:val="none" w:sz="0" w:space="0" w:color="auto"/>
        <w:bottom w:val="none" w:sz="0" w:space="0" w:color="auto"/>
        <w:right w:val="none" w:sz="0" w:space="0" w:color="auto"/>
      </w:divBdr>
    </w:div>
    <w:div w:id="856623418">
      <w:bodyDiv w:val="1"/>
      <w:marLeft w:val="0"/>
      <w:marRight w:val="0"/>
      <w:marTop w:val="0"/>
      <w:marBottom w:val="0"/>
      <w:divBdr>
        <w:top w:val="none" w:sz="0" w:space="0" w:color="auto"/>
        <w:left w:val="none" w:sz="0" w:space="0" w:color="auto"/>
        <w:bottom w:val="none" w:sz="0" w:space="0" w:color="auto"/>
        <w:right w:val="none" w:sz="0" w:space="0" w:color="auto"/>
      </w:divBdr>
      <w:divsChild>
        <w:div w:id="1669165776">
          <w:marLeft w:val="0"/>
          <w:marRight w:val="0"/>
          <w:marTop w:val="0"/>
          <w:marBottom w:val="0"/>
          <w:divBdr>
            <w:top w:val="none" w:sz="0" w:space="0" w:color="auto"/>
            <w:left w:val="none" w:sz="0" w:space="0" w:color="auto"/>
            <w:bottom w:val="none" w:sz="0" w:space="0" w:color="auto"/>
            <w:right w:val="none" w:sz="0" w:space="0" w:color="auto"/>
          </w:divBdr>
          <w:divsChild>
            <w:div w:id="770928834">
              <w:marLeft w:val="0"/>
              <w:marRight w:val="0"/>
              <w:marTop w:val="0"/>
              <w:marBottom w:val="0"/>
              <w:divBdr>
                <w:top w:val="none" w:sz="0" w:space="0" w:color="auto"/>
                <w:left w:val="none" w:sz="0" w:space="0" w:color="auto"/>
                <w:bottom w:val="none" w:sz="0" w:space="0" w:color="auto"/>
                <w:right w:val="none" w:sz="0" w:space="0" w:color="auto"/>
              </w:divBdr>
              <w:divsChild>
                <w:div w:id="504444819">
                  <w:marLeft w:val="0"/>
                  <w:marRight w:val="0"/>
                  <w:marTop w:val="0"/>
                  <w:marBottom w:val="0"/>
                  <w:divBdr>
                    <w:top w:val="none" w:sz="0" w:space="0" w:color="auto"/>
                    <w:left w:val="none" w:sz="0" w:space="0" w:color="auto"/>
                    <w:bottom w:val="none" w:sz="0" w:space="0" w:color="auto"/>
                    <w:right w:val="none" w:sz="0" w:space="0" w:color="auto"/>
                  </w:divBdr>
                  <w:divsChild>
                    <w:div w:id="1429161593">
                      <w:marLeft w:val="-384"/>
                      <w:marRight w:val="0"/>
                      <w:marTop w:val="0"/>
                      <w:marBottom w:val="0"/>
                      <w:divBdr>
                        <w:top w:val="none" w:sz="0" w:space="0" w:color="auto"/>
                        <w:left w:val="none" w:sz="0" w:space="0" w:color="auto"/>
                        <w:bottom w:val="none" w:sz="0" w:space="0" w:color="auto"/>
                        <w:right w:val="none" w:sz="0" w:space="0" w:color="auto"/>
                      </w:divBdr>
                      <w:divsChild>
                        <w:div w:id="1179343757">
                          <w:marLeft w:val="0"/>
                          <w:marRight w:val="0"/>
                          <w:marTop w:val="0"/>
                          <w:marBottom w:val="0"/>
                          <w:divBdr>
                            <w:top w:val="none" w:sz="0" w:space="0" w:color="auto"/>
                            <w:left w:val="none" w:sz="0" w:space="0" w:color="auto"/>
                            <w:bottom w:val="none" w:sz="0" w:space="0" w:color="auto"/>
                            <w:right w:val="none" w:sz="0" w:space="0" w:color="auto"/>
                          </w:divBdr>
                          <w:divsChild>
                            <w:div w:id="1926569751">
                              <w:marLeft w:val="0"/>
                              <w:marRight w:val="0"/>
                              <w:marTop w:val="0"/>
                              <w:marBottom w:val="0"/>
                              <w:divBdr>
                                <w:top w:val="none" w:sz="0" w:space="0" w:color="auto"/>
                                <w:left w:val="none" w:sz="0" w:space="0" w:color="auto"/>
                                <w:bottom w:val="none" w:sz="0" w:space="0" w:color="auto"/>
                                <w:right w:val="none" w:sz="0" w:space="0" w:color="auto"/>
                              </w:divBdr>
                              <w:divsChild>
                                <w:div w:id="47883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10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s://www.bj.admin.ch/bj/fr/home/wirtschaft/gesetzgebung/whistleblowing.html" TargetMode="External"/><Relationship Id="rId23" Type="http://schemas.openxmlformats.org/officeDocument/2006/relationships/customXml" Target="../customXml/item3.xm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CD7EC15-630E-4DD2-83A4-542B1816B1BF}"/>
</file>

<file path=customXml/itemProps2.xml><?xml version="1.0" encoding="utf-8"?>
<ds:datastoreItem xmlns:ds="http://schemas.openxmlformats.org/officeDocument/2006/customXml" ds:itemID="{0BF2AB1D-8E74-45D5-93D0-462EF547FDE3}"/>
</file>

<file path=customXml/itemProps3.xml><?xml version="1.0" encoding="utf-8"?>
<ds:datastoreItem xmlns:ds="http://schemas.openxmlformats.org/officeDocument/2006/customXml" ds:itemID="{726FA231-7490-4091-A002-AC438473C4C2}"/>
</file>

<file path=customXml/itemProps4.xml><?xml version="1.0" encoding="utf-8"?>
<ds:datastoreItem xmlns:ds="http://schemas.openxmlformats.org/officeDocument/2006/customXml" ds:itemID="{08E394F8-8150-4362-A572-6D2045CEA1C6}"/>
</file>

<file path=docProps/app.xml><?xml version="1.0" encoding="utf-8"?>
<Properties xmlns="http://schemas.openxmlformats.org/officeDocument/2006/extended-properties" xmlns:vt="http://schemas.openxmlformats.org/officeDocument/2006/docPropsVTypes">
  <Template>Normal</Template>
  <TotalTime>0</TotalTime>
  <Pages>3</Pages>
  <Words>1261</Words>
  <Characters>7277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EDA</Company>
  <LinksUpToDate>false</LinksUpToDate>
  <CharactersWithSpaces>8521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Althaus Monika EDA ALI</dc:creator>
  <cp:lastModifiedBy>Marcelo Daher</cp:lastModifiedBy>
  <cp:revision>2</cp:revision>
  <dcterms:created xsi:type="dcterms:W3CDTF">2015-07-07T13:23:00Z</dcterms:created>
  <dcterms:modified xsi:type="dcterms:W3CDTF">2015-07-07T13:23:00Z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3166000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