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F8" w:rsidRPr="00E571F8" w:rsidRDefault="00E571F8" w:rsidP="00E571F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571F8">
        <w:rPr>
          <w:b/>
          <w:sz w:val="24"/>
          <w:szCs w:val="24"/>
        </w:rPr>
        <w:t>RELATOR ESPECIAL SOBRE SOBRE LA PROMOCIÓN Y PROTECCIÓN DEL DERECHO A LA LIBERTAD DE OPINIÓN Y DE EXPRESIÓN</w:t>
      </w:r>
    </w:p>
    <w:p w:rsidR="00E571F8" w:rsidRPr="00E571F8" w:rsidRDefault="00E571F8" w:rsidP="00E571F8">
      <w:pPr>
        <w:jc w:val="center"/>
        <w:rPr>
          <w:b/>
          <w:sz w:val="24"/>
          <w:szCs w:val="24"/>
        </w:rPr>
      </w:pPr>
      <w:r w:rsidRPr="00E571F8">
        <w:rPr>
          <w:b/>
          <w:sz w:val="24"/>
          <w:szCs w:val="24"/>
        </w:rPr>
        <w:t>“PRESENTACIÓN PARA ESTUDIO DE VIGILANCIA”</w:t>
      </w:r>
    </w:p>
    <w:p w:rsidR="00E571F8" w:rsidRDefault="00E571F8" w:rsidP="00827CE1">
      <w:pPr>
        <w:shd w:val="clear" w:color="auto" w:fill="FFFFFF"/>
        <w:ind w:left="36"/>
        <w:jc w:val="both"/>
        <w:rPr>
          <w:b/>
          <w:color w:val="000000"/>
          <w:spacing w:val="-8"/>
          <w:sz w:val="24"/>
          <w:szCs w:val="24"/>
          <w:lang w:val="es-ES_tradnl"/>
        </w:rPr>
      </w:pPr>
    </w:p>
    <w:p w:rsidR="00827CE1" w:rsidRPr="005D2519" w:rsidRDefault="00827CE1" w:rsidP="00827CE1">
      <w:pPr>
        <w:shd w:val="clear" w:color="auto" w:fill="FFFFFF"/>
        <w:ind w:left="36"/>
        <w:jc w:val="both"/>
        <w:rPr>
          <w:b/>
          <w:color w:val="000000"/>
          <w:spacing w:val="-8"/>
          <w:sz w:val="24"/>
          <w:szCs w:val="24"/>
          <w:lang w:val="es-ES_tradnl"/>
        </w:rPr>
      </w:pPr>
      <w:r w:rsidRPr="005D2519">
        <w:rPr>
          <w:b/>
          <w:color w:val="000000"/>
          <w:spacing w:val="-8"/>
          <w:sz w:val="24"/>
          <w:szCs w:val="24"/>
          <w:lang w:val="es-ES_tradnl"/>
        </w:rPr>
        <w:t>MARCO NORMATIVO APLICABLE</w:t>
      </w:r>
    </w:p>
    <w:p w:rsidR="00827CE1" w:rsidRPr="005D2519" w:rsidRDefault="00827CE1" w:rsidP="00827CE1">
      <w:pPr>
        <w:shd w:val="clear" w:color="auto" w:fill="FFFFFF"/>
        <w:ind w:left="36"/>
        <w:jc w:val="both"/>
        <w:rPr>
          <w:sz w:val="24"/>
          <w:szCs w:val="24"/>
        </w:rPr>
      </w:pPr>
    </w:p>
    <w:p w:rsidR="00827CE1" w:rsidRPr="005D2519" w:rsidRDefault="00827CE1" w:rsidP="00827CE1">
      <w:pPr>
        <w:shd w:val="clear" w:color="auto" w:fill="FFFFFF"/>
        <w:ind w:left="22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5D2519">
        <w:rPr>
          <w:color w:val="000000"/>
          <w:sz w:val="24"/>
          <w:szCs w:val="24"/>
          <w:lang w:val="es-ES_tradnl"/>
        </w:rPr>
        <w:t>El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 xml:space="preserve"> Artículo 19 de la Declaración Universal de Derechos Humanos determina que todo individuo tiene derecho a la libertad de opinión y de expresión; este derecho incluye el de no ser molestado a causa de sus opiniones, el de investigar y recibir informaciones y opiniones, y el de difundirlas, sin limitación de fronteras, por cualquier medio de expresión.</w:t>
      </w:r>
    </w:p>
    <w:p w:rsidR="00827CE1" w:rsidRPr="005D2519" w:rsidRDefault="00827CE1" w:rsidP="00827CE1">
      <w:pPr>
        <w:shd w:val="clear" w:color="auto" w:fill="FFFFFF"/>
        <w:ind w:left="22"/>
        <w:jc w:val="both"/>
        <w:rPr>
          <w:sz w:val="24"/>
          <w:szCs w:val="24"/>
        </w:rPr>
      </w:pPr>
    </w:p>
    <w:p w:rsidR="00827CE1" w:rsidRPr="005D2519" w:rsidRDefault="00827CE1" w:rsidP="00827CE1">
      <w:pPr>
        <w:shd w:val="clear" w:color="auto" w:fill="FFFFFF"/>
        <w:ind w:left="7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5D2519">
        <w:rPr>
          <w:color w:val="000000"/>
          <w:sz w:val="24"/>
          <w:szCs w:val="24"/>
          <w:lang w:val="es-ES_tradnl"/>
        </w:rPr>
        <w:t>El Art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>ículo 19 del Pacto Internacional de Derechos Civiles y Políticos, en su inciso 1) señala que nadie podrá ser molestado a causa de sus opiniones; 2) Toda persona tiene derecho a la libertad de expresión; este derecho comprende la libertad de buscar, recibir y difundir informaciones e ideas de toda índole, sin consideración de fronteras, ya sea oralmente, por escrito o en forma impresa o artística, o por cualquier otro procedimiento de su elección; 3) El ejercicio del derecho previsto en el párrafo 2 de este artículo entraña deberes y responsabilidades especiales. Por consiguiente, puede estar sujeto a</w:t>
      </w:r>
      <w:r w:rsidR="00494FDE">
        <w:rPr>
          <w:rFonts w:eastAsia="Times New Roman"/>
          <w:color w:val="000000"/>
          <w:sz w:val="24"/>
          <w:szCs w:val="24"/>
          <w:lang w:val="es-ES_tradnl"/>
        </w:rPr>
        <w:t xml:space="preserve"> 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 xml:space="preserve">ciertas restricciones, que deberán, sin embargo, estar expresamente fijadas por la ley y ser necesarias para: a) Asegurar el </w:t>
      </w:r>
      <w:r w:rsidRPr="005D2519">
        <w:rPr>
          <w:rFonts w:eastAsia="Times New Roman"/>
          <w:i/>
          <w:iCs/>
          <w:color w:val="000000"/>
          <w:sz w:val="24"/>
          <w:szCs w:val="24"/>
          <w:lang w:val="es-ES_tradnl"/>
        </w:rPr>
        <w:t xml:space="preserve">respeto 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 xml:space="preserve">a los derechos </w:t>
      </w:r>
      <w:r w:rsidRPr="005D2519">
        <w:rPr>
          <w:rFonts w:eastAsia="Times New Roman"/>
          <w:i/>
          <w:iCs/>
          <w:color w:val="000000"/>
          <w:sz w:val="24"/>
          <w:szCs w:val="24"/>
          <w:lang w:val="es-ES_tradnl"/>
        </w:rPr>
        <w:t xml:space="preserve">o a \a 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>reputación de los demás; b) La protección de la seguridad nacional, el orden público o la salud o la moral públicas.</w:t>
      </w:r>
    </w:p>
    <w:p w:rsidR="00827CE1" w:rsidRPr="005D2519" w:rsidRDefault="00827CE1" w:rsidP="00827CE1">
      <w:pPr>
        <w:shd w:val="clear" w:color="auto" w:fill="FFFFFF"/>
        <w:ind w:left="7"/>
        <w:jc w:val="both"/>
        <w:rPr>
          <w:sz w:val="24"/>
          <w:szCs w:val="24"/>
        </w:rPr>
      </w:pPr>
    </w:p>
    <w:p w:rsidR="00827CE1" w:rsidRPr="005D2519" w:rsidRDefault="00827CE1" w:rsidP="00827CE1">
      <w:pPr>
        <w:shd w:val="clear" w:color="auto" w:fill="FFFFFF"/>
        <w:ind w:left="14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5D2519">
        <w:rPr>
          <w:color w:val="000000"/>
          <w:sz w:val="24"/>
          <w:szCs w:val="24"/>
          <w:lang w:val="es-ES_tradnl"/>
        </w:rPr>
        <w:t>La Constituci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>ón Política del Estado en su Artículo 13 parágrafo IV, señala que los tratados y convenios internacionales ratificados por la Asamblea Legislativa Plurinacional, que reconocen los derechos humanos y que prohíben su limitación en los Estados de Excepción prevalecen en el orden interno. Los derechos y deberes consagrados en esta Constitución se interpretarán de conformidad con los Tratados internacionales de derechos humanos ratificados por Bolivia.</w:t>
      </w:r>
    </w:p>
    <w:p w:rsidR="00827CE1" w:rsidRPr="005D2519" w:rsidRDefault="00827CE1" w:rsidP="00827CE1">
      <w:pPr>
        <w:shd w:val="clear" w:color="auto" w:fill="FFFFFF"/>
        <w:ind w:left="14"/>
        <w:jc w:val="both"/>
        <w:rPr>
          <w:sz w:val="24"/>
          <w:szCs w:val="24"/>
        </w:rPr>
      </w:pPr>
    </w:p>
    <w:p w:rsidR="00827CE1" w:rsidRPr="005D2519" w:rsidRDefault="00827CE1" w:rsidP="00827CE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5D2519">
        <w:rPr>
          <w:color w:val="000000"/>
          <w:sz w:val="24"/>
          <w:szCs w:val="24"/>
          <w:lang w:val="es-ES_tradnl"/>
        </w:rPr>
        <w:t>A su vez la Constituci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 xml:space="preserve">ón Política del Estado en su Artículo 21 establece que las bolivianas y los bolivianos tienen los siguientes derechos: 2. A la privacidad, intimidad, honra, honor, propia imagen y dignidad; 5. A expresar y difundir libremente pensamientos u opiniones por cualquier medio de comunicación, de forma oral, escrita o visual, Individual o colectiva; 6. A acceder a la información, interpretarla, analizaría y comunicarla libremente de manera individua! o colectiva. EÍ Artículo 22 señala que la dignidad y la libertad de </w:t>
      </w:r>
      <w:r w:rsidR="00494FDE">
        <w:rPr>
          <w:rFonts w:eastAsia="Times New Roman"/>
          <w:color w:val="000000"/>
          <w:sz w:val="24"/>
          <w:szCs w:val="24"/>
          <w:lang w:val="es-ES_tradnl"/>
        </w:rPr>
        <w:t>l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>a persona son inviolables. Respetarlas y protegerlas es deber primordial del Estado.</w:t>
      </w:r>
    </w:p>
    <w:p w:rsidR="00827CE1" w:rsidRPr="005D2519" w:rsidRDefault="00827CE1" w:rsidP="00827CE1">
      <w:pPr>
        <w:shd w:val="clear" w:color="auto" w:fill="FFFFFF"/>
        <w:jc w:val="both"/>
        <w:rPr>
          <w:sz w:val="24"/>
          <w:szCs w:val="24"/>
        </w:rPr>
      </w:pPr>
    </w:p>
    <w:p w:rsidR="00827CE1" w:rsidRPr="005D2519" w:rsidRDefault="00827CE1" w:rsidP="00827CE1">
      <w:pPr>
        <w:shd w:val="clear" w:color="auto" w:fill="FFFFFF"/>
        <w:ind w:left="7" w:right="14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5D2519">
        <w:rPr>
          <w:color w:val="000000"/>
          <w:sz w:val="24"/>
          <w:szCs w:val="24"/>
          <w:lang w:val="es-ES_tradnl"/>
        </w:rPr>
        <w:t>El C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 xml:space="preserve">ódigo Civil Boliviano, en su Artículo 15 en su Parágrafo l dispone que cuando se comercia, publica, exhibe o expone la imagen de una persona lesionando su reputación o decoro, la parte interesada y, en su defecto, su cónyuge, descendientes o ascendientes pueden pedir, salvo los casos justificados por la ley, que el juez haga cesar el hecho lesivo. Parágrafo </w:t>
      </w:r>
      <w:r w:rsidRPr="005D2519">
        <w:rPr>
          <w:rFonts w:eastAsia="Times New Roman"/>
          <w:color w:val="000000"/>
          <w:sz w:val="24"/>
          <w:szCs w:val="24"/>
        </w:rPr>
        <w:t xml:space="preserve">II 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 xml:space="preserve">Se comprende en la regla anterior la reproducción de la voz de una persona. </w:t>
      </w:r>
    </w:p>
    <w:p w:rsidR="00827CE1" w:rsidRPr="005D2519" w:rsidRDefault="00827CE1" w:rsidP="00827CE1">
      <w:pPr>
        <w:shd w:val="clear" w:color="auto" w:fill="FFFFFF"/>
        <w:ind w:left="7" w:right="14"/>
        <w:jc w:val="both"/>
        <w:rPr>
          <w:rFonts w:eastAsia="Times New Roman"/>
          <w:color w:val="000000"/>
          <w:sz w:val="24"/>
          <w:szCs w:val="24"/>
          <w:lang w:val="es-ES_tradnl"/>
        </w:rPr>
      </w:pPr>
    </w:p>
    <w:p w:rsidR="00827CE1" w:rsidRPr="005D2519" w:rsidRDefault="00827CE1" w:rsidP="00827CE1">
      <w:pPr>
        <w:shd w:val="clear" w:color="auto" w:fill="FFFFFF"/>
        <w:ind w:left="7" w:right="14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5D2519">
        <w:rPr>
          <w:color w:val="000000"/>
          <w:sz w:val="24"/>
          <w:szCs w:val="24"/>
          <w:lang w:val="es-ES_tradnl"/>
        </w:rPr>
        <w:t>El Art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 xml:space="preserve">ículo 17 del referido Código señala que toda persona tiene derecho a que sea respetado su  buen nombre.   La  protección  al  honor se  efectúa  por  este  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lastRenderedPageBreak/>
        <w:t xml:space="preserve">Código y demás  leyes </w:t>
      </w:r>
      <w:r w:rsidRPr="005D2519">
        <w:rPr>
          <w:color w:val="000000"/>
          <w:spacing w:val="-1"/>
          <w:sz w:val="24"/>
          <w:szCs w:val="24"/>
          <w:lang w:val="es-ES_tradnl"/>
        </w:rPr>
        <w:t>pertinentes. Asimismo el Art</w:t>
      </w:r>
      <w:r w:rsidRPr="005D2519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ículo 18 determina que nadie puede perturbar ni divulgar la vida </w:t>
      </w:r>
      <w:r w:rsidRPr="005D2519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íntima de una persona. Se tendrá en cuenta la condición de ella. Se salva los casos previstos 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>por la ley.</w:t>
      </w:r>
    </w:p>
    <w:p w:rsidR="00827CE1" w:rsidRPr="005D2519" w:rsidRDefault="00827CE1" w:rsidP="00827CE1">
      <w:pPr>
        <w:shd w:val="clear" w:color="auto" w:fill="FFFFFF"/>
        <w:ind w:left="7" w:right="14"/>
        <w:jc w:val="both"/>
        <w:rPr>
          <w:sz w:val="24"/>
          <w:szCs w:val="24"/>
        </w:rPr>
      </w:pPr>
    </w:p>
    <w:p w:rsidR="00827CE1" w:rsidRPr="005D2519" w:rsidRDefault="00827CE1" w:rsidP="00827CE1">
      <w:pPr>
        <w:shd w:val="clear" w:color="auto" w:fill="FFFFFF"/>
        <w:ind w:left="22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5D2519">
        <w:rPr>
          <w:color w:val="000000"/>
          <w:spacing w:val="-5"/>
          <w:sz w:val="24"/>
          <w:szCs w:val="24"/>
          <w:lang w:val="es-ES_tradnl"/>
        </w:rPr>
        <w:t>La Ley Nº 164 de 8 de Agosto de 2011, Ley General de Telecomunicaciones, Tecnolog</w:t>
      </w:r>
      <w:r w:rsidRPr="005D2519">
        <w:rPr>
          <w:rFonts w:eastAsia="Times New Roman"/>
          <w:color w:val="000000"/>
          <w:spacing w:val="-5"/>
          <w:sz w:val="24"/>
          <w:szCs w:val="24"/>
          <w:lang w:val="es-ES_tradnl"/>
        </w:rPr>
        <w:t xml:space="preserve">ías de </w:t>
      </w:r>
      <w:r w:rsidRPr="005D2519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Información y Comunicación, en su Artículo 71 señala que se declara de prioridad nacional la 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>promoción del uso de las tecnologías de Información y comunicación para procurar el vivir bien de todas las bolivianas y bolivianos.</w:t>
      </w:r>
    </w:p>
    <w:p w:rsidR="00827CE1" w:rsidRPr="005D2519" w:rsidRDefault="00827CE1" w:rsidP="00827CE1">
      <w:pPr>
        <w:shd w:val="clear" w:color="auto" w:fill="FFFFFF"/>
        <w:ind w:left="22"/>
        <w:jc w:val="both"/>
        <w:rPr>
          <w:sz w:val="24"/>
          <w:szCs w:val="24"/>
        </w:rPr>
      </w:pPr>
    </w:p>
    <w:p w:rsidR="00827CE1" w:rsidRPr="005D2519" w:rsidRDefault="00827CE1" w:rsidP="00827CE1">
      <w:pPr>
        <w:shd w:val="clear" w:color="auto" w:fill="FFFFFF"/>
        <w:ind w:left="22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5D2519">
        <w:rPr>
          <w:color w:val="000000"/>
          <w:spacing w:val="-2"/>
          <w:sz w:val="24"/>
          <w:szCs w:val="24"/>
          <w:lang w:val="es-ES_tradnl"/>
        </w:rPr>
        <w:t>El Art</w:t>
      </w:r>
      <w:r w:rsidRPr="005D2519">
        <w:rPr>
          <w:rFonts w:eastAsia="Times New Roman"/>
          <w:color w:val="000000"/>
          <w:spacing w:val="-2"/>
          <w:sz w:val="24"/>
          <w:szCs w:val="24"/>
          <w:lang w:val="es-ES_tradnl"/>
        </w:rPr>
        <w:t>ículo 72 de la referida Ley N° 164 (Rol de! Estado) Parágrafo 5. En comunicación e información, como mecanismo que permita garantizar los derechos a la libre expresión, a</w:t>
      </w:r>
      <w:r w:rsidR="00515757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 la </w:t>
      </w:r>
      <w:r w:rsidRPr="005D2519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diversidad de la palabra y a la participación activa, plural e informada de las bolivianas y los 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>bolivianos.</w:t>
      </w:r>
    </w:p>
    <w:p w:rsidR="00827CE1" w:rsidRPr="005D2519" w:rsidRDefault="00827CE1" w:rsidP="00827CE1">
      <w:pPr>
        <w:shd w:val="clear" w:color="auto" w:fill="FFFFFF"/>
        <w:ind w:left="22"/>
        <w:jc w:val="both"/>
        <w:rPr>
          <w:sz w:val="24"/>
          <w:szCs w:val="24"/>
        </w:rPr>
      </w:pPr>
    </w:p>
    <w:p w:rsidR="00827CE1" w:rsidRPr="005D2519" w:rsidRDefault="00827CE1" w:rsidP="00827CE1">
      <w:pPr>
        <w:shd w:val="clear" w:color="auto" w:fill="FFFFFF"/>
        <w:ind w:left="7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5D2519">
        <w:rPr>
          <w:color w:val="000000"/>
          <w:spacing w:val="-2"/>
          <w:sz w:val="24"/>
          <w:szCs w:val="24"/>
          <w:lang w:val="es-ES_tradnl"/>
        </w:rPr>
        <w:t>El Art</w:t>
      </w:r>
      <w:r w:rsidRPr="005D2519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ículo 56 de la Ley N° 164 (Inviolabilidad y secreto de las comunicaciones) que detalla </w:t>
      </w:r>
      <w:r w:rsidRPr="005D2519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que en el marco de lo establecido en la Constitución Política del Estado, los operadores de </w:t>
      </w:r>
      <w:r w:rsidRPr="005D2519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redes públicas y proveedores de servicios de telecomunicaciones y tecnologías de </w:t>
      </w:r>
      <w:r w:rsidRPr="005D2519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información y comunicación, deben garantizar la inviolabilidad y secreto de las comunicaciones, al igual que la protección de los datos personales y la intimidad de usuarias 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>o usuarios.</w:t>
      </w:r>
    </w:p>
    <w:p w:rsidR="00827CE1" w:rsidRPr="005D2519" w:rsidRDefault="00827CE1" w:rsidP="00827CE1">
      <w:pPr>
        <w:shd w:val="clear" w:color="auto" w:fill="FFFFFF"/>
        <w:ind w:left="7"/>
        <w:jc w:val="both"/>
        <w:rPr>
          <w:sz w:val="24"/>
          <w:szCs w:val="24"/>
        </w:rPr>
      </w:pPr>
    </w:p>
    <w:p w:rsidR="00827CE1" w:rsidRPr="005D2519" w:rsidRDefault="00827CE1" w:rsidP="00827CE1">
      <w:pPr>
        <w:shd w:val="clear" w:color="auto" w:fill="FFFFFF"/>
        <w:ind w:left="22"/>
        <w:jc w:val="both"/>
        <w:rPr>
          <w:b/>
          <w:sz w:val="24"/>
          <w:szCs w:val="24"/>
        </w:rPr>
      </w:pPr>
      <w:r w:rsidRPr="005D2519">
        <w:rPr>
          <w:b/>
          <w:color w:val="000000"/>
          <w:spacing w:val="-4"/>
          <w:sz w:val="24"/>
          <w:szCs w:val="24"/>
          <w:lang w:val="es-ES_tradnl"/>
        </w:rPr>
        <w:t>DESARROLLO</w:t>
      </w:r>
    </w:p>
    <w:p w:rsidR="00827CE1" w:rsidRPr="005D2519" w:rsidRDefault="00827CE1" w:rsidP="00827CE1">
      <w:pPr>
        <w:shd w:val="clear" w:color="auto" w:fill="FFFFFF"/>
        <w:ind w:left="14" w:right="1051"/>
        <w:jc w:val="both"/>
        <w:rPr>
          <w:color w:val="000000"/>
          <w:spacing w:val="-1"/>
          <w:sz w:val="24"/>
          <w:szCs w:val="24"/>
          <w:lang w:val="es-ES_tradnl"/>
        </w:rPr>
      </w:pPr>
    </w:p>
    <w:p w:rsidR="00827CE1" w:rsidRPr="005D2519" w:rsidRDefault="00827CE1" w:rsidP="00827CE1">
      <w:pPr>
        <w:shd w:val="clear" w:color="auto" w:fill="FFFFFF"/>
        <w:ind w:left="14"/>
        <w:jc w:val="both"/>
        <w:rPr>
          <w:rFonts w:eastAsia="Times New Roman"/>
          <w:color w:val="000000"/>
          <w:spacing w:val="-1"/>
          <w:sz w:val="24"/>
          <w:szCs w:val="24"/>
          <w:lang w:val="es-ES_tradnl"/>
        </w:rPr>
      </w:pPr>
      <w:r w:rsidRPr="005D2519">
        <w:rPr>
          <w:color w:val="000000"/>
          <w:spacing w:val="-1"/>
          <w:sz w:val="24"/>
          <w:szCs w:val="24"/>
          <w:lang w:val="es-ES_tradnl"/>
        </w:rPr>
        <w:t>A continuaci</w:t>
      </w:r>
      <w:r w:rsidRPr="005D2519">
        <w:rPr>
          <w:rFonts w:eastAsia="Times New Roman"/>
          <w:color w:val="000000"/>
          <w:spacing w:val="-1"/>
          <w:sz w:val="24"/>
          <w:szCs w:val="24"/>
          <w:lang w:val="es-ES_tradnl"/>
        </w:rPr>
        <w:t>ón se comparte comentarios y material existente centrados en los dos aspectos solicitados respecto a la industria de vigilancia y los derechos humanos:</w:t>
      </w:r>
    </w:p>
    <w:p w:rsidR="00827CE1" w:rsidRPr="005D2519" w:rsidRDefault="00827CE1" w:rsidP="00DD0F8E">
      <w:pPr>
        <w:shd w:val="clear" w:color="auto" w:fill="FFFFFF"/>
        <w:ind w:left="426" w:hanging="426"/>
        <w:jc w:val="both"/>
        <w:rPr>
          <w:b/>
          <w:sz w:val="24"/>
          <w:szCs w:val="24"/>
        </w:rPr>
      </w:pPr>
    </w:p>
    <w:p w:rsidR="00827CE1" w:rsidRPr="005D2519" w:rsidRDefault="00827CE1" w:rsidP="00DD0F8E">
      <w:pPr>
        <w:pStyle w:val="ListParagraph"/>
        <w:numPr>
          <w:ilvl w:val="0"/>
          <w:numId w:val="2"/>
        </w:numPr>
        <w:shd w:val="clear" w:color="auto" w:fill="FFFFFF"/>
        <w:ind w:left="426" w:hanging="426"/>
        <w:jc w:val="both"/>
        <w:rPr>
          <w:rFonts w:eastAsia="Times New Roman"/>
          <w:b/>
          <w:color w:val="000000"/>
          <w:sz w:val="24"/>
          <w:szCs w:val="24"/>
          <w:lang w:val="es-ES_tradnl"/>
        </w:rPr>
      </w:pPr>
      <w:r w:rsidRPr="005D2519">
        <w:rPr>
          <w:b/>
          <w:color w:val="000000"/>
          <w:spacing w:val="-2"/>
          <w:sz w:val="24"/>
          <w:szCs w:val="24"/>
          <w:lang w:val="es-ES_tradnl"/>
        </w:rPr>
        <w:t>Informaci</w:t>
      </w:r>
      <w:r w:rsidRPr="005D2519">
        <w:rPr>
          <w:rFonts w:eastAsia="Times New Roman"/>
          <w:b/>
          <w:color w:val="000000"/>
          <w:spacing w:val="-2"/>
          <w:sz w:val="24"/>
          <w:szCs w:val="24"/>
          <w:lang w:val="es-ES_tradnl"/>
        </w:rPr>
        <w:t xml:space="preserve">ón relativa a los marcos reglamentarios nacionales que puedan ser aplicables al </w:t>
      </w:r>
      <w:r w:rsidRPr="005D2519">
        <w:rPr>
          <w:rFonts w:eastAsia="Times New Roman"/>
          <w:b/>
          <w:color w:val="000000"/>
          <w:spacing w:val="-1"/>
          <w:sz w:val="24"/>
          <w:szCs w:val="24"/>
          <w:lang w:val="es-ES_tradnl"/>
        </w:rPr>
        <w:t xml:space="preserve">desarrollo, la comercialización, la exportación, el despliegue y/o la facilitación de tecnologías </w:t>
      </w:r>
      <w:r w:rsidRPr="005D2519">
        <w:rPr>
          <w:rFonts w:eastAsia="Times New Roman"/>
          <w:b/>
          <w:color w:val="000000"/>
          <w:sz w:val="24"/>
          <w:szCs w:val="24"/>
          <w:lang w:val="es-ES_tradnl"/>
        </w:rPr>
        <w:t>de vigilancia por parte de empresas privadas.</w:t>
      </w:r>
    </w:p>
    <w:p w:rsidR="00827CE1" w:rsidRPr="005D2519" w:rsidRDefault="00827CE1" w:rsidP="00827CE1">
      <w:pPr>
        <w:pStyle w:val="ListParagraph"/>
        <w:shd w:val="clear" w:color="auto" w:fill="FFFFFF"/>
        <w:ind w:left="374" w:right="1058"/>
        <w:jc w:val="both"/>
        <w:rPr>
          <w:sz w:val="24"/>
          <w:szCs w:val="24"/>
        </w:rPr>
      </w:pPr>
    </w:p>
    <w:p w:rsidR="00827CE1" w:rsidRPr="005D2519" w:rsidRDefault="00827CE1" w:rsidP="00827CE1">
      <w:pPr>
        <w:shd w:val="clear" w:color="auto" w:fill="FFFFFF"/>
        <w:ind w:left="14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5D2519">
        <w:rPr>
          <w:color w:val="000000"/>
          <w:sz w:val="24"/>
          <w:szCs w:val="24"/>
          <w:lang w:val="es-ES_tradnl"/>
        </w:rPr>
        <w:t>En relaci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>ón al marco normativo citado anteriormente se establece lo siguiente:</w:t>
      </w:r>
    </w:p>
    <w:p w:rsidR="00827CE1" w:rsidRPr="005D2519" w:rsidRDefault="00827CE1" w:rsidP="00827CE1">
      <w:pPr>
        <w:shd w:val="clear" w:color="auto" w:fill="FFFFFF"/>
        <w:ind w:left="14"/>
        <w:jc w:val="both"/>
        <w:rPr>
          <w:sz w:val="24"/>
          <w:szCs w:val="24"/>
        </w:rPr>
      </w:pPr>
    </w:p>
    <w:p w:rsidR="00827CE1" w:rsidRPr="005D2519" w:rsidRDefault="00827CE1" w:rsidP="00DD0F8E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5D2519">
        <w:rPr>
          <w:rFonts w:eastAsia="Times New Roman"/>
          <w:color w:val="000000"/>
          <w:spacing w:val="-3"/>
          <w:sz w:val="24"/>
          <w:szCs w:val="24"/>
          <w:lang w:val="es-ES_tradnl"/>
        </w:rPr>
        <w:t xml:space="preserve">Que la Constitución Política del Estado, consagra la protección de los derechos </w:t>
      </w:r>
      <w:r w:rsidRPr="005D2519">
        <w:rPr>
          <w:rFonts w:eastAsia="Times New Roman"/>
          <w:color w:val="000000"/>
          <w:spacing w:val="-4"/>
          <w:sz w:val="24"/>
          <w:szCs w:val="24"/>
          <w:lang w:val="es-ES_tradnl"/>
        </w:rPr>
        <w:t xml:space="preserve">humanos y civiles de las personas, y la </w:t>
      </w:r>
      <w:r w:rsidR="00DD0F8E" w:rsidRPr="005D2519">
        <w:rPr>
          <w:rFonts w:eastAsia="Times New Roman"/>
          <w:color w:val="000000"/>
          <w:spacing w:val="-4"/>
          <w:sz w:val="24"/>
          <w:szCs w:val="24"/>
          <w:lang w:val="es-ES_tradnl"/>
        </w:rPr>
        <w:t>prevalencia</w:t>
      </w:r>
      <w:r w:rsidRPr="005D2519">
        <w:rPr>
          <w:rFonts w:eastAsia="Times New Roman"/>
          <w:color w:val="000000"/>
          <w:spacing w:val="-4"/>
          <w:sz w:val="24"/>
          <w:szCs w:val="24"/>
          <w:lang w:val="es-ES_tradnl"/>
        </w:rPr>
        <w:t xml:space="preserve"> de los Tratados y Convenios </w:t>
      </w:r>
      <w:r w:rsidRPr="005D2519">
        <w:rPr>
          <w:rFonts w:eastAsia="Times New Roman"/>
          <w:color w:val="000000"/>
          <w:spacing w:val="-1"/>
          <w:sz w:val="24"/>
          <w:szCs w:val="24"/>
          <w:lang w:val="es-ES_tradnl"/>
        </w:rPr>
        <w:t>Internacionales sobre derechos humanos ratificados por Bolivia.</w:t>
      </w:r>
    </w:p>
    <w:p w:rsidR="00827CE1" w:rsidRPr="005D2519" w:rsidRDefault="00827CE1" w:rsidP="00DD0F8E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5D2519">
        <w:rPr>
          <w:rFonts w:eastAsia="Times New Roman"/>
          <w:color w:val="000000"/>
          <w:spacing w:val="-4"/>
          <w:sz w:val="24"/>
          <w:szCs w:val="24"/>
          <w:lang w:val="es-ES_tradnl"/>
        </w:rPr>
        <w:t xml:space="preserve">Que el Código Civil Boliviano, consigna la protección del derecho a la imagen, honor e </w:t>
      </w:r>
      <w:r w:rsidR="00DD0F8E" w:rsidRPr="005D2519">
        <w:rPr>
          <w:rFonts w:eastAsia="Times New Roman"/>
          <w:color w:val="000000"/>
          <w:sz w:val="24"/>
          <w:szCs w:val="24"/>
          <w:lang w:val="es-ES_tradnl"/>
        </w:rPr>
        <w:t>intimidad.</w:t>
      </w:r>
    </w:p>
    <w:p w:rsidR="00DD0F8E" w:rsidRPr="005D2519" w:rsidRDefault="00DD0F8E" w:rsidP="00DD0F8E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5D2519">
        <w:rPr>
          <w:rFonts w:eastAsia="Times New Roman"/>
          <w:color w:val="000000"/>
          <w:spacing w:val="-2"/>
          <w:sz w:val="24"/>
          <w:szCs w:val="24"/>
          <w:lang w:val="es-ES_tradnl"/>
        </w:rPr>
        <w:t>Que l</w:t>
      </w:r>
      <w:r w:rsidR="00827CE1" w:rsidRPr="005D2519">
        <w:rPr>
          <w:rFonts w:eastAsia="Times New Roman"/>
          <w:color w:val="000000"/>
          <w:spacing w:val="-2"/>
          <w:sz w:val="24"/>
          <w:szCs w:val="24"/>
          <w:lang w:val="es-ES_tradnl"/>
        </w:rPr>
        <w:t>a Ley N° 164 respecto al uso d</w:t>
      </w:r>
      <w:r w:rsidRPr="005D2519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e </w:t>
      </w:r>
      <w:r w:rsidR="00827CE1" w:rsidRPr="005D2519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las tecnologías de información y comunicación, </w:t>
      </w:r>
      <w:r w:rsidR="00827CE1" w:rsidRPr="005D2519">
        <w:rPr>
          <w:rFonts w:eastAsia="Times New Roman"/>
          <w:color w:val="000000"/>
          <w:sz w:val="24"/>
          <w:szCs w:val="24"/>
          <w:lang w:val="es-ES_tradnl"/>
        </w:rPr>
        <w:t xml:space="preserve">hacen referencia a la protección de datos personales y la promoción por parte del </w:t>
      </w:r>
      <w:r w:rsidR="00827CE1" w:rsidRPr="005D2519">
        <w:rPr>
          <w:rFonts w:eastAsia="Times New Roman"/>
          <w:color w:val="000000"/>
          <w:spacing w:val="-3"/>
          <w:sz w:val="24"/>
          <w:szCs w:val="24"/>
          <w:lang w:val="es-ES_tradnl"/>
        </w:rPr>
        <w:t xml:space="preserve">Estado, en comunicación e información, como mecanismo que permita garantizar los </w:t>
      </w:r>
      <w:r w:rsidRPr="005D2519">
        <w:rPr>
          <w:rFonts w:eastAsia="Times New Roman"/>
          <w:color w:val="000000"/>
          <w:spacing w:val="-1"/>
          <w:sz w:val="24"/>
          <w:szCs w:val="24"/>
          <w:lang w:val="es-ES_tradnl"/>
        </w:rPr>
        <w:t>derechos a l</w:t>
      </w:r>
      <w:r w:rsidR="00827CE1" w:rsidRPr="005D2519">
        <w:rPr>
          <w:rFonts w:eastAsia="Times New Roman"/>
          <w:color w:val="000000"/>
          <w:spacing w:val="-1"/>
          <w:sz w:val="24"/>
          <w:szCs w:val="24"/>
          <w:lang w:val="es-ES_tradnl"/>
        </w:rPr>
        <w:t>a libre expresión, a l</w:t>
      </w:r>
      <w:r w:rsidRPr="005D2519">
        <w:rPr>
          <w:rFonts w:eastAsia="Times New Roman"/>
          <w:color w:val="000000"/>
          <w:spacing w:val="-1"/>
          <w:sz w:val="24"/>
          <w:szCs w:val="24"/>
          <w:lang w:val="es-ES_tradnl"/>
        </w:rPr>
        <w:t>a diversidad de la palabra y a l</w:t>
      </w:r>
      <w:r w:rsidR="00827CE1" w:rsidRPr="005D2519">
        <w:rPr>
          <w:rFonts w:eastAsia="Times New Roman"/>
          <w:color w:val="000000"/>
          <w:spacing w:val="-1"/>
          <w:sz w:val="24"/>
          <w:szCs w:val="24"/>
          <w:lang w:val="es-ES_tradnl"/>
        </w:rPr>
        <w:t>a participación activa,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 xml:space="preserve"> </w:t>
      </w:r>
      <w:r w:rsidR="00827CE1" w:rsidRPr="005D2519">
        <w:rPr>
          <w:color w:val="000000"/>
          <w:sz w:val="24"/>
          <w:szCs w:val="24"/>
          <w:lang w:val="es-ES_tradnl"/>
        </w:rPr>
        <w:t xml:space="preserve">plural e informada de las bolivianas y los bolivianos. </w:t>
      </w:r>
    </w:p>
    <w:p w:rsidR="00827CE1" w:rsidRPr="005D2519" w:rsidRDefault="00827CE1" w:rsidP="00DD0F8E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hanging="284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5D2519">
        <w:rPr>
          <w:rFonts w:eastAsia="Times New Roman"/>
          <w:color w:val="000000"/>
          <w:sz w:val="24"/>
          <w:szCs w:val="24"/>
          <w:lang w:val="es-ES_tradnl"/>
        </w:rPr>
        <w:t>Que la Ley N° 164, detalla que en el marco de lo establecido en la Constitución Política del Estado, los operadores de redes públicas y proveedores de servicios de telecomunicaciones y tecnologías de información y comunicación, deben garantizar la inviolabilidad v secreto de las comunicaciones, al igual que la protección de los datos personales y la intimidad de usuarias o usuarios.</w:t>
      </w:r>
    </w:p>
    <w:p w:rsidR="00DD0F8E" w:rsidRPr="005D2519" w:rsidRDefault="00DD0F8E" w:rsidP="00DD0F8E">
      <w:pPr>
        <w:shd w:val="clear" w:color="auto" w:fill="FFFFFF"/>
        <w:tabs>
          <w:tab w:val="left" w:pos="284"/>
        </w:tabs>
        <w:ind w:left="284"/>
        <w:jc w:val="both"/>
        <w:rPr>
          <w:rFonts w:eastAsia="Times New Roman"/>
          <w:color w:val="000000"/>
          <w:sz w:val="24"/>
          <w:szCs w:val="24"/>
          <w:lang w:val="es-ES_tradnl"/>
        </w:rPr>
      </w:pPr>
    </w:p>
    <w:p w:rsidR="00827CE1" w:rsidRPr="005D2519" w:rsidRDefault="00DD0F8E" w:rsidP="00DD0F8E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ind w:left="426" w:hanging="426"/>
        <w:jc w:val="both"/>
        <w:rPr>
          <w:b/>
          <w:sz w:val="24"/>
          <w:szCs w:val="24"/>
        </w:rPr>
      </w:pPr>
      <w:r w:rsidRPr="005D2519">
        <w:rPr>
          <w:b/>
          <w:color w:val="000000"/>
          <w:sz w:val="24"/>
          <w:szCs w:val="24"/>
          <w:lang w:val="es-ES_tradnl"/>
        </w:rPr>
        <w:t>I</w:t>
      </w:r>
      <w:r w:rsidR="00827CE1" w:rsidRPr="005D2519">
        <w:rPr>
          <w:b/>
          <w:color w:val="000000"/>
          <w:sz w:val="24"/>
          <w:szCs w:val="24"/>
          <w:lang w:val="es-ES_tradnl"/>
        </w:rPr>
        <w:t>nformaci</w:t>
      </w:r>
      <w:r w:rsidR="00827CE1" w:rsidRPr="005D2519">
        <w:rPr>
          <w:rFonts w:eastAsia="Times New Roman"/>
          <w:b/>
          <w:color w:val="000000"/>
          <w:sz w:val="24"/>
          <w:szCs w:val="24"/>
          <w:lang w:val="es-ES_tradnl"/>
        </w:rPr>
        <w:t>ón</w:t>
      </w:r>
      <w:r w:rsidRPr="005D2519">
        <w:rPr>
          <w:rFonts w:eastAsia="Times New Roman"/>
          <w:b/>
          <w:color w:val="000000"/>
          <w:sz w:val="24"/>
          <w:szCs w:val="24"/>
          <w:lang w:val="es-ES_tradnl"/>
        </w:rPr>
        <w:t xml:space="preserve"> </w:t>
      </w:r>
      <w:r w:rsidR="00827CE1" w:rsidRPr="005D2519">
        <w:rPr>
          <w:rFonts w:eastAsia="Times New Roman"/>
          <w:b/>
          <w:color w:val="000000"/>
          <w:sz w:val="24"/>
          <w:szCs w:val="24"/>
          <w:lang w:val="es-ES_tradnl"/>
        </w:rPr>
        <w:t>sobre el uso de dichas tecnologías de vigilancia</w:t>
      </w:r>
    </w:p>
    <w:p w:rsidR="00DD0F8E" w:rsidRPr="005D2519" w:rsidRDefault="00DD0F8E" w:rsidP="00DD0F8E">
      <w:pPr>
        <w:pStyle w:val="ListParagraph"/>
        <w:shd w:val="clear" w:color="auto" w:fill="FFFFFF"/>
        <w:tabs>
          <w:tab w:val="left" w:pos="284"/>
        </w:tabs>
        <w:ind w:left="567"/>
        <w:jc w:val="both"/>
        <w:rPr>
          <w:b/>
          <w:sz w:val="24"/>
          <w:szCs w:val="24"/>
        </w:rPr>
      </w:pPr>
    </w:p>
    <w:p w:rsidR="00827CE1" w:rsidRPr="005D2519" w:rsidRDefault="00827CE1" w:rsidP="00DD0F8E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  <w:tab w:val="left" w:pos="1073"/>
        </w:tabs>
        <w:ind w:left="567" w:right="-1" w:hanging="283"/>
        <w:jc w:val="both"/>
        <w:rPr>
          <w:b/>
          <w:sz w:val="24"/>
          <w:szCs w:val="24"/>
        </w:rPr>
      </w:pPr>
      <w:r w:rsidRPr="005D2519">
        <w:rPr>
          <w:b/>
          <w:color w:val="000000"/>
          <w:sz w:val="24"/>
          <w:szCs w:val="24"/>
          <w:lang w:val="es-ES_tradnl"/>
        </w:rPr>
        <w:t>Detalle de casos emblem</w:t>
      </w:r>
      <w:r w:rsidRPr="005D2519">
        <w:rPr>
          <w:rFonts w:eastAsia="Times New Roman"/>
          <w:b/>
          <w:color w:val="000000"/>
          <w:sz w:val="24"/>
          <w:szCs w:val="24"/>
          <w:lang w:val="es-ES_tradnl"/>
        </w:rPr>
        <w:t>áticos de uso estatal de tecnología de</w:t>
      </w:r>
      <w:r w:rsidR="00DD0F8E" w:rsidRPr="005D2519">
        <w:rPr>
          <w:rFonts w:eastAsia="Times New Roman"/>
          <w:b/>
          <w:color w:val="000000"/>
          <w:sz w:val="24"/>
          <w:szCs w:val="24"/>
          <w:lang w:val="es-ES_tradnl"/>
        </w:rPr>
        <w:t xml:space="preserve"> </w:t>
      </w:r>
      <w:r w:rsidRPr="005D2519">
        <w:rPr>
          <w:rFonts w:eastAsia="Times New Roman"/>
          <w:b/>
          <w:color w:val="000000"/>
          <w:sz w:val="24"/>
          <w:szCs w:val="24"/>
          <w:lang w:val="es-ES_tradnl"/>
        </w:rPr>
        <w:t>vigilancia privada</w:t>
      </w:r>
      <w:r w:rsidR="00DD0F8E" w:rsidRPr="005D2519">
        <w:rPr>
          <w:rFonts w:eastAsia="Times New Roman"/>
          <w:b/>
          <w:color w:val="000000"/>
          <w:sz w:val="24"/>
          <w:szCs w:val="24"/>
          <w:lang w:val="es-ES_tradnl"/>
        </w:rPr>
        <w:t xml:space="preserve"> </w:t>
      </w:r>
      <w:r w:rsidRPr="005D2519">
        <w:rPr>
          <w:rFonts w:eastAsia="Times New Roman"/>
          <w:b/>
          <w:color w:val="000000"/>
          <w:sz w:val="24"/>
          <w:szCs w:val="24"/>
          <w:lang w:val="es-ES_tradnl"/>
        </w:rPr>
        <w:t>contra individuos u organizaciones de la sociedad civil</w:t>
      </w:r>
    </w:p>
    <w:p w:rsidR="00DD0F8E" w:rsidRPr="005D2519" w:rsidRDefault="00DD0F8E" w:rsidP="00DD0F8E">
      <w:pPr>
        <w:pStyle w:val="ListParagraph"/>
        <w:shd w:val="clear" w:color="auto" w:fill="FFFFFF"/>
        <w:tabs>
          <w:tab w:val="left" w:pos="284"/>
          <w:tab w:val="left" w:pos="1073"/>
        </w:tabs>
        <w:ind w:left="284" w:right="-1"/>
        <w:jc w:val="both"/>
        <w:rPr>
          <w:sz w:val="24"/>
          <w:szCs w:val="24"/>
        </w:rPr>
      </w:pPr>
    </w:p>
    <w:p w:rsidR="00827CE1" w:rsidRPr="005D2519" w:rsidRDefault="00827CE1" w:rsidP="00DD0F8E">
      <w:pPr>
        <w:shd w:val="clear" w:color="auto" w:fill="FFFFFF"/>
        <w:tabs>
          <w:tab w:val="left" w:pos="284"/>
        </w:tabs>
        <w:ind w:right="-1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5D2519">
        <w:rPr>
          <w:color w:val="000000"/>
          <w:sz w:val="24"/>
          <w:szCs w:val="24"/>
          <w:lang w:val="es-ES_tradnl"/>
        </w:rPr>
        <w:t>Entre los casos emblem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>áticos se cita las re</w:t>
      </w:r>
      <w:r w:rsidR="00DD0F8E" w:rsidRPr="005D2519">
        <w:rPr>
          <w:rFonts w:eastAsia="Times New Roman"/>
          <w:color w:val="000000"/>
          <w:sz w:val="24"/>
          <w:szCs w:val="24"/>
          <w:lang w:val="es-ES_tradnl"/>
        </w:rPr>
        <w:t>velaciones sobre el programa PRI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>SM de EE.UUy el espionaje masivo de la Agencia Nacional de Seguridad de EEUU, hechas por el ex-empleado de la CÍA Edward Snwoden. En este último, se expone el acceso de la Agencia Nacional de Segundad (NSA) a registros telefónicos y en internet de millones de usuarios, accediendo a servidores de las principales compañías de internet: Microsoft, Yahoo, Google, Facebook, PalTalk, AOL, Skype, Youtube y Apple, para fines de espionaje.</w:t>
      </w:r>
    </w:p>
    <w:p w:rsidR="00DD0F8E" w:rsidRPr="005D2519" w:rsidRDefault="00DD0F8E" w:rsidP="00DD0F8E">
      <w:pPr>
        <w:shd w:val="clear" w:color="auto" w:fill="FFFFFF"/>
        <w:tabs>
          <w:tab w:val="left" w:pos="284"/>
        </w:tabs>
        <w:ind w:right="-1"/>
        <w:jc w:val="both"/>
        <w:rPr>
          <w:sz w:val="24"/>
          <w:szCs w:val="24"/>
        </w:rPr>
      </w:pPr>
    </w:p>
    <w:p w:rsidR="00827CE1" w:rsidRPr="005D2519" w:rsidRDefault="00827CE1" w:rsidP="00DD0F8E">
      <w:pPr>
        <w:shd w:val="clear" w:color="auto" w:fill="FFFFFF"/>
        <w:tabs>
          <w:tab w:val="left" w:pos="284"/>
        </w:tabs>
        <w:ind w:right="-1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5D2519">
        <w:rPr>
          <w:color w:val="000000"/>
          <w:sz w:val="24"/>
          <w:szCs w:val="24"/>
          <w:lang w:val="es-ES_tradnl"/>
        </w:rPr>
        <w:t>Las aplicaciones de mencionadas empresas registran conversaciones, fotograf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>ías, audios, videos, correos electrónicos, entre otros, de todos los usuarios de todo el mundo, solamente Facebook según el informe Digital In 2019, elaborado por We are Social a enero de 2019 cuenta con 2.271 millones de usuarios. Todos estos registros de todos estos usuarios son transferidos para fines de vigilancia estatal.</w:t>
      </w:r>
    </w:p>
    <w:p w:rsidR="00DD0F8E" w:rsidRPr="005D2519" w:rsidRDefault="00DD0F8E" w:rsidP="00DD0F8E">
      <w:pPr>
        <w:shd w:val="clear" w:color="auto" w:fill="FFFFFF"/>
        <w:tabs>
          <w:tab w:val="left" w:pos="284"/>
        </w:tabs>
        <w:ind w:right="-1"/>
        <w:jc w:val="both"/>
        <w:rPr>
          <w:sz w:val="24"/>
          <w:szCs w:val="24"/>
        </w:rPr>
      </w:pPr>
    </w:p>
    <w:p w:rsidR="00827CE1" w:rsidRPr="005D2519" w:rsidRDefault="00827CE1" w:rsidP="00DD0F8E">
      <w:pPr>
        <w:shd w:val="clear" w:color="auto" w:fill="FFFFFF"/>
        <w:tabs>
          <w:tab w:val="left" w:pos="284"/>
        </w:tabs>
        <w:ind w:right="-1"/>
        <w:jc w:val="both"/>
        <w:rPr>
          <w:sz w:val="24"/>
          <w:szCs w:val="24"/>
        </w:rPr>
      </w:pPr>
      <w:r w:rsidRPr="005D2519">
        <w:rPr>
          <w:color w:val="000000"/>
          <w:sz w:val="24"/>
          <w:szCs w:val="24"/>
          <w:lang w:val="es-ES_tradnl"/>
        </w:rPr>
        <w:t>El uso estatal de tecnolog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>ías de vigilancia para servicios de inteligencia, representan una amenaza para la sociedad, vulnerando el derecho a la privacidad, donde las redes sociales se convierten en compañías de vigilancia, vendiendo detalles íntimos de la vida privada de los individuos más allá de sus publicaciones voluntarias.</w:t>
      </w:r>
    </w:p>
    <w:p w:rsidR="00DD0F8E" w:rsidRPr="005D2519" w:rsidRDefault="00DD0F8E" w:rsidP="00DD0F8E">
      <w:pPr>
        <w:shd w:val="clear" w:color="auto" w:fill="FFFFFF"/>
        <w:tabs>
          <w:tab w:val="left" w:pos="284"/>
        </w:tabs>
        <w:ind w:right="886"/>
        <w:jc w:val="both"/>
        <w:rPr>
          <w:sz w:val="24"/>
          <w:szCs w:val="24"/>
        </w:rPr>
      </w:pPr>
    </w:p>
    <w:p w:rsidR="00827CE1" w:rsidRPr="005D2519" w:rsidRDefault="00827CE1" w:rsidP="00DD0F8E">
      <w:pPr>
        <w:pStyle w:val="ListParagraph"/>
        <w:numPr>
          <w:ilvl w:val="0"/>
          <w:numId w:val="4"/>
        </w:numPr>
        <w:shd w:val="clear" w:color="auto" w:fill="FFFFFF"/>
        <w:tabs>
          <w:tab w:val="left" w:pos="1073"/>
        </w:tabs>
        <w:ind w:left="567" w:right="-1" w:hanging="283"/>
        <w:jc w:val="both"/>
        <w:rPr>
          <w:rFonts w:eastAsia="Times New Roman"/>
          <w:b/>
          <w:color w:val="000000"/>
          <w:sz w:val="24"/>
          <w:szCs w:val="24"/>
          <w:lang w:val="es-ES_tradnl"/>
        </w:rPr>
      </w:pPr>
      <w:r w:rsidRPr="005D2519">
        <w:rPr>
          <w:b/>
          <w:color w:val="000000"/>
          <w:sz w:val="24"/>
          <w:szCs w:val="24"/>
          <w:lang w:val="es-ES_tradnl"/>
        </w:rPr>
        <w:t>Las pol</w:t>
      </w:r>
      <w:r w:rsidRPr="005D2519">
        <w:rPr>
          <w:rFonts w:eastAsia="Times New Roman"/>
          <w:b/>
          <w:color w:val="000000"/>
          <w:sz w:val="24"/>
          <w:szCs w:val="24"/>
          <w:lang w:val="es-ES_tradnl"/>
        </w:rPr>
        <w:t>íticas de la empresa para garantizar que el desarrollo y la venta de</w:t>
      </w:r>
      <w:r w:rsidR="00DD0F8E" w:rsidRPr="005D2519">
        <w:rPr>
          <w:rFonts w:eastAsia="Times New Roman"/>
          <w:b/>
          <w:color w:val="000000"/>
          <w:sz w:val="24"/>
          <w:szCs w:val="24"/>
          <w:lang w:val="es-ES_tradnl"/>
        </w:rPr>
        <w:t xml:space="preserve"> </w:t>
      </w:r>
      <w:r w:rsidRPr="005D2519">
        <w:rPr>
          <w:rFonts w:eastAsia="Times New Roman"/>
          <w:b/>
          <w:color w:val="000000"/>
          <w:sz w:val="24"/>
          <w:szCs w:val="24"/>
          <w:lang w:val="es-ES_tradnl"/>
        </w:rPr>
        <w:t>tecnologías de vigilancia cumplan las normas de derechos humanos, en particular las</w:t>
      </w:r>
      <w:r w:rsidR="00DD0F8E" w:rsidRPr="005D2519">
        <w:rPr>
          <w:rFonts w:eastAsia="Times New Roman"/>
          <w:b/>
          <w:color w:val="000000"/>
          <w:sz w:val="24"/>
          <w:szCs w:val="24"/>
          <w:lang w:val="es-ES_tradnl"/>
        </w:rPr>
        <w:t xml:space="preserve"> </w:t>
      </w:r>
      <w:r w:rsidRPr="005D2519">
        <w:rPr>
          <w:rFonts w:eastAsia="Times New Roman"/>
          <w:b/>
          <w:color w:val="000000"/>
          <w:sz w:val="24"/>
          <w:szCs w:val="24"/>
          <w:lang w:val="es-ES_tradnl"/>
        </w:rPr>
        <w:t>que se articulan en los Principios rectores de las Naciones Unidas sobre las</w:t>
      </w:r>
      <w:r w:rsidR="00DD0F8E" w:rsidRPr="005D2519">
        <w:rPr>
          <w:rFonts w:eastAsia="Times New Roman"/>
          <w:b/>
          <w:color w:val="000000"/>
          <w:sz w:val="24"/>
          <w:szCs w:val="24"/>
          <w:lang w:val="es-ES_tradnl"/>
        </w:rPr>
        <w:t xml:space="preserve"> </w:t>
      </w:r>
      <w:r w:rsidRPr="005D2519">
        <w:rPr>
          <w:rFonts w:eastAsia="Times New Roman"/>
          <w:b/>
          <w:color w:val="000000"/>
          <w:sz w:val="24"/>
          <w:szCs w:val="24"/>
          <w:lang w:val="es-ES_tradnl"/>
        </w:rPr>
        <w:t>empresas y los derechos humanos</w:t>
      </w:r>
      <w:r w:rsidR="00DD0F8E" w:rsidRPr="005D2519">
        <w:rPr>
          <w:rFonts w:eastAsia="Times New Roman"/>
          <w:b/>
          <w:color w:val="000000"/>
          <w:sz w:val="24"/>
          <w:szCs w:val="24"/>
          <w:lang w:val="es-ES_tradnl"/>
        </w:rPr>
        <w:t>.</w:t>
      </w:r>
    </w:p>
    <w:p w:rsidR="00DD0F8E" w:rsidRPr="005D2519" w:rsidRDefault="00DD0F8E" w:rsidP="00DD0F8E">
      <w:pPr>
        <w:pStyle w:val="ListParagraph"/>
        <w:shd w:val="clear" w:color="auto" w:fill="FFFFFF"/>
        <w:tabs>
          <w:tab w:val="left" w:pos="1073"/>
        </w:tabs>
        <w:ind w:right="878"/>
        <w:jc w:val="both"/>
        <w:rPr>
          <w:sz w:val="24"/>
          <w:szCs w:val="24"/>
        </w:rPr>
      </w:pPr>
    </w:p>
    <w:p w:rsidR="00827CE1" w:rsidRPr="005D2519" w:rsidRDefault="00827CE1" w:rsidP="007E4DB3">
      <w:pPr>
        <w:shd w:val="clear" w:color="auto" w:fill="FFFFFF"/>
        <w:ind w:right="-1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5D2519">
        <w:rPr>
          <w:color w:val="000000"/>
          <w:sz w:val="24"/>
          <w:szCs w:val="24"/>
          <w:lang w:val="es-ES_tradnl"/>
        </w:rPr>
        <w:t>Respecto a este punto se cita el caso de Google, en el que Intercept revel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>ó que Google se encuentra desarrollando un buscador censurado términos que el gobierno chino considera polémicos, no respetando muchos de los derechos de sus ciudadano</w:t>
      </w:r>
      <w:r w:rsidR="007E4DB3" w:rsidRPr="005D2519">
        <w:rPr>
          <w:rFonts w:eastAsia="Times New Roman"/>
          <w:color w:val="000000"/>
          <w:sz w:val="24"/>
          <w:szCs w:val="24"/>
          <w:lang w:val="es-ES_tradnl"/>
        </w:rPr>
        <w:t>s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 xml:space="preserve"> y ampliando abiertamente sus poderes de vigilancia y herramientas de control de la población. Adicionalmente, estas empresas tienen el poder de definir que mostrar a los usuarios en las búsquedas realizadas.</w:t>
      </w:r>
    </w:p>
    <w:p w:rsidR="007E4DB3" w:rsidRPr="005D2519" w:rsidRDefault="007E4DB3" w:rsidP="007E4DB3">
      <w:pPr>
        <w:shd w:val="clear" w:color="auto" w:fill="FFFFFF"/>
        <w:ind w:right="-1"/>
        <w:jc w:val="both"/>
        <w:rPr>
          <w:sz w:val="24"/>
          <w:szCs w:val="24"/>
        </w:rPr>
      </w:pPr>
    </w:p>
    <w:p w:rsidR="00827CE1" w:rsidRPr="005D2519" w:rsidRDefault="00827CE1" w:rsidP="007E4DB3">
      <w:pPr>
        <w:shd w:val="clear" w:color="auto" w:fill="FFFFFF"/>
        <w:ind w:right="-1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5D2519">
        <w:rPr>
          <w:color w:val="000000"/>
          <w:spacing w:val="-2"/>
          <w:sz w:val="24"/>
          <w:szCs w:val="24"/>
          <w:lang w:val="es-ES_tradnl"/>
        </w:rPr>
        <w:t>Por otro lado, se tiene el caso de la censura de Facebook a la fotograf</w:t>
      </w:r>
      <w:r w:rsidRPr="005D2519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ía de la niña de napalm de la guerra de Vietnam, tomada por Nick Ut y que fue galardonada con el premio Pulitzer. </w:t>
      </w:r>
      <w:r w:rsidRPr="005D2519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Censura sustentada por la empresa en sus normas de desnudez, sin embargo violando el 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>derecho a la libertad de opinión y de expresión, sin limitaciones de fronteras, por cualquier medio de expresión.</w:t>
      </w:r>
    </w:p>
    <w:p w:rsidR="007E4DB3" w:rsidRPr="005D2519" w:rsidRDefault="007E4DB3" w:rsidP="007E4DB3">
      <w:pPr>
        <w:shd w:val="clear" w:color="auto" w:fill="FFFFFF"/>
        <w:ind w:right="-1"/>
        <w:jc w:val="both"/>
        <w:rPr>
          <w:sz w:val="24"/>
          <w:szCs w:val="24"/>
        </w:rPr>
      </w:pPr>
    </w:p>
    <w:p w:rsidR="00827CE1" w:rsidRPr="005D2519" w:rsidRDefault="00827CE1" w:rsidP="007E4DB3">
      <w:pPr>
        <w:shd w:val="clear" w:color="auto" w:fill="FFFFFF"/>
        <w:ind w:right="-1"/>
        <w:jc w:val="both"/>
        <w:rPr>
          <w:sz w:val="24"/>
          <w:szCs w:val="24"/>
        </w:rPr>
      </w:pPr>
      <w:r w:rsidRPr="005D2519">
        <w:rPr>
          <w:color w:val="000000"/>
          <w:spacing w:val="-1"/>
          <w:sz w:val="24"/>
          <w:szCs w:val="24"/>
          <w:lang w:val="es-ES_tradnl"/>
        </w:rPr>
        <w:t>Por tanto, las pol</w:t>
      </w:r>
      <w:r w:rsidRPr="005D2519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íticas, términos y condiciones de uso de estas empresas privadas violan los 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>derechos humanos de libre expresión.</w:t>
      </w:r>
    </w:p>
    <w:p w:rsidR="007E4DB3" w:rsidRPr="005D2519" w:rsidRDefault="007E4DB3" w:rsidP="007E4DB3">
      <w:pPr>
        <w:shd w:val="clear" w:color="auto" w:fill="FFFFFF"/>
        <w:ind w:right="14"/>
        <w:jc w:val="both"/>
        <w:rPr>
          <w:sz w:val="24"/>
          <w:szCs w:val="24"/>
        </w:rPr>
      </w:pPr>
    </w:p>
    <w:p w:rsidR="00827CE1" w:rsidRPr="005D2519" w:rsidRDefault="00827CE1" w:rsidP="007E4DB3">
      <w:pPr>
        <w:pStyle w:val="ListParagraph"/>
        <w:numPr>
          <w:ilvl w:val="0"/>
          <w:numId w:val="4"/>
        </w:numPr>
        <w:shd w:val="clear" w:color="auto" w:fill="FFFFFF"/>
        <w:ind w:left="284" w:right="14" w:hanging="284"/>
        <w:jc w:val="both"/>
        <w:rPr>
          <w:rFonts w:eastAsia="Times New Roman"/>
          <w:color w:val="000000"/>
          <w:sz w:val="24"/>
          <w:szCs w:val="24"/>
          <w:lang w:val="es-ES_tradnl"/>
        </w:rPr>
      </w:pPr>
      <w:r w:rsidRPr="005D2519">
        <w:rPr>
          <w:color w:val="000000"/>
          <w:sz w:val="24"/>
          <w:szCs w:val="24"/>
          <w:lang w:val="es-ES_tradnl"/>
        </w:rPr>
        <w:t>La medida en que las empresas privadas de vigilancia ofrecen servicios a los Estados y a otros agentes para desplegar sus tecnolog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 xml:space="preserve">ías en circunstancias </w:t>
      </w:r>
      <w:r w:rsidRPr="005D2519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específicas y la medida en que las empresas conocen el uso final de las tecnologías 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>que comercializan</w:t>
      </w:r>
    </w:p>
    <w:p w:rsidR="007E4DB3" w:rsidRPr="005D2519" w:rsidRDefault="007E4DB3" w:rsidP="007E4DB3">
      <w:pPr>
        <w:pStyle w:val="ListParagraph"/>
        <w:shd w:val="clear" w:color="auto" w:fill="FFFFFF"/>
        <w:ind w:right="14"/>
        <w:jc w:val="both"/>
        <w:rPr>
          <w:sz w:val="24"/>
          <w:szCs w:val="24"/>
        </w:rPr>
      </w:pPr>
    </w:p>
    <w:p w:rsidR="007E4DB3" w:rsidRPr="005D2519" w:rsidRDefault="00827CE1" w:rsidP="007E4DB3">
      <w:pPr>
        <w:shd w:val="clear" w:color="auto" w:fill="FFFFFF"/>
        <w:ind w:right="14"/>
        <w:jc w:val="both"/>
        <w:rPr>
          <w:rFonts w:eastAsia="Times New Roman"/>
          <w:color w:val="000000"/>
          <w:spacing w:val="-3"/>
          <w:sz w:val="24"/>
          <w:szCs w:val="24"/>
          <w:lang w:val="es-ES_tradnl"/>
        </w:rPr>
      </w:pPr>
      <w:r w:rsidRPr="005D2519">
        <w:rPr>
          <w:color w:val="000000"/>
          <w:sz w:val="24"/>
          <w:szCs w:val="24"/>
          <w:lang w:val="es-ES_tradnl"/>
        </w:rPr>
        <w:t>Respecto a este punto se cita un texto extra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 xml:space="preserve">ído del libro "Trabajo, conocimiento y vigilancia" </w:t>
      </w:r>
      <w:r w:rsidRPr="005D2519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de Antonio Casillí: "En la medida en que los actores que participan en la economía digital no 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 xml:space="preserve">cumplen con sus responsabilidades al no limitar distribuciones autoritarias de poder, su </w:t>
      </w:r>
      <w:r w:rsidRPr="005D2519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intervención (pasiva o activa) en la creación de un vasto complejo militar-industrial se vuelve </w:t>
      </w:r>
      <w:r w:rsidRPr="005D2519">
        <w:rPr>
          <w:rFonts w:eastAsia="Times New Roman"/>
          <w:color w:val="000000"/>
          <w:spacing w:val="-3"/>
          <w:sz w:val="24"/>
          <w:szCs w:val="24"/>
          <w:lang w:val="es-ES_tradnl"/>
        </w:rPr>
        <w:t xml:space="preserve">más evidente. </w:t>
      </w:r>
    </w:p>
    <w:p w:rsidR="007E4DB3" w:rsidRPr="005D2519" w:rsidRDefault="007E4DB3" w:rsidP="007E4DB3">
      <w:pPr>
        <w:shd w:val="clear" w:color="auto" w:fill="FFFFFF"/>
        <w:ind w:right="14"/>
        <w:jc w:val="both"/>
        <w:rPr>
          <w:rFonts w:eastAsia="Times New Roman"/>
          <w:color w:val="000000"/>
          <w:spacing w:val="-3"/>
          <w:sz w:val="24"/>
          <w:szCs w:val="24"/>
          <w:lang w:val="es-ES_tradnl"/>
        </w:rPr>
      </w:pPr>
    </w:p>
    <w:p w:rsidR="00827CE1" w:rsidRPr="005D2519" w:rsidRDefault="00827CE1" w:rsidP="007E4DB3">
      <w:pPr>
        <w:shd w:val="clear" w:color="auto" w:fill="FFFFFF"/>
        <w:ind w:right="14"/>
        <w:jc w:val="both"/>
        <w:rPr>
          <w:sz w:val="24"/>
          <w:szCs w:val="24"/>
        </w:rPr>
      </w:pPr>
      <w:r w:rsidRPr="005D2519">
        <w:rPr>
          <w:rFonts w:eastAsia="Times New Roman"/>
          <w:color w:val="000000"/>
          <w:spacing w:val="-3"/>
          <w:sz w:val="24"/>
          <w:szCs w:val="24"/>
          <w:lang w:val="es-ES_tradnl"/>
        </w:rPr>
        <w:t xml:space="preserve">Entramos en una fase de ansiedad y desconfianza entre los consumidores y las </w:t>
      </w:r>
      <w:r w:rsidRPr="005D2519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empresas del sector privado. En el espacio donde se juegan los desafíos políticos de las </w:t>
      </w:r>
      <w:r w:rsidRPr="005D2519"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tecnologías digitales, intereses económicos y estratégicos de las compañías tecnológicas </w:t>
      </w:r>
      <w:r w:rsidRPr="005D2519">
        <w:rPr>
          <w:rFonts w:eastAsia="Times New Roman"/>
          <w:color w:val="000000"/>
          <w:spacing w:val="-1"/>
          <w:sz w:val="24"/>
          <w:szCs w:val="24"/>
          <w:lang w:val="es-ES_tradnl"/>
        </w:rPr>
        <w:t>promueven dichos métodos de vigilancia, sosteniendo que simplemente trabajan sobre las herram</w:t>
      </w:r>
      <w:r w:rsidR="007E4DB3" w:rsidRPr="005D2519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ientas que los estados modernos </w:t>
      </w:r>
      <w:r w:rsidRPr="005D2519"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han usado durante mucho tiempo para monitorear a 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>las poblaciones."</w:t>
      </w:r>
    </w:p>
    <w:p w:rsidR="007E4DB3" w:rsidRPr="005D2519" w:rsidRDefault="007E4DB3" w:rsidP="007E4DB3">
      <w:pPr>
        <w:shd w:val="clear" w:color="auto" w:fill="FFFFFF"/>
        <w:ind w:right="22"/>
        <w:jc w:val="both"/>
        <w:rPr>
          <w:color w:val="000000"/>
          <w:sz w:val="24"/>
          <w:szCs w:val="24"/>
        </w:rPr>
      </w:pPr>
    </w:p>
    <w:p w:rsidR="00827CE1" w:rsidRPr="00317F4D" w:rsidRDefault="00827CE1" w:rsidP="000D6F0C">
      <w:pPr>
        <w:shd w:val="clear" w:color="auto" w:fill="FFFFFF"/>
        <w:ind w:right="22"/>
        <w:jc w:val="both"/>
        <w:rPr>
          <w:sz w:val="24"/>
          <w:szCs w:val="24"/>
          <w:lang w:val="es-ES_tradnl"/>
        </w:rPr>
      </w:pPr>
      <w:r w:rsidRPr="005D2519">
        <w:rPr>
          <w:color w:val="000000"/>
          <w:sz w:val="24"/>
          <w:szCs w:val="24"/>
          <w:lang w:val="es-ES_tradnl"/>
        </w:rPr>
        <w:t>En relaci</w:t>
      </w:r>
      <w:r w:rsidRPr="005D2519">
        <w:rPr>
          <w:rFonts w:eastAsia="Times New Roman"/>
          <w:color w:val="000000"/>
          <w:sz w:val="24"/>
          <w:szCs w:val="24"/>
          <w:lang w:val="es-ES_tradnl"/>
        </w:rPr>
        <w:t>ón a los casos expuestos y el texto citado en el párrafo anterior, las empresas privadas conocen e) uso final de las tecnologías que comercializan, y los Estados están tomando ventaja del poder de estas empresas respecto a la información personal que registran y almacenan.</w:t>
      </w:r>
    </w:p>
    <w:p w:rsidR="00CA3B13" w:rsidRPr="00827CE1" w:rsidRDefault="00D965F5" w:rsidP="00827CE1">
      <w:pPr>
        <w:jc w:val="both"/>
        <w:rPr>
          <w:sz w:val="24"/>
          <w:szCs w:val="24"/>
        </w:rPr>
      </w:pPr>
    </w:p>
    <w:sectPr w:rsidR="00CA3B13" w:rsidRPr="00827CE1" w:rsidSect="0004578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4B0" w:rsidRDefault="007054B0" w:rsidP="00317F4D">
      <w:r>
        <w:separator/>
      </w:r>
    </w:p>
  </w:endnote>
  <w:endnote w:type="continuationSeparator" w:id="0">
    <w:p w:rsidR="007054B0" w:rsidRDefault="007054B0" w:rsidP="0031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F4D" w:rsidRDefault="00317F4D">
    <w:pPr>
      <w:pStyle w:val="Footer"/>
      <w:jc w:val="right"/>
    </w:pPr>
  </w:p>
  <w:p w:rsidR="0023016D" w:rsidRDefault="0023016D" w:rsidP="0023016D">
    <w:pPr>
      <w:pStyle w:val="Footer"/>
      <w:pBdr>
        <w:bottom w:val="single" w:sz="6" w:space="1" w:color="auto"/>
      </w:pBdr>
    </w:pPr>
  </w:p>
  <w:p w:rsidR="00317F4D" w:rsidRPr="0023016D" w:rsidRDefault="0023016D" w:rsidP="0023016D">
    <w:pPr>
      <w:pStyle w:val="Footer"/>
      <w:jc w:val="right"/>
      <w:rPr>
        <w:rFonts w:ascii="Times New Roman" w:hAnsi="Times New Roman" w:cs="Times New Roman"/>
        <w:i/>
        <w:sz w:val="18"/>
      </w:rPr>
    </w:pPr>
    <w:r w:rsidRPr="0023016D">
      <w:rPr>
        <w:rFonts w:ascii="Times New Roman" w:hAnsi="Times New Roman" w:cs="Times New Roman"/>
        <w:i/>
        <w:sz w:val="18"/>
      </w:rPr>
      <w:t>“ESTADO PLURINACIONAL DE BOLIVIA”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4B0" w:rsidRDefault="007054B0" w:rsidP="00317F4D">
      <w:r>
        <w:separator/>
      </w:r>
    </w:p>
  </w:footnote>
  <w:footnote w:type="continuationSeparator" w:id="0">
    <w:p w:rsidR="007054B0" w:rsidRDefault="007054B0" w:rsidP="0031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236327"/>
      <w:docPartObj>
        <w:docPartGallery w:val="Page Numbers (Top of Page)"/>
        <w:docPartUnique/>
      </w:docPartObj>
    </w:sdtPr>
    <w:sdtEndPr/>
    <w:sdtContent>
      <w:p w:rsidR="0077320C" w:rsidRDefault="007732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5F5">
          <w:rPr>
            <w:noProof/>
          </w:rPr>
          <w:t>1</w:t>
        </w:r>
        <w:r>
          <w:fldChar w:fldCharType="end"/>
        </w:r>
      </w:p>
    </w:sdtContent>
  </w:sdt>
  <w:p w:rsidR="0077320C" w:rsidRDefault="00773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34BCAC"/>
    <w:lvl w:ilvl="0">
      <w:numFmt w:val="bullet"/>
      <w:lvlText w:val="*"/>
      <w:lvlJc w:val="left"/>
    </w:lvl>
  </w:abstractNum>
  <w:abstractNum w:abstractNumId="1" w15:restartNumberingAfterBreak="0">
    <w:nsid w:val="2B244420"/>
    <w:multiLevelType w:val="hybridMultilevel"/>
    <w:tmpl w:val="83F01640"/>
    <w:lvl w:ilvl="0" w:tplc="01186E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EF12BC"/>
    <w:multiLevelType w:val="hybridMultilevel"/>
    <w:tmpl w:val="E3220E8A"/>
    <w:lvl w:ilvl="0" w:tplc="4044CCEA">
      <w:start w:val="1"/>
      <w:numFmt w:val="upperLetter"/>
      <w:lvlText w:val="%1)"/>
      <w:lvlJc w:val="left"/>
      <w:pPr>
        <w:ind w:left="374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094" w:hanging="360"/>
      </w:pPr>
    </w:lvl>
    <w:lvl w:ilvl="2" w:tplc="0C0A001B" w:tentative="1">
      <w:start w:val="1"/>
      <w:numFmt w:val="lowerRoman"/>
      <w:lvlText w:val="%3."/>
      <w:lvlJc w:val="right"/>
      <w:pPr>
        <w:ind w:left="1814" w:hanging="180"/>
      </w:pPr>
    </w:lvl>
    <w:lvl w:ilvl="3" w:tplc="0C0A000F" w:tentative="1">
      <w:start w:val="1"/>
      <w:numFmt w:val="decimal"/>
      <w:lvlText w:val="%4."/>
      <w:lvlJc w:val="left"/>
      <w:pPr>
        <w:ind w:left="2534" w:hanging="360"/>
      </w:pPr>
    </w:lvl>
    <w:lvl w:ilvl="4" w:tplc="0C0A0019" w:tentative="1">
      <w:start w:val="1"/>
      <w:numFmt w:val="lowerLetter"/>
      <w:lvlText w:val="%5."/>
      <w:lvlJc w:val="left"/>
      <w:pPr>
        <w:ind w:left="3254" w:hanging="360"/>
      </w:pPr>
    </w:lvl>
    <w:lvl w:ilvl="5" w:tplc="0C0A001B" w:tentative="1">
      <w:start w:val="1"/>
      <w:numFmt w:val="lowerRoman"/>
      <w:lvlText w:val="%6."/>
      <w:lvlJc w:val="right"/>
      <w:pPr>
        <w:ind w:left="3974" w:hanging="180"/>
      </w:pPr>
    </w:lvl>
    <w:lvl w:ilvl="6" w:tplc="0C0A000F" w:tentative="1">
      <w:start w:val="1"/>
      <w:numFmt w:val="decimal"/>
      <w:lvlText w:val="%7."/>
      <w:lvlJc w:val="left"/>
      <w:pPr>
        <w:ind w:left="4694" w:hanging="360"/>
      </w:pPr>
    </w:lvl>
    <w:lvl w:ilvl="7" w:tplc="0C0A0019" w:tentative="1">
      <w:start w:val="1"/>
      <w:numFmt w:val="lowerLetter"/>
      <w:lvlText w:val="%8."/>
      <w:lvlJc w:val="left"/>
      <w:pPr>
        <w:ind w:left="5414" w:hanging="360"/>
      </w:pPr>
    </w:lvl>
    <w:lvl w:ilvl="8" w:tplc="0C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504E17BC"/>
    <w:multiLevelType w:val="hybridMultilevel"/>
    <w:tmpl w:val="5A30395C"/>
    <w:lvl w:ilvl="0" w:tplc="4880B9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E1"/>
    <w:rsid w:val="00045782"/>
    <w:rsid w:val="000D6F0C"/>
    <w:rsid w:val="0023016D"/>
    <w:rsid w:val="00317F4D"/>
    <w:rsid w:val="00494FDE"/>
    <w:rsid w:val="00515757"/>
    <w:rsid w:val="005D2519"/>
    <w:rsid w:val="007054B0"/>
    <w:rsid w:val="0077320C"/>
    <w:rsid w:val="007E4DB3"/>
    <w:rsid w:val="00827CE1"/>
    <w:rsid w:val="00962495"/>
    <w:rsid w:val="00A47C4D"/>
    <w:rsid w:val="00AA302D"/>
    <w:rsid w:val="00D965F5"/>
    <w:rsid w:val="00DD0F8E"/>
    <w:rsid w:val="00E571F8"/>
    <w:rsid w:val="00E7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6EE685-8CC0-4ED8-A16D-F815B8CE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96D"/>
    <w:rPr>
      <w:rFonts w:ascii="Segoe UI" w:eastAsiaTheme="minorEastAsia" w:hAnsi="Segoe UI" w:cs="Segoe UI"/>
      <w:sz w:val="18"/>
      <w:szCs w:val="18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317F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F4D"/>
    <w:rPr>
      <w:rFonts w:ascii="Arial" w:eastAsiaTheme="minorEastAsia" w:hAnsi="Arial" w:cs="Arial"/>
      <w:sz w:val="20"/>
      <w:szCs w:val="20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317F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F4D"/>
    <w:rPr>
      <w:rFonts w:ascii="Arial" w:eastAsiaTheme="minorEastAsia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D6680F-4565-45F9-8EFA-2334DC62B37A}"/>
</file>

<file path=customXml/itemProps2.xml><?xml version="1.0" encoding="utf-8"?>
<ds:datastoreItem xmlns:ds="http://schemas.openxmlformats.org/officeDocument/2006/customXml" ds:itemID="{52100F8D-AE15-4D97-9B57-BDEED85BBC01}"/>
</file>

<file path=customXml/itemProps3.xml><?xml version="1.0" encoding="utf-8"?>
<ds:datastoreItem xmlns:ds="http://schemas.openxmlformats.org/officeDocument/2006/customXml" ds:itemID="{72AC85BD-A1D5-4D86-9593-A670399645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1500</Words>
  <Characters>8556</Characters>
  <Application>Microsoft Office Word</Application>
  <DocSecurity>4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echipana</dc:creator>
  <cp:lastModifiedBy>MOGSTER Daniel</cp:lastModifiedBy>
  <cp:revision>2</cp:revision>
  <cp:lastPrinted>2019-03-18T17:54:00Z</cp:lastPrinted>
  <dcterms:created xsi:type="dcterms:W3CDTF">2019-06-26T13:26:00Z</dcterms:created>
  <dcterms:modified xsi:type="dcterms:W3CDTF">2019-06-26T13:26:00Z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