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A171" w14:textId="764E7387" w:rsidR="005A5E43" w:rsidRPr="005A5E43" w:rsidRDefault="005A5E43" w:rsidP="005A5E43">
      <w:pPr>
        <w:jc w:val="center"/>
        <w:rPr>
          <w:rFonts w:ascii="Times New Roman" w:eastAsia="Times New Roman" w:hAnsi="Times New Roman" w:cs="Times New Roman"/>
        </w:rPr>
      </w:pPr>
      <w:r w:rsidRPr="005A5E43">
        <w:rPr>
          <w:rFonts w:ascii="Times New Roman" w:eastAsia="Times New Roman" w:hAnsi="Times New Roman" w:cs="Times New Roman"/>
          <w:bCs/>
          <w:iCs/>
          <w:sz w:val="28"/>
          <w:szCs w:val="28"/>
        </w:rPr>
        <w:t>Background Paper for the</w:t>
      </w:r>
    </w:p>
    <w:p w14:paraId="7C6054B9" w14:textId="3AB2EA58" w:rsidR="005A5E43" w:rsidRPr="005A5E43" w:rsidRDefault="005A5E43" w:rsidP="005A5E43">
      <w:pPr>
        <w:jc w:val="center"/>
        <w:rPr>
          <w:rFonts w:ascii="Times New Roman" w:eastAsia="Times New Roman" w:hAnsi="Times New Roman" w:cs="Times New Roman"/>
        </w:rPr>
      </w:pPr>
      <w:r w:rsidRPr="005A5E43">
        <w:rPr>
          <w:rFonts w:ascii="Times New Roman" w:eastAsia="Times New Roman" w:hAnsi="Times New Roman" w:cs="Times New Roman"/>
          <w:bCs/>
          <w:iCs/>
          <w:sz w:val="28"/>
          <w:szCs w:val="28"/>
        </w:rPr>
        <w:t>Regional Consultation for the Middle East and North Africa </w:t>
      </w:r>
    </w:p>
    <w:p w14:paraId="169F3F5C" w14:textId="2DC985C2" w:rsidR="005A5E43" w:rsidRDefault="005A5E43" w:rsidP="005A5E43">
      <w:pPr>
        <w:jc w:val="center"/>
        <w:rPr>
          <w:rFonts w:ascii="Times New Roman" w:eastAsia="Times New Roman" w:hAnsi="Times New Roman" w:cs="Times New Roman"/>
          <w:bCs/>
          <w:iCs/>
          <w:sz w:val="28"/>
          <w:szCs w:val="28"/>
        </w:rPr>
      </w:pPr>
      <w:r w:rsidRPr="005A5E43">
        <w:rPr>
          <w:rFonts w:ascii="Times New Roman" w:eastAsia="Times New Roman" w:hAnsi="Times New Roman" w:cs="Times New Roman"/>
          <w:bCs/>
          <w:iCs/>
          <w:sz w:val="28"/>
          <w:szCs w:val="28"/>
        </w:rPr>
        <w:t>Beirut, L</w:t>
      </w:r>
      <w:r w:rsidRPr="005A5E43">
        <w:rPr>
          <w:rFonts w:ascii="Times New Roman" w:eastAsia="Times New Roman" w:hAnsi="Times New Roman" w:cs="Times New Roman"/>
          <w:bCs/>
          <w:iCs/>
          <w:sz w:val="28"/>
          <w:szCs w:val="28"/>
        </w:rPr>
        <w:t>ebanon</w:t>
      </w:r>
      <w:r w:rsidRPr="005A5E43">
        <w:rPr>
          <w:rFonts w:ascii="Times New Roman" w:eastAsia="Times New Roman" w:hAnsi="Times New Roman" w:cs="Times New Roman"/>
          <w:bCs/>
          <w:iCs/>
          <w:sz w:val="28"/>
          <w:szCs w:val="28"/>
        </w:rPr>
        <w:br/>
        <w:t>21 and 22 December 2017</w:t>
      </w:r>
    </w:p>
    <w:p w14:paraId="06EBC20E" w14:textId="77777777" w:rsidR="005A5E43" w:rsidRPr="005A5E43" w:rsidRDefault="005A5E43" w:rsidP="005A5E43">
      <w:pPr>
        <w:jc w:val="center"/>
        <w:rPr>
          <w:rFonts w:ascii="Times New Roman" w:eastAsia="Times New Roman" w:hAnsi="Times New Roman" w:cs="Times New Roman"/>
        </w:rPr>
      </w:pPr>
    </w:p>
    <w:p w14:paraId="35758B84" w14:textId="77777777" w:rsidR="005A5E43" w:rsidRDefault="005A5E43" w:rsidP="00313D15">
      <w:pPr>
        <w:jc w:val="center"/>
        <w:outlineLvl w:val="0"/>
        <w:rPr>
          <w:rFonts w:ascii="Times New Roman" w:hAnsi="Times New Roman"/>
          <w:b/>
          <w:bCs/>
          <w:sz w:val="28"/>
          <w:szCs w:val="28"/>
        </w:rPr>
      </w:pPr>
    </w:p>
    <w:p w14:paraId="38581B7E" w14:textId="77777777" w:rsidR="00F218B8" w:rsidRPr="00F218B8" w:rsidRDefault="00F218B8" w:rsidP="00313D15">
      <w:pPr>
        <w:jc w:val="center"/>
        <w:outlineLvl w:val="0"/>
        <w:rPr>
          <w:rFonts w:ascii="Times New Roman" w:hAnsi="Times New Roman"/>
          <w:b/>
          <w:bCs/>
          <w:sz w:val="28"/>
          <w:szCs w:val="28"/>
        </w:rPr>
      </w:pPr>
      <w:r w:rsidRPr="00F218B8">
        <w:rPr>
          <w:rFonts w:ascii="Times New Roman" w:hAnsi="Times New Roman"/>
          <w:b/>
          <w:bCs/>
          <w:sz w:val="28"/>
          <w:szCs w:val="28"/>
        </w:rPr>
        <w:t>The Equal Right to Participate in the Conduct of Public Affairs</w:t>
      </w:r>
    </w:p>
    <w:p w14:paraId="272384D8" w14:textId="23B58CEA" w:rsidR="00927EE5" w:rsidRDefault="005A5E43" w:rsidP="00313D15">
      <w:pPr>
        <w:jc w:val="center"/>
        <w:outlineLvl w:val="0"/>
        <w:rPr>
          <w:rFonts w:ascii="Times New Roman" w:hAnsi="Times New Roman"/>
          <w:b/>
          <w:bCs/>
          <w:sz w:val="28"/>
          <w:szCs w:val="28"/>
        </w:rPr>
      </w:pPr>
      <w:r>
        <w:rPr>
          <w:rFonts w:ascii="Times New Roman" w:hAnsi="Times New Roman"/>
          <w:b/>
          <w:bCs/>
          <w:sz w:val="28"/>
          <w:szCs w:val="28"/>
        </w:rPr>
        <w:t>i</w:t>
      </w:r>
      <w:r w:rsidR="001415F8">
        <w:rPr>
          <w:rFonts w:ascii="Times New Roman" w:hAnsi="Times New Roman"/>
          <w:b/>
          <w:bCs/>
          <w:sz w:val="28"/>
          <w:szCs w:val="28"/>
        </w:rPr>
        <w:t xml:space="preserve">n </w:t>
      </w:r>
      <w:r w:rsidR="00F218B8" w:rsidRPr="00F218B8">
        <w:rPr>
          <w:rFonts w:ascii="Times New Roman" w:hAnsi="Times New Roman"/>
          <w:b/>
          <w:bCs/>
          <w:sz w:val="28"/>
          <w:szCs w:val="28"/>
        </w:rPr>
        <w:t>the Arab Region</w:t>
      </w:r>
    </w:p>
    <w:p w14:paraId="18AC24AB" w14:textId="77777777" w:rsidR="00CA7281" w:rsidRDefault="00CA7281" w:rsidP="00F218B8">
      <w:pPr>
        <w:jc w:val="center"/>
        <w:rPr>
          <w:rFonts w:ascii="Times New Roman" w:hAnsi="Times New Roman"/>
          <w:b/>
          <w:bCs/>
          <w:sz w:val="28"/>
          <w:szCs w:val="28"/>
        </w:rPr>
      </w:pPr>
    </w:p>
    <w:p w14:paraId="1F077191" w14:textId="77777777" w:rsidR="00CA7281" w:rsidRPr="00CA7281" w:rsidRDefault="00CA7281" w:rsidP="00313D15">
      <w:pPr>
        <w:jc w:val="center"/>
        <w:outlineLvl w:val="0"/>
        <w:rPr>
          <w:rFonts w:ascii="Times New Roman" w:hAnsi="Times New Roman"/>
        </w:rPr>
      </w:pPr>
    </w:p>
    <w:p w14:paraId="7B9C790D" w14:textId="754B08B9" w:rsidR="008B73DD" w:rsidRPr="005A5E43" w:rsidRDefault="005A5E43" w:rsidP="005A5E43">
      <w:pPr>
        <w:jc w:val="center"/>
        <w:rPr>
          <w:rFonts w:ascii="Times New Roman" w:hAnsi="Times New Roman" w:cs="Times New Roman"/>
        </w:rPr>
      </w:pPr>
      <w:r w:rsidRPr="005A5E43">
        <w:rPr>
          <w:rFonts w:ascii="Times New Roman" w:hAnsi="Times New Roman" w:cs="Times New Roman"/>
        </w:rPr>
        <w:t>by Mr Fateh Azzam</w:t>
      </w:r>
      <w:r w:rsidRPr="005A5E43">
        <w:rPr>
          <w:rStyle w:val="FootnoteReference"/>
          <w:rFonts w:ascii="Times New Roman" w:hAnsi="Times New Roman" w:cs="Times New Roman"/>
        </w:rPr>
        <w:footnoteReference w:id="1"/>
      </w:r>
    </w:p>
    <w:p w14:paraId="2DFF4DED" w14:textId="77777777" w:rsidR="005A5E43" w:rsidRDefault="005A5E43" w:rsidP="00B1206F">
      <w:pPr>
        <w:jc w:val="both"/>
      </w:pPr>
    </w:p>
    <w:p w14:paraId="365D543D" w14:textId="77777777" w:rsidR="005A5E43" w:rsidRPr="008B73DD" w:rsidRDefault="005A5E43" w:rsidP="00B1206F">
      <w:pPr>
        <w:jc w:val="both"/>
        <w:rPr>
          <w:rFonts w:ascii="Times New Roman" w:hAnsi="Times New Roman"/>
        </w:rPr>
      </w:pPr>
    </w:p>
    <w:p w14:paraId="3CDCDC76" w14:textId="77777777" w:rsidR="00F95B7E" w:rsidRPr="00C81DB2" w:rsidRDefault="008B73DD" w:rsidP="00B1206F">
      <w:pPr>
        <w:jc w:val="both"/>
        <w:rPr>
          <w:rFonts w:asciiTheme="majorBidi" w:hAnsiTheme="majorBidi" w:cstheme="majorBidi"/>
        </w:rPr>
      </w:pPr>
      <w:r w:rsidRPr="00C81DB2">
        <w:rPr>
          <w:rFonts w:asciiTheme="majorBidi" w:hAnsiTheme="majorBidi" w:cstheme="majorBidi"/>
        </w:rPr>
        <w:t xml:space="preserve">This study is </w:t>
      </w:r>
      <w:r w:rsidR="00D25D35" w:rsidRPr="00C81DB2">
        <w:rPr>
          <w:rFonts w:asciiTheme="majorBidi" w:hAnsiTheme="majorBidi" w:cstheme="majorBidi"/>
        </w:rPr>
        <w:t xml:space="preserve">a contribution to </w:t>
      </w:r>
      <w:r w:rsidR="00295140" w:rsidRPr="00C81DB2">
        <w:rPr>
          <w:rFonts w:asciiTheme="majorBidi" w:hAnsiTheme="majorBidi" w:cstheme="majorBidi"/>
        </w:rPr>
        <w:t>current</w:t>
      </w:r>
      <w:r w:rsidRPr="00C81DB2">
        <w:rPr>
          <w:rFonts w:asciiTheme="majorBidi" w:hAnsiTheme="majorBidi" w:cstheme="majorBidi"/>
        </w:rPr>
        <w:t xml:space="preserve"> effort</w:t>
      </w:r>
      <w:r w:rsidR="00AD6066" w:rsidRPr="00C81DB2">
        <w:rPr>
          <w:rFonts w:asciiTheme="majorBidi" w:hAnsiTheme="majorBidi" w:cstheme="majorBidi"/>
        </w:rPr>
        <w:t>s</w:t>
      </w:r>
      <w:r w:rsidR="00386E7F" w:rsidRPr="00C81DB2">
        <w:rPr>
          <w:rFonts w:asciiTheme="majorBidi" w:hAnsiTheme="majorBidi" w:cstheme="majorBidi"/>
        </w:rPr>
        <w:t xml:space="preserve"> by the Office of the United Nations High Commissioner for Human Rights</w:t>
      </w:r>
      <w:r w:rsidR="00D25D35" w:rsidRPr="00C81DB2">
        <w:rPr>
          <w:rFonts w:asciiTheme="majorBidi" w:hAnsiTheme="majorBidi" w:cstheme="majorBidi"/>
        </w:rPr>
        <w:t xml:space="preserve"> </w:t>
      </w:r>
      <w:r w:rsidRPr="00C81DB2">
        <w:rPr>
          <w:rFonts w:asciiTheme="majorBidi" w:hAnsiTheme="majorBidi" w:cstheme="majorBidi"/>
        </w:rPr>
        <w:t xml:space="preserve">to </w:t>
      </w:r>
      <w:r w:rsidR="00386E7F" w:rsidRPr="00C81DB2">
        <w:rPr>
          <w:rFonts w:asciiTheme="majorBidi" w:hAnsiTheme="majorBidi" w:cstheme="majorBidi"/>
        </w:rPr>
        <w:t xml:space="preserve">elaborate </w:t>
      </w:r>
      <w:r w:rsidR="00295140" w:rsidRPr="00C81DB2">
        <w:rPr>
          <w:rFonts w:asciiTheme="majorBidi" w:hAnsiTheme="majorBidi" w:cstheme="majorBidi"/>
        </w:rPr>
        <w:t>international</w:t>
      </w:r>
      <w:r w:rsidR="00D25D35" w:rsidRPr="00C81DB2">
        <w:rPr>
          <w:rFonts w:asciiTheme="majorBidi" w:hAnsiTheme="majorBidi" w:cstheme="majorBidi"/>
        </w:rPr>
        <w:t xml:space="preserve"> guidelines on </w:t>
      </w:r>
      <w:r w:rsidRPr="00C81DB2">
        <w:rPr>
          <w:rFonts w:asciiTheme="majorBidi" w:hAnsiTheme="majorBidi" w:cstheme="majorBidi"/>
        </w:rPr>
        <w:t>equal participation i</w:t>
      </w:r>
      <w:r w:rsidR="00D25D35" w:rsidRPr="00C81DB2">
        <w:rPr>
          <w:rFonts w:asciiTheme="majorBidi" w:hAnsiTheme="majorBidi" w:cstheme="majorBidi"/>
        </w:rPr>
        <w:t xml:space="preserve">n the conduct of public affairs, as </w:t>
      </w:r>
      <w:r w:rsidR="00386E7F" w:rsidRPr="00C81DB2">
        <w:rPr>
          <w:rFonts w:asciiTheme="majorBidi" w:hAnsiTheme="majorBidi" w:cstheme="majorBidi"/>
        </w:rPr>
        <w:t xml:space="preserve">mandated </w:t>
      </w:r>
      <w:r w:rsidR="00F52596" w:rsidRPr="00C81DB2">
        <w:rPr>
          <w:rFonts w:asciiTheme="majorBidi" w:hAnsiTheme="majorBidi" w:cstheme="majorBidi"/>
        </w:rPr>
        <w:t>in Human Rights Council</w:t>
      </w:r>
      <w:r w:rsidR="00D25D35" w:rsidRPr="00C81DB2">
        <w:rPr>
          <w:rFonts w:asciiTheme="majorBidi" w:hAnsiTheme="majorBidi" w:cstheme="majorBidi"/>
        </w:rPr>
        <w:t xml:space="preserve"> Resolution 33/22 of 30 September, 2016. The resolution reaffirmed the </w:t>
      </w:r>
      <w:r w:rsidR="00BA4C8F" w:rsidRPr="00C81DB2">
        <w:rPr>
          <w:rFonts w:asciiTheme="majorBidi" w:hAnsiTheme="majorBidi" w:cstheme="majorBidi"/>
        </w:rPr>
        <w:t>right of all people to be fully involved in and to effectively influence public decision-making processes that affect them</w:t>
      </w:r>
      <w:r w:rsidR="00D25D35" w:rsidRPr="00C81DB2">
        <w:rPr>
          <w:rFonts w:asciiTheme="majorBidi" w:hAnsiTheme="majorBidi" w:cstheme="majorBidi"/>
        </w:rPr>
        <w:t>, equally and without discrimination on any basis</w:t>
      </w:r>
      <w:r w:rsidR="00C81DB2" w:rsidRPr="00C81DB2">
        <w:rPr>
          <w:rFonts w:asciiTheme="majorBidi" w:hAnsiTheme="majorBidi" w:cstheme="majorBidi"/>
        </w:rPr>
        <w:t>,</w:t>
      </w:r>
      <w:r w:rsidR="00D25D35" w:rsidRPr="00C81DB2">
        <w:rPr>
          <w:rFonts w:asciiTheme="majorBidi" w:hAnsiTheme="majorBidi" w:cstheme="majorBidi"/>
        </w:rPr>
        <w:t xml:space="preserve"> as stipulated by</w:t>
      </w:r>
      <w:r w:rsidR="00F52596" w:rsidRPr="00C81DB2">
        <w:rPr>
          <w:rFonts w:asciiTheme="majorBidi" w:hAnsiTheme="majorBidi" w:cstheme="majorBidi"/>
        </w:rPr>
        <w:t xml:space="preserve"> international human rights law and</w:t>
      </w:r>
      <w:r w:rsidR="00295140" w:rsidRPr="00C81DB2">
        <w:rPr>
          <w:rFonts w:asciiTheme="majorBidi" w:hAnsiTheme="majorBidi" w:cstheme="majorBidi"/>
        </w:rPr>
        <w:t xml:space="preserve"> by</w:t>
      </w:r>
      <w:r w:rsidR="00D25D35" w:rsidRPr="00C81DB2">
        <w:rPr>
          <w:rFonts w:asciiTheme="majorBidi" w:hAnsiTheme="majorBidi" w:cstheme="majorBidi"/>
        </w:rPr>
        <w:t xml:space="preserve"> relevant General Assembly and Hu</w:t>
      </w:r>
      <w:r w:rsidR="00F52596" w:rsidRPr="00C81DB2">
        <w:rPr>
          <w:rFonts w:asciiTheme="majorBidi" w:hAnsiTheme="majorBidi" w:cstheme="majorBidi"/>
        </w:rPr>
        <w:t>man</w:t>
      </w:r>
      <w:r w:rsidR="0042129E" w:rsidRPr="00C81DB2">
        <w:rPr>
          <w:rFonts w:asciiTheme="majorBidi" w:hAnsiTheme="majorBidi" w:cstheme="majorBidi"/>
        </w:rPr>
        <w:t xml:space="preserve"> Rights Council resolutions. </w:t>
      </w:r>
      <w:r w:rsidR="00F95B7E" w:rsidRPr="00C81DB2">
        <w:rPr>
          <w:rFonts w:asciiTheme="majorBidi" w:hAnsiTheme="majorBidi" w:cstheme="majorBidi"/>
        </w:rPr>
        <w:t>This study is a preliminary assessment o</w:t>
      </w:r>
      <w:r w:rsidR="00900157" w:rsidRPr="00C81DB2">
        <w:rPr>
          <w:rFonts w:asciiTheme="majorBidi" w:hAnsiTheme="majorBidi" w:cstheme="majorBidi"/>
        </w:rPr>
        <w:t>f the status of this right in 18</w:t>
      </w:r>
      <w:r w:rsidR="00F95B7E" w:rsidRPr="00C81DB2">
        <w:rPr>
          <w:rFonts w:asciiTheme="majorBidi" w:hAnsiTheme="majorBidi" w:cstheme="majorBidi"/>
        </w:rPr>
        <w:t xml:space="preserve"> countries in the Arab region.</w:t>
      </w:r>
      <w:r w:rsidR="00F95B7E" w:rsidRPr="00C81DB2">
        <w:rPr>
          <w:rStyle w:val="FootnoteReference"/>
          <w:rFonts w:asciiTheme="majorBidi" w:hAnsiTheme="majorBidi" w:cstheme="majorBidi"/>
        </w:rPr>
        <w:footnoteReference w:id="2"/>
      </w:r>
      <w:r w:rsidR="00F95B7E" w:rsidRPr="00C81DB2">
        <w:rPr>
          <w:rFonts w:asciiTheme="majorBidi" w:hAnsiTheme="majorBidi" w:cstheme="majorBidi"/>
        </w:rPr>
        <w:t xml:space="preserve"> </w:t>
      </w:r>
    </w:p>
    <w:p w14:paraId="000274B6" w14:textId="77777777" w:rsidR="001415F8" w:rsidRPr="00C81DB2" w:rsidRDefault="001415F8" w:rsidP="00B1206F">
      <w:pPr>
        <w:jc w:val="both"/>
        <w:rPr>
          <w:rFonts w:asciiTheme="majorBidi" w:hAnsiTheme="majorBidi" w:cstheme="majorBidi"/>
        </w:rPr>
      </w:pPr>
    </w:p>
    <w:p w14:paraId="7944156C" w14:textId="77777777" w:rsidR="001415F8" w:rsidRPr="001415F8" w:rsidRDefault="001415F8" w:rsidP="00B1206F">
      <w:pPr>
        <w:jc w:val="both"/>
        <w:rPr>
          <w:rFonts w:ascii="Times New Roman" w:hAnsi="Times New Roman"/>
        </w:rPr>
      </w:pPr>
      <w:r>
        <w:rPr>
          <w:rFonts w:ascii="Times New Roman" w:hAnsi="Times New Roman"/>
        </w:rPr>
        <w:t>The process of developing the guidelines include</w:t>
      </w:r>
      <w:r w:rsidR="00804FF6">
        <w:rPr>
          <w:rFonts w:ascii="Times New Roman" w:hAnsi="Times New Roman"/>
        </w:rPr>
        <w:t>d</w:t>
      </w:r>
      <w:r>
        <w:rPr>
          <w:rFonts w:ascii="Times New Roman" w:hAnsi="Times New Roman"/>
        </w:rPr>
        <w:t xml:space="preserve"> </w:t>
      </w:r>
      <w:r>
        <w:rPr>
          <w:rFonts w:ascii="Times New Roman" w:hAnsi="Times New Roman"/>
          <w:i/>
          <w:iCs/>
        </w:rPr>
        <w:t>notes verbales</w:t>
      </w:r>
      <w:r>
        <w:rPr>
          <w:rFonts w:ascii="Times New Roman" w:hAnsi="Times New Roman"/>
        </w:rPr>
        <w:t xml:space="preserve"> </w:t>
      </w:r>
      <w:r w:rsidR="00C402E7">
        <w:rPr>
          <w:rFonts w:ascii="Times New Roman" w:hAnsi="Times New Roman"/>
        </w:rPr>
        <w:t xml:space="preserve">and letters </w:t>
      </w:r>
      <w:r>
        <w:rPr>
          <w:rFonts w:ascii="Times New Roman" w:hAnsi="Times New Roman"/>
        </w:rPr>
        <w:t xml:space="preserve">seeking information from member states </w:t>
      </w:r>
      <w:r w:rsidR="00C402E7">
        <w:rPr>
          <w:rFonts w:ascii="Times New Roman" w:hAnsi="Times New Roman"/>
        </w:rPr>
        <w:t xml:space="preserve">and other stakeholders </w:t>
      </w:r>
      <w:r>
        <w:rPr>
          <w:rFonts w:ascii="Times New Roman" w:hAnsi="Times New Roman"/>
        </w:rPr>
        <w:t xml:space="preserve">on </w:t>
      </w:r>
      <w:r w:rsidR="007E0FFD">
        <w:rPr>
          <w:rFonts w:ascii="Times New Roman" w:hAnsi="Times New Roman"/>
        </w:rPr>
        <w:t>guarantees</w:t>
      </w:r>
      <w:r>
        <w:rPr>
          <w:rFonts w:ascii="Times New Roman" w:hAnsi="Times New Roman"/>
        </w:rPr>
        <w:t xml:space="preserve"> of this right in their respective countries,</w:t>
      </w:r>
      <w:r w:rsidR="00804FF6">
        <w:rPr>
          <w:rStyle w:val="FootnoteReference"/>
          <w:rFonts w:ascii="Times New Roman" w:hAnsi="Times New Roman"/>
        </w:rPr>
        <w:footnoteReference w:id="3"/>
      </w:r>
      <w:r>
        <w:rPr>
          <w:rFonts w:ascii="Times New Roman" w:hAnsi="Times New Roman"/>
        </w:rPr>
        <w:t xml:space="preserve"> regional </w:t>
      </w:r>
      <w:r w:rsidR="00900157">
        <w:rPr>
          <w:rFonts w:ascii="Times New Roman" w:hAnsi="Times New Roman"/>
        </w:rPr>
        <w:t>meetings,</w:t>
      </w:r>
      <w:r>
        <w:rPr>
          <w:rFonts w:ascii="Times New Roman" w:hAnsi="Times New Roman"/>
        </w:rPr>
        <w:t xml:space="preserve"> and studies of which this paper on the Arab region is one. The paper will begin with a restatement of the normative framework, which situates this right within the overall framework </w:t>
      </w:r>
      <w:r w:rsidR="007E0FFD">
        <w:rPr>
          <w:rFonts w:ascii="Times New Roman" w:hAnsi="Times New Roman"/>
        </w:rPr>
        <w:t>of</w:t>
      </w:r>
      <w:r>
        <w:rPr>
          <w:rFonts w:ascii="Times New Roman" w:hAnsi="Times New Roman"/>
        </w:rPr>
        <w:t xml:space="preserve"> </w:t>
      </w:r>
      <w:r w:rsidR="007E0FFD">
        <w:rPr>
          <w:rFonts w:ascii="Times New Roman" w:hAnsi="Times New Roman"/>
        </w:rPr>
        <w:t>interdependent and indivisible human rights</w:t>
      </w:r>
      <w:r>
        <w:rPr>
          <w:rFonts w:ascii="Times New Roman" w:hAnsi="Times New Roman"/>
        </w:rPr>
        <w:t>. It will then proceed to provide a broad overview of the consti</w:t>
      </w:r>
      <w:r w:rsidR="00900157">
        <w:rPr>
          <w:rFonts w:ascii="Times New Roman" w:hAnsi="Times New Roman"/>
        </w:rPr>
        <w:t xml:space="preserve">tutional provisions and guarantees of </w:t>
      </w:r>
      <w:r>
        <w:rPr>
          <w:rFonts w:ascii="Times New Roman" w:hAnsi="Times New Roman"/>
        </w:rPr>
        <w:t xml:space="preserve">the equal right to participate in the conduct of public affairs </w:t>
      </w:r>
      <w:r w:rsidR="00900157">
        <w:rPr>
          <w:rFonts w:ascii="Times New Roman" w:hAnsi="Times New Roman"/>
        </w:rPr>
        <w:t>as well as related rights that are essential to its effective exercise</w:t>
      </w:r>
      <w:r>
        <w:rPr>
          <w:rFonts w:ascii="Times New Roman" w:hAnsi="Times New Roman"/>
        </w:rPr>
        <w:t>.</w:t>
      </w:r>
      <w:r w:rsidR="00900157">
        <w:rPr>
          <w:rFonts w:ascii="Times New Roman" w:hAnsi="Times New Roman"/>
        </w:rPr>
        <w:t xml:space="preserve"> A discussion will follow on legislative provisions and policy efforts in the</w:t>
      </w:r>
      <w:r w:rsidR="00C81DB2">
        <w:rPr>
          <w:rFonts w:ascii="Times New Roman" w:hAnsi="Times New Roman"/>
        </w:rPr>
        <w:t xml:space="preserve"> countries under consideration</w:t>
      </w:r>
      <w:r w:rsidR="00900157">
        <w:rPr>
          <w:rFonts w:ascii="Times New Roman" w:hAnsi="Times New Roman"/>
        </w:rPr>
        <w:t xml:space="preserve"> and the</w:t>
      </w:r>
      <w:r w:rsidR="007E0FFD">
        <w:rPr>
          <w:rFonts w:ascii="Times New Roman" w:hAnsi="Times New Roman"/>
        </w:rPr>
        <w:t xml:space="preserve"> regional framework</w:t>
      </w:r>
      <w:r w:rsidR="00C81DB2">
        <w:rPr>
          <w:rFonts w:ascii="Times New Roman" w:hAnsi="Times New Roman"/>
        </w:rPr>
        <w:t xml:space="preserve"> relevant to the exercise of this right</w:t>
      </w:r>
      <w:r w:rsidR="007E0FFD">
        <w:rPr>
          <w:rFonts w:ascii="Times New Roman" w:hAnsi="Times New Roman"/>
        </w:rPr>
        <w:t>. The</w:t>
      </w:r>
      <w:r w:rsidR="00900157">
        <w:rPr>
          <w:rFonts w:ascii="Times New Roman" w:hAnsi="Times New Roman"/>
        </w:rPr>
        <w:t xml:space="preserve"> </w:t>
      </w:r>
      <w:r w:rsidR="007E0FFD">
        <w:rPr>
          <w:rFonts w:ascii="Times New Roman" w:hAnsi="Times New Roman"/>
        </w:rPr>
        <w:t>study</w:t>
      </w:r>
      <w:r w:rsidR="00900157">
        <w:rPr>
          <w:rFonts w:ascii="Times New Roman" w:hAnsi="Times New Roman"/>
        </w:rPr>
        <w:t xml:space="preserve"> ends with a few recommendations that may be useful to consider in the proposed guidelines.</w:t>
      </w:r>
    </w:p>
    <w:p w14:paraId="43F6CFFD" w14:textId="77777777" w:rsidR="0041322B" w:rsidRDefault="0041322B">
      <w:pPr>
        <w:rPr>
          <w:rFonts w:ascii="Times New Roman" w:hAnsi="Times New Roman"/>
          <w:b/>
          <w:bCs/>
          <w:u w:val="single"/>
        </w:rPr>
      </w:pPr>
    </w:p>
    <w:p w14:paraId="6E95F8FF" w14:textId="77777777" w:rsidR="00F52596" w:rsidRPr="00B81FB7" w:rsidRDefault="00590515" w:rsidP="00313D15">
      <w:pPr>
        <w:outlineLvl w:val="0"/>
        <w:rPr>
          <w:rFonts w:ascii="Times New Roman" w:hAnsi="Times New Roman"/>
          <w:b/>
          <w:bCs/>
        </w:rPr>
      </w:pPr>
      <w:r w:rsidRPr="00B81FB7">
        <w:rPr>
          <w:rFonts w:ascii="Times New Roman" w:hAnsi="Times New Roman"/>
          <w:b/>
          <w:bCs/>
          <w:u w:val="single"/>
        </w:rPr>
        <w:t>The normative framework for the equal right to participat</w:t>
      </w:r>
      <w:r w:rsidR="001415F8" w:rsidRPr="00B81FB7">
        <w:rPr>
          <w:rFonts w:ascii="Times New Roman" w:hAnsi="Times New Roman"/>
          <w:b/>
          <w:bCs/>
          <w:u w:val="single"/>
        </w:rPr>
        <w:t>e</w:t>
      </w:r>
    </w:p>
    <w:p w14:paraId="0A7E318C" w14:textId="77777777" w:rsidR="00F218B8" w:rsidRDefault="00F24DBB" w:rsidP="00B1206F">
      <w:pPr>
        <w:pStyle w:val="NormalWeb"/>
        <w:jc w:val="both"/>
      </w:pPr>
      <w:r>
        <w:t>The right to participate in public affairs</w:t>
      </w:r>
      <w:r w:rsidR="00B27A84">
        <w:t>, and the overarching principle of equality</w:t>
      </w:r>
      <w:r w:rsidR="00E92AD1">
        <w:t xml:space="preserve"> and non-discrimination</w:t>
      </w:r>
      <w:r w:rsidR="00B27A84">
        <w:t xml:space="preserve"> </w:t>
      </w:r>
      <w:r w:rsidR="00E40E6C">
        <w:t>in</w:t>
      </w:r>
      <w:r w:rsidR="00B27A84">
        <w:t xml:space="preserve"> do</w:t>
      </w:r>
      <w:r w:rsidR="00E40E6C">
        <w:t>ing</w:t>
      </w:r>
      <w:r w:rsidR="00B27A84">
        <w:t xml:space="preserve"> so,</w:t>
      </w:r>
      <w:r>
        <w:t xml:space="preserve"> </w:t>
      </w:r>
      <w:r w:rsidR="00B27A84">
        <w:t xml:space="preserve">are predicated on </w:t>
      </w:r>
      <w:r w:rsidR="0081389B">
        <w:t xml:space="preserve">Article 21(3) of </w:t>
      </w:r>
      <w:r w:rsidR="00B27A84">
        <w:t>the Universal Declaration of Human Rights</w:t>
      </w:r>
      <w:r w:rsidR="0081389B">
        <w:t>,</w:t>
      </w:r>
      <w:r w:rsidR="00B27A84">
        <w:t xml:space="preserve"> </w:t>
      </w:r>
      <w:r w:rsidR="00F218B8">
        <w:t>which affirms that</w:t>
      </w:r>
      <w:r w:rsidR="00B27A84">
        <w:t xml:space="preserve"> “the will of the</w:t>
      </w:r>
      <w:r w:rsidR="0081389B">
        <w:t xml:space="preserve"> </w:t>
      </w:r>
      <w:r w:rsidR="00B27A84">
        <w:t xml:space="preserve">people shall be the basis of the authority of governments” </w:t>
      </w:r>
      <w:r w:rsidR="00B27A84">
        <w:lastRenderedPageBreak/>
        <w:t xml:space="preserve">to be expressed in “periodic and genuine elections which shall be by universal and equal suffrage…” </w:t>
      </w:r>
    </w:p>
    <w:p w14:paraId="263F7258" w14:textId="77777777" w:rsidR="001D35E5" w:rsidRDefault="0081389B" w:rsidP="00B1206F">
      <w:pPr>
        <w:pStyle w:val="NormalWeb"/>
        <w:jc w:val="both"/>
      </w:pPr>
      <w:r>
        <w:t>S</w:t>
      </w:r>
      <w:r w:rsidR="001C4395">
        <w:t>ubsequent</w:t>
      </w:r>
      <w:r w:rsidR="00F218B8">
        <w:t xml:space="preserve"> i</w:t>
      </w:r>
      <w:r w:rsidR="00F218B8" w:rsidRPr="008B73DD">
        <w:rPr>
          <w:szCs w:val="20"/>
        </w:rPr>
        <w:t>ntern</w:t>
      </w:r>
      <w:r w:rsidR="00F218B8">
        <w:rPr>
          <w:szCs w:val="20"/>
        </w:rPr>
        <w:t>ational hu</w:t>
      </w:r>
      <w:r>
        <w:rPr>
          <w:szCs w:val="20"/>
        </w:rPr>
        <w:t>man rights treaties have confirmed and further elaborated this concept, acknowledging</w:t>
      </w:r>
      <w:r w:rsidR="00F218B8" w:rsidRPr="008B73DD">
        <w:rPr>
          <w:szCs w:val="20"/>
        </w:rPr>
        <w:t xml:space="preserve"> the right of all people to be i</w:t>
      </w:r>
      <w:r w:rsidR="00F218B8">
        <w:rPr>
          <w:szCs w:val="20"/>
        </w:rPr>
        <w:t>nvolved in and to effectively i</w:t>
      </w:r>
      <w:r w:rsidR="00F218B8" w:rsidRPr="008B73DD">
        <w:rPr>
          <w:szCs w:val="20"/>
        </w:rPr>
        <w:t>nfluence public decision-making processes that affect them</w:t>
      </w:r>
      <w:r w:rsidR="00F218B8" w:rsidRPr="001C4395">
        <w:rPr>
          <w:szCs w:val="20"/>
        </w:rPr>
        <w:t>.</w:t>
      </w:r>
      <w:r w:rsidR="001C4395">
        <w:t xml:space="preserve"> </w:t>
      </w:r>
      <w:r w:rsidR="001D35E5">
        <w:t>Article 25 of the International Covenant on Civil and Political Rights further detailed the scope of this right as to include taking part in the conduct of public affairs directly or through freely chosen representatives in a process of election by secret ballot. This is understood to mean a right to elect and be elected through “universal and equal suffrage” in order to guarantee the “free expression of the will of the electors.” Article 25 also stipulated that equal access to public service is an essential component of the right to participate.</w:t>
      </w:r>
      <w:r>
        <w:t xml:space="preserve"> Nearly all other core human rights treaties have also incorporated elements of the right to participate in their provisions.</w:t>
      </w:r>
      <w:r w:rsidR="001D33D1" w:rsidRPr="001C4395">
        <w:rPr>
          <w:rStyle w:val="FootnoteReference"/>
          <w:szCs w:val="20"/>
        </w:rPr>
        <w:footnoteReference w:id="4"/>
      </w:r>
    </w:p>
    <w:p w14:paraId="6B12736E" w14:textId="77777777" w:rsidR="002D504B" w:rsidRDefault="004572DF" w:rsidP="00B1206F">
      <w:pPr>
        <w:pStyle w:val="NormalWeb"/>
        <w:jc w:val="both"/>
      </w:pPr>
      <w:r>
        <w:t>The Human Rights C</w:t>
      </w:r>
      <w:r w:rsidR="006532C4">
        <w:t xml:space="preserve">ommittee interpreted the obligations of states under Article 25 of the </w:t>
      </w:r>
      <w:r w:rsidR="005E7CCB">
        <w:t>ICCPR</w:t>
      </w:r>
      <w:r w:rsidR="006532C4">
        <w:t xml:space="preserve"> as to include adopting positive measures to ensure the full, effective and equal enjoyment of this right, including through inclusive, meaningful and non-discriminatory processes and mechanisms. </w:t>
      </w:r>
      <w:r w:rsidR="00080F8F">
        <w:t xml:space="preserve">Such measures begin with this right being </w:t>
      </w:r>
      <w:r w:rsidR="005E7CCB">
        <w:t>guaranteed</w:t>
      </w:r>
      <w:r w:rsidR="00080F8F">
        <w:t xml:space="preserve"> by national constitutions and legislation.</w:t>
      </w:r>
      <w:r w:rsidR="006532C4">
        <w:rPr>
          <w:rStyle w:val="FootnoteReference"/>
        </w:rPr>
        <w:footnoteReference w:id="5"/>
      </w:r>
      <w:r w:rsidR="001E1795">
        <w:t xml:space="preserve"> The Committee on the Elimination of Discrimination Against Women </w:t>
      </w:r>
      <w:r w:rsidR="005E7CCB">
        <w:t xml:space="preserve">further </w:t>
      </w:r>
      <w:r w:rsidR="00295140">
        <w:t>noted</w:t>
      </w:r>
      <w:r w:rsidR="001E1795">
        <w:t xml:space="preserve"> that </w:t>
      </w:r>
      <w:r w:rsidR="00295140">
        <w:t xml:space="preserve">an important aspect of </w:t>
      </w:r>
      <w:r w:rsidR="001E1795">
        <w:t xml:space="preserve">participation </w:t>
      </w:r>
      <w:r w:rsidR="00295140">
        <w:t>is</w:t>
      </w:r>
      <w:r w:rsidR="001E1795">
        <w:t xml:space="preserve"> membership in civil society organizations and forums.</w:t>
      </w:r>
      <w:r w:rsidR="001E1795">
        <w:rPr>
          <w:rStyle w:val="FootnoteReference"/>
        </w:rPr>
        <w:footnoteReference w:id="6"/>
      </w:r>
      <w:r w:rsidR="001E1795">
        <w:t xml:space="preserve"> </w:t>
      </w:r>
    </w:p>
    <w:p w14:paraId="3DE33E85" w14:textId="77777777" w:rsidR="0018502D" w:rsidRDefault="00590515" w:rsidP="00B1206F">
      <w:pPr>
        <w:jc w:val="both"/>
        <w:rPr>
          <w:rFonts w:ascii="Times New Roman" w:hAnsi="Times New Roman"/>
        </w:rPr>
      </w:pPr>
      <w:r>
        <w:rPr>
          <w:rFonts w:ascii="Times New Roman" w:hAnsi="Times New Roman"/>
        </w:rPr>
        <w:t xml:space="preserve">The right to participate and inclusion of beneficiaries in the articulation and implementation of development policies and programs is </w:t>
      </w:r>
      <w:r w:rsidR="005E7CCB">
        <w:rPr>
          <w:rFonts w:ascii="Times New Roman" w:hAnsi="Times New Roman"/>
        </w:rPr>
        <w:t xml:space="preserve">also </w:t>
      </w:r>
      <w:r>
        <w:rPr>
          <w:rFonts w:ascii="Times New Roman" w:hAnsi="Times New Roman"/>
        </w:rPr>
        <w:t>a core feature of T</w:t>
      </w:r>
      <w:r w:rsidR="002D504B">
        <w:rPr>
          <w:rFonts w:ascii="Times New Roman" w:hAnsi="Times New Roman"/>
        </w:rPr>
        <w:t>he Declaration on the Right to Development.</w:t>
      </w:r>
      <w:r>
        <w:rPr>
          <w:rFonts w:ascii="Times New Roman" w:hAnsi="Times New Roman"/>
        </w:rPr>
        <w:t xml:space="preserve"> In defining this right</w:t>
      </w:r>
      <w:r w:rsidR="00C53411">
        <w:rPr>
          <w:rFonts w:ascii="Times New Roman" w:hAnsi="Times New Roman"/>
        </w:rPr>
        <w:t xml:space="preserve"> in</w:t>
      </w:r>
      <w:r w:rsidR="005E7CCB">
        <w:rPr>
          <w:rFonts w:ascii="Times New Roman" w:hAnsi="Times New Roman"/>
        </w:rPr>
        <w:t xml:space="preserve"> its</w:t>
      </w:r>
      <w:r w:rsidR="00C53411">
        <w:rPr>
          <w:rFonts w:ascii="Times New Roman" w:hAnsi="Times New Roman"/>
        </w:rPr>
        <w:t xml:space="preserve"> article 1</w:t>
      </w:r>
      <w:r>
        <w:rPr>
          <w:rFonts w:ascii="Times New Roman" w:hAnsi="Times New Roman"/>
        </w:rPr>
        <w:t>, the Declaration</w:t>
      </w:r>
      <w:r w:rsidR="00C502F0">
        <w:rPr>
          <w:rFonts w:ascii="Times New Roman" w:hAnsi="Times New Roman"/>
        </w:rPr>
        <w:t xml:space="preserve"> affirmed that “every person and all peoples are entitled </w:t>
      </w:r>
      <w:r w:rsidR="00801AA9">
        <w:rPr>
          <w:rFonts w:ascii="Times New Roman" w:hAnsi="Times New Roman"/>
        </w:rPr>
        <w:t>to</w:t>
      </w:r>
      <w:r w:rsidR="00C502F0">
        <w:rPr>
          <w:rFonts w:ascii="Times New Roman" w:hAnsi="Times New Roman"/>
        </w:rPr>
        <w:t xml:space="preserve"> participate in, contribute to and enjoy economic, social cultural and political development, in which all human rights and fundamental freedoms can be fully realized.”</w:t>
      </w:r>
      <w:r w:rsidR="00B863F1">
        <w:rPr>
          <w:rStyle w:val="FootnoteReference"/>
          <w:rFonts w:ascii="Times New Roman" w:hAnsi="Times New Roman"/>
        </w:rPr>
        <w:footnoteReference w:id="7"/>
      </w:r>
      <w:r>
        <w:rPr>
          <w:rFonts w:ascii="Times New Roman" w:hAnsi="Times New Roman"/>
        </w:rPr>
        <w:t xml:space="preserve"> </w:t>
      </w:r>
      <w:r w:rsidR="0018502D">
        <w:rPr>
          <w:rFonts w:ascii="Times New Roman" w:hAnsi="Times New Roman"/>
        </w:rPr>
        <w:t>It further affirmed the principle of equality of opportunity and the role of women in the development process and the importance of “popular partic</w:t>
      </w:r>
      <w:r w:rsidR="00900157">
        <w:rPr>
          <w:rFonts w:ascii="Times New Roman" w:hAnsi="Times New Roman"/>
        </w:rPr>
        <w:t>ipation in all spheres (article</w:t>
      </w:r>
      <w:r w:rsidR="0018502D">
        <w:rPr>
          <w:rFonts w:ascii="Times New Roman" w:hAnsi="Times New Roman"/>
        </w:rPr>
        <w:t xml:space="preserve"> 8 paras. 1 and 2). </w:t>
      </w:r>
    </w:p>
    <w:p w14:paraId="51E23C06" w14:textId="77777777" w:rsidR="0018502D" w:rsidRDefault="0018502D" w:rsidP="00B1206F">
      <w:pPr>
        <w:jc w:val="both"/>
        <w:rPr>
          <w:rFonts w:ascii="Times New Roman" w:hAnsi="Times New Roman"/>
        </w:rPr>
      </w:pPr>
    </w:p>
    <w:p w14:paraId="6F25857F" w14:textId="77777777" w:rsidR="0018502D" w:rsidRPr="00900157" w:rsidRDefault="0018502D" w:rsidP="00B1206F">
      <w:pPr>
        <w:jc w:val="both"/>
        <w:rPr>
          <w:rFonts w:asciiTheme="majorBidi" w:hAnsiTheme="majorBidi" w:cstheme="majorBidi"/>
        </w:rPr>
      </w:pPr>
      <w:r w:rsidRPr="00900157">
        <w:rPr>
          <w:rFonts w:asciiTheme="majorBidi" w:hAnsiTheme="majorBidi" w:cstheme="majorBidi"/>
        </w:rPr>
        <w:t xml:space="preserve">The requirement of participation is one of the four pillars of U.N. Security Council Resolution 1325 </w:t>
      </w:r>
      <w:r w:rsidR="00804FF6">
        <w:rPr>
          <w:rFonts w:asciiTheme="majorBidi" w:hAnsiTheme="majorBidi" w:cstheme="majorBidi"/>
        </w:rPr>
        <w:t>on women, peace and security. The resolution</w:t>
      </w:r>
      <w:r w:rsidRPr="00900157">
        <w:rPr>
          <w:rFonts w:asciiTheme="majorBidi" w:hAnsiTheme="majorBidi" w:cstheme="majorBidi"/>
        </w:rPr>
        <w:t xml:space="preserve"> stipulates</w:t>
      </w:r>
      <w:r w:rsidR="00197621" w:rsidRPr="00900157">
        <w:rPr>
          <w:rFonts w:asciiTheme="majorBidi" w:hAnsiTheme="majorBidi" w:cstheme="majorBidi"/>
        </w:rPr>
        <w:t xml:space="preserve"> in articles 1-4 and 8(b)</w:t>
      </w:r>
      <w:r w:rsidRPr="00900157">
        <w:rPr>
          <w:rFonts w:asciiTheme="majorBidi" w:hAnsiTheme="majorBidi" w:cstheme="majorBidi"/>
        </w:rPr>
        <w:t xml:space="preserve"> the equal and full participation of women in </w:t>
      </w:r>
      <w:r w:rsidR="00F30F1C" w:rsidRPr="00900157">
        <w:rPr>
          <w:rFonts w:asciiTheme="majorBidi" w:hAnsiTheme="majorBidi" w:cstheme="majorBidi"/>
        </w:rPr>
        <w:t xml:space="preserve">the prevention, management </w:t>
      </w:r>
      <w:r w:rsidR="00D0005D" w:rsidRPr="00900157">
        <w:rPr>
          <w:rFonts w:asciiTheme="majorBidi" w:hAnsiTheme="majorBidi" w:cstheme="majorBidi"/>
        </w:rPr>
        <w:t>and resolution of conflicts</w:t>
      </w:r>
      <w:r w:rsidRPr="00900157">
        <w:rPr>
          <w:rFonts w:asciiTheme="majorBidi" w:hAnsiTheme="majorBidi" w:cstheme="majorBidi"/>
        </w:rPr>
        <w:t>, and requires states</w:t>
      </w:r>
      <w:r w:rsidR="00197621" w:rsidRPr="00900157">
        <w:rPr>
          <w:rFonts w:asciiTheme="majorBidi" w:hAnsiTheme="majorBidi" w:cstheme="majorBidi"/>
        </w:rPr>
        <w:t xml:space="preserve"> and the U.N. Secretary General</w:t>
      </w:r>
      <w:r w:rsidRPr="00900157">
        <w:rPr>
          <w:rFonts w:asciiTheme="majorBidi" w:hAnsiTheme="majorBidi" w:cstheme="majorBidi"/>
        </w:rPr>
        <w:t xml:space="preserve"> to implement active measures to appoint women at leadership levels in these processes.</w:t>
      </w:r>
      <w:r w:rsidR="00197621" w:rsidRPr="00900157">
        <w:rPr>
          <w:rStyle w:val="FootnoteReference"/>
          <w:rFonts w:asciiTheme="majorBidi" w:hAnsiTheme="majorBidi" w:cstheme="majorBidi"/>
        </w:rPr>
        <w:footnoteReference w:id="8"/>
      </w:r>
      <w:r w:rsidRPr="00900157">
        <w:rPr>
          <w:rFonts w:asciiTheme="majorBidi" w:hAnsiTheme="majorBidi" w:cstheme="majorBidi"/>
        </w:rPr>
        <w:t xml:space="preserve"> </w:t>
      </w:r>
    </w:p>
    <w:p w14:paraId="0D7F58BE" w14:textId="77777777" w:rsidR="00040F1D" w:rsidRDefault="00197621" w:rsidP="00B1206F">
      <w:pPr>
        <w:pStyle w:val="NormalWeb"/>
        <w:jc w:val="both"/>
      </w:pPr>
      <w:r>
        <w:t>The foregoing clarifies that t</w:t>
      </w:r>
      <w:r w:rsidR="002D504B">
        <w:t xml:space="preserve">he right to </w:t>
      </w:r>
      <w:r w:rsidR="002D504B">
        <w:rPr>
          <w:i/>
        </w:rPr>
        <w:t xml:space="preserve">equal </w:t>
      </w:r>
      <w:r w:rsidR="002D504B">
        <w:t xml:space="preserve">participation is based in </w:t>
      </w:r>
      <w:r w:rsidR="002D504B" w:rsidRPr="008B73DD">
        <w:t xml:space="preserve">the overarching customary law character of the prohibition </w:t>
      </w:r>
      <w:r w:rsidR="002D504B">
        <w:t>of discrimination on any basis</w:t>
      </w:r>
      <w:r w:rsidR="002D504B" w:rsidRPr="008B73DD">
        <w:t>.</w:t>
      </w:r>
      <w:r w:rsidR="002D504B">
        <w:t xml:space="preserve"> </w:t>
      </w:r>
      <w:r w:rsidR="00804FF6">
        <w:t>But prohibition alone is</w:t>
      </w:r>
      <w:r w:rsidR="000363EB">
        <w:t xml:space="preserve"> not</w:t>
      </w:r>
      <w:r w:rsidR="00804FF6">
        <w:t xml:space="preserve"> enough and s</w:t>
      </w:r>
      <w:r w:rsidR="002D504B">
        <w:rPr>
          <w:szCs w:val="20"/>
        </w:rPr>
        <w:t xml:space="preserve">tates are called upon to be vigilant and </w:t>
      </w:r>
      <w:r>
        <w:rPr>
          <w:szCs w:val="20"/>
        </w:rPr>
        <w:t xml:space="preserve">to </w:t>
      </w:r>
      <w:r w:rsidR="002D504B">
        <w:rPr>
          <w:szCs w:val="20"/>
        </w:rPr>
        <w:t>take active measures to ensure equality and non-</w:t>
      </w:r>
      <w:r w:rsidR="002D504B">
        <w:rPr>
          <w:szCs w:val="20"/>
        </w:rPr>
        <w:lastRenderedPageBreak/>
        <w:t xml:space="preserve">discrimination. </w:t>
      </w:r>
      <w:r w:rsidR="000363EB">
        <w:rPr>
          <w:szCs w:val="20"/>
        </w:rPr>
        <w:t>T</w:t>
      </w:r>
      <w:r w:rsidR="002D504B">
        <w:rPr>
          <w:szCs w:val="20"/>
        </w:rPr>
        <w:t>his requires that s</w:t>
      </w:r>
      <w:r w:rsidR="002D504B" w:rsidRPr="008B73DD">
        <w:rPr>
          <w:szCs w:val="20"/>
        </w:rPr>
        <w:t>pecial attention</w:t>
      </w:r>
      <w:r w:rsidR="002D504B">
        <w:rPr>
          <w:szCs w:val="20"/>
        </w:rPr>
        <w:t xml:space="preserve"> be given</w:t>
      </w:r>
      <w:r w:rsidR="002D504B" w:rsidRPr="008B73DD">
        <w:rPr>
          <w:szCs w:val="20"/>
        </w:rPr>
        <w:t xml:space="preserve"> to</w:t>
      </w:r>
      <w:r w:rsidR="00704405">
        <w:rPr>
          <w:szCs w:val="20"/>
        </w:rPr>
        <w:t xml:space="preserve"> </w:t>
      </w:r>
      <w:r w:rsidR="00624255">
        <w:rPr>
          <w:szCs w:val="20"/>
        </w:rPr>
        <w:t>women and to</w:t>
      </w:r>
      <w:r w:rsidR="002D504B">
        <w:rPr>
          <w:szCs w:val="20"/>
        </w:rPr>
        <w:t xml:space="preserve"> historically </w:t>
      </w:r>
      <w:r w:rsidR="002D504B" w:rsidRPr="008B73DD">
        <w:rPr>
          <w:szCs w:val="20"/>
        </w:rPr>
        <w:t xml:space="preserve">marginalized groups and communities </w:t>
      </w:r>
      <w:r w:rsidR="002D504B">
        <w:rPr>
          <w:szCs w:val="20"/>
        </w:rPr>
        <w:t xml:space="preserve">in order to ensure their participation and to </w:t>
      </w:r>
      <w:r w:rsidR="000363EB">
        <w:rPr>
          <w:szCs w:val="20"/>
        </w:rPr>
        <w:t>reduce</w:t>
      </w:r>
      <w:r w:rsidR="002D504B">
        <w:rPr>
          <w:szCs w:val="20"/>
        </w:rPr>
        <w:t xml:space="preserve"> discrimination at the same time.</w:t>
      </w:r>
      <w:r w:rsidR="00624255">
        <w:t xml:space="preserve"> </w:t>
      </w:r>
    </w:p>
    <w:p w14:paraId="697C3162" w14:textId="77777777" w:rsidR="00624255" w:rsidRPr="00E40E6C" w:rsidRDefault="00D8137A" w:rsidP="00B1206F">
      <w:pPr>
        <w:pStyle w:val="NormalWeb"/>
        <w:jc w:val="both"/>
      </w:pPr>
      <w:r w:rsidRPr="00926D52">
        <w:t xml:space="preserve">The </w:t>
      </w:r>
      <w:r w:rsidR="00705DB1" w:rsidRPr="00926D52">
        <w:t xml:space="preserve">U.N. </w:t>
      </w:r>
      <w:r w:rsidR="000363EB">
        <w:t xml:space="preserve">Special Rapporteur </w:t>
      </w:r>
      <w:r w:rsidRPr="00926D52">
        <w:t xml:space="preserve">on Minority Issues </w:t>
      </w:r>
      <w:r w:rsidR="000363EB">
        <w:t>elaborated on</w:t>
      </w:r>
      <w:r w:rsidR="00040F1D" w:rsidRPr="00926D52">
        <w:t xml:space="preserve"> the right to “effective participation.” </w:t>
      </w:r>
      <w:r w:rsidR="004144FA">
        <w:t>Persons</w:t>
      </w:r>
      <w:r w:rsidR="004144FA" w:rsidRPr="00926D52">
        <w:t xml:space="preserve"> </w:t>
      </w:r>
      <w:r w:rsidR="000363EB">
        <w:t>belonging to</w:t>
      </w:r>
      <w:r w:rsidR="000363EB" w:rsidRPr="00926D52">
        <w:t xml:space="preserve"> </w:t>
      </w:r>
      <w:r w:rsidR="00040F1D" w:rsidRPr="00926D52">
        <w:t>ethnic</w:t>
      </w:r>
      <w:r w:rsidR="005E7CCB">
        <w:t>, religious</w:t>
      </w:r>
      <w:r w:rsidR="00040F1D" w:rsidRPr="00926D52">
        <w:t xml:space="preserve"> and other minorities</w:t>
      </w:r>
      <w:r w:rsidR="004144FA">
        <w:t>, particularly women,</w:t>
      </w:r>
      <w:r w:rsidR="00040F1D" w:rsidRPr="00926D52">
        <w:t xml:space="preserve"> must be able to participate </w:t>
      </w:r>
      <w:r w:rsidR="00040F1D" w:rsidRPr="00926D52">
        <w:rPr>
          <w:color w:val="000000"/>
        </w:rPr>
        <w:t>not only in political decision-making at both the local and national levels, but also should be given the means to participate effectively in the cultural, religious, social and economic spheres of their societies.</w:t>
      </w:r>
      <w:r w:rsidR="003D2BF6" w:rsidRPr="00926D52">
        <w:t xml:space="preserve"> P</w:t>
      </w:r>
      <w:r w:rsidR="00040F1D" w:rsidRPr="00926D52">
        <w:t xml:space="preserve">articipatory mechanisms </w:t>
      </w:r>
      <w:r w:rsidR="003D2BF6" w:rsidRPr="00926D52">
        <w:t xml:space="preserve">to that effect </w:t>
      </w:r>
      <w:r w:rsidR="00040F1D" w:rsidRPr="00926D52">
        <w:t>should be established by law and ensure</w:t>
      </w:r>
      <w:r w:rsidR="003D2BF6" w:rsidRPr="00926D52">
        <w:t xml:space="preserve"> </w:t>
      </w:r>
      <w:r w:rsidR="00040F1D" w:rsidRPr="00926D52">
        <w:t>equal access to information in a timely manner</w:t>
      </w:r>
      <w:r w:rsidR="003D2BF6" w:rsidRPr="00926D52">
        <w:t xml:space="preserve">, </w:t>
      </w:r>
      <w:r w:rsidR="005E7CCB">
        <w:t>and may include</w:t>
      </w:r>
      <w:r w:rsidR="003D2BF6" w:rsidRPr="00926D52">
        <w:t xml:space="preserve"> the adoption of special measures and affirmative action such as quotas</w:t>
      </w:r>
      <w:r w:rsidR="005E7CCB">
        <w:t>,</w:t>
      </w:r>
      <w:r w:rsidR="003D2BF6" w:rsidRPr="00926D52">
        <w:t xml:space="preserve"> for example, and the</w:t>
      </w:r>
      <w:r w:rsidR="00040F1D" w:rsidRPr="00926D52">
        <w:t xml:space="preserve"> </w:t>
      </w:r>
      <w:r w:rsidR="003D2BF6" w:rsidRPr="00926D52">
        <w:t>taking into consideration of minority particularities such as language and culture</w:t>
      </w:r>
      <w:r w:rsidR="005E7CCB">
        <w:t>.</w:t>
      </w:r>
      <w:r w:rsidR="003D2BF6" w:rsidRPr="00926D52">
        <w:rPr>
          <w:rStyle w:val="FootnoteReference"/>
        </w:rPr>
        <w:footnoteReference w:id="9"/>
      </w:r>
    </w:p>
    <w:p w14:paraId="5C7F7DED" w14:textId="77777777" w:rsidR="00520688" w:rsidRPr="006876AE" w:rsidRDefault="002D0A6D" w:rsidP="00B1206F">
      <w:pPr>
        <w:pStyle w:val="NormalWeb"/>
        <w:jc w:val="both"/>
      </w:pPr>
      <w:r>
        <w:rPr>
          <w:szCs w:val="20"/>
        </w:rPr>
        <w:t>Participation</w:t>
      </w:r>
      <w:r w:rsidRPr="008B73DD">
        <w:rPr>
          <w:szCs w:val="20"/>
        </w:rPr>
        <w:t xml:space="preserve"> rights encompass the right to be consulted at each phase of legisl</w:t>
      </w:r>
      <w:r>
        <w:rPr>
          <w:szCs w:val="20"/>
        </w:rPr>
        <w:t>ative drafting and policymaking,</w:t>
      </w:r>
      <w:r w:rsidRPr="008B73DD">
        <w:rPr>
          <w:szCs w:val="20"/>
        </w:rPr>
        <w:t xml:space="preserve"> </w:t>
      </w:r>
      <w:r>
        <w:rPr>
          <w:szCs w:val="20"/>
        </w:rPr>
        <w:t>to voice opinions and criticism,</w:t>
      </w:r>
      <w:r w:rsidRPr="008B73DD">
        <w:rPr>
          <w:szCs w:val="20"/>
        </w:rPr>
        <w:t xml:space="preserve"> and to submit proposals aimed at improving the functioning and inclusivity of all State bodies</w:t>
      </w:r>
      <w:r w:rsidR="00CF4F01">
        <w:rPr>
          <w:szCs w:val="20"/>
        </w:rPr>
        <w:t xml:space="preserve">. </w:t>
      </w:r>
      <w:r w:rsidR="00520688">
        <w:rPr>
          <w:szCs w:val="20"/>
        </w:rPr>
        <w:t xml:space="preserve">Along with the other international treaties and declarations, the declaration on human rights </w:t>
      </w:r>
      <w:r w:rsidR="005E7CCB">
        <w:rPr>
          <w:szCs w:val="20"/>
        </w:rPr>
        <w:t>defenders’</w:t>
      </w:r>
      <w:r w:rsidR="00520688">
        <w:rPr>
          <w:szCs w:val="20"/>
        </w:rPr>
        <w:t xml:space="preserve"> article 8</w:t>
      </w:r>
      <w:r w:rsidR="00C81DB2">
        <w:rPr>
          <w:szCs w:val="20"/>
        </w:rPr>
        <w:t xml:space="preserve"> </w:t>
      </w:r>
      <w:r w:rsidR="00BC270B">
        <w:rPr>
          <w:szCs w:val="20"/>
        </w:rPr>
        <w:t xml:space="preserve">reaffirms </w:t>
      </w:r>
      <w:r w:rsidR="00520688">
        <w:rPr>
          <w:szCs w:val="20"/>
        </w:rPr>
        <w:t xml:space="preserve">the right, “individually and in association with others” to non-discriminatory participation in the conduct of public affairs, which includes the right to submit to governmental institutions criticisms and “proposals for improving their functioning </w:t>
      </w:r>
      <w:r w:rsidR="00520688">
        <w:t>and to draw attention to any aspect of their work that may hinder or impede the promotion, protection and realization of human rights and fundamental freedoms.”</w:t>
      </w:r>
      <w:r w:rsidR="006876AE">
        <w:rPr>
          <w:rStyle w:val="FootnoteReference"/>
        </w:rPr>
        <w:footnoteReference w:id="10"/>
      </w:r>
      <w:r w:rsidR="00520688">
        <w:t xml:space="preserve"> </w:t>
      </w:r>
    </w:p>
    <w:p w14:paraId="220EDA92" w14:textId="77777777" w:rsidR="00295B6A" w:rsidRDefault="003557A1" w:rsidP="00B1206F">
      <w:pPr>
        <w:pStyle w:val="NormalWeb"/>
        <w:jc w:val="both"/>
      </w:pPr>
      <w:r>
        <w:rPr>
          <w:szCs w:val="20"/>
        </w:rPr>
        <w:t>In a number of resolutions, t</w:t>
      </w:r>
      <w:r w:rsidR="00804FF6">
        <w:rPr>
          <w:szCs w:val="20"/>
        </w:rPr>
        <w:t>he</w:t>
      </w:r>
      <w:r w:rsidR="00926D52">
        <w:t xml:space="preserve"> Human Rights Council </w:t>
      </w:r>
      <w:r>
        <w:t>reaffirmed</w:t>
      </w:r>
      <w:r w:rsidR="00926D52">
        <w:t xml:space="preserve"> that a number of related rights were “among the essential conditions for equal participation in political and public affairs and must be promoted and protected.” These include the rights to freedom of expression and association, of peaceful assembly, education, and access to information and the related freedom of the press and media, as well as inclusive economic empowerment.</w:t>
      </w:r>
      <w:r w:rsidR="00926D52">
        <w:rPr>
          <w:rStyle w:val="FootnoteReference"/>
        </w:rPr>
        <w:footnoteReference w:id="11"/>
      </w:r>
      <w:r w:rsidR="00926D52">
        <w:t xml:space="preserve"> </w:t>
      </w:r>
    </w:p>
    <w:p w14:paraId="2EE3D4FA" w14:textId="77777777" w:rsidR="006876AE" w:rsidRDefault="00295B6A" w:rsidP="00B1206F">
      <w:pPr>
        <w:pStyle w:val="NormalWeb"/>
        <w:jc w:val="both"/>
      </w:pPr>
      <w:r>
        <w:rPr>
          <w:szCs w:val="20"/>
        </w:rPr>
        <w:t>In the best of all possible worlds, full exercise of the right to participation requires an open and democratic society that recognizes the indivisibility and interdependence of all human rights, and where public policies in all spheres are openly discussed and debated</w:t>
      </w:r>
      <w:r w:rsidR="003557A1">
        <w:rPr>
          <w:szCs w:val="20"/>
        </w:rPr>
        <w:t xml:space="preserve">, and decision makers are </w:t>
      </w:r>
      <w:r w:rsidR="0008016A">
        <w:rPr>
          <w:szCs w:val="20"/>
        </w:rPr>
        <w:t>accountable to the people</w:t>
      </w:r>
      <w:r>
        <w:rPr>
          <w:szCs w:val="20"/>
        </w:rPr>
        <w:t>.</w:t>
      </w:r>
    </w:p>
    <w:p w14:paraId="756E4EAA" w14:textId="77777777" w:rsidR="00E24519" w:rsidRPr="00781CF5" w:rsidRDefault="00781CF5" w:rsidP="00313D15">
      <w:pPr>
        <w:outlineLvl w:val="0"/>
        <w:rPr>
          <w:rFonts w:ascii="Times New Roman" w:hAnsi="Times New Roman"/>
          <w:b/>
          <w:bCs/>
          <w:u w:val="single"/>
        </w:rPr>
      </w:pPr>
      <w:r>
        <w:rPr>
          <w:rFonts w:ascii="Times New Roman" w:hAnsi="Times New Roman"/>
          <w:b/>
          <w:bCs/>
          <w:u w:val="single"/>
        </w:rPr>
        <w:t>The r</w:t>
      </w:r>
      <w:r w:rsidR="00066D5A" w:rsidRPr="00781CF5">
        <w:rPr>
          <w:rFonts w:ascii="Times New Roman" w:hAnsi="Times New Roman"/>
          <w:b/>
          <w:bCs/>
          <w:u w:val="single"/>
        </w:rPr>
        <w:t>egional context</w:t>
      </w:r>
    </w:p>
    <w:p w14:paraId="23CCB36A" w14:textId="77777777" w:rsidR="00B60DB9" w:rsidRDefault="00B60DB9" w:rsidP="00B1206F">
      <w:pPr>
        <w:jc w:val="both"/>
        <w:rPr>
          <w:rFonts w:ascii="Times New Roman" w:hAnsi="Times New Roman"/>
        </w:rPr>
      </w:pPr>
    </w:p>
    <w:p w14:paraId="7F0BB375" w14:textId="1ED0D7C0" w:rsidR="00214E03" w:rsidRDefault="001A1A81" w:rsidP="009C7A81">
      <w:pPr>
        <w:jc w:val="both"/>
        <w:rPr>
          <w:rFonts w:ascii="Times New Roman" w:hAnsi="Times New Roman"/>
        </w:rPr>
      </w:pPr>
      <w:r>
        <w:rPr>
          <w:rFonts w:ascii="Times New Roman" w:hAnsi="Times New Roman"/>
        </w:rPr>
        <w:t xml:space="preserve">In </w:t>
      </w:r>
      <w:r w:rsidR="00B8722A">
        <w:rPr>
          <w:rFonts w:ascii="Times New Roman" w:hAnsi="Times New Roman"/>
        </w:rPr>
        <w:t xml:space="preserve">the Arab </w:t>
      </w:r>
      <w:r w:rsidRPr="00334B25">
        <w:rPr>
          <w:rFonts w:ascii="Times New Roman" w:hAnsi="Times New Roman"/>
        </w:rPr>
        <w:t xml:space="preserve">region, </w:t>
      </w:r>
      <w:r w:rsidR="00066D5A" w:rsidRPr="00334B25">
        <w:rPr>
          <w:rFonts w:ascii="Times New Roman" w:hAnsi="Times New Roman"/>
        </w:rPr>
        <w:t>p</w:t>
      </w:r>
      <w:r w:rsidR="00EA4267" w:rsidRPr="00334B25">
        <w:rPr>
          <w:rFonts w:ascii="Times New Roman" w:hAnsi="Times New Roman"/>
        </w:rPr>
        <w:t>olit</w:t>
      </w:r>
      <w:r w:rsidR="00B8722A" w:rsidRPr="00334B25">
        <w:rPr>
          <w:rFonts w:ascii="Times New Roman" w:hAnsi="Times New Roman"/>
        </w:rPr>
        <w:t xml:space="preserve">ical systems </w:t>
      </w:r>
      <w:r w:rsidR="00233F55" w:rsidRPr="00334B25">
        <w:rPr>
          <w:rFonts w:ascii="Times New Roman" w:hAnsi="Times New Roman"/>
        </w:rPr>
        <w:t>have</w:t>
      </w:r>
      <w:r w:rsidR="00AC4097" w:rsidRPr="00334B25">
        <w:rPr>
          <w:rFonts w:ascii="Times New Roman" w:hAnsi="Times New Roman"/>
        </w:rPr>
        <w:t xml:space="preserve"> </w:t>
      </w:r>
      <w:r w:rsidRPr="00334B25">
        <w:rPr>
          <w:rFonts w:ascii="Times New Roman" w:hAnsi="Times New Roman"/>
        </w:rPr>
        <w:t xml:space="preserve">generally </w:t>
      </w:r>
      <w:r w:rsidR="00AC4097" w:rsidRPr="00334B25">
        <w:rPr>
          <w:rFonts w:ascii="Times New Roman" w:hAnsi="Times New Roman"/>
        </w:rPr>
        <w:t>not</w:t>
      </w:r>
      <w:r w:rsidR="00233F55" w:rsidRPr="00334B25">
        <w:rPr>
          <w:rFonts w:ascii="Times New Roman" w:hAnsi="Times New Roman"/>
        </w:rPr>
        <w:t xml:space="preserve"> been</w:t>
      </w:r>
      <w:r w:rsidR="00EA4267" w:rsidRPr="00334B25">
        <w:rPr>
          <w:rFonts w:ascii="Times New Roman" w:hAnsi="Times New Roman"/>
        </w:rPr>
        <w:t xml:space="preserve"> conducive to democratic participation. </w:t>
      </w:r>
      <w:r w:rsidR="00D024A6" w:rsidRPr="00334B25">
        <w:rPr>
          <w:rFonts w:ascii="Times New Roman" w:hAnsi="Times New Roman"/>
        </w:rPr>
        <w:t>Eight countries are monarchies with hereditary accession</w:t>
      </w:r>
      <w:r w:rsidR="00E72164" w:rsidRPr="00334B25">
        <w:rPr>
          <w:rFonts w:ascii="Times New Roman" w:hAnsi="Times New Roman"/>
        </w:rPr>
        <w:t xml:space="preserve"> of the head of state</w:t>
      </w:r>
      <w:r w:rsidR="00066D5A" w:rsidRPr="00334B25">
        <w:rPr>
          <w:rFonts w:ascii="Times New Roman" w:hAnsi="Times New Roman"/>
        </w:rPr>
        <w:t xml:space="preserve"> and i</w:t>
      </w:r>
      <w:r w:rsidR="004B6FFA" w:rsidRPr="00334B25">
        <w:rPr>
          <w:rFonts w:ascii="Times New Roman" w:hAnsi="Times New Roman"/>
        </w:rPr>
        <w:t xml:space="preserve">n most of those countries, the </w:t>
      </w:r>
      <w:r w:rsidR="009C7A81" w:rsidRPr="00334B25">
        <w:rPr>
          <w:rFonts w:ascii="Times New Roman" w:hAnsi="Times New Roman"/>
        </w:rPr>
        <w:t xml:space="preserve">Monarchy </w:t>
      </w:r>
      <w:r w:rsidR="00066D5A" w:rsidRPr="00334B25">
        <w:rPr>
          <w:rFonts w:ascii="Times New Roman" w:hAnsi="Times New Roman"/>
        </w:rPr>
        <w:t>has</w:t>
      </w:r>
      <w:r w:rsidR="00E72164" w:rsidRPr="00334B25">
        <w:rPr>
          <w:rFonts w:ascii="Times New Roman" w:hAnsi="Times New Roman"/>
        </w:rPr>
        <w:t xml:space="preserve"> </w:t>
      </w:r>
      <w:r w:rsidR="00066D5A" w:rsidRPr="00334B25">
        <w:rPr>
          <w:rFonts w:ascii="Times New Roman" w:hAnsi="Times New Roman"/>
        </w:rPr>
        <w:t xml:space="preserve">near absolute </w:t>
      </w:r>
      <w:r w:rsidR="00E72164" w:rsidRPr="00334B25">
        <w:rPr>
          <w:rFonts w:ascii="Times New Roman" w:hAnsi="Times New Roman"/>
        </w:rPr>
        <w:t>decision-making authority</w:t>
      </w:r>
      <w:r w:rsidR="00295B6A" w:rsidRPr="00334B25">
        <w:rPr>
          <w:rFonts w:ascii="Times New Roman" w:hAnsi="Times New Roman"/>
        </w:rPr>
        <w:t>. This authority is</w:t>
      </w:r>
      <w:r w:rsidR="00E72164" w:rsidRPr="00334B25">
        <w:rPr>
          <w:rFonts w:ascii="Times New Roman" w:hAnsi="Times New Roman"/>
        </w:rPr>
        <w:t xml:space="preserve"> </w:t>
      </w:r>
      <w:r w:rsidR="00716B37" w:rsidRPr="00334B25">
        <w:rPr>
          <w:rFonts w:ascii="Times New Roman" w:hAnsi="Times New Roman"/>
        </w:rPr>
        <w:t xml:space="preserve">partially </w:t>
      </w:r>
      <w:r w:rsidR="00E72164" w:rsidRPr="00334B25">
        <w:rPr>
          <w:rFonts w:ascii="Times New Roman" w:hAnsi="Times New Roman"/>
        </w:rPr>
        <w:t>shared with</w:t>
      </w:r>
      <w:r w:rsidR="000F5641" w:rsidRPr="00334B25">
        <w:rPr>
          <w:rFonts w:ascii="Times New Roman" w:hAnsi="Times New Roman"/>
        </w:rPr>
        <w:t xml:space="preserve"> - </w:t>
      </w:r>
      <w:r w:rsidR="00E72164" w:rsidRPr="00334B25">
        <w:rPr>
          <w:rFonts w:ascii="Times New Roman" w:hAnsi="Times New Roman"/>
        </w:rPr>
        <w:t xml:space="preserve">and </w:t>
      </w:r>
      <w:r w:rsidR="00B8722A" w:rsidRPr="00334B25">
        <w:rPr>
          <w:rFonts w:ascii="Times New Roman" w:hAnsi="Times New Roman"/>
        </w:rPr>
        <w:t xml:space="preserve">more </w:t>
      </w:r>
      <w:r w:rsidR="00E72164" w:rsidRPr="00334B25">
        <w:rPr>
          <w:rFonts w:ascii="Times New Roman" w:hAnsi="Times New Roman"/>
        </w:rPr>
        <w:t xml:space="preserve">often </w:t>
      </w:r>
      <w:r w:rsidR="000F5641" w:rsidRPr="00334B25">
        <w:rPr>
          <w:rFonts w:ascii="Times New Roman" w:hAnsi="Times New Roman"/>
        </w:rPr>
        <w:t xml:space="preserve">than not </w:t>
      </w:r>
      <w:r w:rsidR="00524C5C" w:rsidRPr="00334B25">
        <w:rPr>
          <w:rFonts w:ascii="Times New Roman" w:hAnsi="Times New Roman"/>
        </w:rPr>
        <w:t>–</w:t>
      </w:r>
      <w:r w:rsidR="00B8722A" w:rsidRPr="00334B25">
        <w:rPr>
          <w:rFonts w:ascii="Times New Roman" w:hAnsi="Times New Roman"/>
        </w:rPr>
        <w:t xml:space="preserve"> </w:t>
      </w:r>
      <w:r w:rsidR="00E72164" w:rsidRPr="00334B25">
        <w:rPr>
          <w:rFonts w:ascii="Times New Roman" w:hAnsi="Times New Roman"/>
        </w:rPr>
        <w:t>supersed</w:t>
      </w:r>
      <w:r w:rsidR="00273A28" w:rsidRPr="00334B25">
        <w:rPr>
          <w:rFonts w:ascii="Times New Roman" w:hAnsi="Times New Roman"/>
        </w:rPr>
        <w:t>es</w:t>
      </w:r>
      <w:r w:rsidR="00E72164" w:rsidRPr="00334B25">
        <w:rPr>
          <w:rFonts w:ascii="Times New Roman" w:hAnsi="Times New Roman"/>
        </w:rPr>
        <w:t xml:space="preserve"> </w:t>
      </w:r>
      <w:r w:rsidR="00214E03" w:rsidRPr="00334B25">
        <w:rPr>
          <w:rFonts w:ascii="Times New Roman" w:hAnsi="Times New Roman"/>
        </w:rPr>
        <w:t>that of the</w:t>
      </w:r>
      <w:r w:rsidR="00066D5A" w:rsidRPr="00334B25">
        <w:rPr>
          <w:rFonts w:ascii="Times New Roman" w:hAnsi="Times New Roman"/>
        </w:rPr>
        <w:t xml:space="preserve"> </w:t>
      </w:r>
      <w:r w:rsidR="00273A28" w:rsidRPr="00334B25">
        <w:rPr>
          <w:rFonts w:ascii="Times New Roman" w:hAnsi="Times New Roman"/>
        </w:rPr>
        <w:t xml:space="preserve">elected and/or appointed </w:t>
      </w:r>
      <w:r w:rsidR="00066D5A" w:rsidRPr="00334B25">
        <w:rPr>
          <w:rFonts w:ascii="Times New Roman" w:hAnsi="Times New Roman"/>
        </w:rPr>
        <w:lastRenderedPageBreak/>
        <w:t>legislative bodies.</w:t>
      </w:r>
      <w:r w:rsidR="00066D5A" w:rsidRPr="00334B25">
        <w:rPr>
          <w:rStyle w:val="FootnoteReference"/>
          <w:rFonts w:ascii="Times New Roman" w:hAnsi="Times New Roman"/>
        </w:rPr>
        <w:footnoteReference w:id="12"/>
      </w:r>
      <w:r w:rsidR="00E72164">
        <w:rPr>
          <w:rFonts w:ascii="Times New Roman" w:hAnsi="Times New Roman"/>
        </w:rPr>
        <w:t xml:space="preserve"> </w:t>
      </w:r>
      <w:r w:rsidR="00295B6A">
        <w:rPr>
          <w:rFonts w:ascii="Times New Roman" w:hAnsi="Times New Roman"/>
        </w:rPr>
        <w:t>The remaining 10 countries in this study</w:t>
      </w:r>
      <w:r w:rsidR="001B0583">
        <w:rPr>
          <w:rFonts w:ascii="Times New Roman" w:hAnsi="Times New Roman"/>
        </w:rPr>
        <w:t xml:space="preserve"> have republican forms of government </w:t>
      </w:r>
      <w:r w:rsidR="00716B37">
        <w:rPr>
          <w:rFonts w:ascii="Times New Roman" w:hAnsi="Times New Roman"/>
        </w:rPr>
        <w:t>and</w:t>
      </w:r>
      <w:r w:rsidR="001B0583">
        <w:rPr>
          <w:rFonts w:ascii="Times New Roman" w:hAnsi="Times New Roman"/>
        </w:rPr>
        <w:t xml:space="preserve"> </w:t>
      </w:r>
      <w:r w:rsidR="00B15B38">
        <w:rPr>
          <w:rFonts w:ascii="Times New Roman" w:hAnsi="Times New Roman"/>
        </w:rPr>
        <w:t xml:space="preserve">nominal </w:t>
      </w:r>
      <w:r w:rsidR="001B0583">
        <w:rPr>
          <w:rFonts w:ascii="Times New Roman" w:hAnsi="Times New Roman"/>
        </w:rPr>
        <w:t>periodic elections</w:t>
      </w:r>
      <w:r w:rsidR="004B6FFA">
        <w:rPr>
          <w:rFonts w:ascii="Times New Roman" w:hAnsi="Times New Roman"/>
        </w:rPr>
        <w:t xml:space="preserve">, </w:t>
      </w:r>
      <w:r w:rsidR="00233F55">
        <w:rPr>
          <w:rFonts w:ascii="Times New Roman" w:hAnsi="Times New Roman"/>
        </w:rPr>
        <w:t xml:space="preserve">but </w:t>
      </w:r>
      <w:r w:rsidR="0008016A">
        <w:rPr>
          <w:rFonts w:ascii="Times New Roman" w:hAnsi="Times New Roman"/>
        </w:rPr>
        <w:t>have</w:t>
      </w:r>
      <w:r w:rsidR="004B6FFA">
        <w:rPr>
          <w:rFonts w:ascii="Times New Roman" w:hAnsi="Times New Roman"/>
        </w:rPr>
        <w:t xml:space="preserve"> been governed by </w:t>
      </w:r>
      <w:r w:rsidR="00CA4766">
        <w:rPr>
          <w:rFonts w:ascii="Times New Roman" w:hAnsi="Times New Roman"/>
        </w:rPr>
        <w:t>the same</w:t>
      </w:r>
      <w:r w:rsidR="004B6FFA">
        <w:rPr>
          <w:rFonts w:ascii="Times New Roman" w:hAnsi="Times New Roman"/>
        </w:rPr>
        <w:t xml:space="preserve"> party</w:t>
      </w:r>
      <w:r w:rsidR="0060308C">
        <w:rPr>
          <w:rFonts w:ascii="Times New Roman" w:hAnsi="Times New Roman"/>
        </w:rPr>
        <w:t xml:space="preserve"> or coalition and</w:t>
      </w:r>
      <w:r w:rsidR="00CA4766">
        <w:rPr>
          <w:rFonts w:ascii="Times New Roman" w:hAnsi="Times New Roman"/>
        </w:rPr>
        <w:t>/or</w:t>
      </w:r>
      <w:r w:rsidR="0060308C">
        <w:rPr>
          <w:rFonts w:ascii="Times New Roman" w:hAnsi="Times New Roman"/>
        </w:rPr>
        <w:t xml:space="preserve"> the same head of state</w:t>
      </w:r>
      <w:r w:rsidR="004B6FFA">
        <w:rPr>
          <w:rFonts w:ascii="Times New Roman" w:hAnsi="Times New Roman"/>
        </w:rPr>
        <w:t xml:space="preserve"> </w:t>
      </w:r>
      <w:r w:rsidR="00B15B38">
        <w:rPr>
          <w:rFonts w:ascii="Times New Roman" w:hAnsi="Times New Roman"/>
        </w:rPr>
        <w:t>for decade</w:t>
      </w:r>
      <w:r w:rsidR="00986FD1">
        <w:rPr>
          <w:rFonts w:ascii="Times New Roman" w:hAnsi="Times New Roman"/>
        </w:rPr>
        <w:t>s.</w:t>
      </w:r>
      <w:r w:rsidR="00716B37">
        <w:rPr>
          <w:rFonts w:ascii="Times New Roman" w:hAnsi="Times New Roman"/>
        </w:rPr>
        <w:t xml:space="preserve"> </w:t>
      </w:r>
    </w:p>
    <w:p w14:paraId="7EF09A6B" w14:textId="77777777" w:rsidR="00C966E0" w:rsidRDefault="00C966E0" w:rsidP="00B1206F">
      <w:pPr>
        <w:jc w:val="both"/>
        <w:rPr>
          <w:rFonts w:ascii="Times New Roman" w:hAnsi="Times New Roman"/>
        </w:rPr>
      </w:pPr>
    </w:p>
    <w:p w14:paraId="6F60F214" w14:textId="4CF1AE27" w:rsidR="001D5293" w:rsidRDefault="00CA4766" w:rsidP="00B1206F">
      <w:pPr>
        <w:jc w:val="both"/>
        <w:rPr>
          <w:rFonts w:ascii="Times New Roman" w:hAnsi="Times New Roman"/>
        </w:rPr>
      </w:pPr>
      <w:r w:rsidRPr="00334B25">
        <w:rPr>
          <w:rFonts w:ascii="Times New Roman" w:hAnsi="Times New Roman"/>
        </w:rPr>
        <w:t>A</w:t>
      </w:r>
      <w:r w:rsidR="00226405" w:rsidRPr="00300725">
        <w:rPr>
          <w:rFonts w:ascii="Times New Roman" w:hAnsi="Times New Roman"/>
        </w:rPr>
        <w:t>rguably</w:t>
      </w:r>
      <w:r w:rsidR="007E1FE0" w:rsidRPr="00300725">
        <w:rPr>
          <w:rFonts w:ascii="Times New Roman" w:hAnsi="Times New Roman"/>
        </w:rPr>
        <w:t>,</w:t>
      </w:r>
      <w:r w:rsidR="00226405" w:rsidRPr="00300725">
        <w:rPr>
          <w:rFonts w:ascii="Times New Roman" w:hAnsi="Times New Roman"/>
        </w:rPr>
        <w:t xml:space="preserve"> </w:t>
      </w:r>
      <w:r w:rsidRPr="008342BE">
        <w:rPr>
          <w:rFonts w:ascii="Times New Roman" w:hAnsi="Times New Roman"/>
        </w:rPr>
        <w:t xml:space="preserve">it </w:t>
      </w:r>
      <w:r w:rsidR="002D4B34" w:rsidRPr="008342BE">
        <w:rPr>
          <w:rFonts w:ascii="Times New Roman" w:hAnsi="Times New Roman"/>
        </w:rPr>
        <w:t xml:space="preserve">should have </w:t>
      </w:r>
      <w:r w:rsidR="00C966E0" w:rsidRPr="008342BE">
        <w:rPr>
          <w:rFonts w:ascii="Times New Roman" w:hAnsi="Times New Roman"/>
        </w:rPr>
        <w:t xml:space="preserve">therefore </w:t>
      </w:r>
      <w:r w:rsidR="002D4B34" w:rsidRPr="008342BE">
        <w:rPr>
          <w:rFonts w:ascii="Times New Roman" w:hAnsi="Times New Roman"/>
        </w:rPr>
        <w:t>come as</w:t>
      </w:r>
      <w:r w:rsidRPr="008342BE">
        <w:rPr>
          <w:rFonts w:ascii="Times New Roman" w:hAnsi="Times New Roman"/>
        </w:rPr>
        <w:t xml:space="preserve"> </w:t>
      </w:r>
      <w:r w:rsidR="00226405" w:rsidRPr="008342BE">
        <w:rPr>
          <w:rFonts w:ascii="Times New Roman" w:hAnsi="Times New Roman"/>
        </w:rPr>
        <w:t xml:space="preserve">no surprise that </w:t>
      </w:r>
      <w:r w:rsidR="00734D81" w:rsidRPr="008342BE">
        <w:rPr>
          <w:rFonts w:ascii="Times New Roman" w:hAnsi="Times New Roman"/>
        </w:rPr>
        <w:t>the uprisings for “free</w:t>
      </w:r>
      <w:r w:rsidR="00B8722A" w:rsidRPr="008342BE">
        <w:rPr>
          <w:rFonts w:ascii="Times New Roman" w:hAnsi="Times New Roman"/>
        </w:rPr>
        <w:t>dom, dignity and social justice</w:t>
      </w:r>
      <w:r w:rsidR="00734D81" w:rsidRPr="008342BE">
        <w:rPr>
          <w:rFonts w:ascii="Times New Roman" w:hAnsi="Times New Roman"/>
        </w:rPr>
        <w:t>,</w:t>
      </w:r>
      <w:r w:rsidR="00B8722A" w:rsidRPr="008342BE">
        <w:rPr>
          <w:rFonts w:ascii="Times New Roman" w:hAnsi="Times New Roman"/>
        </w:rPr>
        <w:t>”</w:t>
      </w:r>
      <w:r w:rsidR="00734D81" w:rsidRPr="008342BE">
        <w:rPr>
          <w:rFonts w:ascii="Times New Roman" w:hAnsi="Times New Roman"/>
        </w:rPr>
        <w:t xml:space="preserve"> which </w:t>
      </w:r>
      <w:r w:rsidR="00226405" w:rsidRPr="008342BE">
        <w:rPr>
          <w:rFonts w:ascii="Times New Roman" w:hAnsi="Times New Roman"/>
        </w:rPr>
        <w:t>shook the region in early 2</w:t>
      </w:r>
      <w:r w:rsidR="007E1FE0" w:rsidRPr="008342BE">
        <w:rPr>
          <w:rFonts w:ascii="Times New Roman" w:hAnsi="Times New Roman"/>
        </w:rPr>
        <w:t>01</w:t>
      </w:r>
      <w:r w:rsidR="00C27355" w:rsidRPr="008342BE">
        <w:rPr>
          <w:rFonts w:ascii="Times New Roman" w:hAnsi="Times New Roman"/>
        </w:rPr>
        <w:t xml:space="preserve">1 took place in five </w:t>
      </w:r>
      <w:r w:rsidR="007E1FE0" w:rsidRPr="008342BE">
        <w:rPr>
          <w:rFonts w:ascii="Times New Roman" w:hAnsi="Times New Roman"/>
        </w:rPr>
        <w:t xml:space="preserve">Arab </w:t>
      </w:r>
      <w:r w:rsidR="00C966E0" w:rsidRPr="008342BE">
        <w:rPr>
          <w:rFonts w:ascii="Times New Roman" w:hAnsi="Times New Roman"/>
        </w:rPr>
        <w:t>states</w:t>
      </w:r>
      <w:r w:rsidR="007E1FE0" w:rsidRPr="008342BE">
        <w:rPr>
          <w:rFonts w:ascii="Times New Roman" w:hAnsi="Times New Roman"/>
        </w:rPr>
        <w:t xml:space="preserve"> that had had no change in government for 30 or more years.</w:t>
      </w:r>
      <w:r w:rsidR="00226405">
        <w:rPr>
          <w:rFonts w:ascii="Times New Roman" w:hAnsi="Times New Roman"/>
        </w:rPr>
        <w:t xml:space="preserve"> </w:t>
      </w:r>
      <w:r w:rsidR="00B8722A">
        <w:rPr>
          <w:rFonts w:ascii="Times New Roman" w:hAnsi="Times New Roman"/>
        </w:rPr>
        <w:t xml:space="preserve">While most </w:t>
      </w:r>
      <w:r w:rsidR="00273A28">
        <w:rPr>
          <w:rFonts w:ascii="Times New Roman" w:hAnsi="Times New Roman"/>
        </w:rPr>
        <w:t>of the</w:t>
      </w:r>
      <w:r w:rsidR="00B8722A">
        <w:rPr>
          <w:rFonts w:ascii="Times New Roman" w:hAnsi="Times New Roman"/>
        </w:rPr>
        <w:t xml:space="preserve"> revolts did succeed</w:t>
      </w:r>
      <w:r w:rsidR="008F3892">
        <w:rPr>
          <w:rFonts w:ascii="Times New Roman" w:hAnsi="Times New Roman"/>
        </w:rPr>
        <w:t xml:space="preserve"> in toppling </w:t>
      </w:r>
      <w:r w:rsidR="00423192">
        <w:rPr>
          <w:rFonts w:ascii="Times New Roman" w:hAnsi="Times New Roman"/>
        </w:rPr>
        <w:t xml:space="preserve">their </w:t>
      </w:r>
      <w:r w:rsidR="008F3892">
        <w:rPr>
          <w:rFonts w:ascii="Times New Roman" w:hAnsi="Times New Roman"/>
        </w:rPr>
        <w:t>regimes,</w:t>
      </w:r>
      <w:r w:rsidR="00B8722A">
        <w:rPr>
          <w:rFonts w:ascii="Times New Roman" w:hAnsi="Times New Roman"/>
        </w:rPr>
        <w:t xml:space="preserve"> they have since </w:t>
      </w:r>
      <w:r w:rsidR="008F3892">
        <w:rPr>
          <w:rFonts w:ascii="Times New Roman" w:hAnsi="Times New Roman"/>
        </w:rPr>
        <w:t xml:space="preserve">descended into </w:t>
      </w:r>
      <w:r w:rsidR="00226405">
        <w:rPr>
          <w:rFonts w:ascii="Times New Roman" w:hAnsi="Times New Roman"/>
        </w:rPr>
        <w:t>internal armed conflict</w:t>
      </w:r>
      <w:r w:rsidR="000E5EC7">
        <w:rPr>
          <w:rFonts w:ascii="Times New Roman" w:hAnsi="Times New Roman"/>
        </w:rPr>
        <w:t xml:space="preserve"> with</w:t>
      </w:r>
      <w:r w:rsidR="000E5EC7" w:rsidRPr="000E5EC7">
        <w:rPr>
          <w:rFonts w:ascii="Times New Roman" w:hAnsi="Times New Roman"/>
        </w:rPr>
        <w:t xml:space="preserve"> </w:t>
      </w:r>
      <w:r w:rsidR="000E5EC7">
        <w:rPr>
          <w:rFonts w:ascii="Times New Roman" w:hAnsi="Times New Roman"/>
        </w:rPr>
        <w:t>hundreds of thousands of civilians and combatants killed</w:t>
      </w:r>
      <w:r w:rsidR="00226405">
        <w:rPr>
          <w:rFonts w:ascii="Times New Roman" w:hAnsi="Times New Roman"/>
        </w:rPr>
        <w:t xml:space="preserve">, massive destruction of economies and infrastructure, </w:t>
      </w:r>
      <w:r w:rsidR="001D5293">
        <w:rPr>
          <w:rFonts w:ascii="Times New Roman" w:hAnsi="Times New Roman"/>
        </w:rPr>
        <w:t xml:space="preserve">the </w:t>
      </w:r>
      <w:r w:rsidR="000F5641">
        <w:rPr>
          <w:rFonts w:ascii="Times New Roman" w:hAnsi="Times New Roman"/>
        </w:rPr>
        <w:t xml:space="preserve">impoverishment of </w:t>
      </w:r>
      <w:r w:rsidR="00C966E0">
        <w:rPr>
          <w:rFonts w:ascii="Times New Roman" w:hAnsi="Times New Roman"/>
        </w:rPr>
        <w:t>millions</w:t>
      </w:r>
      <w:r w:rsidR="000F5641">
        <w:rPr>
          <w:rFonts w:ascii="Times New Roman" w:hAnsi="Times New Roman"/>
        </w:rPr>
        <w:t xml:space="preserve"> </w:t>
      </w:r>
      <w:r w:rsidR="00226405">
        <w:rPr>
          <w:rFonts w:ascii="Times New Roman" w:hAnsi="Times New Roman"/>
        </w:rPr>
        <w:t>and the creation of one of the worst refugee</w:t>
      </w:r>
      <w:r w:rsidR="002D4B34">
        <w:rPr>
          <w:rFonts w:ascii="Times New Roman" w:hAnsi="Times New Roman"/>
        </w:rPr>
        <w:t xml:space="preserve"> crises in contemporary history</w:t>
      </w:r>
      <w:r w:rsidR="00226405">
        <w:rPr>
          <w:rFonts w:ascii="Times New Roman" w:hAnsi="Times New Roman"/>
        </w:rPr>
        <w:t xml:space="preserve"> affecting not only the region </w:t>
      </w:r>
      <w:r w:rsidR="00994510">
        <w:rPr>
          <w:rFonts w:ascii="Times New Roman" w:hAnsi="Times New Roman"/>
        </w:rPr>
        <w:t>but also</w:t>
      </w:r>
      <w:r w:rsidR="00226405">
        <w:rPr>
          <w:rFonts w:ascii="Times New Roman" w:hAnsi="Times New Roman"/>
        </w:rPr>
        <w:t xml:space="preserve"> the international community as a whole</w:t>
      </w:r>
      <w:r w:rsidR="005432AC">
        <w:rPr>
          <w:rFonts w:ascii="Times New Roman" w:hAnsi="Times New Roman"/>
        </w:rPr>
        <w:t>.</w:t>
      </w:r>
    </w:p>
    <w:p w14:paraId="7533E92A" w14:textId="77777777" w:rsidR="001D5293" w:rsidRDefault="001D5293" w:rsidP="00B1206F">
      <w:pPr>
        <w:jc w:val="both"/>
        <w:rPr>
          <w:rFonts w:ascii="Times New Roman" w:hAnsi="Times New Roman"/>
        </w:rPr>
      </w:pPr>
    </w:p>
    <w:p w14:paraId="6384F2DB" w14:textId="77777777" w:rsidR="001D5293" w:rsidRDefault="00EA2F11" w:rsidP="00B1206F">
      <w:pPr>
        <w:jc w:val="both"/>
        <w:rPr>
          <w:rFonts w:ascii="Times New Roman" w:hAnsi="Times New Roman"/>
        </w:rPr>
      </w:pPr>
      <w:r>
        <w:rPr>
          <w:rFonts w:ascii="Times New Roman" w:hAnsi="Times New Roman"/>
        </w:rPr>
        <w:t>Tunisia has seen</w:t>
      </w:r>
      <w:r w:rsidR="00B8722A">
        <w:rPr>
          <w:rFonts w:ascii="Times New Roman" w:hAnsi="Times New Roman"/>
        </w:rPr>
        <w:t xml:space="preserve"> the only</w:t>
      </w:r>
      <w:r w:rsidR="00C220D2">
        <w:rPr>
          <w:rFonts w:ascii="Times New Roman" w:hAnsi="Times New Roman"/>
        </w:rPr>
        <w:t xml:space="preserve"> peaceful and successful transition towards </w:t>
      </w:r>
      <w:r>
        <w:rPr>
          <w:rFonts w:ascii="Times New Roman" w:hAnsi="Times New Roman"/>
        </w:rPr>
        <w:t xml:space="preserve">a </w:t>
      </w:r>
      <w:r w:rsidR="00C220D2">
        <w:rPr>
          <w:rFonts w:ascii="Times New Roman" w:hAnsi="Times New Roman"/>
        </w:rPr>
        <w:t xml:space="preserve">democratic governance </w:t>
      </w:r>
      <w:r>
        <w:rPr>
          <w:rFonts w:ascii="Times New Roman" w:hAnsi="Times New Roman"/>
        </w:rPr>
        <w:t xml:space="preserve">system </w:t>
      </w:r>
      <w:r w:rsidR="001D5293">
        <w:rPr>
          <w:rFonts w:ascii="Times New Roman" w:hAnsi="Times New Roman"/>
        </w:rPr>
        <w:t>even as</w:t>
      </w:r>
      <w:r w:rsidR="00273A28">
        <w:rPr>
          <w:rFonts w:ascii="Times New Roman" w:hAnsi="Times New Roman"/>
        </w:rPr>
        <w:t xml:space="preserve"> it</w:t>
      </w:r>
      <w:r w:rsidR="00994510">
        <w:rPr>
          <w:rFonts w:ascii="Times New Roman" w:hAnsi="Times New Roman"/>
        </w:rPr>
        <w:t xml:space="preserve"> </w:t>
      </w:r>
      <w:r w:rsidR="00C220D2">
        <w:rPr>
          <w:rFonts w:ascii="Times New Roman" w:hAnsi="Times New Roman"/>
        </w:rPr>
        <w:t>continues to struggle for stability and permanence.</w:t>
      </w:r>
      <w:r w:rsidR="001D5293">
        <w:rPr>
          <w:rFonts w:ascii="Times New Roman" w:hAnsi="Times New Roman"/>
        </w:rPr>
        <w:t xml:space="preserve"> It was also the only Arab country to rate a “</w:t>
      </w:r>
      <w:r w:rsidR="00FA2F94">
        <w:rPr>
          <w:rFonts w:ascii="Times New Roman" w:hAnsi="Times New Roman"/>
        </w:rPr>
        <w:t xml:space="preserve">partly </w:t>
      </w:r>
      <w:r w:rsidR="001D5293">
        <w:rPr>
          <w:rFonts w:ascii="Times New Roman" w:hAnsi="Times New Roman"/>
        </w:rPr>
        <w:t xml:space="preserve">free” determination by </w:t>
      </w:r>
      <w:r w:rsidR="00313B18">
        <w:rPr>
          <w:rFonts w:ascii="Times New Roman" w:hAnsi="Times New Roman"/>
        </w:rPr>
        <w:t xml:space="preserve">Freedom House’s </w:t>
      </w:r>
      <w:r w:rsidR="001D5293">
        <w:rPr>
          <w:rFonts w:ascii="Times New Roman" w:hAnsi="Times New Roman"/>
        </w:rPr>
        <w:t>F</w:t>
      </w:r>
      <w:r w:rsidR="00313B18">
        <w:rPr>
          <w:rFonts w:ascii="Times New Roman" w:hAnsi="Times New Roman"/>
        </w:rPr>
        <w:t xml:space="preserve">reedom </w:t>
      </w:r>
      <w:r w:rsidR="001D5293">
        <w:rPr>
          <w:rFonts w:ascii="Times New Roman" w:hAnsi="Times New Roman"/>
        </w:rPr>
        <w:t xml:space="preserve">in the World </w:t>
      </w:r>
      <w:r w:rsidR="00313B18">
        <w:rPr>
          <w:rFonts w:ascii="Times New Roman" w:hAnsi="Times New Roman"/>
        </w:rPr>
        <w:t>index in January 2018</w:t>
      </w:r>
      <w:r w:rsidR="001D5293">
        <w:rPr>
          <w:rFonts w:ascii="Times New Roman" w:hAnsi="Times New Roman"/>
        </w:rPr>
        <w:t xml:space="preserve">, scoring an aggregate 70/100. All other Arab States </w:t>
      </w:r>
      <w:r w:rsidR="00FA2F94">
        <w:rPr>
          <w:rFonts w:ascii="Times New Roman" w:hAnsi="Times New Roman"/>
        </w:rPr>
        <w:t xml:space="preserve">scored </w:t>
      </w:r>
      <w:r w:rsidR="007E75C3">
        <w:rPr>
          <w:rFonts w:ascii="Times New Roman" w:hAnsi="Times New Roman"/>
        </w:rPr>
        <w:t xml:space="preserve">under </w:t>
      </w:r>
      <w:r w:rsidR="00FA2F94">
        <w:rPr>
          <w:rFonts w:ascii="Times New Roman" w:hAnsi="Times New Roman"/>
        </w:rPr>
        <w:t>50/10</w:t>
      </w:r>
      <w:r w:rsidR="007E75C3">
        <w:rPr>
          <w:rFonts w:ascii="Times New Roman" w:hAnsi="Times New Roman"/>
        </w:rPr>
        <w:t>0</w:t>
      </w:r>
      <w:r w:rsidR="00FA2F94">
        <w:rPr>
          <w:rFonts w:ascii="Times New Roman" w:hAnsi="Times New Roman"/>
        </w:rPr>
        <w:t xml:space="preserve">, with half of those even below the </w:t>
      </w:r>
      <w:r w:rsidR="00295B6A">
        <w:rPr>
          <w:rFonts w:ascii="Times New Roman" w:hAnsi="Times New Roman"/>
        </w:rPr>
        <w:t>25-percentage</w:t>
      </w:r>
      <w:r w:rsidR="007E75C3">
        <w:rPr>
          <w:rFonts w:ascii="Times New Roman" w:hAnsi="Times New Roman"/>
        </w:rPr>
        <w:t xml:space="preserve"> point </w:t>
      </w:r>
      <w:r w:rsidR="00FA2F94">
        <w:rPr>
          <w:rFonts w:ascii="Times New Roman" w:hAnsi="Times New Roman"/>
        </w:rPr>
        <w:t>mark.</w:t>
      </w:r>
      <w:r w:rsidR="00FA2F94">
        <w:rPr>
          <w:rStyle w:val="FootnoteReference"/>
          <w:rFonts w:ascii="Times New Roman" w:hAnsi="Times New Roman"/>
        </w:rPr>
        <w:footnoteReference w:id="13"/>
      </w:r>
    </w:p>
    <w:p w14:paraId="7E65AC79" w14:textId="77777777" w:rsidR="001D5293" w:rsidRDefault="001D5293" w:rsidP="00B1206F">
      <w:pPr>
        <w:jc w:val="both"/>
        <w:rPr>
          <w:rFonts w:ascii="Times New Roman" w:hAnsi="Times New Roman"/>
        </w:rPr>
      </w:pPr>
    </w:p>
    <w:p w14:paraId="1D9693E6" w14:textId="77777777" w:rsidR="00814B9A" w:rsidRDefault="00E44EC7" w:rsidP="00B1206F">
      <w:pPr>
        <w:jc w:val="both"/>
        <w:rPr>
          <w:rFonts w:ascii="Times New Roman" w:hAnsi="Times New Roman"/>
        </w:rPr>
      </w:pPr>
      <w:r>
        <w:rPr>
          <w:rFonts w:ascii="Times New Roman" w:hAnsi="Times New Roman"/>
        </w:rPr>
        <w:t>It is difficult to speak of people’s right to participate in the conduct of public affairs with such a democracy deficit and i</w:t>
      </w:r>
      <w:r w:rsidR="001D5293">
        <w:rPr>
          <w:rFonts w:ascii="Times New Roman" w:hAnsi="Times New Roman"/>
        </w:rPr>
        <w:t xml:space="preserve">n such an environment of conflict, human insecurity and constant shifts and movements </w:t>
      </w:r>
      <w:r>
        <w:rPr>
          <w:rFonts w:ascii="Times New Roman" w:hAnsi="Times New Roman"/>
        </w:rPr>
        <w:t>yet so</w:t>
      </w:r>
      <w:r w:rsidR="001D5293">
        <w:rPr>
          <w:rFonts w:ascii="Times New Roman" w:hAnsi="Times New Roman"/>
        </w:rPr>
        <w:t xml:space="preserve"> little </w:t>
      </w:r>
      <w:r w:rsidR="007E75C3">
        <w:rPr>
          <w:rFonts w:ascii="Times New Roman" w:hAnsi="Times New Roman"/>
        </w:rPr>
        <w:t>positive</w:t>
      </w:r>
      <w:r w:rsidR="001D5293">
        <w:rPr>
          <w:rFonts w:ascii="Times New Roman" w:hAnsi="Times New Roman"/>
        </w:rPr>
        <w:t xml:space="preserve"> change</w:t>
      </w:r>
      <w:r>
        <w:rPr>
          <w:rFonts w:ascii="Times New Roman" w:hAnsi="Times New Roman"/>
        </w:rPr>
        <w:t>. This study</w:t>
      </w:r>
      <w:r w:rsidR="00EA2F11">
        <w:rPr>
          <w:rFonts w:ascii="Times New Roman" w:hAnsi="Times New Roman"/>
        </w:rPr>
        <w:t xml:space="preserve"> will </w:t>
      </w:r>
      <w:r>
        <w:rPr>
          <w:rFonts w:ascii="Times New Roman" w:hAnsi="Times New Roman"/>
        </w:rPr>
        <w:t xml:space="preserve">therefore </w:t>
      </w:r>
      <w:r w:rsidR="00EA2F11">
        <w:rPr>
          <w:rFonts w:ascii="Times New Roman" w:hAnsi="Times New Roman"/>
        </w:rPr>
        <w:t xml:space="preserve">have to content itself with a more theoretical overview of </w:t>
      </w:r>
      <w:r>
        <w:rPr>
          <w:rFonts w:ascii="Times New Roman" w:hAnsi="Times New Roman"/>
        </w:rPr>
        <w:t>what</w:t>
      </w:r>
      <w:r w:rsidR="00EA2F11">
        <w:rPr>
          <w:rFonts w:ascii="Times New Roman" w:hAnsi="Times New Roman"/>
        </w:rPr>
        <w:t xml:space="preserve"> </w:t>
      </w:r>
      <w:r>
        <w:rPr>
          <w:rFonts w:ascii="Times New Roman" w:hAnsi="Times New Roman"/>
        </w:rPr>
        <w:t xml:space="preserve">the texts of constitutions </w:t>
      </w:r>
      <w:r w:rsidR="00614517">
        <w:rPr>
          <w:rFonts w:ascii="Times New Roman" w:hAnsi="Times New Roman"/>
        </w:rPr>
        <w:t xml:space="preserve">and what </w:t>
      </w:r>
      <w:r>
        <w:rPr>
          <w:rFonts w:ascii="Times New Roman" w:hAnsi="Times New Roman"/>
        </w:rPr>
        <w:t xml:space="preserve">some </w:t>
      </w:r>
      <w:r w:rsidR="00EA2F11">
        <w:rPr>
          <w:rFonts w:ascii="Times New Roman" w:hAnsi="Times New Roman"/>
        </w:rPr>
        <w:t xml:space="preserve">legislative provisions provide in terms of guarantees and openings, </w:t>
      </w:r>
      <w:r>
        <w:rPr>
          <w:rFonts w:ascii="Times New Roman" w:hAnsi="Times New Roman"/>
        </w:rPr>
        <w:t>bolstered by more generalized information</w:t>
      </w:r>
      <w:r w:rsidR="00614517">
        <w:rPr>
          <w:rFonts w:ascii="Times New Roman" w:hAnsi="Times New Roman"/>
        </w:rPr>
        <w:t>.</w:t>
      </w:r>
      <w:r w:rsidR="00814B9A" w:rsidRPr="00814B9A">
        <w:rPr>
          <w:rFonts w:ascii="Times New Roman" w:hAnsi="Times New Roman"/>
        </w:rPr>
        <w:t xml:space="preserve"> </w:t>
      </w:r>
    </w:p>
    <w:p w14:paraId="34B48E6F" w14:textId="77777777" w:rsidR="00994510" w:rsidRDefault="00994510" w:rsidP="00B1206F">
      <w:pPr>
        <w:jc w:val="both"/>
        <w:rPr>
          <w:rFonts w:ascii="Times New Roman" w:hAnsi="Times New Roman"/>
        </w:rPr>
      </w:pPr>
    </w:p>
    <w:p w14:paraId="0DC914CA" w14:textId="77777777" w:rsidR="00E24519" w:rsidRPr="00781CF5" w:rsidRDefault="001943A5" w:rsidP="00313D15">
      <w:pPr>
        <w:outlineLvl w:val="0"/>
        <w:rPr>
          <w:rFonts w:ascii="Times New Roman" w:hAnsi="Times New Roman"/>
          <w:b/>
          <w:bCs/>
          <w:u w:val="single"/>
        </w:rPr>
      </w:pPr>
      <w:r w:rsidRPr="00781CF5">
        <w:rPr>
          <w:rFonts w:ascii="Times New Roman" w:hAnsi="Times New Roman"/>
          <w:b/>
          <w:bCs/>
          <w:u w:val="single"/>
        </w:rPr>
        <w:t xml:space="preserve">Constitutional </w:t>
      </w:r>
      <w:r w:rsidR="00A130DA" w:rsidRPr="00781CF5">
        <w:rPr>
          <w:rFonts w:ascii="Times New Roman" w:hAnsi="Times New Roman"/>
          <w:b/>
          <w:bCs/>
          <w:u w:val="single"/>
        </w:rPr>
        <w:t xml:space="preserve">provisions </w:t>
      </w:r>
      <w:r w:rsidR="00273A28" w:rsidRPr="00781CF5">
        <w:rPr>
          <w:rFonts w:ascii="Times New Roman" w:hAnsi="Times New Roman"/>
          <w:b/>
          <w:bCs/>
          <w:u w:val="single"/>
        </w:rPr>
        <w:t>on the equal right to participate</w:t>
      </w:r>
      <w:r w:rsidR="00814B9A" w:rsidRPr="00781CF5">
        <w:rPr>
          <w:rFonts w:ascii="Times New Roman" w:hAnsi="Times New Roman"/>
          <w:b/>
          <w:bCs/>
          <w:u w:val="single"/>
        </w:rPr>
        <w:t xml:space="preserve"> </w:t>
      </w:r>
      <w:r w:rsidR="0026389E" w:rsidRPr="00781CF5">
        <w:rPr>
          <w:rStyle w:val="FootnoteReference"/>
          <w:rFonts w:ascii="Times New Roman" w:hAnsi="Times New Roman"/>
        </w:rPr>
        <w:footnoteReference w:id="14"/>
      </w:r>
    </w:p>
    <w:p w14:paraId="762F4266" w14:textId="77777777" w:rsidR="00E24519" w:rsidRDefault="00E24519" w:rsidP="00E24519">
      <w:pPr>
        <w:rPr>
          <w:rFonts w:ascii="Times New Roman" w:hAnsi="Times New Roman"/>
        </w:rPr>
      </w:pPr>
    </w:p>
    <w:p w14:paraId="0E134C07" w14:textId="77777777" w:rsidR="005541DB" w:rsidRDefault="00C5367D" w:rsidP="00B1206F">
      <w:pPr>
        <w:jc w:val="both"/>
        <w:rPr>
          <w:rFonts w:ascii="Times New Roman" w:hAnsi="Times New Roman"/>
        </w:rPr>
      </w:pPr>
      <w:r>
        <w:rPr>
          <w:rFonts w:ascii="Times New Roman" w:hAnsi="Times New Roman"/>
        </w:rPr>
        <w:t>Since the Arab states gained independence in the late 1940s, m</w:t>
      </w:r>
      <w:r w:rsidR="00F87B44">
        <w:rPr>
          <w:rFonts w:ascii="Times New Roman" w:hAnsi="Times New Roman"/>
        </w:rPr>
        <w:t>ost of the</w:t>
      </w:r>
      <w:r>
        <w:rPr>
          <w:rFonts w:ascii="Times New Roman" w:hAnsi="Times New Roman"/>
        </w:rPr>
        <w:t>ir</w:t>
      </w:r>
      <w:r w:rsidR="00F87B44">
        <w:rPr>
          <w:rFonts w:ascii="Times New Roman" w:hAnsi="Times New Roman"/>
        </w:rPr>
        <w:t xml:space="preserve"> constitutions</w:t>
      </w:r>
      <w:r w:rsidR="00814B9A">
        <w:rPr>
          <w:rFonts w:ascii="Times New Roman" w:hAnsi="Times New Roman"/>
        </w:rPr>
        <w:t xml:space="preserve"> </w:t>
      </w:r>
      <w:r w:rsidR="00E44EC7">
        <w:rPr>
          <w:rFonts w:ascii="Times New Roman" w:hAnsi="Times New Roman"/>
        </w:rPr>
        <w:t xml:space="preserve">have </w:t>
      </w:r>
      <w:r>
        <w:rPr>
          <w:rFonts w:ascii="Times New Roman" w:hAnsi="Times New Roman"/>
        </w:rPr>
        <w:t>gone</w:t>
      </w:r>
      <w:r w:rsidR="005541DB">
        <w:rPr>
          <w:rFonts w:ascii="Times New Roman" w:hAnsi="Times New Roman"/>
        </w:rPr>
        <w:t xml:space="preserve"> through</w:t>
      </w:r>
      <w:r w:rsidR="00E44EC7">
        <w:rPr>
          <w:rFonts w:ascii="Times New Roman" w:hAnsi="Times New Roman"/>
        </w:rPr>
        <w:t xml:space="preserve"> periodic updates, amendments and revisions but a </w:t>
      </w:r>
      <w:r>
        <w:rPr>
          <w:rFonts w:ascii="Times New Roman" w:hAnsi="Times New Roman"/>
        </w:rPr>
        <w:t xml:space="preserve">marked </w:t>
      </w:r>
      <w:r w:rsidR="00E44EC7">
        <w:rPr>
          <w:rFonts w:ascii="Times New Roman" w:hAnsi="Times New Roman"/>
        </w:rPr>
        <w:t>flurry of developments occurred as a result of the 2011 uphea</w:t>
      </w:r>
      <w:r w:rsidR="00FF3859">
        <w:rPr>
          <w:rFonts w:ascii="Times New Roman" w:hAnsi="Times New Roman"/>
        </w:rPr>
        <w:t>vals in the region</w:t>
      </w:r>
      <w:r w:rsidR="005541DB">
        <w:rPr>
          <w:rFonts w:ascii="Times New Roman" w:hAnsi="Times New Roman"/>
        </w:rPr>
        <w:t>. Changes were introduced</w:t>
      </w:r>
      <w:r w:rsidR="00F87B44">
        <w:rPr>
          <w:rFonts w:ascii="Times New Roman" w:hAnsi="Times New Roman"/>
        </w:rPr>
        <w:t xml:space="preserve"> affecting</w:t>
      </w:r>
      <w:r w:rsidR="00403100">
        <w:rPr>
          <w:rFonts w:ascii="Times New Roman" w:hAnsi="Times New Roman"/>
        </w:rPr>
        <w:t xml:space="preserve"> </w:t>
      </w:r>
      <w:r w:rsidR="00A130DA">
        <w:rPr>
          <w:rFonts w:ascii="Times New Roman" w:hAnsi="Times New Roman"/>
        </w:rPr>
        <w:t>nearly</w:t>
      </w:r>
      <w:r w:rsidR="00F87B44">
        <w:rPr>
          <w:rFonts w:ascii="Times New Roman" w:hAnsi="Times New Roman"/>
        </w:rPr>
        <w:t xml:space="preserve"> two-thirds of the states</w:t>
      </w:r>
      <w:r w:rsidR="00FF3859">
        <w:rPr>
          <w:rFonts w:ascii="Times New Roman" w:hAnsi="Times New Roman"/>
        </w:rPr>
        <w:t>:</w:t>
      </w:r>
      <w:r w:rsidR="00E44EC7">
        <w:rPr>
          <w:rFonts w:ascii="Times New Roman" w:hAnsi="Times New Roman"/>
        </w:rPr>
        <w:t xml:space="preserve"> </w:t>
      </w:r>
      <w:r w:rsidR="003A2833">
        <w:rPr>
          <w:rFonts w:ascii="Times New Roman" w:hAnsi="Times New Roman"/>
        </w:rPr>
        <w:t>s</w:t>
      </w:r>
      <w:r w:rsidR="00E44EC7">
        <w:rPr>
          <w:rFonts w:ascii="Times New Roman" w:hAnsi="Times New Roman"/>
        </w:rPr>
        <w:t>ix new constitutions were promulgated,</w:t>
      </w:r>
      <w:r w:rsidR="00FF3859">
        <w:rPr>
          <w:rStyle w:val="FootnoteReference"/>
          <w:rFonts w:ascii="Times New Roman" w:hAnsi="Times New Roman"/>
        </w:rPr>
        <w:footnoteReference w:id="15"/>
      </w:r>
      <w:r w:rsidR="00E44EC7">
        <w:rPr>
          <w:rFonts w:ascii="Times New Roman" w:hAnsi="Times New Roman"/>
        </w:rPr>
        <w:t xml:space="preserve"> and six constitutions saw significant revisions and amendments</w:t>
      </w:r>
      <w:r w:rsidR="005541DB">
        <w:rPr>
          <w:rFonts w:ascii="Times New Roman" w:hAnsi="Times New Roman"/>
        </w:rPr>
        <w:t xml:space="preserve"> within just a few years</w:t>
      </w:r>
      <w:r w:rsidR="00FF3859">
        <w:rPr>
          <w:rFonts w:ascii="Times New Roman" w:hAnsi="Times New Roman"/>
        </w:rPr>
        <w:t>.</w:t>
      </w:r>
      <w:r w:rsidR="00FF3859">
        <w:rPr>
          <w:rStyle w:val="FootnoteReference"/>
          <w:rFonts w:ascii="Times New Roman" w:hAnsi="Times New Roman"/>
        </w:rPr>
        <w:footnoteReference w:id="16"/>
      </w:r>
      <w:r w:rsidR="006738D0">
        <w:rPr>
          <w:rFonts w:ascii="Times New Roman" w:hAnsi="Times New Roman"/>
        </w:rPr>
        <w:t xml:space="preserve"> </w:t>
      </w:r>
    </w:p>
    <w:p w14:paraId="15585D85" w14:textId="77777777" w:rsidR="005541DB" w:rsidRDefault="005541DB" w:rsidP="00B1206F">
      <w:pPr>
        <w:jc w:val="both"/>
        <w:rPr>
          <w:rFonts w:ascii="Times New Roman" w:hAnsi="Times New Roman"/>
        </w:rPr>
      </w:pPr>
    </w:p>
    <w:p w14:paraId="7A087AE6" w14:textId="77777777" w:rsidR="005C410D" w:rsidRDefault="00F87B44" w:rsidP="00B1206F">
      <w:pPr>
        <w:jc w:val="both"/>
        <w:rPr>
          <w:rFonts w:ascii="Times New Roman" w:hAnsi="Times New Roman"/>
        </w:rPr>
      </w:pPr>
      <w:r>
        <w:rPr>
          <w:rFonts w:ascii="Times New Roman" w:hAnsi="Times New Roman"/>
        </w:rPr>
        <w:t>Whether republics or monarchies, Arab states’ constitutions are</w:t>
      </w:r>
      <w:r w:rsidR="006F46E0">
        <w:rPr>
          <w:rFonts w:ascii="Times New Roman" w:hAnsi="Times New Roman"/>
        </w:rPr>
        <w:t xml:space="preserve"> different from one another in many respects, but markedly similar in others.</w:t>
      </w:r>
      <w:r>
        <w:rPr>
          <w:rFonts w:ascii="Times New Roman" w:hAnsi="Times New Roman"/>
        </w:rPr>
        <w:t xml:space="preserve"> </w:t>
      </w:r>
      <w:r w:rsidR="005C410D">
        <w:rPr>
          <w:rFonts w:ascii="Times New Roman" w:hAnsi="Times New Roman"/>
        </w:rPr>
        <w:t>Most of them in fact include provisions that nominally accept or facilitate citizens’ participation in the conduct of public affairs, equality and non-</w:t>
      </w:r>
      <w:r w:rsidR="005C410D">
        <w:rPr>
          <w:rFonts w:ascii="Times New Roman" w:hAnsi="Times New Roman"/>
        </w:rPr>
        <w:lastRenderedPageBreak/>
        <w:t xml:space="preserve">discrimination clauses that vary </w:t>
      </w:r>
      <w:r w:rsidR="00C5367D">
        <w:rPr>
          <w:rFonts w:ascii="Times New Roman" w:hAnsi="Times New Roman"/>
        </w:rPr>
        <w:t>in detail. They also include chapters on public rights and freedoms that guarantee</w:t>
      </w:r>
      <w:r w:rsidR="005C410D">
        <w:rPr>
          <w:rFonts w:ascii="Times New Roman" w:hAnsi="Times New Roman"/>
        </w:rPr>
        <w:t xml:space="preserve"> </w:t>
      </w:r>
      <w:r w:rsidR="00C5367D">
        <w:rPr>
          <w:rFonts w:ascii="Times New Roman" w:hAnsi="Times New Roman"/>
        </w:rPr>
        <w:t xml:space="preserve">human </w:t>
      </w:r>
      <w:r w:rsidR="005C410D">
        <w:rPr>
          <w:rFonts w:ascii="Times New Roman" w:hAnsi="Times New Roman"/>
        </w:rPr>
        <w:t xml:space="preserve">rights </w:t>
      </w:r>
      <w:r w:rsidR="00C5367D">
        <w:rPr>
          <w:rFonts w:ascii="Times New Roman" w:hAnsi="Times New Roman"/>
        </w:rPr>
        <w:t xml:space="preserve">and fundamental freedoms </w:t>
      </w:r>
      <w:r w:rsidR="005C410D">
        <w:rPr>
          <w:rFonts w:ascii="Times New Roman" w:hAnsi="Times New Roman"/>
        </w:rPr>
        <w:t xml:space="preserve">relevant to the exercise of participation. </w:t>
      </w:r>
    </w:p>
    <w:p w14:paraId="325FC39D" w14:textId="77777777" w:rsidR="005C410D" w:rsidRDefault="005C410D" w:rsidP="00B1206F">
      <w:pPr>
        <w:jc w:val="both"/>
        <w:rPr>
          <w:rFonts w:ascii="Times New Roman" w:hAnsi="Times New Roman"/>
        </w:rPr>
      </w:pPr>
    </w:p>
    <w:p w14:paraId="1EE033D5" w14:textId="77777777" w:rsidR="00A02EE0" w:rsidRDefault="000F7431" w:rsidP="00B1206F">
      <w:pPr>
        <w:jc w:val="both"/>
        <w:rPr>
          <w:rFonts w:ascii="Times New Roman" w:hAnsi="Times New Roman"/>
        </w:rPr>
      </w:pPr>
      <w:r>
        <w:rPr>
          <w:rFonts w:ascii="Times New Roman" w:hAnsi="Times New Roman"/>
        </w:rPr>
        <w:t xml:space="preserve">Consistent with Article 21(3) of the UDHR, the majority of Arab constitutions affirm that </w:t>
      </w:r>
      <w:r w:rsidR="00504E34">
        <w:rPr>
          <w:rFonts w:ascii="Times New Roman" w:hAnsi="Times New Roman"/>
        </w:rPr>
        <w:t xml:space="preserve">sovereignty </w:t>
      </w:r>
      <w:r w:rsidR="007B251A">
        <w:rPr>
          <w:rFonts w:ascii="Times New Roman" w:hAnsi="Times New Roman"/>
        </w:rPr>
        <w:t>and/</w:t>
      </w:r>
      <w:r w:rsidR="00504E34">
        <w:rPr>
          <w:rFonts w:ascii="Times New Roman" w:hAnsi="Times New Roman"/>
        </w:rPr>
        <w:t>or auth</w:t>
      </w:r>
      <w:r w:rsidR="00354B93">
        <w:rPr>
          <w:rFonts w:ascii="Times New Roman" w:hAnsi="Times New Roman"/>
        </w:rPr>
        <w:t xml:space="preserve">ority resides with the people and </w:t>
      </w:r>
      <w:r w:rsidR="005269D6">
        <w:rPr>
          <w:rFonts w:ascii="Times New Roman" w:hAnsi="Times New Roman"/>
        </w:rPr>
        <w:t xml:space="preserve">exercised through elections to representatives, through referendums and </w:t>
      </w:r>
      <w:r w:rsidR="00A130DA">
        <w:rPr>
          <w:rFonts w:ascii="Times New Roman" w:hAnsi="Times New Roman"/>
        </w:rPr>
        <w:t xml:space="preserve">as </w:t>
      </w:r>
      <w:r w:rsidR="005269D6">
        <w:rPr>
          <w:rFonts w:ascii="Times New Roman" w:hAnsi="Times New Roman"/>
        </w:rPr>
        <w:t>some constitutions refer</w:t>
      </w:r>
      <w:r w:rsidR="00A130DA">
        <w:rPr>
          <w:rFonts w:ascii="Times New Roman" w:hAnsi="Times New Roman"/>
        </w:rPr>
        <w:t xml:space="preserve">ence, </w:t>
      </w:r>
      <w:r w:rsidR="005269D6">
        <w:rPr>
          <w:rFonts w:ascii="Times New Roman" w:hAnsi="Times New Roman"/>
        </w:rPr>
        <w:t>through “</w:t>
      </w:r>
      <w:r w:rsidR="00354B93">
        <w:rPr>
          <w:rFonts w:ascii="Times New Roman" w:hAnsi="Times New Roman"/>
        </w:rPr>
        <w:t>c</w:t>
      </w:r>
      <w:r w:rsidR="00A130DA">
        <w:rPr>
          <w:rFonts w:ascii="Times New Roman" w:hAnsi="Times New Roman"/>
        </w:rPr>
        <w:t>onstitutional</w:t>
      </w:r>
      <w:r w:rsidR="00354B93">
        <w:rPr>
          <w:rFonts w:ascii="Times New Roman" w:hAnsi="Times New Roman"/>
        </w:rPr>
        <w:t xml:space="preserve"> i</w:t>
      </w:r>
      <w:r w:rsidR="005269D6">
        <w:rPr>
          <w:rFonts w:ascii="Times New Roman" w:hAnsi="Times New Roman"/>
        </w:rPr>
        <w:t>nstitutions.”</w:t>
      </w:r>
      <w:r w:rsidR="005269D6">
        <w:rPr>
          <w:rStyle w:val="FootnoteReference"/>
          <w:rFonts w:ascii="Times New Roman" w:hAnsi="Times New Roman"/>
        </w:rPr>
        <w:footnoteReference w:id="17"/>
      </w:r>
      <w:r w:rsidR="00504E34">
        <w:rPr>
          <w:rFonts w:ascii="Times New Roman" w:hAnsi="Times New Roman"/>
        </w:rPr>
        <w:t xml:space="preserve"> </w:t>
      </w:r>
      <w:r w:rsidR="00A130DA">
        <w:rPr>
          <w:rFonts w:ascii="Times New Roman" w:hAnsi="Times New Roman"/>
        </w:rPr>
        <w:t>T</w:t>
      </w:r>
      <w:r w:rsidR="00354B93">
        <w:rPr>
          <w:rFonts w:ascii="Times New Roman" w:hAnsi="Times New Roman"/>
        </w:rPr>
        <w:t xml:space="preserve">his provision is missing </w:t>
      </w:r>
      <w:r w:rsidR="00A130DA">
        <w:rPr>
          <w:rFonts w:ascii="Times New Roman" w:hAnsi="Times New Roman"/>
        </w:rPr>
        <w:t>from the constitutions of the hereditary monarchies of Jordan, Kuwait, Oman and the United Arab Emirates</w:t>
      </w:r>
      <w:r w:rsidR="00354B93">
        <w:rPr>
          <w:rFonts w:ascii="Times New Roman" w:hAnsi="Times New Roman"/>
        </w:rPr>
        <w:t xml:space="preserve"> </w:t>
      </w:r>
      <w:r w:rsidR="00801AA9">
        <w:rPr>
          <w:rFonts w:ascii="Times New Roman" w:hAnsi="Times New Roman"/>
        </w:rPr>
        <w:t>where</w:t>
      </w:r>
      <w:r w:rsidR="00354B93">
        <w:rPr>
          <w:rFonts w:ascii="Times New Roman" w:hAnsi="Times New Roman"/>
        </w:rPr>
        <w:t xml:space="preserve"> </w:t>
      </w:r>
      <w:r w:rsidR="007B251A">
        <w:rPr>
          <w:rFonts w:ascii="Times New Roman" w:hAnsi="Times New Roman"/>
        </w:rPr>
        <w:t>authority</w:t>
      </w:r>
      <w:r w:rsidR="001A1A08">
        <w:rPr>
          <w:rFonts w:ascii="Times New Roman" w:hAnsi="Times New Roman"/>
        </w:rPr>
        <w:t xml:space="preserve"> resides with the King or Emir. </w:t>
      </w:r>
      <w:r w:rsidR="00354B93">
        <w:rPr>
          <w:rFonts w:ascii="Times New Roman" w:hAnsi="Times New Roman"/>
        </w:rPr>
        <w:t>The Basic Law of Saudi Arabia is unique in clearly stating in article 7 that the regime “derives its power from the Holy Qur’an” rather than citizens,</w:t>
      </w:r>
      <w:r w:rsidR="008D0B0D">
        <w:rPr>
          <w:rFonts w:ascii="Times New Roman" w:hAnsi="Times New Roman"/>
        </w:rPr>
        <w:t xml:space="preserve"> who are </w:t>
      </w:r>
      <w:r w:rsidR="00354B93">
        <w:rPr>
          <w:rFonts w:ascii="Times New Roman" w:hAnsi="Times New Roman"/>
        </w:rPr>
        <w:t>required to pledge allegiance to God and the King</w:t>
      </w:r>
      <w:r w:rsidR="008D0B0D">
        <w:rPr>
          <w:rFonts w:ascii="Times New Roman" w:hAnsi="Times New Roman"/>
        </w:rPr>
        <w:t xml:space="preserve"> (art. 6)</w:t>
      </w:r>
      <w:r w:rsidR="00354B93">
        <w:rPr>
          <w:rFonts w:ascii="Times New Roman" w:hAnsi="Times New Roman"/>
        </w:rPr>
        <w:t xml:space="preserve">. </w:t>
      </w:r>
      <w:r w:rsidR="001A1A08">
        <w:rPr>
          <w:rFonts w:ascii="Times New Roman" w:hAnsi="Times New Roman"/>
        </w:rPr>
        <w:t xml:space="preserve">In all of the monarchies of the region, the King, Emir or Sultan </w:t>
      </w:r>
      <w:r w:rsidR="007B251A">
        <w:rPr>
          <w:rFonts w:ascii="Times New Roman" w:hAnsi="Times New Roman"/>
        </w:rPr>
        <w:t xml:space="preserve">is the head of </w:t>
      </w:r>
      <w:r w:rsidR="003A2833">
        <w:rPr>
          <w:rFonts w:ascii="Times New Roman" w:hAnsi="Times New Roman"/>
        </w:rPr>
        <w:t>S</w:t>
      </w:r>
      <w:r w:rsidR="007B251A">
        <w:rPr>
          <w:rFonts w:ascii="Times New Roman" w:hAnsi="Times New Roman"/>
        </w:rPr>
        <w:t>tate whose pers</w:t>
      </w:r>
      <w:r w:rsidR="00354B93">
        <w:rPr>
          <w:rFonts w:ascii="Times New Roman" w:hAnsi="Times New Roman"/>
        </w:rPr>
        <w:t xml:space="preserve">on is inviolate and </w:t>
      </w:r>
      <w:r w:rsidR="007B251A">
        <w:rPr>
          <w:rFonts w:ascii="Times New Roman" w:hAnsi="Times New Roman"/>
        </w:rPr>
        <w:t>cannot be questioned.</w:t>
      </w:r>
      <w:r w:rsidR="00E326AD">
        <w:rPr>
          <w:rStyle w:val="FootnoteReference"/>
          <w:rFonts w:ascii="Times New Roman" w:hAnsi="Times New Roman"/>
        </w:rPr>
        <w:footnoteReference w:id="18"/>
      </w:r>
      <w:r w:rsidR="00E326AD">
        <w:rPr>
          <w:rFonts w:ascii="Times New Roman" w:hAnsi="Times New Roman"/>
        </w:rPr>
        <w:t xml:space="preserve"> </w:t>
      </w:r>
    </w:p>
    <w:p w14:paraId="1A312508" w14:textId="77777777" w:rsidR="00A02EE0" w:rsidRDefault="00A02EE0" w:rsidP="00B1206F">
      <w:pPr>
        <w:jc w:val="both"/>
        <w:rPr>
          <w:rFonts w:ascii="Times New Roman" w:hAnsi="Times New Roman"/>
        </w:rPr>
      </w:pPr>
    </w:p>
    <w:p w14:paraId="6A6675A7" w14:textId="0F59674D" w:rsidR="00504E34" w:rsidRDefault="008D0B0D" w:rsidP="00B1206F">
      <w:pPr>
        <w:jc w:val="both"/>
        <w:rPr>
          <w:rFonts w:ascii="Times New Roman" w:hAnsi="Times New Roman"/>
        </w:rPr>
      </w:pPr>
      <w:r>
        <w:rPr>
          <w:rFonts w:ascii="Times New Roman" w:hAnsi="Times New Roman"/>
        </w:rPr>
        <w:t>In e</w:t>
      </w:r>
      <w:r w:rsidR="00504E34">
        <w:rPr>
          <w:rFonts w:ascii="Times New Roman" w:hAnsi="Times New Roman"/>
        </w:rPr>
        <w:t xml:space="preserve">very constitution except for </w:t>
      </w:r>
      <w:r w:rsidR="006B25A3">
        <w:rPr>
          <w:rFonts w:ascii="Times New Roman" w:hAnsi="Times New Roman"/>
        </w:rPr>
        <w:t>that of Lebanon</w:t>
      </w:r>
      <w:r w:rsidR="003A2833">
        <w:rPr>
          <w:rFonts w:ascii="Times New Roman" w:hAnsi="Times New Roman"/>
        </w:rPr>
        <w:t>,</w:t>
      </w:r>
      <w:r w:rsidR="009A3D4B">
        <w:rPr>
          <w:rFonts w:ascii="Times New Roman" w:hAnsi="Times New Roman"/>
        </w:rPr>
        <w:t xml:space="preserve"> </w:t>
      </w:r>
      <w:r w:rsidR="00504E34">
        <w:rPr>
          <w:rFonts w:ascii="Times New Roman" w:hAnsi="Times New Roman"/>
        </w:rPr>
        <w:t xml:space="preserve">Islam is the religion of the </w:t>
      </w:r>
      <w:r w:rsidR="003A2833">
        <w:rPr>
          <w:rFonts w:ascii="Times New Roman" w:hAnsi="Times New Roman"/>
        </w:rPr>
        <w:t>S</w:t>
      </w:r>
      <w:r w:rsidR="00504E34">
        <w:rPr>
          <w:rFonts w:ascii="Times New Roman" w:hAnsi="Times New Roman"/>
        </w:rPr>
        <w:t>tate, and most</w:t>
      </w:r>
      <w:r>
        <w:rPr>
          <w:rFonts w:ascii="Times New Roman" w:hAnsi="Times New Roman"/>
        </w:rPr>
        <w:t xml:space="preserve"> of them</w:t>
      </w:r>
      <w:r w:rsidR="00504E34">
        <w:rPr>
          <w:rFonts w:ascii="Times New Roman" w:hAnsi="Times New Roman"/>
        </w:rPr>
        <w:t xml:space="preserve"> </w:t>
      </w:r>
      <w:r w:rsidR="001A1A08">
        <w:rPr>
          <w:rFonts w:ascii="Times New Roman" w:hAnsi="Times New Roman"/>
        </w:rPr>
        <w:t xml:space="preserve">clearly </w:t>
      </w:r>
      <w:r w:rsidR="00F86E58">
        <w:rPr>
          <w:rFonts w:ascii="Times New Roman" w:hAnsi="Times New Roman"/>
        </w:rPr>
        <w:t xml:space="preserve">state </w:t>
      </w:r>
      <w:r w:rsidR="00504E34">
        <w:rPr>
          <w:rFonts w:ascii="Times New Roman" w:hAnsi="Times New Roman"/>
        </w:rPr>
        <w:t xml:space="preserve">that Islamic Shari’ah is either a primary source or </w:t>
      </w:r>
      <w:r w:rsidR="00504E34">
        <w:rPr>
          <w:rFonts w:ascii="Times New Roman" w:hAnsi="Times New Roman"/>
          <w:i/>
          <w:iCs/>
        </w:rPr>
        <w:t xml:space="preserve">the </w:t>
      </w:r>
      <w:r w:rsidR="00504E34">
        <w:rPr>
          <w:rFonts w:ascii="Times New Roman" w:hAnsi="Times New Roman"/>
        </w:rPr>
        <w:t>main source of legislation.</w:t>
      </w:r>
      <w:r w:rsidR="009A3D4B">
        <w:rPr>
          <w:rStyle w:val="FootnoteReference"/>
          <w:rFonts w:ascii="Times New Roman" w:hAnsi="Times New Roman"/>
        </w:rPr>
        <w:footnoteReference w:id="19"/>
      </w:r>
      <w:r w:rsidR="00504E34">
        <w:rPr>
          <w:rFonts w:ascii="Times New Roman" w:hAnsi="Times New Roman"/>
        </w:rPr>
        <w:t xml:space="preserve"> </w:t>
      </w:r>
      <w:r w:rsidR="009A3D4B">
        <w:rPr>
          <w:rFonts w:ascii="Times New Roman" w:hAnsi="Times New Roman"/>
        </w:rPr>
        <w:t xml:space="preserve">The Basic Law of the </w:t>
      </w:r>
      <w:r w:rsidR="00504E34">
        <w:rPr>
          <w:rFonts w:ascii="Times New Roman" w:hAnsi="Times New Roman"/>
        </w:rPr>
        <w:t xml:space="preserve">Kingdom of Saudi Arabia </w:t>
      </w:r>
      <w:r>
        <w:rPr>
          <w:rFonts w:ascii="Times New Roman" w:hAnsi="Times New Roman"/>
        </w:rPr>
        <w:t>affirms</w:t>
      </w:r>
      <w:r w:rsidR="009A3D4B">
        <w:rPr>
          <w:rFonts w:ascii="Times New Roman" w:hAnsi="Times New Roman"/>
        </w:rPr>
        <w:t xml:space="preserve"> that the </w:t>
      </w:r>
      <w:r>
        <w:rPr>
          <w:rFonts w:ascii="Times New Roman" w:hAnsi="Times New Roman"/>
        </w:rPr>
        <w:t>“</w:t>
      </w:r>
      <w:r w:rsidR="00504E34">
        <w:rPr>
          <w:rFonts w:ascii="Times New Roman" w:hAnsi="Times New Roman"/>
        </w:rPr>
        <w:t xml:space="preserve">Constitution of the </w:t>
      </w:r>
      <w:r w:rsidR="009A3D4B">
        <w:rPr>
          <w:rFonts w:ascii="Times New Roman" w:hAnsi="Times New Roman"/>
        </w:rPr>
        <w:t>Kingdom is the Holy Qur’an</w:t>
      </w:r>
      <w:r>
        <w:rPr>
          <w:rFonts w:ascii="Times New Roman" w:hAnsi="Times New Roman"/>
        </w:rPr>
        <w:t xml:space="preserve"> and the Prophet’s Sunnah.”</w:t>
      </w:r>
      <w:r w:rsidR="001D16E7" w:rsidRPr="001D16E7">
        <w:rPr>
          <w:rFonts w:ascii="Times New Roman" w:hAnsi="Times New Roman"/>
        </w:rPr>
        <w:t xml:space="preserve"> </w:t>
      </w:r>
      <w:r w:rsidR="00614517">
        <w:rPr>
          <w:rFonts w:ascii="Times New Roman" w:hAnsi="Times New Roman"/>
        </w:rPr>
        <w:t xml:space="preserve">This </w:t>
      </w:r>
      <w:r w:rsidR="001D16E7">
        <w:rPr>
          <w:rFonts w:ascii="Times New Roman" w:hAnsi="Times New Roman"/>
        </w:rPr>
        <w:t>raise</w:t>
      </w:r>
      <w:r w:rsidR="00614517">
        <w:rPr>
          <w:rFonts w:ascii="Times New Roman" w:hAnsi="Times New Roman"/>
        </w:rPr>
        <w:t>s</w:t>
      </w:r>
      <w:r w:rsidR="001D16E7">
        <w:rPr>
          <w:rFonts w:ascii="Times New Roman" w:hAnsi="Times New Roman"/>
        </w:rPr>
        <w:t xml:space="preserve"> the question of interpretation</w:t>
      </w:r>
      <w:r>
        <w:rPr>
          <w:rFonts w:ascii="Times New Roman" w:hAnsi="Times New Roman"/>
        </w:rPr>
        <w:t>s</w:t>
      </w:r>
      <w:r w:rsidR="00B91C52">
        <w:rPr>
          <w:rFonts w:ascii="Times New Roman" w:hAnsi="Times New Roman"/>
        </w:rPr>
        <w:t>, which are</w:t>
      </w:r>
      <w:r w:rsidR="001D16E7">
        <w:rPr>
          <w:rFonts w:ascii="Times New Roman" w:hAnsi="Times New Roman"/>
        </w:rPr>
        <w:t xml:space="preserve"> not necessa</w:t>
      </w:r>
      <w:r w:rsidR="00F86E58">
        <w:rPr>
          <w:rFonts w:ascii="Times New Roman" w:hAnsi="Times New Roman"/>
        </w:rPr>
        <w:t>rily consistent</w:t>
      </w:r>
      <w:r w:rsidR="001D16E7">
        <w:rPr>
          <w:rFonts w:ascii="Times New Roman" w:hAnsi="Times New Roman"/>
        </w:rPr>
        <w:t xml:space="preserve">, either in the Arab states or in </w:t>
      </w:r>
      <w:r w:rsidR="001A1A08">
        <w:rPr>
          <w:rFonts w:ascii="Times New Roman" w:hAnsi="Times New Roman"/>
        </w:rPr>
        <w:t xml:space="preserve">other Muslim majority </w:t>
      </w:r>
      <w:r w:rsidR="001A1A08" w:rsidRPr="00300725">
        <w:rPr>
          <w:rFonts w:ascii="Times New Roman" w:hAnsi="Times New Roman"/>
        </w:rPr>
        <w:t>co</w:t>
      </w:r>
      <w:r w:rsidR="00F86E58" w:rsidRPr="008342BE">
        <w:rPr>
          <w:rFonts w:ascii="Times New Roman" w:hAnsi="Times New Roman"/>
        </w:rPr>
        <w:t xml:space="preserve">untries. </w:t>
      </w:r>
      <w:r w:rsidR="00614517" w:rsidRPr="008342BE">
        <w:rPr>
          <w:rFonts w:ascii="Times New Roman" w:hAnsi="Times New Roman"/>
        </w:rPr>
        <w:t>Indeed</w:t>
      </w:r>
      <w:r w:rsidR="00614517">
        <w:rPr>
          <w:rFonts w:ascii="Times New Roman" w:hAnsi="Times New Roman"/>
        </w:rPr>
        <w:t xml:space="preserve">, most constitutions stipulate that the King, Emir or </w:t>
      </w:r>
      <w:r w:rsidR="00862573">
        <w:rPr>
          <w:rFonts w:ascii="Times New Roman" w:hAnsi="Times New Roman"/>
        </w:rPr>
        <w:t>President must</w:t>
      </w:r>
      <w:r w:rsidR="00614517">
        <w:rPr>
          <w:rFonts w:ascii="Times New Roman" w:hAnsi="Times New Roman"/>
        </w:rPr>
        <w:t xml:space="preserve"> be a Muslim. </w:t>
      </w:r>
      <w:r w:rsidR="00862573">
        <w:rPr>
          <w:rFonts w:ascii="Times New Roman" w:hAnsi="Times New Roman"/>
        </w:rPr>
        <w:t xml:space="preserve">The </w:t>
      </w:r>
      <w:r w:rsidR="001A1A08">
        <w:rPr>
          <w:rFonts w:ascii="Times New Roman" w:hAnsi="Times New Roman"/>
        </w:rPr>
        <w:t xml:space="preserve">constitutions </w:t>
      </w:r>
      <w:r w:rsidR="00862573">
        <w:rPr>
          <w:rFonts w:ascii="Times New Roman" w:hAnsi="Times New Roman"/>
        </w:rPr>
        <w:t>nevertheless</w:t>
      </w:r>
      <w:r w:rsidR="001A1A08">
        <w:rPr>
          <w:rFonts w:ascii="Times New Roman" w:hAnsi="Times New Roman"/>
        </w:rPr>
        <w:t xml:space="preserve"> have provisions for the protection of religious and other minorities in general terms (see below)</w:t>
      </w:r>
      <w:r w:rsidR="00862573">
        <w:rPr>
          <w:rFonts w:ascii="Times New Roman" w:hAnsi="Times New Roman"/>
        </w:rPr>
        <w:t>, but they are seen as communities to be prot</w:t>
      </w:r>
      <w:r w:rsidR="00D07A9B">
        <w:rPr>
          <w:rFonts w:ascii="Times New Roman" w:hAnsi="Times New Roman"/>
        </w:rPr>
        <w:t xml:space="preserve">ected, </w:t>
      </w:r>
      <w:r w:rsidR="00B91C52">
        <w:rPr>
          <w:rFonts w:ascii="Times New Roman" w:hAnsi="Times New Roman"/>
        </w:rPr>
        <w:t>not necessarily</w:t>
      </w:r>
      <w:r w:rsidR="00D07A9B">
        <w:rPr>
          <w:rFonts w:ascii="Times New Roman" w:hAnsi="Times New Roman"/>
        </w:rPr>
        <w:t xml:space="preserve"> </w:t>
      </w:r>
      <w:r w:rsidR="003A2833">
        <w:rPr>
          <w:rFonts w:ascii="Times New Roman" w:hAnsi="Times New Roman"/>
        </w:rPr>
        <w:t xml:space="preserve">in a position </w:t>
      </w:r>
      <w:r w:rsidR="00D07A9B">
        <w:rPr>
          <w:rFonts w:ascii="Times New Roman" w:hAnsi="Times New Roman"/>
        </w:rPr>
        <w:t xml:space="preserve">to exercise </w:t>
      </w:r>
      <w:r w:rsidR="002A015E">
        <w:rPr>
          <w:rFonts w:ascii="Times New Roman" w:hAnsi="Times New Roman"/>
        </w:rPr>
        <w:t xml:space="preserve">participatory </w:t>
      </w:r>
      <w:r w:rsidR="00D07A9B">
        <w:rPr>
          <w:rFonts w:ascii="Times New Roman" w:hAnsi="Times New Roman"/>
        </w:rPr>
        <w:t>rights</w:t>
      </w:r>
      <w:r w:rsidR="001A1A08">
        <w:rPr>
          <w:rFonts w:ascii="Times New Roman" w:hAnsi="Times New Roman"/>
        </w:rPr>
        <w:t>.</w:t>
      </w:r>
    </w:p>
    <w:p w14:paraId="77BC6806" w14:textId="77777777" w:rsidR="00D07A9B" w:rsidRDefault="00D07A9B" w:rsidP="00F86E58">
      <w:pPr>
        <w:rPr>
          <w:rFonts w:ascii="Times New Roman" w:hAnsi="Times New Roman"/>
        </w:rPr>
      </w:pPr>
    </w:p>
    <w:p w14:paraId="11EF9EA6" w14:textId="77777777" w:rsidR="00E81AB0" w:rsidRDefault="00E81AB0" w:rsidP="00313D15">
      <w:pPr>
        <w:ind w:left="900" w:hanging="900"/>
        <w:outlineLvl w:val="0"/>
        <w:rPr>
          <w:rFonts w:asciiTheme="majorBidi" w:hAnsiTheme="majorBidi" w:cstheme="majorBidi"/>
          <w:sz w:val="22"/>
          <w:szCs w:val="22"/>
        </w:rPr>
      </w:pPr>
      <w:r>
        <w:rPr>
          <w:rFonts w:asciiTheme="majorBidi" w:hAnsiTheme="majorBidi" w:cstheme="majorBidi"/>
          <w:b/>
          <w:bCs/>
          <w:i/>
          <w:iCs/>
          <w:sz w:val="22"/>
          <w:szCs w:val="22"/>
        </w:rPr>
        <w:t>P</w:t>
      </w:r>
      <w:r w:rsidR="0055038E">
        <w:rPr>
          <w:rFonts w:asciiTheme="majorBidi" w:hAnsiTheme="majorBidi" w:cstheme="majorBidi"/>
          <w:b/>
          <w:bCs/>
          <w:i/>
          <w:iCs/>
          <w:sz w:val="22"/>
          <w:szCs w:val="22"/>
        </w:rPr>
        <w:t>olitical p</w:t>
      </w:r>
      <w:r w:rsidR="00D07A9B" w:rsidRPr="00A130DA">
        <w:rPr>
          <w:rFonts w:asciiTheme="majorBidi" w:hAnsiTheme="majorBidi" w:cstheme="majorBidi"/>
          <w:b/>
          <w:bCs/>
          <w:i/>
          <w:iCs/>
          <w:sz w:val="22"/>
          <w:szCs w:val="22"/>
        </w:rPr>
        <w:t>articipation</w:t>
      </w:r>
      <w:r>
        <w:rPr>
          <w:rFonts w:asciiTheme="majorBidi" w:hAnsiTheme="majorBidi" w:cstheme="majorBidi"/>
          <w:b/>
          <w:bCs/>
          <w:i/>
          <w:iCs/>
          <w:sz w:val="22"/>
          <w:szCs w:val="22"/>
        </w:rPr>
        <w:t>,</w:t>
      </w:r>
      <w:r w:rsidRPr="00E81AB0">
        <w:rPr>
          <w:rFonts w:asciiTheme="majorBidi" w:hAnsiTheme="majorBidi" w:cstheme="majorBidi"/>
          <w:b/>
          <w:bCs/>
          <w:i/>
          <w:iCs/>
          <w:sz w:val="22"/>
          <w:szCs w:val="22"/>
        </w:rPr>
        <w:t xml:space="preserve"> </w:t>
      </w:r>
      <w:r>
        <w:rPr>
          <w:rFonts w:asciiTheme="majorBidi" w:hAnsiTheme="majorBidi" w:cstheme="majorBidi"/>
          <w:b/>
          <w:bCs/>
          <w:i/>
          <w:iCs/>
          <w:sz w:val="22"/>
          <w:szCs w:val="22"/>
        </w:rPr>
        <w:t>e</w:t>
      </w:r>
      <w:r w:rsidRPr="00A130DA">
        <w:rPr>
          <w:rFonts w:asciiTheme="majorBidi" w:hAnsiTheme="majorBidi" w:cstheme="majorBidi"/>
          <w:b/>
          <w:bCs/>
          <w:i/>
          <w:iCs/>
          <w:sz w:val="22"/>
          <w:szCs w:val="22"/>
        </w:rPr>
        <w:t>lections</w:t>
      </w:r>
      <w:r>
        <w:rPr>
          <w:rFonts w:asciiTheme="majorBidi" w:hAnsiTheme="majorBidi" w:cstheme="majorBidi"/>
          <w:b/>
          <w:bCs/>
          <w:i/>
          <w:iCs/>
          <w:sz w:val="22"/>
          <w:szCs w:val="22"/>
        </w:rPr>
        <w:t xml:space="preserve"> and </w:t>
      </w:r>
      <w:r w:rsidR="00935494">
        <w:rPr>
          <w:rFonts w:asciiTheme="majorBidi" w:hAnsiTheme="majorBidi" w:cstheme="majorBidi"/>
          <w:b/>
          <w:bCs/>
          <w:i/>
          <w:iCs/>
          <w:sz w:val="22"/>
          <w:szCs w:val="22"/>
        </w:rPr>
        <w:t xml:space="preserve">the right to form </w:t>
      </w:r>
      <w:r>
        <w:rPr>
          <w:rFonts w:asciiTheme="majorBidi" w:hAnsiTheme="majorBidi" w:cstheme="majorBidi"/>
          <w:b/>
          <w:bCs/>
          <w:i/>
          <w:iCs/>
          <w:sz w:val="22"/>
          <w:szCs w:val="22"/>
        </w:rPr>
        <w:t>political parties</w:t>
      </w:r>
      <w:r w:rsidR="00B91C52">
        <w:rPr>
          <w:rFonts w:asciiTheme="majorBidi" w:hAnsiTheme="majorBidi" w:cstheme="majorBidi"/>
          <w:b/>
          <w:bCs/>
          <w:i/>
          <w:iCs/>
          <w:sz w:val="22"/>
          <w:szCs w:val="22"/>
        </w:rPr>
        <w:t xml:space="preserve"> and associations</w:t>
      </w:r>
      <w:r>
        <w:rPr>
          <w:rFonts w:asciiTheme="majorBidi" w:hAnsiTheme="majorBidi" w:cstheme="majorBidi"/>
          <w:b/>
          <w:bCs/>
          <w:i/>
          <w:iCs/>
          <w:sz w:val="22"/>
          <w:szCs w:val="22"/>
        </w:rPr>
        <w:t xml:space="preserve"> </w:t>
      </w:r>
    </w:p>
    <w:p w14:paraId="30A61282" w14:textId="77777777" w:rsidR="00614517" w:rsidRPr="00D25BEA" w:rsidRDefault="00614517" w:rsidP="009A3D4B">
      <w:pPr>
        <w:rPr>
          <w:rFonts w:asciiTheme="majorBidi" w:hAnsiTheme="majorBidi" w:cstheme="majorBidi"/>
        </w:rPr>
      </w:pPr>
    </w:p>
    <w:p w14:paraId="6E20D4A6" w14:textId="77777777" w:rsidR="00236E13" w:rsidRDefault="00614517" w:rsidP="00B1206F">
      <w:pPr>
        <w:jc w:val="both"/>
        <w:rPr>
          <w:rFonts w:asciiTheme="majorBidi" w:hAnsiTheme="majorBidi" w:cstheme="majorBidi"/>
        </w:rPr>
      </w:pPr>
      <w:r w:rsidRPr="00B35BF3">
        <w:rPr>
          <w:rFonts w:asciiTheme="majorBidi" w:hAnsiTheme="majorBidi" w:cstheme="majorBidi"/>
        </w:rPr>
        <w:t>It is generally recognized in Arab constitutions that citizens have the right to participate in the conduct of public affairs through election of representatives or directly, through participation in referendums</w:t>
      </w:r>
      <w:r w:rsidR="00CC162C" w:rsidRPr="00B35BF3">
        <w:rPr>
          <w:rFonts w:asciiTheme="majorBidi" w:hAnsiTheme="majorBidi" w:cstheme="majorBidi"/>
        </w:rPr>
        <w:t>. Nearly all constitutions affirm this right</w:t>
      </w:r>
      <w:r w:rsidR="00B35BF3">
        <w:rPr>
          <w:rFonts w:asciiTheme="majorBidi" w:hAnsiTheme="majorBidi" w:cstheme="majorBidi"/>
        </w:rPr>
        <w:t xml:space="preserve"> and interpret it as the right to elect and be elected to public office</w:t>
      </w:r>
      <w:r w:rsidR="00CC162C" w:rsidRPr="00B35BF3">
        <w:rPr>
          <w:rFonts w:asciiTheme="majorBidi" w:hAnsiTheme="majorBidi" w:cstheme="majorBidi"/>
        </w:rPr>
        <w:t xml:space="preserve">, some more </w:t>
      </w:r>
      <w:r w:rsidR="00B35BF3">
        <w:rPr>
          <w:rFonts w:asciiTheme="majorBidi" w:hAnsiTheme="majorBidi" w:cstheme="majorBidi"/>
        </w:rPr>
        <w:t>clearly</w:t>
      </w:r>
      <w:r w:rsidR="00CC162C" w:rsidRPr="00B35BF3">
        <w:rPr>
          <w:rFonts w:asciiTheme="majorBidi" w:hAnsiTheme="majorBidi" w:cstheme="majorBidi"/>
        </w:rPr>
        <w:t xml:space="preserve"> and in more detail than others.</w:t>
      </w:r>
      <w:r w:rsidR="008D0B0D" w:rsidRPr="00B35BF3">
        <w:rPr>
          <w:rStyle w:val="FootnoteReference"/>
          <w:rFonts w:asciiTheme="majorBidi" w:hAnsiTheme="majorBidi" w:cstheme="majorBidi"/>
        </w:rPr>
        <w:t xml:space="preserve"> </w:t>
      </w:r>
      <w:r w:rsidR="00571E6A" w:rsidRPr="00B35BF3">
        <w:rPr>
          <w:rFonts w:asciiTheme="majorBidi" w:hAnsiTheme="majorBidi" w:cstheme="majorBidi"/>
        </w:rPr>
        <w:t xml:space="preserve">In the Egyptian Constitution’s article 86, participation in public life is “a national duty” </w:t>
      </w:r>
      <w:r w:rsidR="00D050DC" w:rsidRPr="00B35BF3">
        <w:rPr>
          <w:rFonts w:asciiTheme="majorBidi" w:hAnsiTheme="majorBidi" w:cstheme="majorBidi"/>
        </w:rPr>
        <w:t>while t</w:t>
      </w:r>
      <w:r w:rsidR="00403100" w:rsidRPr="00B35BF3">
        <w:rPr>
          <w:rFonts w:asciiTheme="majorBidi" w:hAnsiTheme="majorBidi" w:cstheme="majorBidi"/>
        </w:rPr>
        <w:t>he Alg</w:t>
      </w:r>
      <w:r w:rsidR="00D050DC" w:rsidRPr="00B35BF3">
        <w:rPr>
          <w:rFonts w:asciiTheme="majorBidi" w:hAnsiTheme="majorBidi" w:cstheme="majorBidi"/>
        </w:rPr>
        <w:t>erian constitution’s Article 10</w:t>
      </w:r>
      <w:r w:rsidR="00403100" w:rsidRPr="00B35BF3">
        <w:rPr>
          <w:rFonts w:asciiTheme="majorBidi" w:hAnsiTheme="majorBidi" w:cstheme="majorBidi"/>
        </w:rPr>
        <w:t xml:space="preserve"> affirms that no limitations on people’s representation may be imposed except by the constitution and the election law. </w:t>
      </w:r>
      <w:r w:rsidR="00B35BF3" w:rsidRPr="00B35BF3">
        <w:rPr>
          <w:rFonts w:asciiTheme="majorBidi" w:hAnsiTheme="majorBidi" w:cstheme="majorBidi"/>
        </w:rPr>
        <w:t xml:space="preserve">Morocco’s art. 136 stipulates that its regional and territorial organization “assures the participation of the populations concerned in the management </w:t>
      </w:r>
      <w:r w:rsidR="00B35BF3" w:rsidRPr="00B35BF3">
        <w:rPr>
          <w:rFonts w:asciiTheme="majorBidi" w:hAnsiTheme="majorBidi" w:cstheme="majorBidi"/>
        </w:rPr>
        <w:lastRenderedPageBreak/>
        <w:t>of their affairs and favors their contribution to complete and lasting human development.”</w:t>
      </w:r>
      <w:r w:rsidR="00B35BF3">
        <w:rPr>
          <w:rStyle w:val="FootnoteReference"/>
          <w:rFonts w:asciiTheme="majorBidi" w:hAnsiTheme="majorBidi" w:cstheme="majorBidi"/>
          <w:sz w:val="22"/>
          <w:szCs w:val="22"/>
        </w:rPr>
        <w:footnoteReference w:id="20"/>
      </w:r>
      <w:r w:rsidR="00B35BF3">
        <w:rPr>
          <w:rFonts w:asciiTheme="majorBidi" w:hAnsiTheme="majorBidi" w:cstheme="majorBidi"/>
        </w:rPr>
        <w:t xml:space="preserve"> </w:t>
      </w:r>
      <w:r w:rsidR="00236E13">
        <w:rPr>
          <w:rFonts w:asciiTheme="majorBidi" w:hAnsiTheme="majorBidi" w:cstheme="majorBidi"/>
        </w:rPr>
        <w:t>Less than half of the constitutions, however, make reference to direct voting by secret ballot.</w:t>
      </w:r>
      <w:r w:rsidR="00236E13">
        <w:rPr>
          <w:rStyle w:val="FootnoteReference"/>
          <w:rFonts w:asciiTheme="majorBidi" w:hAnsiTheme="majorBidi" w:cstheme="majorBidi"/>
        </w:rPr>
        <w:footnoteReference w:id="21"/>
      </w:r>
    </w:p>
    <w:p w14:paraId="7C8AD2D2" w14:textId="77777777" w:rsidR="00B35BF3" w:rsidRDefault="00B35BF3" w:rsidP="00B1206F">
      <w:pPr>
        <w:jc w:val="both"/>
        <w:rPr>
          <w:rFonts w:asciiTheme="majorBidi" w:hAnsiTheme="majorBidi" w:cstheme="majorBidi"/>
        </w:rPr>
      </w:pPr>
    </w:p>
    <w:p w14:paraId="74C6BF7E" w14:textId="77777777" w:rsidR="00403100" w:rsidRDefault="00571E6A" w:rsidP="00B1206F">
      <w:pPr>
        <w:jc w:val="both"/>
        <w:rPr>
          <w:rFonts w:asciiTheme="majorBidi" w:hAnsiTheme="majorBidi" w:cstheme="majorBidi"/>
        </w:rPr>
      </w:pPr>
      <w:r>
        <w:rPr>
          <w:rFonts w:asciiTheme="majorBidi" w:hAnsiTheme="majorBidi" w:cstheme="majorBidi"/>
        </w:rPr>
        <w:t xml:space="preserve">Lebanon’s </w:t>
      </w:r>
      <w:r w:rsidR="00FD79B8">
        <w:rPr>
          <w:rFonts w:asciiTheme="majorBidi" w:hAnsiTheme="majorBidi" w:cstheme="majorBidi"/>
        </w:rPr>
        <w:t xml:space="preserve">article 21 </w:t>
      </w:r>
      <w:r>
        <w:rPr>
          <w:rFonts w:asciiTheme="majorBidi" w:hAnsiTheme="majorBidi" w:cstheme="majorBidi"/>
        </w:rPr>
        <w:t>only refers to everyone’s right to be an elector</w:t>
      </w:r>
      <w:r w:rsidR="00CC162C" w:rsidRPr="00D25BEA">
        <w:rPr>
          <w:rFonts w:asciiTheme="majorBidi" w:hAnsiTheme="majorBidi" w:cstheme="majorBidi"/>
        </w:rPr>
        <w:t xml:space="preserve">. </w:t>
      </w:r>
      <w:r w:rsidR="00B35BF3">
        <w:rPr>
          <w:rFonts w:asciiTheme="majorBidi" w:hAnsiTheme="majorBidi" w:cstheme="majorBidi"/>
        </w:rPr>
        <w:t>The Saudi Basic Law makes no mention of participation, and members of the Shura Council are all appointed by the King (art. 7, Shura Council Law). The King also appoints the Emirs for each of the provinces, according to article 4 of the Kingdom’s Law of the Provinces.</w:t>
      </w:r>
      <w:r w:rsidR="00C73603">
        <w:rPr>
          <w:rStyle w:val="FootnoteReference"/>
          <w:rFonts w:asciiTheme="majorBidi" w:hAnsiTheme="majorBidi" w:cstheme="majorBidi"/>
        </w:rPr>
        <w:footnoteReference w:id="22"/>
      </w:r>
      <w:r w:rsidR="00C73603">
        <w:rPr>
          <w:rFonts w:asciiTheme="majorBidi" w:hAnsiTheme="majorBidi" w:cstheme="majorBidi"/>
        </w:rPr>
        <w:t xml:space="preserve"> </w:t>
      </w:r>
    </w:p>
    <w:p w14:paraId="07AD32B2" w14:textId="77777777" w:rsidR="00236E13" w:rsidRDefault="00236E13" w:rsidP="00B1206F">
      <w:pPr>
        <w:jc w:val="both"/>
        <w:rPr>
          <w:rFonts w:asciiTheme="majorBidi" w:hAnsiTheme="majorBidi" w:cstheme="majorBidi"/>
        </w:rPr>
      </w:pPr>
    </w:p>
    <w:p w14:paraId="1A7E9C20" w14:textId="77777777" w:rsidR="00CC162C" w:rsidRDefault="00D25BEA" w:rsidP="00B1206F">
      <w:pPr>
        <w:jc w:val="both"/>
        <w:rPr>
          <w:rFonts w:asciiTheme="majorBidi" w:hAnsiTheme="majorBidi" w:cstheme="majorBidi"/>
        </w:rPr>
      </w:pPr>
      <w:r w:rsidRPr="00D25BEA">
        <w:rPr>
          <w:rFonts w:asciiTheme="majorBidi" w:hAnsiTheme="majorBidi" w:cstheme="majorBidi"/>
        </w:rPr>
        <w:t>The right to establish political parties, unions and civil society organizations</w:t>
      </w:r>
      <w:r w:rsidR="00571E6A">
        <w:rPr>
          <w:rFonts w:asciiTheme="majorBidi" w:hAnsiTheme="majorBidi" w:cstheme="majorBidi"/>
        </w:rPr>
        <w:t xml:space="preserve"> is also included but </w:t>
      </w:r>
      <w:r w:rsidRPr="00D25BEA">
        <w:rPr>
          <w:rFonts w:asciiTheme="majorBidi" w:hAnsiTheme="majorBidi" w:cstheme="majorBidi"/>
        </w:rPr>
        <w:t>not uniformly guaranteed across the constitutions.</w:t>
      </w:r>
      <w:r w:rsidRPr="00D25BEA">
        <w:rPr>
          <w:rStyle w:val="FootnoteReference"/>
          <w:rFonts w:asciiTheme="majorBidi" w:hAnsiTheme="majorBidi" w:cstheme="majorBidi"/>
        </w:rPr>
        <w:footnoteReference w:id="23"/>
      </w:r>
      <w:r>
        <w:rPr>
          <w:rFonts w:asciiTheme="majorBidi" w:hAnsiTheme="majorBidi" w:cstheme="majorBidi"/>
        </w:rPr>
        <w:t xml:space="preserve"> </w:t>
      </w:r>
      <w:r w:rsidR="00CC162C">
        <w:rPr>
          <w:rFonts w:asciiTheme="majorBidi" w:hAnsiTheme="majorBidi" w:cstheme="majorBidi"/>
        </w:rPr>
        <w:t>Some constitutions specifically refer to the right to hold public office, which presumably may also me</w:t>
      </w:r>
      <w:r w:rsidR="009F4970">
        <w:rPr>
          <w:rFonts w:asciiTheme="majorBidi" w:hAnsiTheme="majorBidi" w:cstheme="majorBidi"/>
        </w:rPr>
        <w:t>an to be either elected or</w:t>
      </w:r>
      <w:r w:rsidR="00CC162C">
        <w:rPr>
          <w:rFonts w:asciiTheme="majorBidi" w:hAnsiTheme="majorBidi" w:cstheme="majorBidi"/>
        </w:rPr>
        <w:t xml:space="preserve"> </w:t>
      </w:r>
      <w:r w:rsidR="009F4970">
        <w:rPr>
          <w:rFonts w:asciiTheme="majorBidi" w:hAnsiTheme="majorBidi" w:cstheme="majorBidi"/>
        </w:rPr>
        <w:t>appointed</w:t>
      </w:r>
      <w:r w:rsidR="00CC162C">
        <w:rPr>
          <w:rFonts w:asciiTheme="majorBidi" w:hAnsiTheme="majorBidi" w:cstheme="majorBidi"/>
        </w:rPr>
        <w:t>.</w:t>
      </w:r>
      <w:r w:rsidR="00CC162C">
        <w:rPr>
          <w:rStyle w:val="FootnoteReference"/>
          <w:rFonts w:asciiTheme="majorBidi" w:hAnsiTheme="majorBidi" w:cstheme="majorBidi"/>
        </w:rPr>
        <w:footnoteReference w:id="24"/>
      </w:r>
    </w:p>
    <w:p w14:paraId="063839B7" w14:textId="77777777" w:rsidR="00CC162C" w:rsidRPr="00D25BEA" w:rsidRDefault="001655C3" w:rsidP="00B1206F">
      <w:pPr>
        <w:jc w:val="both"/>
        <w:rPr>
          <w:rFonts w:asciiTheme="majorBidi" w:hAnsiTheme="majorBidi" w:cstheme="majorBidi"/>
        </w:rPr>
      </w:pPr>
      <w:r>
        <w:rPr>
          <w:rFonts w:ascii="Times New Roman" w:hAnsi="Times New Roman"/>
        </w:rPr>
        <w:tab/>
      </w:r>
    </w:p>
    <w:p w14:paraId="360ADCE6" w14:textId="77777777" w:rsidR="00D25BEA" w:rsidRPr="00236E13" w:rsidRDefault="00403100" w:rsidP="00B1206F">
      <w:pPr>
        <w:jc w:val="both"/>
        <w:rPr>
          <w:rFonts w:asciiTheme="majorBidi" w:hAnsiTheme="majorBidi" w:cstheme="majorBidi"/>
        </w:rPr>
      </w:pPr>
      <w:r w:rsidRPr="00D25BEA">
        <w:rPr>
          <w:rFonts w:asciiTheme="majorBidi" w:hAnsiTheme="majorBidi" w:cstheme="majorBidi"/>
        </w:rPr>
        <w:t xml:space="preserve">Some constitutions </w:t>
      </w:r>
      <w:r w:rsidR="002A19FE">
        <w:rPr>
          <w:rFonts w:asciiTheme="majorBidi" w:hAnsiTheme="majorBidi" w:cstheme="majorBidi"/>
        </w:rPr>
        <w:t xml:space="preserve">also </w:t>
      </w:r>
      <w:r w:rsidRPr="00D25BEA">
        <w:rPr>
          <w:rFonts w:asciiTheme="majorBidi" w:hAnsiTheme="majorBidi" w:cstheme="majorBidi"/>
        </w:rPr>
        <w:t>include a specific provision on citizens’ rights to address public authorities or to present complaints, but limit the right for citizens’ associations and organizations to those that are duly registered and licensed.</w:t>
      </w:r>
      <w:r w:rsidR="00D25BEA" w:rsidRPr="00D25BEA">
        <w:rPr>
          <w:rFonts w:asciiTheme="majorBidi" w:hAnsiTheme="majorBidi" w:cstheme="majorBidi"/>
        </w:rPr>
        <w:t xml:space="preserve"> Exercise</w:t>
      </w:r>
      <w:r w:rsidR="00801AA9">
        <w:rPr>
          <w:rFonts w:asciiTheme="majorBidi" w:hAnsiTheme="majorBidi" w:cstheme="majorBidi"/>
        </w:rPr>
        <w:t xml:space="preserve"> of this right is in all cases </w:t>
      </w:r>
      <w:r w:rsidR="00D25BEA" w:rsidRPr="00D25BEA">
        <w:rPr>
          <w:rFonts w:asciiTheme="majorBidi" w:hAnsiTheme="majorBidi" w:cstheme="majorBidi"/>
        </w:rPr>
        <w:t>to be regulated by law.</w:t>
      </w:r>
      <w:r w:rsidR="005556FF" w:rsidRPr="00D25BEA">
        <w:rPr>
          <w:rStyle w:val="FootnoteReference"/>
          <w:rFonts w:asciiTheme="majorBidi" w:hAnsiTheme="majorBidi" w:cstheme="majorBidi"/>
        </w:rPr>
        <w:footnoteReference w:id="25"/>
      </w:r>
      <w:r w:rsidR="002A19FE">
        <w:rPr>
          <w:rFonts w:asciiTheme="majorBidi" w:hAnsiTheme="majorBidi" w:cstheme="majorBidi"/>
        </w:rPr>
        <w:t xml:space="preserve">  </w:t>
      </w:r>
      <w:r w:rsidR="00D25BEA" w:rsidRPr="00D25BEA">
        <w:rPr>
          <w:rFonts w:asciiTheme="majorBidi" w:hAnsiTheme="majorBidi" w:cstheme="majorBidi"/>
        </w:rPr>
        <w:t>Morocco’s constitution also notes</w:t>
      </w:r>
      <w:r w:rsidR="00236E13">
        <w:rPr>
          <w:rFonts w:asciiTheme="majorBidi" w:hAnsiTheme="majorBidi" w:cstheme="majorBidi"/>
        </w:rPr>
        <w:t xml:space="preserve"> in article 12</w:t>
      </w:r>
      <w:r w:rsidR="00D25BEA" w:rsidRPr="00D25BEA">
        <w:rPr>
          <w:rFonts w:asciiTheme="majorBidi" w:hAnsiTheme="majorBidi" w:cstheme="majorBidi"/>
        </w:rPr>
        <w:t xml:space="preserve"> that CSOs can contribute “within the framework of participative democracy” to the decisions and initiatives of elected institutions and public authorities.</w:t>
      </w:r>
      <w:r w:rsidR="00D25BEA" w:rsidRPr="00D25BEA">
        <w:rPr>
          <w:rStyle w:val="FootnoteReference"/>
          <w:rFonts w:asciiTheme="majorBidi" w:hAnsiTheme="majorBidi" w:cstheme="majorBidi"/>
        </w:rPr>
        <w:t xml:space="preserve"> </w:t>
      </w:r>
      <w:r w:rsidR="00A76755">
        <w:rPr>
          <w:rFonts w:ascii="Times New Roman" w:hAnsi="Times New Roman"/>
        </w:rPr>
        <w:t>Article 13 follows up with the promotion of dialogue to “associate the different social actors with enactment, implementation</w:t>
      </w:r>
      <w:r w:rsidR="0055038E">
        <w:rPr>
          <w:rFonts w:ascii="Times New Roman" w:hAnsi="Times New Roman"/>
        </w:rPr>
        <w:t>,</w:t>
      </w:r>
      <w:r w:rsidR="00A76755">
        <w:rPr>
          <w:rFonts w:ascii="Times New Roman" w:hAnsi="Times New Roman"/>
        </w:rPr>
        <w:t xml:space="preserve"> execution and evaluation of public policies.” </w:t>
      </w:r>
    </w:p>
    <w:p w14:paraId="59C93EF7" w14:textId="77777777" w:rsidR="008F0E90" w:rsidRDefault="008F0E90" w:rsidP="00B1206F">
      <w:pPr>
        <w:tabs>
          <w:tab w:val="left" w:pos="1221"/>
        </w:tabs>
        <w:jc w:val="both"/>
        <w:rPr>
          <w:rFonts w:ascii="Times New Roman" w:hAnsi="Times New Roman"/>
        </w:rPr>
      </w:pPr>
    </w:p>
    <w:p w14:paraId="18817AA6" w14:textId="77777777" w:rsidR="00A130DA" w:rsidRDefault="009F4970" w:rsidP="00B1206F">
      <w:pPr>
        <w:jc w:val="both"/>
        <w:rPr>
          <w:rFonts w:ascii="Times New Roman" w:hAnsi="Times New Roman"/>
        </w:rPr>
      </w:pPr>
      <w:r w:rsidRPr="000A6E1F">
        <w:rPr>
          <w:rFonts w:ascii="Times New Roman" w:hAnsi="Times New Roman"/>
        </w:rPr>
        <w:t>Those guarantees of political participation, however, are undermined i</w:t>
      </w:r>
      <w:r w:rsidR="00A130DA" w:rsidRPr="000A6E1F">
        <w:rPr>
          <w:rFonts w:ascii="Times New Roman" w:hAnsi="Times New Roman"/>
        </w:rPr>
        <w:t xml:space="preserve">n many of the </w:t>
      </w:r>
      <w:r w:rsidRPr="000A6E1F">
        <w:rPr>
          <w:rFonts w:ascii="Times New Roman" w:hAnsi="Times New Roman"/>
        </w:rPr>
        <w:t>political systems in the region for two reasons. First, legislative authority is often jointly exercised by the elected leg</w:t>
      </w:r>
      <w:r w:rsidR="00B81FB7">
        <w:rPr>
          <w:rFonts w:ascii="Times New Roman" w:hAnsi="Times New Roman"/>
        </w:rPr>
        <w:t xml:space="preserve">islature and appointed legislative bodies such as upper houses and </w:t>
      </w:r>
      <w:r w:rsidRPr="000A6E1F">
        <w:rPr>
          <w:rFonts w:ascii="Times New Roman" w:hAnsi="Times New Roman"/>
        </w:rPr>
        <w:t>Shura Councils.</w:t>
      </w:r>
      <w:r w:rsidR="00D824AB" w:rsidRPr="000A6E1F">
        <w:rPr>
          <w:rStyle w:val="FootnoteReference"/>
          <w:rFonts w:ascii="Times New Roman" w:hAnsi="Times New Roman"/>
        </w:rPr>
        <w:footnoteReference w:id="26"/>
      </w:r>
      <w:r w:rsidRPr="000A6E1F">
        <w:rPr>
          <w:rFonts w:ascii="Times New Roman" w:hAnsi="Times New Roman"/>
        </w:rPr>
        <w:t xml:space="preserve"> </w:t>
      </w:r>
      <w:r w:rsidR="00F30852" w:rsidRPr="000A6E1F">
        <w:rPr>
          <w:rFonts w:ascii="Times New Roman" w:hAnsi="Times New Roman"/>
        </w:rPr>
        <w:t>The Kuwaiti consti</w:t>
      </w:r>
      <w:r w:rsidR="00D52365" w:rsidRPr="000A6E1F">
        <w:rPr>
          <w:rFonts w:ascii="Times New Roman" w:hAnsi="Times New Roman"/>
        </w:rPr>
        <w:t xml:space="preserve">tution </w:t>
      </w:r>
      <w:r w:rsidR="00F30852" w:rsidRPr="000A6E1F">
        <w:rPr>
          <w:rFonts w:ascii="Times New Roman" w:hAnsi="Times New Roman"/>
        </w:rPr>
        <w:t>consider</w:t>
      </w:r>
      <w:r w:rsidR="00D52365" w:rsidRPr="000A6E1F">
        <w:rPr>
          <w:rFonts w:ascii="Times New Roman" w:hAnsi="Times New Roman"/>
        </w:rPr>
        <w:t>s</w:t>
      </w:r>
      <w:r w:rsidR="00F30852" w:rsidRPr="000A6E1F">
        <w:rPr>
          <w:rFonts w:ascii="Times New Roman" w:hAnsi="Times New Roman"/>
        </w:rPr>
        <w:t xml:space="preserve"> appointed Ministers as members of the elected National Assembly “by virtue of their functions” (art. 80</w:t>
      </w:r>
      <w:r w:rsidR="00F30852">
        <w:rPr>
          <w:rFonts w:ascii="Times New Roman" w:hAnsi="Times New Roman"/>
        </w:rPr>
        <w:t xml:space="preserve">). </w:t>
      </w:r>
      <w:r w:rsidR="00D52365">
        <w:rPr>
          <w:rFonts w:ascii="Times New Roman" w:hAnsi="Times New Roman"/>
        </w:rPr>
        <w:t>Qatar’s constitution establishes an Advisory Council one-third of which is appointed by the Emir and may include Ministers (art. 77). The Saudi constitution’s three powers are the Executive, Judicial and “Organizational” rather than legislative power, and the King is “the ultimate source of all these authorities.” (art. 44). In Syria, the President has the power to legislate by decree when the People’s As</w:t>
      </w:r>
      <w:r w:rsidR="000A6E1F">
        <w:rPr>
          <w:rFonts w:ascii="Times New Roman" w:hAnsi="Times New Roman"/>
        </w:rPr>
        <w:t>s</w:t>
      </w:r>
      <w:r w:rsidR="00D52365">
        <w:rPr>
          <w:rFonts w:ascii="Times New Roman" w:hAnsi="Times New Roman"/>
        </w:rPr>
        <w:t>embly is not in session (art. 1</w:t>
      </w:r>
      <w:r w:rsidR="000A6E1F">
        <w:rPr>
          <w:rFonts w:ascii="Times New Roman" w:hAnsi="Times New Roman"/>
        </w:rPr>
        <w:t>13).</w:t>
      </w:r>
      <w:r w:rsidR="00801AA9">
        <w:rPr>
          <w:rFonts w:ascii="Times New Roman" w:hAnsi="Times New Roman"/>
        </w:rPr>
        <w:t xml:space="preserve"> </w:t>
      </w:r>
      <w:r w:rsidR="008F7696" w:rsidRPr="00C75901">
        <w:rPr>
          <w:rFonts w:ascii="Times New Roman" w:hAnsi="Times New Roman"/>
        </w:rPr>
        <w:t>Secondly</w:t>
      </w:r>
      <w:r w:rsidRPr="00C75901">
        <w:rPr>
          <w:rFonts w:ascii="Times New Roman" w:hAnsi="Times New Roman"/>
        </w:rPr>
        <w:t>,</w:t>
      </w:r>
      <w:r w:rsidR="008F7696" w:rsidRPr="00C75901">
        <w:rPr>
          <w:rFonts w:ascii="Times New Roman" w:hAnsi="Times New Roman"/>
        </w:rPr>
        <w:t xml:space="preserve"> in most monarchial systems, the </w:t>
      </w:r>
      <w:r w:rsidR="00A130DA" w:rsidRPr="00C75901">
        <w:rPr>
          <w:rFonts w:ascii="Times New Roman" w:hAnsi="Times New Roman"/>
        </w:rPr>
        <w:t>King/Emir has the authority to dismiss the representatives elected by the population</w:t>
      </w:r>
      <w:r w:rsidR="008F7696" w:rsidRPr="00C75901">
        <w:rPr>
          <w:rFonts w:ascii="Times New Roman" w:hAnsi="Times New Roman"/>
        </w:rPr>
        <w:t>, subject to conditions in some but not in all cases</w:t>
      </w:r>
      <w:r w:rsidR="00A130DA" w:rsidRPr="00C75901">
        <w:rPr>
          <w:rFonts w:ascii="Times New Roman" w:hAnsi="Times New Roman"/>
        </w:rPr>
        <w:t>.</w:t>
      </w:r>
      <w:r w:rsidR="00A130DA" w:rsidRPr="00C75901">
        <w:rPr>
          <w:rStyle w:val="FootnoteReference"/>
          <w:rFonts w:ascii="Times New Roman" w:hAnsi="Times New Roman"/>
        </w:rPr>
        <w:footnoteReference w:id="27"/>
      </w:r>
      <w:r w:rsidR="00A130DA">
        <w:rPr>
          <w:rFonts w:ascii="Times New Roman" w:hAnsi="Times New Roman"/>
        </w:rPr>
        <w:t xml:space="preserve"> </w:t>
      </w:r>
      <w:r w:rsidR="00F30852">
        <w:rPr>
          <w:rFonts w:ascii="Times New Roman" w:hAnsi="Times New Roman"/>
        </w:rPr>
        <w:t xml:space="preserve">Even </w:t>
      </w:r>
      <w:r w:rsidR="00F30852">
        <w:rPr>
          <w:rFonts w:ascii="Times New Roman" w:hAnsi="Times New Roman"/>
        </w:rPr>
        <w:lastRenderedPageBreak/>
        <w:t xml:space="preserve">in Morocco, the King still has authority to dissolve both chambers of the legislature which are elected, one directly and one by region. In the Presidential system of </w:t>
      </w:r>
      <w:r w:rsidR="00DD64ED">
        <w:rPr>
          <w:rFonts w:ascii="Times New Roman" w:hAnsi="Times New Roman"/>
        </w:rPr>
        <w:t>Mauritania</w:t>
      </w:r>
      <w:r w:rsidR="00F30852">
        <w:rPr>
          <w:rFonts w:ascii="Times New Roman" w:hAnsi="Times New Roman"/>
        </w:rPr>
        <w:t>, the National Assembly can be dissolved by the President with “no need for discussion.” (art. 31).</w:t>
      </w:r>
    </w:p>
    <w:p w14:paraId="3A4B01E1" w14:textId="77777777" w:rsidR="004B357F" w:rsidRPr="00931490" w:rsidRDefault="004B357F" w:rsidP="00B1206F">
      <w:pPr>
        <w:jc w:val="both"/>
        <w:rPr>
          <w:rFonts w:asciiTheme="majorBidi" w:hAnsiTheme="majorBidi" w:cstheme="majorBidi"/>
          <w:sz w:val="22"/>
          <w:szCs w:val="22"/>
        </w:rPr>
      </w:pPr>
    </w:p>
    <w:p w14:paraId="6A93EAD4" w14:textId="77777777" w:rsidR="009F4970" w:rsidRPr="00A130DA" w:rsidRDefault="009F4970" w:rsidP="00B1206F">
      <w:pPr>
        <w:ind w:left="900" w:hanging="900"/>
        <w:jc w:val="both"/>
        <w:outlineLvl w:val="0"/>
        <w:rPr>
          <w:rFonts w:asciiTheme="majorBidi" w:hAnsiTheme="majorBidi" w:cstheme="majorBidi"/>
          <w:b/>
          <w:bCs/>
          <w:sz w:val="22"/>
          <w:szCs w:val="22"/>
        </w:rPr>
      </w:pPr>
      <w:r w:rsidRPr="00A130DA">
        <w:rPr>
          <w:rFonts w:asciiTheme="majorBidi" w:hAnsiTheme="majorBidi" w:cstheme="majorBidi"/>
          <w:b/>
          <w:bCs/>
          <w:i/>
          <w:iCs/>
          <w:sz w:val="22"/>
          <w:szCs w:val="22"/>
        </w:rPr>
        <w:t>Equality and non-discrimination provisions</w:t>
      </w:r>
      <w:r w:rsidR="009E7867">
        <w:rPr>
          <w:rStyle w:val="FootnoteReference"/>
          <w:rFonts w:ascii="Times New Roman" w:hAnsi="Times New Roman"/>
        </w:rPr>
        <w:footnoteReference w:id="28"/>
      </w:r>
    </w:p>
    <w:p w14:paraId="47A4BBE7" w14:textId="77777777" w:rsidR="009F4970" w:rsidRDefault="009F4970" w:rsidP="00B1206F">
      <w:pPr>
        <w:ind w:left="900" w:hanging="900"/>
        <w:jc w:val="both"/>
        <w:rPr>
          <w:rFonts w:asciiTheme="majorBidi" w:hAnsiTheme="majorBidi" w:cstheme="majorBidi"/>
          <w:sz w:val="22"/>
          <w:szCs w:val="22"/>
        </w:rPr>
      </w:pPr>
    </w:p>
    <w:p w14:paraId="15C9748C" w14:textId="77777777" w:rsidR="00575F98" w:rsidRDefault="009F4970" w:rsidP="00B1206F">
      <w:pPr>
        <w:jc w:val="both"/>
        <w:rPr>
          <w:rFonts w:ascii="Times New Roman" w:hAnsi="Times New Roman"/>
        </w:rPr>
      </w:pPr>
      <w:r>
        <w:rPr>
          <w:rFonts w:ascii="Times New Roman" w:hAnsi="Times New Roman"/>
        </w:rPr>
        <w:t xml:space="preserve">Arab constitutions are </w:t>
      </w:r>
      <w:r w:rsidR="007265C7">
        <w:rPr>
          <w:rFonts w:ascii="Times New Roman" w:hAnsi="Times New Roman"/>
        </w:rPr>
        <w:t xml:space="preserve">almost </w:t>
      </w:r>
      <w:r w:rsidR="00575F98">
        <w:rPr>
          <w:rFonts w:ascii="Times New Roman" w:hAnsi="Times New Roman"/>
        </w:rPr>
        <w:t>unanimous</w:t>
      </w:r>
      <w:r>
        <w:rPr>
          <w:rFonts w:ascii="Times New Roman" w:hAnsi="Times New Roman"/>
        </w:rPr>
        <w:t xml:space="preserve"> in including the provision of equality before the law </w:t>
      </w:r>
      <w:r w:rsidR="007265C7">
        <w:rPr>
          <w:rFonts w:ascii="Times New Roman" w:hAnsi="Times New Roman"/>
        </w:rPr>
        <w:t>in general terms and include a non-</w:t>
      </w:r>
      <w:r>
        <w:rPr>
          <w:rFonts w:ascii="Times New Roman" w:hAnsi="Times New Roman"/>
        </w:rPr>
        <w:t>discrimination</w:t>
      </w:r>
      <w:r w:rsidR="00575F98">
        <w:rPr>
          <w:rFonts w:ascii="Times New Roman" w:hAnsi="Times New Roman"/>
        </w:rPr>
        <w:t xml:space="preserve"> component,</w:t>
      </w:r>
      <w:r>
        <w:rPr>
          <w:rFonts w:ascii="Times New Roman" w:hAnsi="Times New Roman"/>
        </w:rPr>
        <w:t xml:space="preserve"> but the</w:t>
      </w:r>
      <w:r w:rsidR="00575F98">
        <w:rPr>
          <w:rFonts w:ascii="Times New Roman" w:hAnsi="Times New Roman"/>
        </w:rPr>
        <w:t>y</w:t>
      </w:r>
      <w:r>
        <w:rPr>
          <w:rFonts w:ascii="Times New Roman" w:hAnsi="Times New Roman"/>
        </w:rPr>
        <w:t xml:space="preserve"> do not consistently define the types of</w:t>
      </w:r>
      <w:r w:rsidR="00575F98">
        <w:rPr>
          <w:rFonts w:ascii="Times New Roman" w:hAnsi="Times New Roman"/>
        </w:rPr>
        <w:t xml:space="preserve"> prohibited distinctio</w:t>
      </w:r>
      <w:r w:rsidR="009E7867">
        <w:rPr>
          <w:rFonts w:ascii="Times New Roman" w:hAnsi="Times New Roman"/>
        </w:rPr>
        <w:t>ns.</w:t>
      </w:r>
      <w:r w:rsidR="009E7867" w:rsidRPr="009E7867">
        <w:rPr>
          <w:rStyle w:val="FootnoteReference"/>
          <w:rFonts w:ascii="Times New Roman" w:hAnsi="Times New Roman"/>
        </w:rPr>
        <w:t xml:space="preserve"> </w:t>
      </w:r>
      <w:r w:rsidR="009E7867">
        <w:rPr>
          <w:rFonts w:ascii="Times New Roman" w:hAnsi="Times New Roman"/>
        </w:rPr>
        <w:t>Several do not i</w:t>
      </w:r>
      <w:r>
        <w:rPr>
          <w:rFonts w:ascii="Times New Roman" w:hAnsi="Times New Roman"/>
        </w:rPr>
        <w:t xml:space="preserve">nclude prohibition of discrimination on the basis of gender for </w:t>
      </w:r>
      <w:r w:rsidR="00575F98">
        <w:rPr>
          <w:rFonts w:ascii="Times New Roman" w:hAnsi="Times New Roman"/>
        </w:rPr>
        <w:t>example, or national origin</w:t>
      </w:r>
      <w:r>
        <w:rPr>
          <w:rFonts w:ascii="Times New Roman" w:hAnsi="Times New Roman"/>
        </w:rPr>
        <w:t>.</w:t>
      </w:r>
      <w:r w:rsidR="007265C7">
        <w:rPr>
          <w:rFonts w:ascii="Times New Roman" w:hAnsi="Times New Roman"/>
        </w:rPr>
        <w:t xml:space="preserve"> </w:t>
      </w:r>
      <w:r w:rsidR="009E7867">
        <w:rPr>
          <w:rFonts w:ascii="Times New Roman" w:hAnsi="Times New Roman"/>
        </w:rPr>
        <w:t>Some of the constitutions include additional articles that guarantee equal opportunities and access to public posts.</w:t>
      </w:r>
      <w:r w:rsidR="009E7867">
        <w:rPr>
          <w:rStyle w:val="FootnoteReference"/>
          <w:rFonts w:ascii="Times New Roman" w:hAnsi="Times New Roman"/>
        </w:rPr>
        <w:footnoteReference w:id="29"/>
      </w:r>
    </w:p>
    <w:p w14:paraId="6C88DA5A" w14:textId="77777777" w:rsidR="009F4970" w:rsidRDefault="009F4970" w:rsidP="00B1206F">
      <w:pPr>
        <w:jc w:val="both"/>
        <w:rPr>
          <w:rFonts w:ascii="Times New Roman" w:hAnsi="Times New Roman"/>
        </w:rPr>
      </w:pPr>
    </w:p>
    <w:p w14:paraId="592D9113" w14:textId="77777777" w:rsidR="007265C7" w:rsidRDefault="00801AA9" w:rsidP="00B1206F">
      <w:pPr>
        <w:jc w:val="both"/>
        <w:rPr>
          <w:rFonts w:ascii="Times New Roman" w:hAnsi="Times New Roman"/>
        </w:rPr>
      </w:pPr>
      <w:r>
        <w:rPr>
          <w:rFonts w:ascii="Times New Roman" w:hAnsi="Times New Roman"/>
        </w:rPr>
        <w:t>While</w:t>
      </w:r>
      <w:r w:rsidR="009E7867">
        <w:rPr>
          <w:rFonts w:ascii="Times New Roman" w:hAnsi="Times New Roman"/>
        </w:rPr>
        <w:t xml:space="preserve"> the constitutions </w:t>
      </w:r>
      <w:r>
        <w:rPr>
          <w:rFonts w:ascii="Times New Roman" w:hAnsi="Times New Roman"/>
        </w:rPr>
        <w:t>generally provide for gender equality,</w:t>
      </w:r>
      <w:r w:rsidR="00DD64ED">
        <w:rPr>
          <w:rFonts w:ascii="Times New Roman" w:hAnsi="Times New Roman"/>
        </w:rPr>
        <w:t xml:space="preserve"> very few include any </w:t>
      </w:r>
      <w:r>
        <w:rPr>
          <w:rFonts w:ascii="Times New Roman" w:hAnsi="Times New Roman"/>
        </w:rPr>
        <w:t xml:space="preserve">mechanisms or </w:t>
      </w:r>
      <w:r w:rsidR="00DD64ED">
        <w:rPr>
          <w:rFonts w:ascii="Times New Roman" w:hAnsi="Times New Roman"/>
        </w:rPr>
        <w:t xml:space="preserve">temporary </w:t>
      </w:r>
      <w:r w:rsidR="002A015E">
        <w:rPr>
          <w:rFonts w:ascii="Times New Roman" w:hAnsi="Times New Roman"/>
        </w:rPr>
        <w:t xml:space="preserve">special </w:t>
      </w:r>
      <w:r w:rsidR="00DD64ED">
        <w:rPr>
          <w:rFonts w:ascii="Times New Roman" w:hAnsi="Times New Roman"/>
        </w:rPr>
        <w:t xml:space="preserve">measures for </w:t>
      </w:r>
      <w:r>
        <w:rPr>
          <w:rFonts w:ascii="Times New Roman" w:hAnsi="Times New Roman"/>
        </w:rPr>
        <w:t>implementing</w:t>
      </w:r>
      <w:r w:rsidR="00B91C52">
        <w:rPr>
          <w:rFonts w:ascii="Times New Roman" w:hAnsi="Times New Roman"/>
        </w:rPr>
        <w:t xml:space="preserve"> it. The Algerian and Tunisian constitutions (</w:t>
      </w:r>
      <w:r w:rsidR="00DD64ED">
        <w:rPr>
          <w:rFonts w:ascii="Times New Roman" w:hAnsi="Times New Roman"/>
        </w:rPr>
        <w:t xml:space="preserve">articles 31 and 46 respectively) include the </w:t>
      </w:r>
      <w:r w:rsidR="00B81FB7">
        <w:rPr>
          <w:rFonts w:ascii="Times New Roman" w:hAnsi="Times New Roman"/>
        </w:rPr>
        <w:t>principle</w:t>
      </w:r>
      <w:r w:rsidR="00DD64ED">
        <w:rPr>
          <w:rFonts w:ascii="Times New Roman" w:hAnsi="Times New Roman"/>
        </w:rPr>
        <w:t xml:space="preserve"> of parity in representation in elected bodies and in employment. The Moroccan 2011 constitution uniquely incorporates gender sensitive language in article 6 and many of its subsequent provisions throughout the text, referring to “men and women citizens.”</w:t>
      </w:r>
      <w:r w:rsidR="00DD64ED">
        <w:rPr>
          <w:rStyle w:val="FootnoteReference"/>
          <w:rFonts w:ascii="Times New Roman" w:hAnsi="Times New Roman"/>
        </w:rPr>
        <w:footnoteReference w:id="30"/>
      </w:r>
      <w:r w:rsidR="00DD64ED">
        <w:rPr>
          <w:rFonts w:ascii="Times New Roman" w:hAnsi="Times New Roman"/>
        </w:rPr>
        <w:t xml:space="preserve"> </w:t>
      </w:r>
    </w:p>
    <w:p w14:paraId="442372C6" w14:textId="77777777" w:rsidR="00DD64ED" w:rsidRDefault="00DD64ED" w:rsidP="00B1206F">
      <w:pPr>
        <w:jc w:val="both"/>
        <w:rPr>
          <w:rFonts w:ascii="Times New Roman" w:hAnsi="Times New Roman"/>
        </w:rPr>
      </w:pPr>
    </w:p>
    <w:p w14:paraId="1EF6ECD9" w14:textId="77777777" w:rsidR="00646D3A" w:rsidRPr="000F418B" w:rsidRDefault="00DD64ED" w:rsidP="00B1206F">
      <w:pPr>
        <w:jc w:val="both"/>
        <w:rPr>
          <w:sz w:val="22"/>
        </w:rPr>
      </w:pPr>
      <w:r w:rsidRPr="00646D3A">
        <w:rPr>
          <w:rFonts w:asciiTheme="majorBidi" w:hAnsiTheme="majorBidi" w:cstheme="majorBidi"/>
        </w:rPr>
        <w:t xml:space="preserve">The </w:t>
      </w:r>
      <w:r w:rsidR="00646D3A" w:rsidRPr="00646D3A">
        <w:rPr>
          <w:rFonts w:asciiTheme="majorBidi" w:hAnsiTheme="majorBidi" w:cstheme="majorBidi"/>
        </w:rPr>
        <w:t xml:space="preserve">Iraqi constitution’s </w:t>
      </w:r>
      <w:r w:rsidR="00646D3A">
        <w:rPr>
          <w:rFonts w:asciiTheme="majorBidi" w:hAnsiTheme="majorBidi" w:cstheme="majorBidi"/>
        </w:rPr>
        <w:t>article</w:t>
      </w:r>
      <w:r w:rsidR="00646D3A" w:rsidRPr="00646D3A">
        <w:rPr>
          <w:rFonts w:asciiTheme="majorBidi" w:hAnsiTheme="majorBidi" w:cstheme="majorBidi"/>
        </w:rPr>
        <w:t xml:space="preserve"> 49 introduces a quota for women in</w:t>
      </w:r>
      <w:r w:rsidR="00646D3A">
        <w:rPr>
          <w:rFonts w:asciiTheme="majorBidi" w:hAnsiTheme="majorBidi" w:cstheme="majorBidi"/>
        </w:rPr>
        <w:t xml:space="preserve"> the Council of Representatives, upholding</w:t>
      </w:r>
      <w:r w:rsidR="00646D3A" w:rsidRPr="00646D3A">
        <w:rPr>
          <w:rFonts w:asciiTheme="majorBidi" w:hAnsiTheme="majorBidi" w:cstheme="majorBidi"/>
        </w:rPr>
        <w:t xml:space="preserve"> “the representation of all component</w:t>
      </w:r>
      <w:r w:rsidR="00646D3A">
        <w:rPr>
          <w:rFonts w:asciiTheme="majorBidi" w:hAnsiTheme="majorBidi" w:cstheme="majorBidi"/>
        </w:rPr>
        <w:t>s of the people,” to be r</w:t>
      </w:r>
      <w:r w:rsidR="00646D3A" w:rsidRPr="00646D3A">
        <w:rPr>
          <w:rFonts w:asciiTheme="majorBidi" w:hAnsiTheme="majorBidi" w:cstheme="majorBidi"/>
        </w:rPr>
        <w:t>egulated by law and aim</w:t>
      </w:r>
      <w:r w:rsidR="00646D3A">
        <w:rPr>
          <w:rFonts w:asciiTheme="majorBidi" w:hAnsiTheme="majorBidi" w:cstheme="majorBidi"/>
        </w:rPr>
        <w:t>ing</w:t>
      </w:r>
      <w:r w:rsidR="00646D3A" w:rsidRPr="00646D3A">
        <w:rPr>
          <w:rFonts w:asciiTheme="majorBidi" w:hAnsiTheme="majorBidi" w:cstheme="majorBidi"/>
        </w:rPr>
        <w:t xml:space="preserve"> to achieve at least 25% representation of women.</w:t>
      </w:r>
      <w:r w:rsidR="00646D3A">
        <w:rPr>
          <w:rFonts w:asciiTheme="majorBidi" w:hAnsiTheme="majorBidi" w:cstheme="majorBidi"/>
        </w:rPr>
        <w:t xml:space="preserve"> A similar provision is found in art. 180 of the </w:t>
      </w:r>
      <w:r w:rsidR="00646D3A">
        <w:rPr>
          <w:rFonts w:ascii="Times New Roman" w:hAnsi="Times New Roman"/>
        </w:rPr>
        <w:t>2014 Egyptian constitution defining the composition of local councils as to ensure include 25% representation of women, 25% for youth and 50% for workers and farmers, plus “proper” representation of Christians and peop</w:t>
      </w:r>
      <w:r w:rsidR="00801AA9">
        <w:rPr>
          <w:rFonts w:ascii="Times New Roman" w:hAnsi="Times New Roman"/>
        </w:rPr>
        <w:t>le with disabilities. T</w:t>
      </w:r>
      <w:r w:rsidR="00646D3A">
        <w:rPr>
          <w:rFonts w:ascii="Times New Roman" w:hAnsi="Times New Roman"/>
        </w:rPr>
        <w:t>his new constitution</w:t>
      </w:r>
      <w:r w:rsidR="00801AA9">
        <w:rPr>
          <w:rFonts w:ascii="Times New Roman" w:hAnsi="Times New Roman"/>
        </w:rPr>
        <w:t xml:space="preserve"> in fact</w:t>
      </w:r>
      <w:r w:rsidR="00646D3A">
        <w:rPr>
          <w:rFonts w:ascii="Times New Roman" w:hAnsi="Times New Roman"/>
        </w:rPr>
        <w:t xml:space="preserve"> had eliminated the </w:t>
      </w:r>
      <w:r w:rsidR="00801AA9">
        <w:rPr>
          <w:rFonts w:ascii="Times New Roman" w:hAnsi="Times New Roman"/>
        </w:rPr>
        <w:t>previous constitution’s inclusion of a guaranteed number of seats for women</w:t>
      </w:r>
      <w:r w:rsidR="007B3935">
        <w:rPr>
          <w:rFonts w:ascii="Times New Roman" w:hAnsi="Times New Roman"/>
        </w:rPr>
        <w:t xml:space="preserve"> in the People’s Assembly, exchanging </w:t>
      </w:r>
      <w:r w:rsidR="00646D3A">
        <w:rPr>
          <w:rFonts w:ascii="Times New Roman" w:hAnsi="Times New Roman"/>
        </w:rPr>
        <w:t xml:space="preserve">it for </w:t>
      </w:r>
      <w:r w:rsidR="00801AA9">
        <w:rPr>
          <w:rFonts w:ascii="Times New Roman" w:hAnsi="Times New Roman"/>
        </w:rPr>
        <w:t xml:space="preserve">the above representation in </w:t>
      </w:r>
      <w:r w:rsidR="00646D3A">
        <w:rPr>
          <w:rFonts w:ascii="Times New Roman" w:hAnsi="Times New Roman"/>
        </w:rPr>
        <w:t>the municipal elections.</w:t>
      </w:r>
      <w:r w:rsidR="00646D3A">
        <w:rPr>
          <w:rStyle w:val="FootnoteReference"/>
          <w:rFonts w:ascii="Times New Roman" w:hAnsi="Times New Roman"/>
        </w:rPr>
        <w:footnoteReference w:id="31"/>
      </w:r>
      <w:r w:rsidR="00646D3A" w:rsidRPr="000F418B">
        <w:rPr>
          <w:rFonts w:asciiTheme="majorBidi" w:hAnsiTheme="majorBidi" w:cstheme="majorBidi"/>
          <w:sz w:val="22"/>
          <w:szCs w:val="22"/>
        </w:rPr>
        <w:t xml:space="preserve"> </w:t>
      </w:r>
    </w:p>
    <w:p w14:paraId="01E90F49" w14:textId="77777777" w:rsidR="00646D3A" w:rsidRDefault="00646D3A" w:rsidP="00B1206F">
      <w:pPr>
        <w:jc w:val="both"/>
        <w:rPr>
          <w:rFonts w:asciiTheme="majorBidi" w:hAnsiTheme="majorBidi" w:cstheme="majorBidi"/>
        </w:rPr>
      </w:pPr>
    </w:p>
    <w:p w14:paraId="64FC1DD0" w14:textId="77777777" w:rsidR="007265C7" w:rsidRPr="00492E27" w:rsidRDefault="00646D3A" w:rsidP="00B1206F">
      <w:pPr>
        <w:jc w:val="both"/>
        <w:rPr>
          <w:rFonts w:ascii="Times New Roman" w:hAnsi="Times New Roman"/>
        </w:rPr>
      </w:pPr>
      <w:r>
        <w:rPr>
          <w:rFonts w:ascii="Times New Roman" w:hAnsi="Times New Roman"/>
        </w:rPr>
        <w:t>In many</w:t>
      </w:r>
      <w:r w:rsidR="00C72D73">
        <w:rPr>
          <w:rFonts w:ascii="Times New Roman" w:hAnsi="Times New Roman"/>
        </w:rPr>
        <w:t xml:space="preserve"> of the constitutions, </w:t>
      </w:r>
      <w:r>
        <w:rPr>
          <w:rFonts w:ascii="Times New Roman" w:hAnsi="Times New Roman"/>
        </w:rPr>
        <w:t xml:space="preserve">there is </w:t>
      </w:r>
      <w:r w:rsidR="003E039B">
        <w:rPr>
          <w:rFonts w:ascii="Times New Roman" w:hAnsi="Times New Roman"/>
        </w:rPr>
        <w:t>repeated</w:t>
      </w:r>
      <w:r>
        <w:rPr>
          <w:rFonts w:ascii="Times New Roman" w:hAnsi="Times New Roman"/>
        </w:rPr>
        <w:t xml:space="preserve"> reference to the assumed role of women as mainstays of their families, </w:t>
      </w:r>
      <w:r w:rsidR="007B3935">
        <w:rPr>
          <w:rFonts w:ascii="Times New Roman" w:hAnsi="Times New Roman"/>
        </w:rPr>
        <w:t>and</w:t>
      </w:r>
      <w:r w:rsidR="00492E27">
        <w:rPr>
          <w:rFonts w:ascii="Times New Roman" w:hAnsi="Times New Roman"/>
        </w:rPr>
        <w:t xml:space="preserve"> of societal morals in general, with the state playing the role of religious, moral and social guardian. In the Bahraini constitution, for example, article 5(b) guarantees </w:t>
      </w:r>
      <w:r w:rsidR="007265C7" w:rsidRPr="00492E27">
        <w:rPr>
          <w:rFonts w:asciiTheme="majorBidi" w:hAnsiTheme="majorBidi" w:cstheme="majorBidi"/>
        </w:rPr>
        <w:t>“reconciling the duties of women toward the family with their work in society and their equality with men in political, social, cultural and economic sphere without breaching the provisions” of Islamic Sharia.</w:t>
      </w:r>
      <w:r w:rsidR="00801207">
        <w:rPr>
          <w:rStyle w:val="FootnoteReference"/>
          <w:rFonts w:asciiTheme="majorBidi" w:hAnsiTheme="majorBidi" w:cstheme="majorBidi"/>
        </w:rPr>
        <w:footnoteReference w:id="32"/>
      </w:r>
      <w:r w:rsidR="007265C7" w:rsidRPr="00492E27">
        <w:rPr>
          <w:rFonts w:asciiTheme="majorBidi" w:hAnsiTheme="majorBidi" w:cstheme="majorBidi"/>
          <w:i/>
          <w:iCs/>
        </w:rPr>
        <w:t xml:space="preserve"> </w:t>
      </w:r>
      <w:r w:rsidR="005C4838">
        <w:rPr>
          <w:rFonts w:asciiTheme="majorBidi" w:hAnsiTheme="majorBidi" w:cstheme="majorBidi"/>
        </w:rPr>
        <w:t>Similarly, the Jordanian constitutional article 6 aims to “protect motherhood and childhood and the old aged.</w:t>
      </w:r>
      <w:r w:rsidR="00C72D73">
        <w:rPr>
          <w:rFonts w:asciiTheme="majorBidi" w:hAnsiTheme="majorBidi" w:cstheme="majorBidi"/>
        </w:rPr>
        <w:t>”</w:t>
      </w:r>
      <w:r w:rsidR="005C4838">
        <w:rPr>
          <w:rFonts w:asciiTheme="majorBidi" w:hAnsiTheme="majorBidi" w:cstheme="majorBidi"/>
        </w:rPr>
        <w:t xml:space="preserve"> </w:t>
      </w:r>
      <w:r w:rsidR="00492E27">
        <w:rPr>
          <w:rFonts w:asciiTheme="majorBidi" w:hAnsiTheme="majorBidi" w:cstheme="majorBidi"/>
        </w:rPr>
        <w:t>The Saudi Basic Law’s article 8 affirms the foundations o</w:t>
      </w:r>
      <w:r w:rsidR="00B91C52">
        <w:rPr>
          <w:rFonts w:asciiTheme="majorBidi" w:hAnsiTheme="majorBidi" w:cstheme="majorBidi"/>
        </w:rPr>
        <w:t xml:space="preserve">f the </w:t>
      </w:r>
      <w:r w:rsidR="00261764">
        <w:rPr>
          <w:rFonts w:asciiTheme="majorBidi" w:hAnsiTheme="majorBidi" w:cstheme="majorBidi"/>
        </w:rPr>
        <w:t>S</w:t>
      </w:r>
      <w:r w:rsidR="00B91C52">
        <w:rPr>
          <w:rFonts w:asciiTheme="majorBidi" w:hAnsiTheme="majorBidi" w:cstheme="majorBidi"/>
        </w:rPr>
        <w:t>tate on “justice, shura</w:t>
      </w:r>
      <w:r w:rsidR="00492E27">
        <w:rPr>
          <w:rFonts w:asciiTheme="majorBidi" w:hAnsiTheme="majorBidi" w:cstheme="majorBidi"/>
        </w:rPr>
        <w:t xml:space="preserve"> </w:t>
      </w:r>
      <w:r w:rsidR="00B91C52">
        <w:rPr>
          <w:rFonts w:asciiTheme="majorBidi" w:hAnsiTheme="majorBidi" w:cstheme="majorBidi"/>
        </w:rPr>
        <w:t xml:space="preserve">[consultation] </w:t>
      </w:r>
      <w:r w:rsidR="00492E27">
        <w:rPr>
          <w:rFonts w:asciiTheme="majorBidi" w:hAnsiTheme="majorBidi" w:cstheme="majorBidi"/>
        </w:rPr>
        <w:t>and equality in compliance with the Islamic Sharia”</w:t>
      </w:r>
      <w:r w:rsidR="004F1C69">
        <w:rPr>
          <w:rFonts w:asciiTheme="majorBidi" w:hAnsiTheme="majorBidi" w:cstheme="majorBidi"/>
        </w:rPr>
        <w:t xml:space="preserve"> and the </w:t>
      </w:r>
      <w:r w:rsidR="004F1C69">
        <w:rPr>
          <w:rFonts w:asciiTheme="majorBidi" w:hAnsiTheme="majorBidi" w:cstheme="majorBidi"/>
        </w:rPr>
        <w:lastRenderedPageBreak/>
        <w:t xml:space="preserve">Yemeni constitution’s article 31 states that women are the sisters of men; they have rights and duties “guaranteed and assigned by Sharia </w:t>
      </w:r>
      <w:r w:rsidR="00B91C52">
        <w:rPr>
          <w:rFonts w:asciiTheme="majorBidi" w:hAnsiTheme="majorBidi" w:cstheme="majorBidi"/>
        </w:rPr>
        <w:t>and</w:t>
      </w:r>
      <w:r w:rsidR="004F1C69">
        <w:rPr>
          <w:rFonts w:asciiTheme="majorBidi" w:hAnsiTheme="majorBidi" w:cstheme="majorBidi"/>
        </w:rPr>
        <w:t xml:space="preserve"> stipulated by law.”</w:t>
      </w:r>
    </w:p>
    <w:p w14:paraId="37109A8B" w14:textId="77777777" w:rsidR="007265C7" w:rsidRDefault="007265C7" w:rsidP="00B1206F">
      <w:pPr>
        <w:jc w:val="both"/>
        <w:rPr>
          <w:rFonts w:ascii="Times New Roman" w:hAnsi="Times New Roman"/>
        </w:rPr>
      </w:pPr>
    </w:p>
    <w:p w14:paraId="13059925" w14:textId="77777777" w:rsidR="00B91C52" w:rsidRPr="00646D3A" w:rsidRDefault="005C4838" w:rsidP="00B1206F">
      <w:pPr>
        <w:jc w:val="both"/>
        <w:rPr>
          <w:rFonts w:asciiTheme="majorBidi" w:hAnsiTheme="majorBidi" w:cstheme="majorBidi"/>
        </w:rPr>
      </w:pPr>
      <w:r>
        <w:rPr>
          <w:rFonts w:asciiTheme="majorBidi" w:hAnsiTheme="majorBidi" w:cstheme="majorBidi"/>
        </w:rPr>
        <w:t>These</w:t>
      </w:r>
      <w:r w:rsidR="00B91C52">
        <w:rPr>
          <w:rFonts w:asciiTheme="majorBidi" w:hAnsiTheme="majorBidi" w:cstheme="majorBidi"/>
        </w:rPr>
        <w:t xml:space="preserve"> persistent cultural and religious attitudes</w:t>
      </w:r>
      <w:r>
        <w:rPr>
          <w:rFonts w:asciiTheme="majorBidi" w:hAnsiTheme="majorBidi" w:cstheme="majorBidi"/>
        </w:rPr>
        <w:t xml:space="preserve"> </w:t>
      </w:r>
      <w:r w:rsidR="00B91C52">
        <w:rPr>
          <w:rFonts w:asciiTheme="majorBidi" w:hAnsiTheme="majorBidi" w:cstheme="majorBidi"/>
        </w:rPr>
        <w:t>regarding the equality of women</w:t>
      </w:r>
      <w:r>
        <w:rPr>
          <w:rFonts w:asciiTheme="majorBidi" w:hAnsiTheme="majorBidi" w:cstheme="majorBidi"/>
        </w:rPr>
        <w:t>, their role in society</w:t>
      </w:r>
      <w:r w:rsidR="00B91C52">
        <w:rPr>
          <w:rFonts w:asciiTheme="majorBidi" w:hAnsiTheme="majorBidi" w:cstheme="majorBidi"/>
        </w:rPr>
        <w:t xml:space="preserve"> and their equal participation in public life and the conduct of public affairs</w:t>
      </w:r>
      <w:r>
        <w:rPr>
          <w:rFonts w:asciiTheme="majorBidi" w:hAnsiTheme="majorBidi" w:cstheme="majorBidi"/>
        </w:rPr>
        <w:t>, are enshrined in the constitutions of many Arab states</w:t>
      </w:r>
      <w:r w:rsidR="00B91C52">
        <w:rPr>
          <w:rFonts w:asciiTheme="majorBidi" w:hAnsiTheme="majorBidi" w:cstheme="majorBidi"/>
        </w:rPr>
        <w:t xml:space="preserve">. One outcome of these attitudes is the percentage of women actually serving in Arab parliaments, which is the lowest in the world, averaging 17.5% as of December 1, 2017, according to </w:t>
      </w:r>
      <w:r w:rsidR="005432AC">
        <w:rPr>
          <w:rFonts w:asciiTheme="majorBidi" w:hAnsiTheme="majorBidi" w:cstheme="majorBidi"/>
        </w:rPr>
        <w:t>the statistics</w:t>
      </w:r>
      <w:r w:rsidR="00261764">
        <w:rPr>
          <w:rFonts w:asciiTheme="majorBidi" w:hAnsiTheme="majorBidi" w:cstheme="majorBidi"/>
        </w:rPr>
        <w:t xml:space="preserve"> </w:t>
      </w:r>
      <w:r w:rsidR="00B91C52">
        <w:rPr>
          <w:rFonts w:asciiTheme="majorBidi" w:hAnsiTheme="majorBidi" w:cstheme="majorBidi"/>
        </w:rPr>
        <w:t>of the Inter-Parliamentary Union.</w:t>
      </w:r>
      <w:r w:rsidR="00B91C52">
        <w:rPr>
          <w:rStyle w:val="FootnoteReference"/>
          <w:rFonts w:asciiTheme="majorBidi" w:hAnsiTheme="majorBidi" w:cstheme="majorBidi"/>
        </w:rPr>
        <w:footnoteReference w:id="33"/>
      </w:r>
    </w:p>
    <w:p w14:paraId="58D0E154" w14:textId="77777777" w:rsidR="00D07A9B" w:rsidRPr="00931490" w:rsidRDefault="00D07A9B" w:rsidP="00D07A9B">
      <w:pPr>
        <w:ind w:left="900" w:hanging="900"/>
        <w:rPr>
          <w:rFonts w:asciiTheme="majorBidi" w:hAnsiTheme="majorBidi" w:cstheme="majorBidi"/>
          <w:sz w:val="22"/>
          <w:szCs w:val="22"/>
        </w:rPr>
      </w:pPr>
    </w:p>
    <w:p w14:paraId="606138E4" w14:textId="77777777" w:rsidR="00D07A9B" w:rsidRPr="00801AA9" w:rsidRDefault="00D07A9B" w:rsidP="00313D15">
      <w:pPr>
        <w:ind w:left="900" w:hanging="900"/>
        <w:outlineLvl w:val="0"/>
        <w:rPr>
          <w:rFonts w:asciiTheme="majorBidi" w:hAnsiTheme="majorBidi" w:cstheme="majorBidi"/>
          <w:b/>
          <w:bCs/>
          <w:i/>
          <w:iCs/>
        </w:rPr>
      </w:pPr>
      <w:r w:rsidRPr="00801AA9">
        <w:rPr>
          <w:rFonts w:asciiTheme="majorBidi" w:hAnsiTheme="majorBidi" w:cstheme="majorBidi"/>
          <w:b/>
          <w:bCs/>
          <w:i/>
          <w:iCs/>
        </w:rPr>
        <w:t>Human rights guarantees</w:t>
      </w:r>
      <w:r w:rsidR="002940A6">
        <w:rPr>
          <w:rFonts w:asciiTheme="majorBidi" w:hAnsiTheme="majorBidi" w:cstheme="majorBidi"/>
          <w:b/>
          <w:bCs/>
          <w:i/>
          <w:iCs/>
        </w:rPr>
        <w:t xml:space="preserve"> that enable the exercise of the right to participate</w:t>
      </w:r>
      <w:r w:rsidR="00A70FBD" w:rsidRPr="00801AA9">
        <w:rPr>
          <w:rFonts w:asciiTheme="majorBidi" w:hAnsiTheme="majorBidi" w:cstheme="majorBidi"/>
          <w:b/>
          <w:bCs/>
          <w:i/>
          <w:iCs/>
        </w:rPr>
        <w:t xml:space="preserve"> </w:t>
      </w:r>
      <w:r w:rsidR="00A56E01" w:rsidRPr="00801AA9">
        <w:rPr>
          <w:rStyle w:val="FootnoteReference"/>
          <w:rFonts w:asciiTheme="majorBidi" w:hAnsiTheme="majorBidi" w:cstheme="majorBidi"/>
        </w:rPr>
        <w:footnoteReference w:id="34"/>
      </w:r>
    </w:p>
    <w:p w14:paraId="0CD079D1" w14:textId="77777777" w:rsidR="000F418B" w:rsidRPr="00801AA9" w:rsidRDefault="000F418B" w:rsidP="008F0E90">
      <w:pPr>
        <w:rPr>
          <w:rFonts w:asciiTheme="majorBidi" w:hAnsiTheme="majorBidi" w:cstheme="majorBidi"/>
          <w:b/>
          <w:bCs/>
        </w:rPr>
      </w:pPr>
    </w:p>
    <w:p w14:paraId="34DE0B7C" w14:textId="77777777" w:rsidR="000B245A" w:rsidRPr="00801AA9" w:rsidRDefault="00C04DF2" w:rsidP="00B1206F">
      <w:pPr>
        <w:jc w:val="both"/>
        <w:rPr>
          <w:rFonts w:asciiTheme="majorBidi" w:hAnsiTheme="majorBidi" w:cstheme="majorBidi"/>
        </w:rPr>
      </w:pPr>
      <w:r w:rsidRPr="00801AA9">
        <w:rPr>
          <w:rFonts w:asciiTheme="majorBidi" w:hAnsiTheme="majorBidi" w:cstheme="majorBidi"/>
        </w:rPr>
        <w:t>Nearly all Arab constitutions include provisions guaranteeing h</w:t>
      </w:r>
      <w:r w:rsidR="00A70FBD" w:rsidRPr="00801AA9">
        <w:rPr>
          <w:rFonts w:asciiTheme="majorBidi" w:hAnsiTheme="majorBidi" w:cstheme="majorBidi"/>
        </w:rPr>
        <w:t>uman rights and public freedoms and as with other constitutional provisions, legislation is assumed to be promulgated to regulate those rights. The language related to the exercise of freedoms of opinion, expression, assembly and association is clearer than oth</w:t>
      </w:r>
      <w:r w:rsidR="00C72D73" w:rsidRPr="00801AA9">
        <w:rPr>
          <w:rFonts w:asciiTheme="majorBidi" w:hAnsiTheme="majorBidi" w:cstheme="majorBidi"/>
        </w:rPr>
        <w:t>e</w:t>
      </w:r>
      <w:r w:rsidR="00A70FBD" w:rsidRPr="00801AA9">
        <w:rPr>
          <w:rFonts w:asciiTheme="majorBidi" w:hAnsiTheme="majorBidi" w:cstheme="majorBidi"/>
        </w:rPr>
        <w:t xml:space="preserve">r provisions in that </w:t>
      </w:r>
      <w:r w:rsidRPr="00801AA9">
        <w:rPr>
          <w:rFonts w:asciiTheme="majorBidi" w:hAnsiTheme="majorBidi" w:cstheme="majorBidi"/>
        </w:rPr>
        <w:t>t</w:t>
      </w:r>
      <w:r w:rsidR="00A70FBD" w:rsidRPr="00801AA9">
        <w:rPr>
          <w:rFonts w:asciiTheme="majorBidi" w:hAnsiTheme="majorBidi" w:cstheme="majorBidi"/>
        </w:rPr>
        <w:t>hose rights are</w:t>
      </w:r>
      <w:r w:rsidRPr="00801AA9">
        <w:rPr>
          <w:rFonts w:asciiTheme="majorBidi" w:hAnsiTheme="majorBidi" w:cstheme="majorBidi"/>
        </w:rPr>
        <w:t xml:space="preserve"> to be </w:t>
      </w:r>
      <w:r w:rsidR="00A70FBD" w:rsidRPr="00801AA9">
        <w:rPr>
          <w:rFonts w:asciiTheme="majorBidi" w:hAnsiTheme="majorBidi" w:cstheme="majorBidi"/>
        </w:rPr>
        <w:t>“</w:t>
      </w:r>
      <w:r w:rsidRPr="00801AA9">
        <w:rPr>
          <w:rFonts w:asciiTheme="majorBidi" w:hAnsiTheme="majorBidi" w:cstheme="majorBidi"/>
        </w:rPr>
        <w:t>regulated by the law</w:t>
      </w:r>
      <w:r w:rsidR="00A56E01" w:rsidRPr="00801AA9">
        <w:rPr>
          <w:rFonts w:asciiTheme="majorBidi" w:hAnsiTheme="majorBidi" w:cstheme="majorBidi"/>
        </w:rPr>
        <w:t>,</w:t>
      </w:r>
      <w:r w:rsidR="00A70FBD" w:rsidRPr="00801AA9">
        <w:rPr>
          <w:rFonts w:asciiTheme="majorBidi" w:hAnsiTheme="majorBidi" w:cstheme="majorBidi"/>
        </w:rPr>
        <w:t>”</w:t>
      </w:r>
      <w:r w:rsidR="00A56E01" w:rsidRPr="00801AA9">
        <w:rPr>
          <w:rFonts w:asciiTheme="majorBidi" w:hAnsiTheme="majorBidi" w:cstheme="majorBidi"/>
        </w:rPr>
        <w:t xml:space="preserve"> </w:t>
      </w:r>
      <w:r w:rsidR="00A70FBD" w:rsidRPr="00801AA9">
        <w:rPr>
          <w:rFonts w:asciiTheme="majorBidi" w:hAnsiTheme="majorBidi" w:cstheme="majorBidi"/>
        </w:rPr>
        <w:t>“</w:t>
      </w:r>
      <w:r w:rsidR="00B6155E" w:rsidRPr="00801AA9">
        <w:rPr>
          <w:rFonts w:asciiTheme="majorBidi" w:hAnsiTheme="majorBidi" w:cstheme="majorBidi"/>
        </w:rPr>
        <w:t>in accordance with the law</w:t>
      </w:r>
      <w:r w:rsidR="00A70FBD" w:rsidRPr="00801AA9">
        <w:rPr>
          <w:rFonts w:asciiTheme="majorBidi" w:hAnsiTheme="majorBidi" w:cstheme="majorBidi"/>
        </w:rPr>
        <w:t>”</w:t>
      </w:r>
      <w:r w:rsidR="00A56E01" w:rsidRPr="00801AA9">
        <w:rPr>
          <w:rFonts w:asciiTheme="majorBidi" w:hAnsiTheme="majorBidi" w:cstheme="majorBidi"/>
        </w:rPr>
        <w:t xml:space="preserve"> or within the limits of the law</w:t>
      </w:r>
      <w:r w:rsidRPr="00801AA9">
        <w:rPr>
          <w:rFonts w:asciiTheme="majorBidi" w:hAnsiTheme="majorBidi" w:cstheme="majorBidi"/>
        </w:rPr>
        <w:t>.</w:t>
      </w:r>
      <w:r w:rsidR="00A70FBD" w:rsidRPr="00801AA9">
        <w:rPr>
          <w:rFonts w:asciiTheme="majorBidi" w:hAnsiTheme="majorBidi" w:cstheme="majorBidi"/>
        </w:rPr>
        <w:t>”</w:t>
      </w:r>
      <w:r w:rsidRPr="00801AA9">
        <w:rPr>
          <w:rFonts w:asciiTheme="majorBidi" w:hAnsiTheme="majorBidi" w:cstheme="majorBidi"/>
        </w:rPr>
        <w:t xml:space="preserve"> </w:t>
      </w:r>
      <w:r w:rsidR="00A56E01" w:rsidRPr="00801AA9">
        <w:rPr>
          <w:rFonts w:asciiTheme="majorBidi" w:hAnsiTheme="majorBidi" w:cstheme="majorBidi"/>
        </w:rPr>
        <w:t>P</w:t>
      </w:r>
      <w:r w:rsidR="00B6155E" w:rsidRPr="00801AA9">
        <w:rPr>
          <w:rFonts w:asciiTheme="majorBidi" w:hAnsiTheme="majorBidi" w:cstheme="majorBidi"/>
        </w:rPr>
        <w:t xml:space="preserve">revious studies have shown that </w:t>
      </w:r>
      <w:r w:rsidR="00A70FBD" w:rsidRPr="00801AA9">
        <w:rPr>
          <w:rFonts w:asciiTheme="majorBidi" w:hAnsiTheme="majorBidi" w:cstheme="majorBidi"/>
        </w:rPr>
        <w:t xml:space="preserve">in fact, </w:t>
      </w:r>
      <w:r w:rsidR="000B245A" w:rsidRPr="00801AA9">
        <w:rPr>
          <w:rFonts w:asciiTheme="majorBidi" w:hAnsiTheme="majorBidi" w:cstheme="majorBidi"/>
        </w:rPr>
        <w:t xml:space="preserve">legislation puts </w:t>
      </w:r>
      <w:r w:rsidR="00A70FBD" w:rsidRPr="00801AA9">
        <w:rPr>
          <w:rFonts w:asciiTheme="majorBidi" w:hAnsiTheme="majorBidi" w:cstheme="majorBidi"/>
        </w:rPr>
        <w:t xml:space="preserve">serious </w:t>
      </w:r>
      <w:r w:rsidR="000B245A" w:rsidRPr="00801AA9">
        <w:rPr>
          <w:rFonts w:asciiTheme="majorBidi" w:hAnsiTheme="majorBidi" w:cstheme="majorBidi"/>
        </w:rPr>
        <w:t>limitations on those rights, and the executive regu</w:t>
      </w:r>
      <w:r w:rsidR="00A56E01" w:rsidRPr="00801AA9">
        <w:rPr>
          <w:rFonts w:asciiTheme="majorBidi" w:hAnsiTheme="majorBidi" w:cstheme="majorBidi"/>
        </w:rPr>
        <w:t>l</w:t>
      </w:r>
      <w:r w:rsidR="00A70FBD" w:rsidRPr="00801AA9">
        <w:rPr>
          <w:rFonts w:asciiTheme="majorBidi" w:hAnsiTheme="majorBidi" w:cstheme="majorBidi"/>
        </w:rPr>
        <w:t xml:space="preserve">ations implementing </w:t>
      </w:r>
      <w:r w:rsidR="000B245A" w:rsidRPr="00801AA9">
        <w:rPr>
          <w:rFonts w:asciiTheme="majorBidi" w:hAnsiTheme="majorBidi" w:cstheme="majorBidi"/>
        </w:rPr>
        <w:t>legislation further erodes them.</w:t>
      </w:r>
      <w:r w:rsidR="00B204E8" w:rsidRPr="00801AA9">
        <w:rPr>
          <w:rStyle w:val="FootnoteReference"/>
          <w:rFonts w:asciiTheme="majorBidi" w:hAnsiTheme="majorBidi" w:cstheme="majorBidi"/>
        </w:rPr>
        <w:footnoteReference w:id="35"/>
      </w:r>
      <w:r w:rsidR="000B245A" w:rsidRPr="00801AA9">
        <w:rPr>
          <w:rFonts w:asciiTheme="majorBidi" w:hAnsiTheme="majorBidi" w:cstheme="majorBidi"/>
        </w:rPr>
        <w:t xml:space="preserve"> </w:t>
      </w:r>
    </w:p>
    <w:p w14:paraId="456B759A" w14:textId="77777777" w:rsidR="000B245A" w:rsidRPr="00801AA9" w:rsidRDefault="000B245A" w:rsidP="00B1206F">
      <w:pPr>
        <w:jc w:val="both"/>
        <w:rPr>
          <w:rFonts w:asciiTheme="majorBidi" w:hAnsiTheme="majorBidi" w:cstheme="majorBidi"/>
        </w:rPr>
      </w:pPr>
    </w:p>
    <w:p w14:paraId="468B81D1" w14:textId="6FBEA799" w:rsidR="006E2C32" w:rsidRPr="00801AA9" w:rsidRDefault="000B245A" w:rsidP="00B1206F">
      <w:pPr>
        <w:jc w:val="both"/>
        <w:rPr>
          <w:rFonts w:asciiTheme="majorBidi" w:hAnsiTheme="majorBidi" w:cstheme="majorBidi"/>
        </w:rPr>
      </w:pPr>
      <w:r w:rsidRPr="00801AA9">
        <w:rPr>
          <w:rFonts w:asciiTheme="majorBidi" w:hAnsiTheme="majorBidi" w:cstheme="majorBidi"/>
        </w:rPr>
        <w:t>T</w:t>
      </w:r>
      <w:r w:rsidR="00B6155E" w:rsidRPr="00801AA9">
        <w:rPr>
          <w:rFonts w:asciiTheme="majorBidi" w:hAnsiTheme="majorBidi" w:cstheme="majorBidi"/>
        </w:rPr>
        <w:t xml:space="preserve">he language </w:t>
      </w:r>
      <w:r w:rsidRPr="00801AA9">
        <w:rPr>
          <w:rFonts w:asciiTheme="majorBidi" w:hAnsiTheme="majorBidi" w:cstheme="majorBidi"/>
        </w:rPr>
        <w:t>of those provisions in many constitutions can be overly general and</w:t>
      </w:r>
      <w:r w:rsidR="00B6155E" w:rsidRPr="00801AA9">
        <w:rPr>
          <w:rFonts w:asciiTheme="majorBidi" w:hAnsiTheme="majorBidi" w:cstheme="majorBidi"/>
        </w:rPr>
        <w:t xml:space="preserve"> vague</w:t>
      </w:r>
      <w:r w:rsidRPr="00801AA9">
        <w:rPr>
          <w:rFonts w:asciiTheme="majorBidi" w:hAnsiTheme="majorBidi" w:cstheme="majorBidi"/>
        </w:rPr>
        <w:t xml:space="preserve"> and puts </w:t>
      </w:r>
      <w:r w:rsidR="00A56E01" w:rsidRPr="00801AA9">
        <w:rPr>
          <w:rFonts w:asciiTheme="majorBidi" w:hAnsiTheme="majorBidi" w:cstheme="majorBidi"/>
        </w:rPr>
        <w:t xml:space="preserve">broad </w:t>
      </w:r>
      <w:r w:rsidRPr="00801AA9">
        <w:rPr>
          <w:rFonts w:asciiTheme="majorBidi" w:hAnsiTheme="majorBidi" w:cstheme="majorBidi"/>
        </w:rPr>
        <w:t xml:space="preserve">limitations </w:t>
      </w:r>
      <w:r w:rsidR="00A56E01" w:rsidRPr="00801AA9">
        <w:rPr>
          <w:rFonts w:asciiTheme="majorBidi" w:hAnsiTheme="majorBidi" w:cstheme="majorBidi"/>
        </w:rPr>
        <w:t xml:space="preserve">that are open to subjective interpretation </w:t>
      </w:r>
      <w:r w:rsidRPr="00801AA9">
        <w:rPr>
          <w:rFonts w:asciiTheme="majorBidi" w:hAnsiTheme="majorBidi" w:cstheme="majorBidi"/>
        </w:rPr>
        <w:t>even before legislation is enacted</w:t>
      </w:r>
      <w:r w:rsidR="00B6155E" w:rsidRPr="00801AA9">
        <w:rPr>
          <w:rFonts w:asciiTheme="majorBidi" w:hAnsiTheme="majorBidi" w:cstheme="majorBidi"/>
        </w:rPr>
        <w:t>.</w:t>
      </w:r>
      <w:r w:rsidR="00B6155E" w:rsidRPr="00801AA9">
        <w:rPr>
          <w:rStyle w:val="FootnoteReference"/>
          <w:rFonts w:asciiTheme="majorBidi" w:hAnsiTheme="majorBidi" w:cstheme="majorBidi"/>
        </w:rPr>
        <w:footnoteReference w:id="36"/>
      </w:r>
      <w:r w:rsidRPr="00801AA9">
        <w:rPr>
          <w:rFonts w:asciiTheme="majorBidi" w:hAnsiTheme="majorBidi" w:cstheme="majorBidi"/>
        </w:rPr>
        <w:t xml:space="preserve"> The Bahrain</w:t>
      </w:r>
      <w:r w:rsidR="00A56E01" w:rsidRPr="00801AA9">
        <w:rPr>
          <w:rFonts w:asciiTheme="majorBidi" w:hAnsiTheme="majorBidi" w:cstheme="majorBidi"/>
        </w:rPr>
        <w:t xml:space="preserve"> Constitution’ article 23, </w:t>
      </w:r>
      <w:r w:rsidRPr="00801AA9">
        <w:rPr>
          <w:rFonts w:asciiTheme="majorBidi" w:hAnsiTheme="majorBidi" w:cstheme="majorBidi"/>
        </w:rPr>
        <w:t xml:space="preserve">for example, </w:t>
      </w:r>
      <w:r w:rsidR="00A56E01" w:rsidRPr="00801AA9">
        <w:rPr>
          <w:rFonts w:asciiTheme="majorBidi" w:hAnsiTheme="majorBidi" w:cstheme="majorBidi"/>
        </w:rPr>
        <w:t xml:space="preserve">guarantees freedom of opinion “provided that the fundamental beliefs of Islamic doctrine are not infringed, the unity of the people is not prejudiced, and discord or sectarianism is not aroused.”  </w:t>
      </w:r>
      <w:r w:rsidR="006E2C32" w:rsidRPr="00801AA9">
        <w:rPr>
          <w:rFonts w:asciiTheme="majorBidi" w:hAnsiTheme="majorBidi" w:cstheme="majorBidi"/>
        </w:rPr>
        <w:t xml:space="preserve">The Saudi Basic Law frames rights more as duties of </w:t>
      </w:r>
      <w:r w:rsidR="005C4838" w:rsidRPr="00801AA9">
        <w:rPr>
          <w:rFonts w:asciiTheme="majorBidi" w:hAnsiTheme="majorBidi" w:cstheme="majorBidi"/>
        </w:rPr>
        <w:t xml:space="preserve">both </w:t>
      </w:r>
      <w:r w:rsidR="006E2C32" w:rsidRPr="00801AA9">
        <w:rPr>
          <w:rFonts w:asciiTheme="majorBidi" w:hAnsiTheme="majorBidi" w:cstheme="majorBidi"/>
        </w:rPr>
        <w:t>the state</w:t>
      </w:r>
      <w:r w:rsidR="005C4838" w:rsidRPr="00801AA9">
        <w:rPr>
          <w:rFonts w:asciiTheme="majorBidi" w:hAnsiTheme="majorBidi" w:cstheme="majorBidi"/>
        </w:rPr>
        <w:t xml:space="preserve"> and the citizen</w:t>
      </w:r>
      <w:r w:rsidR="006E2C32" w:rsidRPr="00801AA9">
        <w:rPr>
          <w:rFonts w:asciiTheme="majorBidi" w:hAnsiTheme="majorBidi" w:cstheme="majorBidi"/>
        </w:rPr>
        <w:t xml:space="preserve">. Its article 26, for example </w:t>
      </w:r>
      <w:r w:rsidR="00C72D73" w:rsidRPr="00801AA9">
        <w:rPr>
          <w:rFonts w:asciiTheme="majorBidi" w:hAnsiTheme="majorBidi" w:cstheme="majorBidi"/>
        </w:rPr>
        <w:t>affirms</w:t>
      </w:r>
      <w:r w:rsidR="006E2C32" w:rsidRPr="00801AA9">
        <w:rPr>
          <w:rFonts w:asciiTheme="majorBidi" w:hAnsiTheme="majorBidi" w:cstheme="majorBidi"/>
        </w:rPr>
        <w:t xml:space="preserve"> that “T</w:t>
      </w:r>
      <w:r w:rsidR="005C4838" w:rsidRPr="00801AA9">
        <w:rPr>
          <w:rFonts w:asciiTheme="majorBidi" w:hAnsiTheme="majorBidi" w:cstheme="majorBidi"/>
        </w:rPr>
        <w:t>he state shall protect human rights in accordance with Islamic Shari’ah” and in article 39, media, publications and freedom of expression “shall function in a manner that is courteous and fair and shall abid</w:t>
      </w:r>
      <w:r w:rsidR="00C72D73" w:rsidRPr="00801AA9">
        <w:rPr>
          <w:rFonts w:asciiTheme="majorBidi" w:hAnsiTheme="majorBidi" w:cstheme="majorBidi"/>
        </w:rPr>
        <w:t>e</w:t>
      </w:r>
      <w:r w:rsidR="005C4838" w:rsidRPr="00801AA9">
        <w:rPr>
          <w:rFonts w:asciiTheme="majorBidi" w:hAnsiTheme="majorBidi" w:cstheme="majorBidi"/>
        </w:rPr>
        <w:t xml:space="preserve"> by state laws”, prohibiting “mischief and </w:t>
      </w:r>
      <w:r w:rsidR="009711B4" w:rsidRPr="00801AA9">
        <w:rPr>
          <w:rFonts w:asciiTheme="majorBidi" w:hAnsiTheme="majorBidi" w:cstheme="majorBidi"/>
        </w:rPr>
        <w:t>discord</w:t>
      </w:r>
      <w:r w:rsidR="005C4838" w:rsidRPr="00801AA9">
        <w:rPr>
          <w:rFonts w:asciiTheme="majorBidi" w:hAnsiTheme="majorBidi" w:cstheme="majorBidi"/>
        </w:rPr>
        <w:t xml:space="preserve">.” </w:t>
      </w:r>
      <w:r w:rsidR="00C72D73" w:rsidRPr="00801AA9">
        <w:rPr>
          <w:rFonts w:asciiTheme="majorBidi" w:hAnsiTheme="majorBidi" w:cstheme="majorBidi"/>
        </w:rPr>
        <w:t>A court of law would find it very difficult to interpret ‘mischief and discord’ except politically.</w:t>
      </w:r>
    </w:p>
    <w:p w14:paraId="710005D7" w14:textId="77777777" w:rsidR="006E2C32" w:rsidRPr="00801AA9" w:rsidRDefault="006E2C32" w:rsidP="00B1206F">
      <w:pPr>
        <w:jc w:val="both"/>
        <w:rPr>
          <w:rFonts w:asciiTheme="majorBidi" w:hAnsiTheme="majorBidi" w:cstheme="majorBidi"/>
        </w:rPr>
      </w:pPr>
    </w:p>
    <w:p w14:paraId="28ECFDEC" w14:textId="77777777" w:rsidR="00B204E8" w:rsidRPr="00801AA9" w:rsidRDefault="00C72D73" w:rsidP="00B1206F">
      <w:pPr>
        <w:jc w:val="both"/>
        <w:rPr>
          <w:rFonts w:asciiTheme="majorBidi" w:hAnsiTheme="majorBidi" w:cstheme="majorBidi"/>
        </w:rPr>
      </w:pPr>
      <w:r w:rsidRPr="00801AA9">
        <w:rPr>
          <w:rFonts w:asciiTheme="majorBidi" w:hAnsiTheme="majorBidi" w:cstheme="majorBidi"/>
        </w:rPr>
        <w:t xml:space="preserve">Constitutions </w:t>
      </w:r>
      <w:r w:rsidR="00624D01" w:rsidRPr="00801AA9">
        <w:rPr>
          <w:rFonts w:asciiTheme="majorBidi" w:hAnsiTheme="majorBidi" w:cstheme="majorBidi"/>
        </w:rPr>
        <w:t xml:space="preserve">differ on human rights guarantees of association and assembly. Some take a proactive role, as Iraq’s does in its article 45 </w:t>
      </w:r>
      <w:r w:rsidR="00801AA9">
        <w:rPr>
          <w:rFonts w:asciiTheme="majorBidi" w:hAnsiTheme="majorBidi" w:cstheme="majorBidi"/>
        </w:rPr>
        <w:t>affirming</w:t>
      </w:r>
      <w:r w:rsidR="00624D01" w:rsidRPr="00801AA9">
        <w:rPr>
          <w:rFonts w:asciiTheme="majorBidi" w:hAnsiTheme="majorBidi" w:cstheme="majorBidi"/>
        </w:rPr>
        <w:t xml:space="preserve"> that the state will strengthen the role and independence of civil society organizations, as regulated by law of course. </w:t>
      </w:r>
      <w:r w:rsidR="00D304ED">
        <w:rPr>
          <w:rFonts w:asciiTheme="majorBidi" w:hAnsiTheme="majorBidi" w:cstheme="majorBidi"/>
        </w:rPr>
        <w:t xml:space="preserve">The </w:t>
      </w:r>
      <w:r w:rsidR="006662BF" w:rsidRPr="00801AA9">
        <w:rPr>
          <w:rFonts w:asciiTheme="majorBidi" w:hAnsiTheme="majorBidi" w:cstheme="majorBidi"/>
        </w:rPr>
        <w:t>amended constitution</w:t>
      </w:r>
      <w:r w:rsidR="00D304ED">
        <w:rPr>
          <w:rFonts w:asciiTheme="majorBidi" w:hAnsiTheme="majorBidi" w:cstheme="majorBidi"/>
        </w:rPr>
        <w:t xml:space="preserve"> of Morocco</w:t>
      </w:r>
      <w:r w:rsidR="006662BF" w:rsidRPr="00801AA9">
        <w:rPr>
          <w:rFonts w:asciiTheme="majorBidi" w:hAnsiTheme="majorBidi" w:cstheme="majorBidi"/>
        </w:rPr>
        <w:t xml:space="preserve"> guarantees “notably to political opposition” a set of rights that includes opinion, expression, assembly, air time in official media, public finance, participation in legislative </w:t>
      </w:r>
      <w:r w:rsidR="006662BF" w:rsidRPr="00801AA9">
        <w:rPr>
          <w:rFonts w:asciiTheme="majorBidi" w:hAnsiTheme="majorBidi" w:cstheme="majorBidi"/>
        </w:rPr>
        <w:lastRenderedPageBreak/>
        <w:t xml:space="preserve">procedures, and representation in parliament (art. 10). </w:t>
      </w:r>
      <w:r w:rsidR="00624D01" w:rsidRPr="00801AA9">
        <w:rPr>
          <w:rFonts w:asciiTheme="majorBidi" w:hAnsiTheme="majorBidi" w:cstheme="majorBidi"/>
        </w:rPr>
        <w:t>On the other hand</w:t>
      </w:r>
      <w:r w:rsidR="006662BF" w:rsidRPr="00801AA9">
        <w:rPr>
          <w:rFonts w:asciiTheme="majorBidi" w:hAnsiTheme="majorBidi" w:cstheme="majorBidi"/>
        </w:rPr>
        <w:t>,</w:t>
      </w:r>
      <w:r w:rsidR="00624D01" w:rsidRPr="00801AA9">
        <w:rPr>
          <w:rFonts w:asciiTheme="majorBidi" w:hAnsiTheme="majorBidi" w:cstheme="majorBidi"/>
        </w:rPr>
        <w:t xml:space="preserve"> in Kuwait</w:t>
      </w:r>
      <w:r w:rsidRPr="00801AA9">
        <w:rPr>
          <w:rFonts w:asciiTheme="majorBidi" w:hAnsiTheme="majorBidi" w:cstheme="majorBidi"/>
        </w:rPr>
        <w:t>’s constitutional</w:t>
      </w:r>
      <w:r w:rsidR="00624D01" w:rsidRPr="00801AA9">
        <w:rPr>
          <w:rFonts w:asciiTheme="majorBidi" w:hAnsiTheme="majorBidi" w:cstheme="majorBidi"/>
        </w:rPr>
        <w:t xml:space="preserve"> article 44 freedom of assembly is not a right; public assemblies, processions and gatherings are only </w:t>
      </w:r>
      <w:r w:rsidRPr="00801AA9">
        <w:rPr>
          <w:rFonts w:asciiTheme="majorBidi" w:hAnsiTheme="majorBidi" w:cstheme="majorBidi"/>
        </w:rPr>
        <w:t>“</w:t>
      </w:r>
      <w:r w:rsidR="00801AA9">
        <w:rPr>
          <w:rFonts w:asciiTheme="majorBidi" w:hAnsiTheme="majorBidi" w:cstheme="majorBidi"/>
        </w:rPr>
        <w:t>permitted</w:t>
      </w:r>
      <w:r w:rsidRPr="00801AA9">
        <w:rPr>
          <w:rFonts w:asciiTheme="majorBidi" w:hAnsiTheme="majorBidi" w:cstheme="majorBidi"/>
        </w:rPr>
        <w:t>”</w:t>
      </w:r>
      <w:r w:rsidR="00624D01" w:rsidRPr="00801AA9">
        <w:rPr>
          <w:rFonts w:asciiTheme="majorBidi" w:hAnsiTheme="majorBidi" w:cstheme="majorBidi"/>
        </w:rPr>
        <w:t xml:space="preserve"> within conditions stipulated by the law and as long as they are peaceful and not incompatible with “morals.” </w:t>
      </w:r>
    </w:p>
    <w:p w14:paraId="26D6011B" w14:textId="77777777" w:rsidR="003E202B" w:rsidRDefault="003E202B" w:rsidP="00BC6323">
      <w:pPr>
        <w:rPr>
          <w:rFonts w:ascii="Times New Roman" w:hAnsi="Times New Roman"/>
        </w:rPr>
      </w:pPr>
    </w:p>
    <w:p w14:paraId="7AF52F63" w14:textId="77777777" w:rsidR="003E202B" w:rsidRDefault="003E202B" w:rsidP="00313D15">
      <w:pPr>
        <w:outlineLvl w:val="0"/>
        <w:rPr>
          <w:rFonts w:ascii="Times New Roman" w:hAnsi="Times New Roman"/>
        </w:rPr>
      </w:pPr>
      <w:r>
        <w:rPr>
          <w:rFonts w:ascii="Times New Roman" w:hAnsi="Times New Roman"/>
          <w:b/>
          <w:bCs/>
          <w:u w:val="single"/>
        </w:rPr>
        <w:t xml:space="preserve">Legislative and policy </w:t>
      </w:r>
      <w:r w:rsidR="002940A6">
        <w:rPr>
          <w:rFonts w:ascii="Times New Roman" w:hAnsi="Times New Roman"/>
          <w:b/>
          <w:bCs/>
          <w:u w:val="single"/>
        </w:rPr>
        <w:t>framework</w:t>
      </w:r>
      <w:r w:rsidR="00484147">
        <w:rPr>
          <w:rFonts w:ascii="Times New Roman" w:hAnsi="Times New Roman"/>
          <w:b/>
          <w:bCs/>
          <w:u w:val="single"/>
        </w:rPr>
        <w:t>s on participation and related rights</w:t>
      </w:r>
    </w:p>
    <w:p w14:paraId="2B27ED37" w14:textId="77777777" w:rsidR="003E202B" w:rsidRDefault="003E202B" w:rsidP="00B1206F">
      <w:pPr>
        <w:jc w:val="both"/>
        <w:rPr>
          <w:rFonts w:ascii="Times New Roman" w:hAnsi="Times New Roman"/>
        </w:rPr>
      </w:pPr>
    </w:p>
    <w:p w14:paraId="35C42163" w14:textId="77777777" w:rsidR="003F3FF6" w:rsidRDefault="00801AA9" w:rsidP="00B1206F">
      <w:pPr>
        <w:jc w:val="both"/>
        <w:rPr>
          <w:rFonts w:ascii="Times New Roman" w:hAnsi="Times New Roman"/>
        </w:rPr>
      </w:pPr>
      <w:r>
        <w:rPr>
          <w:rFonts w:ascii="Times New Roman" w:hAnsi="Times New Roman"/>
        </w:rPr>
        <w:t>Implementing</w:t>
      </w:r>
      <w:r w:rsidR="00A35E8F">
        <w:rPr>
          <w:rFonts w:ascii="Times New Roman" w:hAnsi="Times New Roman"/>
        </w:rPr>
        <w:t xml:space="preserve"> </w:t>
      </w:r>
      <w:r>
        <w:rPr>
          <w:rFonts w:ascii="Times New Roman" w:hAnsi="Times New Roman"/>
        </w:rPr>
        <w:t xml:space="preserve">constitutional guarantees requires an adequate legislative and policy framework that enables </w:t>
      </w:r>
      <w:r w:rsidR="003F3FF6">
        <w:rPr>
          <w:rFonts w:ascii="Times New Roman" w:hAnsi="Times New Roman"/>
        </w:rPr>
        <w:t>participation</w:t>
      </w:r>
      <w:r w:rsidR="0014493C">
        <w:rPr>
          <w:rFonts w:ascii="Times New Roman" w:hAnsi="Times New Roman"/>
        </w:rPr>
        <w:t xml:space="preserve"> </w:t>
      </w:r>
      <w:r w:rsidR="003F3FF6">
        <w:rPr>
          <w:rFonts w:ascii="Times New Roman" w:hAnsi="Times New Roman"/>
        </w:rPr>
        <w:t>in public affairs</w:t>
      </w:r>
      <w:r w:rsidR="0076032C">
        <w:rPr>
          <w:rFonts w:ascii="Times New Roman" w:hAnsi="Times New Roman"/>
        </w:rPr>
        <w:t>,</w:t>
      </w:r>
      <w:r w:rsidR="003F3FF6">
        <w:rPr>
          <w:rFonts w:ascii="Times New Roman" w:hAnsi="Times New Roman"/>
        </w:rPr>
        <w:t xml:space="preserve"> </w:t>
      </w:r>
      <w:r w:rsidR="0076032C">
        <w:rPr>
          <w:rFonts w:ascii="Times New Roman" w:hAnsi="Times New Roman"/>
        </w:rPr>
        <w:t xml:space="preserve">individually and in association with one another, including the formation of </w:t>
      </w:r>
      <w:r w:rsidR="00FF6CFD">
        <w:rPr>
          <w:rFonts w:ascii="Times New Roman" w:hAnsi="Times New Roman"/>
        </w:rPr>
        <w:t>civil society organizations</w:t>
      </w:r>
      <w:r w:rsidR="0076032C">
        <w:rPr>
          <w:rFonts w:ascii="Times New Roman" w:hAnsi="Times New Roman"/>
        </w:rPr>
        <w:t>,</w:t>
      </w:r>
      <w:r w:rsidR="008A590C">
        <w:rPr>
          <w:rFonts w:ascii="Times New Roman" w:hAnsi="Times New Roman"/>
        </w:rPr>
        <w:t xml:space="preserve"> and</w:t>
      </w:r>
      <w:r w:rsidR="0076032C">
        <w:rPr>
          <w:rFonts w:ascii="Times New Roman" w:hAnsi="Times New Roman"/>
        </w:rPr>
        <w:t xml:space="preserve"> the freedom</w:t>
      </w:r>
      <w:r w:rsidR="008A590C">
        <w:rPr>
          <w:rFonts w:ascii="Times New Roman" w:hAnsi="Times New Roman"/>
        </w:rPr>
        <w:t xml:space="preserve"> to express their views on public policy matters</w:t>
      </w:r>
      <w:r w:rsidR="00FF6CFD">
        <w:rPr>
          <w:rFonts w:ascii="Times New Roman" w:hAnsi="Times New Roman"/>
        </w:rPr>
        <w:t xml:space="preserve">. There are problematic issues in this regard </w:t>
      </w:r>
      <w:r w:rsidR="00F85701">
        <w:rPr>
          <w:rFonts w:ascii="Times New Roman" w:hAnsi="Times New Roman"/>
        </w:rPr>
        <w:t>in most of the Arab states where the environment does not enable civic engagement.</w:t>
      </w:r>
      <w:r w:rsidR="003F3FF6">
        <w:rPr>
          <w:rFonts w:ascii="Times New Roman" w:hAnsi="Times New Roman"/>
        </w:rPr>
        <w:t xml:space="preserve"> The following are only some examples.</w:t>
      </w:r>
    </w:p>
    <w:p w14:paraId="4041949A" w14:textId="77777777" w:rsidR="003F3FF6" w:rsidRDefault="003F3FF6" w:rsidP="00B1206F">
      <w:pPr>
        <w:jc w:val="both"/>
        <w:rPr>
          <w:rFonts w:ascii="Times New Roman" w:hAnsi="Times New Roman"/>
        </w:rPr>
      </w:pPr>
    </w:p>
    <w:p w14:paraId="2EEEB648" w14:textId="77777777" w:rsidR="003E202B" w:rsidRDefault="00F85701" w:rsidP="00B1206F">
      <w:pPr>
        <w:jc w:val="both"/>
        <w:rPr>
          <w:rFonts w:ascii="Times New Roman" w:hAnsi="Times New Roman"/>
        </w:rPr>
      </w:pPr>
      <w:r>
        <w:rPr>
          <w:rFonts w:ascii="Times New Roman" w:hAnsi="Times New Roman"/>
        </w:rPr>
        <w:t>According to the CIVICUS Mon</w:t>
      </w:r>
      <w:r w:rsidR="00A35E8F">
        <w:rPr>
          <w:rFonts w:ascii="Times New Roman" w:hAnsi="Times New Roman"/>
        </w:rPr>
        <w:t>itor i</w:t>
      </w:r>
      <w:r>
        <w:rPr>
          <w:rFonts w:ascii="Times New Roman" w:hAnsi="Times New Roman"/>
        </w:rPr>
        <w:t>ndex tracking civic space around the world, not one of the countries under consideration here can be said to have open space for civil society to participate effectively or express its views. Space is ‘obstructed’ in five of them, ‘repressed’ in another seven, and ‘closed’ in the remaining five.</w:t>
      </w:r>
      <w:r>
        <w:rPr>
          <w:rStyle w:val="FootnoteReference"/>
          <w:rFonts w:ascii="Times New Roman" w:hAnsi="Times New Roman"/>
        </w:rPr>
        <w:footnoteReference w:id="37"/>
      </w:r>
    </w:p>
    <w:p w14:paraId="16D3B5EF" w14:textId="77777777" w:rsidR="00F85701" w:rsidRDefault="00F85701" w:rsidP="00B1206F">
      <w:pPr>
        <w:jc w:val="both"/>
        <w:rPr>
          <w:rFonts w:ascii="Times New Roman" w:hAnsi="Times New Roman"/>
        </w:rPr>
      </w:pPr>
    </w:p>
    <w:p w14:paraId="52F75A21" w14:textId="77777777" w:rsidR="00F1054E" w:rsidRDefault="00F85701" w:rsidP="00B1206F">
      <w:pPr>
        <w:jc w:val="both"/>
        <w:rPr>
          <w:rFonts w:ascii="Times New Roman" w:hAnsi="Times New Roman"/>
        </w:rPr>
      </w:pPr>
      <w:r>
        <w:rPr>
          <w:rFonts w:ascii="Times New Roman" w:hAnsi="Times New Roman"/>
        </w:rPr>
        <w:t>T</w:t>
      </w:r>
      <w:r w:rsidR="00F1054E">
        <w:rPr>
          <w:rFonts w:ascii="Times New Roman" w:hAnsi="Times New Roman"/>
        </w:rPr>
        <w:t>he lack of an enabling environment is due in large part to a</w:t>
      </w:r>
      <w:r>
        <w:rPr>
          <w:rFonts w:ascii="Times New Roman" w:hAnsi="Times New Roman"/>
        </w:rPr>
        <w:t xml:space="preserve"> legislative framework </w:t>
      </w:r>
      <w:r w:rsidR="00F1054E">
        <w:rPr>
          <w:rFonts w:ascii="Times New Roman" w:hAnsi="Times New Roman"/>
        </w:rPr>
        <w:t xml:space="preserve">in most of those countries that </w:t>
      </w:r>
      <w:r w:rsidR="00F1054E" w:rsidRPr="008342BE">
        <w:rPr>
          <w:rFonts w:ascii="Times New Roman" w:hAnsi="Times New Roman"/>
        </w:rPr>
        <w:t>places heavy and undue restrictions on civil society</w:t>
      </w:r>
      <w:r w:rsidR="00F1054E">
        <w:rPr>
          <w:rFonts w:ascii="Times New Roman" w:hAnsi="Times New Roman"/>
        </w:rPr>
        <w:t xml:space="preserve"> in the form of excessive governmental control</w:t>
      </w:r>
      <w:r w:rsidR="004B56A9">
        <w:rPr>
          <w:rFonts w:ascii="Times New Roman" w:hAnsi="Times New Roman"/>
        </w:rPr>
        <w:t>, creating a significant gap between constitutional guarantees and implementation on the ground</w:t>
      </w:r>
      <w:r w:rsidR="00F1054E">
        <w:rPr>
          <w:rFonts w:ascii="Times New Roman" w:hAnsi="Times New Roman"/>
        </w:rPr>
        <w:t>.</w:t>
      </w:r>
      <w:r w:rsidR="004B56A9">
        <w:rPr>
          <w:rStyle w:val="FootnoteReference"/>
          <w:rFonts w:ascii="Times New Roman" w:hAnsi="Times New Roman"/>
        </w:rPr>
        <w:footnoteReference w:id="38"/>
      </w:r>
      <w:r w:rsidR="00F1054E">
        <w:rPr>
          <w:rFonts w:ascii="Times New Roman" w:hAnsi="Times New Roman"/>
        </w:rPr>
        <w:t xml:space="preserve"> </w:t>
      </w:r>
      <w:r w:rsidR="00E8502D">
        <w:rPr>
          <w:rFonts w:ascii="Times New Roman" w:hAnsi="Times New Roman"/>
        </w:rPr>
        <w:t xml:space="preserve">Algeria provides an </w:t>
      </w:r>
      <w:r w:rsidR="00A35E8F">
        <w:rPr>
          <w:rFonts w:ascii="Times New Roman" w:hAnsi="Times New Roman"/>
        </w:rPr>
        <w:t>example</w:t>
      </w:r>
      <w:r w:rsidR="00E8502D">
        <w:rPr>
          <w:rFonts w:ascii="Times New Roman" w:hAnsi="Times New Roman"/>
        </w:rPr>
        <w:t xml:space="preserve"> where </w:t>
      </w:r>
      <w:r w:rsidR="00A35E8F">
        <w:rPr>
          <w:rFonts w:ascii="Times New Roman" w:hAnsi="Times New Roman"/>
        </w:rPr>
        <w:t xml:space="preserve">the </w:t>
      </w:r>
      <w:r w:rsidR="00A35E8F" w:rsidRPr="00A35E8F">
        <w:rPr>
          <w:rFonts w:asciiTheme="majorBidi" w:hAnsiTheme="majorBidi" w:cstheme="majorBidi"/>
        </w:rPr>
        <w:t>Law of Association</w:t>
      </w:r>
      <w:r w:rsidR="00A35E8F">
        <w:rPr>
          <w:rFonts w:asciiTheme="majorBidi" w:hAnsiTheme="majorBidi" w:cstheme="majorBidi"/>
        </w:rPr>
        <w:t>s</w:t>
      </w:r>
      <w:r w:rsidR="00A35E8F" w:rsidRPr="00A35E8F">
        <w:rPr>
          <w:rFonts w:asciiTheme="majorBidi" w:hAnsiTheme="majorBidi" w:cstheme="majorBidi"/>
        </w:rPr>
        <w:t xml:space="preserve"> 12 (2012),</w:t>
      </w:r>
      <w:r w:rsidR="00A35E8F">
        <w:rPr>
          <w:rFonts w:asciiTheme="majorBidi" w:hAnsiTheme="majorBidi" w:cstheme="majorBidi"/>
        </w:rPr>
        <w:t xml:space="preserve"> </w:t>
      </w:r>
      <w:r w:rsidR="00A35E8F">
        <w:rPr>
          <w:rFonts w:ascii="Times New Roman" w:hAnsi="Times New Roman"/>
        </w:rPr>
        <w:t xml:space="preserve">provides government with wide powers </w:t>
      </w:r>
      <w:r w:rsidR="00F1054E">
        <w:rPr>
          <w:rFonts w:ascii="Times New Roman" w:hAnsi="Times New Roman"/>
        </w:rPr>
        <w:t>of licensing and registration</w:t>
      </w:r>
      <w:r w:rsidR="00E8502D">
        <w:rPr>
          <w:rFonts w:ascii="Times New Roman" w:hAnsi="Times New Roman"/>
        </w:rPr>
        <w:t xml:space="preserve">, including </w:t>
      </w:r>
      <w:r w:rsidR="00EC53CB">
        <w:rPr>
          <w:rFonts w:ascii="Times New Roman" w:hAnsi="Times New Roman"/>
        </w:rPr>
        <w:t xml:space="preserve">power to dissolve or suspend CSO activities, </w:t>
      </w:r>
      <w:r w:rsidR="00A35E8F">
        <w:rPr>
          <w:rFonts w:ascii="Times New Roman" w:hAnsi="Times New Roman"/>
        </w:rPr>
        <w:t>requires prior approval for receiving financial support</w:t>
      </w:r>
      <w:r w:rsidR="00F1054E">
        <w:rPr>
          <w:rFonts w:ascii="Times New Roman" w:hAnsi="Times New Roman"/>
        </w:rPr>
        <w:t>,</w:t>
      </w:r>
      <w:r w:rsidR="00A35E8F">
        <w:rPr>
          <w:rFonts w:ascii="Times New Roman" w:hAnsi="Times New Roman"/>
        </w:rPr>
        <w:t xml:space="preserve"> and holds </w:t>
      </w:r>
      <w:r w:rsidR="00F1054E">
        <w:rPr>
          <w:rFonts w:ascii="Times New Roman" w:hAnsi="Times New Roman"/>
        </w:rPr>
        <w:t>association activists personally liable for a broad range of criminal offenses related to the work of their organizations</w:t>
      </w:r>
      <w:r w:rsidR="00A35E8F">
        <w:rPr>
          <w:rFonts w:ascii="Times New Roman" w:hAnsi="Times New Roman"/>
        </w:rPr>
        <w:t xml:space="preserve">. </w:t>
      </w:r>
      <w:r w:rsidR="00E8502D">
        <w:rPr>
          <w:rFonts w:ascii="Times New Roman" w:hAnsi="Times New Roman"/>
        </w:rPr>
        <w:t>Further restrictions are placed by the 2012 Law on Information which contains more than 32 provisions that can be used to repress free expression, including the requirements that CSOs</w:t>
      </w:r>
      <w:r w:rsidR="00EC53CB">
        <w:rPr>
          <w:rFonts w:ascii="Times New Roman" w:hAnsi="Times New Roman"/>
        </w:rPr>
        <w:t xml:space="preserve"> </w:t>
      </w:r>
      <w:r w:rsidR="00E8502D">
        <w:rPr>
          <w:rFonts w:ascii="Times New Roman" w:hAnsi="Times New Roman"/>
        </w:rPr>
        <w:t>submit publications and public information to censorship in the form of approv</w:t>
      </w:r>
      <w:r w:rsidR="0076032C">
        <w:rPr>
          <w:rFonts w:ascii="Times New Roman" w:hAnsi="Times New Roman"/>
        </w:rPr>
        <w:t>al by regulatory authorities. They also prohibit</w:t>
      </w:r>
      <w:r w:rsidR="00E8502D">
        <w:rPr>
          <w:rFonts w:ascii="Times New Roman" w:hAnsi="Times New Roman"/>
        </w:rPr>
        <w:t xml:space="preserve"> them from </w:t>
      </w:r>
      <w:r w:rsidR="0076032C">
        <w:rPr>
          <w:rFonts w:ascii="Times New Roman" w:hAnsi="Times New Roman"/>
        </w:rPr>
        <w:t>addressing</w:t>
      </w:r>
      <w:r w:rsidR="00E8502D">
        <w:rPr>
          <w:rFonts w:ascii="Times New Roman" w:hAnsi="Times New Roman"/>
        </w:rPr>
        <w:t xml:space="preserve"> </w:t>
      </w:r>
      <w:r w:rsidR="0076032C">
        <w:rPr>
          <w:rFonts w:ascii="Times New Roman" w:hAnsi="Times New Roman"/>
        </w:rPr>
        <w:t>a number of issues</w:t>
      </w:r>
      <w:r w:rsidR="00E8502D">
        <w:rPr>
          <w:rFonts w:ascii="Times New Roman" w:hAnsi="Times New Roman"/>
        </w:rPr>
        <w:t xml:space="preserve"> including the economy, national security, “national identity” or “sovereignty;” all rather vaguely worded restrictions.</w:t>
      </w:r>
      <w:r w:rsidR="00E8502D">
        <w:rPr>
          <w:rStyle w:val="FootnoteReference"/>
          <w:rFonts w:ascii="Times New Roman" w:hAnsi="Times New Roman"/>
        </w:rPr>
        <w:footnoteReference w:id="39"/>
      </w:r>
    </w:p>
    <w:p w14:paraId="764988B0" w14:textId="77777777" w:rsidR="00A35E8F" w:rsidRDefault="00A35E8F" w:rsidP="00B1206F">
      <w:pPr>
        <w:jc w:val="both"/>
        <w:rPr>
          <w:rFonts w:ascii="Times New Roman" w:hAnsi="Times New Roman"/>
        </w:rPr>
      </w:pPr>
    </w:p>
    <w:p w14:paraId="7E0DCCEF" w14:textId="77777777" w:rsidR="00B32556" w:rsidRDefault="00B32556" w:rsidP="00B1206F">
      <w:pPr>
        <w:jc w:val="both"/>
        <w:rPr>
          <w:rFonts w:ascii="Times New Roman" w:hAnsi="Times New Roman"/>
        </w:rPr>
      </w:pPr>
      <w:r>
        <w:rPr>
          <w:rFonts w:ascii="Times New Roman" w:hAnsi="Times New Roman"/>
        </w:rPr>
        <w:t>Similar language can be found in the new 2015 Saudi Law on Associations and Foundations, which places restrictions on the registration of CSOs on the basis of broadly worded prohibition of violations of Islamic Sharia and threats to national unity and public morality. The government exercises a high degree of interference in the work of organizations, prohibits foreign foundations and associations, and makes it difficult for national CSOs to seek foreign funding.</w:t>
      </w:r>
      <w:r>
        <w:rPr>
          <w:rStyle w:val="FootnoteReference"/>
          <w:rFonts w:ascii="Times New Roman" w:hAnsi="Times New Roman"/>
        </w:rPr>
        <w:footnoteReference w:id="40"/>
      </w:r>
      <w:r>
        <w:rPr>
          <w:rFonts w:ascii="Times New Roman" w:hAnsi="Times New Roman"/>
        </w:rPr>
        <w:t xml:space="preserve"> </w:t>
      </w:r>
    </w:p>
    <w:p w14:paraId="727BD68C" w14:textId="77777777" w:rsidR="00B32556" w:rsidRDefault="00B32556" w:rsidP="00B1206F">
      <w:pPr>
        <w:jc w:val="both"/>
        <w:rPr>
          <w:rFonts w:ascii="Times New Roman" w:hAnsi="Times New Roman"/>
        </w:rPr>
      </w:pPr>
    </w:p>
    <w:p w14:paraId="13E29E17" w14:textId="77777777" w:rsidR="00484147" w:rsidRDefault="00EC53CB" w:rsidP="00B1206F">
      <w:pPr>
        <w:autoSpaceDE w:val="0"/>
        <w:autoSpaceDN w:val="0"/>
        <w:adjustRightInd w:val="0"/>
        <w:spacing w:after="240" w:line="300" w:lineRule="atLeast"/>
        <w:jc w:val="both"/>
        <w:rPr>
          <w:rFonts w:asciiTheme="majorBidi" w:hAnsiTheme="majorBidi" w:cstheme="majorBidi"/>
          <w:color w:val="000000"/>
        </w:rPr>
      </w:pPr>
      <w:r>
        <w:rPr>
          <w:rFonts w:ascii="Times New Roman" w:hAnsi="Times New Roman"/>
        </w:rPr>
        <w:lastRenderedPageBreak/>
        <w:t xml:space="preserve">The new Egyptian </w:t>
      </w:r>
      <w:r w:rsidRPr="0076032C">
        <w:rPr>
          <w:rStyle w:val="Emphasis"/>
          <w:rFonts w:asciiTheme="majorBidi" w:hAnsiTheme="majorBidi" w:cstheme="majorBidi"/>
          <w:i w:val="0"/>
          <w:iCs w:val="0"/>
        </w:rPr>
        <w:t>Law 70 of 2017 on Associations and Other Foundations Working in the Field of Civil Work</w:t>
      </w:r>
      <w:r w:rsidRPr="00EC53CB">
        <w:rPr>
          <w:rFonts w:asciiTheme="majorBidi" w:hAnsiTheme="majorBidi" w:cstheme="majorBidi"/>
        </w:rPr>
        <w:t> </w:t>
      </w:r>
      <w:r>
        <w:rPr>
          <w:rFonts w:asciiTheme="majorBidi" w:hAnsiTheme="majorBidi" w:cstheme="majorBidi"/>
        </w:rPr>
        <w:t>also requires prio</w:t>
      </w:r>
      <w:r w:rsidR="0076032C">
        <w:rPr>
          <w:rFonts w:asciiTheme="majorBidi" w:hAnsiTheme="majorBidi" w:cstheme="majorBidi"/>
        </w:rPr>
        <w:t>r approval for funding and</w:t>
      </w:r>
      <w:r>
        <w:rPr>
          <w:rFonts w:asciiTheme="majorBidi" w:hAnsiTheme="majorBidi" w:cstheme="majorBidi"/>
        </w:rPr>
        <w:t xml:space="preserve"> </w:t>
      </w:r>
      <w:r w:rsidR="00A35E8F">
        <w:rPr>
          <w:rFonts w:ascii="Times New Roman" w:hAnsi="Times New Roman"/>
        </w:rPr>
        <w:t>prohibit</w:t>
      </w:r>
      <w:r>
        <w:rPr>
          <w:rFonts w:ascii="Times New Roman" w:hAnsi="Times New Roman"/>
        </w:rPr>
        <w:t>s</w:t>
      </w:r>
      <w:r w:rsidR="00A35E8F">
        <w:rPr>
          <w:rFonts w:ascii="Times New Roman" w:hAnsi="Times New Roman"/>
        </w:rPr>
        <w:t xml:space="preserve"> affiliation or cooperation with international organizations.</w:t>
      </w:r>
      <w:r>
        <w:rPr>
          <w:rFonts w:ascii="Times New Roman" w:hAnsi="Times New Roman"/>
        </w:rPr>
        <w:t xml:space="preserve"> </w:t>
      </w:r>
      <w:r w:rsidR="00534625">
        <w:rPr>
          <w:rFonts w:ascii="Times New Roman" w:hAnsi="Times New Roman"/>
        </w:rPr>
        <w:t xml:space="preserve">For example, Article 13 of the law prohibits associations </w:t>
      </w:r>
      <w:r w:rsidR="0076032C">
        <w:rPr>
          <w:rFonts w:ascii="Times New Roman" w:hAnsi="Times New Roman"/>
        </w:rPr>
        <w:t>from</w:t>
      </w:r>
      <w:r w:rsidR="00534625">
        <w:rPr>
          <w:rFonts w:ascii="Times New Roman" w:hAnsi="Times New Roman"/>
        </w:rPr>
        <w:t xml:space="preserve"> working </w:t>
      </w:r>
      <w:r w:rsidR="00534625" w:rsidRPr="00534625">
        <w:rPr>
          <w:rFonts w:asciiTheme="majorBidi" w:hAnsiTheme="majorBidi" w:cstheme="majorBidi"/>
        </w:rPr>
        <w:t>“</w:t>
      </w:r>
      <w:r w:rsidR="00534625" w:rsidRPr="00534625">
        <w:rPr>
          <w:rFonts w:asciiTheme="majorBidi" w:hAnsiTheme="majorBidi" w:cstheme="majorBidi"/>
          <w:color w:val="000000"/>
        </w:rPr>
        <w:t xml:space="preserve">in any field or practice any activity that is part of the work of political parties, vocational or labor syndicates, any work of political nature, or any work that may cause harm to the national security, law and order, public morals, or public health.” </w:t>
      </w:r>
      <w:r w:rsidR="00484147">
        <w:rPr>
          <w:rFonts w:ascii="Times New Roman" w:hAnsi="Times New Roman"/>
        </w:rPr>
        <w:t>In Qatar, Law 12 (2004) puts onerous conditions on the formation of civil society organizations, including the deposit of upwards of $2.75 million, and CSOs are not allowed to engage in political activity.</w:t>
      </w:r>
      <w:r w:rsidR="00484147">
        <w:rPr>
          <w:rStyle w:val="FootnoteReference"/>
          <w:rFonts w:ascii="Times New Roman" w:hAnsi="Times New Roman"/>
        </w:rPr>
        <w:footnoteReference w:id="41"/>
      </w:r>
      <w:r w:rsidR="00484147" w:rsidRPr="00484147">
        <w:rPr>
          <w:rFonts w:ascii="Times New Roman" w:hAnsi="Times New Roman"/>
        </w:rPr>
        <w:t xml:space="preserve"> </w:t>
      </w:r>
      <w:r w:rsidR="00484147">
        <w:rPr>
          <w:rFonts w:ascii="Times New Roman" w:hAnsi="Times New Roman"/>
        </w:rPr>
        <w:t>Most recently, Oman’s new Penal Code was signed into law by Royal Decree No. 7 on 11 January 2018, which appears to be vaguely worded and consequently highly restrictive to freedom of association, expression, assembly and of the press.</w:t>
      </w:r>
      <w:r w:rsidR="00484147">
        <w:rPr>
          <w:rStyle w:val="FootnoteReference"/>
          <w:rFonts w:ascii="Times New Roman" w:hAnsi="Times New Roman"/>
        </w:rPr>
        <w:footnoteReference w:id="42"/>
      </w:r>
    </w:p>
    <w:p w14:paraId="77D79B1D" w14:textId="77777777" w:rsidR="00FF69A9" w:rsidRDefault="00677ECE" w:rsidP="00B1206F">
      <w:pPr>
        <w:autoSpaceDE w:val="0"/>
        <w:autoSpaceDN w:val="0"/>
        <w:adjustRightInd w:val="0"/>
        <w:spacing w:after="240" w:line="300" w:lineRule="atLeast"/>
        <w:jc w:val="both"/>
        <w:rPr>
          <w:rFonts w:ascii="Times New Roman" w:hAnsi="Times New Roman" w:cs="Times New Roman"/>
        </w:rPr>
      </w:pPr>
      <w:r>
        <w:rPr>
          <w:rFonts w:asciiTheme="majorBidi" w:hAnsiTheme="majorBidi" w:cstheme="majorBidi"/>
          <w:color w:val="000000"/>
        </w:rPr>
        <w:t xml:space="preserve">Such provisions </w:t>
      </w:r>
      <w:r w:rsidR="00534625" w:rsidRPr="008342BE">
        <w:rPr>
          <w:rFonts w:asciiTheme="majorBidi" w:hAnsiTheme="majorBidi" w:cstheme="majorBidi"/>
          <w:color w:val="000000"/>
        </w:rPr>
        <w:t>effectively disallow any</w:t>
      </w:r>
      <w:r w:rsidR="00D6692A" w:rsidRPr="008342BE">
        <w:rPr>
          <w:rFonts w:asciiTheme="majorBidi" w:hAnsiTheme="majorBidi" w:cstheme="majorBidi"/>
          <w:color w:val="000000"/>
        </w:rPr>
        <w:t xml:space="preserve"> public</w:t>
      </w:r>
      <w:r w:rsidR="00534625" w:rsidRPr="008342BE">
        <w:rPr>
          <w:rFonts w:asciiTheme="majorBidi" w:hAnsiTheme="majorBidi" w:cstheme="majorBidi"/>
          <w:color w:val="000000"/>
        </w:rPr>
        <w:t xml:space="preserve"> participation or contribution to public policy, limiting </w:t>
      </w:r>
      <w:r w:rsidR="00D6692A" w:rsidRPr="008342BE">
        <w:rPr>
          <w:rFonts w:asciiTheme="majorBidi" w:hAnsiTheme="majorBidi" w:cstheme="majorBidi"/>
          <w:color w:val="000000"/>
        </w:rPr>
        <w:t>the</w:t>
      </w:r>
      <w:r w:rsidRPr="008342BE">
        <w:rPr>
          <w:rFonts w:asciiTheme="majorBidi" w:hAnsiTheme="majorBidi" w:cstheme="majorBidi"/>
          <w:color w:val="000000"/>
        </w:rPr>
        <w:t xml:space="preserve"> role of CSOS and </w:t>
      </w:r>
      <w:r w:rsidR="00534625" w:rsidRPr="008342BE">
        <w:rPr>
          <w:rFonts w:asciiTheme="majorBidi" w:hAnsiTheme="majorBidi" w:cstheme="majorBidi"/>
          <w:color w:val="000000"/>
        </w:rPr>
        <w:t>associations to provision of services</w:t>
      </w:r>
      <w:r w:rsidR="0014493C" w:rsidRPr="008342BE">
        <w:rPr>
          <w:rFonts w:asciiTheme="majorBidi" w:hAnsiTheme="majorBidi" w:cstheme="majorBidi"/>
          <w:color w:val="000000"/>
        </w:rPr>
        <w:t>.</w:t>
      </w:r>
      <w:r>
        <w:rPr>
          <w:rFonts w:asciiTheme="majorBidi" w:hAnsiTheme="majorBidi" w:cstheme="majorBidi"/>
          <w:color w:val="000000"/>
        </w:rPr>
        <w:t xml:space="preserve"> </w:t>
      </w:r>
      <w:r w:rsidR="00534625">
        <w:rPr>
          <w:rFonts w:asciiTheme="majorBidi" w:hAnsiTheme="majorBidi" w:cstheme="majorBidi"/>
          <w:color w:val="000000"/>
        </w:rPr>
        <w:t xml:space="preserve"> </w:t>
      </w:r>
      <w:r>
        <w:rPr>
          <w:rFonts w:ascii="Times New Roman" w:hAnsi="Times New Roman"/>
        </w:rPr>
        <w:t xml:space="preserve"> As a result, </w:t>
      </w:r>
      <w:r w:rsidR="00EC53CB">
        <w:rPr>
          <w:rFonts w:ascii="Times New Roman" w:hAnsi="Times New Roman"/>
        </w:rPr>
        <w:t>many civil society and human rights activists</w:t>
      </w:r>
      <w:r>
        <w:rPr>
          <w:rFonts w:ascii="Times New Roman" w:hAnsi="Times New Roman"/>
        </w:rPr>
        <w:t xml:space="preserve"> are at risk of detention </w:t>
      </w:r>
      <w:r w:rsidR="00EC53CB">
        <w:rPr>
          <w:rFonts w:ascii="Times New Roman" w:hAnsi="Times New Roman"/>
        </w:rPr>
        <w:t xml:space="preserve">and/or </w:t>
      </w:r>
      <w:r>
        <w:rPr>
          <w:rFonts w:ascii="Times New Roman" w:hAnsi="Times New Roman"/>
        </w:rPr>
        <w:t xml:space="preserve">are </w:t>
      </w:r>
      <w:r w:rsidR="00EC53CB">
        <w:rPr>
          <w:rFonts w:ascii="Times New Roman" w:hAnsi="Times New Roman"/>
        </w:rPr>
        <w:t>subject to travel bans and criminal investigations</w:t>
      </w:r>
      <w:r>
        <w:rPr>
          <w:sz w:val="18"/>
          <w:szCs w:val="18"/>
        </w:rPr>
        <w:t xml:space="preserve"> </w:t>
      </w:r>
      <w:r w:rsidRPr="00677ECE">
        <w:rPr>
          <w:rFonts w:ascii="Times New Roman" w:hAnsi="Times New Roman" w:cs="Times New Roman"/>
        </w:rPr>
        <w:t>for violating the provisions that unduly restrict the</w:t>
      </w:r>
      <w:r>
        <w:rPr>
          <w:rFonts w:ascii="Times New Roman" w:hAnsi="Times New Roman" w:cs="Times New Roman"/>
        </w:rPr>
        <w:t>ir</w:t>
      </w:r>
      <w:r w:rsidRPr="00677ECE">
        <w:rPr>
          <w:rFonts w:ascii="Times New Roman" w:hAnsi="Times New Roman" w:cs="Times New Roman"/>
        </w:rPr>
        <w:t xml:space="preserve"> rights to freedom of opinion and expression and of assembly. </w:t>
      </w:r>
    </w:p>
    <w:p w14:paraId="2566A1AC" w14:textId="77777777" w:rsidR="001634BD" w:rsidRPr="00AF4C5E" w:rsidRDefault="00FF69A9" w:rsidP="00B1206F">
      <w:pPr>
        <w:autoSpaceDE w:val="0"/>
        <w:autoSpaceDN w:val="0"/>
        <w:adjustRightInd w:val="0"/>
        <w:spacing w:after="240" w:line="300" w:lineRule="atLeast"/>
        <w:jc w:val="both"/>
        <w:rPr>
          <w:rFonts w:ascii="Times New Roman" w:hAnsi="Times New Roman"/>
        </w:rPr>
      </w:pPr>
      <w:r>
        <w:rPr>
          <w:rFonts w:ascii="Times New Roman" w:hAnsi="Times New Roman" w:cs="Times New Roman"/>
        </w:rPr>
        <w:t>Media and Internet freedoms suffer as a result of vague wording</w:t>
      </w:r>
      <w:r w:rsidR="000C572D">
        <w:rPr>
          <w:rFonts w:ascii="Times New Roman" w:hAnsi="Times New Roman" w:cs="Times New Roman"/>
        </w:rPr>
        <w:t xml:space="preserve"> in the law as well as </w:t>
      </w:r>
      <w:r>
        <w:rPr>
          <w:rFonts w:ascii="Times New Roman" w:hAnsi="Times New Roman" w:cs="Times New Roman"/>
        </w:rPr>
        <w:t>specific restrictions on opinion and expression, with blogs, news and other web sites blocked for content</w:t>
      </w:r>
      <w:r w:rsidR="000C572D">
        <w:rPr>
          <w:rFonts w:ascii="Times New Roman" w:hAnsi="Times New Roman" w:cs="Times New Roman"/>
        </w:rPr>
        <w:t xml:space="preserve"> in many of the countries of the region</w:t>
      </w:r>
      <w:r>
        <w:rPr>
          <w:rFonts w:ascii="Times New Roman" w:hAnsi="Times New Roman" w:cs="Times New Roman"/>
        </w:rPr>
        <w:t xml:space="preserve">. </w:t>
      </w:r>
      <w:r>
        <w:rPr>
          <w:rFonts w:ascii="Times New Roman" w:hAnsi="Times New Roman"/>
        </w:rPr>
        <w:t>Indeed, all but three countries in the region ranked in the bottom one third of rankings for freedom of the press,</w:t>
      </w:r>
      <w:r w:rsidRPr="00FF69A9">
        <w:rPr>
          <w:rFonts w:ascii="Times New Roman" w:hAnsi="Times New Roman"/>
        </w:rPr>
        <w:t xml:space="preserve"> </w:t>
      </w:r>
      <w:r>
        <w:rPr>
          <w:rFonts w:ascii="Times New Roman" w:hAnsi="Times New Roman"/>
        </w:rPr>
        <w:t xml:space="preserve">and five of them were ‘blacklisted’ as positively dangerous for journalists and the press, according to Reporters Without Borders’ </w:t>
      </w:r>
      <w:r w:rsidR="000C572D">
        <w:rPr>
          <w:rFonts w:ascii="Times New Roman" w:hAnsi="Times New Roman"/>
        </w:rPr>
        <w:t>press freedom index</w:t>
      </w:r>
      <w:r>
        <w:rPr>
          <w:rFonts w:ascii="Times New Roman" w:hAnsi="Times New Roman"/>
        </w:rPr>
        <w:t>.</w:t>
      </w:r>
      <w:r>
        <w:rPr>
          <w:rStyle w:val="FootnoteReference"/>
          <w:rFonts w:ascii="Times New Roman" w:hAnsi="Times New Roman"/>
        </w:rPr>
        <w:footnoteReference w:id="43"/>
      </w:r>
    </w:p>
    <w:p w14:paraId="6D54F9F4" w14:textId="77777777" w:rsidR="00EE3371" w:rsidRDefault="000F3190" w:rsidP="00B1206F">
      <w:pPr>
        <w:jc w:val="both"/>
        <w:rPr>
          <w:rFonts w:ascii="Times New Roman" w:hAnsi="Times New Roman"/>
        </w:rPr>
      </w:pPr>
      <w:r>
        <w:rPr>
          <w:rFonts w:ascii="Times New Roman" w:hAnsi="Times New Roman"/>
        </w:rPr>
        <w:t xml:space="preserve">Ensuring adequate participation of women remains a problematic issue. </w:t>
      </w:r>
      <w:r w:rsidR="000C572D">
        <w:rPr>
          <w:rFonts w:ascii="Times New Roman" w:hAnsi="Times New Roman"/>
        </w:rPr>
        <w:t>C</w:t>
      </w:r>
      <w:r w:rsidR="00EE3371">
        <w:rPr>
          <w:rFonts w:ascii="Times New Roman" w:hAnsi="Times New Roman"/>
        </w:rPr>
        <w:t xml:space="preserve">ountries in the region </w:t>
      </w:r>
      <w:r w:rsidR="000C572D">
        <w:rPr>
          <w:rFonts w:ascii="Times New Roman" w:hAnsi="Times New Roman"/>
        </w:rPr>
        <w:t xml:space="preserve">have </w:t>
      </w:r>
      <w:r w:rsidR="00EE3371">
        <w:rPr>
          <w:rFonts w:ascii="Times New Roman" w:hAnsi="Times New Roman"/>
        </w:rPr>
        <w:t>adopt</w:t>
      </w:r>
      <w:r w:rsidR="000C572D">
        <w:rPr>
          <w:rFonts w:ascii="Times New Roman" w:hAnsi="Times New Roman"/>
        </w:rPr>
        <w:t>ed</w:t>
      </w:r>
      <w:r w:rsidR="00EE3371">
        <w:rPr>
          <w:rFonts w:ascii="Times New Roman" w:hAnsi="Times New Roman"/>
        </w:rPr>
        <w:t xml:space="preserve"> policies to improve the status of women, including the establishment of </w:t>
      </w:r>
      <w:r w:rsidR="00FD4638">
        <w:rPr>
          <w:rFonts w:ascii="Times New Roman" w:hAnsi="Times New Roman"/>
        </w:rPr>
        <w:t xml:space="preserve">ministries and/or </w:t>
      </w:r>
      <w:r w:rsidR="00EE3371">
        <w:rPr>
          <w:rFonts w:ascii="Times New Roman" w:hAnsi="Times New Roman"/>
        </w:rPr>
        <w:t>higher councils</w:t>
      </w:r>
      <w:r w:rsidR="00565FE7">
        <w:rPr>
          <w:rFonts w:ascii="Times New Roman" w:hAnsi="Times New Roman"/>
        </w:rPr>
        <w:t xml:space="preserve"> </w:t>
      </w:r>
      <w:r w:rsidR="00FD4638">
        <w:rPr>
          <w:rFonts w:ascii="Times New Roman" w:hAnsi="Times New Roman"/>
        </w:rPr>
        <w:t xml:space="preserve">for women </w:t>
      </w:r>
      <w:r w:rsidR="00565FE7">
        <w:rPr>
          <w:rFonts w:ascii="Times New Roman" w:hAnsi="Times New Roman"/>
        </w:rPr>
        <w:t>in a number of countries</w:t>
      </w:r>
      <w:r>
        <w:rPr>
          <w:rFonts w:ascii="Times New Roman" w:hAnsi="Times New Roman"/>
        </w:rPr>
        <w:t>, and n</w:t>
      </w:r>
      <w:r w:rsidR="000C572D">
        <w:rPr>
          <w:rFonts w:ascii="Times New Roman" w:hAnsi="Times New Roman"/>
        </w:rPr>
        <w:t>ational human rights institutions in the region also include women’s rights and their participation as a component of their work.</w:t>
      </w:r>
      <w:r w:rsidR="000C572D">
        <w:rPr>
          <w:rStyle w:val="FootnoteReference"/>
          <w:rFonts w:ascii="Times New Roman" w:hAnsi="Times New Roman"/>
        </w:rPr>
        <w:footnoteReference w:id="44"/>
      </w:r>
      <w:r w:rsidR="000C572D">
        <w:rPr>
          <w:rFonts w:ascii="Times New Roman" w:hAnsi="Times New Roman"/>
        </w:rPr>
        <w:t xml:space="preserve"> Yet traditional values and gender roles </w:t>
      </w:r>
      <w:r>
        <w:rPr>
          <w:rFonts w:ascii="Times New Roman" w:hAnsi="Times New Roman"/>
        </w:rPr>
        <w:t xml:space="preserve">still </w:t>
      </w:r>
      <w:r w:rsidR="000C572D">
        <w:rPr>
          <w:rFonts w:ascii="Times New Roman" w:hAnsi="Times New Roman"/>
        </w:rPr>
        <w:t xml:space="preserve">limit women’s capacity for active participation in public life, </w:t>
      </w:r>
      <w:r>
        <w:rPr>
          <w:rFonts w:ascii="Times New Roman" w:hAnsi="Times New Roman"/>
        </w:rPr>
        <w:t>with a continued</w:t>
      </w:r>
      <w:r w:rsidR="00FD4638">
        <w:rPr>
          <w:rFonts w:ascii="Times New Roman" w:hAnsi="Times New Roman"/>
        </w:rPr>
        <w:t xml:space="preserve"> tendency to include women’s issues </w:t>
      </w:r>
      <w:r>
        <w:rPr>
          <w:rFonts w:ascii="Times New Roman" w:hAnsi="Times New Roman"/>
        </w:rPr>
        <w:t>within</w:t>
      </w:r>
      <w:r w:rsidR="00FD4638">
        <w:rPr>
          <w:rFonts w:ascii="Times New Roman" w:hAnsi="Times New Roman"/>
        </w:rPr>
        <w:t xml:space="preserve"> committees on “women, families and children” as in the case of Iraq for example, or simply </w:t>
      </w:r>
      <w:r w:rsidR="000C572D">
        <w:rPr>
          <w:rFonts w:ascii="Times New Roman" w:hAnsi="Times New Roman"/>
        </w:rPr>
        <w:t xml:space="preserve">committees on </w:t>
      </w:r>
      <w:r w:rsidR="00FD4638">
        <w:rPr>
          <w:rFonts w:ascii="Times New Roman" w:hAnsi="Times New Roman"/>
        </w:rPr>
        <w:t>women and children</w:t>
      </w:r>
      <w:r w:rsidR="000C572D">
        <w:rPr>
          <w:rFonts w:ascii="Times New Roman" w:hAnsi="Times New Roman"/>
        </w:rPr>
        <w:t xml:space="preserve"> as</w:t>
      </w:r>
      <w:r w:rsidR="00FD4638">
        <w:rPr>
          <w:rFonts w:ascii="Times New Roman" w:hAnsi="Times New Roman"/>
        </w:rPr>
        <w:t xml:space="preserve"> in Lebanon and Libya.</w:t>
      </w:r>
      <w:r w:rsidR="00565FE7">
        <w:rPr>
          <w:rFonts w:ascii="Times New Roman" w:hAnsi="Times New Roman"/>
        </w:rPr>
        <w:t xml:space="preserve"> </w:t>
      </w:r>
      <w:r w:rsidR="00FD4638">
        <w:rPr>
          <w:rFonts w:ascii="Times New Roman" w:hAnsi="Times New Roman"/>
        </w:rPr>
        <w:t xml:space="preserve">As of 2015, only Iraq had actually adopted a national strategy for the implementation of U.N. Security Council Resolution 1325 with its relevant component of increasing women’s participation at all levels, although there </w:t>
      </w:r>
      <w:r w:rsidR="000C572D">
        <w:rPr>
          <w:rFonts w:ascii="Times New Roman" w:hAnsi="Times New Roman"/>
        </w:rPr>
        <w:t>are</w:t>
      </w:r>
      <w:r w:rsidR="00FD4638">
        <w:rPr>
          <w:rFonts w:ascii="Times New Roman" w:hAnsi="Times New Roman"/>
        </w:rPr>
        <w:t xml:space="preserve"> draft action plans in several countries in that regard.</w:t>
      </w:r>
      <w:r w:rsidR="00FD4638">
        <w:rPr>
          <w:rStyle w:val="FootnoteReference"/>
          <w:rFonts w:ascii="Times New Roman" w:hAnsi="Times New Roman"/>
        </w:rPr>
        <w:footnoteReference w:id="45"/>
      </w:r>
    </w:p>
    <w:p w14:paraId="700607DD" w14:textId="77777777" w:rsidR="00EE3371" w:rsidRDefault="00EE3371" w:rsidP="00B1206F">
      <w:pPr>
        <w:jc w:val="both"/>
        <w:rPr>
          <w:rFonts w:ascii="Times New Roman" w:hAnsi="Times New Roman"/>
        </w:rPr>
      </w:pPr>
    </w:p>
    <w:p w14:paraId="32689DCD" w14:textId="77777777" w:rsidR="00EE3371" w:rsidRPr="00EE3371" w:rsidRDefault="0083269A" w:rsidP="00B1206F">
      <w:pPr>
        <w:jc w:val="both"/>
        <w:rPr>
          <w:rFonts w:ascii="Times New Roman" w:hAnsi="Times New Roman"/>
        </w:rPr>
      </w:pPr>
      <w:r>
        <w:rPr>
          <w:rFonts w:ascii="Times New Roman" w:hAnsi="Times New Roman"/>
        </w:rPr>
        <w:t xml:space="preserve">Some countries have undertaken initiatives to increase the involvement of women in the policy making process. These initiatives include education </w:t>
      </w:r>
      <w:r w:rsidR="00B06108">
        <w:rPr>
          <w:rFonts w:ascii="Times New Roman" w:hAnsi="Times New Roman"/>
        </w:rPr>
        <w:t>and awareness raising</w:t>
      </w:r>
      <w:r>
        <w:rPr>
          <w:rFonts w:ascii="Times New Roman" w:hAnsi="Times New Roman"/>
        </w:rPr>
        <w:t>, trainings</w:t>
      </w:r>
      <w:r w:rsidR="00B06108">
        <w:rPr>
          <w:rFonts w:ascii="Times New Roman" w:hAnsi="Times New Roman"/>
        </w:rPr>
        <w:t xml:space="preserve"> and capacity building programs</w:t>
      </w:r>
      <w:r>
        <w:rPr>
          <w:rFonts w:ascii="Times New Roman" w:hAnsi="Times New Roman"/>
        </w:rPr>
        <w:t xml:space="preserve"> and provision of resources to support specific under-represented groups in the political and policy making processes.</w:t>
      </w:r>
      <w:r>
        <w:rPr>
          <w:rStyle w:val="FootnoteReference"/>
          <w:rFonts w:ascii="Times New Roman" w:hAnsi="Times New Roman"/>
        </w:rPr>
        <w:footnoteReference w:id="46"/>
      </w:r>
    </w:p>
    <w:p w14:paraId="727A8654" w14:textId="77777777" w:rsidR="00EE3371" w:rsidRPr="00EE3371" w:rsidRDefault="00EE3371" w:rsidP="00F1054E">
      <w:pPr>
        <w:rPr>
          <w:rFonts w:ascii="Times New Roman" w:hAnsi="Times New Roman"/>
          <w:i/>
          <w:iCs/>
        </w:rPr>
      </w:pPr>
    </w:p>
    <w:p w14:paraId="618041F2" w14:textId="77777777" w:rsidR="003E202B" w:rsidRPr="008359B7" w:rsidRDefault="008359B7" w:rsidP="00313D15">
      <w:pPr>
        <w:outlineLvl w:val="0"/>
        <w:rPr>
          <w:rFonts w:ascii="Times New Roman" w:hAnsi="Times New Roman"/>
          <w:b/>
          <w:bCs/>
          <w:i/>
          <w:iCs/>
        </w:rPr>
      </w:pPr>
      <w:r w:rsidRPr="008359B7">
        <w:rPr>
          <w:rFonts w:ascii="Times New Roman" w:hAnsi="Times New Roman"/>
          <w:b/>
          <w:bCs/>
          <w:i/>
          <w:iCs/>
        </w:rPr>
        <w:t xml:space="preserve">The potential of </w:t>
      </w:r>
      <w:r w:rsidR="001904A2">
        <w:rPr>
          <w:rFonts w:ascii="Times New Roman" w:hAnsi="Times New Roman"/>
          <w:b/>
          <w:bCs/>
          <w:i/>
          <w:iCs/>
        </w:rPr>
        <w:t>technology to increase participation</w:t>
      </w:r>
    </w:p>
    <w:p w14:paraId="106EBD74" w14:textId="77777777" w:rsidR="004A6947" w:rsidRDefault="004A6947" w:rsidP="00B1206F">
      <w:pPr>
        <w:jc w:val="both"/>
        <w:rPr>
          <w:rFonts w:ascii="Times New Roman" w:hAnsi="Times New Roman"/>
          <w:i/>
          <w:iCs/>
        </w:rPr>
      </w:pPr>
    </w:p>
    <w:p w14:paraId="0366CB22" w14:textId="77777777" w:rsidR="00B90BC7" w:rsidRDefault="008359B7" w:rsidP="00B1206F">
      <w:pPr>
        <w:jc w:val="both"/>
        <w:rPr>
          <w:rFonts w:asciiTheme="majorBidi" w:hAnsiTheme="majorBidi" w:cstheme="majorBidi"/>
          <w:color w:val="000000"/>
        </w:rPr>
      </w:pPr>
      <w:r w:rsidRPr="0027324D">
        <w:rPr>
          <w:rFonts w:asciiTheme="majorBidi" w:hAnsiTheme="majorBidi" w:cstheme="majorBidi"/>
          <w:color w:val="000000"/>
        </w:rPr>
        <w:t xml:space="preserve">The growth of </w:t>
      </w:r>
      <w:r w:rsidR="00D640A7">
        <w:rPr>
          <w:rFonts w:asciiTheme="majorBidi" w:hAnsiTheme="majorBidi" w:cstheme="majorBidi"/>
          <w:color w:val="000000"/>
        </w:rPr>
        <w:t xml:space="preserve">Internet and </w:t>
      </w:r>
      <w:r w:rsidRPr="0027324D">
        <w:rPr>
          <w:rFonts w:asciiTheme="majorBidi" w:hAnsiTheme="majorBidi" w:cstheme="majorBidi"/>
          <w:color w:val="000000"/>
        </w:rPr>
        <w:t>social media platforms offers great potential for government engagement with citizens</w:t>
      </w:r>
      <w:r w:rsidR="00D640A7">
        <w:rPr>
          <w:rFonts w:asciiTheme="majorBidi" w:hAnsiTheme="majorBidi" w:cstheme="majorBidi"/>
          <w:color w:val="000000"/>
        </w:rPr>
        <w:t>,</w:t>
      </w:r>
      <w:r w:rsidRPr="0027324D">
        <w:rPr>
          <w:rFonts w:asciiTheme="majorBidi" w:hAnsiTheme="majorBidi" w:cstheme="majorBidi"/>
          <w:color w:val="000000"/>
        </w:rPr>
        <w:t xml:space="preserve"> offering</w:t>
      </w:r>
      <w:r w:rsidR="000F3190">
        <w:rPr>
          <w:rFonts w:asciiTheme="majorBidi" w:hAnsiTheme="majorBidi" w:cstheme="majorBidi"/>
          <w:color w:val="000000"/>
        </w:rPr>
        <w:t xml:space="preserve"> </w:t>
      </w:r>
      <w:r w:rsidRPr="0027324D">
        <w:rPr>
          <w:rFonts w:asciiTheme="majorBidi" w:hAnsiTheme="majorBidi" w:cstheme="majorBidi"/>
          <w:color w:val="000000"/>
        </w:rPr>
        <w:t xml:space="preserve">a two-way dialogue that can </w:t>
      </w:r>
      <w:r w:rsidR="0027324D" w:rsidRPr="0027324D">
        <w:rPr>
          <w:rFonts w:asciiTheme="majorBidi" w:hAnsiTheme="majorBidi" w:cstheme="majorBidi"/>
          <w:color w:val="000000"/>
        </w:rPr>
        <w:t>enhance</w:t>
      </w:r>
      <w:r w:rsidRPr="0027324D">
        <w:rPr>
          <w:rFonts w:asciiTheme="majorBidi" w:hAnsiTheme="majorBidi" w:cstheme="majorBidi"/>
          <w:color w:val="000000"/>
        </w:rPr>
        <w:t xml:space="preserve"> governmental understanding of citizen </w:t>
      </w:r>
      <w:r w:rsidR="0027324D" w:rsidRPr="0027324D">
        <w:rPr>
          <w:rFonts w:asciiTheme="majorBidi" w:hAnsiTheme="majorBidi" w:cstheme="majorBidi"/>
          <w:color w:val="000000"/>
        </w:rPr>
        <w:t>needs, “</w:t>
      </w:r>
      <w:r w:rsidR="004A6947" w:rsidRPr="0027324D">
        <w:rPr>
          <w:rFonts w:asciiTheme="majorBidi" w:hAnsiTheme="majorBidi" w:cstheme="majorBidi"/>
          <w:color w:val="000000"/>
        </w:rPr>
        <w:t>improve policymaking and regulatory reform, and create opportunities for better e</w:t>
      </w:r>
      <w:r w:rsidR="0027324D" w:rsidRPr="0027324D">
        <w:rPr>
          <w:rFonts w:asciiTheme="majorBidi" w:hAnsiTheme="majorBidi" w:cstheme="majorBidi"/>
          <w:color w:val="000000"/>
        </w:rPr>
        <w:t>ngagement by and with citizens</w:t>
      </w:r>
      <w:r w:rsidR="00484147">
        <w:rPr>
          <w:rFonts w:asciiTheme="majorBidi" w:hAnsiTheme="majorBidi" w:cstheme="majorBidi"/>
          <w:color w:val="000000"/>
        </w:rPr>
        <w:t>”</w:t>
      </w:r>
      <w:r w:rsidR="0027324D" w:rsidRPr="0027324D">
        <w:rPr>
          <w:rFonts w:asciiTheme="majorBidi" w:hAnsiTheme="majorBidi" w:cstheme="majorBidi"/>
          <w:color w:val="000000"/>
        </w:rPr>
        <w:t>.</w:t>
      </w:r>
      <w:r w:rsidR="0027324D" w:rsidRPr="0027324D">
        <w:rPr>
          <w:rStyle w:val="FootnoteReference"/>
          <w:rFonts w:asciiTheme="majorBidi" w:hAnsiTheme="majorBidi" w:cstheme="majorBidi"/>
        </w:rPr>
        <w:t xml:space="preserve"> </w:t>
      </w:r>
      <w:r w:rsidR="0027324D" w:rsidRPr="0027324D">
        <w:rPr>
          <w:rStyle w:val="FootnoteReference"/>
          <w:rFonts w:asciiTheme="majorBidi" w:hAnsiTheme="majorBidi" w:cstheme="majorBidi"/>
        </w:rPr>
        <w:footnoteReference w:id="47"/>
      </w:r>
      <w:r w:rsidR="00D640A7">
        <w:rPr>
          <w:rFonts w:asciiTheme="majorBidi" w:hAnsiTheme="majorBidi" w:cstheme="majorBidi"/>
          <w:color w:val="000000"/>
        </w:rPr>
        <w:t xml:space="preserve"> </w:t>
      </w:r>
      <w:r w:rsidR="00B90BC7">
        <w:rPr>
          <w:rFonts w:asciiTheme="majorBidi" w:hAnsiTheme="majorBidi" w:cstheme="majorBidi"/>
          <w:color w:val="000000"/>
        </w:rPr>
        <w:t>Such platforms can effectively increase transparency and access to information, and indeed many Arab governments have opened online platforms for such engagement, but most appear to be only platforms to inform citizens of governmental service and programs with little opportunity for direct engagement or participation.</w:t>
      </w:r>
    </w:p>
    <w:p w14:paraId="198B8F7A" w14:textId="77777777" w:rsidR="00B90BC7" w:rsidRDefault="00B90BC7" w:rsidP="00B1206F">
      <w:pPr>
        <w:jc w:val="both"/>
        <w:rPr>
          <w:rFonts w:asciiTheme="majorBidi" w:hAnsiTheme="majorBidi" w:cstheme="majorBidi"/>
          <w:color w:val="000000"/>
        </w:rPr>
      </w:pPr>
    </w:p>
    <w:p w14:paraId="1A0BF0AC" w14:textId="77777777" w:rsidR="00FD7146" w:rsidRDefault="00D640A7" w:rsidP="00B1206F">
      <w:pPr>
        <w:jc w:val="both"/>
        <w:rPr>
          <w:rFonts w:asciiTheme="majorBidi" w:hAnsiTheme="majorBidi" w:cstheme="majorBidi"/>
          <w:color w:val="000000"/>
        </w:rPr>
      </w:pPr>
      <w:r w:rsidRPr="00D640A7">
        <w:rPr>
          <w:rFonts w:asciiTheme="majorBidi" w:hAnsiTheme="majorBidi" w:cstheme="majorBidi"/>
          <w:color w:val="000000"/>
        </w:rPr>
        <w:t>Som</w:t>
      </w:r>
      <w:r w:rsidR="00FD7146">
        <w:rPr>
          <w:rFonts w:asciiTheme="majorBidi" w:hAnsiTheme="majorBidi" w:cstheme="majorBidi"/>
          <w:color w:val="000000"/>
        </w:rPr>
        <w:t>e signs are encouraging</w:t>
      </w:r>
      <w:r>
        <w:rPr>
          <w:rFonts w:asciiTheme="majorBidi" w:hAnsiTheme="majorBidi" w:cstheme="majorBidi"/>
          <w:color w:val="000000"/>
        </w:rPr>
        <w:t>. The United Arab Emirates’ government portal includes pages for adding comments</w:t>
      </w:r>
      <w:r w:rsidR="008B1B3B">
        <w:rPr>
          <w:rFonts w:asciiTheme="majorBidi" w:hAnsiTheme="majorBidi" w:cstheme="majorBidi"/>
          <w:color w:val="000000"/>
        </w:rPr>
        <w:t xml:space="preserve"> and suggestions, opinion polls on various subjects and a discussion forum that, according to the site, has 175 topics.</w:t>
      </w:r>
      <w:r w:rsidR="008B1B3B">
        <w:rPr>
          <w:rStyle w:val="FootnoteReference"/>
          <w:rFonts w:asciiTheme="majorBidi" w:hAnsiTheme="majorBidi" w:cstheme="majorBidi"/>
          <w:color w:val="000000"/>
        </w:rPr>
        <w:footnoteReference w:id="48"/>
      </w:r>
      <w:r w:rsidR="008B1B3B">
        <w:rPr>
          <w:rFonts w:asciiTheme="majorBidi" w:hAnsiTheme="majorBidi" w:cstheme="majorBidi"/>
          <w:color w:val="000000"/>
        </w:rPr>
        <w:t xml:space="preserve"> The Omani portal also has a page titled the </w:t>
      </w:r>
      <w:r w:rsidR="008B1B3B">
        <w:rPr>
          <w:rFonts w:asciiTheme="majorBidi" w:hAnsiTheme="majorBidi" w:cstheme="majorBidi"/>
          <w:i/>
          <w:iCs/>
          <w:color w:val="000000"/>
        </w:rPr>
        <w:t>Shurkum Initiative</w:t>
      </w:r>
      <w:r w:rsidR="008B1B3B">
        <w:rPr>
          <w:rFonts w:asciiTheme="majorBidi" w:hAnsiTheme="majorBidi" w:cstheme="majorBidi"/>
          <w:color w:val="000000"/>
        </w:rPr>
        <w:t xml:space="preserve"> designed as an open discussion forum with periodic polls and access to information possibilities, “to benefit from [citizens’] ideas and suggestions… as appropriate to the needs of society and strategic goals.”</w:t>
      </w:r>
      <w:r w:rsidR="008B1B3B">
        <w:rPr>
          <w:rStyle w:val="FootnoteReference"/>
          <w:rFonts w:asciiTheme="majorBidi" w:hAnsiTheme="majorBidi" w:cstheme="majorBidi"/>
          <w:color w:val="000000"/>
        </w:rPr>
        <w:footnoteReference w:id="49"/>
      </w:r>
      <w:r w:rsidR="00FD7146">
        <w:rPr>
          <w:rFonts w:asciiTheme="majorBidi" w:hAnsiTheme="majorBidi" w:cstheme="majorBidi"/>
          <w:color w:val="000000"/>
        </w:rPr>
        <w:t xml:space="preserve"> Lebanon’s governmental portal includes a link to </w:t>
      </w:r>
      <w:r w:rsidR="00484147">
        <w:rPr>
          <w:rFonts w:asciiTheme="majorBidi" w:hAnsiTheme="majorBidi" w:cstheme="majorBidi"/>
          <w:color w:val="000000"/>
        </w:rPr>
        <w:t>e</w:t>
      </w:r>
      <w:r w:rsidR="00FD7146">
        <w:rPr>
          <w:rFonts w:asciiTheme="majorBidi" w:hAnsiTheme="majorBidi" w:cstheme="majorBidi"/>
          <w:color w:val="000000"/>
        </w:rPr>
        <w:t>-</w:t>
      </w:r>
      <w:r w:rsidR="00484147">
        <w:rPr>
          <w:rFonts w:asciiTheme="majorBidi" w:hAnsiTheme="majorBidi" w:cstheme="majorBidi"/>
          <w:color w:val="000000"/>
        </w:rPr>
        <w:t>p</w:t>
      </w:r>
      <w:r w:rsidR="00FD7146">
        <w:rPr>
          <w:rFonts w:asciiTheme="majorBidi" w:hAnsiTheme="majorBidi" w:cstheme="majorBidi"/>
          <w:color w:val="000000"/>
        </w:rPr>
        <w:t xml:space="preserve">articipation and to e-services, </w:t>
      </w:r>
      <w:r w:rsidR="000263F8">
        <w:rPr>
          <w:rFonts w:asciiTheme="majorBidi" w:hAnsiTheme="majorBidi" w:cstheme="majorBidi"/>
          <w:color w:val="000000"/>
        </w:rPr>
        <w:t xml:space="preserve">including </w:t>
      </w:r>
      <w:r w:rsidR="0014493C">
        <w:rPr>
          <w:rFonts w:asciiTheme="majorBidi" w:hAnsiTheme="majorBidi" w:cstheme="majorBidi"/>
          <w:color w:val="000000"/>
        </w:rPr>
        <w:t xml:space="preserve">online platforms to submit </w:t>
      </w:r>
      <w:r w:rsidR="000263F8">
        <w:rPr>
          <w:rFonts w:asciiTheme="majorBidi" w:hAnsiTheme="majorBidi" w:cstheme="majorBidi"/>
          <w:color w:val="000000"/>
        </w:rPr>
        <w:t>complaints, and notes</w:t>
      </w:r>
      <w:r w:rsidR="00FD7146">
        <w:rPr>
          <w:rFonts w:asciiTheme="majorBidi" w:hAnsiTheme="majorBidi" w:cstheme="majorBidi"/>
          <w:color w:val="000000"/>
        </w:rPr>
        <w:t xml:space="preserve"> a 2013 decision by the Council of Ministers to publish all draft laws on the governmental web sites for 15 days “in order to allow the public to participate” electronically. Efforts to locate such publication, however, have failed.</w:t>
      </w:r>
      <w:r w:rsidR="00FD7146">
        <w:rPr>
          <w:rStyle w:val="FootnoteReference"/>
          <w:rFonts w:asciiTheme="majorBidi" w:hAnsiTheme="majorBidi" w:cstheme="majorBidi"/>
          <w:color w:val="000000"/>
        </w:rPr>
        <w:footnoteReference w:id="50"/>
      </w:r>
      <w:r w:rsidR="00FD7146">
        <w:rPr>
          <w:rFonts w:asciiTheme="majorBidi" w:hAnsiTheme="majorBidi" w:cstheme="majorBidi"/>
          <w:color w:val="000000"/>
        </w:rPr>
        <w:t xml:space="preserve"> </w:t>
      </w:r>
    </w:p>
    <w:p w14:paraId="571CB68C" w14:textId="77777777" w:rsidR="00FD7146" w:rsidRDefault="00FD7146" w:rsidP="00B1206F">
      <w:pPr>
        <w:jc w:val="both"/>
        <w:rPr>
          <w:rFonts w:asciiTheme="majorBidi" w:hAnsiTheme="majorBidi" w:cstheme="majorBidi"/>
          <w:color w:val="000000"/>
        </w:rPr>
      </w:pPr>
    </w:p>
    <w:p w14:paraId="0393FE51" w14:textId="77777777" w:rsidR="00FD7146" w:rsidRPr="008B1B3B" w:rsidRDefault="00FD7146" w:rsidP="00B1206F">
      <w:pPr>
        <w:jc w:val="both"/>
        <w:rPr>
          <w:rFonts w:asciiTheme="majorBidi" w:hAnsiTheme="majorBidi" w:cstheme="majorBidi"/>
          <w:color w:val="000000"/>
        </w:rPr>
      </w:pPr>
      <w:r>
        <w:rPr>
          <w:rFonts w:asciiTheme="majorBidi" w:hAnsiTheme="majorBidi" w:cstheme="majorBidi"/>
          <w:color w:val="000000"/>
        </w:rPr>
        <w:lastRenderedPageBreak/>
        <w:t xml:space="preserve">For many others, the portals seem to be only platforms to inform citizens of policies or to facilitate access to services, but do not include </w:t>
      </w:r>
      <w:r w:rsidR="001904A2">
        <w:rPr>
          <w:rFonts w:asciiTheme="majorBidi" w:hAnsiTheme="majorBidi" w:cstheme="majorBidi"/>
          <w:color w:val="000000"/>
        </w:rPr>
        <w:t>active</w:t>
      </w:r>
      <w:r>
        <w:rPr>
          <w:rFonts w:asciiTheme="majorBidi" w:hAnsiTheme="majorBidi" w:cstheme="majorBidi"/>
          <w:color w:val="000000"/>
        </w:rPr>
        <w:t xml:space="preserve"> participation. </w:t>
      </w:r>
      <w:r w:rsidR="00FA069E">
        <w:rPr>
          <w:rFonts w:asciiTheme="majorBidi" w:hAnsiTheme="majorBidi" w:cstheme="majorBidi"/>
          <w:color w:val="000000"/>
        </w:rPr>
        <w:t xml:space="preserve">Qatar’s </w:t>
      </w:r>
      <w:r w:rsidR="00FA069E" w:rsidRPr="00FA069E">
        <w:rPr>
          <w:rFonts w:asciiTheme="majorBidi" w:hAnsiTheme="majorBidi" w:cstheme="majorBidi"/>
          <w:i/>
          <w:iCs/>
          <w:color w:val="000000"/>
        </w:rPr>
        <w:t>Hukoomi</w:t>
      </w:r>
      <w:r w:rsidR="00FA069E">
        <w:rPr>
          <w:rFonts w:asciiTheme="majorBidi" w:hAnsiTheme="majorBidi" w:cstheme="majorBidi"/>
          <w:color w:val="000000"/>
        </w:rPr>
        <w:t xml:space="preserve"> portal is perhaps the most extensive, with significant access to information potential, but </w:t>
      </w:r>
      <w:r w:rsidR="00B90BC7">
        <w:rPr>
          <w:rFonts w:asciiTheme="majorBidi" w:hAnsiTheme="majorBidi" w:cstheme="majorBidi"/>
          <w:color w:val="000000"/>
        </w:rPr>
        <w:t>appears to be designed</w:t>
      </w:r>
      <w:r w:rsidR="00FA069E">
        <w:rPr>
          <w:rFonts w:asciiTheme="majorBidi" w:hAnsiTheme="majorBidi" w:cstheme="majorBidi"/>
          <w:color w:val="000000"/>
        </w:rPr>
        <w:t xml:space="preserve"> </w:t>
      </w:r>
      <w:r w:rsidR="00B90BC7">
        <w:rPr>
          <w:rFonts w:asciiTheme="majorBidi" w:hAnsiTheme="majorBidi" w:cstheme="majorBidi"/>
          <w:color w:val="000000"/>
        </w:rPr>
        <w:t xml:space="preserve">to digitize </w:t>
      </w:r>
      <w:r w:rsidR="00FA069E">
        <w:rPr>
          <w:rFonts w:asciiTheme="majorBidi" w:hAnsiTheme="majorBidi" w:cstheme="majorBidi"/>
          <w:color w:val="000000"/>
        </w:rPr>
        <w:t xml:space="preserve">users’ </w:t>
      </w:r>
      <w:r w:rsidR="00B90BC7">
        <w:rPr>
          <w:rFonts w:asciiTheme="majorBidi" w:hAnsiTheme="majorBidi" w:cstheme="majorBidi"/>
          <w:color w:val="000000"/>
        </w:rPr>
        <w:t>access to information and</w:t>
      </w:r>
      <w:r w:rsidR="00FA069E">
        <w:rPr>
          <w:rFonts w:asciiTheme="majorBidi" w:hAnsiTheme="majorBidi" w:cstheme="majorBidi"/>
          <w:color w:val="000000"/>
        </w:rPr>
        <w:t xml:space="preserve"> services</w:t>
      </w:r>
      <w:r w:rsidR="00B90BC7">
        <w:rPr>
          <w:rFonts w:asciiTheme="majorBidi" w:hAnsiTheme="majorBidi" w:cstheme="majorBidi"/>
          <w:color w:val="000000"/>
        </w:rPr>
        <w:t xml:space="preserve"> like permits</w:t>
      </w:r>
      <w:r w:rsidR="00FA069E">
        <w:rPr>
          <w:rFonts w:asciiTheme="majorBidi" w:hAnsiTheme="majorBidi" w:cstheme="majorBidi"/>
          <w:color w:val="000000"/>
        </w:rPr>
        <w:t>, with sub-links to particular sectors of society.</w:t>
      </w:r>
      <w:r w:rsidR="00FA069E">
        <w:rPr>
          <w:rStyle w:val="FootnoteReference"/>
          <w:rFonts w:asciiTheme="majorBidi" w:hAnsiTheme="majorBidi" w:cstheme="majorBidi"/>
          <w:color w:val="000000"/>
        </w:rPr>
        <w:footnoteReference w:id="51"/>
      </w:r>
      <w:r w:rsidR="00FA069E">
        <w:rPr>
          <w:rFonts w:asciiTheme="majorBidi" w:hAnsiTheme="majorBidi" w:cstheme="majorBidi"/>
          <w:color w:val="000000"/>
        </w:rPr>
        <w:t xml:space="preserve"> </w:t>
      </w:r>
      <w:r w:rsidR="000263F8">
        <w:rPr>
          <w:rFonts w:asciiTheme="majorBidi" w:hAnsiTheme="majorBidi" w:cstheme="majorBidi"/>
          <w:color w:val="000000"/>
        </w:rPr>
        <w:t>On the Egyptian portal, when clicking on t</w:t>
      </w:r>
      <w:r w:rsidRPr="00FA069E">
        <w:rPr>
          <w:rFonts w:asciiTheme="majorBidi" w:hAnsiTheme="majorBidi" w:cstheme="majorBidi"/>
          <w:color w:val="000000"/>
        </w:rPr>
        <w:t>he</w:t>
      </w:r>
      <w:r>
        <w:rPr>
          <w:rFonts w:asciiTheme="majorBidi" w:hAnsiTheme="majorBidi" w:cstheme="majorBidi"/>
          <w:color w:val="000000"/>
        </w:rPr>
        <w:t xml:space="preserve"> </w:t>
      </w:r>
      <w:r w:rsidR="000263F8">
        <w:rPr>
          <w:rFonts w:asciiTheme="majorBidi" w:hAnsiTheme="majorBidi" w:cstheme="majorBidi"/>
          <w:color w:val="000000"/>
        </w:rPr>
        <w:t>‘citizen complaints and queries’ link (i</w:t>
      </w:r>
      <w:r>
        <w:rPr>
          <w:rFonts w:asciiTheme="majorBidi" w:hAnsiTheme="majorBidi" w:cstheme="majorBidi"/>
          <w:color w:val="000000"/>
        </w:rPr>
        <w:t>n Arabic</w:t>
      </w:r>
      <w:r w:rsidR="000263F8">
        <w:rPr>
          <w:rFonts w:asciiTheme="majorBidi" w:hAnsiTheme="majorBidi" w:cstheme="majorBidi"/>
          <w:color w:val="000000"/>
        </w:rPr>
        <w:t>)</w:t>
      </w:r>
      <w:r>
        <w:rPr>
          <w:rFonts w:asciiTheme="majorBidi" w:hAnsiTheme="majorBidi" w:cstheme="majorBidi"/>
          <w:color w:val="000000"/>
        </w:rPr>
        <w:t xml:space="preserve">, </w:t>
      </w:r>
      <w:r w:rsidR="000263F8">
        <w:rPr>
          <w:rFonts w:asciiTheme="majorBidi" w:hAnsiTheme="majorBidi" w:cstheme="majorBidi"/>
          <w:color w:val="000000"/>
        </w:rPr>
        <w:t>one is surprised to get the message “</w:t>
      </w:r>
      <w:r>
        <w:rPr>
          <w:rFonts w:asciiTheme="majorBidi" w:hAnsiTheme="majorBidi" w:cstheme="majorBidi"/>
          <w:color w:val="000000"/>
        </w:rPr>
        <w:t>content is unavailable in this language.”</w:t>
      </w:r>
      <w:r>
        <w:rPr>
          <w:rStyle w:val="FootnoteReference"/>
          <w:rFonts w:asciiTheme="majorBidi" w:hAnsiTheme="majorBidi" w:cstheme="majorBidi"/>
          <w:color w:val="000000"/>
        </w:rPr>
        <w:footnoteReference w:id="52"/>
      </w:r>
      <w:r w:rsidR="00202257">
        <w:rPr>
          <w:rFonts w:asciiTheme="majorBidi" w:hAnsiTheme="majorBidi" w:cstheme="majorBidi"/>
          <w:color w:val="000000"/>
        </w:rPr>
        <w:t xml:space="preserve"> Bahrain’s portal purports to be an “open data platform</w:t>
      </w:r>
      <w:r w:rsidR="000263F8">
        <w:rPr>
          <w:rFonts w:asciiTheme="majorBidi" w:hAnsiTheme="majorBidi" w:cstheme="majorBidi"/>
          <w:color w:val="000000"/>
        </w:rPr>
        <w:t>,</w:t>
      </w:r>
      <w:r w:rsidR="00202257">
        <w:rPr>
          <w:rFonts w:asciiTheme="majorBidi" w:hAnsiTheme="majorBidi" w:cstheme="majorBidi"/>
          <w:color w:val="000000"/>
        </w:rPr>
        <w:t xml:space="preserve">” </w:t>
      </w:r>
      <w:r w:rsidR="000263F8">
        <w:rPr>
          <w:rFonts w:asciiTheme="majorBidi" w:hAnsiTheme="majorBidi" w:cstheme="majorBidi"/>
          <w:color w:val="000000"/>
        </w:rPr>
        <w:t>which seems</w:t>
      </w:r>
      <w:r w:rsidR="00C6452D">
        <w:rPr>
          <w:rFonts w:asciiTheme="majorBidi" w:hAnsiTheme="majorBidi" w:cstheme="majorBidi"/>
          <w:color w:val="000000"/>
        </w:rPr>
        <w:t xml:space="preserve"> to be</w:t>
      </w:r>
      <w:r w:rsidR="000263F8">
        <w:rPr>
          <w:rFonts w:asciiTheme="majorBidi" w:hAnsiTheme="majorBidi" w:cstheme="majorBidi"/>
          <w:color w:val="000000"/>
        </w:rPr>
        <w:t xml:space="preserve"> </w:t>
      </w:r>
      <w:r w:rsidR="00484147">
        <w:rPr>
          <w:rFonts w:asciiTheme="majorBidi" w:hAnsiTheme="majorBidi" w:cstheme="majorBidi"/>
          <w:color w:val="000000"/>
        </w:rPr>
        <w:t xml:space="preserve">an attempt to </w:t>
      </w:r>
      <w:r w:rsidR="00C6452D">
        <w:rPr>
          <w:rFonts w:asciiTheme="majorBidi" w:hAnsiTheme="majorBidi" w:cstheme="majorBidi"/>
          <w:color w:val="000000"/>
        </w:rPr>
        <w:t>improve</w:t>
      </w:r>
      <w:r w:rsidR="000263F8">
        <w:rPr>
          <w:rFonts w:asciiTheme="majorBidi" w:hAnsiTheme="majorBidi" w:cstheme="majorBidi"/>
          <w:color w:val="000000"/>
        </w:rPr>
        <w:t xml:space="preserve"> access to information, </w:t>
      </w:r>
      <w:r w:rsidR="00C6452D">
        <w:rPr>
          <w:rFonts w:asciiTheme="majorBidi" w:hAnsiTheme="majorBidi" w:cstheme="majorBidi"/>
          <w:color w:val="000000"/>
        </w:rPr>
        <w:t>yet the portal</w:t>
      </w:r>
      <w:r w:rsidR="000263F8">
        <w:rPr>
          <w:rFonts w:asciiTheme="majorBidi" w:hAnsiTheme="majorBidi" w:cstheme="majorBidi"/>
          <w:color w:val="000000"/>
        </w:rPr>
        <w:t xml:space="preserve"> offers only statistical information with </w:t>
      </w:r>
      <w:r w:rsidR="00202257">
        <w:rPr>
          <w:rFonts w:asciiTheme="majorBidi" w:hAnsiTheme="majorBidi" w:cstheme="majorBidi"/>
          <w:color w:val="000000"/>
        </w:rPr>
        <w:t xml:space="preserve">no </w:t>
      </w:r>
      <w:r w:rsidR="000263F8">
        <w:rPr>
          <w:rFonts w:asciiTheme="majorBidi" w:hAnsiTheme="majorBidi" w:cstheme="majorBidi"/>
          <w:color w:val="000000"/>
        </w:rPr>
        <w:t xml:space="preserve">page </w:t>
      </w:r>
      <w:r w:rsidR="00202257">
        <w:rPr>
          <w:rFonts w:asciiTheme="majorBidi" w:hAnsiTheme="majorBidi" w:cstheme="majorBidi"/>
          <w:color w:val="000000"/>
        </w:rPr>
        <w:t>where citizens can discuss or complain about policies.</w:t>
      </w:r>
      <w:r w:rsidR="00202257">
        <w:rPr>
          <w:rStyle w:val="FootnoteReference"/>
          <w:rFonts w:asciiTheme="majorBidi" w:hAnsiTheme="majorBidi" w:cstheme="majorBidi"/>
          <w:color w:val="000000"/>
        </w:rPr>
        <w:footnoteReference w:id="53"/>
      </w:r>
      <w:r w:rsidR="00202257">
        <w:rPr>
          <w:rFonts w:asciiTheme="majorBidi" w:hAnsiTheme="majorBidi" w:cstheme="majorBidi"/>
          <w:color w:val="000000"/>
        </w:rPr>
        <w:t xml:space="preserve"> Kuwait’s government portal also has no possibility of citizens’ engagement except as recipients of information and services, but goes a step further by providing a database of Kuwaiti legislation.</w:t>
      </w:r>
      <w:r w:rsidR="00202257">
        <w:rPr>
          <w:rStyle w:val="FootnoteReference"/>
          <w:rFonts w:asciiTheme="majorBidi" w:hAnsiTheme="majorBidi" w:cstheme="majorBidi"/>
          <w:color w:val="000000"/>
        </w:rPr>
        <w:footnoteReference w:id="54"/>
      </w:r>
    </w:p>
    <w:p w14:paraId="5F901AA7" w14:textId="77777777" w:rsidR="000263F8" w:rsidRDefault="000263F8" w:rsidP="00B1206F">
      <w:pPr>
        <w:jc w:val="both"/>
        <w:rPr>
          <w:rFonts w:asciiTheme="majorBidi" w:hAnsiTheme="majorBidi" w:cstheme="majorBidi"/>
          <w:color w:val="000000"/>
        </w:rPr>
      </w:pPr>
    </w:p>
    <w:p w14:paraId="365B5F78" w14:textId="77777777" w:rsidR="00B90BC7" w:rsidRPr="0027324D" w:rsidRDefault="00B90BC7" w:rsidP="00B1206F">
      <w:pPr>
        <w:jc w:val="both"/>
        <w:rPr>
          <w:rFonts w:asciiTheme="majorBidi" w:hAnsiTheme="majorBidi" w:cstheme="majorBidi"/>
          <w:color w:val="000000"/>
        </w:rPr>
      </w:pPr>
      <w:r>
        <w:rPr>
          <w:rFonts w:asciiTheme="majorBidi" w:hAnsiTheme="majorBidi" w:cstheme="majorBidi"/>
          <w:color w:val="000000"/>
        </w:rPr>
        <w:t>S</w:t>
      </w:r>
      <w:r w:rsidRPr="0027324D">
        <w:rPr>
          <w:rFonts w:asciiTheme="majorBidi" w:hAnsiTheme="majorBidi" w:cstheme="majorBidi"/>
          <w:color w:val="000000"/>
        </w:rPr>
        <w:t xml:space="preserve">everal </w:t>
      </w:r>
      <w:r>
        <w:rPr>
          <w:rFonts w:asciiTheme="majorBidi" w:hAnsiTheme="majorBidi" w:cstheme="majorBidi"/>
          <w:color w:val="000000"/>
        </w:rPr>
        <w:t>H</w:t>
      </w:r>
      <w:r w:rsidRPr="0027324D">
        <w:rPr>
          <w:rFonts w:asciiTheme="majorBidi" w:hAnsiTheme="majorBidi" w:cstheme="majorBidi"/>
          <w:color w:val="000000"/>
        </w:rPr>
        <w:t xml:space="preserve">eads </w:t>
      </w:r>
      <w:r>
        <w:rPr>
          <w:rFonts w:asciiTheme="majorBidi" w:hAnsiTheme="majorBidi" w:cstheme="majorBidi"/>
          <w:color w:val="000000"/>
        </w:rPr>
        <w:t xml:space="preserve">of State </w:t>
      </w:r>
      <w:r w:rsidRPr="0027324D">
        <w:rPr>
          <w:rFonts w:asciiTheme="majorBidi" w:hAnsiTheme="majorBidi" w:cstheme="majorBidi"/>
          <w:color w:val="000000"/>
        </w:rPr>
        <w:t xml:space="preserve">now have Facebook accounts, including the </w:t>
      </w:r>
      <w:r>
        <w:rPr>
          <w:rFonts w:asciiTheme="majorBidi" w:hAnsiTheme="majorBidi" w:cstheme="majorBidi"/>
          <w:color w:val="000000"/>
        </w:rPr>
        <w:t>K</w:t>
      </w:r>
      <w:r w:rsidRPr="0027324D">
        <w:rPr>
          <w:rFonts w:asciiTheme="majorBidi" w:hAnsiTheme="majorBidi" w:cstheme="majorBidi"/>
          <w:color w:val="000000"/>
        </w:rPr>
        <w:t xml:space="preserve">ings of Jordan, Saudi Arabia (KSA), Bahrain, and Morocco, and the </w:t>
      </w:r>
      <w:r>
        <w:rPr>
          <w:rFonts w:asciiTheme="majorBidi" w:hAnsiTheme="majorBidi" w:cstheme="majorBidi"/>
          <w:color w:val="000000"/>
        </w:rPr>
        <w:t>P</w:t>
      </w:r>
      <w:r w:rsidRPr="0027324D">
        <w:rPr>
          <w:rFonts w:asciiTheme="majorBidi" w:hAnsiTheme="majorBidi" w:cstheme="majorBidi"/>
          <w:color w:val="000000"/>
        </w:rPr>
        <w:t>residents of the United Arab Emirates (UAE), Palestine, Syria, Yemen, Egypt, and Lebanon</w:t>
      </w:r>
      <w:r>
        <w:rPr>
          <w:rFonts w:asciiTheme="majorBidi" w:hAnsiTheme="majorBidi" w:cstheme="majorBidi"/>
          <w:color w:val="000000"/>
        </w:rPr>
        <w:t>.</w:t>
      </w:r>
      <w:r w:rsidRPr="0027324D">
        <w:rPr>
          <w:rFonts w:asciiTheme="majorBidi" w:hAnsiTheme="majorBidi" w:cstheme="majorBidi"/>
          <w:color w:val="000000"/>
        </w:rPr>
        <w:t xml:space="preserve">” </w:t>
      </w:r>
      <w:r>
        <w:rPr>
          <w:rFonts w:asciiTheme="majorBidi" w:hAnsiTheme="majorBidi" w:cstheme="majorBidi"/>
          <w:color w:val="000000"/>
        </w:rPr>
        <w:t>Y</w:t>
      </w:r>
      <w:r w:rsidRPr="0027324D">
        <w:rPr>
          <w:rFonts w:asciiTheme="majorBidi" w:hAnsiTheme="majorBidi" w:cstheme="majorBidi"/>
          <w:color w:val="000000"/>
        </w:rPr>
        <w:t xml:space="preserve">et “when it comes to facilitating public contributions to policymaking, examples of Web 2.0 usage in the Middle East – and elsewhere – are </w:t>
      </w:r>
      <w:r>
        <w:rPr>
          <w:rFonts w:asciiTheme="majorBidi" w:hAnsiTheme="majorBidi" w:cstheme="majorBidi"/>
          <w:color w:val="000000"/>
        </w:rPr>
        <w:t>scar</w:t>
      </w:r>
      <w:r w:rsidRPr="0027324D">
        <w:rPr>
          <w:rFonts w:asciiTheme="majorBidi" w:hAnsiTheme="majorBidi" w:cstheme="majorBidi"/>
          <w:color w:val="000000"/>
        </w:rPr>
        <w:t xml:space="preserve">ce.” </w:t>
      </w:r>
      <w:r w:rsidRPr="0027324D">
        <w:rPr>
          <w:rStyle w:val="FootnoteReference"/>
          <w:rFonts w:asciiTheme="majorBidi" w:hAnsiTheme="majorBidi" w:cstheme="majorBidi"/>
          <w:color w:val="000000"/>
        </w:rPr>
        <w:footnoteReference w:id="55"/>
      </w:r>
    </w:p>
    <w:p w14:paraId="6A6A6086" w14:textId="77777777" w:rsidR="00B90BC7" w:rsidRDefault="00B90BC7" w:rsidP="00B1206F">
      <w:pPr>
        <w:jc w:val="both"/>
        <w:rPr>
          <w:rFonts w:asciiTheme="majorBidi" w:hAnsiTheme="majorBidi" w:cstheme="majorBidi"/>
          <w:color w:val="000000"/>
        </w:rPr>
      </w:pPr>
    </w:p>
    <w:p w14:paraId="0E05DE08" w14:textId="77777777" w:rsidR="00C6452D" w:rsidRDefault="00C6452D" w:rsidP="00B1206F">
      <w:pPr>
        <w:jc w:val="both"/>
        <w:rPr>
          <w:rFonts w:asciiTheme="majorBidi" w:hAnsiTheme="majorBidi" w:cstheme="majorBidi"/>
          <w:color w:val="000000"/>
        </w:rPr>
      </w:pPr>
    </w:p>
    <w:p w14:paraId="12239B39" w14:textId="77777777" w:rsidR="0011345C" w:rsidRDefault="0011345C" w:rsidP="00313D15">
      <w:pPr>
        <w:outlineLvl w:val="0"/>
        <w:rPr>
          <w:rFonts w:ascii="Times New Roman" w:hAnsi="Times New Roman"/>
        </w:rPr>
      </w:pPr>
      <w:r>
        <w:rPr>
          <w:rFonts w:ascii="Times New Roman" w:hAnsi="Times New Roman"/>
          <w:b/>
          <w:bCs/>
          <w:u w:val="single"/>
        </w:rPr>
        <w:t>The Arab regional framework</w:t>
      </w:r>
      <w:r w:rsidR="00D42987">
        <w:rPr>
          <w:rFonts w:ascii="Times New Roman" w:hAnsi="Times New Roman"/>
          <w:b/>
          <w:bCs/>
          <w:u w:val="single"/>
        </w:rPr>
        <w:t xml:space="preserve"> on participation</w:t>
      </w:r>
    </w:p>
    <w:p w14:paraId="7B0683AA" w14:textId="77777777" w:rsidR="0011345C" w:rsidRDefault="0011345C" w:rsidP="00BC6323">
      <w:pPr>
        <w:rPr>
          <w:rFonts w:ascii="Times New Roman" w:hAnsi="Times New Roman"/>
        </w:rPr>
      </w:pPr>
    </w:p>
    <w:p w14:paraId="43F6062C" w14:textId="77777777" w:rsidR="00862EF5" w:rsidRPr="00862EF5" w:rsidRDefault="00862EF5" w:rsidP="00313D15">
      <w:pPr>
        <w:outlineLvl w:val="0"/>
        <w:rPr>
          <w:rFonts w:ascii="Times New Roman" w:hAnsi="Times New Roman"/>
          <w:b/>
          <w:bCs/>
          <w:i/>
          <w:iCs/>
        </w:rPr>
      </w:pPr>
      <w:r w:rsidRPr="00862EF5">
        <w:rPr>
          <w:rFonts w:ascii="Times New Roman" w:hAnsi="Times New Roman"/>
          <w:b/>
          <w:bCs/>
          <w:i/>
          <w:iCs/>
        </w:rPr>
        <w:t>League of Arab States</w:t>
      </w:r>
    </w:p>
    <w:p w14:paraId="505791BC" w14:textId="77777777" w:rsidR="00862EF5" w:rsidRPr="00862EF5" w:rsidRDefault="00862EF5" w:rsidP="00B1206F">
      <w:pPr>
        <w:jc w:val="both"/>
        <w:rPr>
          <w:rFonts w:ascii="Times New Roman" w:hAnsi="Times New Roman"/>
          <w:i/>
          <w:iCs/>
        </w:rPr>
      </w:pPr>
    </w:p>
    <w:p w14:paraId="4A7ECBA3" w14:textId="77777777" w:rsidR="001704DB" w:rsidRDefault="00E37D3B" w:rsidP="00B1206F">
      <w:pPr>
        <w:jc w:val="both"/>
        <w:rPr>
          <w:rFonts w:ascii="Times New Roman" w:hAnsi="Times New Roman"/>
        </w:rPr>
      </w:pPr>
      <w:r w:rsidRPr="00300725">
        <w:rPr>
          <w:rFonts w:ascii="Times New Roman" w:hAnsi="Times New Roman"/>
        </w:rPr>
        <w:t>The most prominent of the Arab regional institutions is the League of Arab States</w:t>
      </w:r>
      <w:r w:rsidR="0008343C" w:rsidRPr="00300725">
        <w:rPr>
          <w:rFonts w:ascii="Times New Roman" w:hAnsi="Times New Roman"/>
        </w:rPr>
        <w:t xml:space="preserve"> (LAS)</w:t>
      </w:r>
      <w:r w:rsidRPr="008342BE">
        <w:rPr>
          <w:rFonts w:ascii="Times New Roman" w:hAnsi="Times New Roman"/>
        </w:rPr>
        <w:t xml:space="preserve">, </w:t>
      </w:r>
      <w:r w:rsidR="002D4994" w:rsidRPr="008342BE">
        <w:rPr>
          <w:rFonts w:ascii="Times New Roman" w:hAnsi="Times New Roman"/>
        </w:rPr>
        <w:t>the oldest of the regiona</w:t>
      </w:r>
      <w:r w:rsidR="0008343C" w:rsidRPr="008342BE">
        <w:rPr>
          <w:rFonts w:ascii="Times New Roman" w:hAnsi="Times New Roman"/>
        </w:rPr>
        <w:t xml:space="preserve">l bodies. </w:t>
      </w:r>
      <w:r w:rsidR="007B3E4C" w:rsidRPr="008342BE">
        <w:rPr>
          <w:rFonts w:ascii="Times New Roman" w:hAnsi="Times New Roman"/>
        </w:rPr>
        <w:t>Its effectiveness</w:t>
      </w:r>
      <w:r w:rsidR="0008343C" w:rsidRPr="008342BE">
        <w:rPr>
          <w:rFonts w:ascii="Times New Roman" w:hAnsi="Times New Roman"/>
        </w:rPr>
        <w:t xml:space="preserve"> as a cooperati</w:t>
      </w:r>
      <w:r w:rsidR="000263F8" w:rsidRPr="008342BE">
        <w:rPr>
          <w:rFonts w:ascii="Times New Roman" w:hAnsi="Times New Roman"/>
        </w:rPr>
        <w:t xml:space="preserve">ve body of states </w:t>
      </w:r>
      <w:r w:rsidR="007B3E4C" w:rsidRPr="008342BE">
        <w:rPr>
          <w:rFonts w:ascii="Times New Roman" w:hAnsi="Times New Roman"/>
        </w:rPr>
        <w:t>is limited in so far as</w:t>
      </w:r>
      <w:r w:rsidR="0008343C" w:rsidRPr="008342BE">
        <w:rPr>
          <w:rFonts w:ascii="Times New Roman" w:hAnsi="Times New Roman"/>
        </w:rPr>
        <w:t xml:space="preserve"> its binding decisions </w:t>
      </w:r>
      <w:r w:rsidR="00EA6D4C" w:rsidRPr="008342BE">
        <w:rPr>
          <w:rFonts w:ascii="Times New Roman" w:hAnsi="Times New Roman"/>
        </w:rPr>
        <w:t>can only</w:t>
      </w:r>
      <w:r w:rsidR="0008343C" w:rsidRPr="008342BE">
        <w:rPr>
          <w:rFonts w:ascii="Times New Roman" w:hAnsi="Times New Roman"/>
        </w:rPr>
        <w:t xml:space="preserve"> be taken by full consensus</w:t>
      </w:r>
      <w:r w:rsidR="006E3D7F" w:rsidRPr="008342BE">
        <w:rPr>
          <w:rFonts w:ascii="Times New Roman" w:hAnsi="Times New Roman"/>
        </w:rPr>
        <w:t xml:space="preserve">. </w:t>
      </w:r>
      <w:r w:rsidR="007B3E4C" w:rsidRPr="008342BE">
        <w:rPr>
          <w:rFonts w:ascii="Times New Roman" w:hAnsi="Times New Roman"/>
        </w:rPr>
        <w:t>Even</w:t>
      </w:r>
      <w:r w:rsidR="00B61580" w:rsidRPr="008342BE">
        <w:rPr>
          <w:rFonts w:ascii="Times New Roman" w:hAnsi="Times New Roman"/>
        </w:rPr>
        <w:t xml:space="preserve"> more difficult and inconsistent has been the </w:t>
      </w:r>
      <w:r w:rsidR="0008343C" w:rsidRPr="008342BE">
        <w:rPr>
          <w:rFonts w:ascii="Times New Roman" w:hAnsi="Times New Roman"/>
        </w:rPr>
        <w:t>implement</w:t>
      </w:r>
      <w:r w:rsidR="006E3D7F" w:rsidRPr="008342BE">
        <w:rPr>
          <w:rFonts w:ascii="Times New Roman" w:hAnsi="Times New Roman"/>
        </w:rPr>
        <w:t>ation</w:t>
      </w:r>
      <w:r w:rsidR="0008343C" w:rsidRPr="008342BE">
        <w:rPr>
          <w:rFonts w:ascii="Times New Roman" w:hAnsi="Times New Roman"/>
        </w:rPr>
        <w:t xml:space="preserve"> </w:t>
      </w:r>
      <w:r w:rsidR="00B61580" w:rsidRPr="008342BE">
        <w:rPr>
          <w:rFonts w:ascii="Times New Roman" w:hAnsi="Times New Roman"/>
        </w:rPr>
        <w:t xml:space="preserve">of its decisions </w:t>
      </w:r>
      <w:r w:rsidR="0008343C" w:rsidRPr="008342BE">
        <w:rPr>
          <w:rFonts w:ascii="Times New Roman" w:hAnsi="Times New Roman"/>
        </w:rPr>
        <w:t xml:space="preserve">by individual </w:t>
      </w:r>
      <w:r w:rsidR="007B3E4C" w:rsidRPr="008342BE">
        <w:rPr>
          <w:rFonts w:ascii="Times New Roman" w:hAnsi="Times New Roman"/>
        </w:rPr>
        <w:t>M</w:t>
      </w:r>
      <w:r w:rsidR="006E3D7F" w:rsidRPr="008342BE">
        <w:rPr>
          <w:rFonts w:ascii="Times New Roman" w:hAnsi="Times New Roman"/>
        </w:rPr>
        <w:t xml:space="preserve">ember </w:t>
      </w:r>
      <w:r w:rsidR="007B3E4C" w:rsidRPr="008342BE">
        <w:rPr>
          <w:rFonts w:ascii="Times New Roman" w:hAnsi="Times New Roman"/>
        </w:rPr>
        <w:t>S</w:t>
      </w:r>
      <w:r w:rsidR="0008343C" w:rsidRPr="008342BE">
        <w:rPr>
          <w:rFonts w:ascii="Times New Roman" w:hAnsi="Times New Roman"/>
        </w:rPr>
        <w:t xml:space="preserve">tates. </w:t>
      </w:r>
      <w:r w:rsidR="00EA6D4C" w:rsidRPr="008342BE">
        <w:rPr>
          <w:rFonts w:ascii="Times New Roman" w:hAnsi="Times New Roman"/>
        </w:rPr>
        <w:t xml:space="preserve">Historically, the LAS had </w:t>
      </w:r>
      <w:r w:rsidR="007B3E4C" w:rsidRPr="008342BE">
        <w:rPr>
          <w:rFonts w:ascii="Times New Roman" w:hAnsi="Times New Roman"/>
        </w:rPr>
        <w:t xml:space="preserve">provided </w:t>
      </w:r>
      <w:r w:rsidR="001904A2" w:rsidRPr="008342BE">
        <w:rPr>
          <w:rFonts w:ascii="Times New Roman" w:hAnsi="Times New Roman"/>
        </w:rPr>
        <w:t>limited</w:t>
      </w:r>
      <w:r w:rsidR="007B3E4C" w:rsidRPr="008342BE">
        <w:rPr>
          <w:rFonts w:ascii="Times New Roman" w:hAnsi="Times New Roman"/>
        </w:rPr>
        <w:t xml:space="preserve"> space for participatory decision-making</w:t>
      </w:r>
      <w:r w:rsidR="00EA6D4C" w:rsidRPr="008342BE">
        <w:rPr>
          <w:rFonts w:ascii="Times New Roman" w:hAnsi="Times New Roman"/>
        </w:rPr>
        <w:t>, but in the middle of the last decade, growing recognition of the contribution of civil society to</w:t>
      </w:r>
      <w:r w:rsidR="00B61580" w:rsidRPr="008342BE">
        <w:rPr>
          <w:rFonts w:ascii="Times New Roman" w:hAnsi="Times New Roman"/>
        </w:rPr>
        <w:t xml:space="preserve"> the achievement of sustainable development in the region, and consequently to</w:t>
      </w:r>
      <w:r w:rsidR="00EA6D4C" w:rsidRPr="008342BE">
        <w:rPr>
          <w:rFonts w:ascii="Times New Roman" w:hAnsi="Times New Roman"/>
        </w:rPr>
        <w:t xml:space="preserve"> its </w:t>
      </w:r>
      <w:r w:rsidR="00B61580" w:rsidRPr="008342BE">
        <w:rPr>
          <w:rFonts w:ascii="Times New Roman" w:hAnsi="Times New Roman"/>
        </w:rPr>
        <w:t xml:space="preserve">own </w:t>
      </w:r>
      <w:r w:rsidR="00EA6D4C" w:rsidRPr="008342BE">
        <w:rPr>
          <w:rFonts w:ascii="Times New Roman" w:hAnsi="Times New Roman"/>
        </w:rPr>
        <w:t>deliberations</w:t>
      </w:r>
      <w:r w:rsidR="00B61580" w:rsidRPr="008342BE">
        <w:rPr>
          <w:rFonts w:ascii="Times New Roman" w:hAnsi="Times New Roman"/>
        </w:rPr>
        <w:t>,</w:t>
      </w:r>
      <w:r w:rsidR="00EA6D4C" w:rsidRPr="008342BE">
        <w:rPr>
          <w:rFonts w:ascii="Times New Roman" w:hAnsi="Times New Roman"/>
        </w:rPr>
        <w:t xml:space="preserve"> prompted some changes.</w:t>
      </w:r>
      <w:r w:rsidR="00EA6D4C">
        <w:rPr>
          <w:rFonts w:ascii="Times New Roman" w:hAnsi="Times New Roman"/>
        </w:rPr>
        <w:t xml:space="preserve"> </w:t>
      </w:r>
    </w:p>
    <w:p w14:paraId="7D570D18" w14:textId="77777777" w:rsidR="00B61580" w:rsidRDefault="00B61580" w:rsidP="00B1206F">
      <w:pPr>
        <w:jc w:val="both"/>
        <w:rPr>
          <w:rFonts w:ascii="Times New Roman" w:hAnsi="Times New Roman"/>
        </w:rPr>
      </w:pPr>
    </w:p>
    <w:p w14:paraId="0F9E4C9B" w14:textId="77777777" w:rsidR="00B61580" w:rsidRDefault="00FA5B69" w:rsidP="00B1206F">
      <w:pPr>
        <w:jc w:val="both"/>
        <w:rPr>
          <w:rFonts w:ascii="Times New Roman" w:hAnsi="Times New Roman"/>
        </w:rPr>
      </w:pPr>
      <w:r>
        <w:rPr>
          <w:rFonts w:ascii="Times New Roman" w:hAnsi="Times New Roman"/>
        </w:rPr>
        <w:t xml:space="preserve">The year 2004 was </w:t>
      </w:r>
      <w:r w:rsidR="00F00B5D">
        <w:rPr>
          <w:rFonts w:ascii="Times New Roman" w:hAnsi="Times New Roman"/>
        </w:rPr>
        <w:t>a significant one for civil society participation in the Arab League. D</w:t>
      </w:r>
      <w:r w:rsidR="00B61580">
        <w:rPr>
          <w:rFonts w:ascii="Times New Roman" w:hAnsi="Times New Roman"/>
        </w:rPr>
        <w:t xml:space="preserve">uring the Arab Summit </w:t>
      </w:r>
      <w:r>
        <w:rPr>
          <w:rFonts w:ascii="Times New Roman" w:hAnsi="Times New Roman"/>
        </w:rPr>
        <w:t xml:space="preserve">on 23 May in Tunis, </w:t>
      </w:r>
      <w:r w:rsidR="00B61580">
        <w:rPr>
          <w:rFonts w:ascii="Times New Roman" w:hAnsi="Times New Roman"/>
        </w:rPr>
        <w:t>the LAS took decision No. 280</w:t>
      </w:r>
      <w:r>
        <w:rPr>
          <w:rFonts w:ascii="Times New Roman" w:hAnsi="Times New Roman"/>
        </w:rPr>
        <w:t xml:space="preserve"> agreeing for the first time to the participation of NGOs and CSOs – </w:t>
      </w:r>
      <w:r w:rsidR="00B41132">
        <w:rPr>
          <w:rFonts w:ascii="Times New Roman" w:hAnsi="Times New Roman"/>
        </w:rPr>
        <w:t xml:space="preserve">only those </w:t>
      </w:r>
      <w:r>
        <w:rPr>
          <w:rFonts w:ascii="Times New Roman" w:hAnsi="Times New Roman"/>
        </w:rPr>
        <w:t xml:space="preserve">recognized by </w:t>
      </w:r>
      <w:r w:rsidR="00B41132">
        <w:rPr>
          <w:rFonts w:ascii="Times New Roman" w:hAnsi="Times New Roman"/>
        </w:rPr>
        <w:t>its M</w:t>
      </w:r>
      <w:r>
        <w:rPr>
          <w:rFonts w:ascii="Times New Roman" w:hAnsi="Times New Roman"/>
        </w:rPr>
        <w:t xml:space="preserve">ember </w:t>
      </w:r>
      <w:r w:rsidR="00B41132">
        <w:rPr>
          <w:rFonts w:ascii="Times New Roman" w:hAnsi="Times New Roman"/>
        </w:rPr>
        <w:t>S</w:t>
      </w:r>
      <w:r>
        <w:rPr>
          <w:rFonts w:ascii="Times New Roman" w:hAnsi="Times New Roman"/>
        </w:rPr>
        <w:t xml:space="preserve">tates– as observers in the meetings of the League and its </w:t>
      </w:r>
      <w:r w:rsidR="00B41132">
        <w:rPr>
          <w:rFonts w:ascii="Times New Roman" w:hAnsi="Times New Roman"/>
        </w:rPr>
        <w:t>C</w:t>
      </w:r>
      <w:r>
        <w:rPr>
          <w:rFonts w:ascii="Times New Roman" w:hAnsi="Times New Roman"/>
        </w:rPr>
        <w:t>ommittees, “on invitation of the Secretariat and in accordance with the criteria established by the Council [of ministers] and the Secretary General.”</w:t>
      </w:r>
      <w:r>
        <w:rPr>
          <w:rStyle w:val="FootnoteReference"/>
          <w:rFonts w:ascii="Times New Roman" w:hAnsi="Times New Roman"/>
        </w:rPr>
        <w:footnoteReference w:id="56"/>
      </w:r>
      <w:r>
        <w:rPr>
          <w:rFonts w:ascii="Times New Roman" w:hAnsi="Times New Roman"/>
        </w:rPr>
        <w:t xml:space="preserve"> The criteria for acquiring observer status were put in place by the League’s Economic and Social Council on 6 January 2005. They include the requirement that NGOs be only regional ones properly </w:t>
      </w:r>
      <w:r w:rsidR="00F00B5D">
        <w:rPr>
          <w:rFonts w:ascii="Times New Roman" w:hAnsi="Times New Roman"/>
        </w:rPr>
        <w:t>registered and working</w:t>
      </w:r>
      <w:r>
        <w:rPr>
          <w:rFonts w:ascii="Times New Roman" w:hAnsi="Times New Roman"/>
        </w:rPr>
        <w:t xml:space="preserve"> in at least three </w:t>
      </w:r>
      <w:r w:rsidR="00B41132">
        <w:rPr>
          <w:rFonts w:ascii="Times New Roman" w:hAnsi="Times New Roman"/>
        </w:rPr>
        <w:t>M</w:t>
      </w:r>
      <w:r>
        <w:rPr>
          <w:rFonts w:ascii="Times New Roman" w:hAnsi="Times New Roman"/>
        </w:rPr>
        <w:t xml:space="preserve">ember </w:t>
      </w:r>
      <w:r w:rsidR="00B41132">
        <w:rPr>
          <w:rFonts w:ascii="Times New Roman" w:hAnsi="Times New Roman"/>
        </w:rPr>
        <w:t>S</w:t>
      </w:r>
      <w:r>
        <w:rPr>
          <w:rFonts w:ascii="Times New Roman" w:hAnsi="Times New Roman"/>
        </w:rPr>
        <w:t>tates</w:t>
      </w:r>
      <w:r w:rsidR="00C6452D">
        <w:rPr>
          <w:rFonts w:ascii="Times New Roman" w:hAnsi="Times New Roman"/>
        </w:rPr>
        <w:t xml:space="preserve">; </w:t>
      </w:r>
      <w:r>
        <w:rPr>
          <w:rFonts w:ascii="Times New Roman" w:hAnsi="Times New Roman"/>
        </w:rPr>
        <w:t>that their resource</w:t>
      </w:r>
      <w:r w:rsidR="00C6452D">
        <w:rPr>
          <w:rFonts w:ascii="Times New Roman" w:hAnsi="Times New Roman"/>
        </w:rPr>
        <w:t xml:space="preserve"> and funding come</w:t>
      </w:r>
      <w:r>
        <w:rPr>
          <w:rFonts w:ascii="Times New Roman" w:hAnsi="Times New Roman"/>
        </w:rPr>
        <w:t xml:space="preserve"> entirely </w:t>
      </w:r>
      <w:r w:rsidR="00C6452D">
        <w:rPr>
          <w:rFonts w:ascii="Times New Roman" w:hAnsi="Times New Roman"/>
        </w:rPr>
        <w:t>from within</w:t>
      </w:r>
      <w:r>
        <w:rPr>
          <w:rFonts w:ascii="Times New Roman" w:hAnsi="Times New Roman"/>
        </w:rPr>
        <w:t xml:space="preserve"> the region</w:t>
      </w:r>
      <w:r w:rsidR="00F00B5D">
        <w:rPr>
          <w:rFonts w:ascii="Times New Roman" w:hAnsi="Times New Roman"/>
        </w:rPr>
        <w:t xml:space="preserve"> with financial and activity reports submitted to the League very two years</w:t>
      </w:r>
      <w:r>
        <w:rPr>
          <w:rFonts w:ascii="Times New Roman" w:hAnsi="Times New Roman"/>
        </w:rPr>
        <w:t xml:space="preserve">; that their application for observer status be passed through the foreign ministry of their country of </w:t>
      </w:r>
      <w:r>
        <w:rPr>
          <w:rFonts w:ascii="Times New Roman" w:hAnsi="Times New Roman"/>
        </w:rPr>
        <w:lastRenderedPageBreak/>
        <w:t>registration</w:t>
      </w:r>
      <w:r w:rsidR="00F00B5D">
        <w:rPr>
          <w:rFonts w:ascii="Times New Roman" w:hAnsi="Times New Roman"/>
        </w:rPr>
        <w:t xml:space="preserve"> and approved by the Council of Ministers. Even when approved, NGOs can only present suggestions to LAS meeting agendas two months ahead of time, if at least one of the </w:t>
      </w:r>
      <w:r w:rsidR="00B41132">
        <w:rPr>
          <w:rFonts w:ascii="Times New Roman" w:hAnsi="Times New Roman"/>
        </w:rPr>
        <w:t>M</w:t>
      </w:r>
      <w:r w:rsidR="00F00B5D">
        <w:rPr>
          <w:rFonts w:ascii="Times New Roman" w:hAnsi="Times New Roman"/>
        </w:rPr>
        <w:t xml:space="preserve">ember </w:t>
      </w:r>
      <w:r w:rsidR="00B41132">
        <w:rPr>
          <w:rFonts w:ascii="Times New Roman" w:hAnsi="Times New Roman"/>
        </w:rPr>
        <w:t>S</w:t>
      </w:r>
      <w:r w:rsidR="00F00B5D">
        <w:rPr>
          <w:rFonts w:ascii="Times New Roman" w:hAnsi="Times New Roman"/>
        </w:rPr>
        <w:t>tates agrees. With such onerous criteria, there are currently only 23 regional NGOs accepted with observer status in a region that ha</w:t>
      </w:r>
      <w:r w:rsidR="00C6452D">
        <w:rPr>
          <w:rFonts w:ascii="Times New Roman" w:hAnsi="Times New Roman"/>
        </w:rPr>
        <w:t xml:space="preserve">s more than </w:t>
      </w:r>
      <w:r w:rsidR="00F00B5D">
        <w:rPr>
          <w:rFonts w:ascii="Times New Roman" w:hAnsi="Times New Roman"/>
        </w:rPr>
        <w:t>400 million people.</w:t>
      </w:r>
      <w:r w:rsidR="00F00B5D">
        <w:rPr>
          <w:rStyle w:val="FootnoteReference"/>
          <w:rFonts w:ascii="Times New Roman" w:hAnsi="Times New Roman"/>
        </w:rPr>
        <w:footnoteReference w:id="57"/>
      </w:r>
    </w:p>
    <w:p w14:paraId="46ED8597" w14:textId="77777777" w:rsidR="000F3249" w:rsidRDefault="000F3249" w:rsidP="00B1206F">
      <w:pPr>
        <w:jc w:val="both"/>
        <w:rPr>
          <w:rFonts w:ascii="Times New Roman" w:hAnsi="Times New Roman"/>
        </w:rPr>
      </w:pPr>
    </w:p>
    <w:p w14:paraId="212ABCF0" w14:textId="77777777" w:rsidR="000D58C4" w:rsidRDefault="0014737C" w:rsidP="00B1206F">
      <w:pPr>
        <w:jc w:val="both"/>
        <w:rPr>
          <w:rFonts w:ascii="Times New Roman" w:hAnsi="Times New Roman"/>
        </w:rPr>
      </w:pPr>
      <w:r>
        <w:rPr>
          <w:rFonts w:ascii="Times New Roman" w:hAnsi="Times New Roman"/>
        </w:rPr>
        <w:t>In early 2016</w:t>
      </w:r>
      <w:r w:rsidR="000F3249">
        <w:rPr>
          <w:rFonts w:ascii="Times New Roman" w:hAnsi="Times New Roman"/>
        </w:rPr>
        <w:t xml:space="preserve">, an Arab Charter on Civil Society Organizations was launched at the Arab League. </w:t>
      </w:r>
      <w:r w:rsidR="000263F8">
        <w:rPr>
          <w:rFonts w:ascii="Times New Roman" w:hAnsi="Times New Roman"/>
        </w:rPr>
        <w:t>The Charter</w:t>
      </w:r>
      <w:r w:rsidR="000F3249">
        <w:rPr>
          <w:rFonts w:ascii="Times New Roman" w:hAnsi="Times New Roman"/>
        </w:rPr>
        <w:t xml:space="preserve"> aims at creating a “favorable environment for Arab civil society organizations to enable them to play a role in development alongside Arab governments.” </w:t>
      </w:r>
      <w:r w:rsidR="000263F8">
        <w:rPr>
          <w:rFonts w:ascii="Times New Roman" w:hAnsi="Times New Roman"/>
        </w:rPr>
        <w:t xml:space="preserve">What’s to be noted in the language of the Charter is that the </w:t>
      </w:r>
      <w:r w:rsidR="000F3249">
        <w:rPr>
          <w:rFonts w:ascii="Times New Roman" w:hAnsi="Times New Roman"/>
        </w:rPr>
        <w:t>role of NGOs</w:t>
      </w:r>
      <w:r w:rsidR="000263F8">
        <w:rPr>
          <w:rFonts w:ascii="Times New Roman" w:hAnsi="Times New Roman"/>
        </w:rPr>
        <w:t xml:space="preserve"> is perceived to be</w:t>
      </w:r>
      <w:r w:rsidR="000F3249">
        <w:rPr>
          <w:rFonts w:ascii="Times New Roman" w:hAnsi="Times New Roman"/>
        </w:rPr>
        <w:t xml:space="preserve"> in development rather than </w:t>
      </w:r>
      <w:r w:rsidR="000263F8">
        <w:rPr>
          <w:rFonts w:ascii="Times New Roman" w:hAnsi="Times New Roman"/>
        </w:rPr>
        <w:t xml:space="preserve">in the </w:t>
      </w:r>
      <w:r w:rsidR="000F3249">
        <w:rPr>
          <w:rFonts w:ascii="Times New Roman" w:hAnsi="Times New Roman"/>
        </w:rPr>
        <w:t xml:space="preserve">political </w:t>
      </w:r>
      <w:r w:rsidR="003654BE">
        <w:rPr>
          <w:rFonts w:ascii="Times New Roman" w:hAnsi="Times New Roman"/>
        </w:rPr>
        <w:t>or human rights arenas.</w:t>
      </w:r>
      <w:r w:rsidR="000F3249">
        <w:rPr>
          <w:rFonts w:ascii="Times New Roman" w:hAnsi="Times New Roman"/>
        </w:rPr>
        <w:t xml:space="preserve"> To date, efforts to acquire a copy of the charter were to no avail.</w:t>
      </w:r>
      <w:r w:rsidR="003654BE">
        <w:rPr>
          <w:rStyle w:val="FootnoteReference"/>
          <w:rFonts w:ascii="Times New Roman" w:hAnsi="Times New Roman"/>
        </w:rPr>
        <w:footnoteReference w:id="58"/>
      </w:r>
    </w:p>
    <w:p w14:paraId="51B37D53" w14:textId="77777777" w:rsidR="001704DB" w:rsidRDefault="00426AF5" w:rsidP="00313D15">
      <w:pPr>
        <w:outlineLvl w:val="0"/>
        <w:rPr>
          <w:rFonts w:ascii="Times New Roman" w:hAnsi="Times New Roman"/>
          <w:b/>
          <w:bCs/>
          <w:i/>
          <w:iCs/>
        </w:rPr>
      </w:pPr>
      <w:r>
        <w:rPr>
          <w:rFonts w:ascii="Times New Roman" w:hAnsi="Times New Roman"/>
          <w:b/>
          <w:bCs/>
          <w:i/>
          <w:iCs/>
        </w:rPr>
        <w:t xml:space="preserve">Participation and </w:t>
      </w:r>
      <w:r w:rsidR="001704DB">
        <w:rPr>
          <w:rFonts w:ascii="Times New Roman" w:hAnsi="Times New Roman"/>
          <w:b/>
          <w:bCs/>
          <w:i/>
          <w:iCs/>
        </w:rPr>
        <w:t>The Arab Charter for Human Rights</w:t>
      </w:r>
    </w:p>
    <w:p w14:paraId="6DDBC439" w14:textId="77777777" w:rsidR="00A92E34" w:rsidRDefault="00A92E34" w:rsidP="00BC6323">
      <w:pPr>
        <w:rPr>
          <w:rFonts w:ascii="Times New Roman" w:hAnsi="Times New Roman"/>
          <w:b/>
          <w:bCs/>
          <w:i/>
          <w:iCs/>
          <w:rtl/>
        </w:rPr>
      </w:pPr>
    </w:p>
    <w:p w14:paraId="2303AE34" w14:textId="77777777" w:rsidR="00DA73CE" w:rsidRDefault="00B61580" w:rsidP="00B1206F">
      <w:pPr>
        <w:jc w:val="both"/>
        <w:rPr>
          <w:rFonts w:ascii="Times New Roman" w:hAnsi="Times New Roman"/>
        </w:rPr>
      </w:pPr>
      <w:r>
        <w:rPr>
          <w:rFonts w:ascii="Times New Roman" w:hAnsi="Times New Roman"/>
        </w:rPr>
        <w:t xml:space="preserve">The LAS </w:t>
      </w:r>
      <w:r w:rsidR="007C4D5B">
        <w:rPr>
          <w:rFonts w:ascii="Times New Roman" w:hAnsi="Times New Roman"/>
        </w:rPr>
        <w:t xml:space="preserve">has its own Permanent Committee for Human Rights and </w:t>
      </w:r>
      <w:r>
        <w:rPr>
          <w:rFonts w:ascii="Times New Roman" w:hAnsi="Times New Roman"/>
        </w:rPr>
        <w:t xml:space="preserve">was also the forum for discussion and </w:t>
      </w:r>
      <w:r w:rsidR="0008343C">
        <w:rPr>
          <w:rFonts w:ascii="Times New Roman" w:hAnsi="Times New Roman"/>
        </w:rPr>
        <w:t>adoption of the Arab C</w:t>
      </w:r>
      <w:r w:rsidR="006E3D7F">
        <w:rPr>
          <w:rFonts w:ascii="Times New Roman" w:hAnsi="Times New Roman"/>
        </w:rPr>
        <w:t>harter for Human Rights in 2004.</w:t>
      </w:r>
      <w:r w:rsidR="006E3D7F">
        <w:rPr>
          <w:rStyle w:val="FootnoteReference"/>
          <w:rFonts w:ascii="Times New Roman" w:hAnsi="Times New Roman"/>
        </w:rPr>
        <w:footnoteReference w:id="59"/>
      </w:r>
      <w:r w:rsidR="004D7462">
        <w:rPr>
          <w:rFonts w:ascii="Times New Roman" w:hAnsi="Times New Roman"/>
        </w:rPr>
        <w:t xml:space="preserve"> The Charter came into force in 2008 and has </w:t>
      </w:r>
      <w:r w:rsidR="000D58C4">
        <w:rPr>
          <w:rFonts w:ascii="Times New Roman" w:hAnsi="Times New Roman"/>
        </w:rPr>
        <w:t>acquired</w:t>
      </w:r>
      <w:r w:rsidR="004D7462">
        <w:rPr>
          <w:rFonts w:ascii="Times New Roman" w:hAnsi="Times New Roman"/>
        </w:rPr>
        <w:t xml:space="preserve"> the ratification of 14 states to date</w:t>
      </w:r>
      <w:r w:rsidR="00DA73CE">
        <w:rPr>
          <w:rFonts w:ascii="Times New Roman" w:hAnsi="Times New Roman"/>
        </w:rPr>
        <w:t>.</w:t>
      </w:r>
      <w:r w:rsidR="00DA73CE">
        <w:rPr>
          <w:rStyle w:val="FootnoteReference"/>
          <w:rFonts w:ascii="Times New Roman" w:hAnsi="Times New Roman"/>
        </w:rPr>
        <w:footnoteReference w:id="60"/>
      </w:r>
      <w:r w:rsidR="007C4D5B">
        <w:rPr>
          <w:rFonts w:ascii="Times New Roman" w:hAnsi="Times New Roman"/>
        </w:rPr>
        <w:t xml:space="preserve"> The Arab Charter includes guarantees of </w:t>
      </w:r>
      <w:r w:rsidR="00DA73CE">
        <w:rPr>
          <w:rFonts w:ascii="Times New Roman" w:hAnsi="Times New Roman"/>
        </w:rPr>
        <w:t>equality and non-discrimination (art. 11) and its article 24 has clear requirements for participation in the conduct of public affairs</w:t>
      </w:r>
      <w:r w:rsidR="000D58C4">
        <w:rPr>
          <w:rFonts w:ascii="Times New Roman" w:hAnsi="Times New Roman"/>
        </w:rPr>
        <w:t xml:space="preserve">. The article </w:t>
      </w:r>
      <w:r w:rsidR="00DA73CE">
        <w:rPr>
          <w:rFonts w:ascii="Times New Roman" w:hAnsi="Times New Roman"/>
        </w:rPr>
        <w:t>first provides a blanket right for every citizen “to freely pursue a political activity” (</w:t>
      </w:r>
      <w:r w:rsidR="007C4D5B">
        <w:rPr>
          <w:rFonts w:ascii="Times New Roman" w:hAnsi="Times New Roman"/>
        </w:rPr>
        <w:t xml:space="preserve">art. </w:t>
      </w:r>
      <w:r w:rsidR="00DA73CE">
        <w:rPr>
          <w:rFonts w:ascii="Times New Roman" w:hAnsi="Times New Roman"/>
        </w:rPr>
        <w:t>24.1); to take part in the conduct of public affairs, directly or through chosen representatives” (</w:t>
      </w:r>
      <w:r w:rsidR="007C4D5B">
        <w:rPr>
          <w:rFonts w:ascii="Times New Roman" w:hAnsi="Times New Roman"/>
        </w:rPr>
        <w:t xml:space="preserve">art. </w:t>
      </w:r>
      <w:r w:rsidR="00DA73CE">
        <w:rPr>
          <w:rFonts w:ascii="Times New Roman" w:hAnsi="Times New Roman"/>
        </w:rPr>
        <w:t xml:space="preserve">24.2) to elect and be elected on conditions of equality “that guarantee the free expression of his </w:t>
      </w:r>
      <w:r w:rsidR="003654BE">
        <w:rPr>
          <w:rFonts w:ascii="Times New Roman" w:hAnsi="Times New Roman"/>
        </w:rPr>
        <w:t>[</w:t>
      </w:r>
      <w:r w:rsidR="003654BE">
        <w:rPr>
          <w:rFonts w:ascii="Times New Roman" w:hAnsi="Times New Roman"/>
          <w:i/>
          <w:iCs/>
        </w:rPr>
        <w:t>sic.</w:t>
      </w:r>
      <w:r w:rsidR="003654BE" w:rsidRPr="0014737C">
        <w:rPr>
          <w:rFonts w:ascii="Times New Roman" w:hAnsi="Times New Roman"/>
        </w:rPr>
        <w:t>]</w:t>
      </w:r>
      <w:r w:rsidR="003654BE">
        <w:rPr>
          <w:rFonts w:ascii="Times New Roman" w:hAnsi="Times New Roman"/>
          <w:i/>
          <w:iCs/>
        </w:rPr>
        <w:t xml:space="preserve"> </w:t>
      </w:r>
      <w:r w:rsidR="00DA73CE">
        <w:rPr>
          <w:rFonts w:ascii="Times New Roman" w:hAnsi="Times New Roman"/>
        </w:rPr>
        <w:t>will” (</w:t>
      </w:r>
      <w:r w:rsidR="007C4D5B">
        <w:rPr>
          <w:rFonts w:ascii="Times New Roman" w:hAnsi="Times New Roman"/>
        </w:rPr>
        <w:t xml:space="preserve">art. </w:t>
      </w:r>
      <w:r w:rsidR="00DA73CE">
        <w:rPr>
          <w:rFonts w:ascii="Times New Roman" w:hAnsi="Times New Roman"/>
        </w:rPr>
        <w:t>24.3); access to public office on equality of opportunity (</w:t>
      </w:r>
      <w:r w:rsidR="007C4D5B">
        <w:rPr>
          <w:rFonts w:ascii="Times New Roman" w:hAnsi="Times New Roman"/>
        </w:rPr>
        <w:t xml:space="preserve">art. </w:t>
      </w:r>
      <w:r w:rsidR="00DA73CE">
        <w:rPr>
          <w:rFonts w:ascii="Times New Roman" w:hAnsi="Times New Roman"/>
        </w:rPr>
        <w:t>24.4); freedom of associations and assembly (</w:t>
      </w:r>
      <w:r w:rsidR="007C4D5B">
        <w:rPr>
          <w:rFonts w:ascii="Times New Roman" w:hAnsi="Times New Roman"/>
        </w:rPr>
        <w:t xml:space="preserve">arts. </w:t>
      </w:r>
      <w:r w:rsidR="00DA73CE">
        <w:rPr>
          <w:rFonts w:ascii="Times New Roman" w:hAnsi="Times New Roman"/>
        </w:rPr>
        <w:t>24.5, 24.6).</w:t>
      </w:r>
    </w:p>
    <w:p w14:paraId="5F3EBF28" w14:textId="77777777" w:rsidR="0008343C" w:rsidRDefault="0008343C" w:rsidP="00B1206F">
      <w:pPr>
        <w:jc w:val="both"/>
        <w:rPr>
          <w:rFonts w:ascii="Times New Roman" w:hAnsi="Times New Roman"/>
        </w:rPr>
      </w:pPr>
    </w:p>
    <w:p w14:paraId="05383934" w14:textId="77777777" w:rsidR="00DA73CE" w:rsidRDefault="00E74A4D" w:rsidP="00B1206F">
      <w:pPr>
        <w:jc w:val="both"/>
        <w:rPr>
          <w:rFonts w:ascii="Times New Roman" w:hAnsi="Times New Roman"/>
        </w:rPr>
      </w:pPr>
      <w:r>
        <w:rPr>
          <w:rFonts w:ascii="Times New Roman" w:hAnsi="Times New Roman"/>
        </w:rPr>
        <w:t>Like its internat</w:t>
      </w:r>
      <w:r w:rsidR="00DB7F11">
        <w:rPr>
          <w:rFonts w:ascii="Times New Roman" w:hAnsi="Times New Roman"/>
        </w:rPr>
        <w:t>ional counterparts, the Charter establishes t</w:t>
      </w:r>
      <w:r>
        <w:rPr>
          <w:rFonts w:ascii="Times New Roman" w:hAnsi="Times New Roman"/>
        </w:rPr>
        <w:t>he Arab Hu</w:t>
      </w:r>
      <w:r w:rsidR="00DB7F11">
        <w:rPr>
          <w:rFonts w:ascii="Times New Roman" w:hAnsi="Times New Roman"/>
        </w:rPr>
        <w:t>man Rights Committee (art. 45) to review and comment on periodic state reports on the implementation of the charter</w:t>
      </w:r>
      <w:r w:rsidR="00691872">
        <w:rPr>
          <w:rFonts w:ascii="Times New Roman" w:hAnsi="Times New Roman"/>
        </w:rPr>
        <w:t>.</w:t>
      </w:r>
      <w:r w:rsidR="00691872">
        <w:rPr>
          <w:rStyle w:val="FootnoteReference"/>
          <w:rFonts w:ascii="Times New Roman" w:hAnsi="Times New Roman"/>
        </w:rPr>
        <w:footnoteReference w:id="61"/>
      </w:r>
      <w:r w:rsidR="00691872">
        <w:rPr>
          <w:rFonts w:ascii="Times New Roman" w:hAnsi="Times New Roman"/>
        </w:rPr>
        <w:t xml:space="preserve"> The Committee in turn reviews and seeks further information then finalizes the process with concluding observations and recommendations. Taking only one example, the Committee made concluding observations to Jordan’s report that relate to the issues of voting districts (para 31); freedom of peaceful assembly (para 32); access to information (para 35); freedoms of opinion, expression and the media and the right to receive and impart information (para 36) and the freedom of association (para 47).</w:t>
      </w:r>
      <w:r w:rsidR="00691872" w:rsidRPr="00691872">
        <w:rPr>
          <w:rStyle w:val="FootnoteReference"/>
          <w:rFonts w:ascii="Times New Roman" w:hAnsi="Times New Roman"/>
        </w:rPr>
        <w:t xml:space="preserve"> </w:t>
      </w:r>
      <w:r w:rsidR="00691872">
        <w:rPr>
          <w:rFonts w:ascii="Times New Roman" w:hAnsi="Times New Roman"/>
        </w:rPr>
        <w:t>The reports and concluding observations for eight of the 14 states parties that have undergone the process to date are openly accessible on the LAS portal.</w:t>
      </w:r>
      <w:r w:rsidR="00691872">
        <w:rPr>
          <w:rStyle w:val="FootnoteReference"/>
          <w:rFonts w:ascii="Times New Roman" w:hAnsi="Times New Roman"/>
        </w:rPr>
        <w:footnoteReference w:id="62"/>
      </w:r>
    </w:p>
    <w:p w14:paraId="58F720EF" w14:textId="77777777" w:rsidR="0008343C" w:rsidRDefault="0008343C" w:rsidP="00B1206F">
      <w:pPr>
        <w:jc w:val="both"/>
        <w:rPr>
          <w:rFonts w:ascii="Times New Roman" w:hAnsi="Times New Roman"/>
        </w:rPr>
      </w:pPr>
    </w:p>
    <w:p w14:paraId="1BB74EA3" w14:textId="77777777" w:rsidR="005A3C1D" w:rsidRDefault="005A3C1D" w:rsidP="00B1206F">
      <w:pPr>
        <w:jc w:val="both"/>
        <w:rPr>
          <w:rFonts w:ascii="Times New Roman" w:hAnsi="Times New Roman"/>
        </w:rPr>
      </w:pPr>
      <w:r>
        <w:rPr>
          <w:rFonts w:ascii="Times New Roman" w:hAnsi="Times New Roman"/>
        </w:rPr>
        <w:t xml:space="preserve">Another department of the LAS is the </w:t>
      </w:r>
      <w:r w:rsidR="001077B3">
        <w:rPr>
          <w:rFonts w:ascii="Times New Roman" w:hAnsi="Times New Roman"/>
        </w:rPr>
        <w:t>E</w:t>
      </w:r>
      <w:r>
        <w:rPr>
          <w:rFonts w:ascii="Times New Roman" w:hAnsi="Times New Roman"/>
        </w:rPr>
        <w:t xml:space="preserve">lection </w:t>
      </w:r>
      <w:r w:rsidR="001077B3">
        <w:rPr>
          <w:rFonts w:ascii="Times New Roman" w:hAnsi="Times New Roman"/>
        </w:rPr>
        <w:t>M</w:t>
      </w:r>
      <w:r>
        <w:rPr>
          <w:rFonts w:ascii="Times New Roman" w:hAnsi="Times New Roman"/>
        </w:rPr>
        <w:t xml:space="preserve">onitoring </w:t>
      </w:r>
      <w:r w:rsidR="001077B3">
        <w:rPr>
          <w:rFonts w:ascii="Times New Roman" w:hAnsi="Times New Roman"/>
        </w:rPr>
        <w:t>D</w:t>
      </w:r>
      <w:r>
        <w:rPr>
          <w:rFonts w:ascii="Times New Roman" w:hAnsi="Times New Roman"/>
        </w:rPr>
        <w:t xml:space="preserve">irectorate, which has since its inception engaged in 57 election monitoring missions in </w:t>
      </w:r>
      <w:r w:rsidR="001077B3">
        <w:rPr>
          <w:rFonts w:ascii="Times New Roman" w:hAnsi="Times New Roman"/>
        </w:rPr>
        <w:t>M</w:t>
      </w:r>
      <w:r>
        <w:rPr>
          <w:rFonts w:ascii="Times New Roman" w:hAnsi="Times New Roman"/>
        </w:rPr>
        <w:t xml:space="preserve">ember </w:t>
      </w:r>
      <w:r w:rsidR="001077B3">
        <w:rPr>
          <w:rFonts w:ascii="Times New Roman" w:hAnsi="Times New Roman"/>
        </w:rPr>
        <w:t>S</w:t>
      </w:r>
      <w:r>
        <w:rPr>
          <w:rFonts w:ascii="Times New Roman" w:hAnsi="Times New Roman"/>
        </w:rPr>
        <w:t xml:space="preserve">tates, and can play an important role in ensuring transparent and free elections. Like all such monitoring missions internationally, it is bound by the election laws within each country, but can help make recommendations to ensure access by the electorates to </w:t>
      </w:r>
      <w:r w:rsidR="001077B3">
        <w:rPr>
          <w:rFonts w:ascii="Times New Roman" w:hAnsi="Times New Roman"/>
        </w:rPr>
        <w:t xml:space="preserve">the </w:t>
      </w:r>
      <w:r>
        <w:rPr>
          <w:rFonts w:ascii="Times New Roman" w:hAnsi="Times New Roman"/>
        </w:rPr>
        <w:t>right to vote and to be elected.</w:t>
      </w:r>
      <w:r>
        <w:rPr>
          <w:rStyle w:val="FootnoteReference"/>
          <w:rFonts w:ascii="Times New Roman" w:hAnsi="Times New Roman"/>
        </w:rPr>
        <w:footnoteReference w:id="63"/>
      </w:r>
    </w:p>
    <w:p w14:paraId="62508693" w14:textId="77777777" w:rsidR="005A3C1D" w:rsidRDefault="005A3C1D" w:rsidP="00B1206F">
      <w:pPr>
        <w:jc w:val="both"/>
        <w:rPr>
          <w:rFonts w:ascii="Times New Roman" w:hAnsi="Times New Roman"/>
        </w:rPr>
      </w:pPr>
    </w:p>
    <w:p w14:paraId="46479A8E" w14:textId="77777777" w:rsidR="00F939F2" w:rsidRDefault="00691872" w:rsidP="00B1206F">
      <w:pPr>
        <w:jc w:val="both"/>
        <w:rPr>
          <w:rFonts w:ascii="Times New Roman" w:hAnsi="Times New Roman"/>
        </w:rPr>
      </w:pPr>
      <w:r>
        <w:rPr>
          <w:rFonts w:ascii="Times New Roman" w:hAnsi="Times New Roman"/>
        </w:rPr>
        <w:t>The LAS also adopts declarations and actions plans on various issues that are usually agreed either within the Economic and Social Council</w:t>
      </w:r>
      <w:r w:rsidR="000D58C4">
        <w:rPr>
          <w:rFonts w:ascii="Times New Roman" w:hAnsi="Times New Roman"/>
        </w:rPr>
        <w:t>, the Council of Ministers</w:t>
      </w:r>
      <w:r>
        <w:rPr>
          <w:rFonts w:ascii="Times New Roman" w:hAnsi="Times New Roman"/>
        </w:rPr>
        <w:t xml:space="preserve"> or at </w:t>
      </w:r>
      <w:r w:rsidR="000D58C4">
        <w:rPr>
          <w:rFonts w:ascii="Times New Roman" w:hAnsi="Times New Roman"/>
        </w:rPr>
        <w:t xml:space="preserve">a </w:t>
      </w:r>
      <w:r w:rsidR="001077B3">
        <w:rPr>
          <w:rFonts w:ascii="Times New Roman" w:hAnsi="Times New Roman"/>
        </w:rPr>
        <w:t>H</w:t>
      </w:r>
      <w:r w:rsidR="000D58C4">
        <w:rPr>
          <w:rFonts w:ascii="Times New Roman" w:hAnsi="Times New Roman"/>
        </w:rPr>
        <w:t xml:space="preserve">eads of </w:t>
      </w:r>
      <w:r w:rsidR="001077B3">
        <w:rPr>
          <w:rFonts w:ascii="Times New Roman" w:hAnsi="Times New Roman"/>
        </w:rPr>
        <w:t>S</w:t>
      </w:r>
      <w:r w:rsidR="000D58C4">
        <w:rPr>
          <w:rFonts w:ascii="Times New Roman" w:hAnsi="Times New Roman"/>
        </w:rPr>
        <w:t xml:space="preserve">tate </w:t>
      </w:r>
      <w:r>
        <w:rPr>
          <w:rFonts w:ascii="Times New Roman" w:hAnsi="Times New Roman"/>
        </w:rPr>
        <w:t xml:space="preserve">summit level of the League. </w:t>
      </w:r>
      <w:r w:rsidR="007C4D5B">
        <w:rPr>
          <w:rFonts w:ascii="Times New Roman" w:hAnsi="Times New Roman"/>
        </w:rPr>
        <w:t>These include, by way of example, the</w:t>
      </w:r>
      <w:r w:rsidR="00F939F2">
        <w:rPr>
          <w:rFonts w:ascii="Times New Roman" w:hAnsi="Times New Roman"/>
        </w:rPr>
        <w:t xml:space="preserve"> Arab Action Plan for Human Rights Education (2009-2014), agreed by LAS summit</w:t>
      </w:r>
      <w:r w:rsidR="007C4D5B">
        <w:rPr>
          <w:rFonts w:ascii="Times New Roman" w:hAnsi="Times New Roman"/>
        </w:rPr>
        <w:t xml:space="preserve"> decision 391D on 29 March 2007; the </w:t>
      </w:r>
      <w:r w:rsidR="00F939F2">
        <w:rPr>
          <w:rFonts w:ascii="Times New Roman" w:hAnsi="Times New Roman"/>
        </w:rPr>
        <w:t>Acti</w:t>
      </w:r>
      <w:r w:rsidR="007C4D5B">
        <w:rPr>
          <w:rFonts w:ascii="Times New Roman" w:hAnsi="Times New Roman"/>
        </w:rPr>
        <w:t>on plan to Enhance H</w:t>
      </w:r>
      <w:r w:rsidR="00F939F2">
        <w:rPr>
          <w:rFonts w:ascii="Times New Roman" w:hAnsi="Times New Roman"/>
        </w:rPr>
        <w:t xml:space="preserve">uman </w:t>
      </w:r>
      <w:r w:rsidR="007C4D5B">
        <w:rPr>
          <w:rFonts w:ascii="Times New Roman" w:hAnsi="Times New Roman"/>
        </w:rPr>
        <w:t>R</w:t>
      </w:r>
      <w:r w:rsidR="006E3D7F">
        <w:rPr>
          <w:rFonts w:ascii="Times New Roman" w:hAnsi="Times New Roman"/>
        </w:rPr>
        <w:t>ights</w:t>
      </w:r>
      <w:r w:rsidR="007C4D5B">
        <w:rPr>
          <w:rFonts w:ascii="Times New Roman" w:hAnsi="Times New Roman"/>
        </w:rPr>
        <w:t xml:space="preserve"> C</w:t>
      </w:r>
      <w:r w:rsidR="00F939F2">
        <w:rPr>
          <w:rFonts w:ascii="Times New Roman" w:hAnsi="Times New Roman"/>
        </w:rPr>
        <w:t>ul</w:t>
      </w:r>
      <w:r w:rsidR="005A3C1D">
        <w:rPr>
          <w:rFonts w:ascii="Times New Roman" w:hAnsi="Times New Roman"/>
        </w:rPr>
        <w:t>ture (Agreed in LAS session 22</w:t>
      </w:r>
      <w:r w:rsidR="007C4D5B">
        <w:rPr>
          <w:rFonts w:ascii="Times New Roman" w:hAnsi="Times New Roman"/>
        </w:rPr>
        <w:t xml:space="preserve"> on 28 March 2013</w:t>
      </w:r>
      <w:r w:rsidR="001077B3">
        <w:rPr>
          <w:rFonts w:ascii="Times New Roman" w:hAnsi="Times New Roman"/>
        </w:rPr>
        <w:t>).</w:t>
      </w:r>
      <w:r w:rsidR="007C4D5B">
        <w:rPr>
          <w:rFonts w:ascii="Times New Roman" w:hAnsi="Times New Roman"/>
        </w:rPr>
        <w:t xml:space="preserve"> </w:t>
      </w:r>
      <w:r w:rsidR="001077B3">
        <w:rPr>
          <w:rFonts w:ascii="Times New Roman" w:hAnsi="Times New Roman"/>
        </w:rPr>
        <w:t>A</w:t>
      </w:r>
      <w:r w:rsidR="00F939F2">
        <w:rPr>
          <w:rFonts w:ascii="Times New Roman" w:hAnsi="Times New Roman"/>
        </w:rPr>
        <w:t xml:space="preserve">round 14 inter-Arab agreements with relevance to human rights </w:t>
      </w:r>
      <w:r w:rsidR="001077B3">
        <w:rPr>
          <w:rFonts w:ascii="Times New Roman" w:hAnsi="Times New Roman"/>
        </w:rPr>
        <w:t xml:space="preserve">were concluded </w:t>
      </w:r>
      <w:r w:rsidR="007C4D5B">
        <w:rPr>
          <w:rFonts w:ascii="Times New Roman" w:hAnsi="Times New Roman"/>
        </w:rPr>
        <w:t>and a</w:t>
      </w:r>
      <w:r w:rsidR="00F939F2">
        <w:rPr>
          <w:rFonts w:ascii="Times New Roman" w:hAnsi="Times New Roman"/>
        </w:rPr>
        <w:t xml:space="preserve"> draft Arab human rights strategy </w:t>
      </w:r>
      <w:r w:rsidR="007C4D5B">
        <w:rPr>
          <w:rFonts w:ascii="Times New Roman" w:hAnsi="Times New Roman"/>
        </w:rPr>
        <w:t xml:space="preserve">is </w:t>
      </w:r>
      <w:r w:rsidR="00F939F2">
        <w:rPr>
          <w:rFonts w:ascii="Times New Roman" w:hAnsi="Times New Roman"/>
        </w:rPr>
        <w:t>currently under discussion.</w:t>
      </w:r>
    </w:p>
    <w:p w14:paraId="44011BAB" w14:textId="77777777" w:rsidR="005D4ADF" w:rsidRDefault="005D4ADF" w:rsidP="00B1206F">
      <w:pPr>
        <w:jc w:val="both"/>
        <w:rPr>
          <w:rFonts w:ascii="Times New Roman" w:hAnsi="Times New Roman"/>
        </w:rPr>
      </w:pPr>
    </w:p>
    <w:p w14:paraId="798F400A" w14:textId="77777777" w:rsidR="00E37D3B" w:rsidRPr="007C4D5B" w:rsidRDefault="007C4D5B" w:rsidP="00B1206F">
      <w:pPr>
        <w:jc w:val="both"/>
        <w:rPr>
          <w:rFonts w:ascii="Times New Roman" w:hAnsi="Times New Roman"/>
        </w:rPr>
      </w:pPr>
      <w:r>
        <w:rPr>
          <w:rFonts w:ascii="Times New Roman" w:hAnsi="Times New Roman"/>
        </w:rPr>
        <w:t xml:space="preserve">Of note is the </w:t>
      </w:r>
      <w:r w:rsidR="00E37D3B" w:rsidRPr="007C4D5B">
        <w:rPr>
          <w:rFonts w:ascii="Times New Roman" w:hAnsi="Times New Roman"/>
        </w:rPr>
        <w:t>Regional Strategy</w:t>
      </w:r>
      <w:r>
        <w:rPr>
          <w:rFonts w:ascii="Times New Roman" w:hAnsi="Times New Roman"/>
        </w:rPr>
        <w:t xml:space="preserve"> on</w:t>
      </w:r>
      <w:r w:rsidR="005D4ADF" w:rsidRPr="007C4D5B">
        <w:rPr>
          <w:rFonts w:ascii="Times New Roman" w:hAnsi="Times New Roman"/>
        </w:rPr>
        <w:t xml:space="preserve"> The Protection of Arab Women: Peace and Security</w:t>
      </w:r>
      <w:r>
        <w:rPr>
          <w:rFonts w:ascii="Times New Roman" w:hAnsi="Times New Roman"/>
        </w:rPr>
        <w:t xml:space="preserve">, adopted by the Arab League, UN Women and the Arab Women’s Organization, </w:t>
      </w:r>
      <w:r w:rsidR="005A3C1D">
        <w:rPr>
          <w:rFonts w:ascii="Times New Roman" w:hAnsi="Times New Roman"/>
        </w:rPr>
        <w:t>which</w:t>
      </w:r>
      <w:r w:rsidRPr="007C4D5B">
        <w:rPr>
          <w:rFonts w:ascii="Times New Roman" w:hAnsi="Times New Roman"/>
        </w:rPr>
        <w:t xml:space="preserve"> </w:t>
      </w:r>
      <w:r>
        <w:rPr>
          <w:rFonts w:ascii="Times New Roman" w:hAnsi="Times New Roman"/>
        </w:rPr>
        <w:t>aims to give regional impetus to UN Security Council 1325. The Strategy</w:t>
      </w:r>
      <w:r w:rsidR="005A3C1D">
        <w:rPr>
          <w:rFonts w:ascii="Times New Roman" w:hAnsi="Times New Roman"/>
        </w:rPr>
        <w:t xml:space="preserve"> </w:t>
      </w:r>
      <w:r w:rsidR="005D4ADF" w:rsidRPr="007C4D5B">
        <w:rPr>
          <w:rFonts w:ascii="Times New Roman" w:hAnsi="Times New Roman"/>
        </w:rPr>
        <w:t xml:space="preserve">is comprehensively framed with goals and procedural mechanisms to enhance participation, protection and prevention of conflict. It also includes a call for </w:t>
      </w:r>
      <w:r w:rsidR="001077B3">
        <w:rPr>
          <w:rFonts w:ascii="Times New Roman" w:hAnsi="Times New Roman"/>
        </w:rPr>
        <w:t>M</w:t>
      </w:r>
      <w:r w:rsidR="005D4ADF" w:rsidRPr="007C4D5B">
        <w:rPr>
          <w:rFonts w:ascii="Times New Roman" w:hAnsi="Times New Roman"/>
        </w:rPr>
        <w:t xml:space="preserve">ember </w:t>
      </w:r>
      <w:r w:rsidR="001077B3">
        <w:rPr>
          <w:rFonts w:ascii="Times New Roman" w:hAnsi="Times New Roman"/>
        </w:rPr>
        <w:t>S</w:t>
      </w:r>
      <w:r w:rsidR="005D4ADF" w:rsidRPr="007C4D5B">
        <w:rPr>
          <w:rFonts w:ascii="Times New Roman" w:hAnsi="Times New Roman"/>
        </w:rPr>
        <w:t>tates to adopt national action plans for implementing the strategy. As of this writing, there is no information on the adoption of a regional action plan</w:t>
      </w:r>
      <w:r>
        <w:rPr>
          <w:rFonts w:ascii="Times New Roman" w:hAnsi="Times New Roman"/>
        </w:rPr>
        <w:t>, although a number of individual countries have either adopted or are in the process of developing a plan to implement UN Security Council 1325</w:t>
      </w:r>
      <w:r w:rsidR="005D4ADF" w:rsidRPr="007C4D5B">
        <w:rPr>
          <w:rFonts w:ascii="Times New Roman" w:hAnsi="Times New Roman"/>
        </w:rPr>
        <w:t>.</w:t>
      </w:r>
      <w:r>
        <w:rPr>
          <w:rStyle w:val="FootnoteReference"/>
          <w:rFonts w:ascii="Times New Roman" w:hAnsi="Times New Roman"/>
        </w:rPr>
        <w:footnoteReference w:id="64"/>
      </w:r>
    </w:p>
    <w:p w14:paraId="0798C66F" w14:textId="77777777" w:rsidR="007C4D5B" w:rsidRDefault="007C4D5B" w:rsidP="002D4994">
      <w:pPr>
        <w:rPr>
          <w:rFonts w:ascii="Times New Roman" w:hAnsi="Times New Roman"/>
        </w:rPr>
      </w:pPr>
    </w:p>
    <w:p w14:paraId="0B013B1D" w14:textId="77777777" w:rsidR="007C4D5B" w:rsidRPr="00C928C0" w:rsidRDefault="00C928C0" w:rsidP="00313D15">
      <w:pPr>
        <w:outlineLvl w:val="0"/>
        <w:rPr>
          <w:rFonts w:ascii="Times New Roman" w:hAnsi="Times New Roman"/>
          <w:b/>
          <w:bCs/>
          <w:i/>
          <w:iCs/>
        </w:rPr>
      </w:pPr>
      <w:r w:rsidRPr="00C928C0">
        <w:rPr>
          <w:rFonts w:ascii="Times New Roman" w:hAnsi="Times New Roman"/>
          <w:b/>
          <w:bCs/>
          <w:i/>
          <w:iCs/>
        </w:rPr>
        <w:t>The Organization of the Islamic Conference</w:t>
      </w:r>
    </w:p>
    <w:p w14:paraId="49457025" w14:textId="77777777" w:rsidR="007C4D5B" w:rsidRDefault="007C4D5B" w:rsidP="00BC6323">
      <w:pPr>
        <w:rPr>
          <w:rFonts w:ascii="Times New Roman" w:hAnsi="Times New Roman"/>
        </w:rPr>
      </w:pPr>
    </w:p>
    <w:p w14:paraId="07EC2685" w14:textId="77777777" w:rsidR="00ED3A7A" w:rsidRDefault="005A3C1D" w:rsidP="00B1206F">
      <w:pPr>
        <w:jc w:val="both"/>
        <w:rPr>
          <w:rFonts w:ascii="Times New Roman" w:hAnsi="Times New Roman"/>
        </w:rPr>
      </w:pPr>
      <w:r>
        <w:rPr>
          <w:rFonts w:ascii="Times New Roman" w:hAnsi="Times New Roman"/>
        </w:rPr>
        <w:t xml:space="preserve">The Arab states play an important role with the </w:t>
      </w:r>
      <w:r w:rsidR="00426AF5">
        <w:rPr>
          <w:rFonts w:ascii="Times New Roman" w:hAnsi="Times New Roman"/>
        </w:rPr>
        <w:t>Organization of the Islamic Conference (OIC)</w:t>
      </w:r>
      <w:r>
        <w:rPr>
          <w:rFonts w:ascii="Times New Roman" w:hAnsi="Times New Roman"/>
        </w:rPr>
        <w:t xml:space="preserve">, </w:t>
      </w:r>
      <w:r w:rsidR="000D58C4">
        <w:rPr>
          <w:rFonts w:ascii="Times New Roman" w:hAnsi="Times New Roman"/>
        </w:rPr>
        <w:t>which in 2011</w:t>
      </w:r>
      <w:r>
        <w:rPr>
          <w:rFonts w:ascii="Times New Roman" w:hAnsi="Times New Roman"/>
        </w:rPr>
        <w:t xml:space="preserve"> launched its Independent Permanent Committee on Human Rights as established by </w:t>
      </w:r>
      <w:r w:rsidR="000D58C4">
        <w:rPr>
          <w:rFonts w:ascii="Times New Roman" w:hAnsi="Times New Roman"/>
        </w:rPr>
        <w:t>the</w:t>
      </w:r>
      <w:r>
        <w:rPr>
          <w:rFonts w:ascii="Times New Roman" w:hAnsi="Times New Roman"/>
        </w:rPr>
        <w:t xml:space="preserve"> new charter adopted by the organization on 13-14 March 2008.</w:t>
      </w:r>
      <w:r w:rsidR="009B4514">
        <w:rPr>
          <w:rFonts w:ascii="Times New Roman" w:hAnsi="Times New Roman"/>
        </w:rPr>
        <w:t xml:space="preserve"> T</w:t>
      </w:r>
      <w:r>
        <w:rPr>
          <w:rFonts w:ascii="Times New Roman" w:hAnsi="Times New Roman"/>
        </w:rPr>
        <w:t xml:space="preserve">his mechanism bases its work on </w:t>
      </w:r>
      <w:r w:rsidR="009B4514">
        <w:rPr>
          <w:rFonts w:ascii="Times New Roman" w:hAnsi="Times New Roman"/>
        </w:rPr>
        <w:t>“internationally recognized human rights standards and the additional values of the Islamic principles of justice and equality,” referring not only to international human rights treaties but also the Cairo Declaration on Human Rights in Islam, the Child Rights Covenant in Islam, and a number of other documents adopted within the organization.</w:t>
      </w:r>
      <w:r w:rsidR="00ED3A7A">
        <w:rPr>
          <w:rStyle w:val="FootnoteReference"/>
          <w:rFonts w:ascii="Times New Roman" w:hAnsi="Times New Roman"/>
        </w:rPr>
        <w:footnoteReference w:id="65"/>
      </w:r>
      <w:r w:rsidR="009B4514">
        <w:rPr>
          <w:rFonts w:ascii="Times New Roman" w:hAnsi="Times New Roman"/>
        </w:rPr>
        <w:t xml:space="preserve"> </w:t>
      </w:r>
    </w:p>
    <w:p w14:paraId="098E5F16" w14:textId="77777777" w:rsidR="00ED3A7A" w:rsidRDefault="00ED3A7A" w:rsidP="00B1206F">
      <w:pPr>
        <w:jc w:val="both"/>
        <w:rPr>
          <w:rFonts w:ascii="Times New Roman" w:hAnsi="Times New Roman"/>
        </w:rPr>
      </w:pPr>
    </w:p>
    <w:p w14:paraId="35E28D42" w14:textId="77777777" w:rsidR="005A3C1D" w:rsidRDefault="00ED3A7A" w:rsidP="00B1206F">
      <w:pPr>
        <w:jc w:val="both"/>
        <w:rPr>
          <w:rFonts w:ascii="Times New Roman" w:hAnsi="Times New Roman"/>
        </w:rPr>
      </w:pPr>
      <w:r>
        <w:rPr>
          <w:rFonts w:ascii="Times New Roman" w:hAnsi="Times New Roman"/>
        </w:rPr>
        <w:t>The OIC</w:t>
      </w:r>
      <w:r w:rsidR="009B4514">
        <w:rPr>
          <w:rFonts w:ascii="Times New Roman" w:hAnsi="Times New Roman"/>
        </w:rPr>
        <w:t xml:space="preserve"> has placed women’s rights as one of its priorities</w:t>
      </w:r>
      <w:r>
        <w:rPr>
          <w:rFonts w:ascii="Times New Roman" w:hAnsi="Times New Roman"/>
        </w:rPr>
        <w:t xml:space="preserve"> and </w:t>
      </w:r>
      <w:r w:rsidR="009B4514">
        <w:rPr>
          <w:rFonts w:ascii="Times New Roman" w:hAnsi="Times New Roman"/>
        </w:rPr>
        <w:t xml:space="preserve">adopted </w:t>
      </w:r>
      <w:r>
        <w:rPr>
          <w:rFonts w:ascii="Times New Roman" w:hAnsi="Times New Roman"/>
        </w:rPr>
        <w:t xml:space="preserve">in 2008 </w:t>
      </w:r>
      <w:r w:rsidR="009B4514">
        <w:rPr>
          <w:rFonts w:ascii="Times New Roman" w:hAnsi="Times New Roman"/>
        </w:rPr>
        <w:t>an action plan for the enhancement of women’</w:t>
      </w:r>
      <w:r>
        <w:rPr>
          <w:rFonts w:ascii="Times New Roman" w:hAnsi="Times New Roman"/>
        </w:rPr>
        <w:t xml:space="preserve">s situation. </w:t>
      </w:r>
      <w:r w:rsidR="00D42987">
        <w:rPr>
          <w:rFonts w:ascii="Times New Roman" w:hAnsi="Times New Roman"/>
        </w:rPr>
        <w:t>The</w:t>
      </w:r>
      <w:r>
        <w:rPr>
          <w:rFonts w:ascii="Times New Roman" w:hAnsi="Times New Roman"/>
        </w:rPr>
        <w:t xml:space="preserve"> plan calls for taking “legislative measures for women with the aim of enabling them to effectively participate in all aspects of life</w:t>
      </w:r>
      <w:r w:rsidR="000825D8">
        <w:rPr>
          <w:rFonts w:ascii="Times New Roman" w:hAnsi="Times New Roman"/>
        </w:rPr>
        <w:t>” (para</w:t>
      </w:r>
      <w:r>
        <w:rPr>
          <w:rFonts w:ascii="Times New Roman" w:hAnsi="Times New Roman"/>
        </w:rPr>
        <w:t xml:space="preserve"> 1.4) and to “strengthen the representation and participation of women in economic decision-making”</w:t>
      </w:r>
      <w:r w:rsidR="000825D8">
        <w:rPr>
          <w:rFonts w:ascii="Times New Roman" w:hAnsi="Times New Roman"/>
        </w:rPr>
        <w:t xml:space="preserve"> (para 3.1.s) and in other decision-making mechanisms (para 3.2), including a commitment to strengthen the political representation of women.”</w:t>
      </w:r>
      <w:r w:rsidR="000825D8">
        <w:rPr>
          <w:rStyle w:val="FootnoteReference"/>
          <w:rFonts w:ascii="Times New Roman" w:hAnsi="Times New Roman"/>
        </w:rPr>
        <w:footnoteReference w:id="66"/>
      </w:r>
      <w:r>
        <w:rPr>
          <w:rFonts w:ascii="Times New Roman" w:hAnsi="Times New Roman"/>
        </w:rPr>
        <w:t xml:space="preserve"> </w:t>
      </w:r>
      <w:r w:rsidR="009B4514">
        <w:rPr>
          <w:rFonts w:ascii="Times New Roman" w:hAnsi="Times New Roman"/>
        </w:rPr>
        <w:t xml:space="preserve"> </w:t>
      </w:r>
      <w:r>
        <w:rPr>
          <w:rFonts w:ascii="Times New Roman" w:hAnsi="Times New Roman"/>
        </w:rPr>
        <w:t xml:space="preserve">The Committee in 2013 called on </w:t>
      </w:r>
      <w:r w:rsidR="00A8055A">
        <w:rPr>
          <w:rFonts w:ascii="Times New Roman" w:hAnsi="Times New Roman"/>
        </w:rPr>
        <w:t>S</w:t>
      </w:r>
      <w:r>
        <w:rPr>
          <w:rFonts w:ascii="Times New Roman" w:hAnsi="Times New Roman"/>
        </w:rPr>
        <w:t xml:space="preserve">tates to “take the </w:t>
      </w:r>
      <w:r>
        <w:rPr>
          <w:rFonts w:ascii="Times New Roman" w:hAnsi="Times New Roman"/>
        </w:rPr>
        <w:lastRenderedPageBreak/>
        <w:t>necessary measures to guarantee the participation of the greatest possible number of women in public life.”</w:t>
      </w:r>
      <w:r>
        <w:rPr>
          <w:rStyle w:val="FootnoteReference"/>
          <w:rFonts w:ascii="Times New Roman" w:hAnsi="Times New Roman"/>
        </w:rPr>
        <w:footnoteReference w:id="67"/>
      </w:r>
    </w:p>
    <w:p w14:paraId="4F51F4A4" w14:textId="77777777" w:rsidR="005A3C1D" w:rsidRDefault="00ED3A7A" w:rsidP="00BC6323">
      <w:pPr>
        <w:rPr>
          <w:rFonts w:ascii="Times New Roman" w:hAnsi="Times New Roman"/>
        </w:rPr>
      </w:pPr>
      <w:r>
        <w:rPr>
          <w:rFonts w:ascii="Times New Roman" w:hAnsi="Times New Roman"/>
        </w:rPr>
        <w:t xml:space="preserve">  </w:t>
      </w:r>
    </w:p>
    <w:p w14:paraId="1623255A" w14:textId="77777777" w:rsidR="005C7427" w:rsidRPr="00ED3A7A" w:rsidRDefault="005D4ADF" w:rsidP="00313D15">
      <w:pPr>
        <w:outlineLvl w:val="0"/>
        <w:rPr>
          <w:rFonts w:ascii="Times New Roman" w:hAnsi="Times New Roman"/>
          <w:b/>
          <w:bCs/>
          <w:i/>
          <w:iCs/>
        </w:rPr>
      </w:pPr>
      <w:r w:rsidRPr="00ED3A7A">
        <w:rPr>
          <w:rFonts w:ascii="Times New Roman" w:hAnsi="Times New Roman"/>
          <w:b/>
          <w:bCs/>
          <w:i/>
          <w:iCs/>
        </w:rPr>
        <w:t xml:space="preserve">Arab </w:t>
      </w:r>
      <w:r w:rsidR="005C7427" w:rsidRPr="00ED3A7A">
        <w:rPr>
          <w:rFonts w:ascii="Times New Roman" w:hAnsi="Times New Roman"/>
          <w:b/>
          <w:bCs/>
          <w:i/>
          <w:iCs/>
        </w:rPr>
        <w:t>Inter</w:t>
      </w:r>
      <w:r w:rsidRPr="00ED3A7A">
        <w:rPr>
          <w:rFonts w:ascii="Times New Roman" w:hAnsi="Times New Roman"/>
          <w:b/>
          <w:bCs/>
          <w:i/>
          <w:iCs/>
        </w:rPr>
        <w:t>-parliamentary U</w:t>
      </w:r>
      <w:r w:rsidR="005C7427" w:rsidRPr="00ED3A7A">
        <w:rPr>
          <w:rFonts w:ascii="Times New Roman" w:hAnsi="Times New Roman"/>
          <w:b/>
          <w:bCs/>
          <w:i/>
          <w:iCs/>
        </w:rPr>
        <w:t>nion</w:t>
      </w:r>
      <w:r w:rsidR="00D2447F">
        <w:rPr>
          <w:rFonts w:ascii="Times New Roman" w:hAnsi="Times New Roman"/>
          <w:b/>
          <w:bCs/>
          <w:i/>
          <w:iCs/>
        </w:rPr>
        <w:t>; a minimal role</w:t>
      </w:r>
    </w:p>
    <w:p w14:paraId="5D5CA524" w14:textId="77777777" w:rsidR="005C7427" w:rsidRDefault="005C7427" w:rsidP="00BC6323">
      <w:pPr>
        <w:rPr>
          <w:rFonts w:ascii="Times New Roman" w:hAnsi="Times New Roman"/>
        </w:rPr>
      </w:pPr>
    </w:p>
    <w:p w14:paraId="46383FCD" w14:textId="77777777" w:rsidR="00ED3A7A" w:rsidRDefault="000825D8" w:rsidP="00B1206F">
      <w:pPr>
        <w:jc w:val="both"/>
        <w:rPr>
          <w:rFonts w:ascii="Times New Roman" w:hAnsi="Times New Roman"/>
        </w:rPr>
      </w:pPr>
      <w:r>
        <w:rPr>
          <w:rFonts w:ascii="Times New Roman" w:hAnsi="Times New Roman"/>
        </w:rPr>
        <w:t>The Arab Parliamentary Union</w:t>
      </w:r>
      <w:r w:rsidR="005762BE">
        <w:rPr>
          <w:rFonts w:ascii="Times New Roman" w:hAnsi="Times New Roman"/>
        </w:rPr>
        <w:t xml:space="preserve"> (AIPU)</w:t>
      </w:r>
      <w:r>
        <w:rPr>
          <w:rFonts w:ascii="Times New Roman" w:hAnsi="Times New Roman"/>
        </w:rPr>
        <w:t xml:space="preserve"> is a non-binding association composed of members serving in their coun</w:t>
      </w:r>
      <w:r w:rsidR="00831BE9">
        <w:rPr>
          <w:rFonts w:ascii="Times New Roman" w:hAnsi="Times New Roman"/>
        </w:rPr>
        <w:t>t</w:t>
      </w:r>
      <w:r>
        <w:rPr>
          <w:rFonts w:ascii="Times New Roman" w:hAnsi="Times New Roman"/>
        </w:rPr>
        <w:t xml:space="preserve">ries’ parliaments. </w:t>
      </w:r>
      <w:r w:rsidR="00833F46">
        <w:rPr>
          <w:rFonts w:ascii="Times New Roman" w:hAnsi="Times New Roman"/>
        </w:rPr>
        <w:t xml:space="preserve">The structure of the Union includes </w:t>
      </w:r>
      <w:r>
        <w:rPr>
          <w:rFonts w:ascii="Times New Roman" w:hAnsi="Times New Roman"/>
        </w:rPr>
        <w:t>a Legal and Human Rights Committee,</w:t>
      </w:r>
      <w:r w:rsidR="00833F46">
        <w:rPr>
          <w:rFonts w:ascii="Times New Roman" w:hAnsi="Times New Roman"/>
        </w:rPr>
        <w:t xml:space="preserve"> but</w:t>
      </w:r>
      <w:r>
        <w:rPr>
          <w:rFonts w:ascii="Times New Roman" w:hAnsi="Times New Roman"/>
        </w:rPr>
        <w:t xml:space="preserve"> its </w:t>
      </w:r>
      <w:r w:rsidR="00833F46">
        <w:rPr>
          <w:rFonts w:ascii="Times New Roman" w:hAnsi="Times New Roman"/>
        </w:rPr>
        <w:t xml:space="preserve">web </w:t>
      </w:r>
      <w:r>
        <w:rPr>
          <w:rFonts w:ascii="Times New Roman" w:hAnsi="Times New Roman"/>
        </w:rPr>
        <w:t xml:space="preserve">page </w:t>
      </w:r>
      <w:r w:rsidR="00833F46">
        <w:rPr>
          <w:rFonts w:ascii="Times New Roman" w:hAnsi="Times New Roman"/>
        </w:rPr>
        <w:t>has no content and no reports</w:t>
      </w:r>
      <w:r w:rsidR="00C6452D">
        <w:rPr>
          <w:rFonts w:ascii="Times New Roman" w:hAnsi="Times New Roman"/>
        </w:rPr>
        <w:t xml:space="preserve"> </w:t>
      </w:r>
      <w:r w:rsidR="00833F46">
        <w:rPr>
          <w:rFonts w:ascii="Times New Roman" w:hAnsi="Times New Roman"/>
        </w:rPr>
        <w:t xml:space="preserve">of its activities. There is also a Women and Childhood Committee, and its page only contains a </w:t>
      </w:r>
      <w:r>
        <w:rPr>
          <w:rFonts w:ascii="Times New Roman" w:hAnsi="Times New Roman"/>
        </w:rPr>
        <w:t>report of</w:t>
      </w:r>
      <w:r w:rsidR="000D58C4">
        <w:rPr>
          <w:rFonts w:ascii="Times New Roman" w:hAnsi="Times New Roman"/>
        </w:rPr>
        <w:t xml:space="preserve"> </w:t>
      </w:r>
      <w:r w:rsidR="00833F46">
        <w:rPr>
          <w:rFonts w:ascii="Times New Roman" w:hAnsi="Times New Roman"/>
        </w:rPr>
        <w:t>a meeting</w:t>
      </w:r>
      <w:r>
        <w:rPr>
          <w:rFonts w:ascii="Times New Roman" w:hAnsi="Times New Roman"/>
        </w:rPr>
        <w:t xml:space="preserve"> held in Cairo on 6 September 2016</w:t>
      </w:r>
      <w:r w:rsidR="005762BE">
        <w:rPr>
          <w:rFonts w:ascii="Times New Roman" w:hAnsi="Times New Roman"/>
        </w:rPr>
        <w:t xml:space="preserve"> to prepare for “an Arab parliamentary conference to enhance the</w:t>
      </w:r>
      <w:r w:rsidR="00833F46">
        <w:rPr>
          <w:rFonts w:ascii="Times New Roman" w:hAnsi="Times New Roman"/>
        </w:rPr>
        <w:t xml:space="preserve"> role of Arab women</w:t>
      </w:r>
      <w:r w:rsidR="005762BE">
        <w:rPr>
          <w:rFonts w:ascii="Times New Roman" w:hAnsi="Times New Roman"/>
        </w:rPr>
        <w:t>.” The meeting report</w:t>
      </w:r>
      <w:r w:rsidR="00833F46">
        <w:rPr>
          <w:rFonts w:ascii="Times New Roman" w:hAnsi="Times New Roman"/>
        </w:rPr>
        <w:t xml:space="preserve"> </w:t>
      </w:r>
      <w:r w:rsidR="000D58C4">
        <w:rPr>
          <w:rFonts w:ascii="Times New Roman" w:hAnsi="Times New Roman"/>
        </w:rPr>
        <w:t>contain</w:t>
      </w:r>
      <w:r w:rsidR="00833F46">
        <w:rPr>
          <w:rFonts w:ascii="Times New Roman" w:hAnsi="Times New Roman"/>
        </w:rPr>
        <w:t>s</w:t>
      </w:r>
      <w:r>
        <w:rPr>
          <w:rFonts w:ascii="Times New Roman" w:hAnsi="Times New Roman"/>
        </w:rPr>
        <w:t xml:space="preserve"> a decision to strengthen the legal protection of women and to include them in national policies to implement sustainable </w:t>
      </w:r>
      <w:r w:rsidR="000D58C4">
        <w:rPr>
          <w:rFonts w:ascii="Times New Roman" w:hAnsi="Times New Roman"/>
        </w:rPr>
        <w:t>development (para 5.c). The meeting also decided</w:t>
      </w:r>
      <w:r>
        <w:rPr>
          <w:rFonts w:ascii="Times New Roman" w:hAnsi="Times New Roman"/>
        </w:rPr>
        <w:t xml:space="preserve"> to undertake a study on women’s participation in Arab parliaments </w:t>
      </w:r>
      <w:r w:rsidR="00EC6708">
        <w:rPr>
          <w:rFonts w:ascii="Times New Roman" w:hAnsi="Times New Roman"/>
        </w:rPr>
        <w:t>(</w:t>
      </w:r>
      <w:r>
        <w:rPr>
          <w:rFonts w:ascii="Times New Roman" w:hAnsi="Times New Roman"/>
        </w:rPr>
        <w:t>para 13).</w:t>
      </w:r>
      <w:r>
        <w:rPr>
          <w:rStyle w:val="FootnoteReference"/>
          <w:rFonts w:ascii="Times New Roman" w:hAnsi="Times New Roman"/>
        </w:rPr>
        <w:footnoteReference w:id="68"/>
      </w:r>
      <w:r w:rsidR="005762BE">
        <w:rPr>
          <w:rFonts w:ascii="Times New Roman" w:hAnsi="Times New Roman"/>
        </w:rPr>
        <w:t xml:space="preserve"> No other information was available on activities of the AIPU that may be relevant to the right to participate.</w:t>
      </w:r>
    </w:p>
    <w:p w14:paraId="76F4809F" w14:textId="77777777" w:rsidR="000825D8" w:rsidRPr="0011345C" w:rsidRDefault="000825D8" w:rsidP="00BC6323">
      <w:pPr>
        <w:rPr>
          <w:rFonts w:ascii="Times New Roman" w:hAnsi="Times New Roman"/>
          <w:rtl/>
        </w:rPr>
      </w:pPr>
    </w:p>
    <w:p w14:paraId="1CF75C35" w14:textId="77777777" w:rsidR="00B81FB7" w:rsidRPr="00B81FB7" w:rsidRDefault="00A914AF" w:rsidP="00BC6323">
      <w:pPr>
        <w:rPr>
          <w:rFonts w:ascii="Times New Roman" w:hAnsi="Times New Roman"/>
          <w:b/>
          <w:bCs/>
          <w:u w:val="single"/>
        </w:rPr>
      </w:pPr>
      <w:r>
        <w:rPr>
          <w:rFonts w:ascii="Times New Roman" w:hAnsi="Times New Roman"/>
          <w:b/>
          <w:bCs/>
          <w:u w:val="single"/>
        </w:rPr>
        <w:t xml:space="preserve">Relevant </w:t>
      </w:r>
      <w:r w:rsidR="00417F1E">
        <w:rPr>
          <w:rFonts w:ascii="Times New Roman" w:hAnsi="Times New Roman"/>
          <w:b/>
          <w:bCs/>
          <w:u w:val="single"/>
        </w:rPr>
        <w:t>concerns and recommendations</w:t>
      </w:r>
      <w:r w:rsidR="00B81FB7">
        <w:rPr>
          <w:rFonts w:ascii="Times New Roman" w:hAnsi="Times New Roman"/>
          <w:b/>
          <w:bCs/>
          <w:u w:val="single"/>
        </w:rPr>
        <w:t xml:space="preserve"> arising from human rights treaty bodies and other U.N. human rights mechanisms and procedures</w:t>
      </w:r>
    </w:p>
    <w:p w14:paraId="58992E40" w14:textId="77777777" w:rsidR="00BC6323" w:rsidRDefault="00BC6323" w:rsidP="00BC6323">
      <w:pPr>
        <w:rPr>
          <w:rFonts w:ascii="Times New Roman" w:hAnsi="Times New Roman"/>
        </w:rPr>
      </w:pPr>
    </w:p>
    <w:p w14:paraId="079034A8" w14:textId="77777777" w:rsidR="006E3D7F" w:rsidRDefault="006E3D7F" w:rsidP="00B1206F">
      <w:pPr>
        <w:jc w:val="both"/>
        <w:rPr>
          <w:rFonts w:ascii="Times New Roman" w:hAnsi="Times New Roman"/>
        </w:rPr>
      </w:pPr>
      <w:r>
        <w:rPr>
          <w:rFonts w:ascii="Times New Roman" w:hAnsi="Times New Roman"/>
        </w:rPr>
        <w:t>As the following table indicates,</w:t>
      </w:r>
      <w:r w:rsidR="00D2447F">
        <w:rPr>
          <w:rFonts w:ascii="Times New Roman" w:hAnsi="Times New Roman"/>
        </w:rPr>
        <w:t xml:space="preserve"> with a few </w:t>
      </w:r>
      <w:r w:rsidR="00D304ED">
        <w:rPr>
          <w:rFonts w:ascii="Times New Roman" w:hAnsi="Times New Roman"/>
        </w:rPr>
        <w:t>exceptions</w:t>
      </w:r>
      <w:r w:rsidR="00D2447F">
        <w:rPr>
          <w:rFonts w:ascii="Times New Roman" w:hAnsi="Times New Roman"/>
        </w:rPr>
        <w:t>, the 18</w:t>
      </w:r>
      <w:r w:rsidR="004D7462">
        <w:rPr>
          <w:rFonts w:ascii="Times New Roman" w:hAnsi="Times New Roman"/>
        </w:rPr>
        <w:t xml:space="preserve"> Arab States </w:t>
      </w:r>
      <w:r w:rsidR="00D2447F">
        <w:rPr>
          <w:rFonts w:ascii="Times New Roman" w:hAnsi="Times New Roman"/>
        </w:rPr>
        <w:t xml:space="preserve">considered here </w:t>
      </w:r>
      <w:r w:rsidR="00A914AF">
        <w:rPr>
          <w:rFonts w:ascii="Times New Roman" w:hAnsi="Times New Roman"/>
        </w:rPr>
        <w:t>are party to most of the international human rights treaties</w:t>
      </w:r>
      <w:r w:rsidR="004D7462">
        <w:rPr>
          <w:rFonts w:ascii="Times New Roman" w:hAnsi="Times New Roman"/>
        </w:rPr>
        <w:t xml:space="preserve"> and therefore have a legal obligation to implement their provisions</w:t>
      </w:r>
      <w:r w:rsidR="00D2447F">
        <w:rPr>
          <w:rFonts w:ascii="Times New Roman" w:hAnsi="Times New Roman"/>
        </w:rPr>
        <w:t>, certainly to the ones most relevant to this study.</w:t>
      </w:r>
      <w:r w:rsidR="00D2447F">
        <w:rPr>
          <w:rStyle w:val="FootnoteReference"/>
          <w:rFonts w:ascii="Times New Roman" w:hAnsi="Times New Roman"/>
        </w:rPr>
        <w:footnoteReference w:id="69"/>
      </w:r>
      <w:r w:rsidR="004D7462">
        <w:rPr>
          <w:rFonts w:ascii="Times New Roman" w:hAnsi="Times New Roman"/>
        </w:rPr>
        <w:t xml:space="preserve"> </w:t>
      </w:r>
    </w:p>
    <w:p w14:paraId="4240B79F" w14:textId="77777777" w:rsidR="006E3D7F" w:rsidRDefault="006E3D7F" w:rsidP="00F51093">
      <w:pPr>
        <w:rPr>
          <w:rFonts w:ascii="Times New Roman" w:hAnsi="Times New Roman"/>
        </w:rPr>
      </w:pPr>
    </w:p>
    <w:tbl>
      <w:tblPr>
        <w:tblStyle w:val="TableGrid"/>
        <w:tblW w:w="9445" w:type="dxa"/>
        <w:tblLook w:val="04A0" w:firstRow="1" w:lastRow="0" w:firstColumn="1" w:lastColumn="0" w:noHBand="0" w:noVBand="1"/>
      </w:tblPr>
      <w:tblGrid>
        <w:gridCol w:w="1390"/>
        <w:gridCol w:w="976"/>
        <w:gridCol w:w="1123"/>
        <w:gridCol w:w="897"/>
        <w:gridCol w:w="723"/>
        <w:gridCol w:w="1137"/>
        <w:gridCol w:w="736"/>
        <w:gridCol w:w="883"/>
        <w:gridCol w:w="723"/>
        <w:gridCol w:w="857"/>
      </w:tblGrid>
      <w:tr w:rsidR="00313D15" w:rsidRPr="00313D15" w14:paraId="5EB0DD4F" w14:textId="77777777" w:rsidTr="00313D15">
        <w:tc>
          <w:tcPr>
            <w:tcW w:w="0" w:type="auto"/>
          </w:tcPr>
          <w:p w14:paraId="47D11724" w14:textId="77777777" w:rsidR="00313D15" w:rsidRPr="00313D15" w:rsidRDefault="00313D15" w:rsidP="00313D15">
            <w:pPr>
              <w:rPr>
                <w:rFonts w:asciiTheme="majorBidi" w:hAnsiTheme="majorBidi" w:cstheme="majorBidi"/>
              </w:rPr>
            </w:pPr>
            <w:r w:rsidRPr="00313D15">
              <w:rPr>
                <w:rFonts w:asciiTheme="majorBidi" w:hAnsiTheme="majorBidi" w:cstheme="majorBidi"/>
              </w:rPr>
              <w:t>Country</w:t>
            </w:r>
          </w:p>
        </w:tc>
        <w:tc>
          <w:tcPr>
            <w:tcW w:w="976" w:type="dxa"/>
          </w:tcPr>
          <w:p w14:paraId="3B71ABC0"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ICCPR</w:t>
            </w:r>
          </w:p>
        </w:tc>
        <w:tc>
          <w:tcPr>
            <w:tcW w:w="1123" w:type="dxa"/>
          </w:tcPr>
          <w:p w14:paraId="12D6BF44"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ICESCR</w:t>
            </w:r>
          </w:p>
        </w:tc>
        <w:tc>
          <w:tcPr>
            <w:tcW w:w="0" w:type="auto"/>
          </w:tcPr>
          <w:p w14:paraId="5374575D"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CERD</w:t>
            </w:r>
          </w:p>
        </w:tc>
        <w:tc>
          <w:tcPr>
            <w:tcW w:w="0" w:type="auto"/>
          </w:tcPr>
          <w:p w14:paraId="31486573"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CAT</w:t>
            </w:r>
          </w:p>
        </w:tc>
        <w:tc>
          <w:tcPr>
            <w:tcW w:w="0" w:type="auto"/>
          </w:tcPr>
          <w:p w14:paraId="4168BE60"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CEDAW</w:t>
            </w:r>
          </w:p>
        </w:tc>
        <w:tc>
          <w:tcPr>
            <w:tcW w:w="0" w:type="auto"/>
          </w:tcPr>
          <w:p w14:paraId="6A5C3B4B"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CRC</w:t>
            </w:r>
          </w:p>
        </w:tc>
        <w:tc>
          <w:tcPr>
            <w:tcW w:w="883" w:type="dxa"/>
          </w:tcPr>
          <w:p w14:paraId="6F5BA4F4"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CRPD</w:t>
            </w:r>
          </w:p>
        </w:tc>
        <w:tc>
          <w:tcPr>
            <w:tcW w:w="723" w:type="dxa"/>
          </w:tcPr>
          <w:p w14:paraId="29D41662"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CED</w:t>
            </w:r>
          </w:p>
        </w:tc>
        <w:tc>
          <w:tcPr>
            <w:tcW w:w="857" w:type="dxa"/>
          </w:tcPr>
          <w:p w14:paraId="486B7D40" w14:textId="77777777" w:rsidR="00313D15" w:rsidRPr="00313D15" w:rsidRDefault="00313D15" w:rsidP="00313D15">
            <w:pPr>
              <w:jc w:val="center"/>
              <w:rPr>
                <w:rFonts w:asciiTheme="majorBidi" w:hAnsiTheme="majorBidi" w:cstheme="majorBidi"/>
                <w:b/>
                <w:bCs/>
              </w:rPr>
            </w:pPr>
            <w:r w:rsidRPr="00313D15">
              <w:rPr>
                <w:rFonts w:asciiTheme="majorBidi" w:hAnsiTheme="majorBidi" w:cstheme="majorBidi"/>
                <w:b/>
                <w:bCs/>
              </w:rPr>
              <w:t>CMW</w:t>
            </w:r>
          </w:p>
        </w:tc>
      </w:tr>
      <w:tr w:rsidR="00313D15" w:rsidRPr="00D95A8C" w14:paraId="73E372FB" w14:textId="77777777" w:rsidTr="00313D15">
        <w:tc>
          <w:tcPr>
            <w:tcW w:w="0" w:type="auto"/>
          </w:tcPr>
          <w:p w14:paraId="42271077"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Algeria</w:t>
            </w:r>
          </w:p>
        </w:tc>
        <w:tc>
          <w:tcPr>
            <w:tcW w:w="976" w:type="dxa"/>
          </w:tcPr>
          <w:p w14:paraId="6FAF8D3A"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3CC9EEC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29D9C96B" w14:textId="77777777" w:rsidR="00313D15" w:rsidRPr="00D95A8C" w:rsidRDefault="00313D15" w:rsidP="00313D15">
            <w:pPr>
              <w:jc w:val="center"/>
              <w:rPr>
                <w:rFonts w:asciiTheme="majorBidi" w:hAnsiTheme="majorBidi" w:cstheme="majorBidi"/>
              </w:rPr>
            </w:pPr>
            <w:r w:rsidRPr="00D95A8C">
              <w:rPr>
                <w:rFonts w:asciiTheme="majorBidi" w:hAnsiTheme="majorBidi" w:cstheme="majorBidi"/>
              </w:rPr>
              <w:t>x</w:t>
            </w:r>
          </w:p>
        </w:tc>
        <w:tc>
          <w:tcPr>
            <w:tcW w:w="0" w:type="auto"/>
          </w:tcPr>
          <w:p w14:paraId="2310DD26"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5900B506"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B2D863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6C81C590"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49851541" w14:textId="77777777" w:rsidR="00313D15" w:rsidRPr="00D95A8C" w:rsidRDefault="00313D15" w:rsidP="00313D15">
            <w:pPr>
              <w:jc w:val="center"/>
              <w:rPr>
                <w:rFonts w:asciiTheme="majorBidi" w:hAnsiTheme="majorBidi" w:cstheme="majorBidi"/>
              </w:rPr>
            </w:pPr>
          </w:p>
        </w:tc>
        <w:tc>
          <w:tcPr>
            <w:tcW w:w="857" w:type="dxa"/>
          </w:tcPr>
          <w:p w14:paraId="118D46D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r>
      <w:tr w:rsidR="00313D15" w:rsidRPr="00D95A8C" w14:paraId="1845F30C" w14:textId="77777777" w:rsidTr="00313D15">
        <w:tc>
          <w:tcPr>
            <w:tcW w:w="0" w:type="auto"/>
          </w:tcPr>
          <w:p w14:paraId="77BEEEF5"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Bahrain</w:t>
            </w:r>
          </w:p>
        </w:tc>
        <w:tc>
          <w:tcPr>
            <w:tcW w:w="976" w:type="dxa"/>
          </w:tcPr>
          <w:p w14:paraId="72E21CD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677A783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061E04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25E5833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0E6DD9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3D0E909"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6088FB2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0218BF53" w14:textId="77777777" w:rsidR="00313D15" w:rsidRPr="00D95A8C" w:rsidRDefault="00313D15" w:rsidP="00313D15">
            <w:pPr>
              <w:jc w:val="center"/>
              <w:rPr>
                <w:rFonts w:asciiTheme="majorBidi" w:hAnsiTheme="majorBidi" w:cstheme="majorBidi"/>
              </w:rPr>
            </w:pPr>
          </w:p>
        </w:tc>
        <w:tc>
          <w:tcPr>
            <w:tcW w:w="857" w:type="dxa"/>
          </w:tcPr>
          <w:p w14:paraId="0A707BB1" w14:textId="77777777" w:rsidR="00313D15" w:rsidRPr="00D95A8C" w:rsidRDefault="00313D15" w:rsidP="00313D15">
            <w:pPr>
              <w:jc w:val="center"/>
              <w:rPr>
                <w:rFonts w:asciiTheme="majorBidi" w:hAnsiTheme="majorBidi" w:cstheme="majorBidi"/>
              </w:rPr>
            </w:pPr>
          </w:p>
        </w:tc>
      </w:tr>
      <w:tr w:rsidR="00313D15" w:rsidRPr="00D95A8C" w14:paraId="2EAEC661" w14:textId="77777777" w:rsidTr="00313D15">
        <w:tc>
          <w:tcPr>
            <w:tcW w:w="0" w:type="auto"/>
          </w:tcPr>
          <w:p w14:paraId="4E89D13D"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Egypt</w:t>
            </w:r>
          </w:p>
        </w:tc>
        <w:tc>
          <w:tcPr>
            <w:tcW w:w="976" w:type="dxa"/>
          </w:tcPr>
          <w:p w14:paraId="182D037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11EAB66A"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464AD3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5556E7DB"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209AF9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8A16D46"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73E9EC39"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701836B9" w14:textId="77777777" w:rsidR="00313D15" w:rsidRPr="00D95A8C" w:rsidRDefault="00313D15" w:rsidP="00313D15">
            <w:pPr>
              <w:jc w:val="center"/>
              <w:rPr>
                <w:rFonts w:asciiTheme="majorBidi" w:hAnsiTheme="majorBidi" w:cstheme="majorBidi"/>
              </w:rPr>
            </w:pPr>
          </w:p>
        </w:tc>
        <w:tc>
          <w:tcPr>
            <w:tcW w:w="857" w:type="dxa"/>
          </w:tcPr>
          <w:p w14:paraId="6BF8465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r>
      <w:tr w:rsidR="00313D15" w:rsidRPr="00D95A8C" w14:paraId="4066C689" w14:textId="77777777" w:rsidTr="00313D15">
        <w:tc>
          <w:tcPr>
            <w:tcW w:w="0" w:type="auto"/>
          </w:tcPr>
          <w:p w14:paraId="01FD4432"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Iraq</w:t>
            </w:r>
          </w:p>
        </w:tc>
        <w:tc>
          <w:tcPr>
            <w:tcW w:w="976" w:type="dxa"/>
          </w:tcPr>
          <w:p w14:paraId="6C2DD42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3531D46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53ADA51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7A450DB"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5BEBD0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16746E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7217178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7AEF790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57" w:type="dxa"/>
          </w:tcPr>
          <w:p w14:paraId="5003E4A1" w14:textId="77777777" w:rsidR="00313D15" w:rsidRPr="00D95A8C" w:rsidRDefault="00313D15" w:rsidP="00313D15">
            <w:pPr>
              <w:jc w:val="center"/>
              <w:rPr>
                <w:rFonts w:asciiTheme="majorBidi" w:hAnsiTheme="majorBidi" w:cstheme="majorBidi"/>
              </w:rPr>
            </w:pPr>
          </w:p>
        </w:tc>
      </w:tr>
      <w:tr w:rsidR="00313D15" w:rsidRPr="00D95A8C" w14:paraId="256D0263" w14:textId="77777777" w:rsidTr="00313D15">
        <w:tc>
          <w:tcPr>
            <w:tcW w:w="0" w:type="auto"/>
          </w:tcPr>
          <w:p w14:paraId="41DB4BA3"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Jordan</w:t>
            </w:r>
          </w:p>
        </w:tc>
        <w:tc>
          <w:tcPr>
            <w:tcW w:w="976" w:type="dxa"/>
          </w:tcPr>
          <w:p w14:paraId="14F18C3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119C4E28"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346F0EE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239B7A8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EB75E6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BACC64A"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2E400C48"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6A23E252" w14:textId="77777777" w:rsidR="00313D15" w:rsidRPr="00D95A8C" w:rsidRDefault="00313D15" w:rsidP="00313D15">
            <w:pPr>
              <w:jc w:val="center"/>
              <w:rPr>
                <w:rFonts w:asciiTheme="majorBidi" w:hAnsiTheme="majorBidi" w:cstheme="majorBidi"/>
              </w:rPr>
            </w:pPr>
          </w:p>
        </w:tc>
        <w:tc>
          <w:tcPr>
            <w:tcW w:w="857" w:type="dxa"/>
          </w:tcPr>
          <w:p w14:paraId="7DAE5E85" w14:textId="77777777" w:rsidR="00313D15" w:rsidRPr="00D95A8C" w:rsidRDefault="00313D15" w:rsidP="00313D15">
            <w:pPr>
              <w:jc w:val="center"/>
              <w:rPr>
                <w:rFonts w:asciiTheme="majorBidi" w:hAnsiTheme="majorBidi" w:cstheme="majorBidi"/>
              </w:rPr>
            </w:pPr>
          </w:p>
        </w:tc>
      </w:tr>
      <w:tr w:rsidR="00313D15" w:rsidRPr="00D95A8C" w14:paraId="4FB65F44" w14:textId="77777777" w:rsidTr="00313D15">
        <w:tc>
          <w:tcPr>
            <w:tcW w:w="0" w:type="auto"/>
          </w:tcPr>
          <w:p w14:paraId="6201635C"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Kuwait</w:t>
            </w:r>
          </w:p>
        </w:tc>
        <w:tc>
          <w:tcPr>
            <w:tcW w:w="976" w:type="dxa"/>
          </w:tcPr>
          <w:p w14:paraId="6A4DA0A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3F18230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C044B30"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BC5382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807B6C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2AFB301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017055E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4D9CEC5D" w14:textId="77777777" w:rsidR="00313D15" w:rsidRPr="00D95A8C" w:rsidRDefault="00313D15" w:rsidP="00313D15">
            <w:pPr>
              <w:jc w:val="center"/>
              <w:rPr>
                <w:rFonts w:asciiTheme="majorBidi" w:hAnsiTheme="majorBidi" w:cstheme="majorBidi"/>
              </w:rPr>
            </w:pPr>
          </w:p>
        </w:tc>
        <w:tc>
          <w:tcPr>
            <w:tcW w:w="857" w:type="dxa"/>
          </w:tcPr>
          <w:p w14:paraId="18249D61" w14:textId="77777777" w:rsidR="00313D15" w:rsidRPr="00D95A8C" w:rsidRDefault="00313D15" w:rsidP="00313D15">
            <w:pPr>
              <w:jc w:val="center"/>
              <w:rPr>
                <w:rFonts w:asciiTheme="majorBidi" w:hAnsiTheme="majorBidi" w:cstheme="majorBidi"/>
              </w:rPr>
            </w:pPr>
          </w:p>
        </w:tc>
      </w:tr>
      <w:tr w:rsidR="00313D15" w:rsidRPr="00D95A8C" w14:paraId="0FACEA52" w14:textId="77777777" w:rsidTr="00313D15">
        <w:tc>
          <w:tcPr>
            <w:tcW w:w="0" w:type="auto"/>
          </w:tcPr>
          <w:p w14:paraId="2271830E"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Lebanon</w:t>
            </w:r>
          </w:p>
        </w:tc>
        <w:tc>
          <w:tcPr>
            <w:tcW w:w="976" w:type="dxa"/>
          </w:tcPr>
          <w:p w14:paraId="77BD714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39AF655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8CEBB0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DE8E26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A41E5A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D150566"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3A7CF518" w14:textId="77777777" w:rsidR="00313D15" w:rsidRPr="00D95A8C" w:rsidRDefault="00313D15" w:rsidP="00313D15">
            <w:pPr>
              <w:jc w:val="center"/>
              <w:rPr>
                <w:rFonts w:asciiTheme="majorBidi" w:hAnsiTheme="majorBidi" w:cstheme="majorBidi"/>
              </w:rPr>
            </w:pPr>
          </w:p>
        </w:tc>
        <w:tc>
          <w:tcPr>
            <w:tcW w:w="723" w:type="dxa"/>
          </w:tcPr>
          <w:p w14:paraId="66D367CB" w14:textId="77777777" w:rsidR="00313D15" w:rsidRPr="00D95A8C" w:rsidRDefault="00313D15" w:rsidP="00313D15">
            <w:pPr>
              <w:jc w:val="center"/>
              <w:rPr>
                <w:rFonts w:asciiTheme="majorBidi" w:hAnsiTheme="majorBidi" w:cstheme="majorBidi"/>
              </w:rPr>
            </w:pPr>
          </w:p>
        </w:tc>
        <w:tc>
          <w:tcPr>
            <w:tcW w:w="857" w:type="dxa"/>
          </w:tcPr>
          <w:p w14:paraId="5741BAED" w14:textId="77777777" w:rsidR="00313D15" w:rsidRPr="00D95A8C" w:rsidRDefault="00313D15" w:rsidP="00313D15">
            <w:pPr>
              <w:jc w:val="center"/>
              <w:rPr>
                <w:rFonts w:asciiTheme="majorBidi" w:hAnsiTheme="majorBidi" w:cstheme="majorBidi"/>
              </w:rPr>
            </w:pPr>
          </w:p>
        </w:tc>
      </w:tr>
      <w:tr w:rsidR="00313D15" w:rsidRPr="00D95A8C" w14:paraId="17865D9F" w14:textId="77777777" w:rsidTr="00313D15">
        <w:tc>
          <w:tcPr>
            <w:tcW w:w="0" w:type="auto"/>
          </w:tcPr>
          <w:p w14:paraId="77A6058E"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Libya</w:t>
            </w:r>
          </w:p>
        </w:tc>
        <w:tc>
          <w:tcPr>
            <w:tcW w:w="976" w:type="dxa"/>
          </w:tcPr>
          <w:p w14:paraId="37301A8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4B75EC3B"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5F468B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C618FF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5DDCB8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8D4F198"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1C455D57" w14:textId="77777777" w:rsidR="00313D15" w:rsidRPr="00D95A8C" w:rsidRDefault="00313D15" w:rsidP="00313D15">
            <w:pPr>
              <w:jc w:val="center"/>
              <w:rPr>
                <w:rFonts w:asciiTheme="majorBidi" w:hAnsiTheme="majorBidi" w:cstheme="majorBidi"/>
              </w:rPr>
            </w:pPr>
          </w:p>
        </w:tc>
        <w:tc>
          <w:tcPr>
            <w:tcW w:w="723" w:type="dxa"/>
          </w:tcPr>
          <w:p w14:paraId="2C1A95AB" w14:textId="77777777" w:rsidR="00313D15" w:rsidRPr="00D95A8C" w:rsidRDefault="00313D15" w:rsidP="00313D15">
            <w:pPr>
              <w:jc w:val="center"/>
              <w:rPr>
                <w:rFonts w:asciiTheme="majorBidi" w:hAnsiTheme="majorBidi" w:cstheme="majorBidi"/>
              </w:rPr>
            </w:pPr>
          </w:p>
        </w:tc>
        <w:tc>
          <w:tcPr>
            <w:tcW w:w="857" w:type="dxa"/>
          </w:tcPr>
          <w:p w14:paraId="12EC8A6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r>
      <w:tr w:rsidR="00313D15" w:rsidRPr="00D95A8C" w14:paraId="2D23270E" w14:textId="77777777" w:rsidTr="00313D15">
        <w:tc>
          <w:tcPr>
            <w:tcW w:w="0" w:type="auto"/>
          </w:tcPr>
          <w:p w14:paraId="18C26C30"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Mauritania</w:t>
            </w:r>
          </w:p>
        </w:tc>
        <w:tc>
          <w:tcPr>
            <w:tcW w:w="976" w:type="dxa"/>
          </w:tcPr>
          <w:p w14:paraId="75BD359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76BDDEF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D20509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BBFE7F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5C32394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DCD51F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18CEF290"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563C32C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57" w:type="dxa"/>
          </w:tcPr>
          <w:p w14:paraId="5E74425F"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r>
      <w:tr w:rsidR="00313D15" w:rsidRPr="00D95A8C" w14:paraId="16DC8DC5" w14:textId="77777777" w:rsidTr="00313D15">
        <w:tc>
          <w:tcPr>
            <w:tcW w:w="0" w:type="auto"/>
          </w:tcPr>
          <w:p w14:paraId="389E172F"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Morocco</w:t>
            </w:r>
          </w:p>
        </w:tc>
        <w:tc>
          <w:tcPr>
            <w:tcW w:w="976" w:type="dxa"/>
          </w:tcPr>
          <w:p w14:paraId="23EC2A69"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3623CAC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627C6F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F0960FB"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5DA2FD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E69F67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5221F9D8"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7C7AA48A"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57" w:type="dxa"/>
          </w:tcPr>
          <w:p w14:paraId="0807308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r>
      <w:tr w:rsidR="00313D15" w:rsidRPr="00D95A8C" w14:paraId="73DF35B0" w14:textId="77777777" w:rsidTr="00313D15">
        <w:tc>
          <w:tcPr>
            <w:tcW w:w="0" w:type="auto"/>
          </w:tcPr>
          <w:p w14:paraId="26378E4B"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Oman</w:t>
            </w:r>
          </w:p>
        </w:tc>
        <w:tc>
          <w:tcPr>
            <w:tcW w:w="976" w:type="dxa"/>
          </w:tcPr>
          <w:p w14:paraId="3C5A90EA" w14:textId="77777777" w:rsidR="00313D15" w:rsidRPr="00D95A8C" w:rsidRDefault="00313D15" w:rsidP="00313D15">
            <w:pPr>
              <w:jc w:val="center"/>
              <w:rPr>
                <w:rFonts w:asciiTheme="majorBidi" w:hAnsiTheme="majorBidi" w:cstheme="majorBidi"/>
              </w:rPr>
            </w:pPr>
          </w:p>
        </w:tc>
        <w:tc>
          <w:tcPr>
            <w:tcW w:w="1123" w:type="dxa"/>
          </w:tcPr>
          <w:p w14:paraId="7976274A" w14:textId="77777777" w:rsidR="00313D15" w:rsidRPr="00D95A8C" w:rsidRDefault="00313D15" w:rsidP="00313D15">
            <w:pPr>
              <w:jc w:val="center"/>
              <w:rPr>
                <w:rFonts w:asciiTheme="majorBidi" w:hAnsiTheme="majorBidi" w:cstheme="majorBidi"/>
              </w:rPr>
            </w:pPr>
          </w:p>
        </w:tc>
        <w:tc>
          <w:tcPr>
            <w:tcW w:w="0" w:type="auto"/>
          </w:tcPr>
          <w:p w14:paraId="44CE2A4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343800DE" w14:textId="77777777" w:rsidR="00313D15" w:rsidRPr="00D95A8C" w:rsidRDefault="00313D15" w:rsidP="00313D15">
            <w:pPr>
              <w:jc w:val="center"/>
              <w:rPr>
                <w:rFonts w:asciiTheme="majorBidi" w:hAnsiTheme="majorBidi" w:cstheme="majorBidi"/>
              </w:rPr>
            </w:pPr>
          </w:p>
        </w:tc>
        <w:tc>
          <w:tcPr>
            <w:tcW w:w="0" w:type="auto"/>
          </w:tcPr>
          <w:p w14:paraId="638604C9"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27727F7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6E8FE58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2165067F" w14:textId="77777777" w:rsidR="00313D15" w:rsidRPr="00D95A8C" w:rsidRDefault="00313D15" w:rsidP="00313D15">
            <w:pPr>
              <w:jc w:val="center"/>
              <w:rPr>
                <w:rFonts w:asciiTheme="majorBidi" w:hAnsiTheme="majorBidi" w:cstheme="majorBidi"/>
              </w:rPr>
            </w:pPr>
          </w:p>
        </w:tc>
        <w:tc>
          <w:tcPr>
            <w:tcW w:w="857" w:type="dxa"/>
          </w:tcPr>
          <w:p w14:paraId="3BB6EE42" w14:textId="77777777" w:rsidR="00313D15" w:rsidRPr="00D95A8C" w:rsidRDefault="00313D15" w:rsidP="00313D15">
            <w:pPr>
              <w:jc w:val="center"/>
              <w:rPr>
                <w:rFonts w:asciiTheme="majorBidi" w:hAnsiTheme="majorBidi" w:cstheme="majorBidi"/>
              </w:rPr>
            </w:pPr>
          </w:p>
        </w:tc>
      </w:tr>
      <w:tr w:rsidR="00313D15" w:rsidRPr="00D95A8C" w14:paraId="65CA9855" w14:textId="77777777" w:rsidTr="00313D15">
        <w:tc>
          <w:tcPr>
            <w:tcW w:w="0" w:type="auto"/>
          </w:tcPr>
          <w:p w14:paraId="551B875D"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Palestine</w:t>
            </w:r>
          </w:p>
        </w:tc>
        <w:tc>
          <w:tcPr>
            <w:tcW w:w="976" w:type="dxa"/>
          </w:tcPr>
          <w:p w14:paraId="1C24E05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4DBE3B9F"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602257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B63425B"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59F582E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3AAB129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4FF5C3D6"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2266C86E" w14:textId="77777777" w:rsidR="00313D15" w:rsidRPr="00D95A8C" w:rsidRDefault="00313D15" w:rsidP="00313D15">
            <w:pPr>
              <w:jc w:val="center"/>
              <w:rPr>
                <w:rFonts w:asciiTheme="majorBidi" w:hAnsiTheme="majorBidi" w:cstheme="majorBidi"/>
              </w:rPr>
            </w:pPr>
          </w:p>
        </w:tc>
        <w:tc>
          <w:tcPr>
            <w:tcW w:w="857" w:type="dxa"/>
          </w:tcPr>
          <w:p w14:paraId="5C23D5B6" w14:textId="77777777" w:rsidR="00313D15" w:rsidRPr="00D95A8C" w:rsidRDefault="00313D15" w:rsidP="00313D15">
            <w:pPr>
              <w:jc w:val="center"/>
              <w:rPr>
                <w:rFonts w:asciiTheme="majorBidi" w:hAnsiTheme="majorBidi" w:cstheme="majorBidi"/>
              </w:rPr>
            </w:pPr>
          </w:p>
        </w:tc>
      </w:tr>
      <w:tr w:rsidR="00313D15" w:rsidRPr="00D95A8C" w14:paraId="0BA57C41" w14:textId="77777777" w:rsidTr="00313D15">
        <w:tc>
          <w:tcPr>
            <w:tcW w:w="0" w:type="auto"/>
          </w:tcPr>
          <w:p w14:paraId="2842E054"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Qatar</w:t>
            </w:r>
          </w:p>
        </w:tc>
        <w:tc>
          <w:tcPr>
            <w:tcW w:w="976" w:type="dxa"/>
          </w:tcPr>
          <w:p w14:paraId="28A4BC20" w14:textId="77777777" w:rsidR="00313D15" w:rsidRPr="00D95A8C" w:rsidRDefault="00313D15" w:rsidP="00313D15">
            <w:pPr>
              <w:jc w:val="center"/>
              <w:rPr>
                <w:rFonts w:asciiTheme="majorBidi" w:hAnsiTheme="majorBidi" w:cstheme="majorBidi"/>
              </w:rPr>
            </w:pPr>
          </w:p>
        </w:tc>
        <w:tc>
          <w:tcPr>
            <w:tcW w:w="1123" w:type="dxa"/>
          </w:tcPr>
          <w:p w14:paraId="52D1E7A6" w14:textId="77777777" w:rsidR="00313D15" w:rsidRPr="00D95A8C" w:rsidRDefault="00313D15" w:rsidP="00313D15">
            <w:pPr>
              <w:jc w:val="center"/>
              <w:rPr>
                <w:rFonts w:asciiTheme="majorBidi" w:hAnsiTheme="majorBidi" w:cstheme="majorBidi"/>
              </w:rPr>
            </w:pPr>
          </w:p>
        </w:tc>
        <w:tc>
          <w:tcPr>
            <w:tcW w:w="0" w:type="auto"/>
          </w:tcPr>
          <w:p w14:paraId="59B0A4D8"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8B0CEA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1F3E05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3F31C83"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0099A76F"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21B8F8A3" w14:textId="77777777" w:rsidR="00313D15" w:rsidRPr="00D95A8C" w:rsidRDefault="00313D15" w:rsidP="00313D15">
            <w:pPr>
              <w:jc w:val="center"/>
              <w:rPr>
                <w:rFonts w:asciiTheme="majorBidi" w:hAnsiTheme="majorBidi" w:cstheme="majorBidi"/>
              </w:rPr>
            </w:pPr>
          </w:p>
        </w:tc>
        <w:tc>
          <w:tcPr>
            <w:tcW w:w="857" w:type="dxa"/>
          </w:tcPr>
          <w:p w14:paraId="5027383E" w14:textId="77777777" w:rsidR="00313D15" w:rsidRPr="00D95A8C" w:rsidRDefault="00313D15" w:rsidP="00313D15">
            <w:pPr>
              <w:jc w:val="center"/>
              <w:rPr>
                <w:rFonts w:asciiTheme="majorBidi" w:hAnsiTheme="majorBidi" w:cstheme="majorBidi"/>
              </w:rPr>
            </w:pPr>
          </w:p>
        </w:tc>
      </w:tr>
      <w:tr w:rsidR="00313D15" w:rsidRPr="00D95A8C" w14:paraId="469EDD63" w14:textId="77777777" w:rsidTr="00313D15">
        <w:tc>
          <w:tcPr>
            <w:tcW w:w="0" w:type="auto"/>
          </w:tcPr>
          <w:p w14:paraId="669C7D9D"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Saudi Arabia</w:t>
            </w:r>
          </w:p>
        </w:tc>
        <w:tc>
          <w:tcPr>
            <w:tcW w:w="976" w:type="dxa"/>
          </w:tcPr>
          <w:p w14:paraId="1C8BCC20" w14:textId="77777777" w:rsidR="00313D15" w:rsidRPr="00D95A8C" w:rsidRDefault="00313D15" w:rsidP="00313D15">
            <w:pPr>
              <w:jc w:val="center"/>
              <w:rPr>
                <w:rFonts w:asciiTheme="majorBidi" w:hAnsiTheme="majorBidi" w:cstheme="majorBidi"/>
              </w:rPr>
            </w:pPr>
          </w:p>
        </w:tc>
        <w:tc>
          <w:tcPr>
            <w:tcW w:w="1123" w:type="dxa"/>
          </w:tcPr>
          <w:p w14:paraId="3A22A42B" w14:textId="77777777" w:rsidR="00313D15" w:rsidRPr="00D95A8C" w:rsidRDefault="00313D15" w:rsidP="00313D15">
            <w:pPr>
              <w:jc w:val="center"/>
              <w:rPr>
                <w:rFonts w:asciiTheme="majorBidi" w:hAnsiTheme="majorBidi" w:cstheme="majorBidi"/>
              </w:rPr>
            </w:pPr>
          </w:p>
        </w:tc>
        <w:tc>
          <w:tcPr>
            <w:tcW w:w="0" w:type="auto"/>
          </w:tcPr>
          <w:p w14:paraId="5E00D678"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130930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F867BA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542309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574E43C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708A2079" w14:textId="77777777" w:rsidR="00313D15" w:rsidRPr="00D95A8C" w:rsidRDefault="00313D15" w:rsidP="00313D15">
            <w:pPr>
              <w:jc w:val="center"/>
              <w:rPr>
                <w:rFonts w:asciiTheme="majorBidi" w:hAnsiTheme="majorBidi" w:cstheme="majorBidi"/>
              </w:rPr>
            </w:pPr>
          </w:p>
        </w:tc>
        <w:tc>
          <w:tcPr>
            <w:tcW w:w="857" w:type="dxa"/>
          </w:tcPr>
          <w:p w14:paraId="7E0CA83B" w14:textId="77777777" w:rsidR="00313D15" w:rsidRPr="00D95A8C" w:rsidRDefault="00313D15" w:rsidP="00313D15">
            <w:pPr>
              <w:jc w:val="center"/>
              <w:rPr>
                <w:rFonts w:asciiTheme="majorBidi" w:hAnsiTheme="majorBidi" w:cstheme="majorBidi"/>
              </w:rPr>
            </w:pPr>
          </w:p>
        </w:tc>
      </w:tr>
      <w:tr w:rsidR="00313D15" w:rsidRPr="00D95A8C" w14:paraId="1008A34F" w14:textId="77777777" w:rsidTr="00313D15">
        <w:tc>
          <w:tcPr>
            <w:tcW w:w="0" w:type="auto"/>
          </w:tcPr>
          <w:p w14:paraId="57A005D7"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Syria</w:t>
            </w:r>
          </w:p>
        </w:tc>
        <w:tc>
          <w:tcPr>
            <w:tcW w:w="976" w:type="dxa"/>
          </w:tcPr>
          <w:p w14:paraId="310CF20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58ACF59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E568AE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591BB31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16B20D8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7BD2F1C"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3FC51AD1"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07A28F02" w14:textId="77777777" w:rsidR="00313D15" w:rsidRPr="00D95A8C" w:rsidRDefault="00313D15" w:rsidP="00313D15">
            <w:pPr>
              <w:jc w:val="center"/>
              <w:rPr>
                <w:rFonts w:asciiTheme="majorBidi" w:hAnsiTheme="majorBidi" w:cstheme="majorBidi"/>
              </w:rPr>
            </w:pPr>
          </w:p>
        </w:tc>
        <w:tc>
          <w:tcPr>
            <w:tcW w:w="857" w:type="dxa"/>
          </w:tcPr>
          <w:p w14:paraId="0254F35B"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r>
      <w:tr w:rsidR="00313D15" w:rsidRPr="00D95A8C" w14:paraId="6755886C" w14:textId="77777777" w:rsidTr="00313D15">
        <w:tc>
          <w:tcPr>
            <w:tcW w:w="0" w:type="auto"/>
          </w:tcPr>
          <w:p w14:paraId="366DB87D"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Tunisia</w:t>
            </w:r>
          </w:p>
        </w:tc>
        <w:tc>
          <w:tcPr>
            <w:tcW w:w="976" w:type="dxa"/>
          </w:tcPr>
          <w:p w14:paraId="2A4B530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26BCEF30"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3930CE64"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206AB6E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38F6CCC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6F1B9FFF"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11D5FD70"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596878A5"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57" w:type="dxa"/>
          </w:tcPr>
          <w:p w14:paraId="17E92C4F" w14:textId="77777777" w:rsidR="00313D15" w:rsidRPr="00D95A8C" w:rsidRDefault="00313D15" w:rsidP="00313D15">
            <w:pPr>
              <w:jc w:val="center"/>
              <w:rPr>
                <w:rFonts w:asciiTheme="majorBidi" w:hAnsiTheme="majorBidi" w:cstheme="majorBidi"/>
              </w:rPr>
            </w:pPr>
          </w:p>
        </w:tc>
      </w:tr>
      <w:tr w:rsidR="00313D15" w:rsidRPr="00D95A8C" w14:paraId="114B9DBF" w14:textId="77777777" w:rsidTr="00313D15">
        <w:tc>
          <w:tcPr>
            <w:tcW w:w="0" w:type="auto"/>
          </w:tcPr>
          <w:p w14:paraId="575F7A23"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lastRenderedPageBreak/>
              <w:t>U.A.E.</w:t>
            </w:r>
          </w:p>
        </w:tc>
        <w:tc>
          <w:tcPr>
            <w:tcW w:w="976" w:type="dxa"/>
          </w:tcPr>
          <w:p w14:paraId="04DD87EE" w14:textId="77777777" w:rsidR="00313D15" w:rsidRPr="00D95A8C" w:rsidRDefault="00313D15" w:rsidP="00313D15">
            <w:pPr>
              <w:jc w:val="center"/>
              <w:rPr>
                <w:rFonts w:asciiTheme="majorBidi" w:hAnsiTheme="majorBidi" w:cstheme="majorBidi"/>
              </w:rPr>
            </w:pPr>
          </w:p>
        </w:tc>
        <w:tc>
          <w:tcPr>
            <w:tcW w:w="1123" w:type="dxa"/>
          </w:tcPr>
          <w:p w14:paraId="41B46890" w14:textId="77777777" w:rsidR="00313D15" w:rsidRPr="00D95A8C" w:rsidRDefault="00313D15" w:rsidP="00313D15">
            <w:pPr>
              <w:jc w:val="center"/>
              <w:rPr>
                <w:rFonts w:asciiTheme="majorBidi" w:hAnsiTheme="majorBidi" w:cstheme="majorBidi"/>
              </w:rPr>
            </w:pPr>
          </w:p>
        </w:tc>
        <w:tc>
          <w:tcPr>
            <w:tcW w:w="0" w:type="auto"/>
          </w:tcPr>
          <w:p w14:paraId="411C3182"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71A40FDB"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3E013746"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FB255DD"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0794EC89"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7742F0CC" w14:textId="77777777" w:rsidR="00313D15" w:rsidRPr="00D95A8C" w:rsidRDefault="00313D15" w:rsidP="00313D15">
            <w:pPr>
              <w:jc w:val="center"/>
              <w:rPr>
                <w:rFonts w:asciiTheme="majorBidi" w:hAnsiTheme="majorBidi" w:cstheme="majorBidi"/>
              </w:rPr>
            </w:pPr>
          </w:p>
        </w:tc>
        <w:tc>
          <w:tcPr>
            <w:tcW w:w="857" w:type="dxa"/>
          </w:tcPr>
          <w:p w14:paraId="5E1CC8AE" w14:textId="77777777" w:rsidR="00313D15" w:rsidRPr="00D95A8C" w:rsidRDefault="00313D15" w:rsidP="00313D15">
            <w:pPr>
              <w:jc w:val="center"/>
              <w:rPr>
                <w:rFonts w:asciiTheme="majorBidi" w:hAnsiTheme="majorBidi" w:cstheme="majorBidi"/>
              </w:rPr>
            </w:pPr>
          </w:p>
        </w:tc>
      </w:tr>
      <w:tr w:rsidR="00313D15" w:rsidRPr="00D95A8C" w14:paraId="47967509" w14:textId="77777777" w:rsidTr="00313D15">
        <w:tc>
          <w:tcPr>
            <w:tcW w:w="0" w:type="auto"/>
          </w:tcPr>
          <w:p w14:paraId="1CEF5665" w14:textId="77777777" w:rsidR="00313D15" w:rsidRPr="00313D15" w:rsidRDefault="00313D15" w:rsidP="00313D15">
            <w:pPr>
              <w:rPr>
                <w:rFonts w:asciiTheme="majorBidi" w:hAnsiTheme="majorBidi" w:cstheme="majorBidi"/>
                <w:b/>
                <w:bCs/>
              </w:rPr>
            </w:pPr>
            <w:r w:rsidRPr="00313D15">
              <w:rPr>
                <w:rFonts w:asciiTheme="majorBidi" w:hAnsiTheme="majorBidi" w:cstheme="majorBidi"/>
                <w:b/>
                <w:bCs/>
              </w:rPr>
              <w:t>Yemen</w:t>
            </w:r>
          </w:p>
        </w:tc>
        <w:tc>
          <w:tcPr>
            <w:tcW w:w="976" w:type="dxa"/>
          </w:tcPr>
          <w:p w14:paraId="24D22866"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1123" w:type="dxa"/>
          </w:tcPr>
          <w:p w14:paraId="2D64A460"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0902D01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4BF6CF30"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5677386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0" w:type="auto"/>
          </w:tcPr>
          <w:p w14:paraId="36BCC58E"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883" w:type="dxa"/>
          </w:tcPr>
          <w:p w14:paraId="02F39A27" w14:textId="77777777" w:rsidR="00313D15" w:rsidRPr="00D95A8C" w:rsidRDefault="00313D15" w:rsidP="00313D15">
            <w:pPr>
              <w:jc w:val="center"/>
              <w:rPr>
                <w:rFonts w:asciiTheme="majorBidi" w:hAnsiTheme="majorBidi" w:cstheme="majorBidi"/>
              </w:rPr>
            </w:pPr>
            <w:r>
              <w:rPr>
                <w:rFonts w:asciiTheme="majorBidi" w:hAnsiTheme="majorBidi" w:cstheme="majorBidi"/>
              </w:rPr>
              <w:t>x</w:t>
            </w:r>
          </w:p>
        </w:tc>
        <w:tc>
          <w:tcPr>
            <w:tcW w:w="723" w:type="dxa"/>
          </w:tcPr>
          <w:p w14:paraId="566D7B2C" w14:textId="77777777" w:rsidR="00313D15" w:rsidRPr="00D95A8C" w:rsidRDefault="00313D15" w:rsidP="00313D15">
            <w:pPr>
              <w:jc w:val="center"/>
              <w:rPr>
                <w:rFonts w:asciiTheme="majorBidi" w:hAnsiTheme="majorBidi" w:cstheme="majorBidi"/>
              </w:rPr>
            </w:pPr>
          </w:p>
        </w:tc>
        <w:tc>
          <w:tcPr>
            <w:tcW w:w="857" w:type="dxa"/>
          </w:tcPr>
          <w:p w14:paraId="411B18E2" w14:textId="77777777" w:rsidR="00313D15" w:rsidRPr="00D95A8C" w:rsidRDefault="00313D15" w:rsidP="00313D15">
            <w:pPr>
              <w:jc w:val="center"/>
              <w:rPr>
                <w:rFonts w:asciiTheme="majorBidi" w:hAnsiTheme="majorBidi" w:cstheme="majorBidi"/>
              </w:rPr>
            </w:pPr>
          </w:p>
        </w:tc>
      </w:tr>
      <w:tr w:rsidR="00313D15" w:rsidRPr="00D95A8C" w14:paraId="3A52538E" w14:textId="77777777" w:rsidTr="00313D15">
        <w:tc>
          <w:tcPr>
            <w:tcW w:w="0" w:type="auto"/>
          </w:tcPr>
          <w:p w14:paraId="7214B96D" w14:textId="77777777" w:rsidR="00313D15" w:rsidRPr="00313D15" w:rsidRDefault="00313D15" w:rsidP="00313D15">
            <w:pPr>
              <w:rPr>
                <w:rFonts w:asciiTheme="majorBidi" w:hAnsiTheme="majorBidi" w:cstheme="majorBidi"/>
                <w:b/>
                <w:bCs/>
              </w:rPr>
            </w:pPr>
          </w:p>
        </w:tc>
        <w:tc>
          <w:tcPr>
            <w:tcW w:w="976" w:type="dxa"/>
          </w:tcPr>
          <w:p w14:paraId="201A7EAA"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14</w:t>
            </w:r>
          </w:p>
        </w:tc>
        <w:tc>
          <w:tcPr>
            <w:tcW w:w="1123" w:type="dxa"/>
          </w:tcPr>
          <w:p w14:paraId="337A012C"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14</w:t>
            </w:r>
          </w:p>
        </w:tc>
        <w:tc>
          <w:tcPr>
            <w:tcW w:w="0" w:type="auto"/>
          </w:tcPr>
          <w:p w14:paraId="6A8BBE69"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18</w:t>
            </w:r>
          </w:p>
        </w:tc>
        <w:tc>
          <w:tcPr>
            <w:tcW w:w="0" w:type="auto"/>
          </w:tcPr>
          <w:p w14:paraId="0E14C2A6"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17</w:t>
            </w:r>
          </w:p>
        </w:tc>
        <w:tc>
          <w:tcPr>
            <w:tcW w:w="0" w:type="auto"/>
          </w:tcPr>
          <w:p w14:paraId="4D7C217C"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18</w:t>
            </w:r>
          </w:p>
        </w:tc>
        <w:tc>
          <w:tcPr>
            <w:tcW w:w="0" w:type="auto"/>
          </w:tcPr>
          <w:p w14:paraId="2E1D8151"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18</w:t>
            </w:r>
          </w:p>
        </w:tc>
        <w:tc>
          <w:tcPr>
            <w:tcW w:w="883" w:type="dxa"/>
          </w:tcPr>
          <w:p w14:paraId="3CF6D026"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16</w:t>
            </w:r>
          </w:p>
        </w:tc>
        <w:tc>
          <w:tcPr>
            <w:tcW w:w="723" w:type="dxa"/>
          </w:tcPr>
          <w:p w14:paraId="639C25D5"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4</w:t>
            </w:r>
          </w:p>
        </w:tc>
        <w:tc>
          <w:tcPr>
            <w:tcW w:w="857" w:type="dxa"/>
          </w:tcPr>
          <w:p w14:paraId="78644906" w14:textId="77777777" w:rsidR="00313D15" w:rsidRPr="00D2447F" w:rsidRDefault="00313D15" w:rsidP="00313D15">
            <w:pPr>
              <w:jc w:val="center"/>
              <w:rPr>
                <w:rFonts w:asciiTheme="majorBidi" w:hAnsiTheme="majorBidi" w:cstheme="majorBidi"/>
                <w:b/>
                <w:bCs/>
              </w:rPr>
            </w:pPr>
            <w:r w:rsidRPr="00D2447F">
              <w:rPr>
                <w:rFonts w:asciiTheme="majorBidi" w:hAnsiTheme="majorBidi" w:cstheme="majorBidi"/>
                <w:b/>
                <w:bCs/>
              </w:rPr>
              <w:t>6</w:t>
            </w:r>
          </w:p>
        </w:tc>
      </w:tr>
    </w:tbl>
    <w:p w14:paraId="035C497A" w14:textId="77777777" w:rsidR="00313D15" w:rsidRDefault="00313D15" w:rsidP="00F51093">
      <w:pPr>
        <w:rPr>
          <w:rFonts w:ascii="Times New Roman" w:hAnsi="Times New Roman"/>
        </w:rPr>
      </w:pPr>
    </w:p>
    <w:p w14:paraId="067B8D76" w14:textId="77777777" w:rsidR="006E3D7F" w:rsidRDefault="00A914AF" w:rsidP="000825D8">
      <w:pPr>
        <w:rPr>
          <w:rFonts w:ascii="Times New Roman" w:hAnsi="Times New Roman"/>
        </w:rPr>
      </w:pPr>
      <w:r>
        <w:rPr>
          <w:rFonts w:ascii="Times New Roman" w:hAnsi="Times New Roman"/>
        </w:rPr>
        <w:t xml:space="preserve"> </w:t>
      </w:r>
    </w:p>
    <w:p w14:paraId="4CEEADED" w14:textId="77777777" w:rsidR="00F51093" w:rsidRDefault="00814814" w:rsidP="00B1206F">
      <w:pPr>
        <w:jc w:val="both"/>
        <w:rPr>
          <w:rFonts w:ascii="Times New Roman" w:hAnsi="Times New Roman"/>
        </w:rPr>
      </w:pPr>
      <w:r>
        <w:rPr>
          <w:rFonts w:ascii="Times New Roman" w:hAnsi="Times New Roman"/>
        </w:rPr>
        <w:t xml:space="preserve">The Arab states’ </w:t>
      </w:r>
      <w:r w:rsidR="00F51093">
        <w:rPr>
          <w:rFonts w:ascii="Times New Roman" w:hAnsi="Times New Roman"/>
        </w:rPr>
        <w:t xml:space="preserve">engagement with </w:t>
      </w:r>
      <w:r w:rsidR="00A914AF">
        <w:rPr>
          <w:rFonts w:ascii="Times New Roman" w:hAnsi="Times New Roman"/>
        </w:rPr>
        <w:t>the U.N. human rights system</w:t>
      </w:r>
      <w:r w:rsidR="00F51093">
        <w:rPr>
          <w:rFonts w:ascii="Times New Roman" w:hAnsi="Times New Roman"/>
        </w:rPr>
        <w:t xml:space="preserve"> as whole mirrors that </w:t>
      </w:r>
      <w:r w:rsidR="00A914AF">
        <w:rPr>
          <w:rFonts w:ascii="Times New Roman" w:hAnsi="Times New Roman"/>
        </w:rPr>
        <w:t>of the rest of the worl</w:t>
      </w:r>
      <w:r w:rsidR="00F51093">
        <w:rPr>
          <w:rFonts w:ascii="Times New Roman" w:hAnsi="Times New Roman"/>
        </w:rPr>
        <w:t>d. National reports to the treaty bodies are often late and implementation from one cycle to another is not always sufficiently tracked.</w:t>
      </w:r>
      <w:r w:rsidR="00F51093">
        <w:rPr>
          <w:rStyle w:val="FootnoteReference"/>
          <w:rFonts w:ascii="Times New Roman" w:hAnsi="Times New Roman"/>
        </w:rPr>
        <w:footnoteReference w:id="70"/>
      </w:r>
      <w:r w:rsidR="00F51093">
        <w:rPr>
          <w:rFonts w:ascii="Times New Roman" w:hAnsi="Times New Roman"/>
        </w:rPr>
        <w:t xml:space="preserve"> </w:t>
      </w:r>
      <w:r w:rsidR="00D02F9F">
        <w:rPr>
          <w:rFonts w:ascii="Times New Roman" w:hAnsi="Times New Roman"/>
        </w:rPr>
        <w:t>Therefore, the information herein should be seen as indicative rather than exhaustive or entirely demonstrative</w:t>
      </w:r>
      <w:r w:rsidR="000C7DA2">
        <w:rPr>
          <w:rFonts w:ascii="Times New Roman" w:hAnsi="Times New Roman"/>
        </w:rPr>
        <w:t xml:space="preserve"> of the full discussions of their reports</w:t>
      </w:r>
      <w:r w:rsidR="00D02F9F">
        <w:rPr>
          <w:rFonts w:ascii="Times New Roman" w:hAnsi="Times New Roman"/>
        </w:rPr>
        <w:t xml:space="preserve">. </w:t>
      </w:r>
      <w:r w:rsidR="002754AF">
        <w:rPr>
          <w:rFonts w:ascii="Times New Roman" w:hAnsi="Times New Roman"/>
        </w:rPr>
        <w:t>The treaty bodies have expressed the following concerns to Arab states regarding the exercise of rights relevant to the exercise of the equal right to participate in public affairs. Included in the summary below are</w:t>
      </w:r>
      <w:r w:rsidR="000C7DA2">
        <w:rPr>
          <w:rFonts w:ascii="Times New Roman" w:hAnsi="Times New Roman"/>
        </w:rPr>
        <w:t xml:space="preserve"> </w:t>
      </w:r>
      <w:r w:rsidR="002754AF">
        <w:rPr>
          <w:rFonts w:ascii="Times New Roman" w:hAnsi="Times New Roman"/>
        </w:rPr>
        <w:t xml:space="preserve">also </w:t>
      </w:r>
      <w:r w:rsidR="000C7DA2">
        <w:rPr>
          <w:rFonts w:ascii="Times New Roman" w:hAnsi="Times New Roman"/>
        </w:rPr>
        <w:t xml:space="preserve">some of comments made by the </w:t>
      </w:r>
      <w:r w:rsidR="00831BE9">
        <w:rPr>
          <w:rFonts w:ascii="Times New Roman" w:hAnsi="Times New Roman"/>
        </w:rPr>
        <w:t xml:space="preserve">mandate holders </w:t>
      </w:r>
      <w:r w:rsidR="000C7DA2">
        <w:rPr>
          <w:rFonts w:ascii="Times New Roman" w:hAnsi="Times New Roman"/>
        </w:rPr>
        <w:t xml:space="preserve">of the special </w:t>
      </w:r>
      <w:r w:rsidR="0029246F">
        <w:rPr>
          <w:rFonts w:ascii="Times New Roman" w:hAnsi="Times New Roman"/>
        </w:rPr>
        <w:t>procedures</w:t>
      </w:r>
      <w:r w:rsidR="00831BE9">
        <w:rPr>
          <w:rFonts w:ascii="Times New Roman" w:hAnsi="Times New Roman"/>
        </w:rPr>
        <w:t xml:space="preserve"> of the Human Rights Council</w:t>
      </w:r>
      <w:r w:rsidR="0029246F">
        <w:rPr>
          <w:rFonts w:ascii="Times New Roman" w:hAnsi="Times New Roman"/>
        </w:rPr>
        <w:t xml:space="preserve"> as</w:t>
      </w:r>
      <w:r w:rsidR="000C7DA2">
        <w:rPr>
          <w:rFonts w:ascii="Times New Roman" w:hAnsi="Times New Roman"/>
        </w:rPr>
        <w:t xml:space="preserve"> well as relevant</w:t>
      </w:r>
      <w:r w:rsidR="00F51093">
        <w:rPr>
          <w:rFonts w:ascii="Times New Roman" w:hAnsi="Times New Roman"/>
        </w:rPr>
        <w:t xml:space="preserve"> recommendations of the </w:t>
      </w:r>
      <w:r w:rsidR="00281D6D">
        <w:rPr>
          <w:rFonts w:ascii="Times New Roman" w:hAnsi="Times New Roman"/>
        </w:rPr>
        <w:t xml:space="preserve">more recent cycles of the </w:t>
      </w:r>
      <w:r w:rsidR="00F51093">
        <w:rPr>
          <w:rFonts w:ascii="Times New Roman" w:hAnsi="Times New Roman"/>
        </w:rPr>
        <w:t>Universal Periodic Review</w:t>
      </w:r>
      <w:r w:rsidR="002754AF">
        <w:rPr>
          <w:rFonts w:ascii="Times New Roman" w:hAnsi="Times New Roman"/>
        </w:rPr>
        <w:t>.</w:t>
      </w:r>
      <w:r w:rsidR="00A17FE2">
        <w:rPr>
          <w:rStyle w:val="FootnoteReference"/>
          <w:rFonts w:ascii="Times New Roman" w:hAnsi="Times New Roman"/>
        </w:rPr>
        <w:footnoteReference w:id="71"/>
      </w:r>
      <w:r w:rsidR="002754AF">
        <w:rPr>
          <w:rFonts w:ascii="Times New Roman" w:hAnsi="Times New Roman"/>
        </w:rPr>
        <w:t xml:space="preserve"> </w:t>
      </w:r>
      <w:r w:rsidR="00F51093">
        <w:rPr>
          <w:rFonts w:ascii="Times New Roman" w:hAnsi="Times New Roman"/>
        </w:rPr>
        <w:t xml:space="preserve"> </w:t>
      </w:r>
    </w:p>
    <w:p w14:paraId="7B933091" w14:textId="77777777" w:rsidR="00D02F9F" w:rsidRDefault="00D02F9F" w:rsidP="00BC6323">
      <w:pPr>
        <w:rPr>
          <w:rFonts w:ascii="Times New Roman" w:hAnsi="Times New Roman"/>
        </w:rPr>
      </w:pPr>
    </w:p>
    <w:p w14:paraId="58BB11DA" w14:textId="77777777" w:rsidR="00D02F9F" w:rsidRDefault="0029246F" w:rsidP="00B1206F">
      <w:pPr>
        <w:pStyle w:val="ListParagraph"/>
        <w:numPr>
          <w:ilvl w:val="0"/>
          <w:numId w:val="5"/>
        </w:numPr>
        <w:jc w:val="both"/>
        <w:rPr>
          <w:rFonts w:ascii="Times New Roman" w:hAnsi="Times New Roman"/>
        </w:rPr>
      </w:pPr>
      <w:r>
        <w:rPr>
          <w:rFonts w:ascii="Times New Roman" w:hAnsi="Times New Roman"/>
        </w:rPr>
        <w:t>Concerns regarding t</w:t>
      </w:r>
      <w:r w:rsidR="00D02F9F" w:rsidRPr="008443AD">
        <w:rPr>
          <w:rFonts w:ascii="Times New Roman" w:hAnsi="Times New Roman"/>
        </w:rPr>
        <w:t xml:space="preserve">he </w:t>
      </w:r>
      <w:r>
        <w:rPr>
          <w:rFonts w:ascii="Times New Roman" w:hAnsi="Times New Roman"/>
        </w:rPr>
        <w:t>persistence of traditional view</w:t>
      </w:r>
      <w:r w:rsidR="00D02F9F" w:rsidRPr="008443AD">
        <w:rPr>
          <w:rFonts w:ascii="Times New Roman" w:hAnsi="Times New Roman"/>
        </w:rPr>
        <w:t>s</w:t>
      </w:r>
      <w:r>
        <w:rPr>
          <w:rFonts w:ascii="Times New Roman" w:hAnsi="Times New Roman"/>
        </w:rPr>
        <w:t xml:space="preserve"> </w:t>
      </w:r>
      <w:r w:rsidR="00D02F9F" w:rsidRPr="008443AD">
        <w:rPr>
          <w:rFonts w:ascii="Times New Roman" w:hAnsi="Times New Roman"/>
        </w:rPr>
        <w:t>and stereotypical representations and expectations of the role of women in society, consequently limiting their role as independent agents</w:t>
      </w:r>
      <w:r w:rsidR="002754AF">
        <w:rPr>
          <w:rFonts w:ascii="Times New Roman" w:hAnsi="Times New Roman"/>
        </w:rPr>
        <w:t xml:space="preserve"> and equal participants who</w:t>
      </w:r>
      <w:r w:rsidR="00D02F9F" w:rsidRPr="008443AD">
        <w:rPr>
          <w:rFonts w:ascii="Times New Roman" w:hAnsi="Times New Roman"/>
        </w:rPr>
        <w:t xml:space="preserve"> can contribute to the political, economic and social life of the country.</w:t>
      </w:r>
      <w:r w:rsidR="00D02F9F">
        <w:rPr>
          <w:rStyle w:val="FootnoteReference"/>
          <w:rFonts w:ascii="Times New Roman" w:hAnsi="Times New Roman"/>
        </w:rPr>
        <w:footnoteReference w:id="72"/>
      </w:r>
    </w:p>
    <w:p w14:paraId="1BA8B6AF" w14:textId="77777777" w:rsidR="008443AD" w:rsidRDefault="008443AD" w:rsidP="00B1206F">
      <w:pPr>
        <w:pStyle w:val="ListParagraph"/>
        <w:jc w:val="both"/>
        <w:rPr>
          <w:rFonts w:ascii="Times New Roman" w:hAnsi="Times New Roman"/>
        </w:rPr>
      </w:pPr>
    </w:p>
    <w:p w14:paraId="32750CED" w14:textId="77777777" w:rsidR="008443AD" w:rsidRDefault="002754AF" w:rsidP="00B1206F">
      <w:pPr>
        <w:pStyle w:val="ListParagraph"/>
        <w:numPr>
          <w:ilvl w:val="0"/>
          <w:numId w:val="5"/>
        </w:numPr>
        <w:jc w:val="both"/>
        <w:rPr>
          <w:rFonts w:ascii="Times New Roman" w:hAnsi="Times New Roman"/>
        </w:rPr>
      </w:pPr>
      <w:r>
        <w:rPr>
          <w:rFonts w:ascii="Times New Roman" w:hAnsi="Times New Roman"/>
        </w:rPr>
        <w:t>T</w:t>
      </w:r>
      <w:r w:rsidR="0029246F">
        <w:rPr>
          <w:rFonts w:ascii="Times New Roman" w:hAnsi="Times New Roman"/>
        </w:rPr>
        <w:t>he u</w:t>
      </w:r>
      <w:r w:rsidR="008443AD">
        <w:rPr>
          <w:rFonts w:ascii="Times New Roman" w:hAnsi="Times New Roman"/>
        </w:rPr>
        <w:t>nder-representation of women in public life an</w:t>
      </w:r>
      <w:r>
        <w:rPr>
          <w:rFonts w:ascii="Times New Roman" w:hAnsi="Times New Roman"/>
        </w:rPr>
        <w:t xml:space="preserve">d in leadership positions </w:t>
      </w:r>
      <w:r w:rsidR="008443AD">
        <w:rPr>
          <w:rFonts w:ascii="Times New Roman" w:hAnsi="Times New Roman"/>
        </w:rPr>
        <w:t xml:space="preserve">was mentioned repeatedly in nearly all of the treaty bodies’ </w:t>
      </w:r>
      <w:r w:rsidR="00417F1E">
        <w:rPr>
          <w:rFonts w:ascii="Times New Roman" w:hAnsi="Times New Roman"/>
        </w:rPr>
        <w:t xml:space="preserve">concluding observations </w:t>
      </w:r>
      <w:r w:rsidR="008443AD">
        <w:rPr>
          <w:rFonts w:ascii="Times New Roman" w:hAnsi="Times New Roman"/>
        </w:rPr>
        <w:t>and other mechanisms’ commentaries.</w:t>
      </w:r>
      <w:r>
        <w:rPr>
          <w:rFonts w:ascii="Times New Roman" w:hAnsi="Times New Roman"/>
        </w:rPr>
        <w:t xml:space="preserve"> The references therein were not only in terms of the inclusion of women in electoral lists or their eligibility to elect and be elected, but also to the </w:t>
      </w:r>
      <w:r w:rsidR="00E2136E">
        <w:rPr>
          <w:rFonts w:ascii="Times New Roman" w:hAnsi="Times New Roman"/>
        </w:rPr>
        <w:t xml:space="preserve">minimal </w:t>
      </w:r>
      <w:r>
        <w:rPr>
          <w:rFonts w:ascii="Times New Roman" w:hAnsi="Times New Roman"/>
        </w:rPr>
        <w:t>appointment of women at all levels of leadership throughout</w:t>
      </w:r>
      <w:r w:rsidR="00831BE9">
        <w:rPr>
          <w:rFonts w:ascii="Times New Roman" w:hAnsi="Times New Roman"/>
        </w:rPr>
        <w:t>.</w:t>
      </w:r>
      <w:r>
        <w:rPr>
          <w:rFonts w:ascii="Times New Roman" w:hAnsi="Times New Roman"/>
        </w:rPr>
        <w:t xml:space="preserve"> </w:t>
      </w:r>
      <w:r w:rsidR="000C7DA2">
        <w:rPr>
          <w:rStyle w:val="FootnoteReference"/>
          <w:rFonts w:ascii="Times New Roman" w:hAnsi="Times New Roman"/>
        </w:rPr>
        <w:footnoteReference w:id="73"/>
      </w:r>
    </w:p>
    <w:p w14:paraId="4F7DA029" w14:textId="77777777" w:rsidR="00E94227" w:rsidRPr="00E94227" w:rsidRDefault="00E94227" w:rsidP="00B1206F">
      <w:pPr>
        <w:pStyle w:val="ListParagraph"/>
        <w:jc w:val="both"/>
        <w:rPr>
          <w:rFonts w:ascii="Times New Roman" w:hAnsi="Times New Roman"/>
        </w:rPr>
      </w:pPr>
    </w:p>
    <w:p w14:paraId="21762A5A" w14:textId="77777777" w:rsidR="00E94227" w:rsidRDefault="00FE7FC6" w:rsidP="00B1206F">
      <w:pPr>
        <w:pStyle w:val="ListParagraph"/>
        <w:numPr>
          <w:ilvl w:val="0"/>
          <w:numId w:val="5"/>
        </w:numPr>
        <w:jc w:val="both"/>
        <w:rPr>
          <w:rFonts w:ascii="Times New Roman" w:hAnsi="Times New Roman"/>
        </w:rPr>
      </w:pPr>
      <w:r>
        <w:rPr>
          <w:rFonts w:ascii="Times New Roman" w:hAnsi="Times New Roman"/>
        </w:rPr>
        <w:t>Recommendations to actively promote the parti</w:t>
      </w:r>
      <w:r w:rsidR="002754AF">
        <w:rPr>
          <w:rFonts w:ascii="Times New Roman" w:hAnsi="Times New Roman"/>
        </w:rPr>
        <w:t>cipation of women at all levels</w:t>
      </w:r>
      <w:r>
        <w:rPr>
          <w:rFonts w:ascii="Times New Roman" w:hAnsi="Times New Roman"/>
        </w:rPr>
        <w:t xml:space="preserve"> </w:t>
      </w:r>
      <w:r w:rsidR="002754AF">
        <w:rPr>
          <w:rFonts w:ascii="Times New Roman" w:hAnsi="Times New Roman"/>
        </w:rPr>
        <w:t xml:space="preserve">was by far the most frequently mentioned across all of the U.N. mechanisms. The recommendations included the implementation of </w:t>
      </w:r>
      <w:r>
        <w:rPr>
          <w:rFonts w:ascii="Times New Roman" w:hAnsi="Times New Roman"/>
        </w:rPr>
        <w:t>s</w:t>
      </w:r>
      <w:r w:rsidR="002754AF">
        <w:rPr>
          <w:rFonts w:ascii="Times New Roman" w:hAnsi="Times New Roman"/>
        </w:rPr>
        <w:t xml:space="preserve">pecial temporary measures, including but not only the use </w:t>
      </w:r>
      <w:r w:rsidR="002754AF">
        <w:rPr>
          <w:rFonts w:ascii="Times New Roman" w:hAnsi="Times New Roman"/>
        </w:rPr>
        <w:lastRenderedPageBreak/>
        <w:t>of quotas</w:t>
      </w:r>
      <w:r w:rsidR="00E2136E">
        <w:rPr>
          <w:rFonts w:ascii="Times New Roman" w:hAnsi="Times New Roman"/>
        </w:rPr>
        <w:t xml:space="preserve">. Many of the recommendations were </w:t>
      </w:r>
      <w:r w:rsidR="002754AF">
        <w:rPr>
          <w:rFonts w:ascii="Times New Roman" w:hAnsi="Times New Roman"/>
        </w:rPr>
        <w:t xml:space="preserve">specific in recommending </w:t>
      </w:r>
      <w:r w:rsidR="00E2136E">
        <w:rPr>
          <w:rFonts w:ascii="Times New Roman" w:hAnsi="Times New Roman"/>
        </w:rPr>
        <w:t>that</w:t>
      </w:r>
      <w:r w:rsidR="002754AF">
        <w:rPr>
          <w:rFonts w:ascii="Times New Roman" w:hAnsi="Times New Roman"/>
        </w:rPr>
        <w:t xml:space="preserve"> percentages for women’</w:t>
      </w:r>
      <w:r w:rsidR="00E2136E">
        <w:rPr>
          <w:rFonts w:ascii="Times New Roman" w:hAnsi="Times New Roman"/>
        </w:rPr>
        <w:t>s representation should not fall b</w:t>
      </w:r>
      <w:r w:rsidR="002754AF">
        <w:rPr>
          <w:rFonts w:ascii="Times New Roman" w:hAnsi="Times New Roman"/>
        </w:rPr>
        <w:t>elow 30%.</w:t>
      </w:r>
      <w:r>
        <w:rPr>
          <w:rStyle w:val="FootnoteReference"/>
          <w:rFonts w:ascii="Times New Roman" w:hAnsi="Times New Roman"/>
        </w:rPr>
        <w:footnoteReference w:id="74"/>
      </w:r>
      <w:r w:rsidR="002754AF">
        <w:rPr>
          <w:rFonts w:ascii="Times New Roman" w:hAnsi="Times New Roman"/>
        </w:rPr>
        <w:t xml:space="preserve"> </w:t>
      </w:r>
    </w:p>
    <w:p w14:paraId="4D436FEC" w14:textId="77777777" w:rsidR="0029246F" w:rsidRPr="0029246F" w:rsidRDefault="0029246F" w:rsidP="0029246F">
      <w:pPr>
        <w:pStyle w:val="ListParagraph"/>
        <w:rPr>
          <w:rFonts w:ascii="Times New Roman" w:hAnsi="Times New Roman"/>
        </w:rPr>
      </w:pPr>
    </w:p>
    <w:p w14:paraId="2F29978A" w14:textId="77777777" w:rsidR="0029246F" w:rsidRDefault="0029246F" w:rsidP="00B1206F">
      <w:pPr>
        <w:pStyle w:val="ListParagraph"/>
        <w:numPr>
          <w:ilvl w:val="0"/>
          <w:numId w:val="5"/>
        </w:numPr>
        <w:jc w:val="both"/>
        <w:rPr>
          <w:rFonts w:ascii="Times New Roman" w:hAnsi="Times New Roman"/>
        </w:rPr>
      </w:pPr>
      <w:r>
        <w:rPr>
          <w:rFonts w:ascii="Times New Roman" w:hAnsi="Times New Roman"/>
        </w:rPr>
        <w:t>Recommendations to amend provisions in domestic legislation that discriminate against women, including electoral laws, personal status laws and others.</w:t>
      </w:r>
      <w:r>
        <w:rPr>
          <w:rStyle w:val="FootnoteReference"/>
          <w:rFonts w:ascii="Times New Roman" w:hAnsi="Times New Roman"/>
        </w:rPr>
        <w:footnoteReference w:id="75"/>
      </w:r>
    </w:p>
    <w:p w14:paraId="69A744B3" w14:textId="77777777" w:rsidR="00EB5D3E" w:rsidRPr="00EB5D3E" w:rsidRDefault="00EB5D3E" w:rsidP="00B1206F">
      <w:pPr>
        <w:pStyle w:val="ListParagraph"/>
        <w:jc w:val="both"/>
        <w:rPr>
          <w:rFonts w:ascii="Times New Roman" w:hAnsi="Times New Roman"/>
        </w:rPr>
      </w:pPr>
    </w:p>
    <w:p w14:paraId="51037060" w14:textId="77777777" w:rsidR="00EB5D3E" w:rsidRDefault="00EB5D3E" w:rsidP="00B1206F">
      <w:pPr>
        <w:pStyle w:val="ListParagraph"/>
        <w:numPr>
          <w:ilvl w:val="0"/>
          <w:numId w:val="5"/>
        </w:numPr>
        <w:jc w:val="both"/>
        <w:rPr>
          <w:rFonts w:ascii="Times New Roman" w:hAnsi="Times New Roman"/>
        </w:rPr>
      </w:pPr>
      <w:r>
        <w:rPr>
          <w:rFonts w:ascii="Times New Roman" w:hAnsi="Times New Roman"/>
        </w:rPr>
        <w:t>Recommendations to facilitate the independent work and participation of civil society organizations and to ensure in particular the exercise of freedoms of opinion, expression, association and assembly.</w:t>
      </w:r>
      <w:r>
        <w:rPr>
          <w:rStyle w:val="FootnoteReference"/>
          <w:rFonts w:ascii="Times New Roman" w:hAnsi="Times New Roman"/>
        </w:rPr>
        <w:footnoteReference w:id="76"/>
      </w:r>
      <w:r w:rsidR="00E06C66">
        <w:rPr>
          <w:rFonts w:ascii="Times New Roman" w:hAnsi="Times New Roman"/>
        </w:rPr>
        <w:t xml:space="preserve"> A few included improvements in public access to information and freedom of the press and media.</w:t>
      </w:r>
      <w:r w:rsidR="00E06C66">
        <w:rPr>
          <w:rStyle w:val="FootnoteReference"/>
          <w:rFonts w:ascii="Times New Roman" w:hAnsi="Times New Roman"/>
        </w:rPr>
        <w:footnoteReference w:id="77"/>
      </w:r>
    </w:p>
    <w:p w14:paraId="0BFAFB8E" w14:textId="77777777" w:rsidR="00417F1E" w:rsidRPr="00417F1E" w:rsidRDefault="00417F1E" w:rsidP="00B1206F">
      <w:pPr>
        <w:pStyle w:val="ListParagraph"/>
        <w:jc w:val="both"/>
        <w:rPr>
          <w:rFonts w:ascii="Times New Roman" w:hAnsi="Times New Roman"/>
        </w:rPr>
      </w:pPr>
    </w:p>
    <w:p w14:paraId="3691208C" w14:textId="77777777" w:rsidR="00417F1E" w:rsidRDefault="00E2136E" w:rsidP="00B1206F">
      <w:pPr>
        <w:pStyle w:val="ListParagraph"/>
        <w:numPr>
          <w:ilvl w:val="0"/>
          <w:numId w:val="5"/>
        </w:numPr>
        <w:jc w:val="both"/>
        <w:rPr>
          <w:rFonts w:ascii="Times New Roman" w:hAnsi="Times New Roman"/>
        </w:rPr>
      </w:pPr>
      <w:r>
        <w:rPr>
          <w:rFonts w:ascii="Times New Roman" w:hAnsi="Times New Roman"/>
        </w:rPr>
        <w:t>The participation of minorities in public life, and not only in matters concerning their own welfare and wellbeing, also came in for some discussion in the U.N. human rights mechanisms.</w:t>
      </w:r>
      <w:r>
        <w:rPr>
          <w:rStyle w:val="FootnoteReference"/>
          <w:rFonts w:ascii="Times New Roman" w:hAnsi="Times New Roman"/>
        </w:rPr>
        <w:footnoteReference w:id="78"/>
      </w:r>
    </w:p>
    <w:p w14:paraId="789A69E8" w14:textId="77777777" w:rsidR="00983A2E" w:rsidRPr="00983A2E" w:rsidRDefault="00983A2E" w:rsidP="00B1206F">
      <w:pPr>
        <w:pStyle w:val="ListParagraph"/>
        <w:jc w:val="both"/>
        <w:rPr>
          <w:rFonts w:ascii="Times New Roman" w:hAnsi="Times New Roman"/>
        </w:rPr>
      </w:pPr>
    </w:p>
    <w:p w14:paraId="56DDDB52" w14:textId="77777777" w:rsidR="00983A2E" w:rsidRDefault="00983A2E" w:rsidP="00B1206F">
      <w:pPr>
        <w:pStyle w:val="ListParagraph"/>
        <w:numPr>
          <w:ilvl w:val="0"/>
          <w:numId w:val="5"/>
        </w:numPr>
        <w:jc w:val="both"/>
        <w:rPr>
          <w:rFonts w:ascii="Times New Roman" w:hAnsi="Times New Roman"/>
        </w:rPr>
      </w:pPr>
      <w:r>
        <w:rPr>
          <w:rFonts w:ascii="Times New Roman" w:hAnsi="Times New Roman"/>
        </w:rPr>
        <w:lastRenderedPageBreak/>
        <w:t>Four countries received recommendations to strengthen mechanisms for the participation of children,</w:t>
      </w:r>
      <w:r>
        <w:rPr>
          <w:rStyle w:val="FootnoteReference"/>
          <w:rFonts w:ascii="Times New Roman" w:hAnsi="Times New Roman"/>
        </w:rPr>
        <w:footnoteReference w:id="79"/>
      </w:r>
      <w:r>
        <w:rPr>
          <w:rFonts w:ascii="Times New Roman" w:hAnsi="Times New Roman"/>
        </w:rPr>
        <w:t xml:space="preserve"> and two received recommendations to ensure the adequate representation and participation of people with disabilities.</w:t>
      </w:r>
      <w:r>
        <w:rPr>
          <w:rStyle w:val="FootnoteReference"/>
          <w:rFonts w:ascii="Times New Roman" w:hAnsi="Times New Roman"/>
        </w:rPr>
        <w:footnoteReference w:id="80"/>
      </w:r>
    </w:p>
    <w:p w14:paraId="1833C450" w14:textId="77777777" w:rsidR="00191A29" w:rsidRDefault="00191A29" w:rsidP="00191A29">
      <w:pPr>
        <w:rPr>
          <w:rFonts w:ascii="Corbel" w:hAnsi="Corbel"/>
        </w:rPr>
      </w:pPr>
    </w:p>
    <w:p w14:paraId="14FEFDA4" w14:textId="77777777" w:rsidR="000D58C4" w:rsidRDefault="000D58C4" w:rsidP="00191A29">
      <w:pPr>
        <w:rPr>
          <w:rFonts w:ascii="Corbel" w:hAnsi="Corbel"/>
        </w:rPr>
      </w:pPr>
    </w:p>
    <w:p w14:paraId="1555487C" w14:textId="77777777" w:rsidR="000D58C4" w:rsidRPr="00D304ED" w:rsidRDefault="007A3671" w:rsidP="00D304ED">
      <w:pPr>
        <w:rPr>
          <w:rFonts w:ascii="Times New Roman" w:hAnsi="Times New Roman"/>
          <w:u w:val="single"/>
        </w:rPr>
      </w:pPr>
      <w:r w:rsidRPr="008342BE">
        <w:rPr>
          <w:rFonts w:ascii="Times New Roman" w:hAnsi="Times New Roman"/>
          <w:u w:val="single"/>
        </w:rPr>
        <w:t>Conclusions</w:t>
      </w:r>
    </w:p>
    <w:p w14:paraId="03CA709A" w14:textId="77777777" w:rsidR="007A3671" w:rsidRDefault="007A3671" w:rsidP="00B1206F">
      <w:pPr>
        <w:jc w:val="both"/>
        <w:outlineLvl w:val="0"/>
        <w:rPr>
          <w:rFonts w:ascii="Corbel" w:hAnsi="Corbel"/>
          <w:b/>
          <w:bCs/>
          <w:u w:val="single"/>
        </w:rPr>
      </w:pPr>
    </w:p>
    <w:p w14:paraId="084E763A" w14:textId="77777777" w:rsidR="007A3671" w:rsidRDefault="007A3671" w:rsidP="00B1206F">
      <w:pPr>
        <w:jc w:val="both"/>
        <w:rPr>
          <w:rFonts w:ascii="Times New Roman" w:hAnsi="Times New Roman"/>
        </w:rPr>
      </w:pPr>
      <w:r w:rsidRPr="007A3671">
        <w:rPr>
          <w:rFonts w:ascii="Times New Roman" w:hAnsi="Times New Roman"/>
        </w:rPr>
        <w:t>The 18 Arab States under consideration in this study do not yet have political systems that are conducive to everyone’s right to participate in the conduct of public affairs. A democratic deficit exists to limit such participation, which is further exacerbated by armed conflicts, human insecurity and general instability.</w:t>
      </w:r>
    </w:p>
    <w:p w14:paraId="451A3DFA" w14:textId="77777777" w:rsidR="007A3671" w:rsidRPr="007A3671" w:rsidRDefault="007A3671" w:rsidP="00B1206F">
      <w:pPr>
        <w:jc w:val="both"/>
        <w:rPr>
          <w:rFonts w:ascii="Times New Roman" w:hAnsi="Times New Roman"/>
        </w:rPr>
      </w:pPr>
    </w:p>
    <w:p w14:paraId="1AC86E6C" w14:textId="77777777" w:rsidR="007A3671" w:rsidRDefault="007A3671" w:rsidP="00B1206F">
      <w:pPr>
        <w:jc w:val="both"/>
        <w:rPr>
          <w:rFonts w:ascii="Times New Roman" w:hAnsi="Times New Roman"/>
        </w:rPr>
      </w:pPr>
      <w:r w:rsidRPr="007A3671">
        <w:rPr>
          <w:rFonts w:ascii="Times New Roman" w:hAnsi="Times New Roman"/>
        </w:rPr>
        <w:t xml:space="preserve">Most of the constitutions of those countries incorporate or include specific reference to the right to participate in the conduct of public affairs, as well as guarantees of equality and non-discrimination and of rights that are essential to the exercise of participation, including freedoms of opinion, expression, association and assembly. </w:t>
      </w:r>
    </w:p>
    <w:p w14:paraId="1640ED78" w14:textId="77777777" w:rsidR="007A3671" w:rsidRPr="007A3671" w:rsidRDefault="007A3671" w:rsidP="00B1206F">
      <w:pPr>
        <w:jc w:val="both"/>
        <w:rPr>
          <w:rFonts w:ascii="Times New Roman" w:hAnsi="Times New Roman"/>
        </w:rPr>
      </w:pPr>
    </w:p>
    <w:p w14:paraId="53E2CBF7" w14:textId="77777777" w:rsidR="007A3671" w:rsidRDefault="007A3671" w:rsidP="00B1206F">
      <w:pPr>
        <w:jc w:val="both"/>
        <w:rPr>
          <w:rFonts w:ascii="Times New Roman" w:hAnsi="Times New Roman"/>
        </w:rPr>
      </w:pPr>
      <w:r w:rsidRPr="007A3671">
        <w:rPr>
          <w:rFonts w:ascii="Times New Roman" w:hAnsi="Times New Roman"/>
        </w:rPr>
        <w:t>These guarantees, however, remain theoretical as they are undermined by several factors: the near-absolute authority of Heads of State in many countries over the elected legislatures; vaguely-worded caveats or restrictions on the exercise of those rights; legislative provisions that do not meet the constitutional standard; and the lack of policies specifically aimed at ensuring participation in an equal and non-discriminatory manner.</w:t>
      </w:r>
    </w:p>
    <w:p w14:paraId="3EB7A57D" w14:textId="77777777" w:rsidR="007A3671" w:rsidRPr="007A3671" w:rsidRDefault="007A3671" w:rsidP="00B1206F">
      <w:pPr>
        <w:jc w:val="both"/>
        <w:rPr>
          <w:rFonts w:ascii="Times New Roman" w:hAnsi="Times New Roman"/>
        </w:rPr>
      </w:pPr>
    </w:p>
    <w:p w14:paraId="26546F53" w14:textId="77777777" w:rsidR="007A3671" w:rsidRDefault="007A3671" w:rsidP="00B1206F">
      <w:pPr>
        <w:jc w:val="both"/>
        <w:rPr>
          <w:rFonts w:ascii="Times New Roman" w:hAnsi="Times New Roman"/>
        </w:rPr>
      </w:pPr>
      <w:r w:rsidRPr="007A3671">
        <w:rPr>
          <w:rFonts w:ascii="Times New Roman" w:hAnsi="Times New Roman"/>
        </w:rPr>
        <w:t>While minorities are generally protected in the texts of the constitutions, they are not uniformly guaranteed an equal right of access to decision-making positions. There are few exceptions where minorities are guaranteed a voice in public discussion through reserved parliamentary seats or other such measures.</w:t>
      </w:r>
    </w:p>
    <w:p w14:paraId="103F7E80" w14:textId="77777777" w:rsidR="007A3671" w:rsidRPr="007A3671" w:rsidRDefault="007A3671" w:rsidP="00B1206F">
      <w:pPr>
        <w:jc w:val="both"/>
        <w:rPr>
          <w:rFonts w:ascii="Times New Roman" w:hAnsi="Times New Roman"/>
        </w:rPr>
      </w:pPr>
    </w:p>
    <w:p w14:paraId="6EE4A294" w14:textId="77777777" w:rsidR="007A3671" w:rsidRDefault="007A3671" w:rsidP="00B1206F">
      <w:pPr>
        <w:jc w:val="both"/>
        <w:rPr>
          <w:rFonts w:ascii="Times New Roman" w:hAnsi="Times New Roman"/>
        </w:rPr>
      </w:pPr>
      <w:r w:rsidRPr="007A3671">
        <w:rPr>
          <w:rFonts w:ascii="Times New Roman" w:hAnsi="Times New Roman"/>
        </w:rPr>
        <w:t>Similarly, despite constitutional equality provisions and the fact that all of the States subject of this study have ratified the CEDAW, women’s participation remains minimal and too few countries have implemented special measures such as quotas to ensure this participation. Traditional cultural values and stereotypes of the role of women (as mothers and mainstays of their families) persist and have the effect of further limiting their participation in the political and economic spheres.</w:t>
      </w:r>
    </w:p>
    <w:p w14:paraId="543DFCCD" w14:textId="77777777" w:rsidR="007A3671" w:rsidRPr="007A3671" w:rsidRDefault="007A3671" w:rsidP="00B1206F">
      <w:pPr>
        <w:jc w:val="both"/>
        <w:rPr>
          <w:rFonts w:ascii="Times New Roman" w:hAnsi="Times New Roman"/>
        </w:rPr>
      </w:pPr>
    </w:p>
    <w:p w14:paraId="69183A2F" w14:textId="77777777" w:rsidR="007A3671" w:rsidRDefault="007A3671" w:rsidP="00B1206F">
      <w:pPr>
        <w:jc w:val="both"/>
        <w:rPr>
          <w:rFonts w:ascii="Times New Roman" w:hAnsi="Times New Roman"/>
        </w:rPr>
      </w:pPr>
      <w:r w:rsidRPr="007A3671">
        <w:rPr>
          <w:rFonts w:ascii="Times New Roman" w:hAnsi="Times New Roman"/>
        </w:rPr>
        <w:t>Most of the Arab States considered have ratified the core human rights treaties and conventions. Initial review, however, shows that national legislation is not yet in harmony with the requirements of those conventions in terms of protecting the rights relevant to the equal exercise of participation.</w:t>
      </w:r>
    </w:p>
    <w:p w14:paraId="617D04A0" w14:textId="77777777" w:rsidR="007A3671" w:rsidRPr="007A3671" w:rsidRDefault="007A3671" w:rsidP="00B1206F">
      <w:pPr>
        <w:jc w:val="both"/>
        <w:rPr>
          <w:rFonts w:ascii="Times New Roman" w:hAnsi="Times New Roman"/>
        </w:rPr>
      </w:pPr>
    </w:p>
    <w:p w14:paraId="14274904" w14:textId="77777777" w:rsidR="007A3671" w:rsidRDefault="007A3671" w:rsidP="00B1206F">
      <w:pPr>
        <w:jc w:val="both"/>
        <w:rPr>
          <w:rFonts w:ascii="Times New Roman" w:hAnsi="Times New Roman"/>
        </w:rPr>
      </w:pPr>
      <w:r w:rsidRPr="007A3671">
        <w:rPr>
          <w:rFonts w:ascii="Times New Roman" w:hAnsi="Times New Roman"/>
        </w:rPr>
        <w:t xml:space="preserve">Political, financial and administrative restrictions on the freedoms of expression, opinion, association and assembly contained in domestic legislation do not provide for an enabling </w:t>
      </w:r>
      <w:r w:rsidRPr="007A3671">
        <w:rPr>
          <w:rFonts w:ascii="Times New Roman" w:hAnsi="Times New Roman"/>
        </w:rPr>
        <w:lastRenderedPageBreak/>
        <w:t>environment for participatory rights. The States herein score very low on most of the press and democratic indexes that are available internationally.</w:t>
      </w:r>
    </w:p>
    <w:p w14:paraId="4228DE98" w14:textId="77777777" w:rsidR="007A3671" w:rsidRPr="007A3671" w:rsidRDefault="007A3671" w:rsidP="00B1206F">
      <w:pPr>
        <w:jc w:val="both"/>
        <w:rPr>
          <w:rFonts w:ascii="Times New Roman" w:hAnsi="Times New Roman"/>
        </w:rPr>
      </w:pPr>
    </w:p>
    <w:p w14:paraId="34F03347" w14:textId="77777777" w:rsidR="007A3671" w:rsidRDefault="007A3671" w:rsidP="00B1206F">
      <w:pPr>
        <w:jc w:val="both"/>
        <w:rPr>
          <w:rFonts w:ascii="Times New Roman" w:hAnsi="Times New Roman"/>
        </w:rPr>
      </w:pPr>
      <w:r w:rsidRPr="007A3671">
        <w:rPr>
          <w:rFonts w:ascii="Times New Roman" w:hAnsi="Times New Roman"/>
        </w:rPr>
        <w:t xml:space="preserve">While there are some moves within the region to incorporate Internet-based technology to facilitate access to information and – to a degree – participation in public policy discussions, the platforms and web sites appear to be designed more as service delivery mechanisms rather than participatory mechanisms. </w:t>
      </w:r>
    </w:p>
    <w:p w14:paraId="7DEBFE42" w14:textId="77777777" w:rsidR="007A3671" w:rsidRPr="007A3671" w:rsidRDefault="007A3671" w:rsidP="00B1206F">
      <w:pPr>
        <w:jc w:val="both"/>
        <w:rPr>
          <w:rFonts w:ascii="Times New Roman" w:hAnsi="Times New Roman"/>
        </w:rPr>
      </w:pPr>
    </w:p>
    <w:p w14:paraId="61863784" w14:textId="77777777" w:rsidR="007A3671" w:rsidRPr="007A3671" w:rsidRDefault="007A3671" w:rsidP="00B1206F">
      <w:pPr>
        <w:jc w:val="both"/>
        <w:rPr>
          <w:rFonts w:ascii="Times New Roman" w:hAnsi="Times New Roman"/>
        </w:rPr>
      </w:pPr>
      <w:r w:rsidRPr="007A3671">
        <w:rPr>
          <w:rFonts w:ascii="Times New Roman" w:hAnsi="Times New Roman"/>
        </w:rPr>
        <w:t>The same attitudes and approaches prevail at the regional level. NGO participation in the deliberations of the League of Arab States is restrictive and highly regulated, limiting the number of NGOs with observer status and their ability to contribute to regional policy discussions.</w:t>
      </w:r>
    </w:p>
    <w:p w14:paraId="750CA16F" w14:textId="77777777" w:rsidR="007A3671" w:rsidRPr="007A3671" w:rsidRDefault="007A3671" w:rsidP="00B1206F">
      <w:pPr>
        <w:jc w:val="both"/>
        <w:rPr>
          <w:rFonts w:ascii="Times New Roman" w:hAnsi="Times New Roman"/>
        </w:rPr>
      </w:pPr>
      <w:r w:rsidRPr="007A3671">
        <w:rPr>
          <w:rFonts w:ascii="Times New Roman" w:hAnsi="Times New Roman"/>
        </w:rPr>
        <w:t xml:space="preserve">The Arab Charter for Human Rights offers an important opportunity for the 14 States that have ratified it. NGOs contribute to the deliberations of the Arab Human Rights Committee under the Charter, and its recommendations are public and available. Whether States actively implement the recommendations of the Charter Committee, however, remains to be properly studied. </w:t>
      </w:r>
    </w:p>
    <w:p w14:paraId="009A2167" w14:textId="77777777" w:rsidR="007A3671" w:rsidRDefault="007A3671" w:rsidP="00B1206F">
      <w:pPr>
        <w:jc w:val="both"/>
        <w:rPr>
          <w:rFonts w:ascii="Times New Roman" w:hAnsi="Times New Roman"/>
        </w:rPr>
      </w:pPr>
      <w:r w:rsidRPr="007A3671">
        <w:rPr>
          <w:rFonts w:ascii="Times New Roman" w:hAnsi="Times New Roman"/>
        </w:rPr>
        <w:t>Other important regional mechanisms, such as the Organization of the Islamic Conference and the Arab Inter-Parliamentary Union have not risen to their potential in strengthening a regional approach to participation.</w:t>
      </w:r>
    </w:p>
    <w:p w14:paraId="34002C7C" w14:textId="77777777" w:rsidR="007A3671" w:rsidRPr="007A3671" w:rsidRDefault="007A3671" w:rsidP="007A3671">
      <w:pPr>
        <w:rPr>
          <w:rFonts w:ascii="Times New Roman" w:hAnsi="Times New Roman"/>
        </w:rPr>
      </w:pPr>
    </w:p>
    <w:p w14:paraId="05B75024" w14:textId="77777777" w:rsidR="007A3671" w:rsidRPr="007A3671" w:rsidRDefault="007A3671" w:rsidP="00B1206F">
      <w:pPr>
        <w:jc w:val="both"/>
        <w:rPr>
          <w:rFonts w:ascii="Times New Roman" w:hAnsi="Times New Roman"/>
        </w:rPr>
      </w:pPr>
      <w:r w:rsidRPr="007A3671">
        <w:rPr>
          <w:rFonts w:ascii="Times New Roman" w:hAnsi="Times New Roman"/>
        </w:rPr>
        <w:t>The Treaty Bodies and Special Procedures of the United Nations Human Rights Council, as well as the Universal Periodic Review process, have all made a number of recommendations relevant to the exercise of the equal right to participation to the 18 States under review here. The salient issues that arise from those concluding observations and recommendations as stated above mirror the conclusions of this study.</w:t>
      </w:r>
    </w:p>
    <w:p w14:paraId="648A31CE" w14:textId="77777777" w:rsidR="007A3671" w:rsidRDefault="007A3671" w:rsidP="007A3671">
      <w:pPr>
        <w:outlineLvl w:val="0"/>
        <w:rPr>
          <w:rFonts w:ascii="Corbel" w:hAnsi="Corbel"/>
          <w:b/>
          <w:bCs/>
          <w:u w:val="single"/>
        </w:rPr>
      </w:pPr>
    </w:p>
    <w:p w14:paraId="24A5A14A" w14:textId="77777777" w:rsidR="007A3671" w:rsidRPr="005E79B7" w:rsidRDefault="007A3671" w:rsidP="007A3671">
      <w:pPr>
        <w:rPr>
          <w:rFonts w:ascii="Times New Roman" w:hAnsi="Times New Roman"/>
          <w:b/>
          <w:bCs/>
          <w:u w:val="single"/>
        </w:rPr>
      </w:pPr>
      <w:r w:rsidRPr="005E79B7">
        <w:rPr>
          <w:rFonts w:ascii="Times New Roman" w:hAnsi="Times New Roman"/>
          <w:b/>
          <w:bCs/>
          <w:u w:val="single"/>
        </w:rPr>
        <w:t>Some recommendations</w:t>
      </w:r>
    </w:p>
    <w:p w14:paraId="01294FD4" w14:textId="77777777" w:rsidR="007A3671" w:rsidRDefault="007A3671" w:rsidP="007A3671">
      <w:pPr>
        <w:rPr>
          <w:rFonts w:ascii="Times New Roman" w:hAnsi="Times New Roman"/>
        </w:rPr>
      </w:pPr>
    </w:p>
    <w:p w14:paraId="28E8377B" w14:textId="77777777" w:rsidR="005E79B7" w:rsidRDefault="005E79B7" w:rsidP="00B1206F">
      <w:pPr>
        <w:pStyle w:val="ListParagraph"/>
        <w:numPr>
          <w:ilvl w:val="0"/>
          <w:numId w:val="4"/>
        </w:numPr>
        <w:jc w:val="both"/>
        <w:rPr>
          <w:rFonts w:ascii="Times New Roman" w:hAnsi="Times New Roman"/>
        </w:rPr>
      </w:pPr>
      <w:r>
        <w:rPr>
          <w:rFonts w:ascii="Times New Roman" w:hAnsi="Times New Roman"/>
        </w:rPr>
        <w:t>For States that have not done so, ratify human rights conventions and treaties and adopt other available norms and standards to clarify the substantive meaning of the equal right to participate in the conduct of public affairs.</w:t>
      </w:r>
    </w:p>
    <w:p w14:paraId="6FA53DC0" w14:textId="77777777" w:rsidR="005E79B7" w:rsidRDefault="005E79B7" w:rsidP="00B1206F">
      <w:pPr>
        <w:pStyle w:val="ListParagraph"/>
        <w:jc w:val="both"/>
        <w:rPr>
          <w:rFonts w:ascii="Times New Roman" w:hAnsi="Times New Roman"/>
        </w:rPr>
      </w:pPr>
    </w:p>
    <w:p w14:paraId="313EF2D0" w14:textId="77777777" w:rsidR="005E79B7" w:rsidRDefault="007A3671" w:rsidP="00B1206F">
      <w:pPr>
        <w:pStyle w:val="ListParagraph"/>
        <w:numPr>
          <w:ilvl w:val="0"/>
          <w:numId w:val="4"/>
        </w:numPr>
        <w:jc w:val="both"/>
        <w:rPr>
          <w:rFonts w:ascii="Times New Roman" w:hAnsi="Times New Roman"/>
        </w:rPr>
      </w:pPr>
      <w:r>
        <w:rPr>
          <w:rFonts w:ascii="Times New Roman" w:hAnsi="Times New Roman"/>
        </w:rPr>
        <w:t>Undertake a thorough r</w:t>
      </w:r>
      <w:r w:rsidRPr="002A19FE">
        <w:rPr>
          <w:rFonts w:ascii="Times New Roman" w:hAnsi="Times New Roman"/>
        </w:rPr>
        <w:t xml:space="preserve">eview </w:t>
      </w:r>
      <w:r>
        <w:rPr>
          <w:rFonts w:ascii="Times New Roman" w:hAnsi="Times New Roman"/>
        </w:rPr>
        <w:t xml:space="preserve">of domestic </w:t>
      </w:r>
      <w:r w:rsidRPr="002A19FE">
        <w:rPr>
          <w:rFonts w:ascii="Times New Roman" w:hAnsi="Times New Roman"/>
        </w:rPr>
        <w:t>legislation with a view to implementing the constitutional provisions guaranteeing the equal right to participation in th</w:t>
      </w:r>
      <w:r w:rsidR="005E79B7">
        <w:rPr>
          <w:rFonts w:ascii="Times New Roman" w:hAnsi="Times New Roman"/>
        </w:rPr>
        <w:t>e conduct of public affairs and to harmonize S</w:t>
      </w:r>
      <w:r w:rsidR="005E79B7" w:rsidRPr="002A19FE">
        <w:rPr>
          <w:rFonts w:ascii="Times New Roman" w:hAnsi="Times New Roman"/>
        </w:rPr>
        <w:t>tat</w:t>
      </w:r>
      <w:r w:rsidR="005E79B7">
        <w:rPr>
          <w:rFonts w:ascii="Times New Roman" w:hAnsi="Times New Roman"/>
        </w:rPr>
        <w:t>e legislation with</w:t>
      </w:r>
      <w:r w:rsidR="005E79B7" w:rsidRPr="002A19FE">
        <w:rPr>
          <w:rFonts w:ascii="Times New Roman" w:hAnsi="Times New Roman"/>
        </w:rPr>
        <w:t xml:space="preserve"> international human rights treaty obligations.</w:t>
      </w:r>
      <w:r w:rsidR="005E79B7">
        <w:rPr>
          <w:rFonts w:ascii="Times New Roman" w:hAnsi="Times New Roman"/>
        </w:rPr>
        <w:t xml:space="preserve"> In particular, tighten the language on exceptions and derogations to the right so that the concepts  such as “national security” are more narrowly defined and clarified, and removing vague references to “harming the reputation” of the State and the inviolability of Heads of State to allow more open debate and </w:t>
      </w:r>
      <w:r w:rsidR="00242767">
        <w:rPr>
          <w:rFonts w:ascii="Times New Roman" w:hAnsi="Times New Roman"/>
        </w:rPr>
        <w:t>criticism</w:t>
      </w:r>
      <w:r w:rsidR="005E79B7">
        <w:rPr>
          <w:rFonts w:ascii="Times New Roman" w:hAnsi="Times New Roman"/>
        </w:rPr>
        <w:t>.</w:t>
      </w:r>
    </w:p>
    <w:p w14:paraId="56F5E1C3" w14:textId="77777777" w:rsidR="005E79B7" w:rsidRPr="005E79B7" w:rsidRDefault="005E79B7" w:rsidP="00B1206F">
      <w:pPr>
        <w:pStyle w:val="ListParagraph"/>
        <w:jc w:val="both"/>
        <w:rPr>
          <w:rFonts w:ascii="Times New Roman" w:hAnsi="Times New Roman"/>
        </w:rPr>
      </w:pPr>
    </w:p>
    <w:p w14:paraId="31E2EBA1" w14:textId="77777777" w:rsidR="005E79B7" w:rsidRDefault="005E79B7" w:rsidP="00B1206F">
      <w:pPr>
        <w:pStyle w:val="ListParagraph"/>
        <w:numPr>
          <w:ilvl w:val="0"/>
          <w:numId w:val="4"/>
        </w:numPr>
        <w:jc w:val="both"/>
        <w:rPr>
          <w:rFonts w:ascii="Times New Roman" w:hAnsi="Times New Roman"/>
        </w:rPr>
      </w:pPr>
      <w:r>
        <w:rPr>
          <w:rFonts w:ascii="Times New Roman" w:hAnsi="Times New Roman"/>
        </w:rPr>
        <w:t>Strengthen domestic oversight mechanisms to enable challenges to the constitutionality of legislation and interpretation of the constitutional guarantees of rights relevant to the equal right to participate in the conduct of public affairs.</w:t>
      </w:r>
    </w:p>
    <w:p w14:paraId="697647A4" w14:textId="77777777" w:rsidR="005E79B7" w:rsidRPr="005E79B7" w:rsidRDefault="005E79B7" w:rsidP="00B1206F">
      <w:pPr>
        <w:jc w:val="both"/>
        <w:rPr>
          <w:rFonts w:ascii="Times New Roman" w:hAnsi="Times New Roman"/>
        </w:rPr>
      </w:pPr>
    </w:p>
    <w:p w14:paraId="79A75BB5" w14:textId="77777777" w:rsidR="007A3671" w:rsidRDefault="005E79B7" w:rsidP="00B1206F">
      <w:pPr>
        <w:pStyle w:val="ListParagraph"/>
        <w:numPr>
          <w:ilvl w:val="0"/>
          <w:numId w:val="4"/>
        </w:numPr>
        <w:jc w:val="both"/>
        <w:rPr>
          <w:rFonts w:ascii="Times New Roman" w:hAnsi="Times New Roman"/>
        </w:rPr>
      </w:pPr>
      <w:r>
        <w:rPr>
          <w:rFonts w:ascii="Times New Roman" w:hAnsi="Times New Roman"/>
        </w:rPr>
        <w:t xml:space="preserve">Adopt </w:t>
      </w:r>
      <w:r w:rsidR="002C6208">
        <w:rPr>
          <w:rFonts w:ascii="Times New Roman" w:hAnsi="Times New Roman"/>
        </w:rPr>
        <w:t xml:space="preserve">specific </w:t>
      </w:r>
      <w:r>
        <w:rPr>
          <w:rFonts w:ascii="Times New Roman" w:hAnsi="Times New Roman"/>
        </w:rPr>
        <w:t>policies</w:t>
      </w:r>
      <w:r w:rsidR="002C6208">
        <w:rPr>
          <w:rFonts w:ascii="Times New Roman" w:hAnsi="Times New Roman"/>
        </w:rPr>
        <w:t xml:space="preserve"> and measures</w:t>
      </w:r>
      <w:r>
        <w:rPr>
          <w:rFonts w:ascii="Times New Roman" w:hAnsi="Times New Roman"/>
        </w:rPr>
        <w:t xml:space="preserve"> to implement the concluding observations and recommendations of the Treaty Bodies, Special Procedures and Universal Periodic Review recommendations. </w:t>
      </w:r>
    </w:p>
    <w:p w14:paraId="247615A2" w14:textId="77777777" w:rsidR="007A3671" w:rsidRDefault="007A3671" w:rsidP="00B1206F">
      <w:pPr>
        <w:pStyle w:val="ListParagraph"/>
        <w:jc w:val="both"/>
        <w:rPr>
          <w:rFonts w:ascii="Times New Roman" w:hAnsi="Times New Roman"/>
        </w:rPr>
      </w:pPr>
    </w:p>
    <w:p w14:paraId="6128AA76" w14:textId="77777777" w:rsidR="007A3671" w:rsidRDefault="005E79B7" w:rsidP="00B1206F">
      <w:pPr>
        <w:pStyle w:val="ListParagraph"/>
        <w:numPr>
          <w:ilvl w:val="0"/>
          <w:numId w:val="4"/>
        </w:numPr>
        <w:jc w:val="both"/>
        <w:rPr>
          <w:rFonts w:ascii="Times New Roman" w:hAnsi="Times New Roman"/>
        </w:rPr>
      </w:pPr>
      <w:r>
        <w:rPr>
          <w:rFonts w:ascii="Times New Roman" w:hAnsi="Times New Roman"/>
        </w:rPr>
        <w:t xml:space="preserve">Adopt and implement more </w:t>
      </w:r>
      <w:r w:rsidR="007A3671">
        <w:rPr>
          <w:rFonts w:ascii="Times New Roman" w:hAnsi="Times New Roman"/>
        </w:rPr>
        <w:t>active</w:t>
      </w:r>
      <w:r>
        <w:rPr>
          <w:rFonts w:ascii="Times New Roman" w:hAnsi="Times New Roman"/>
        </w:rPr>
        <w:t xml:space="preserve"> policies to en</w:t>
      </w:r>
      <w:r w:rsidR="002C6208">
        <w:rPr>
          <w:rFonts w:ascii="Times New Roman" w:hAnsi="Times New Roman"/>
        </w:rPr>
        <w:t>sure the participation of women, at both the public debate and</w:t>
      </w:r>
      <w:r>
        <w:rPr>
          <w:rFonts w:ascii="Times New Roman" w:hAnsi="Times New Roman"/>
        </w:rPr>
        <w:t xml:space="preserve"> decision-making level</w:t>
      </w:r>
      <w:r w:rsidR="002C6208">
        <w:rPr>
          <w:rFonts w:ascii="Times New Roman" w:hAnsi="Times New Roman"/>
        </w:rPr>
        <w:t>s,</w:t>
      </w:r>
      <w:r>
        <w:rPr>
          <w:rFonts w:ascii="Times New Roman" w:hAnsi="Times New Roman"/>
        </w:rPr>
        <w:t xml:space="preserve"> on an equal footing with men in the political, economic, social, cultural and all other aspects of public affairs</w:t>
      </w:r>
      <w:r w:rsidR="007A3671">
        <w:rPr>
          <w:rFonts w:ascii="Times New Roman" w:hAnsi="Times New Roman"/>
        </w:rPr>
        <w:t xml:space="preserve"> work is needed.</w:t>
      </w:r>
    </w:p>
    <w:p w14:paraId="70205D10" w14:textId="77777777" w:rsidR="007A3671" w:rsidRPr="005E79B7" w:rsidRDefault="007A3671" w:rsidP="00B1206F">
      <w:pPr>
        <w:jc w:val="both"/>
        <w:rPr>
          <w:rFonts w:ascii="Times New Roman" w:hAnsi="Times New Roman"/>
        </w:rPr>
      </w:pPr>
    </w:p>
    <w:p w14:paraId="249F13BE" w14:textId="77777777" w:rsidR="007A3671" w:rsidRDefault="007A3671" w:rsidP="00B1206F">
      <w:pPr>
        <w:pStyle w:val="ListParagraph"/>
        <w:numPr>
          <w:ilvl w:val="0"/>
          <w:numId w:val="4"/>
        </w:numPr>
        <w:jc w:val="both"/>
        <w:rPr>
          <w:rFonts w:ascii="Times New Roman" w:hAnsi="Times New Roman"/>
        </w:rPr>
      </w:pPr>
      <w:r>
        <w:rPr>
          <w:rFonts w:ascii="Times New Roman" w:hAnsi="Times New Roman"/>
        </w:rPr>
        <w:t xml:space="preserve">Remove </w:t>
      </w:r>
      <w:r w:rsidR="005E79B7">
        <w:rPr>
          <w:rFonts w:ascii="Times New Roman" w:hAnsi="Times New Roman"/>
        </w:rPr>
        <w:t xml:space="preserve">administrative and financial </w:t>
      </w:r>
      <w:r>
        <w:rPr>
          <w:rFonts w:ascii="Times New Roman" w:hAnsi="Times New Roman"/>
        </w:rPr>
        <w:t>restrictions on activities of civil society actors and organizations</w:t>
      </w:r>
      <w:r w:rsidR="002C6208">
        <w:rPr>
          <w:rFonts w:ascii="Times New Roman" w:hAnsi="Times New Roman"/>
        </w:rPr>
        <w:t xml:space="preserve">, to better enable their contribution to policy debates and ensure a balance between the duty of everyone to protect national security and public order and the exercise of free and open policy debates. </w:t>
      </w:r>
    </w:p>
    <w:p w14:paraId="05C52D47" w14:textId="77777777" w:rsidR="007A3671" w:rsidRPr="005E79B7" w:rsidRDefault="007A3671" w:rsidP="00B1206F">
      <w:pPr>
        <w:pStyle w:val="ListParagraph"/>
        <w:jc w:val="both"/>
        <w:rPr>
          <w:rFonts w:ascii="Times New Roman" w:hAnsi="Times New Roman"/>
        </w:rPr>
      </w:pPr>
    </w:p>
    <w:p w14:paraId="7866BAAE" w14:textId="77777777" w:rsidR="007A3671" w:rsidRDefault="002C6208" w:rsidP="00B1206F">
      <w:pPr>
        <w:pStyle w:val="ListParagraph"/>
        <w:numPr>
          <w:ilvl w:val="0"/>
          <w:numId w:val="4"/>
        </w:numPr>
        <w:jc w:val="both"/>
        <w:rPr>
          <w:rFonts w:ascii="Times New Roman" w:hAnsi="Times New Roman"/>
        </w:rPr>
      </w:pPr>
      <w:r>
        <w:rPr>
          <w:rFonts w:ascii="Times New Roman" w:hAnsi="Times New Roman"/>
        </w:rPr>
        <w:t xml:space="preserve">Establish special measures – temporary or otherwise – to enhance the open participation of women, minorities and marginalized communities in the discussions and debates of policies generally. </w:t>
      </w:r>
    </w:p>
    <w:p w14:paraId="1814A6C4" w14:textId="77777777" w:rsidR="002C6208" w:rsidRPr="002C6208" w:rsidRDefault="002C6208" w:rsidP="00B1206F">
      <w:pPr>
        <w:pStyle w:val="ListParagraph"/>
        <w:jc w:val="both"/>
        <w:rPr>
          <w:rFonts w:ascii="Times New Roman" w:hAnsi="Times New Roman"/>
        </w:rPr>
      </w:pPr>
    </w:p>
    <w:p w14:paraId="6B4E62ED" w14:textId="77777777" w:rsidR="002C6208" w:rsidRDefault="002C6208" w:rsidP="00B1206F">
      <w:pPr>
        <w:pStyle w:val="ListParagraph"/>
        <w:numPr>
          <w:ilvl w:val="0"/>
          <w:numId w:val="4"/>
        </w:numPr>
        <w:jc w:val="both"/>
        <w:rPr>
          <w:rFonts w:ascii="Times New Roman" w:hAnsi="Times New Roman"/>
        </w:rPr>
      </w:pPr>
      <w:r>
        <w:rPr>
          <w:rFonts w:ascii="Times New Roman" w:hAnsi="Times New Roman"/>
        </w:rPr>
        <w:t>Consider establishing mechanisms to enable non-citizens, such as migrant workers, refugees and others, to participate in and contribute to decisions that affect them</w:t>
      </w:r>
    </w:p>
    <w:p w14:paraId="39360101" w14:textId="77777777" w:rsidR="007A3671" w:rsidRPr="007A3671" w:rsidRDefault="007A3671" w:rsidP="00B1206F">
      <w:pPr>
        <w:jc w:val="both"/>
        <w:outlineLvl w:val="0"/>
        <w:rPr>
          <w:rFonts w:asciiTheme="majorBidi" w:hAnsiTheme="majorBidi" w:cstheme="majorBidi"/>
          <w:b/>
          <w:bCs/>
          <w:u w:val="single"/>
        </w:rPr>
      </w:pPr>
    </w:p>
    <w:p w14:paraId="67D15435" w14:textId="77777777" w:rsidR="000D58C4" w:rsidRDefault="000D58C4" w:rsidP="00191A29">
      <w:pPr>
        <w:pBdr>
          <w:bottom w:val="dotted" w:sz="24" w:space="1" w:color="auto"/>
        </w:pBdr>
        <w:rPr>
          <w:rFonts w:ascii="Corbel" w:hAnsi="Corbel"/>
        </w:rPr>
      </w:pPr>
    </w:p>
    <w:p w14:paraId="64987514" w14:textId="77777777" w:rsidR="000D58C4" w:rsidRPr="000D58C4" w:rsidRDefault="000D58C4" w:rsidP="000D58C4">
      <w:pPr>
        <w:rPr>
          <w:rFonts w:ascii="Corbel" w:hAnsi="Corbel"/>
        </w:rPr>
      </w:pPr>
    </w:p>
    <w:sectPr w:rsidR="000D58C4" w:rsidRPr="000D58C4" w:rsidSect="00704405">
      <w:footerReference w:type="even" r:id="rId11"/>
      <w:footerReference w:type="defaul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85F18" w16cid:durableId="1E1EACBA"/>
  <w16cid:commentId w16cid:paraId="2C33BAD7" w16cid:durableId="1E1EB4C0"/>
  <w16cid:commentId w16cid:paraId="18EDD9AA" w16cid:durableId="1E1EACBE"/>
  <w16cid:commentId w16cid:paraId="13900025" w16cid:durableId="1E22A727"/>
  <w16cid:commentId w16cid:paraId="7C652913" w16cid:durableId="1E1EACC5"/>
  <w16cid:commentId w16cid:paraId="06DD7944" w16cid:durableId="1E1EB7FF"/>
  <w16cid:commentId w16cid:paraId="04A90E36" w16cid:durableId="1E1EAC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3DE04" w14:textId="77777777" w:rsidR="0030789C" w:rsidRDefault="0030789C">
      <w:r>
        <w:separator/>
      </w:r>
    </w:p>
  </w:endnote>
  <w:endnote w:type="continuationSeparator" w:id="0">
    <w:p w14:paraId="7320C9CB" w14:textId="77777777" w:rsidR="0030789C" w:rsidRDefault="0030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59B18" w14:textId="77777777" w:rsidR="0070081C" w:rsidRDefault="0070081C" w:rsidP="00DD64E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7BF256" w14:textId="77777777" w:rsidR="0070081C" w:rsidRDefault="00700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C1FB6" w14:textId="77777777" w:rsidR="0070081C" w:rsidRDefault="0070081C" w:rsidP="00DD64E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5E43">
      <w:rPr>
        <w:rStyle w:val="PageNumber"/>
        <w:noProof/>
      </w:rPr>
      <w:t>2</w:t>
    </w:r>
    <w:r>
      <w:rPr>
        <w:rStyle w:val="PageNumber"/>
      </w:rPr>
      <w:fldChar w:fldCharType="end"/>
    </w:r>
  </w:p>
  <w:p w14:paraId="3A49832D" w14:textId="77777777" w:rsidR="0070081C" w:rsidRDefault="00700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A115F" w14:textId="77777777" w:rsidR="0030789C" w:rsidRDefault="0030789C">
      <w:r>
        <w:separator/>
      </w:r>
    </w:p>
  </w:footnote>
  <w:footnote w:type="continuationSeparator" w:id="0">
    <w:p w14:paraId="3886CFE6" w14:textId="77777777" w:rsidR="0030789C" w:rsidRDefault="0030789C">
      <w:r>
        <w:continuationSeparator/>
      </w:r>
    </w:p>
  </w:footnote>
  <w:footnote w:id="1">
    <w:p w14:paraId="134CE038" w14:textId="42D15F8A" w:rsidR="005A5E43" w:rsidRPr="005A5E43" w:rsidRDefault="005A5E43" w:rsidP="005A5E43">
      <w:pPr>
        <w:jc w:val="both"/>
        <w:rPr>
          <w:rFonts w:ascii="Times New Roman" w:hAnsi="Times New Roman" w:cs="Times New Roman"/>
          <w:sz w:val="20"/>
          <w:szCs w:val="20"/>
          <w:lang w:val="en-GB"/>
        </w:rPr>
      </w:pPr>
      <w:r w:rsidRPr="005A5E43">
        <w:rPr>
          <w:rStyle w:val="FootnoteReference"/>
          <w:rFonts w:ascii="Times New Roman" w:hAnsi="Times New Roman" w:cs="Times New Roman"/>
          <w:sz w:val="20"/>
          <w:szCs w:val="20"/>
        </w:rPr>
        <w:footnoteRef/>
      </w:r>
      <w:r w:rsidRPr="005A5E43">
        <w:rPr>
          <w:rFonts w:ascii="Times New Roman" w:hAnsi="Times New Roman" w:cs="Times New Roman"/>
          <w:sz w:val="20"/>
          <w:szCs w:val="20"/>
        </w:rPr>
        <w:t xml:space="preserve"> </w:t>
      </w:r>
      <w:r w:rsidRPr="005A5E43">
        <w:rPr>
          <w:rFonts w:ascii="Times New Roman" w:eastAsia="Times New Roman" w:hAnsi="Times New Roman" w:cs="Times New Roman"/>
          <w:sz w:val="20"/>
          <w:szCs w:val="20"/>
        </w:rPr>
        <w:t>Human Rights Consultant. The author is responsible for all content and views.</w:t>
      </w:r>
    </w:p>
  </w:footnote>
  <w:footnote w:id="2">
    <w:p w14:paraId="65094993"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Algeria, Bahrain, Egypt, Iraq, Jordan, Kuwait, Lebanon, Libya, Mauritania, Morocco, Oman, Palestine, Qatar, Saudi Arabia, Syria, Tunisia, United Arab Emirates and Yemen.</w:t>
      </w:r>
    </w:p>
  </w:footnote>
  <w:footnote w:id="3">
    <w:p w14:paraId="30586C63"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To date, only Bahrain, Egypt, Jordan and Qatar have sent responses to the letter sent by the Office of the High Commissioner for Human Rights, dated 16 January 2015 pursuant to Human Rights Council Resolution A/HRC/RES/27/24. </w:t>
      </w:r>
      <w:bookmarkStart w:id="0" w:name="_GoBack"/>
      <w:bookmarkEnd w:id="0"/>
    </w:p>
  </w:footnote>
  <w:footnote w:id="4">
    <w:p w14:paraId="4B42DF97"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w:t>
      </w:r>
      <w:r w:rsidRPr="00B1206F">
        <w:rPr>
          <w:rFonts w:ascii="Times New Roman" w:hAnsi="Times New Roman" w:cs="Times New Roman"/>
          <w:i/>
          <w:iCs/>
          <w:sz w:val="20"/>
          <w:szCs w:val="20"/>
        </w:rPr>
        <w:t>inter alia</w:t>
      </w:r>
      <w:r w:rsidRPr="00B1206F">
        <w:rPr>
          <w:rFonts w:ascii="Times New Roman" w:hAnsi="Times New Roman" w:cs="Times New Roman"/>
          <w:sz w:val="20"/>
          <w:szCs w:val="20"/>
        </w:rPr>
        <w:t>, ICESR article 8; CEDAW articles 7 and 8; CERD articles 1 and 5(c and d(vii-ix)); CRC articles 12-15 and 23(1); CRPD article 29. All of the equality and non-discrimination provisions of those instruments are also relevant to the right to participate.</w:t>
      </w:r>
    </w:p>
  </w:footnote>
  <w:footnote w:id="5">
    <w:p w14:paraId="5F888496"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Human rights Committee General Comment No. 25, paras. 5, 12, 26 and 27. See also A/HRC/27/51, para. 61, and A/HRC/23/36, para. 24.</w:t>
      </w:r>
    </w:p>
  </w:footnote>
  <w:footnote w:id="6">
    <w:p w14:paraId="13535B71"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CEDAW General Recommendation No. 23, para. 5.</w:t>
      </w:r>
    </w:p>
  </w:footnote>
  <w:footnote w:id="7">
    <w:p w14:paraId="7FE7B592"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A/RES/41/128. </w:t>
      </w:r>
    </w:p>
  </w:footnote>
  <w:footnote w:id="8">
    <w:p w14:paraId="772D92BA"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S/RES/1325(2000). The four pillars of the resolution are: participation, prevention, protection and provision of aid.</w:t>
      </w:r>
    </w:p>
  </w:footnote>
  <w:footnote w:id="9">
    <w:p w14:paraId="2A62F0F8"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Report of the independent expert on minority issues, Gay McDougall, A/HRC/13/23. See paras. 31-33 and 43-51.</w:t>
      </w:r>
    </w:p>
  </w:footnote>
  <w:footnote w:id="10">
    <w:p w14:paraId="30C31643"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eastAsia="Times New Roman" w:hAnsi="Times New Roman" w:cs="Times New Roman"/>
          <w:i/>
          <w:iCs/>
          <w:sz w:val="20"/>
          <w:szCs w:val="20"/>
        </w:rPr>
        <w:t>Declaration on the Right and Responsibility of Individuals, Groups and Organs of Society to Promote and Protect Universally Recognized Human Rights and Fundamental Freedoms</w:t>
      </w:r>
      <w:r w:rsidRPr="00B1206F">
        <w:rPr>
          <w:rFonts w:ascii="Times New Roman" w:eastAsia="Times New Roman" w:hAnsi="Times New Roman" w:cs="Times New Roman"/>
          <w:sz w:val="20"/>
          <w:szCs w:val="20"/>
        </w:rPr>
        <w:t>; A/RES/53/144, article 8 paras 1 and 2.</w:t>
      </w:r>
    </w:p>
  </w:footnote>
  <w:footnote w:id="11">
    <w:p w14:paraId="4739DCB6"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A/HRC/RES/30/9, preamble para. 8, A/HRC/RES/33/22, preamble para. 9.</w:t>
      </w:r>
    </w:p>
  </w:footnote>
  <w:footnote w:id="12">
    <w:p w14:paraId="11D4F9D4"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This is the case in Bahrain, Jordan, Kuwait, Morocco, Oman, Qatar, Saudi Arabia and the United Arab Emirates. In Kuwait and Morocco, the elected legislatures have a relatively higher degree of autonomy from the executive than the others do. </w:t>
      </w:r>
    </w:p>
  </w:footnote>
  <w:footnote w:id="13">
    <w:p w14:paraId="1629B7B3"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1" w:history="1">
        <w:r w:rsidRPr="00B1206F">
          <w:rPr>
            <w:rStyle w:val="Hyperlink"/>
            <w:rFonts w:ascii="Times New Roman" w:hAnsi="Times New Roman" w:cs="Times New Roman"/>
            <w:sz w:val="20"/>
            <w:szCs w:val="20"/>
          </w:rPr>
          <w:t>https://freedomhouse.org/report/freedom-world/freedom-world-2018</w:t>
        </w:r>
      </w:hyperlink>
      <w:r w:rsidRPr="00B1206F">
        <w:rPr>
          <w:rFonts w:ascii="Times New Roman" w:hAnsi="Times New Roman" w:cs="Times New Roman"/>
          <w:sz w:val="20"/>
          <w:szCs w:val="20"/>
        </w:rPr>
        <w:t>; last accessed 21 January 2018. The Freedom Index is taken only at face value, as an indicator of sorts, and not a final judge on the amorphous determination of “freedom” in any country.</w:t>
      </w:r>
    </w:p>
  </w:footnote>
  <w:footnote w:id="14">
    <w:p w14:paraId="59790E51"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All constitutional texts referred to herein are English translations provided by the Constitute Project, </w:t>
      </w:r>
      <w:hyperlink r:id="rId2" w:history="1">
        <w:r w:rsidRPr="00B1206F">
          <w:rPr>
            <w:rStyle w:val="Hyperlink"/>
            <w:rFonts w:ascii="Times New Roman" w:hAnsi="Times New Roman" w:cs="Times New Roman"/>
            <w:sz w:val="20"/>
            <w:szCs w:val="20"/>
          </w:rPr>
          <w:t>https://constituteproject.org</w:t>
        </w:r>
      </w:hyperlink>
      <w:r w:rsidRPr="00B1206F">
        <w:rPr>
          <w:rFonts w:ascii="Times New Roman" w:hAnsi="Times New Roman" w:cs="Times New Roman"/>
          <w:sz w:val="20"/>
          <w:szCs w:val="20"/>
        </w:rPr>
        <w:t xml:space="preserve">, except for Palestine’s Basic Law which can be found at </w:t>
      </w:r>
      <w:hyperlink r:id="rId3" w:history="1">
        <w:r w:rsidRPr="00B1206F">
          <w:rPr>
            <w:rStyle w:val="Hyperlink"/>
            <w:rFonts w:ascii="Times New Roman" w:hAnsi="Times New Roman" w:cs="Times New Roman"/>
            <w:sz w:val="20"/>
            <w:szCs w:val="20"/>
          </w:rPr>
          <w:t>https://www.palestinianbasiclaw.org/basic-law/2003-amended-basic-law</w:t>
        </w:r>
      </w:hyperlink>
      <w:r w:rsidRPr="00B1206F">
        <w:rPr>
          <w:rFonts w:ascii="Times New Roman" w:hAnsi="Times New Roman" w:cs="Times New Roman"/>
          <w:sz w:val="20"/>
          <w:szCs w:val="20"/>
        </w:rPr>
        <w:t xml:space="preserve">. </w:t>
      </w:r>
    </w:p>
  </w:footnote>
  <w:footnote w:id="15">
    <w:p w14:paraId="14270D6C"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Morocco (2011) Syria (2012), Egypt and Tunisia (2014), Yemen (2015) and Libya passed a constitution for the transitional period in 2012, with a new proposal presented but not adopted in the fragmented country in 2017.</w:t>
      </w:r>
    </w:p>
  </w:footnote>
  <w:footnote w:id="16">
    <w:p w14:paraId="393AB377"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Jordan and Oman (2011 revisions), Bahrain and Mauritania (2012), Saudi Arabia revised its Basic Law in 2013 and Algeria (2016).</w:t>
      </w:r>
    </w:p>
  </w:footnote>
  <w:footnote w:id="17">
    <w:p w14:paraId="1C039DCC"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Algeria’s constitution, arts. 6-11. See also the constitutions of Bahrain (art. 1.d); Egypt (art. 4); Iraq (art. 5); Jordan (art. 24); Lebanon (Preamble, para. D); Libya (art. 1); Morocco (art. 2); Mauritania (art. 2); Palestine (art. 2); in the Qatari constitution, article 59 states that the people are the source of ‘powers’; Syria (art. 2); Tunisia (art. 3); and Yemen’s article 3.</w:t>
      </w:r>
    </w:p>
  </w:footnote>
  <w:footnote w:id="18">
    <w:p w14:paraId="51C94C1D"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for example, the constitutions of Bahrain (art. 1(b)); Jordan (arts. 26); Kuwait (arts. 4, 54); Morocco (arts. 34, 42 and 46); Oman (arts. 5, 41); Qatar (arts. 8 and 64); Saudi Arabia (arts. 5-7)). The U.A.E. is a federation of seven Emirates, each of which is governed by a hereditary Emir.</w:t>
      </w:r>
    </w:p>
  </w:footnote>
  <w:footnote w:id="19">
    <w:p w14:paraId="3279C66F" w14:textId="4F443569"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This provision is the very first article in the constitutions of Bahrain, Egypt, Iraq, Kuwait, Oman, and Yemen, and the second article of the Constitutions of Jordan, Libya, Mauritania, Qatar, Saudi Arabia, and Tunisia. It slips to Article 3 in Syria’s 2012 Constitution, Article 4 of Palestine Basic Law and 7 of the UAE’s Constitution.</w:t>
      </w:r>
    </w:p>
  </w:footnote>
  <w:footnote w:id="20">
    <w:p w14:paraId="04BE5842"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Algeria (arts. 31, 42, 101); Bahrain (arts. 51-56); Egypt (arts. 5, 83, 85, 87); Iraq (art. 5, 20); Jordan (art. 22); Lebanon (art. 21, see also arts. 24 and 49 on sectarian representation); Palestine (art. 26); Qatar (42); Syria (art. 49); Tunisia (art. 34, 53, 54 and art. 74 grants electoral right to emigrant Tunisians); Yemen (art. 42, 43).</w:t>
      </w:r>
    </w:p>
  </w:footnote>
  <w:footnote w:id="21">
    <w:p w14:paraId="154C9DD7"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Algeria (art. 101); Egypt (art. 102 covering parliamentary elections and art. 180 for local council elections); Iraq (general art. 5 and art. 49 specifically addressing elections to the Council of Representatives); Jordan (art. 67); Kuwait (art. 80); Oman (ar. 58bis10); Syria (arts. 57, 131);Tunisia (art. 55 also adds transparency as a criterion) and Yemen (art. 63). </w:t>
      </w:r>
    </w:p>
  </w:footnote>
  <w:footnote w:id="22">
    <w:p w14:paraId="37500DFC"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The Shura Council Law and the Law of the Provinces re both components of the Saudi Basic Law.</w:t>
      </w:r>
    </w:p>
  </w:footnote>
  <w:footnote w:id="23">
    <w:p w14:paraId="15353DF6"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Algeria (art. 43); Iraq (art. 39); Libya (art. 15); Mauritania (art. 11); Morocco (art. 7, which also outlaws one-party regimes); Palestine (art. 26); Syria (art. 8 refers the “principle of political pluralism” and to “licensed” political parties); Tunisia (art. 35); </w:t>
      </w:r>
    </w:p>
  </w:footnote>
  <w:footnote w:id="24">
    <w:p w14:paraId="3696CFCC"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For example, in Jordan (art. 22); Morocco (art. 30); UAE (art. 35); </w:t>
      </w:r>
    </w:p>
  </w:footnote>
  <w:footnote w:id="25">
    <w:p w14:paraId="52AE9F3F" w14:textId="1F47600D"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For example, Bahrain (art. 29); Egypt (art. 138); Morocco (art. 14); Oman (art. 34); Qatar (art. 46); UAE (art. 41);  Yemen (art. 51).</w:t>
      </w:r>
    </w:p>
  </w:footnote>
  <w:footnote w:id="26">
    <w:p w14:paraId="1020216F"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Bahrain (arts. 51-56); Jordan (art. 25); Oman (art. 58); Qatar (art. 61, 77); </w:t>
      </w:r>
    </w:p>
  </w:footnote>
  <w:footnote w:id="27">
    <w:p w14:paraId="3BAF683B"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the constitutions of Bahrain (art. 42); Jordan (art. 34); Kuwait (art. 107); Morocco (arts. 51, 96); Mauritania (art. 31); Oman (art. 58bis19); Saudi Arabia (art. 68); </w:t>
      </w:r>
    </w:p>
  </w:footnote>
  <w:footnote w:id="28">
    <w:p w14:paraId="533E6F28"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Algeria (art. 29); Bahrain (art. 18); Egypt (art. 4); Iraq (14); Jordan (6.1); Kuwait (art. 29); Lebanon (Preamble para. C, art. 7); Libya (art. 6); Oman (art. 17); Palestine (art. 9); Qatar (art. 35); Syria (art. 33.3); UAE (art. 25); Yemen (art. 41). </w:t>
      </w:r>
    </w:p>
  </w:footnote>
  <w:footnote w:id="29">
    <w:p w14:paraId="1D3B3590"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for example, Bahrain (art. 16.b); Lebanon (art. 12); Libya (arts. 6, 8); Oman (art. 12); Qatar (arts. 19, 34); UAE (art. 14).</w:t>
      </w:r>
    </w:p>
  </w:footnote>
  <w:footnote w:id="30">
    <w:p w14:paraId="03829B99"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The Moroccan constitution uses the Arabic </w:t>
      </w:r>
      <w:r w:rsidRPr="00B1206F">
        <w:rPr>
          <w:rFonts w:ascii="Times New Roman" w:hAnsi="Times New Roman" w:cs="Times New Roman"/>
          <w:i/>
          <w:iCs/>
          <w:sz w:val="20"/>
          <w:szCs w:val="20"/>
        </w:rPr>
        <w:t xml:space="preserve">muwatenoon </w:t>
      </w:r>
      <w:r w:rsidRPr="00B1206F">
        <w:rPr>
          <w:rFonts w:ascii="Times New Roman" w:hAnsi="Times New Roman" w:cs="Times New Roman"/>
          <w:sz w:val="20"/>
          <w:szCs w:val="20"/>
        </w:rPr>
        <w:t>(male citizens) and</w:t>
      </w:r>
      <w:r w:rsidRPr="00B1206F">
        <w:rPr>
          <w:rFonts w:ascii="Times New Roman" w:hAnsi="Times New Roman" w:cs="Times New Roman"/>
          <w:i/>
          <w:iCs/>
          <w:sz w:val="20"/>
          <w:szCs w:val="20"/>
        </w:rPr>
        <w:t xml:space="preserve"> muwatenaat</w:t>
      </w:r>
      <w:r w:rsidRPr="00B1206F">
        <w:rPr>
          <w:rFonts w:ascii="Times New Roman" w:hAnsi="Times New Roman" w:cs="Times New Roman"/>
          <w:sz w:val="20"/>
          <w:szCs w:val="20"/>
        </w:rPr>
        <w:t xml:space="preserve"> (female citizens) together instead of the generic male </w:t>
      </w:r>
      <w:r w:rsidRPr="00B1206F">
        <w:rPr>
          <w:rFonts w:ascii="Times New Roman" w:hAnsi="Times New Roman" w:cs="Times New Roman"/>
          <w:i/>
          <w:iCs/>
          <w:sz w:val="20"/>
          <w:szCs w:val="20"/>
        </w:rPr>
        <w:t>muwatenoon</w:t>
      </w:r>
      <w:r w:rsidRPr="00B1206F">
        <w:rPr>
          <w:rFonts w:ascii="Times New Roman" w:hAnsi="Times New Roman" w:cs="Times New Roman"/>
          <w:sz w:val="20"/>
          <w:szCs w:val="20"/>
        </w:rPr>
        <w:t xml:space="preserve"> for the plural.</w:t>
      </w:r>
    </w:p>
  </w:footnote>
  <w:footnote w:id="31">
    <w:p w14:paraId="4497FE98"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also article 80, defining the exercise of political rights by persons with disabilities “in compliance with the principles of equality, justice and equal opportunities.”</w:t>
      </w:r>
    </w:p>
  </w:footnote>
  <w:footnote w:id="32">
    <w:p w14:paraId="160EE809"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This was a point of concern in the CEDAW Committee’s concluding observations on Bahrain’s report, in 2014. See CEDAW/C/BHR/CO/3, para. 19 and 20.</w:t>
      </w:r>
    </w:p>
  </w:footnote>
  <w:footnote w:id="33">
    <w:p w14:paraId="54E85A70"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Inter-Parliamentary Union, Women in National Parliaments, </w:t>
      </w:r>
      <w:hyperlink r:id="rId4" w:history="1">
        <w:r w:rsidRPr="00B1206F">
          <w:rPr>
            <w:rStyle w:val="Hyperlink"/>
            <w:rFonts w:ascii="Times New Roman" w:hAnsi="Times New Roman" w:cs="Times New Roman"/>
            <w:sz w:val="20"/>
            <w:szCs w:val="20"/>
          </w:rPr>
          <w:t>http://archive.ipu.org/wmn-e/world.htm</w:t>
        </w:r>
      </w:hyperlink>
      <w:r w:rsidRPr="00B1206F">
        <w:rPr>
          <w:rStyle w:val="Hyperlink"/>
          <w:rFonts w:ascii="Times New Roman" w:hAnsi="Times New Roman" w:cs="Times New Roman"/>
          <w:sz w:val="20"/>
          <w:szCs w:val="20"/>
          <w:u w:val="none"/>
        </w:rPr>
        <w:t xml:space="preserve"> </w:t>
      </w:r>
      <w:r w:rsidRPr="00B1206F">
        <w:rPr>
          <w:rStyle w:val="Hyperlink"/>
          <w:rFonts w:ascii="Times New Roman" w:hAnsi="Times New Roman" w:cs="Times New Roman"/>
          <w:color w:val="auto"/>
          <w:sz w:val="20"/>
          <w:szCs w:val="20"/>
          <w:u w:val="none"/>
        </w:rPr>
        <w:t xml:space="preserve">last accessed January 23, 2018. </w:t>
      </w:r>
    </w:p>
  </w:footnote>
  <w:footnote w:id="34">
    <w:p w14:paraId="70E26B3A"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Covered by the constitutional provisions of Algeria (arts. 29-29); Bahrain (arts. 17-31); Egypt has an extensive and detailed list (arts. 8-100); Iraq (arts 14-46); Jordan (arts. 5-23); Kuwait (arts. 27-49); Lebanon (arts. 6-15); Libya (arts. 7-16); Mauritania (arts.10-20); Morocco (arts. 19-40); Oman (arts. 15-40); Palestine (arts. 9-33); Qatar (arts. 34-58); Saudi Arabia (arts. 26-40); Syria (arts. 33-54); Tunisia (arts. 21-49); UAE (arts. 25-44); Yemen (arts. 41-61).   </w:t>
      </w:r>
    </w:p>
  </w:footnote>
  <w:footnote w:id="35">
    <w:p w14:paraId="39388988"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Azzam, F, </w:t>
      </w:r>
      <w:r w:rsidRPr="00B1206F">
        <w:rPr>
          <w:rStyle w:val="PageNumber"/>
          <w:rFonts w:ascii="Times New Roman" w:hAnsi="Times New Roman" w:cs="Times New Roman"/>
          <w:sz w:val="20"/>
          <w:szCs w:val="20"/>
        </w:rPr>
        <w:t xml:space="preserve">“Civil and Political Rights in Arab Constitutions” in </w:t>
      </w:r>
      <w:r w:rsidRPr="00B1206F">
        <w:rPr>
          <w:rStyle w:val="PageNumber"/>
          <w:rFonts w:ascii="Times New Roman" w:hAnsi="Times New Roman" w:cs="Times New Roman"/>
          <w:i/>
          <w:iCs/>
          <w:sz w:val="20"/>
          <w:szCs w:val="20"/>
        </w:rPr>
        <w:t>Human Rights in Arab Thought: Studies in Texts</w:t>
      </w:r>
      <w:r w:rsidRPr="00B1206F">
        <w:rPr>
          <w:rStyle w:val="PageNumber"/>
          <w:rFonts w:ascii="Times New Roman" w:hAnsi="Times New Roman" w:cs="Times New Roman"/>
          <w:sz w:val="20"/>
          <w:szCs w:val="20"/>
        </w:rPr>
        <w:t xml:space="preserve"> (Beirut: Center for Arab Unity Studies, April 2002), also published in </w:t>
      </w:r>
      <w:r w:rsidRPr="00B1206F">
        <w:rPr>
          <w:rStyle w:val="PageNumber"/>
          <w:rFonts w:ascii="Times New Roman" w:hAnsi="Times New Roman" w:cs="Times New Roman"/>
          <w:i/>
          <w:iCs/>
          <w:sz w:val="20"/>
          <w:szCs w:val="20"/>
        </w:rPr>
        <w:t>Al-Moustaqbal</w:t>
      </w:r>
      <w:r w:rsidRPr="00B1206F">
        <w:rPr>
          <w:rStyle w:val="PageNumber"/>
          <w:rFonts w:ascii="Times New Roman" w:hAnsi="Times New Roman" w:cs="Times New Roman"/>
          <w:sz w:val="20"/>
          <w:szCs w:val="20"/>
        </w:rPr>
        <w:t xml:space="preserve"> </w:t>
      </w:r>
      <w:r w:rsidRPr="00B1206F">
        <w:rPr>
          <w:rStyle w:val="PageNumber"/>
          <w:rFonts w:ascii="Times New Roman" w:hAnsi="Times New Roman" w:cs="Times New Roman"/>
          <w:i/>
          <w:iCs/>
          <w:sz w:val="20"/>
          <w:szCs w:val="20"/>
        </w:rPr>
        <w:t>Al-‘Arabi</w:t>
      </w:r>
      <w:r w:rsidRPr="00B1206F">
        <w:rPr>
          <w:rStyle w:val="PageNumber"/>
          <w:rFonts w:ascii="Times New Roman" w:hAnsi="Times New Roman" w:cs="Times New Roman"/>
          <w:sz w:val="20"/>
          <w:szCs w:val="20"/>
        </w:rPr>
        <w:t xml:space="preserve"> Vol. 24, No. 277 (March-April, 2002) (both in Arabic). Although the specifics of the study may be outdated, the above conclusions remain valid.</w:t>
      </w:r>
    </w:p>
  </w:footnote>
  <w:footnote w:id="36">
    <w:p w14:paraId="4900EAD1"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Mai El-Sadany, “Human Rights in the Constitution: A Survey of the Arab Uprisings;” Arab Center Washington DC, 24 May 2017; </w:t>
      </w:r>
      <w:hyperlink r:id="rId5" w:history="1">
        <w:r w:rsidRPr="00B1206F">
          <w:rPr>
            <w:rStyle w:val="Hyperlink"/>
            <w:rFonts w:ascii="Times New Roman" w:hAnsi="Times New Roman" w:cs="Times New Roman"/>
            <w:sz w:val="20"/>
            <w:szCs w:val="20"/>
          </w:rPr>
          <w:t>http://arabcenterdc.org/policy_analyses/human-rights-in-the-constitution-a-survey-of-the-arab-uprisings/</w:t>
        </w:r>
      </w:hyperlink>
      <w:r w:rsidRPr="00B1206F">
        <w:rPr>
          <w:rFonts w:ascii="Times New Roman" w:hAnsi="Times New Roman" w:cs="Times New Roman"/>
          <w:sz w:val="20"/>
          <w:szCs w:val="20"/>
        </w:rPr>
        <w:t>; last accessed 25 January 2018.</w:t>
      </w:r>
    </w:p>
  </w:footnote>
  <w:footnote w:id="37">
    <w:p w14:paraId="433D278C"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6" w:history="1">
        <w:r w:rsidRPr="00B1206F">
          <w:rPr>
            <w:rStyle w:val="Hyperlink"/>
            <w:rFonts w:ascii="Times New Roman" w:hAnsi="Times New Roman" w:cs="Times New Roman"/>
            <w:sz w:val="20"/>
            <w:szCs w:val="20"/>
          </w:rPr>
          <w:t>https://monitor.civicus.org</w:t>
        </w:r>
      </w:hyperlink>
      <w:r w:rsidRPr="00B1206F">
        <w:rPr>
          <w:rFonts w:ascii="Times New Roman" w:hAnsi="Times New Roman" w:cs="Times New Roman"/>
          <w:sz w:val="20"/>
          <w:szCs w:val="20"/>
        </w:rPr>
        <w:t>; last accessed 28 January 2018.</w:t>
      </w:r>
    </w:p>
  </w:footnote>
  <w:footnote w:id="38">
    <w:p w14:paraId="1C22F49D"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also study by the Arab NGO Network for Development, </w:t>
      </w:r>
      <w:r w:rsidRPr="00B1206F">
        <w:rPr>
          <w:rFonts w:ascii="Times New Roman" w:hAnsi="Times New Roman" w:cs="Times New Roman"/>
          <w:i/>
          <w:iCs/>
          <w:sz w:val="20"/>
          <w:szCs w:val="20"/>
        </w:rPr>
        <w:t xml:space="preserve">The Enabling Environment for Civil Society in the Arab Region, </w:t>
      </w:r>
      <w:r w:rsidRPr="00B1206F">
        <w:rPr>
          <w:rFonts w:ascii="Times New Roman" w:hAnsi="Times New Roman" w:cs="Times New Roman"/>
          <w:sz w:val="20"/>
          <w:szCs w:val="20"/>
        </w:rPr>
        <w:t xml:space="preserve">Beirut, ANND, 2017 (Arabic). </w:t>
      </w:r>
      <w:hyperlink r:id="rId7" w:anchor="sthash.Ae76L9d4.8DWgrnga.dpbs" w:history="1">
        <w:r w:rsidRPr="00B1206F">
          <w:rPr>
            <w:rStyle w:val="Hyperlink"/>
            <w:rFonts w:ascii="Times New Roman" w:hAnsi="Times New Roman" w:cs="Times New Roman"/>
            <w:sz w:val="20"/>
            <w:szCs w:val="20"/>
          </w:rPr>
          <w:t>http://www.annd.org/arabic/itemId.php?itemId=540#sthash.Ae76L9d4.8DWgrnga.dpbs</w:t>
        </w:r>
      </w:hyperlink>
      <w:r w:rsidRPr="00B1206F">
        <w:rPr>
          <w:rFonts w:ascii="Times New Roman" w:hAnsi="Times New Roman" w:cs="Times New Roman"/>
          <w:sz w:val="20"/>
          <w:szCs w:val="20"/>
        </w:rPr>
        <w:t xml:space="preserve"> last accessed January 30, 2018.</w:t>
      </w:r>
    </w:p>
  </w:footnote>
  <w:footnote w:id="39">
    <w:p w14:paraId="040EDAD8" w14:textId="77777777" w:rsidR="0070081C" w:rsidRPr="00B1206F" w:rsidRDefault="0070081C" w:rsidP="006A018A">
      <w:pPr>
        <w:autoSpaceDE w:val="0"/>
        <w:autoSpaceDN w:val="0"/>
        <w:adjustRightInd w:val="0"/>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International Center for Non-profit Law,</w:t>
      </w:r>
      <w:r w:rsidRPr="00B1206F">
        <w:rPr>
          <w:rFonts w:ascii="Times New Roman" w:hAnsi="Times New Roman" w:cs="Times New Roman"/>
          <w:color w:val="0000FF"/>
          <w:sz w:val="20"/>
          <w:szCs w:val="20"/>
        </w:rPr>
        <w:t xml:space="preserve"> </w:t>
      </w:r>
      <w:hyperlink r:id="rId8" w:history="1">
        <w:r w:rsidRPr="00B1206F">
          <w:rPr>
            <w:rStyle w:val="Hyperlink"/>
            <w:rFonts w:ascii="Times New Roman" w:hAnsi="Times New Roman" w:cs="Times New Roman"/>
            <w:sz w:val="20"/>
            <w:szCs w:val="20"/>
          </w:rPr>
          <w:t>http://www.icnl.org/research/monitor/algeria.html</w:t>
        </w:r>
      </w:hyperlink>
      <w:r w:rsidRPr="00B1206F">
        <w:rPr>
          <w:rFonts w:ascii="Times New Roman" w:hAnsi="Times New Roman" w:cs="Times New Roman"/>
          <w:color w:val="0000FF"/>
          <w:sz w:val="20"/>
          <w:szCs w:val="20"/>
        </w:rPr>
        <w:t xml:space="preserve">; </w:t>
      </w:r>
      <w:r w:rsidRPr="00B1206F">
        <w:rPr>
          <w:rFonts w:ascii="Times New Roman" w:hAnsi="Times New Roman" w:cs="Times New Roman"/>
          <w:sz w:val="20"/>
          <w:szCs w:val="20"/>
        </w:rPr>
        <w:t>last accessed 28 January 2018.</w:t>
      </w:r>
    </w:p>
  </w:footnote>
  <w:footnote w:id="40">
    <w:p w14:paraId="48EE3F99"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Ibid.</w:t>
      </w:r>
      <w:r w:rsidRPr="00B1206F">
        <w:rPr>
          <w:rFonts w:ascii="Times New Roman" w:hAnsi="Times New Roman" w:cs="Times New Roman"/>
          <w:sz w:val="20"/>
          <w:szCs w:val="20"/>
        </w:rPr>
        <w:t xml:space="preserve"> at </w:t>
      </w:r>
      <w:hyperlink r:id="rId9" w:history="1">
        <w:r w:rsidRPr="00B1206F">
          <w:rPr>
            <w:rStyle w:val="Hyperlink"/>
            <w:rFonts w:ascii="Times New Roman" w:hAnsi="Times New Roman" w:cs="Times New Roman"/>
            <w:sz w:val="20"/>
            <w:szCs w:val="20"/>
          </w:rPr>
          <w:t>http://www.icnl.org/research/monitor/saudiarabia.html</w:t>
        </w:r>
      </w:hyperlink>
      <w:r w:rsidRPr="00B1206F">
        <w:rPr>
          <w:rStyle w:val="Hyperlink"/>
          <w:rFonts w:ascii="Times New Roman" w:hAnsi="Times New Roman" w:cs="Times New Roman"/>
          <w:sz w:val="20"/>
          <w:szCs w:val="20"/>
        </w:rPr>
        <w:t xml:space="preserve">; </w:t>
      </w:r>
      <w:r w:rsidRPr="00B1206F">
        <w:rPr>
          <w:rFonts w:ascii="Times New Roman" w:hAnsi="Times New Roman" w:cs="Times New Roman"/>
          <w:sz w:val="20"/>
          <w:szCs w:val="20"/>
        </w:rPr>
        <w:t>last accessed 28 January 2018.</w:t>
      </w:r>
    </w:p>
  </w:footnote>
  <w:footnote w:id="41">
    <w:p w14:paraId="770AB415"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Gulf Center for Human Rights Mission Report, </w:t>
      </w:r>
      <w:r w:rsidRPr="00B1206F">
        <w:rPr>
          <w:rFonts w:ascii="Times New Roman" w:hAnsi="Times New Roman" w:cs="Times New Roman"/>
          <w:i/>
          <w:iCs/>
          <w:sz w:val="20"/>
          <w:szCs w:val="20"/>
        </w:rPr>
        <w:t xml:space="preserve">Qatar, civil society and human rights: Lack of civil society space hinders work of human rights defenders, p. 10; </w:t>
      </w:r>
      <w:r w:rsidRPr="00B1206F">
        <w:rPr>
          <w:rFonts w:ascii="Times New Roman" w:hAnsi="Times New Roman" w:cs="Times New Roman"/>
          <w:sz w:val="20"/>
          <w:szCs w:val="20"/>
        </w:rPr>
        <w:t xml:space="preserve"> </w:t>
      </w:r>
      <w:hyperlink r:id="rId10" w:history="1">
        <w:r w:rsidRPr="00B1206F">
          <w:rPr>
            <w:rStyle w:val="Hyperlink"/>
            <w:rFonts w:ascii="Times New Roman" w:hAnsi="Times New Roman" w:cs="Times New Roman"/>
            <w:sz w:val="20"/>
            <w:szCs w:val="20"/>
          </w:rPr>
          <w:t>http://www.gc4hr.org/report/view/39</w:t>
        </w:r>
      </w:hyperlink>
      <w:r w:rsidRPr="00B1206F">
        <w:rPr>
          <w:rFonts w:ascii="Times New Roman" w:hAnsi="Times New Roman" w:cs="Times New Roman"/>
          <w:sz w:val="20"/>
          <w:szCs w:val="20"/>
        </w:rPr>
        <w:t>; last accessed January 18, 2018.</w:t>
      </w:r>
    </w:p>
  </w:footnote>
  <w:footnote w:id="42">
    <w:p w14:paraId="70AB9238"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Articles 116, 118, 121, 123 and 125. Gulf Center for Human Rights, 15 January 2018, </w:t>
      </w:r>
      <w:hyperlink r:id="rId11" w:history="1">
        <w:r w:rsidRPr="00B1206F">
          <w:rPr>
            <w:rStyle w:val="Hyperlink"/>
            <w:rFonts w:ascii="Times New Roman" w:hAnsi="Times New Roman" w:cs="Times New Roman"/>
            <w:sz w:val="20"/>
            <w:szCs w:val="20"/>
          </w:rPr>
          <w:t>http://www.gc4hr.org/news/view/1769</w:t>
        </w:r>
      </w:hyperlink>
      <w:r w:rsidRPr="00B1206F">
        <w:rPr>
          <w:rFonts w:ascii="Times New Roman" w:hAnsi="Times New Roman" w:cs="Times New Roman"/>
          <w:sz w:val="20"/>
          <w:szCs w:val="20"/>
        </w:rPr>
        <w:t>; last accessed January 30, 2018.</w:t>
      </w:r>
    </w:p>
  </w:footnote>
  <w:footnote w:id="43">
    <w:p w14:paraId="011573A5"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Reports Without Borders, 2017 World Press Freedom Index, </w:t>
      </w:r>
      <w:hyperlink r:id="rId12" w:history="1">
        <w:r w:rsidRPr="00B1206F">
          <w:rPr>
            <w:rStyle w:val="Hyperlink"/>
            <w:rFonts w:ascii="Times New Roman" w:hAnsi="Times New Roman" w:cs="Times New Roman"/>
            <w:sz w:val="20"/>
            <w:szCs w:val="20"/>
          </w:rPr>
          <w:t>https://rsf.org/en/ranking</w:t>
        </w:r>
      </w:hyperlink>
      <w:r w:rsidRPr="00B1206F">
        <w:rPr>
          <w:rFonts w:ascii="Times New Roman" w:hAnsi="Times New Roman" w:cs="Times New Roman"/>
          <w:sz w:val="20"/>
          <w:szCs w:val="20"/>
        </w:rPr>
        <w:t xml:space="preserve">; last accessed 29 January 2018. </w:t>
      </w:r>
    </w:p>
  </w:footnote>
  <w:footnote w:id="44">
    <w:p w14:paraId="2F0239D0"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Fourteen of the countries considered in this study have established national human rights institutions. See </w:t>
      </w:r>
      <w:hyperlink r:id="rId13" w:history="1">
        <w:r w:rsidRPr="00B1206F">
          <w:rPr>
            <w:rStyle w:val="Hyperlink"/>
            <w:rFonts w:ascii="Times New Roman" w:hAnsi="Times New Roman" w:cs="Times New Roman"/>
            <w:sz w:val="20"/>
            <w:szCs w:val="20"/>
          </w:rPr>
          <w:t>http://www.ohchr.org/Documents/Countries/NHRI/ChartStatusNHRIs.pdf</w:t>
        </w:r>
      </w:hyperlink>
      <w:r w:rsidRPr="00B1206F">
        <w:rPr>
          <w:rFonts w:ascii="Times New Roman" w:hAnsi="Times New Roman" w:cs="Times New Roman"/>
          <w:sz w:val="20"/>
          <w:szCs w:val="20"/>
        </w:rPr>
        <w:t xml:space="preserve">; last accessed 5 February 2018.  </w:t>
      </w:r>
    </w:p>
  </w:footnote>
  <w:footnote w:id="45">
    <w:p w14:paraId="0370B53D" w14:textId="77777777" w:rsidR="0070081C" w:rsidRPr="00B1206F" w:rsidRDefault="0070081C" w:rsidP="006A018A">
      <w:pPr>
        <w:jc w:val="both"/>
        <w:rPr>
          <w:rFonts w:ascii="Times New Roman" w:hAnsi="Times New Roman" w:cs="Times New Roman"/>
          <w:sz w:val="20"/>
          <w:szCs w:val="20"/>
          <w:rtl/>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Economic and Social Commission for West Asia, </w:t>
      </w:r>
      <w:r w:rsidRPr="00B1206F">
        <w:rPr>
          <w:rFonts w:ascii="Times New Roman" w:hAnsi="Times New Roman" w:cs="Times New Roman"/>
          <w:i/>
          <w:iCs/>
          <w:sz w:val="20"/>
          <w:szCs w:val="20"/>
        </w:rPr>
        <w:t xml:space="preserve">Assessing Legislative Gaps in Implementing UN Security Council Resolution 1325 in Selected Arab Countries; </w:t>
      </w:r>
      <w:r w:rsidRPr="00B1206F">
        <w:rPr>
          <w:rFonts w:ascii="Times New Roman" w:hAnsi="Times New Roman" w:cs="Times New Roman"/>
          <w:sz w:val="20"/>
          <w:szCs w:val="20"/>
        </w:rPr>
        <w:t>E/ESCWA/ECW/2015/Technical Paper.8,</w:t>
      </w:r>
      <w:r w:rsidRPr="00B1206F">
        <w:rPr>
          <w:rFonts w:ascii="Times New Roman" w:hAnsi="Times New Roman" w:cs="Times New Roman"/>
          <w:i/>
          <w:iCs/>
          <w:sz w:val="20"/>
          <w:szCs w:val="20"/>
        </w:rPr>
        <w:t xml:space="preserve"> 2015, pp. 10-15; available at: </w:t>
      </w:r>
      <w:hyperlink r:id="rId14" w:history="1">
        <w:r w:rsidRPr="00B1206F">
          <w:rPr>
            <w:rStyle w:val="Hyperlink"/>
            <w:rFonts w:ascii="Times New Roman" w:hAnsi="Times New Roman" w:cs="Times New Roman"/>
            <w:i/>
            <w:iCs/>
            <w:sz w:val="20"/>
            <w:szCs w:val="20"/>
          </w:rPr>
          <w:t>https://www.unescwa.org/ar/publications/%D8%A7%D9%84%D9%85%D8%B1%D8%A3%D8%A9-%D8%A7%D9%84%D8%A3%D9%85%D9%86-%D8%A7%D9%84%D8%B3%D9%84%D8%A7%D9%85-%D8%A7%D9%84%D9%81%D8%AC%D9%88%D8%A7%D8%AA-%D8%A7%D9%84%D8%AA%D8%B4%D8%B1%D9%8A%D8%B9%D9%8A%D8%A9-%D8%A7%D9%84%D9%82%D8%B1%D8%A7%D8%B1-1325</w:t>
        </w:r>
      </w:hyperlink>
      <w:r w:rsidRPr="00B1206F">
        <w:rPr>
          <w:rFonts w:ascii="Times New Roman" w:hAnsi="Times New Roman" w:cs="Times New Roman"/>
          <w:i/>
          <w:iCs/>
          <w:sz w:val="20"/>
          <w:szCs w:val="20"/>
        </w:rPr>
        <w:t xml:space="preserve">; </w:t>
      </w:r>
      <w:r w:rsidRPr="00B1206F">
        <w:rPr>
          <w:rFonts w:ascii="Times New Roman" w:hAnsi="Times New Roman" w:cs="Times New Roman"/>
          <w:sz w:val="20"/>
          <w:szCs w:val="20"/>
        </w:rPr>
        <w:t>(Arabic); last accessed 30 January 2018.</w:t>
      </w:r>
    </w:p>
  </w:footnote>
  <w:footnote w:id="46">
    <w:p w14:paraId="15E58785" w14:textId="77777777" w:rsidR="0070081C" w:rsidRPr="00B1206F" w:rsidRDefault="0070081C" w:rsidP="006A018A">
      <w:pPr>
        <w:jc w:val="both"/>
        <w:rPr>
          <w:rFonts w:ascii="Times New Roman" w:eastAsia="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These countries include Bahrain, Jordan, Morocco, Egypt, Yemen, Palestine, Tunisia, Egypt and Lebanon. OECD MENA Program: </w:t>
      </w:r>
      <w:r w:rsidRPr="00B1206F">
        <w:rPr>
          <w:rFonts w:ascii="Times New Roman" w:hAnsi="Times New Roman" w:cs="Times New Roman"/>
          <w:i/>
          <w:iCs/>
          <w:sz w:val="20"/>
          <w:szCs w:val="20"/>
        </w:rPr>
        <w:t>women in Public Life: Gender, law and policy in the Middle East and North Africa</w:t>
      </w:r>
      <w:r w:rsidRPr="00B1206F">
        <w:rPr>
          <w:rFonts w:ascii="Times New Roman" w:hAnsi="Times New Roman" w:cs="Times New Roman"/>
          <w:sz w:val="20"/>
          <w:szCs w:val="20"/>
        </w:rPr>
        <w:t xml:space="preserve"> [no date]; </w:t>
      </w:r>
      <w:hyperlink r:id="rId15" w:history="1">
        <w:r w:rsidRPr="00B1206F">
          <w:rPr>
            <w:rStyle w:val="Hyperlink"/>
            <w:rFonts w:ascii="Times New Roman" w:eastAsia="Times New Roman" w:hAnsi="Times New Roman" w:cs="Times New Roman"/>
            <w:i/>
            <w:iCs/>
            <w:sz w:val="20"/>
            <w:szCs w:val="20"/>
          </w:rPr>
          <w:t>https://www.oecd.org/mena/governance/women-in-public-life-mena-brochure.pdf</w:t>
        </w:r>
      </w:hyperlink>
      <w:r w:rsidRPr="00B1206F">
        <w:rPr>
          <w:rFonts w:ascii="Times New Roman" w:eastAsia="Times New Roman" w:hAnsi="Times New Roman" w:cs="Times New Roman"/>
          <w:i/>
          <w:iCs/>
          <w:sz w:val="20"/>
          <w:szCs w:val="20"/>
        </w:rPr>
        <w:t xml:space="preserve"> </w:t>
      </w:r>
    </w:p>
  </w:footnote>
  <w:footnote w:id="47">
    <w:p w14:paraId="218CA471"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“Web 2.0 in Next-Generation Government and Governance: A Middle East Point of View  (February 2011); </w:t>
      </w:r>
      <w:hyperlink r:id="rId16" w:history="1">
        <w:r w:rsidRPr="00B1206F">
          <w:rPr>
            <w:rStyle w:val="Hyperlink"/>
            <w:rFonts w:ascii="Times New Roman" w:hAnsi="Times New Roman" w:cs="Times New Roman"/>
            <w:sz w:val="20"/>
            <w:szCs w:val="20"/>
          </w:rPr>
          <w:t>https://www.cisco.com/c/dam/en_us/about/ac79/docs/ps/Web_2-Mid-East-Governance_IBSG.pdf</w:t>
        </w:r>
      </w:hyperlink>
      <w:r w:rsidRPr="00B1206F">
        <w:rPr>
          <w:rFonts w:ascii="Times New Roman" w:hAnsi="Times New Roman" w:cs="Times New Roman"/>
          <w:sz w:val="20"/>
          <w:szCs w:val="20"/>
        </w:rPr>
        <w:t xml:space="preserve">, p. 2, last accessed 17 January, 2018. See also Al-Khawasneh and Abu-Shanab, “E-government and Social Media Sites: The Role and Impact;” World Journal of Computer Application and Technology 1(1): 10-17, 2013; </w:t>
      </w:r>
      <w:hyperlink r:id="rId17" w:history="1">
        <w:r w:rsidRPr="00B1206F">
          <w:rPr>
            <w:rStyle w:val="Hyperlink"/>
            <w:rFonts w:ascii="Times New Roman" w:hAnsi="Times New Roman" w:cs="Times New Roman"/>
            <w:sz w:val="20"/>
            <w:szCs w:val="20"/>
          </w:rPr>
          <w:t>http://www.hrpub.org/download/201307/wjcat.2013.010103.pdf</w:t>
        </w:r>
      </w:hyperlink>
      <w:r w:rsidRPr="00B1206F">
        <w:rPr>
          <w:rFonts w:ascii="Times New Roman" w:hAnsi="Times New Roman" w:cs="Times New Roman"/>
          <w:sz w:val="20"/>
          <w:szCs w:val="20"/>
        </w:rPr>
        <w:t>; last accessed 26 January 2018.</w:t>
      </w:r>
    </w:p>
  </w:footnote>
  <w:footnote w:id="48">
    <w:p w14:paraId="2B8D37D7"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18" w:history="1">
        <w:r w:rsidRPr="00B1206F">
          <w:rPr>
            <w:rStyle w:val="Hyperlink"/>
            <w:rFonts w:ascii="Times New Roman" w:hAnsi="Times New Roman" w:cs="Times New Roman"/>
            <w:sz w:val="20"/>
            <w:szCs w:val="20"/>
          </w:rPr>
          <w:t>https://government.ae/ar-AE/participate</w:t>
        </w:r>
      </w:hyperlink>
      <w:r w:rsidRPr="00B1206F">
        <w:rPr>
          <w:rFonts w:ascii="Times New Roman" w:hAnsi="Times New Roman" w:cs="Times New Roman"/>
          <w:sz w:val="20"/>
          <w:szCs w:val="20"/>
        </w:rPr>
        <w:t>; last accessed 30 January 2018.</w:t>
      </w:r>
    </w:p>
  </w:footnote>
  <w:footnote w:id="49">
    <w:p w14:paraId="63A3F873"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Omanuna, the ‘official portal for electronic governmental services’ </w:t>
      </w:r>
      <w:hyperlink r:id="rId19" w:history="1">
        <w:r w:rsidRPr="00B1206F">
          <w:rPr>
            <w:rStyle w:val="Hyperlink"/>
            <w:rFonts w:ascii="Times New Roman" w:hAnsi="Times New Roman" w:cs="Times New Roman"/>
            <w:sz w:val="20"/>
            <w:szCs w:val="20"/>
          </w:rPr>
          <w:t>http://www.oman.om/wps/portal/index/interact/shurkum/!ut/p/a1/hc6xDsIgAATQb_ELOKCh6UiLtZQ2REFtWQyTIdHqYPx-q-mq3nbJu-RIIAMJU3ymc3yk2xQv7x7EyW6poI2FsVXHIXd5qZwHXeeYwTgDfInEv_2RhA9xrSmdzhhs7Si01E1VSc_oXiyAYwPYQvfG9xKMH-q26ARXKlvAjw_364Ck5eoF05iitg!!/dl5/d5/L0lDU1EvUU5RSy80SlNFL2Fy/</w:t>
        </w:r>
      </w:hyperlink>
      <w:r w:rsidRPr="00B1206F">
        <w:rPr>
          <w:rFonts w:ascii="Times New Roman" w:hAnsi="Times New Roman" w:cs="Times New Roman"/>
          <w:sz w:val="20"/>
          <w:szCs w:val="20"/>
        </w:rPr>
        <w:t>; last accessed 30 January 2018.</w:t>
      </w:r>
    </w:p>
  </w:footnote>
  <w:footnote w:id="50">
    <w:p w14:paraId="247F44F5"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20" w:history="1">
        <w:r w:rsidRPr="00B1206F">
          <w:rPr>
            <w:rStyle w:val="Hyperlink"/>
            <w:rFonts w:ascii="Times New Roman" w:hAnsi="Times New Roman" w:cs="Times New Roman"/>
            <w:sz w:val="20"/>
            <w:szCs w:val="20"/>
          </w:rPr>
          <w:t>http://www.e-gov.gov.lb/Cultures/en-us/aboutEgov/EParticipation/Pages/Main.aspx</w:t>
        </w:r>
      </w:hyperlink>
      <w:r w:rsidRPr="00B1206F">
        <w:rPr>
          <w:rFonts w:ascii="Times New Roman" w:hAnsi="Times New Roman" w:cs="Times New Roman"/>
          <w:sz w:val="20"/>
          <w:szCs w:val="20"/>
        </w:rPr>
        <w:t>; last accessed 30 January 2018.</w:t>
      </w:r>
    </w:p>
  </w:footnote>
  <w:footnote w:id="51">
    <w:p w14:paraId="41853FD3"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21" w:history="1">
        <w:r w:rsidRPr="00B1206F">
          <w:rPr>
            <w:rStyle w:val="Hyperlink"/>
            <w:rFonts w:ascii="Times New Roman" w:hAnsi="Times New Roman" w:cs="Times New Roman"/>
            <w:sz w:val="20"/>
            <w:szCs w:val="20"/>
          </w:rPr>
          <w:t>http://portal.www.gov.qa/wps/portal</w:t>
        </w:r>
      </w:hyperlink>
      <w:r w:rsidRPr="00B1206F">
        <w:rPr>
          <w:rFonts w:ascii="Times New Roman" w:hAnsi="Times New Roman" w:cs="Times New Roman"/>
          <w:sz w:val="20"/>
          <w:szCs w:val="20"/>
        </w:rPr>
        <w:t>; last accessed 30 January 2018.</w:t>
      </w:r>
    </w:p>
  </w:footnote>
  <w:footnote w:id="52">
    <w:p w14:paraId="2FEE4CCF"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22" w:history="1">
        <w:r w:rsidRPr="00B1206F">
          <w:rPr>
            <w:rStyle w:val="Hyperlink"/>
            <w:rFonts w:ascii="Times New Roman" w:hAnsi="Times New Roman" w:cs="Times New Roman"/>
            <w:sz w:val="20"/>
            <w:szCs w:val="20"/>
          </w:rPr>
          <w:t>http://www.egypt.gov.eg/General/Confirm.aspx?Status=401&amp;act=general</w:t>
        </w:r>
      </w:hyperlink>
      <w:r w:rsidRPr="00B1206F">
        <w:rPr>
          <w:rFonts w:ascii="Times New Roman" w:hAnsi="Times New Roman" w:cs="Times New Roman"/>
          <w:sz w:val="20"/>
          <w:szCs w:val="20"/>
        </w:rPr>
        <w:t>; last accessed 30 January 2018.</w:t>
      </w:r>
    </w:p>
  </w:footnote>
  <w:footnote w:id="53">
    <w:p w14:paraId="64055BCB"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23" w:history="1">
        <w:r w:rsidRPr="00B1206F">
          <w:rPr>
            <w:rStyle w:val="Hyperlink"/>
            <w:rFonts w:ascii="Times New Roman" w:hAnsi="Times New Roman" w:cs="Times New Roman"/>
            <w:sz w:val="20"/>
            <w:szCs w:val="20"/>
          </w:rPr>
          <w:t>http://www.data.gov.bh/ar/</w:t>
        </w:r>
      </w:hyperlink>
      <w:r w:rsidRPr="00B1206F">
        <w:rPr>
          <w:rFonts w:ascii="Times New Roman" w:hAnsi="Times New Roman" w:cs="Times New Roman"/>
          <w:sz w:val="20"/>
          <w:szCs w:val="20"/>
        </w:rPr>
        <w:t>; 30 January 2018.</w:t>
      </w:r>
    </w:p>
  </w:footnote>
  <w:footnote w:id="54">
    <w:p w14:paraId="3C9F563C"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24" w:history="1">
        <w:r w:rsidRPr="00B1206F">
          <w:rPr>
            <w:rStyle w:val="Hyperlink"/>
            <w:rFonts w:ascii="Times New Roman" w:hAnsi="Times New Roman" w:cs="Times New Roman"/>
            <w:sz w:val="20"/>
            <w:szCs w:val="20"/>
          </w:rPr>
          <w:t>https://www.e.gov.kw/sites/kgoArabic/Pages/Business/InfoSubPages/LawsAndRegulations.aspx</w:t>
        </w:r>
      </w:hyperlink>
      <w:r w:rsidRPr="00B1206F">
        <w:rPr>
          <w:rFonts w:ascii="Times New Roman" w:hAnsi="Times New Roman" w:cs="Times New Roman"/>
          <w:sz w:val="20"/>
          <w:szCs w:val="20"/>
        </w:rPr>
        <w:t>; last accessed 30 January 2018.</w:t>
      </w:r>
    </w:p>
  </w:footnote>
  <w:footnote w:id="55">
    <w:p w14:paraId="47BC0D52"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Atari, Stewart-Weeks and Calla, </w:t>
      </w:r>
      <w:r w:rsidRPr="00B1206F">
        <w:rPr>
          <w:rFonts w:ascii="Times New Roman" w:hAnsi="Times New Roman" w:cs="Times New Roman"/>
          <w:i/>
          <w:iCs/>
          <w:sz w:val="20"/>
          <w:szCs w:val="20"/>
        </w:rPr>
        <w:t>Ibid.</w:t>
      </w:r>
      <w:r w:rsidRPr="00B1206F">
        <w:rPr>
          <w:rFonts w:ascii="Times New Roman" w:hAnsi="Times New Roman" w:cs="Times New Roman"/>
          <w:sz w:val="20"/>
          <w:szCs w:val="20"/>
        </w:rPr>
        <w:t xml:space="preserve"> p. 6, p. 8.</w:t>
      </w:r>
    </w:p>
  </w:footnote>
  <w:footnote w:id="56">
    <w:p w14:paraId="1457CE3F"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w:t>
      </w:r>
      <w:hyperlink r:id="rId25" w:history="1">
        <w:r w:rsidRPr="00B1206F">
          <w:rPr>
            <w:rStyle w:val="Hyperlink"/>
            <w:rFonts w:ascii="Times New Roman" w:hAnsi="Times New Roman" w:cs="Times New Roman"/>
            <w:sz w:val="20"/>
            <w:szCs w:val="20"/>
          </w:rPr>
          <w:t>http://www.lasportal.org/ar/Sectors/Dep/Pages/default.aspx?RID=62&amp;SID=12</w:t>
        </w:r>
      </w:hyperlink>
      <w:r w:rsidRPr="00B1206F">
        <w:rPr>
          <w:rFonts w:ascii="Times New Roman" w:hAnsi="Times New Roman" w:cs="Times New Roman"/>
          <w:sz w:val="20"/>
          <w:szCs w:val="20"/>
        </w:rPr>
        <w:t>; last accessed 30 January 2018.</w:t>
      </w:r>
    </w:p>
  </w:footnote>
  <w:footnote w:id="57">
    <w:p w14:paraId="078FF6FF"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See </w:t>
      </w:r>
      <w:hyperlink r:id="rId26" w:history="1">
        <w:r w:rsidRPr="00B1206F">
          <w:rPr>
            <w:rStyle w:val="Hyperlink"/>
            <w:rFonts w:ascii="Times New Roman" w:hAnsi="Times New Roman" w:cs="Times New Roman"/>
            <w:sz w:val="20"/>
            <w:szCs w:val="20"/>
          </w:rPr>
          <w:t>http://www.lasportal.org/ar/sectors/dep/HumanRightsDep/Pages/CommitteeSuperVisor.aspx</w:t>
        </w:r>
      </w:hyperlink>
      <w:r w:rsidRPr="00B1206F">
        <w:rPr>
          <w:rFonts w:ascii="Times New Roman" w:hAnsi="Times New Roman" w:cs="Times New Roman"/>
          <w:sz w:val="20"/>
          <w:szCs w:val="20"/>
        </w:rPr>
        <w:t xml:space="preserve">; last accessed 30 January 2018.   </w:t>
      </w:r>
    </w:p>
  </w:footnote>
  <w:footnote w:id="58">
    <w:p w14:paraId="39033947"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Emirates News Wire, “UAE Participants in Arab League’s Launch of Arab charter on Civil Society Organizations,” 23 February 2016; available at </w:t>
      </w:r>
      <w:hyperlink r:id="rId27" w:history="1">
        <w:r w:rsidRPr="00B1206F">
          <w:rPr>
            <w:rStyle w:val="Hyperlink"/>
            <w:rFonts w:ascii="Times New Roman" w:hAnsi="Times New Roman" w:cs="Times New Roman"/>
            <w:sz w:val="20"/>
            <w:szCs w:val="20"/>
          </w:rPr>
          <w:t>https://emiratesnewswire.com/general/41081/uae-participants-in-arab-leagues-launch-of-arab-charter-on-civil-society-organisations/</w:t>
        </w:r>
      </w:hyperlink>
      <w:r w:rsidRPr="00B1206F">
        <w:rPr>
          <w:rFonts w:ascii="Times New Roman" w:hAnsi="Times New Roman" w:cs="Times New Roman"/>
          <w:sz w:val="20"/>
          <w:szCs w:val="20"/>
        </w:rPr>
        <w:t>; last accessed 30 January 2018.</w:t>
      </w:r>
    </w:p>
  </w:footnote>
  <w:footnote w:id="59">
    <w:p w14:paraId="4BB92BD0"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Adopted by the League at its Sixteenth Session in Tunis, May 2004. A previous version originally adopted in 1994 gained no ratifications and never went into force. The text of the Charter is available at </w:t>
      </w:r>
      <w:hyperlink r:id="rId28" w:anchor="tab1" w:history="1">
        <w:r w:rsidRPr="00B1206F">
          <w:rPr>
            <w:rStyle w:val="Hyperlink"/>
            <w:rFonts w:ascii="Times New Roman" w:hAnsi="Times New Roman" w:cs="Times New Roman"/>
            <w:sz w:val="20"/>
            <w:szCs w:val="20"/>
          </w:rPr>
          <w:t>http://www.lasportal.org/ar/sectors/dep/HumanRightsDep/Pages/Mechanisms.aspx#tab1</w:t>
        </w:r>
      </w:hyperlink>
      <w:r w:rsidRPr="00B1206F">
        <w:rPr>
          <w:rFonts w:ascii="Times New Roman" w:hAnsi="Times New Roman" w:cs="Times New Roman"/>
          <w:sz w:val="20"/>
          <w:szCs w:val="20"/>
        </w:rPr>
        <w:t>; last accessed 30 January 2018.</w:t>
      </w:r>
    </w:p>
  </w:footnote>
  <w:footnote w:id="60">
    <w:p w14:paraId="19D2AE4B"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Egypt, Morocco, Oman and Tunisia are not state parties. Mauritanian recently decided to become the 15</w:t>
      </w:r>
      <w:r w:rsidRPr="00B1206F">
        <w:rPr>
          <w:rFonts w:ascii="Times New Roman" w:hAnsi="Times New Roman" w:cs="Times New Roman"/>
          <w:sz w:val="20"/>
          <w:szCs w:val="20"/>
          <w:vertAlign w:val="superscript"/>
        </w:rPr>
        <w:t>th</w:t>
      </w:r>
      <w:r w:rsidRPr="00B1206F">
        <w:rPr>
          <w:rFonts w:ascii="Times New Roman" w:hAnsi="Times New Roman" w:cs="Times New Roman"/>
          <w:sz w:val="20"/>
          <w:szCs w:val="20"/>
        </w:rPr>
        <w:t xml:space="preserve"> state to join but as of this writing it has not yet deposited its instrument of ratification. </w:t>
      </w:r>
    </w:p>
  </w:footnote>
  <w:footnote w:id="61">
    <w:p w14:paraId="42754405"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Annual reports of the Arab Human Rights Committee are available at: </w:t>
      </w:r>
      <w:hyperlink r:id="rId29" w:history="1">
        <w:r w:rsidRPr="00B1206F">
          <w:rPr>
            <w:rStyle w:val="Hyperlink"/>
            <w:rFonts w:ascii="Times New Roman" w:hAnsi="Times New Roman" w:cs="Times New Roman"/>
            <w:sz w:val="20"/>
            <w:szCs w:val="20"/>
          </w:rPr>
          <w:t>http://www.lasportal.org/ar/humanrights/Committee/Pages/CommitteePublications.aspx</w:t>
        </w:r>
      </w:hyperlink>
      <w:r w:rsidRPr="00B1206F">
        <w:rPr>
          <w:rFonts w:ascii="Times New Roman" w:hAnsi="Times New Roman" w:cs="Times New Roman"/>
          <w:sz w:val="20"/>
          <w:szCs w:val="20"/>
        </w:rPr>
        <w:t xml:space="preserve">; last accessed 30 January 2018. </w:t>
      </w:r>
    </w:p>
  </w:footnote>
  <w:footnote w:id="62">
    <w:p w14:paraId="27BF4650"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States’ reports as well as the Human Rights Committee’s concluding observations are available at: </w:t>
      </w:r>
      <w:hyperlink r:id="rId30" w:history="1">
        <w:r w:rsidRPr="00B1206F">
          <w:rPr>
            <w:rStyle w:val="Hyperlink"/>
            <w:rFonts w:ascii="Times New Roman" w:hAnsi="Times New Roman" w:cs="Times New Roman"/>
            <w:sz w:val="20"/>
            <w:szCs w:val="20"/>
          </w:rPr>
          <w:t>http://www.lasportal.org/ar/humanrights/Committee/Pages/Reports.aspx</w:t>
        </w:r>
      </w:hyperlink>
      <w:r w:rsidRPr="00B1206F">
        <w:rPr>
          <w:rFonts w:ascii="Times New Roman" w:hAnsi="Times New Roman" w:cs="Times New Roman"/>
          <w:sz w:val="20"/>
          <w:szCs w:val="20"/>
        </w:rPr>
        <w:t>; last accessed 30 January 2018.</w:t>
      </w:r>
    </w:p>
  </w:footnote>
  <w:footnote w:id="63">
    <w:p w14:paraId="6FF94460"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31" w:history="1">
        <w:r w:rsidRPr="00B1206F">
          <w:rPr>
            <w:rStyle w:val="Hyperlink"/>
            <w:rFonts w:ascii="Times New Roman" w:eastAsia="Times New Roman" w:hAnsi="Times New Roman" w:cs="Times New Roman"/>
            <w:sz w:val="20"/>
            <w:szCs w:val="20"/>
          </w:rPr>
          <w:t>http://www.lasportal.org/ar/election/Pages/default.aspx</w:t>
        </w:r>
      </w:hyperlink>
      <w:r w:rsidRPr="00B1206F">
        <w:rPr>
          <w:rFonts w:ascii="Times New Roman" w:eastAsia="Times New Roman" w:hAnsi="Times New Roman" w:cs="Times New Roman"/>
          <w:color w:val="000000"/>
          <w:sz w:val="20"/>
          <w:szCs w:val="20"/>
        </w:rPr>
        <w:t>; last accessed 28 January 2018.</w:t>
      </w:r>
      <w:r w:rsidRPr="00B1206F">
        <w:rPr>
          <w:rFonts w:ascii="Times New Roman" w:hAnsi="Times New Roman" w:cs="Times New Roman"/>
          <w:sz w:val="20"/>
          <w:szCs w:val="20"/>
        </w:rPr>
        <w:t xml:space="preserve"> </w:t>
      </w:r>
    </w:p>
  </w:footnote>
  <w:footnote w:id="64">
    <w:p w14:paraId="48C1047F"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League of Arab States, Arab Women Organization and UN Women, </w:t>
      </w:r>
      <w:r w:rsidRPr="00B1206F">
        <w:rPr>
          <w:rFonts w:ascii="Times New Roman" w:hAnsi="Times New Roman" w:cs="Times New Roman"/>
          <w:i/>
          <w:iCs/>
          <w:sz w:val="20"/>
          <w:szCs w:val="20"/>
        </w:rPr>
        <w:t xml:space="preserve">Regional Strategy for Protection of Arab Women: Peace and Security </w:t>
      </w:r>
      <w:r w:rsidRPr="00B1206F">
        <w:rPr>
          <w:rFonts w:ascii="Times New Roman" w:hAnsi="Times New Roman" w:cs="Times New Roman"/>
          <w:sz w:val="20"/>
          <w:szCs w:val="20"/>
        </w:rPr>
        <w:t xml:space="preserve">(Cairo, 2012); pp. 85-59 and 99-101; available (in Arabic) at </w:t>
      </w:r>
      <w:hyperlink r:id="rId32" w:history="1">
        <w:r w:rsidRPr="00B1206F">
          <w:rPr>
            <w:rStyle w:val="Hyperlink"/>
            <w:rFonts w:ascii="Times New Roman" w:hAnsi="Times New Roman" w:cs="Times New Roman"/>
            <w:sz w:val="20"/>
            <w:szCs w:val="20"/>
          </w:rPr>
          <w:t>http://www.lasportal.org/ar/sectors/dep/Pages/DepVersions.aspx?RID=22&amp;SID=6</w:t>
        </w:r>
      </w:hyperlink>
      <w:r w:rsidRPr="00B1206F">
        <w:rPr>
          <w:rFonts w:ascii="Times New Roman" w:hAnsi="Times New Roman" w:cs="Times New Roman"/>
          <w:sz w:val="20"/>
          <w:szCs w:val="20"/>
        </w:rPr>
        <w:t>; last accessed 30 January 2018.</w:t>
      </w:r>
    </w:p>
  </w:footnote>
  <w:footnote w:id="65">
    <w:p w14:paraId="2FD64C16"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Organization of the Islamic Conference, </w:t>
      </w:r>
      <w:hyperlink r:id="rId33" w:history="1">
        <w:r w:rsidRPr="00B1206F">
          <w:rPr>
            <w:rStyle w:val="Hyperlink"/>
            <w:rFonts w:ascii="Times New Roman" w:hAnsi="Times New Roman" w:cs="Times New Roman"/>
            <w:sz w:val="20"/>
            <w:szCs w:val="20"/>
          </w:rPr>
          <w:t>http://www.oic-iphrc.org/ar/about/</w:t>
        </w:r>
      </w:hyperlink>
      <w:r w:rsidRPr="00B1206F">
        <w:rPr>
          <w:rFonts w:ascii="Times New Roman" w:hAnsi="Times New Roman" w:cs="Times New Roman"/>
          <w:sz w:val="20"/>
          <w:szCs w:val="20"/>
        </w:rPr>
        <w:t>; last accessed 30 January 2018.</w:t>
      </w:r>
    </w:p>
  </w:footnote>
  <w:footnote w:id="66">
    <w:p w14:paraId="4B31BA90" w14:textId="77777777" w:rsidR="0070081C" w:rsidRPr="00B1206F" w:rsidRDefault="0070081C" w:rsidP="006A018A">
      <w:pPr>
        <w:pStyle w:val="FootnoteText"/>
        <w:jc w:val="both"/>
        <w:rPr>
          <w:rFonts w:ascii="Times New Roman" w:hAnsi="Times New Roman" w:cs="Times New Roman"/>
          <w:i/>
          <w:iCs/>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 xml:space="preserve">Ibid. at </w:t>
      </w:r>
      <w:r w:rsidRPr="00B1206F">
        <w:rPr>
          <w:rFonts w:ascii="Times New Roman" w:hAnsi="Times New Roman" w:cs="Times New Roman"/>
          <w:sz w:val="20"/>
          <w:szCs w:val="20"/>
        </w:rPr>
        <w:t xml:space="preserve"> </w:t>
      </w:r>
      <w:hyperlink r:id="rId34" w:history="1">
        <w:r w:rsidRPr="00B1206F">
          <w:rPr>
            <w:rStyle w:val="Hyperlink"/>
            <w:rFonts w:ascii="Times New Roman" w:hAnsi="Times New Roman" w:cs="Times New Roman"/>
            <w:sz w:val="20"/>
            <w:szCs w:val="20"/>
          </w:rPr>
          <w:t>http://www.oic-iphrc.org/ar/legal/</w:t>
        </w:r>
      </w:hyperlink>
      <w:r w:rsidRPr="00B1206F">
        <w:rPr>
          <w:rFonts w:ascii="Times New Roman" w:hAnsi="Times New Roman" w:cs="Times New Roman"/>
          <w:sz w:val="20"/>
          <w:szCs w:val="20"/>
        </w:rPr>
        <w:t>; last accessed 30 January 2018.</w:t>
      </w:r>
    </w:p>
  </w:footnote>
  <w:footnote w:id="67">
    <w:p w14:paraId="4DCF0698"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 xml:space="preserve">Ibid. </w:t>
      </w:r>
      <w:r w:rsidRPr="00B1206F">
        <w:rPr>
          <w:rFonts w:ascii="Times New Roman" w:hAnsi="Times New Roman" w:cs="Times New Roman"/>
          <w:sz w:val="20"/>
          <w:szCs w:val="20"/>
        </w:rPr>
        <w:t xml:space="preserve">at </w:t>
      </w:r>
      <w:hyperlink r:id="rId35" w:history="1">
        <w:r w:rsidRPr="00B1206F">
          <w:rPr>
            <w:rStyle w:val="Hyperlink"/>
            <w:rFonts w:ascii="Times New Roman" w:hAnsi="Times New Roman" w:cs="Times New Roman"/>
            <w:sz w:val="20"/>
            <w:szCs w:val="20"/>
          </w:rPr>
          <w:t>http://www.oic-iphrc.org/ar/activities/</w:t>
        </w:r>
      </w:hyperlink>
      <w:r w:rsidRPr="00B1206F">
        <w:rPr>
          <w:rFonts w:ascii="Times New Roman" w:hAnsi="Times New Roman" w:cs="Times New Roman"/>
          <w:sz w:val="20"/>
          <w:szCs w:val="20"/>
        </w:rPr>
        <w:t xml:space="preserve"> last accessed 30 January 2018.</w:t>
      </w:r>
    </w:p>
  </w:footnote>
  <w:footnote w:id="68">
    <w:p w14:paraId="1A3CDEB8"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hyperlink r:id="rId36" w:history="1">
        <w:r w:rsidRPr="00B1206F">
          <w:rPr>
            <w:rStyle w:val="Hyperlink"/>
            <w:rFonts w:ascii="Times New Roman" w:hAnsi="Times New Roman" w:cs="Times New Roman"/>
            <w:sz w:val="20"/>
            <w:szCs w:val="20"/>
          </w:rPr>
          <w:t>http://www.arabipu.org/upload/OrganUnion/2932385847.pdf</w:t>
        </w:r>
      </w:hyperlink>
      <w:r w:rsidRPr="00B1206F">
        <w:rPr>
          <w:rFonts w:ascii="Times New Roman" w:hAnsi="Times New Roman" w:cs="Times New Roman"/>
          <w:sz w:val="20"/>
          <w:szCs w:val="20"/>
        </w:rPr>
        <w:t xml:space="preserve">; last accessed 26 January 2018. </w:t>
      </w:r>
      <w:r w:rsidRPr="00B1206F">
        <w:rPr>
          <w:rStyle w:val="Hyperlink"/>
          <w:rFonts w:ascii="Times New Roman" w:hAnsi="Times New Roman" w:cs="Times New Roman"/>
          <w:sz w:val="20"/>
          <w:szCs w:val="20"/>
        </w:rPr>
        <w:t xml:space="preserve">   </w:t>
      </w:r>
    </w:p>
  </w:footnote>
  <w:footnote w:id="69">
    <w:p w14:paraId="2C390918" w14:textId="77777777" w:rsidR="0070081C" w:rsidRPr="00B1206F" w:rsidRDefault="0070081C" w:rsidP="006A018A">
      <w:pPr>
        <w:pStyle w:val="FootnoteText"/>
        <w:jc w:val="both"/>
        <w:rPr>
          <w:rFonts w:ascii="Times New Roman" w:hAnsi="Times New Roman" w:cs="Times New Roman"/>
          <w:i/>
          <w:iCs/>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Information extrapolated from OHCHR, </w:t>
      </w:r>
      <w:r w:rsidRPr="00B1206F">
        <w:rPr>
          <w:rFonts w:ascii="Times New Roman" w:hAnsi="Times New Roman" w:cs="Times New Roman"/>
          <w:i/>
          <w:iCs/>
          <w:sz w:val="20"/>
          <w:szCs w:val="20"/>
        </w:rPr>
        <w:t xml:space="preserve">Status of Ratification of Human Rights Instruments; available at: </w:t>
      </w:r>
      <w:hyperlink r:id="rId37" w:history="1">
        <w:r w:rsidRPr="00B1206F">
          <w:rPr>
            <w:rStyle w:val="Hyperlink"/>
            <w:rFonts w:ascii="Times New Roman" w:hAnsi="Times New Roman" w:cs="Times New Roman"/>
            <w:i/>
            <w:iCs/>
            <w:sz w:val="20"/>
            <w:szCs w:val="20"/>
          </w:rPr>
          <w:t>http://www.ohchr.org/_layouts/15/WopiFrame.aspx?sourcedoc=/Documents/HRBodies/TB/HRChart.xls&amp;action=default&amp;DefaultItemOpen=1</w:t>
        </w:r>
      </w:hyperlink>
      <w:r w:rsidRPr="00B1206F">
        <w:rPr>
          <w:rFonts w:ascii="Times New Roman" w:hAnsi="Times New Roman" w:cs="Times New Roman"/>
          <w:i/>
          <w:iCs/>
          <w:sz w:val="20"/>
          <w:szCs w:val="20"/>
        </w:rPr>
        <w:t>; last accessed 2 February 2018.</w:t>
      </w:r>
    </w:p>
  </w:footnote>
  <w:footnote w:id="70">
    <w:p w14:paraId="231EA5CD"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For a thorough discussion of Arab state engagement with the international human rights system, see Azzam, F. “The U.N. Human Rights Game and the Arab Region” in K. Makdisi and V. Prashad, eds., </w:t>
      </w:r>
      <w:r w:rsidRPr="00B1206F">
        <w:rPr>
          <w:rFonts w:ascii="Times New Roman" w:hAnsi="Times New Roman" w:cs="Times New Roman"/>
          <w:i/>
          <w:iCs/>
          <w:sz w:val="20"/>
          <w:szCs w:val="20"/>
        </w:rPr>
        <w:t>Land of Blue Helmets</w:t>
      </w:r>
      <w:r w:rsidRPr="00B1206F">
        <w:rPr>
          <w:rFonts w:ascii="Times New Roman" w:hAnsi="Times New Roman" w:cs="Times New Roman"/>
          <w:sz w:val="20"/>
          <w:szCs w:val="20"/>
        </w:rPr>
        <w:t>; (UCLA Press, 2017).</w:t>
      </w:r>
    </w:p>
  </w:footnote>
  <w:footnote w:id="71">
    <w:p w14:paraId="69CB7945"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Treaty body concluding observations and UPR recommendations also recognize progress that reporting countries had made. These were not included here.</w:t>
      </w:r>
    </w:p>
  </w:footnote>
  <w:footnote w:id="72">
    <w:p w14:paraId="3DF83711" w14:textId="559F0245"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Bahrain CEDAW 2014 CEDAW/C/BHR/CO/3 paras 19, 20; Kuwait CCPR 2011, CPR/C/KWT/CO/2 para 8; Lebanon CEDAW 2008, CEDAW/C/LBN/CO/3 para 24; Yemen CERD 2011, CERD/C/YEM/CO/17-18 para 13.</w:t>
      </w:r>
    </w:p>
  </w:footnote>
  <w:footnote w:id="73">
    <w:p w14:paraId="76654956"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Bahrain:</w:t>
      </w:r>
      <w:r w:rsidRPr="00B1206F">
        <w:rPr>
          <w:rFonts w:ascii="Times New Roman" w:hAnsi="Times New Roman" w:cs="Times New Roman"/>
          <w:sz w:val="20"/>
          <w:szCs w:val="20"/>
        </w:rPr>
        <w:t xml:space="preserve"> CEDAW 2014, CEDAW/C/BHR/CO/3 para 27; </w:t>
      </w:r>
      <w:r w:rsidRPr="00B1206F">
        <w:rPr>
          <w:rFonts w:ascii="Times New Roman" w:hAnsi="Times New Roman" w:cs="Times New Roman"/>
          <w:i/>
          <w:iCs/>
          <w:sz w:val="20"/>
          <w:szCs w:val="20"/>
        </w:rPr>
        <w:t>Iraq:</w:t>
      </w:r>
      <w:r w:rsidRPr="00B1206F">
        <w:rPr>
          <w:rFonts w:ascii="Times New Roman" w:hAnsi="Times New Roman" w:cs="Times New Roman"/>
          <w:sz w:val="20"/>
          <w:szCs w:val="20"/>
        </w:rPr>
        <w:t xml:space="preserve"> CCPR 2015, CCPR/C/IRQ/CO/5 para 13 and CEDAW 2014, CEDAW/C/IRQ/CO/4-6 paras 21.3; </w:t>
      </w:r>
      <w:r w:rsidRPr="00B1206F">
        <w:rPr>
          <w:rFonts w:ascii="Times New Roman" w:hAnsi="Times New Roman" w:cs="Times New Roman"/>
          <w:i/>
          <w:iCs/>
          <w:sz w:val="20"/>
          <w:szCs w:val="20"/>
        </w:rPr>
        <w:t>Jorda:n</w:t>
      </w:r>
      <w:r w:rsidRPr="00B1206F">
        <w:rPr>
          <w:rFonts w:ascii="Times New Roman" w:hAnsi="Times New Roman" w:cs="Times New Roman"/>
          <w:sz w:val="20"/>
          <w:szCs w:val="20"/>
        </w:rPr>
        <w:t xml:space="preserve"> CEDAW 2012, CEDAW/C/JOR/CO/5 paras 13, 15, 31 and CCPR 2007, CCPR/C/JOR/CO/4 para 19; </w:t>
      </w:r>
      <w:r w:rsidRPr="00B1206F">
        <w:rPr>
          <w:rFonts w:ascii="Times New Roman" w:hAnsi="Times New Roman" w:cs="Times New Roman"/>
          <w:i/>
          <w:iCs/>
          <w:sz w:val="20"/>
          <w:szCs w:val="20"/>
        </w:rPr>
        <w:t>Kuwait:</w:t>
      </w:r>
      <w:r w:rsidRPr="00B1206F">
        <w:rPr>
          <w:rFonts w:ascii="Times New Roman" w:hAnsi="Times New Roman" w:cs="Times New Roman"/>
          <w:sz w:val="20"/>
          <w:szCs w:val="20"/>
        </w:rPr>
        <w:t xml:space="preserve"> CCPR 2011 CCPR/C/KWT/CO/2 para 8 and CEDAW 2011 CEDAW/C/KWT/CO/3-4 para 34; </w:t>
      </w:r>
      <w:r w:rsidRPr="00B1206F">
        <w:rPr>
          <w:rFonts w:ascii="Times New Roman" w:hAnsi="Times New Roman" w:cs="Times New Roman"/>
          <w:i/>
          <w:iCs/>
          <w:sz w:val="20"/>
          <w:szCs w:val="20"/>
        </w:rPr>
        <w:t>Lebanon:</w:t>
      </w:r>
      <w:r w:rsidRPr="00B1206F">
        <w:rPr>
          <w:rFonts w:ascii="Times New Roman" w:hAnsi="Times New Roman" w:cs="Times New Roman"/>
          <w:sz w:val="20"/>
          <w:szCs w:val="20"/>
        </w:rPr>
        <w:t xml:space="preserve"> CEDAW 2015 CEDAW/C/LBN/CO/4-5 para 31; </w:t>
      </w:r>
      <w:r w:rsidRPr="00B1206F">
        <w:rPr>
          <w:rFonts w:ascii="Times New Roman" w:hAnsi="Times New Roman" w:cs="Times New Roman"/>
          <w:i/>
          <w:iCs/>
          <w:sz w:val="20"/>
          <w:szCs w:val="20"/>
        </w:rPr>
        <w:t>Libya:</w:t>
      </w:r>
      <w:r w:rsidRPr="00B1206F">
        <w:rPr>
          <w:rFonts w:ascii="Times New Roman" w:hAnsi="Times New Roman" w:cs="Times New Roman"/>
          <w:sz w:val="20"/>
          <w:szCs w:val="20"/>
        </w:rPr>
        <w:t xml:space="preserve"> CEDAW 2009, CEDAW/C/LBY/CO/5 para 29; </w:t>
      </w:r>
      <w:r w:rsidRPr="00B1206F">
        <w:rPr>
          <w:rFonts w:ascii="Times New Roman" w:hAnsi="Times New Roman" w:cs="Times New Roman"/>
          <w:i/>
          <w:iCs/>
          <w:sz w:val="20"/>
          <w:szCs w:val="20"/>
        </w:rPr>
        <w:t>Morocco:</w:t>
      </w:r>
      <w:r w:rsidRPr="00B1206F">
        <w:rPr>
          <w:rFonts w:ascii="Times New Roman" w:hAnsi="Times New Roman" w:cs="Times New Roman"/>
          <w:sz w:val="20"/>
          <w:szCs w:val="20"/>
        </w:rPr>
        <w:t xml:space="preserve"> CEDAW 2008,  CEDAW/C/MAR/CO/4 para 24; </w:t>
      </w:r>
      <w:r w:rsidRPr="00B1206F">
        <w:rPr>
          <w:rFonts w:ascii="Times New Roman" w:hAnsi="Times New Roman" w:cs="Times New Roman"/>
          <w:i/>
          <w:iCs/>
          <w:sz w:val="20"/>
          <w:szCs w:val="20"/>
        </w:rPr>
        <w:t>Oman:</w:t>
      </w:r>
      <w:r w:rsidRPr="00B1206F">
        <w:rPr>
          <w:rFonts w:ascii="Times New Roman" w:hAnsi="Times New Roman" w:cs="Times New Roman"/>
          <w:sz w:val="20"/>
          <w:szCs w:val="20"/>
        </w:rPr>
        <w:t xml:space="preserve"> CEDAW 2011, CEDAW/C/OMN/CO/1 para 31; </w:t>
      </w:r>
      <w:r w:rsidRPr="00B1206F">
        <w:rPr>
          <w:rFonts w:ascii="Times New Roman" w:hAnsi="Times New Roman" w:cs="Times New Roman"/>
          <w:i/>
          <w:iCs/>
          <w:sz w:val="20"/>
          <w:szCs w:val="20"/>
        </w:rPr>
        <w:t xml:space="preserve">Qatar </w:t>
      </w:r>
      <w:r w:rsidRPr="00B1206F">
        <w:rPr>
          <w:rFonts w:ascii="Times New Roman" w:hAnsi="Times New Roman" w:cs="Times New Roman"/>
          <w:sz w:val="20"/>
          <w:szCs w:val="20"/>
        </w:rPr>
        <w:t>CEDAW 2014, CEDAW/C/QAT/CO/1 para 27;</w:t>
      </w:r>
      <w:r w:rsidRPr="00B1206F">
        <w:rPr>
          <w:rFonts w:ascii="Times New Roman" w:hAnsi="Times New Roman" w:cs="Times New Roman"/>
          <w:i/>
          <w:iCs/>
          <w:sz w:val="20"/>
          <w:szCs w:val="20"/>
        </w:rPr>
        <w:t xml:space="preserve"> Saudi Arabia:</w:t>
      </w:r>
      <w:r w:rsidRPr="00B1206F">
        <w:rPr>
          <w:rFonts w:ascii="Times New Roman" w:hAnsi="Times New Roman" w:cs="Times New Roman"/>
          <w:sz w:val="20"/>
          <w:szCs w:val="20"/>
        </w:rPr>
        <w:t xml:space="preserve"> CEDAW 2008, CEDAW/C/SAU/CO/2 para 25; </w:t>
      </w:r>
      <w:r w:rsidRPr="00B1206F">
        <w:rPr>
          <w:rFonts w:ascii="Times New Roman" w:hAnsi="Times New Roman" w:cs="Times New Roman"/>
          <w:i/>
          <w:iCs/>
          <w:sz w:val="20"/>
          <w:szCs w:val="20"/>
        </w:rPr>
        <w:t>Syria:</w:t>
      </w:r>
      <w:r w:rsidRPr="00B1206F">
        <w:rPr>
          <w:rFonts w:ascii="Times New Roman" w:hAnsi="Times New Roman" w:cs="Times New Roman"/>
          <w:sz w:val="20"/>
          <w:szCs w:val="20"/>
        </w:rPr>
        <w:t xml:space="preserve"> CEDAW 2014, CEDAW/C/SYR/CO/2 para 13; </w:t>
      </w:r>
      <w:r w:rsidRPr="00B1206F">
        <w:rPr>
          <w:rFonts w:ascii="Times New Roman" w:hAnsi="Times New Roman" w:cs="Times New Roman"/>
          <w:i/>
          <w:iCs/>
          <w:sz w:val="20"/>
          <w:szCs w:val="20"/>
        </w:rPr>
        <w:t>Yemen:</w:t>
      </w:r>
      <w:r w:rsidRPr="00B1206F">
        <w:rPr>
          <w:rFonts w:ascii="Times New Roman" w:hAnsi="Times New Roman" w:cs="Times New Roman"/>
          <w:sz w:val="20"/>
          <w:szCs w:val="20"/>
        </w:rPr>
        <w:t xml:space="preserve"> CCPR 2012, CCPR/C/YEM/CO/5para 11, CESCR 2011, E/C.12/YEM/CO/2 para 9 and CEDAW 2009,  CEDAW/C/YEM/CO/6 para 22.</w:t>
      </w:r>
    </w:p>
  </w:footnote>
  <w:footnote w:id="74">
    <w:p w14:paraId="26BB50FE"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Algeria:</w:t>
      </w:r>
      <w:r w:rsidRPr="00B1206F">
        <w:rPr>
          <w:rFonts w:ascii="Times New Roman" w:hAnsi="Times New Roman" w:cs="Times New Roman"/>
          <w:sz w:val="20"/>
          <w:szCs w:val="20"/>
        </w:rPr>
        <w:t xml:space="preserve"> CEDAW 2012, CEDAW/C/DZA/CO/3-4 Para 25-26, 33-34 and UPR 2012, A/HRC/21/13 rec. 129.26, 28, 36; </w:t>
      </w:r>
      <w:r w:rsidRPr="00B1206F">
        <w:rPr>
          <w:rFonts w:ascii="Times New Roman" w:hAnsi="Times New Roman" w:cs="Times New Roman"/>
          <w:i/>
          <w:iCs/>
          <w:sz w:val="20"/>
          <w:szCs w:val="20"/>
        </w:rPr>
        <w:t>Bahrain:</w:t>
      </w:r>
      <w:r w:rsidRPr="00B1206F">
        <w:rPr>
          <w:rFonts w:ascii="Times New Roman" w:hAnsi="Times New Roman" w:cs="Times New Roman"/>
          <w:sz w:val="20"/>
          <w:szCs w:val="20"/>
        </w:rPr>
        <w:t xml:space="preserve"> CEDAW 2014,  CEDAW/C/BHR/CO/3 para 29; </w:t>
      </w:r>
      <w:r w:rsidRPr="00B1206F">
        <w:rPr>
          <w:rFonts w:ascii="Times New Roman" w:hAnsi="Times New Roman" w:cs="Times New Roman"/>
          <w:i/>
          <w:iCs/>
          <w:sz w:val="20"/>
          <w:szCs w:val="20"/>
        </w:rPr>
        <w:t>Egypt:</w:t>
      </w:r>
      <w:r w:rsidRPr="00B1206F">
        <w:rPr>
          <w:rFonts w:ascii="Times New Roman" w:hAnsi="Times New Roman" w:cs="Times New Roman"/>
          <w:sz w:val="20"/>
          <w:szCs w:val="20"/>
        </w:rPr>
        <w:t xml:space="preserve"> CESCR 2013, E/C.12/EGY/CO/2-4 para 9, CEDAW 2010,  CEDAW/C/EGY/CO/7 para 29-30, 43, and UPR 2010, A/HRC/14/17 recs. 95.31, 33, 60, 85; </w:t>
      </w:r>
      <w:r w:rsidRPr="00B1206F">
        <w:rPr>
          <w:rFonts w:ascii="Times New Roman" w:hAnsi="Times New Roman" w:cs="Times New Roman"/>
          <w:i/>
          <w:iCs/>
          <w:sz w:val="20"/>
          <w:szCs w:val="20"/>
        </w:rPr>
        <w:t>Iraq:</w:t>
      </w:r>
      <w:r w:rsidRPr="00B1206F">
        <w:rPr>
          <w:rFonts w:ascii="Times New Roman" w:hAnsi="Times New Roman" w:cs="Times New Roman"/>
          <w:sz w:val="20"/>
          <w:szCs w:val="20"/>
        </w:rPr>
        <w:t xml:space="preserve"> CEDAW 2014 CEDAW/C/IRQ/CO/4-6  para 12, 35; </w:t>
      </w:r>
      <w:r w:rsidRPr="00B1206F">
        <w:rPr>
          <w:rFonts w:ascii="Times New Roman" w:hAnsi="Times New Roman" w:cs="Times New Roman"/>
          <w:i/>
          <w:iCs/>
          <w:sz w:val="20"/>
          <w:szCs w:val="20"/>
        </w:rPr>
        <w:t>Jordan:</w:t>
      </w:r>
      <w:r w:rsidRPr="00B1206F">
        <w:rPr>
          <w:rFonts w:ascii="Times New Roman" w:hAnsi="Times New Roman" w:cs="Times New Roman"/>
          <w:sz w:val="20"/>
          <w:szCs w:val="20"/>
        </w:rPr>
        <w:t xml:space="preserve"> CEDAW 2012 CEDAW/C/JOR/CO/5 paras 31-32 and UPR 2014 A/HRC/25/9  recs. 118.82/83/85/87-93; </w:t>
      </w:r>
      <w:r w:rsidRPr="00B1206F">
        <w:rPr>
          <w:rFonts w:ascii="Times New Roman" w:hAnsi="Times New Roman" w:cs="Times New Roman"/>
          <w:i/>
          <w:iCs/>
          <w:sz w:val="20"/>
          <w:szCs w:val="20"/>
        </w:rPr>
        <w:t>Kuwait:</w:t>
      </w:r>
      <w:r w:rsidRPr="00B1206F">
        <w:rPr>
          <w:rFonts w:ascii="Times New Roman" w:hAnsi="Times New Roman" w:cs="Times New Roman"/>
          <w:sz w:val="20"/>
          <w:szCs w:val="20"/>
        </w:rPr>
        <w:t xml:space="preserve">  CCPR 2011, CCPR/C/KWT/CO/2 para 29 and UPR 2015 A/HRC/29/17 rec 157.84-187; </w:t>
      </w:r>
      <w:r w:rsidRPr="00B1206F">
        <w:rPr>
          <w:rFonts w:ascii="Times New Roman" w:hAnsi="Times New Roman" w:cs="Times New Roman"/>
          <w:i/>
          <w:iCs/>
          <w:sz w:val="20"/>
          <w:szCs w:val="20"/>
        </w:rPr>
        <w:t>Lebanon</w:t>
      </w:r>
      <w:r w:rsidRPr="00B1206F">
        <w:rPr>
          <w:rFonts w:ascii="Times New Roman" w:hAnsi="Times New Roman" w:cs="Times New Roman"/>
          <w:sz w:val="20"/>
          <w:szCs w:val="20"/>
        </w:rPr>
        <w:t xml:space="preserve">; CEDAW 2015, CEDAW/C/LBN/CO/4-5 para 32 and UPR 2011, A/HRC/16/18 rec 81.14/16;  </w:t>
      </w:r>
      <w:r w:rsidRPr="00B1206F">
        <w:rPr>
          <w:rFonts w:ascii="Times New Roman" w:hAnsi="Times New Roman" w:cs="Times New Roman"/>
          <w:i/>
          <w:iCs/>
          <w:sz w:val="20"/>
          <w:szCs w:val="20"/>
        </w:rPr>
        <w:t>Libya;</w:t>
      </w:r>
      <w:r w:rsidRPr="00B1206F">
        <w:rPr>
          <w:rFonts w:ascii="Times New Roman" w:hAnsi="Times New Roman" w:cs="Times New Roman"/>
          <w:sz w:val="20"/>
          <w:szCs w:val="20"/>
        </w:rPr>
        <w:t xml:space="preserve"> CEDAW 2009 CEDAW/C/LBY/CO/5 para 30 and UPR 2015,  A/HRC/30/16  Rec 137.82, 178-180; </w:t>
      </w:r>
      <w:r w:rsidRPr="00B1206F">
        <w:rPr>
          <w:rFonts w:ascii="Times New Roman" w:hAnsi="Times New Roman" w:cs="Times New Roman"/>
          <w:i/>
          <w:iCs/>
          <w:sz w:val="20"/>
          <w:szCs w:val="20"/>
        </w:rPr>
        <w:t>Morocco;</w:t>
      </w:r>
      <w:r w:rsidRPr="00B1206F">
        <w:rPr>
          <w:rFonts w:ascii="Times New Roman" w:hAnsi="Times New Roman" w:cs="Times New Roman"/>
          <w:sz w:val="20"/>
          <w:szCs w:val="20"/>
        </w:rPr>
        <w:t xml:space="preserve"> CEDAW 2008, CEDAW/C/MAR/CO/4 paras 25, 33, WG Discrimination Women 2012, A/HRC/20/28/Add.1</w:t>
      </w:r>
    </w:p>
    <w:p w14:paraId="7B1EF7B6" w14:textId="77777777" w:rsidR="0070081C" w:rsidRPr="00B1206F" w:rsidRDefault="0070081C" w:rsidP="006A018A">
      <w:pPr>
        <w:jc w:val="both"/>
        <w:rPr>
          <w:rFonts w:ascii="Times New Roman" w:hAnsi="Times New Roman" w:cs="Times New Roman"/>
          <w:sz w:val="20"/>
          <w:szCs w:val="20"/>
        </w:rPr>
      </w:pPr>
      <w:r w:rsidRPr="00B1206F">
        <w:rPr>
          <w:rFonts w:ascii="Times New Roman" w:hAnsi="Times New Roman" w:cs="Times New Roman"/>
          <w:sz w:val="20"/>
          <w:szCs w:val="20"/>
        </w:rPr>
        <w:t xml:space="preserve">paras 91-92 and UPR 2012 A/HRC/21/3 recs. 129.78, 88, 93; </w:t>
      </w:r>
      <w:r w:rsidRPr="00B1206F">
        <w:rPr>
          <w:rFonts w:ascii="Times New Roman" w:hAnsi="Times New Roman" w:cs="Times New Roman"/>
          <w:i/>
          <w:iCs/>
          <w:sz w:val="20"/>
          <w:szCs w:val="20"/>
        </w:rPr>
        <w:t>Mauritania:</w:t>
      </w:r>
      <w:r w:rsidRPr="00B1206F">
        <w:rPr>
          <w:rFonts w:ascii="Times New Roman" w:hAnsi="Times New Roman" w:cs="Times New Roman"/>
          <w:sz w:val="20"/>
          <w:szCs w:val="20"/>
        </w:rPr>
        <w:t xml:space="preserve"> CEDAW 2014 CEDAW/C/MRT/CO/2 3 paras 20-21, 30 and UPR 2011, A/HRC/16/17 rec 90.21, 92.21; </w:t>
      </w:r>
      <w:r w:rsidRPr="00B1206F">
        <w:rPr>
          <w:rFonts w:ascii="Times New Roman" w:hAnsi="Times New Roman" w:cs="Times New Roman"/>
          <w:i/>
          <w:iCs/>
          <w:sz w:val="20"/>
          <w:szCs w:val="20"/>
        </w:rPr>
        <w:t xml:space="preserve">Oman: </w:t>
      </w:r>
      <w:r w:rsidRPr="00B1206F">
        <w:rPr>
          <w:rFonts w:ascii="Times New Roman" w:hAnsi="Times New Roman" w:cs="Times New Roman"/>
          <w:sz w:val="20"/>
          <w:szCs w:val="20"/>
        </w:rPr>
        <w:t xml:space="preserve">CERD 2016,  CERD/C/OMN/CO/2-5 paras 17-18, CEDAW 2011, CEDAW/C/OMN/CO/1 paras 8, 21, 23, and UPR 2016, A/HRC/31/11 recs. 129.178, 180-184, 207-208; </w:t>
      </w:r>
      <w:r w:rsidRPr="00B1206F">
        <w:rPr>
          <w:rFonts w:ascii="Times New Roman" w:hAnsi="Times New Roman" w:cs="Times New Roman"/>
          <w:i/>
          <w:iCs/>
          <w:sz w:val="20"/>
          <w:szCs w:val="20"/>
        </w:rPr>
        <w:t>Qatar:</w:t>
      </w:r>
      <w:r w:rsidRPr="00B1206F">
        <w:rPr>
          <w:rFonts w:ascii="Times New Roman" w:hAnsi="Times New Roman" w:cs="Times New Roman"/>
          <w:sz w:val="20"/>
          <w:szCs w:val="20"/>
        </w:rPr>
        <w:t xml:space="preserve"> CEDAW 2014, CEDAW/C/QAT/CO/1 para 28 and UPR 2014,  A/HRC/27/15 recs. 122.29-35, 38, 54, 59; </w:t>
      </w:r>
      <w:r w:rsidRPr="00B1206F">
        <w:rPr>
          <w:rFonts w:ascii="Times New Roman" w:hAnsi="Times New Roman" w:cs="Times New Roman"/>
          <w:i/>
          <w:iCs/>
          <w:sz w:val="20"/>
          <w:szCs w:val="20"/>
        </w:rPr>
        <w:t>Saudi Arabia:</w:t>
      </w:r>
      <w:r w:rsidRPr="00B1206F">
        <w:rPr>
          <w:rFonts w:ascii="Times New Roman" w:hAnsi="Times New Roman" w:cs="Times New Roman"/>
          <w:sz w:val="20"/>
          <w:szCs w:val="20"/>
        </w:rPr>
        <w:t xml:space="preserve"> CEDAW 2008 CEDAW/C/SAU/CO/2 para 26, Special Rapportuer on Violence Against Women 2009, A/HRC/11/6/Add.3 rec. 95(a), and UPR 2013, A/HRC/25/3 rec. 128.34, 53, 64, 111, 176-177, 179-181; </w:t>
      </w:r>
      <w:r w:rsidRPr="00B1206F">
        <w:rPr>
          <w:rFonts w:ascii="Times New Roman" w:hAnsi="Times New Roman" w:cs="Times New Roman"/>
          <w:i/>
          <w:iCs/>
          <w:sz w:val="20"/>
          <w:szCs w:val="20"/>
        </w:rPr>
        <w:t>Syria</w:t>
      </w:r>
      <w:r w:rsidRPr="00B1206F">
        <w:rPr>
          <w:rFonts w:ascii="Times New Roman" w:hAnsi="Times New Roman" w:cs="Times New Roman"/>
          <w:sz w:val="20"/>
          <w:szCs w:val="20"/>
        </w:rPr>
        <w:t xml:space="preserve">: CEDAW 2014,  CEDAW/C/SYR/CO/2 para 14; </w:t>
      </w:r>
      <w:r w:rsidRPr="00B1206F">
        <w:rPr>
          <w:rFonts w:ascii="Times New Roman" w:hAnsi="Times New Roman" w:cs="Times New Roman"/>
          <w:i/>
          <w:iCs/>
          <w:sz w:val="20"/>
          <w:szCs w:val="20"/>
        </w:rPr>
        <w:t>Tunisia:</w:t>
      </w:r>
      <w:r w:rsidRPr="00B1206F">
        <w:rPr>
          <w:rFonts w:ascii="Times New Roman" w:hAnsi="Times New Roman" w:cs="Times New Roman"/>
          <w:sz w:val="20"/>
          <w:szCs w:val="20"/>
        </w:rPr>
        <w:t xml:space="preserve"> UPR 2012, A/HRC/21/5 rec 114.9; </w:t>
      </w:r>
      <w:r w:rsidRPr="00B1206F">
        <w:rPr>
          <w:rFonts w:ascii="Times New Roman" w:hAnsi="Times New Roman" w:cs="Times New Roman"/>
          <w:i/>
          <w:iCs/>
          <w:sz w:val="20"/>
          <w:szCs w:val="20"/>
        </w:rPr>
        <w:t>UAE:</w:t>
      </w:r>
      <w:r w:rsidRPr="00B1206F">
        <w:rPr>
          <w:rFonts w:ascii="Times New Roman" w:hAnsi="Times New Roman" w:cs="Times New Roman"/>
          <w:sz w:val="20"/>
          <w:szCs w:val="20"/>
        </w:rPr>
        <w:t xml:space="preserve"> CEDAW 2015, CEDAW/C/ARE/CO/2-3  paras 21-22, 33-34, and UPR 2013, A/HRC/23/13 rec. 128.89, 94, 96, 100; </w:t>
      </w:r>
      <w:r w:rsidRPr="00B1206F">
        <w:rPr>
          <w:rFonts w:ascii="Times New Roman" w:hAnsi="Times New Roman" w:cs="Times New Roman"/>
          <w:i/>
          <w:iCs/>
          <w:sz w:val="20"/>
          <w:szCs w:val="20"/>
        </w:rPr>
        <w:t>Yemen:</w:t>
      </w:r>
      <w:r w:rsidRPr="00B1206F">
        <w:rPr>
          <w:rFonts w:ascii="Times New Roman" w:hAnsi="Times New Roman" w:cs="Times New Roman"/>
          <w:sz w:val="20"/>
          <w:szCs w:val="20"/>
        </w:rPr>
        <w:t xml:space="preserve"> CEDAW 2009, CEDAW/C/YEM/CO/6 paras 8, 23, and UPR 2014, A/HRC/26/8 rec. 115.51, 96, 118-120, 122</w:t>
      </w:r>
    </w:p>
  </w:footnote>
  <w:footnote w:id="75">
    <w:p w14:paraId="6E120058"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Algeria:</w:t>
      </w:r>
      <w:r w:rsidRPr="00B1206F">
        <w:rPr>
          <w:rFonts w:ascii="Times New Roman" w:hAnsi="Times New Roman" w:cs="Times New Roman"/>
          <w:sz w:val="20"/>
          <w:szCs w:val="20"/>
        </w:rPr>
        <w:t xml:space="preserve"> CCPR 2007, CCPR/C/DZA/CO/3 para 20, and CERD 2013, CERD/C/DZA/CO/15-19 para 17 (regarding both women and the minority Amazigh); </w:t>
      </w:r>
      <w:r w:rsidRPr="00B1206F">
        <w:rPr>
          <w:rFonts w:ascii="Times New Roman" w:hAnsi="Times New Roman" w:cs="Times New Roman"/>
          <w:i/>
          <w:iCs/>
          <w:sz w:val="20"/>
          <w:szCs w:val="20"/>
        </w:rPr>
        <w:t>Egypt</w:t>
      </w:r>
      <w:r w:rsidRPr="00B1206F">
        <w:rPr>
          <w:rFonts w:ascii="Times New Roman" w:hAnsi="Times New Roman" w:cs="Times New Roman"/>
          <w:sz w:val="20"/>
          <w:szCs w:val="20"/>
        </w:rPr>
        <w:t xml:space="preserve">: CESCR 2013, E/C.12/EGY/CO/2-4 para 9; </w:t>
      </w:r>
      <w:r w:rsidRPr="00B1206F">
        <w:rPr>
          <w:rFonts w:ascii="Times New Roman" w:hAnsi="Times New Roman" w:cs="Times New Roman"/>
          <w:i/>
          <w:iCs/>
          <w:sz w:val="20"/>
          <w:szCs w:val="20"/>
        </w:rPr>
        <w:t>Iraq:</w:t>
      </w:r>
      <w:r w:rsidRPr="00B1206F">
        <w:rPr>
          <w:rFonts w:ascii="Times New Roman" w:hAnsi="Times New Roman" w:cs="Times New Roman"/>
          <w:sz w:val="20"/>
          <w:szCs w:val="20"/>
        </w:rPr>
        <w:t xml:space="preserve"> CCPR 2015 CCPR/C/IRQ/CO/5 para 13 and CERD 2014, CERD/C/IRQ/CO/15-21  para 12; </w:t>
      </w:r>
      <w:r w:rsidRPr="00B1206F">
        <w:rPr>
          <w:rFonts w:ascii="Times New Roman" w:hAnsi="Times New Roman" w:cs="Times New Roman"/>
          <w:i/>
          <w:iCs/>
          <w:sz w:val="20"/>
          <w:szCs w:val="20"/>
        </w:rPr>
        <w:t>Libya</w:t>
      </w:r>
      <w:r w:rsidRPr="00B1206F">
        <w:rPr>
          <w:rFonts w:ascii="Times New Roman" w:hAnsi="Times New Roman" w:cs="Times New Roman"/>
          <w:sz w:val="20"/>
          <w:szCs w:val="20"/>
        </w:rPr>
        <w:t xml:space="preserve">: CCPR 2007, CCPR/C/LBY/CO/4 para 11; </w:t>
      </w:r>
      <w:r w:rsidRPr="00B1206F">
        <w:rPr>
          <w:rFonts w:ascii="Times New Roman" w:hAnsi="Times New Roman" w:cs="Times New Roman"/>
          <w:i/>
          <w:iCs/>
          <w:sz w:val="20"/>
          <w:szCs w:val="20"/>
        </w:rPr>
        <w:t>Mauritania</w:t>
      </w:r>
      <w:r w:rsidRPr="00B1206F">
        <w:rPr>
          <w:rFonts w:ascii="Times New Roman" w:hAnsi="Times New Roman" w:cs="Times New Roman"/>
          <w:sz w:val="20"/>
          <w:szCs w:val="20"/>
        </w:rPr>
        <w:t>: CEDAW 2014, CEDAW/C/MRT/CO/2-3 para 31, and CCPR 2013,  CCPR/C/MRT/CO/1 para 9.</w:t>
      </w:r>
    </w:p>
  </w:footnote>
  <w:footnote w:id="76">
    <w:p w14:paraId="43A41A4B"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Algeria:</w:t>
      </w:r>
      <w:r w:rsidRPr="00B1206F">
        <w:rPr>
          <w:rFonts w:ascii="Times New Roman" w:hAnsi="Times New Roman" w:cs="Times New Roman"/>
          <w:sz w:val="20"/>
          <w:szCs w:val="20"/>
        </w:rPr>
        <w:t xml:space="preserve"> SR Freedom of Expression 2012, A/HRC/20/17/Add.1 rec. 90, SR Housing 2011, A/HRC/19/53/Add.2</w:t>
      </w:r>
    </w:p>
    <w:p w14:paraId="09917F7F" w14:textId="77777777" w:rsidR="0070081C" w:rsidRPr="00B1206F" w:rsidRDefault="0070081C" w:rsidP="006A018A">
      <w:pPr>
        <w:jc w:val="both"/>
        <w:rPr>
          <w:rFonts w:ascii="Times New Roman" w:hAnsi="Times New Roman" w:cs="Times New Roman"/>
          <w:sz w:val="20"/>
          <w:szCs w:val="20"/>
        </w:rPr>
      </w:pPr>
      <w:r w:rsidRPr="00B1206F">
        <w:rPr>
          <w:rFonts w:ascii="Times New Roman" w:hAnsi="Times New Roman" w:cs="Times New Roman"/>
          <w:sz w:val="20"/>
          <w:szCs w:val="20"/>
        </w:rPr>
        <w:t xml:space="preserve">rec. 56, and UPR 2012 A/HRC/21/13 rec. 129.22; </w:t>
      </w:r>
      <w:r w:rsidRPr="00B1206F">
        <w:rPr>
          <w:rFonts w:ascii="Times New Roman" w:hAnsi="Times New Roman" w:cs="Times New Roman"/>
          <w:i/>
          <w:iCs/>
          <w:sz w:val="20"/>
          <w:szCs w:val="20"/>
        </w:rPr>
        <w:t>Egypt:</w:t>
      </w:r>
      <w:r w:rsidRPr="00B1206F">
        <w:rPr>
          <w:rFonts w:ascii="Times New Roman" w:hAnsi="Times New Roman" w:cs="Times New Roman"/>
          <w:sz w:val="20"/>
          <w:szCs w:val="20"/>
        </w:rPr>
        <w:t xml:space="preserve"> UPR 2010, A/HRC/14/17 rec 95.102; </w:t>
      </w:r>
      <w:r w:rsidRPr="00B1206F">
        <w:rPr>
          <w:rFonts w:ascii="Times New Roman" w:hAnsi="Times New Roman" w:cs="Times New Roman"/>
          <w:i/>
          <w:iCs/>
          <w:sz w:val="20"/>
          <w:szCs w:val="20"/>
        </w:rPr>
        <w:t>Iraq</w:t>
      </w:r>
      <w:r w:rsidRPr="00B1206F">
        <w:rPr>
          <w:rFonts w:ascii="Times New Roman" w:hAnsi="Times New Roman" w:cs="Times New Roman"/>
          <w:sz w:val="20"/>
          <w:szCs w:val="20"/>
        </w:rPr>
        <w:t xml:space="preserve">: UPR 2010, A/HRC/14/14 rec 85.19; </w:t>
      </w:r>
      <w:r w:rsidRPr="00B1206F">
        <w:rPr>
          <w:rFonts w:ascii="Times New Roman" w:hAnsi="Times New Roman" w:cs="Times New Roman"/>
          <w:i/>
          <w:iCs/>
          <w:sz w:val="20"/>
          <w:szCs w:val="20"/>
        </w:rPr>
        <w:t>Jordan</w:t>
      </w:r>
      <w:r w:rsidRPr="00B1206F">
        <w:rPr>
          <w:rFonts w:ascii="Times New Roman" w:hAnsi="Times New Roman" w:cs="Times New Roman"/>
          <w:sz w:val="20"/>
          <w:szCs w:val="20"/>
        </w:rPr>
        <w:t xml:space="preserve">: CCPR 2010 CCPR/C/JOR/CO/4 para 15, 16; </w:t>
      </w:r>
      <w:r w:rsidRPr="00B1206F">
        <w:rPr>
          <w:rFonts w:ascii="Times New Roman" w:hAnsi="Times New Roman" w:cs="Times New Roman"/>
          <w:i/>
          <w:iCs/>
          <w:sz w:val="20"/>
          <w:szCs w:val="20"/>
        </w:rPr>
        <w:t>Libya</w:t>
      </w:r>
      <w:r w:rsidRPr="00B1206F">
        <w:rPr>
          <w:rFonts w:ascii="Times New Roman" w:hAnsi="Times New Roman" w:cs="Times New Roman"/>
          <w:sz w:val="20"/>
          <w:szCs w:val="20"/>
        </w:rPr>
        <w:t xml:space="preserve">: CCPR 2007, CCPR/C/LBY/CO/4 para 23; </w:t>
      </w:r>
      <w:r w:rsidRPr="00B1206F">
        <w:rPr>
          <w:rFonts w:ascii="Times New Roman" w:hAnsi="Times New Roman" w:cs="Times New Roman"/>
          <w:i/>
          <w:iCs/>
          <w:sz w:val="20"/>
          <w:szCs w:val="20"/>
        </w:rPr>
        <w:t>Morocco:</w:t>
      </w:r>
      <w:r w:rsidRPr="00B1206F">
        <w:rPr>
          <w:rFonts w:ascii="Times New Roman" w:hAnsi="Times New Roman" w:cs="Times New Roman"/>
          <w:sz w:val="20"/>
          <w:szCs w:val="20"/>
        </w:rPr>
        <w:t xml:space="preserve"> UPR 2012 A/HRC/21/3 rec. 129.83, 88, 131.4; </w:t>
      </w:r>
      <w:r w:rsidRPr="00B1206F">
        <w:rPr>
          <w:rFonts w:ascii="Times New Roman" w:hAnsi="Times New Roman" w:cs="Times New Roman"/>
          <w:i/>
          <w:iCs/>
          <w:sz w:val="20"/>
          <w:szCs w:val="20"/>
        </w:rPr>
        <w:t>Qatar:</w:t>
      </w:r>
      <w:r w:rsidRPr="00B1206F">
        <w:rPr>
          <w:rFonts w:ascii="Times New Roman" w:hAnsi="Times New Roman" w:cs="Times New Roman"/>
          <w:sz w:val="20"/>
          <w:szCs w:val="20"/>
        </w:rPr>
        <w:t xml:space="preserve"> CEDAW 2014, CEDAW/C/QAT/CO/1 para 29 (re women’s rights orgs.); </w:t>
      </w:r>
      <w:r w:rsidRPr="00B1206F">
        <w:rPr>
          <w:rFonts w:ascii="Times New Roman" w:hAnsi="Times New Roman" w:cs="Times New Roman"/>
          <w:i/>
          <w:iCs/>
          <w:sz w:val="20"/>
          <w:szCs w:val="20"/>
        </w:rPr>
        <w:t>Syria:</w:t>
      </w:r>
      <w:r w:rsidRPr="00B1206F">
        <w:rPr>
          <w:rFonts w:ascii="Times New Roman" w:hAnsi="Times New Roman" w:cs="Times New Roman"/>
          <w:sz w:val="20"/>
          <w:szCs w:val="20"/>
        </w:rPr>
        <w:t xml:space="preserve"> CRC 2012, CRC/C/SYR/CO/3-4 paras 28-29, and UPR 2012, A/HRC/19/11 rec.100.20.</w:t>
      </w:r>
    </w:p>
  </w:footnote>
  <w:footnote w:id="77">
    <w:p w14:paraId="2DD4F338" w14:textId="77777777" w:rsidR="0070081C" w:rsidRPr="00B1206F" w:rsidRDefault="0070081C" w:rsidP="006A018A">
      <w:pPr>
        <w:pStyle w:val="FootnoteText"/>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Jordan UPR 2014, A/HRC/25/9, Rec 118.78; Saudi Arabia: UPR 2013, A/HRC/25/3 rec. 128.154</w:t>
      </w:r>
    </w:p>
  </w:footnote>
  <w:footnote w:id="78">
    <w:p w14:paraId="5D837B24"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Algeria:</w:t>
      </w:r>
      <w:r w:rsidRPr="00B1206F">
        <w:rPr>
          <w:rFonts w:ascii="Times New Roman" w:hAnsi="Times New Roman" w:cs="Times New Roman"/>
          <w:sz w:val="20"/>
          <w:szCs w:val="20"/>
        </w:rPr>
        <w:t xml:space="preserve"> CERD 2013, CERD/C/DZA/CO/15-19 para 17 (concerning the participation and marginalization of the Amazigh community, especially women); </w:t>
      </w:r>
      <w:r w:rsidRPr="00B1206F">
        <w:rPr>
          <w:rFonts w:ascii="Times New Roman" w:hAnsi="Times New Roman" w:cs="Times New Roman"/>
          <w:i/>
          <w:iCs/>
          <w:sz w:val="20"/>
          <w:szCs w:val="20"/>
        </w:rPr>
        <w:t>Egypt:</w:t>
      </w:r>
      <w:r w:rsidRPr="00B1206F">
        <w:rPr>
          <w:rFonts w:ascii="Times New Roman" w:hAnsi="Times New Roman" w:cs="Times New Roman"/>
          <w:sz w:val="20"/>
          <w:szCs w:val="20"/>
        </w:rPr>
        <w:t xml:space="preserve"> CERD 2016 CERD/C/EGY/CO/17-22 paras. 27-28; </w:t>
      </w:r>
      <w:r w:rsidRPr="00B1206F">
        <w:rPr>
          <w:rFonts w:ascii="Times New Roman" w:hAnsi="Times New Roman" w:cs="Times New Roman"/>
          <w:i/>
          <w:iCs/>
          <w:sz w:val="20"/>
          <w:szCs w:val="20"/>
        </w:rPr>
        <w:t>Iraq:</w:t>
      </w:r>
      <w:r w:rsidRPr="00B1206F">
        <w:rPr>
          <w:rFonts w:ascii="Times New Roman" w:hAnsi="Times New Roman" w:cs="Times New Roman"/>
          <w:sz w:val="20"/>
          <w:szCs w:val="20"/>
        </w:rPr>
        <w:t xml:space="preserve"> CERD 2014, CERD/C/IRQ/CO/15-21 paras. 11-12, and UPR 2014 A/HRC/28/14 recs. 127.203-204; </w:t>
      </w:r>
      <w:r w:rsidRPr="00B1206F">
        <w:rPr>
          <w:rFonts w:ascii="Times New Roman" w:hAnsi="Times New Roman" w:cs="Times New Roman"/>
          <w:i/>
          <w:iCs/>
          <w:sz w:val="20"/>
          <w:szCs w:val="20"/>
        </w:rPr>
        <w:t>Jordan</w:t>
      </w:r>
      <w:r w:rsidRPr="00B1206F">
        <w:rPr>
          <w:rFonts w:ascii="Times New Roman" w:hAnsi="Times New Roman" w:cs="Times New Roman"/>
          <w:sz w:val="20"/>
          <w:szCs w:val="20"/>
        </w:rPr>
        <w:t xml:space="preserve">: CERD 2012 CERD/C/JOR/CO/13-17 para 13, 16; </w:t>
      </w:r>
      <w:r w:rsidRPr="00B1206F">
        <w:rPr>
          <w:rFonts w:ascii="Times New Roman" w:hAnsi="Times New Roman" w:cs="Times New Roman"/>
          <w:i/>
          <w:iCs/>
          <w:sz w:val="20"/>
          <w:szCs w:val="20"/>
        </w:rPr>
        <w:t>Libya</w:t>
      </w:r>
      <w:r w:rsidRPr="00B1206F">
        <w:rPr>
          <w:rFonts w:ascii="Times New Roman" w:hAnsi="Times New Roman" w:cs="Times New Roman"/>
          <w:sz w:val="20"/>
          <w:szCs w:val="20"/>
        </w:rPr>
        <w:t xml:space="preserve">: UPR 2015 A/HRC/30/16rec128.183; </w:t>
      </w:r>
      <w:r w:rsidRPr="00B1206F">
        <w:rPr>
          <w:rFonts w:ascii="Times New Roman" w:hAnsi="Times New Roman" w:cs="Times New Roman"/>
          <w:i/>
          <w:iCs/>
          <w:sz w:val="20"/>
          <w:szCs w:val="20"/>
        </w:rPr>
        <w:t>Mauritania</w:t>
      </w:r>
      <w:r w:rsidRPr="00B1206F">
        <w:rPr>
          <w:rFonts w:ascii="Times New Roman" w:hAnsi="Times New Roman" w:cs="Times New Roman"/>
          <w:sz w:val="20"/>
          <w:szCs w:val="20"/>
        </w:rPr>
        <w:t>: SR Racism 2009, A/HRC/11/36/Ad</w:t>
      </w:r>
      <w:r>
        <w:rPr>
          <w:rFonts w:ascii="Times New Roman" w:hAnsi="Times New Roman" w:cs="Times New Roman"/>
          <w:sz w:val="20"/>
          <w:szCs w:val="20"/>
        </w:rPr>
        <w:t>d.2 rec. 73, and UPR</w:t>
      </w:r>
      <w:r w:rsidRPr="00B1206F">
        <w:rPr>
          <w:rFonts w:ascii="Times New Roman" w:hAnsi="Times New Roman" w:cs="Times New Roman"/>
          <w:sz w:val="20"/>
          <w:szCs w:val="20"/>
        </w:rPr>
        <w:t xml:space="preserve"> 2011 A/HRC/16/17 rec 92.44. </w:t>
      </w:r>
    </w:p>
  </w:footnote>
  <w:footnote w:id="79">
    <w:p w14:paraId="1817FF14"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Kuwait</w:t>
      </w:r>
      <w:r w:rsidRPr="00B1206F">
        <w:rPr>
          <w:rFonts w:ascii="Times New Roman" w:hAnsi="Times New Roman" w:cs="Times New Roman"/>
          <w:sz w:val="20"/>
          <w:szCs w:val="20"/>
        </w:rPr>
        <w:t xml:space="preserve">: CRC 2013, CRC/C/KWT/CO/2 paras 33, 34; </w:t>
      </w:r>
      <w:r w:rsidRPr="00B1206F">
        <w:rPr>
          <w:rFonts w:ascii="Times New Roman" w:hAnsi="Times New Roman" w:cs="Times New Roman"/>
          <w:i/>
          <w:iCs/>
          <w:sz w:val="20"/>
          <w:szCs w:val="20"/>
        </w:rPr>
        <w:t>Syria:</w:t>
      </w:r>
      <w:r w:rsidRPr="00B1206F">
        <w:rPr>
          <w:rFonts w:ascii="Times New Roman" w:hAnsi="Times New Roman" w:cs="Times New Roman"/>
          <w:sz w:val="20"/>
          <w:szCs w:val="20"/>
        </w:rPr>
        <w:t xml:space="preserve"> CRC 2012, CRC/C/SYR/CO/3-4 paras. 39-40; </w:t>
      </w:r>
      <w:r w:rsidRPr="00B1206F">
        <w:rPr>
          <w:rFonts w:ascii="Times New Roman" w:hAnsi="Times New Roman" w:cs="Times New Roman"/>
          <w:i/>
          <w:iCs/>
          <w:sz w:val="20"/>
          <w:szCs w:val="20"/>
        </w:rPr>
        <w:t>UAE:</w:t>
      </w:r>
      <w:r w:rsidRPr="00B1206F">
        <w:rPr>
          <w:rFonts w:ascii="Times New Roman" w:hAnsi="Times New Roman" w:cs="Times New Roman"/>
          <w:sz w:val="20"/>
          <w:szCs w:val="20"/>
        </w:rPr>
        <w:t xml:space="preserve"> SR Sale of Children 2010, A/HRC/16/57/Add.2 rec. 109; </w:t>
      </w:r>
      <w:r w:rsidRPr="00B1206F">
        <w:rPr>
          <w:rFonts w:ascii="Times New Roman" w:hAnsi="Times New Roman" w:cs="Times New Roman"/>
          <w:i/>
          <w:iCs/>
          <w:sz w:val="20"/>
          <w:szCs w:val="20"/>
        </w:rPr>
        <w:t>Yemen:</w:t>
      </w:r>
      <w:r w:rsidRPr="00B1206F">
        <w:rPr>
          <w:rFonts w:ascii="Times New Roman" w:hAnsi="Times New Roman" w:cs="Times New Roman"/>
          <w:sz w:val="20"/>
          <w:szCs w:val="20"/>
        </w:rPr>
        <w:t xml:space="preserve"> CRC 2014, CRC/C/YEM/CO/4 para 42.</w:t>
      </w:r>
    </w:p>
  </w:footnote>
  <w:footnote w:id="80">
    <w:p w14:paraId="6BA1646D" w14:textId="77777777" w:rsidR="0070081C" w:rsidRPr="00B1206F" w:rsidRDefault="0070081C" w:rsidP="006A018A">
      <w:pPr>
        <w:jc w:val="both"/>
        <w:rPr>
          <w:rFonts w:ascii="Times New Roman" w:hAnsi="Times New Roman" w:cs="Times New Roman"/>
          <w:sz w:val="20"/>
          <w:szCs w:val="20"/>
        </w:rPr>
      </w:pPr>
      <w:r w:rsidRPr="00B1206F">
        <w:rPr>
          <w:rStyle w:val="FootnoteReference"/>
          <w:rFonts w:ascii="Times New Roman" w:hAnsi="Times New Roman" w:cs="Times New Roman"/>
          <w:sz w:val="20"/>
          <w:szCs w:val="20"/>
        </w:rPr>
        <w:footnoteRef/>
      </w:r>
      <w:r w:rsidRPr="00B1206F">
        <w:rPr>
          <w:rFonts w:ascii="Times New Roman" w:hAnsi="Times New Roman" w:cs="Times New Roman"/>
          <w:sz w:val="20"/>
          <w:szCs w:val="20"/>
        </w:rPr>
        <w:t xml:space="preserve"> </w:t>
      </w:r>
      <w:r w:rsidRPr="00B1206F">
        <w:rPr>
          <w:rFonts w:ascii="Times New Roman" w:hAnsi="Times New Roman" w:cs="Times New Roman"/>
          <w:i/>
          <w:iCs/>
          <w:sz w:val="20"/>
          <w:szCs w:val="20"/>
        </w:rPr>
        <w:t>Qatar:</w:t>
      </w:r>
      <w:r w:rsidRPr="00B1206F">
        <w:rPr>
          <w:rFonts w:ascii="Times New Roman" w:hAnsi="Times New Roman" w:cs="Times New Roman"/>
          <w:sz w:val="20"/>
          <w:szCs w:val="20"/>
        </w:rPr>
        <w:t xml:space="preserve"> CRPD 2015, CRPD/C/QAT/CO/1 paras. 9-10, 51-52 (on legislative measures, and accessibility to vote);</w:t>
      </w:r>
      <w:r w:rsidRPr="00B1206F">
        <w:rPr>
          <w:rFonts w:ascii="Times New Roman" w:hAnsi="Times New Roman" w:cs="Times New Roman"/>
          <w:i/>
          <w:iCs/>
          <w:sz w:val="20"/>
          <w:szCs w:val="20"/>
        </w:rPr>
        <w:t>Tunisia:</w:t>
      </w:r>
      <w:r w:rsidRPr="00B1206F">
        <w:rPr>
          <w:rFonts w:ascii="Times New Roman" w:hAnsi="Times New Roman" w:cs="Times New Roman"/>
          <w:sz w:val="20"/>
          <w:szCs w:val="20"/>
        </w:rPr>
        <w:t xml:space="preserve"> CRPD 2011 CRPD/C/TUN/CO/1 para 35 and UPR 2012, A/HRC/21/5 rec 114.23-24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B1B"/>
    <w:multiLevelType w:val="hybridMultilevel"/>
    <w:tmpl w:val="312266F8"/>
    <w:lvl w:ilvl="0" w:tplc="1848D9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016A5"/>
    <w:multiLevelType w:val="hybridMultilevel"/>
    <w:tmpl w:val="A24A6E22"/>
    <w:lvl w:ilvl="0" w:tplc="1C42880C">
      <w:start w:val="4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37C68"/>
    <w:multiLevelType w:val="hybridMultilevel"/>
    <w:tmpl w:val="B986DF22"/>
    <w:lvl w:ilvl="0" w:tplc="79BEC99A">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F201D"/>
    <w:multiLevelType w:val="hybridMultilevel"/>
    <w:tmpl w:val="C7C42362"/>
    <w:lvl w:ilvl="0" w:tplc="2D821E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D616C"/>
    <w:multiLevelType w:val="hybridMultilevel"/>
    <w:tmpl w:val="0A40A93A"/>
    <w:lvl w:ilvl="0" w:tplc="BD724394">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816B3D"/>
    <w:multiLevelType w:val="hybridMultilevel"/>
    <w:tmpl w:val="F612D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74E31"/>
    <w:multiLevelType w:val="multilevel"/>
    <w:tmpl w:val="75C483BA"/>
    <w:lvl w:ilvl="0">
      <w:start w:val="1"/>
      <w:numFmt w:val="bullet"/>
      <w:lvlText w:val=""/>
      <w:lvlJc w:val="left"/>
      <w:pPr>
        <w:tabs>
          <w:tab w:val="num" w:pos="720"/>
        </w:tabs>
        <w:ind w:left="720" w:hanging="360"/>
      </w:pPr>
      <w:rPr>
        <w:rFonts w:ascii="Symbol" w:hAnsi="Symbol" w:hint="default"/>
        <w:sz w:val="20"/>
      </w:rPr>
    </w:lvl>
    <w:lvl w:ilvl="1">
      <w:start w:val="17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70247C"/>
    <w:multiLevelType w:val="hybridMultilevel"/>
    <w:tmpl w:val="2654BAB8"/>
    <w:lvl w:ilvl="0" w:tplc="867851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96"/>
    <w:rsid w:val="00005537"/>
    <w:rsid w:val="000263F8"/>
    <w:rsid w:val="000363EB"/>
    <w:rsid w:val="00037410"/>
    <w:rsid w:val="00040F1D"/>
    <w:rsid w:val="00043FBE"/>
    <w:rsid w:val="000542C8"/>
    <w:rsid w:val="00064C00"/>
    <w:rsid w:val="000650D1"/>
    <w:rsid w:val="00066D5A"/>
    <w:rsid w:val="0008016A"/>
    <w:rsid w:val="00080F8F"/>
    <w:rsid w:val="000825D8"/>
    <w:rsid w:val="0008343C"/>
    <w:rsid w:val="00093EB7"/>
    <w:rsid w:val="000A6E1F"/>
    <w:rsid w:val="000B245A"/>
    <w:rsid w:val="000C572D"/>
    <w:rsid w:val="000C7AE0"/>
    <w:rsid w:val="000C7DA2"/>
    <w:rsid w:val="000D58C4"/>
    <w:rsid w:val="000D705E"/>
    <w:rsid w:val="000E4EE0"/>
    <w:rsid w:val="000E5EC7"/>
    <w:rsid w:val="000F3190"/>
    <w:rsid w:val="000F3249"/>
    <w:rsid w:val="000F418B"/>
    <w:rsid w:val="000F4330"/>
    <w:rsid w:val="000F5641"/>
    <w:rsid w:val="000F5FC2"/>
    <w:rsid w:val="000F7431"/>
    <w:rsid w:val="001077B3"/>
    <w:rsid w:val="0011345C"/>
    <w:rsid w:val="00117601"/>
    <w:rsid w:val="001415F8"/>
    <w:rsid w:val="0014493C"/>
    <w:rsid w:val="0014737C"/>
    <w:rsid w:val="00153B56"/>
    <w:rsid w:val="00156BA6"/>
    <w:rsid w:val="00157746"/>
    <w:rsid w:val="001634BD"/>
    <w:rsid w:val="001655C3"/>
    <w:rsid w:val="00165E2D"/>
    <w:rsid w:val="0016783C"/>
    <w:rsid w:val="001704DB"/>
    <w:rsid w:val="001811CF"/>
    <w:rsid w:val="0018502D"/>
    <w:rsid w:val="001904A2"/>
    <w:rsid w:val="00191A29"/>
    <w:rsid w:val="001943A5"/>
    <w:rsid w:val="00197621"/>
    <w:rsid w:val="001A1A08"/>
    <w:rsid w:val="001A1A81"/>
    <w:rsid w:val="001A1CF1"/>
    <w:rsid w:val="001B0250"/>
    <w:rsid w:val="001B0583"/>
    <w:rsid w:val="001B3537"/>
    <w:rsid w:val="001C1628"/>
    <w:rsid w:val="001C4395"/>
    <w:rsid w:val="001D16E7"/>
    <w:rsid w:val="001D33D1"/>
    <w:rsid w:val="001D35E5"/>
    <w:rsid w:val="001D5293"/>
    <w:rsid w:val="001E0903"/>
    <w:rsid w:val="001E1795"/>
    <w:rsid w:val="00202257"/>
    <w:rsid w:val="00210D82"/>
    <w:rsid w:val="00214E03"/>
    <w:rsid w:val="00220F6D"/>
    <w:rsid w:val="00226405"/>
    <w:rsid w:val="00230A0F"/>
    <w:rsid w:val="00233F55"/>
    <w:rsid w:val="00236E13"/>
    <w:rsid w:val="00241337"/>
    <w:rsid w:val="00242767"/>
    <w:rsid w:val="00261764"/>
    <w:rsid w:val="0026389E"/>
    <w:rsid w:val="0027003E"/>
    <w:rsid w:val="0027324D"/>
    <w:rsid w:val="00273A28"/>
    <w:rsid w:val="002754AF"/>
    <w:rsid w:val="00281D6D"/>
    <w:rsid w:val="0029246F"/>
    <w:rsid w:val="002940A6"/>
    <w:rsid w:val="00295140"/>
    <w:rsid w:val="00295B6A"/>
    <w:rsid w:val="002A015E"/>
    <w:rsid w:val="002A19FE"/>
    <w:rsid w:val="002A357A"/>
    <w:rsid w:val="002A4FE2"/>
    <w:rsid w:val="002C6208"/>
    <w:rsid w:val="002D0A6D"/>
    <w:rsid w:val="002D4994"/>
    <w:rsid w:val="002D4B34"/>
    <w:rsid w:val="002D504B"/>
    <w:rsid w:val="002E3193"/>
    <w:rsid w:val="002F4F11"/>
    <w:rsid w:val="00300725"/>
    <w:rsid w:val="0030789C"/>
    <w:rsid w:val="00313B18"/>
    <w:rsid w:val="00313D15"/>
    <w:rsid w:val="00334B25"/>
    <w:rsid w:val="003445A0"/>
    <w:rsid w:val="00354B93"/>
    <w:rsid w:val="003557A1"/>
    <w:rsid w:val="00362B65"/>
    <w:rsid w:val="003654BE"/>
    <w:rsid w:val="00370432"/>
    <w:rsid w:val="00386E7F"/>
    <w:rsid w:val="003A2833"/>
    <w:rsid w:val="003A4CC3"/>
    <w:rsid w:val="003A755C"/>
    <w:rsid w:val="003B1C38"/>
    <w:rsid w:val="003D28C9"/>
    <w:rsid w:val="003D2BF6"/>
    <w:rsid w:val="003D3F4C"/>
    <w:rsid w:val="003E039B"/>
    <w:rsid w:val="003E202B"/>
    <w:rsid w:val="003F3FF6"/>
    <w:rsid w:val="004025E0"/>
    <w:rsid w:val="00403100"/>
    <w:rsid w:val="0041322B"/>
    <w:rsid w:val="004144FA"/>
    <w:rsid w:val="00417F1E"/>
    <w:rsid w:val="0042129E"/>
    <w:rsid w:val="00423192"/>
    <w:rsid w:val="00425921"/>
    <w:rsid w:val="00426AF5"/>
    <w:rsid w:val="00440EE6"/>
    <w:rsid w:val="004412E8"/>
    <w:rsid w:val="00445D6D"/>
    <w:rsid w:val="004572DF"/>
    <w:rsid w:val="00460D76"/>
    <w:rsid w:val="00484147"/>
    <w:rsid w:val="00492E27"/>
    <w:rsid w:val="00495B1E"/>
    <w:rsid w:val="004A44A7"/>
    <w:rsid w:val="004A6947"/>
    <w:rsid w:val="004B357F"/>
    <w:rsid w:val="004B56A9"/>
    <w:rsid w:val="004B6FFA"/>
    <w:rsid w:val="004C2083"/>
    <w:rsid w:val="004D614F"/>
    <w:rsid w:val="004D7462"/>
    <w:rsid w:val="004E25A9"/>
    <w:rsid w:val="004F1C69"/>
    <w:rsid w:val="00504E34"/>
    <w:rsid w:val="00520688"/>
    <w:rsid w:val="00524C5C"/>
    <w:rsid w:val="005269D6"/>
    <w:rsid w:val="00531271"/>
    <w:rsid w:val="00534625"/>
    <w:rsid w:val="00542867"/>
    <w:rsid w:val="005432AC"/>
    <w:rsid w:val="0055038E"/>
    <w:rsid w:val="00551F81"/>
    <w:rsid w:val="005524FD"/>
    <w:rsid w:val="005541DB"/>
    <w:rsid w:val="005556FF"/>
    <w:rsid w:val="00565FE7"/>
    <w:rsid w:val="00571E6A"/>
    <w:rsid w:val="00575F98"/>
    <w:rsid w:val="005762BE"/>
    <w:rsid w:val="00590515"/>
    <w:rsid w:val="00593B8E"/>
    <w:rsid w:val="005A3C1D"/>
    <w:rsid w:val="005A5E43"/>
    <w:rsid w:val="005C410D"/>
    <w:rsid w:val="005C4838"/>
    <w:rsid w:val="005C7427"/>
    <w:rsid w:val="005D0613"/>
    <w:rsid w:val="005D4ADF"/>
    <w:rsid w:val="005E79B7"/>
    <w:rsid w:val="005E7CCB"/>
    <w:rsid w:val="005F3C2D"/>
    <w:rsid w:val="0060308C"/>
    <w:rsid w:val="00611BE8"/>
    <w:rsid w:val="00614517"/>
    <w:rsid w:val="00621DB4"/>
    <w:rsid w:val="00624255"/>
    <w:rsid w:val="00624D01"/>
    <w:rsid w:val="00626A2D"/>
    <w:rsid w:val="006304A1"/>
    <w:rsid w:val="0064014F"/>
    <w:rsid w:val="00646D3A"/>
    <w:rsid w:val="006532C4"/>
    <w:rsid w:val="006662BF"/>
    <w:rsid w:val="00671DFA"/>
    <w:rsid w:val="006738D0"/>
    <w:rsid w:val="006771D1"/>
    <w:rsid w:val="00677ECE"/>
    <w:rsid w:val="00685D81"/>
    <w:rsid w:val="006876AE"/>
    <w:rsid w:val="00691872"/>
    <w:rsid w:val="006A018A"/>
    <w:rsid w:val="006B0F01"/>
    <w:rsid w:val="006B25A3"/>
    <w:rsid w:val="006B409D"/>
    <w:rsid w:val="006E2C32"/>
    <w:rsid w:val="006E3D7F"/>
    <w:rsid w:val="006F10E5"/>
    <w:rsid w:val="006F1234"/>
    <w:rsid w:val="006F46E0"/>
    <w:rsid w:val="0070081C"/>
    <w:rsid w:val="00704405"/>
    <w:rsid w:val="00705DB1"/>
    <w:rsid w:val="00711C74"/>
    <w:rsid w:val="00716B37"/>
    <w:rsid w:val="007265C7"/>
    <w:rsid w:val="00727DFC"/>
    <w:rsid w:val="00733BA5"/>
    <w:rsid w:val="00734D81"/>
    <w:rsid w:val="007360BB"/>
    <w:rsid w:val="007507DA"/>
    <w:rsid w:val="0076032C"/>
    <w:rsid w:val="00775E46"/>
    <w:rsid w:val="00781CF5"/>
    <w:rsid w:val="007A2007"/>
    <w:rsid w:val="007A3671"/>
    <w:rsid w:val="007B251A"/>
    <w:rsid w:val="007B3935"/>
    <w:rsid w:val="007B3E4C"/>
    <w:rsid w:val="007B6DE6"/>
    <w:rsid w:val="007C0B1E"/>
    <w:rsid w:val="007C4D5B"/>
    <w:rsid w:val="007E0FFD"/>
    <w:rsid w:val="007E1FE0"/>
    <w:rsid w:val="007E75C3"/>
    <w:rsid w:val="00801207"/>
    <w:rsid w:val="00801AA9"/>
    <w:rsid w:val="00804FF6"/>
    <w:rsid w:val="0081389B"/>
    <w:rsid w:val="00814814"/>
    <w:rsid w:val="00814B9A"/>
    <w:rsid w:val="00831BE9"/>
    <w:rsid w:val="0083269A"/>
    <w:rsid w:val="00833F46"/>
    <w:rsid w:val="008342BE"/>
    <w:rsid w:val="008359B7"/>
    <w:rsid w:val="00842584"/>
    <w:rsid w:val="008443AD"/>
    <w:rsid w:val="00850C57"/>
    <w:rsid w:val="00853DAA"/>
    <w:rsid w:val="00862573"/>
    <w:rsid w:val="00862EF5"/>
    <w:rsid w:val="00863A67"/>
    <w:rsid w:val="008813FB"/>
    <w:rsid w:val="008A590C"/>
    <w:rsid w:val="008B1B3B"/>
    <w:rsid w:val="008B397F"/>
    <w:rsid w:val="008B4A0D"/>
    <w:rsid w:val="008B6093"/>
    <w:rsid w:val="008B6949"/>
    <w:rsid w:val="008B73DD"/>
    <w:rsid w:val="008C5340"/>
    <w:rsid w:val="008D0B0D"/>
    <w:rsid w:val="008D1BD6"/>
    <w:rsid w:val="008F0E90"/>
    <w:rsid w:val="008F3258"/>
    <w:rsid w:val="008F3892"/>
    <w:rsid w:val="008F7696"/>
    <w:rsid w:val="00900157"/>
    <w:rsid w:val="00911838"/>
    <w:rsid w:val="00914D58"/>
    <w:rsid w:val="00926D52"/>
    <w:rsid w:val="00927EE5"/>
    <w:rsid w:val="00931490"/>
    <w:rsid w:val="00935494"/>
    <w:rsid w:val="009410E0"/>
    <w:rsid w:val="009711B4"/>
    <w:rsid w:val="009804A3"/>
    <w:rsid w:val="00980ED9"/>
    <w:rsid w:val="00983A2E"/>
    <w:rsid w:val="00986FD1"/>
    <w:rsid w:val="00994510"/>
    <w:rsid w:val="009A3D4B"/>
    <w:rsid w:val="009B4514"/>
    <w:rsid w:val="009C3DFF"/>
    <w:rsid w:val="009C7A81"/>
    <w:rsid w:val="009D0FAC"/>
    <w:rsid w:val="009D57E1"/>
    <w:rsid w:val="009D756D"/>
    <w:rsid w:val="009E0D93"/>
    <w:rsid w:val="009E44FF"/>
    <w:rsid w:val="009E7867"/>
    <w:rsid w:val="009F4970"/>
    <w:rsid w:val="009F4E92"/>
    <w:rsid w:val="00A02EE0"/>
    <w:rsid w:val="00A05D72"/>
    <w:rsid w:val="00A130DA"/>
    <w:rsid w:val="00A17FE2"/>
    <w:rsid w:val="00A2537B"/>
    <w:rsid w:val="00A35E8F"/>
    <w:rsid w:val="00A471B8"/>
    <w:rsid w:val="00A56E01"/>
    <w:rsid w:val="00A70FBD"/>
    <w:rsid w:val="00A76131"/>
    <w:rsid w:val="00A76755"/>
    <w:rsid w:val="00A774D7"/>
    <w:rsid w:val="00A8055A"/>
    <w:rsid w:val="00A914AF"/>
    <w:rsid w:val="00A92E34"/>
    <w:rsid w:val="00AA443B"/>
    <w:rsid w:val="00AB1EFC"/>
    <w:rsid w:val="00AB7960"/>
    <w:rsid w:val="00AC4097"/>
    <w:rsid w:val="00AD1D66"/>
    <w:rsid w:val="00AD6066"/>
    <w:rsid w:val="00AF4C5E"/>
    <w:rsid w:val="00B06108"/>
    <w:rsid w:val="00B07151"/>
    <w:rsid w:val="00B1161A"/>
    <w:rsid w:val="00B1206F"/>
    <w:rsid w:val="00B15B38"/>
    <w:rsid w:val="00B204E8"/>
    <w:rsid w:val="00B27A84"/>
    <w:rsid w:val="00B32556"/>
    <w:rsid w:val="00B35BF3"/>
    <w:rsid w:val="00B41132"/>
    <w:rsid w:val="00B60DB9"/>
    <w:rsid w:val="00B6155E"/>
    <w:rsid w:val="00B61580"/>
    <w:rsid w:val="00B70125"/>
    <w:rsid w:val="00B8199A"/>
    <w:rsid w:val="00B81FB7"/>
    <w:rsid w:val="00B863F1"/>
    <w:rsid w:val="00B8722A"/>
    <w:rsid w:val="00B9046C"/>
    <w:rsid w:val="00B905D8"/>
    <w:rsid w:val="00B90BC7"/>
    <w:rsid w:val="00B91C52"/>
    <w:rsid w:val="00BA4C8F"/>
    <w:rsid w:val="00BC270B"/>
    <w:rsid w:val="00BC6323"/>
    <w:rsid w:val="00BE52AA"/>
    <w:rsid w:val="00BF4F11"/>
    <w:rsid w:val="00C0204F"/>
    <w:rsid w:val="00C04DF2"/>
    <w:rsid w:val="00C16732"/>
    <w:rsid w:val="00C220D2"/>
    <w:rsid w:val="00C27355"/>
    <w:rsid w:val="00C27BDE"/>
    <w:rsid w:val="00C33451"/>
    <w:rsid w:val="00C402E7"/>
    <w:rsid w:val="00C40F82"/>
    <w:rsid w:val="00C502F0"/>
    <w:rsid w:val="00C52BF7"/>
    <w:rsid w:val="00C53411"/>
    <w:rsid w:val="00C5367D"/>
    <w:rsid w:val="00C553A4"/>
    <w:rsid w:val="00C5773C"/>
    <w:rsid w:val="00C618F7"/>
    <w:rsid w:val="00C6452D"/>
    <w:rsid w:val="00C72D73"/>
    <w:rsid w:val="00C73603"/>
    <w:rsid w:val="00C74657"/>
    <w:rsid w:val="00C75901"/>
    <w:rsid w:val="00C81DB2"/>
    <w:rsid w:val="00C829D6"/>
    <w:rsid w:val="00C83E6E"/>
    <w:rsid w:val="00C928C0"/>
    <w:rsid w:val="00C964A2"/>
    <w:rsid w:val="00C966E0"/>
    <w:rsid w:val="00CA2FD0"/>
    <w:rsid w:val="00CA4766"/>
    <w:rsid w:val="00CA7281"/>
    <w:rsid w:val="00CC162C"/>
    <w:rsid w:val="00CC7568"/>
    <w:rsid w:val="00CE6EC9"/>
    <w:rsid w:val="00CE77C4"/>
    <w:rsid w:val="00CF4F01"/>
    <w:rsid w:val="00CF52EE"/>
    <w:rsid w:val="00D0005D"/>
    <w:rsid w:val="00D024A6"/>
    <w:rsid w:val="00D02F9F"/>
    <w:rsid w:val="00D050DC"/>
    <w:rsid w:val="00D07A9B"/>
    <w:rsid w:val="00D16FFC"/>
    <w:rsid w:val="00D22712"/>
    <w:rsid w:val="00D2447F"/>
    <w:rsid w:val="00D25BEA"/>
    <w:rsid w:val="00D25D35"/>
    <w:rsid w:val="00D304ED"/>
    <w:rsid w:val="00D40E4F"/>
    <w:rsid w:val="00D40F3E"/>
    <w:rsid w:val="00D42987"/>
    <w:rsid w:val="00D52365"/>
    <w:rsid w:val="00D533BB"/>
    <w:rsid w:val="00D5626A"/>
    <w:rsid w:val="00D640A7"/>
    <w:rsid w:val="00D6692A"/>
    <w:rsid w:val="00D8137A"/>
    <w:rsid w:val="00D8201A"/>
    <w:rsid w:val="00D824AB"/>
    <w:rsid w:val="00DA73CE"/>
    <w:rsid w:val="00DB1B19"/>
    <w:rsid w:val="00DB659C"/>
    <w:rsid w:val="00DB7F11"/>
    <w:rsid w:val="00DD64ED"/>
    <w:rsid w:val="00DE5269"/>
    <w:rsid w:val="00E06C66"/>
    <w:rsid w:val="00E07C90"/>
    <w:rsid w:val="00E11131"/>
    <w:rsid w:val="00E2136E"/>
    <w:rsid w:val="00E24519"/>
    <w:rsid w:val="00E253A0"/>
    <w:rsid w:val="00E25F78"/>
    <w:rsid w:val="00E326AD"/>
    <w:rsid w:val="00E35063"/>
    <w:rsid w:val="00E36384"/>
    <w:rsid w:val="00E37D3B"/>
    <w:rsid w:val="00E40E6C"/>
    <w:rsid w:val="00E44EC7"/>
    <w:rsid w:val="00E666BC"/>
    <w:rsid w:val="00E72164"/>
    <w:rsid w:val="00E74A4D"/>
    <w:rsid w:val="00E81AB0"/>
    <w:rsid w:val="00E8502D"/>
    <w:rsid w:val="00E856AD"/>
    <w:rsid w:val="00E8723A"/>
    <w:rsid w:val="00E92AD1"/>
    <w:rsid w:val="00E94227"/>
    <w:rsid w:val="00EA0129"/>
    <w:rsid w:val="00EA2F11"/>
    <w:rsid w:val="00EA4267"/>
    <w:rsid w:val="00EA6D4C"/>
    <w:rsid w:val="00EB5D3E"/>
    <w:rsid w:val="00EC53CB"/>
    <w:rsid w:val="00EC6708"/>
    <w:rsid w:val="00ED3A7A"/>
    <w:rsid w:val="00ED5CD3"/>
    <w:rsid w:val="00EE01B0"/>
    <w:rsid w:val="00EE3371"/>
    <w:rsid w:val="00EE3869"/>
    <w:rsid w:val="00EF39D2"/>
    <w:rsid w:val="00F00B5D"/>
    <w:rsid w:val="00F1054E"/>
    <w:rsid w:val="00F218B8"/>
    <w:rsid w:val="00F24DBB"/>
    <w:rsid w:val="00F30852"/>
    <w:rsid w:val="00F30F1C"/>
    <w:rsid w:val="00F51093"/>
    <w:rsid w:val="00F52596"/>
    <w:rsid w:val="00F54A2F"/>
    <w:rsid w:val="00F65196"/>
    <w:rsid w:val="00F85701"/>
    <w:rsid w:val="00F86E58"/>
    <w:rsid w:val="00F87B44"/>
    <w:rsid w:val="00F939F2"/>
    <w:rsid w:val="00F95B7E"/>
    <w:rsid w:val="00FA069E"/>
    <w:rsid w:val="00FA2F94"/>
    <w:rsid w:val="00FA5B69"/>
    <w:rsid w:val="00FB2E1E"/>
    <w:rsid w:val="00FC28E3"/>
    <w:rsid w:val="00FD4638"/>
    <w:rsid w:val="00FD5AEA"/>
    <w:rsid w:val="00FD7146"/>
    <w:rsid w:val="00FD79B8"/>
    <w:rsid w:val="00FE053C"/>
    <w:rsid w:val="00FE7FC6"/>
    <w:rsid w:val="00FF3859"/>
    <w:rsid w:val="00FF69A9"/>
    <w:rsid w:val="00FF6CFD"/>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7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92"/>
  </w:style>
  <w:style w:type="paragraph" w:styleId="Heading2">
    <w:name w:val="heading 2"/>
    <w:basedOn w:val="Normal"/>
    <w:link w:val="Heading2Char"/>
    <w:uiPriority w:val="9"/>
    <w:qFormat/>
    <w:rsid w:val="006876AE"/>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6876A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2EE"/>
    <w:pPr>
      <w:ind w:left="720"/>
      <w:contextualSpacing/>
    </w:pPr>
  </w:style>
  <w:style w:type="paragraph" w:styleId="NormalWeb">
    <w:name w:val="Normal (Web)"/>
    <w:basedOn w:val="Normal"/>
    <w:uiPriority w:val="99"/>
    <w:unhideWhenUsed/>
    <w:rsid w:val="00CE77C4"/>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unhideWhenUsed/>
    <w:rsid w:val="00D25D35"/>
  </w:style>
  <w:style w:type="character" w:customStyle="1" w:styleId="FootnoteTextChar">
    <w:name w:val="Footnote Text Char"/>
    <w:basedOn w:val="DefaultParagraphFont"/>
    <w:link w:val="FootnoteText"/>
    <w:uiPriority w:val="99"/>
    <w:rsid w:val="00D25D35"/>
  </w:style>
  <w:style w:type="character" w:styleId="FootnoteReference">
    <w:name w:val="footnote reference"/>
    <w:basedOn w:val="DefaultParagraphFont"/>
    <w:uiPriority w:val="99"/>
    <w:unhideWhenUsed/>
    <w:rsid w:val="00D25D35"/>
    <w:rPr>
      <w:vertAlign w:val="superscript"/>
    </w:rPr>
  </w:style>
  <w:style w:type="character" w:styleId="Strong">
    <w:name w:val="Strong"/>
    <w:basedOn w:val="DefaultParagraphFont"/>
    <w:uiPriority w:val="22"/>
    <w:qFormat/>
    <w:rsid w:val="00B863F1"/>
    <w:rPr>
      <w:b/>
      <w:bCs/>
    </w:rPr>
  </w:style>
  <w:style w:type="paragraph" w:styleId="Footer">
    <w:name w:val="footer"/>
    <w:basedOn w:val="Normal"/>
    <w:link w:val="FooterChar"/>
    <w:uiPriority w:val="99"/>
    <w:unhideWhenUsed/>
    <w:rsid w:val="00704405"/>
    <w:pPr>
      <w:tabs>
        <w:tab w:val="center" w:pos="4680"/>
        <w:tab w:val="right" w:pos="9360"/>
      </w:tabs>
    </w:pPr>
  </w:style>
  <w:style w:type="character" w:customStyle="1" w:styleId="FooterChar">
    <w:name w:val="Footer Char"/>
    <w:basedOn w:val="DefaultParagraphFont"/>
    <w:link w:val="Footer"/>
    <w:uiPriority w:val="99"/>
    <w:rsid w:val="00704405"/>
  </w:style>
  <w:style w:type="character" w:styleId="PageNumber">
    <w:name w:val="page number"/>
    <w:basedOn w:val="DefaultParagraphFont"/>
    <w:unhideWhenUsed/>
    <w:rsid w:val="00704405"/>
  </w:style>
  <w:style w:type="character" w:customStyle="1" w:styleId="Heading2Char">
    <w:name w:val="Heading 2 Char"/>
    <w:basedOn w:val="DefaultParagraphFont"/>
    <w:link w:val="Heading2"/>
    <w:uiPriority w:val="9"/>
    <w:rsid w:val="006876AE"/>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6876AE"/>
    <w:rPr>
      <w:rFonts w:ascii="Times New Roman" w:hAnsi="Times New Roman" w:cs="Times New Roman"/>
      <w:b/>
      <w:bCs/>
      <w:sz w:val="27"/>
      <w:szCs w:val="27"/>
    </w:rPr>
  </w:style>
  <w:style w:type="character" w:styleId="Hyperlink">
    <w:name w:val="Hyperlink"/>
    <w:basedOn w:val="DefaultParagraphFont"/>
    <w:uiPriority w:val="99"/>
    <w:unhideWhenUsed/>
    <w:rsid w:val="00C966E0"/>
    <w:rPr>
      <w:color w:val="0563C1" w:themeColor="hyperlink"/>
      <w:u w:val="single"/>
    </w:rPr>
  </w:style>
  <w:style w:type="character" w:customStyle="1" w:styleId="UnresolvedMention1">
    <w:name w:val="Unresolved Mention1"/>
    <w:basedOn w:val="DefaultParagraphFont"/>
    <w:uiPriority w:val="99"/>
    <w:rsid w:val="00C966E0"/>
    <w:rPr>
      <w:color w:val="808080"/>
      <w:shd w:val="clear" w:color="auto" w:fill="E6E6E6"/>
    </w:rPr>
  </w:style>
  <w:style w:type="character" w:styleId="FollowedHyperlink">
    <w:name w:val="FollowedHyperlink"/>
    <w:basedOn w:val="DefaultParagraphFont"/>
    <w:uiPriority w:val="99"/>
    <w:semiHidden/>
    <w:unhideWhenUsed/>
    <w:rsid w:val="007B3935"/>
    <w:rPr>
      <w:color w:val="954F72" w:themeColor="followedHyperlink"/>
      <w:u w:val="single"/>
    </w:rPr>
  </w:style>
  <w:style w:type="character" w:customStyle="1" w:styleId="UnresolvedMention2">
    <w:name w:val="Unresolved Mention2"/>
    <w:basedOn w:val="DefaultParagraphFont"/>
    <w:uiPriority w:val="99"/>
    <w:rsid w:val="00B6155E"/>
    <w:rPr>
      <w:color w:val="808080"/>
      <w:shd w:val="clear" w:color="auto" w:fill="E6E6E6"/>
    </w:rPr>
  </w:style>
  <w:style w:type="character" w:styleId="Emphasis">
    <w:name w:val="Emphasis"/>
    <w:basedOn w:val="DefaultParagraphFont"/>
    <w:uiPriority w:val="20"/>
    <w:qFormat/>
    <w:rsid w:val="00EC53CB"/>
    <w:rPr>
      <w:i/>
      <w:iCs/>
    </w:rPr>
  </w:style>
  <w:style w:type="table" w:styleId="TableGrid">
    <w:name w:val="Table Grid"/>
    <w:basedOn w:val="TableNormal"/>
    <w:uiPriority w:val="39"/>
    <w:rsid w:val="006E3D7F"/>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4A0D"/>
    <w:rPr>
      <w:sz w:val="16"/>
      <w:szCs w:val="16"/>
    </w:rPr>
  </w:style>
  <w:style w:type="paragraph" w:styleId="CommentText">
    <w:name w:val="annotation text"/>
    <w:basedOn w:val="Normal"/>
    <w:link w:val="CommentTextChar"/>
    <w:uiPriority w:val="99"/>
    <w:semiHidden/>
    <w:unhideWhenUsed/>
    <w:rsid w:val="008B4A0D"/>
    <w:rPr>
      <w:sz w:val="20"/>
      <w:szCs w:val="20"/>
    </w:rPr>
  </w:style>
  <w:style w:type="character" w:customStyle="1" w:styleId="CommentTextChar">
    <w:name w:val="Comment Text Char"/>
    <w:basedOn w:val="DefaultParagraphFont"/>
    <w:link w:val="CommentText"/>
    <w:uiPriority w:val="99"/>
    <w:semiHidden/>
    <w:rsid w:val="008B4A0D"/>
    <w:rPr>
      <w:sz w:val="20"/>
      <w:szCs w:val="20"/>
    </w:rPr>
  </w:style>
  <w:style w:type="paragraph" w:styleId="CommentSubject">
    <w:name w:val="annotation subject"/>
    <w:basedOn w:val="CommentText"/>
    <w:next w:val="CommentText"/>
    <w:link w:val="CommentSubjectChar"/>
    <w:uiPriority w:val="99"/>
    <w:semiHidden/>
    <w:unhideWhenUsed/>
    <w:rsid w:val="008B4A0D"/>
    <w:rPr>
      <w:b/>
      <w:bCs/>
    </w:rPr>
  </w:style>
  <w:style w:type="character" w:customStyle="1" w:styleId="CommentSubjectChar">
    <w:name w:val="Comment Subject Char"/>
    <w:basedOn w:val="CommentTextChar"/>
    <w:link w:val="CommentSubject"/>
    <w:uiPriority w:val="99"/>
    <w:semiHidden/>
    <w:rsid w:val="008B4A0D"/>
    <w:rPr>
      <w:b/>
      <w:bCs/>
      <w:sz w:val="20"/>
      <w:szCs w:val="20"/>
    </w:rPr>
  </w:style>
  <w:style w:type="paragraph" w:styleId="BalloonText">
    <w:name w:val="Balloon Text"/>
    <w:basedOn w:val="Normal"/>
    <w:link w:val="BalloonTextChar"/>
    <w:uiPriority w:val="99"/>
    <w:semiHidden/>
    <w:unhideWhenUsed/>
    <w:rsid w:val="008B4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A0D"/>
    <w:rPr>
      <w:rFonts w:ascii="Segoe UI" w:hAnsi="Segoe UI" w:cs="Segoe UI"/>
      <w:sz w:val="18"/>
      <w:szCs w:val="18"/>
    </w:rPr>
  </w:style>
  <w:style w:type="character" w:customStyle="1" w:styleId="UnresolvedMention">
    <w:name w:val="Unresolved Mention"/>
    <w:basedOn w:val="DefaultParagraphFont"/>
    <w:uiPriority w:val="99"/>
    <w:semiHidden/>
    <w:unhideWhenUsed/>
    <w:rsid w:val="00842584"/>
    <w:rPr>
      <w:color w:val="808080"/>
      <w:shd w:val="clear" w:color="auto" w:fill="E6E6E6"/>
    </w:rPr>
  </w:style>
  <w:style w:type="paragraph" w:styleId="Revision">
    <w:name w:val="Revision"/>
    <w:hidden/>
    <w:uiPriority w:val="99"/>
    <w:semiHidden/>
    <w:rsid w:val="0031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7326">
      <w:bodyDiv w:val="1"/>
      <w:marLeft w:val="0"/>
      <w:marRight w:val="0"/>
      <w:marTop w:val="0"/>
      <w:marBottom w:val="0"/>
      <w:divBdr>
        <w:top w:val="none" w:sz="0" w:space="0" w:color="auto"/>
        <w:left w:val="none" w:sz="0" w:space="0" w:color="auto"/>
        <w:bottom w:val="none" w:sz="0" w:space="0" w:color="auto"/>
        <w:right w:val="none" w:sz="0" w:space="0" w:color="auto"/>
      </w:divBdr>
      <w:divsChild>
        <w:div w:id="1160078600">
          <w:marLeft w:val="0"/>
          <w:marRight w:val="0"/>
          <w:marTop w:val="0"/>
          <w:marBottom w:val="0"/>
          <w:divBdr>
            <w:top w:val="none" w:sz="0" w:space="0" w:color="auto"/>
            <w:left w:val="none" w:sz="0" w:space="0" w:color="auto"/>
            <w:bottom w:val="none" w:sz="0" w:space="0" w:color="auto"/>
            <w:right w:val="none" w:sz="0" w:space="0" w:color="auto"/>
          </w:divBdr>
          <w:divsChild>
            <w:div w:id="1980500551">
              <w:marLeft w:val="0"/>
              <w:marRight w:val="0"/>
              <w:marTop w:val="0"/>
              <w:marBottom w:val="0"/>
              <w:divBdr>
                <w:top w:val="none" w:sz="0" w:space="0" w:color="auto"/>
                <w:left w:val="none" w:sz="0" w:space="0" w:color="auto"/>
                <w:bottom w:val="none" w:sz="0" w:space="0" w:color="auto"/>
                <w:right w:val="none" w:sz="0" w:space="0" w:color="auto"/>
              </w:divBdr>
              <w:divsChild>
                <w:div w:id="18516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5491">
      <w:bodyDiv w:val="1"/>
      <w:marLeft w:val="0"/>
      <w:marRight w:val="0"/>
      <w:marTop w:val="0"/>
      <w:marBottom w:val="0"/>
      <w:divBdr>
        <w:top w:val="none" w:sz="0" w:space="0" w:color="auto"/>
        <w:left w:val="none" w:sz="0" w:space="0" w:color="auto"/>
        <w:bottom w:val="none" w:sz="0" w:space="0" w:color="auto"/>
        <w:right w:val="none" w:sz="0" w:space="0" w:color="auto"/>
      </w:divBdr>
      <w:divsChild>
        <w:div w:id="1566836066">
          <w:marLeft w:val="0"/>
          <w:marRight w:val="0"/>
          <w:marTop w:val="0"/>
          <w:marBottom w:val="0"/>
          <w:divBdr>
            <w:top w:val="none" w:sz="0" w:space="0" w:color="auto"/>
            <w:left w:val="none" w:sz="0" w:space="0" w:color="auto"/>
            <w:bottom w:val="none" w:sz="0" w:space="0" w:color="auto"/>
            <w:right w:val="none" w:sz="0" w:space="0" w:color="auto"/>
          </w:divBdr>
          <w:divsChild>
            <w:div w:id="434522740">
              <w:marLeft w:val="0"/>
              <w:marRight w:val="0"/>
              <w:marTop w:val="0"/>
              <w:marBottom w:val="0"/>
              <w:divBdr>
                <w:top w:val="none" w:sz="0" w:space="0" w:color="auto"/>
                <w:left w:val="none" w:sz="0" w:space="0" w:color="auto"/>
                <w:bottom w:val="none" w:sz="0" w:space="0" w:color="auto"/>
                <w:right w:val="none" w:sz="0" w:space="0" w:color="auto"/>
              </w:divBdr>
              <w:divsChild>
                <w:div w:id="6336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50751">
      <w:bodyDiv w:val="1"/>
      <w:marLeft w:val="0"/>
      <w:marRight w:val="0"/>
      <w:marTop w:val="0"/>
      <w:marBottom w:val="0"/>
      <w:divBdr>
        <w:top w:val="none" w:sz="0" w:space="0" w:color="auto"/>
        <w:left w:val="none" w:sz="0" w:space="0" w:color="auto"/>
        <w:bottom w:val="none" w:sz="0" w:space="0" w:color="auto"/>
        <w:right w:val="none" w:sz="0" w:space="0" w:color="auto"/>
      </w:divBdr>
      <w:divsChild>
        <w:div w:id="1567838427">
          <w:marLeft w:val="0"/>
          <w:marRight w:val="0"/>
          <w:marTop w:val="0"/>
          <w:marBottom w:val="0"/>
          <w:divBdr>
            <w:top w:val="none" w:sz="0" w:space="0" w:color="auto"/>
            <w:left w:val="none" w:sz="0" w:space="0" w:color="auto"/>
            <w:bottom w:val="none" w:sz="0" w:space="0" w:color="auto"/>
            <w:right w:val="none" w:sz="0" w:space="0" w:color="auto"/>
          </w:divBdr>
          <w:divsChild>
            <w:div w:id="2091537923">
              <w:marLeft w:val="0"/>
              <w:marRight w:val="0"/>
              <w:marTop w:val="0"/>
              <w:marBottom w:val="0"/>
              <w:divBdr>
                <w:top w:val="none" w:sz="0" w:space="0" w:color="auto"/>
                <w:left w:val="none" w:sz="0" w:space="0" w:color="auto"/>
                <w:bottom w:val="none" w:sz="0" w:space="0" w:color="auto"/>
                <w:right w:val="none" w:sz="0" w:space="0" w:color="auto"/>
              </w:divBdr>
              <w:divsChild>
                <w:div w:id="6963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8841">
      <w:bodyDiv w:val="1"/>
      <w:marLeft w:val="0"/>
      <w:marRight w:val="0"/>
      <w:marTop w:val="0"/>
      <w:marBottom w:val="0"/>
      <w:divBdr>
        <w:top w:val="none" w:sz="0" w:space="0" w:color="auto"/>
        <w:left w:val="none" w:sz="0" w:space="0" w:color="auto"/>
        <w:bottom w:val="none" w:sz="0" w:space="0" w:color="auto"/>
        <w:right w:val="none" w:sz="0" w:space="0" w:color="auto"/>
      </w:divBdr>
      <w:divsChild>
        <w:div w:id="339888671">
          <w:marLeft w:val="0"/>
          <w:marRight w:val="0"/>
          <w:marTop w:val="0"/>
          <w:marBottom w:val="0"/>
          <w:divBdr>
            <w:top w:val="none" w:sz="0" w:space="0" w:color="auto"/>
            <w:left w:val="none" w:sz="0" w:space="0" w:color="auto"/>
            <w:bottom w:val="none" w:sz="0" w:space="0" w:color="auto"/>
            <w:right w:val="none" w:sz="0" w:space="0" w:color="auto"/>
          </w:divBdr>
          <w:divsChild>
            <w:div w:id="1684357071">
              <w:marLeft w:val="0"/>
              <w:marRight w:val="0"/>
              <w:marTop w:val="0"/>
              <w:marBottom w:val="0"/>
              <w:divBdr>
                <w:top w:val="none" w:sz="0" w:space="0" w:color="auto"/>
                <w:left w:val="none" w:sz="0" w:space="0" w:color="auto"/>
                <w:bottom w:val="none" w:sz="0" w:space="0" w:color="auto"/>
                <w:right w:val="none" w:sz="0" w:space="0" w:color="auto"/>
              </w:divBdr>
              <w:divsChild>
                <w:div w:id="12785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3074">
      <w:bodyDiv w:val="1"/>
      <w:marLeft w:val="0"/>
      <w:marRight w:val="0"/>
      <w:marTop w:val="0"/>
      <w:marBottom w:val="0"/>
      <w:divBdr>
        <w:top w:val="none" w:sz="0" w:space="0" w:color="auto"/>
        <w:left w:val="none" w:sz="0" w:space="0" w:color="auto"/>
        <w:bottom w:val="none" w:sz="0" w:space="0" w:color="auto"/>
        <w:right w:val="none" w:sz="0" w:space="0" w:color="auto"/>
      </w:divBdr>
    </w:div>
    <w:div w:id="805858504">
      <w:bodyDiv w:val="1"/>
      <w:marLeft w:val="0"/>
      <w:marRight w:val="0"/>
      <w:marTop w:val="0"/>
      <w:marBottom w:val="0"/>
      <w:divBdr>
        <w:top w:val="none" w:sz="0" w:space="0" w:color="auto"/>
        <w:left w:val="none" w:sz="0" w:space="0" w:color="auto"/>
        <w:bottom w:val="none" w:sz="0" w:space="0" w:color="auto"/>
        <w:right w:val="none" w:sz="0" w:space="0" w:color="auto"/>
      </w:divBdr>
      <w:divsChild>
        <w:div w:id="515538340">
          <w:marLeft w:val="0"/>
          <w:marRight w:val="0"/>
          <w:marTop w:val="0"/>
          <w:marBottom w:val="0"/>
          <w:divBdr>
            <w:top w:val="none" w:sz="0" w:space="0" w:color="auto"/>
            <w:left w:val="none" w:sz="0" w:space="0" w:color="auto"/>
            <w:bottom w:val="none" w:sz="0" w:space="0" w:color="auto"/>
            <w:right w:val="none" w:sz="0" w:space="0" w:color="auto"/>
          </w:divBdr>
          <w:divsChild>
            <w:div w:id="30427265">
              <w:marLeft w:val="0"/>
              <w:marRight w:val="0"/>
              <w:marTop w:val="0"/>
              <w:marBottom w:val="0"/>
              <w:divBdr>
                <w:top w:val="none" w:sz="0" w:space="0" w:color="auto"/>
                <w:left w:val="none" w:sz="0" w:space="0" w:color="auto"/>
                <w:bottom w:val="none" w:sz="0" w:space="0" w:color="auto"/>
                <w:right w:val="none" w:sz="0" w:space="0" w:color="auto"/>
              </w:divBdr>
              <w:divsChild>
                <w:div w:id="4607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20459">
      <w:bodyDiv w:val="1"/>
      <w:marLeft w:val="0"/>
      <w:marRight w:val="0"/>
      <w:marTop w:val="0"/>
      <w:marBottom w:val="0"/>
      <w:divBdr>
        <w:top w:val="none" w:sz="0" w:space="0" w:color="auto"/>
        <w:left w:val="none" w:sz="0" w:space="0" w:color="auto"/>
        <w:bottom w:val="none" w:sz="0" w:space="0" w:color="auto"/>
        <w:right w:val="none" w:sz="0" w:space="0" w:color="auto"/>
      </w:divBdr>
    </w:div>
    <w:div w:id="1008600577">
      <w:bodyDiv w:val="1"/>
      <w:marLeft w:val="0"/>
      <w:marRight w:val="0"/>
      <w:marTop w:val="0"/>
      <w:marBottom w:val="0"/>
      <w:divBdr>
        <w:top w:val="none" w:sz="0" w:space="0" w:color="auto"/>
        <w:left w:val="none" w:sz="0" w:space="0" w:color="auto"/>
        <w:bottom w:val="none" w:sz="0" w:space="0" w:color="auto"/>
        <w:right w:val="none" w:sz="0" w:space="0" w:color="auto"/>
      </w:divBdr>
      <w:divsChild>
        <w:div w:id="576593043">
          <w:marLeft w:val="0"/>
          <w:marRight w:val="0"/>
          <w:marTop w:val="0"/>
          <w:marBottom w:val="0"/>
          <w:divBdr>
            <w:top w:val="none" w:sz="0" w:space="0" w:color="auto"/>
            <w:left w:val="none" w:sz="0" w:space="0" w:color="auto"/>
            <w:bottom w:val="none" w:sz="0" w:space="0" w:color="auto"/>
            <w:right w:val="none" w:sz="0" w:space="0" w:color="auto"/>
          </w:divBdr>
          <w:divsChild>
            <w:div w:id="2141605841">
              <w:marLeft w:val="0"/>
              <w:marRight w:val="0"/>
              <w:marTop w:val="0"/>
              <w:marBottom w:val="0"/>
              <w:divBdr>
                <w:top w:val="none" w:sz="0" w:space="0" w:color="auto"/>
                <w:left w:val="none" w:sz="0" w:space="0" w:color="auto"/>
                <w:bottom w:val="none" w:sz="0" w:space="0" w:color="auto"/>
                <w:right w:val="none" w:sz="0" w:space="0" w:color="auto"/>
              </w:divBdr>
              <w:divsChild>
                <w:div w:id="6981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6748">
      <w:bodyDiv w:val="1"/>
      <w:marLeft w:val="0"/>
      <w:marRight w:val="0"/>
      <w:marTop w:val="0"/>
      <w:marBottom w:val="0"/>
      <w:divBdr>
        <w:top w:val="none" w:sz="0" w:space="0" w:color="auto"/>
        <w:left w:val="none" w:sz="0" w:space="0" w:color="auto"/>
        <w:bottom w:val="none" w:sz="0" w:space="0" w:color="auto"/>
        <w:right w:val="none" w:sz="0" w:space="0" w:color="auto"/>
      </w:divBdr>
      <w:divsChild>
        <w:div w:id="1640187135">
          <w:marLeft w:val="0"/>
          <w:marRight w:val="0"/>
          <w:marTop w:val="0"/>
          <w:marBottom w:val="0"/>
          <w:divBdr>
            <w:top w:val="none" w:sz="0" w:space="0" w:color="auto"/>
            <w:left w:val="none" w:sz="0" w:space="0" w:color="auto"/>
            <w:bottom w:val="none" w:sz="0" w:space="0" w:color="auto"/>
            <w:right w:val="none" w:sz="0" w:space="0" w:color="auto"/>
          </w:divBdr>
        </w:div>
        <w:div w:id="1182204463">
          <w:marLeft w:val="0"/>
          <w:marRight w:val="0"/>
          <w:marTop w:val="0"/>
          <w:marBottom w:val="0"/>
          <w:divBdr>
            <w:top w:val="none" w:sz="0" w:space="0" w:color="auto"/>
            <w:left w:val="none" w:sz="0" w:space="0" w:color="auto"/>
            <w:bottom w:val="none" w:sz="0" w:space="0" w:color="auto"/>
            <w:right w:val="none" w:sz="0" w:space="0" w:color="auto"/>
          </w:divBdr>
          <w:divsChild>
            <w:div w:id="1848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10425">
      <w:bodyDiv w:val="1"/>
      <w:marLeft w:val="0"/>
      <w:marRight w:val="0"/>
      <w:marTop w:val="0"/>
      <w:marBottom w:val="0"/>
      <w:divBdr>
        <w:top w:val="none" w:sz="0" w:space="0" w:color="auto"/>
        <w:left w:val="none" w:sz="0" w:space="0" w:color="auto"/>
        <w:bottom w:val="none" w:sz="0" w:space="0" w:color="auto"/>
        <w:right w:val="none" w:sz="0" w:space="0" w:color="auto"/>
      </w:divBdr>
    </w:div>
    <w:div w:id="1708870974">
      <w:bodyDiv w:val="1"/>
      <w:marLeft w:val="0"/>
      <w:marRight w:val="0"/>
      <w:marTop w:val="0"/>
      <w:marBottom w:val="0"/>
      <w:divBdr>
        <w:top w:val="none" w:sz="0" w:space="0" w:color="auto"/>
        <w:left w:val="none" w:sz="0" w:space="0" w:color="auto"/>
        <w:bottom w:val="none" w:sz="0" w:space="0" w:color="auto"/>
        <w:right w:val="none" w:sz="0" w:space="0" w:color="auto"/>
      </w:divBdr>
      <w:divsChild>
        <w:div w:id="1016929570">
          <w:marLeft w:val="0"/>
          <w:marRight w:val="0"/>
          <w:marTop w:val="0"/>
          <w:marBottom w:val="0"/>
          <w:divBdr>
            <w:top w:val="none" w:sz="0" w:space="0" w:color="auto"/>
            <w:left w:val="none" w:sz="0" w:space="0" w:color="auto"/>
            <w:bottom w:val="none" w:sz="0" w:space="0" w:color="auto"/>
            <w:right w:val="none" w:sz="0" w:space="0" w:color="auto"/>
          </w:divBdr>
        </w:div>
        <w:div w:id="856652908">
          <w:marLeft w:val="0"/>
          <w:marRight w:val="0"/>
          <w:marTop w:val="0"/>
          <w:marBottom w:val="0"/>
          <w:divBdr>
            <w:top w:val="none" w:sz="0" w:space="0" w:color="auto"/>
            <w:left w:val="none" w:sz="0" w:space="0" w:color="auto"/>
            <w:bottom w:val="none" w:sz="0" w:space="0" w:color="auto"/>
            <w:right w:val="none" w:sz="0" w:space="0" w:color="auto"/>
          </w:divBdr>
        </w:div>
        <w:div w:id="1516726105">
          <w:marLeft w:val="0"/>
          <w:marRight w:val="0"/>
          <w:marTop w:val="0"/>
          <w:marBottom w:val="0"/>
          <w:divBdr>
            <w:top w:val="none" w:sz="0" w:space="0" w:color="auto"/>
            <w:left w:val="none" w:sz="0" w:space="0" w:color="auto"/>
            <w:bottom w:val="none" w:sz="0" w:space="0" w:color="auto"/>
            <w:right w:val="none" w:sz="0" w:space="0" w:color="auto"/>
          </w:divBdr>
        </w:div>
        <w:div w:id="1781299161">
          <w:marLeft w:val="0"/>
          <w:marRight w:val="0"/>
          <w:marTop w:val="0"/>
          <w:marBottom w:val="0"/>
          <w:divBdr>
            <w:top w:val="none" w:sz="0" w:space="0" w:color="auto"/>
            <w:left w:val="none" w:sz="0" w:space="0" w:color="auto"/>
            <w:bottom w:val="none" w:sz="0" w:space="0" w:color="auto"/>
            <w:right w:val="none" w:sz="0" w:space="0" w:color="auto"/>
          </w:divBdr>
        </w:div>
        <w:div w:id="1826162498">
          <w:marLeft w:val="0"/>
          <w:marRight w:val="0"/>
          <w:marTop w:val="0"/>
          <w:marBottom w:val="0"/>
          <w:divBdr>
            <w:top w:val="none" w:sz="0" w:space="0" w:color="auto"/>
            <w:left w:val="none" w:sz="0" w:space="0" w:color="auto"/>
            <w:bottom w:val="none" w:sz="0" w:space="0" w:color="auto"/>
            <w:right w:val="none" w:sz="0" w:space="0" w:color="auto"/>
          </w:divBdr>
        </w:div>
        <w:div w:id="1790541640">
          <w:marLeft w:val="0"/>
          <w:marRight w:val="0"/>
          <w:marTop w:val="0"/>
          <w:marBottom w:val="0"/>
          <w:divBdr>
            <w:top w:val="none" w:sz="0" w:space="0" w:color="auto"/>
            <w:left w:val="none" w:sz="0" w:space="0" w:color="auto"/>
            <w:bottom w:val="none" w:sz="0" w:space="0" w:color="auto"/>
            <w:right w:val="none" w:sz="0" w:space="0" w:color="auto"/>
          </w:divBdr>
        </w:div>
        <w:div w:id="712736085">
          <w:marLeft w:val="0"/>
          <w:marRight w:val="0"/>
          <w:marTop w:val="0"/>
          <w:marBottom w:val="0"/>
          <w:divBdr>
            <w:top w:val="none" w:sz="0" w:space="0" w:color="auto"/>
            <w:left w:val="none" w:sz="0" w:space="0" w:color="auto"/>
            <w:bottom w:val="none" w:sz="0" w:space="0" w:color="auto"/>
            <w:right w:val="none" w:sz="0" w:space="0" w:color="auto"/>
          </w:divBdr>
        </w:div>
        <w:div w:id="1249390867">
          <w:marLeft w:val="0"/>
          <w:marRight w:val="0"/>
          <w:marTop w:val="0"/>
          <w:marBottom w:val="0"/>
          <w:divBdr>
            <w:top w:val="none" w:sz="0" w:space="0" w:color="auto"/>
            <w:left w:val="none" w:sz="0" w:space="0" w:color="auto"/>
            <w:bottom w:val="none" w:sz="0" w:space="0" w:color="auto"/>
            <w:right w:val="none" w:sz="0" w:space="0" w:color="auto"/>
          </w:divBdr>
        </w:div>
        <w:div w:id="1133788471">
          <w:marLeft w:val="0"/>
          <w:marRight w:val="0"/>
          <w:marTop w:val="0"/>
          <w:marBottom w:val="0"/>
          <w:divBdr>
            <w:top w:val="none" w:sz="0" w:space="0" w:color="auto"/>
            <w:left w:val="none" w:sz="0" w:space="0" w:color="auto"/>
            <w:bottom w:val="none" w:sz="0" w:space="0" w:color="auto"/>
            <w:right w:val="none" w:sz="0" w:space="0" w:color="auto"/>
          </w:divBdr>
        </w:div>
        <w:div w:id="63916086">
          <w:marLeft w:val="0"/>
          <w:marRight w:val="0"/>
          <w:marTop w:val="0"/>
          <w:marBottom w:val="0"/>
          <w:divBdr>
            <w:top w:val="none" w:sz="0" w:space="0" w:color="auto"/>
            <w:left w:val="none" w:sz="0" w:space="0" w:color="auto"/>
            <w:bottom w:val="none" w:sz="0" w:space="0" w:color="auto"/>
            <w:right w:val="none" w:sz="0" w:space="0" w:color="auto"/>
          </w:divBdr>
        </w:div>
        <w:div w:id="1454786115">
          <w:marLeft w:val="0"/>
          <w:marRight w:val="0"/>
          <w:marTop w:val="0"/>
          <w:marBottom w:val="0"/>
          <w:divBdr>
            <w:top w:val="none" w:sz="0" w:space="0" w:color="auto"/>
            <w:left w:val="none" w:sz="0" w:space="0" w:color="auto"/>
            <w:bottom w:val="none" w:sz="0" w:space="0" w:color="auto"/>
            <w:right w:val="none" w:sz="0" w:space="0" w:color="auto"/>
          </w:divBdr>
        </w:div>
        <w:div w:id="590621674">
          <w:marLeft w:val="0"/>
          <w:marRight w:val="0"/>
          <w:marTop w:val="0"/>
          <w:marBottom w:val="0"/>
          <w:divBdr>
            <w:top w:val="none" w:sz="0" w:space="0" w:color="auto"/>
            <w:left w:val="none" w:sz="0" w:space="0" w:color="auto"/>
            <w:bottom w:val="none" w:sz="0" w:space="0" w:color="auto"/>
            <w:right w:val="none" w:sz="0" w:space="0" w:color="auto"/>
          </w:divBdr>
        </w:div>
        <w:div w:id="1249729260">
          <w:marLeft w:val="0"/>
          <w:marRight w:val="0"/>
          <w:marTop w:val="0"/>
          <w:marBottom w:val="0"/>
          <w:divBdr>
            <w:top w:val="none" w:sz="0" w:space="0" w:color="auto"/>
            <w:left w:val="none" w:sz="0" w:space="0" w:color="auto"/>
            <w:bottom w:val="none" w:sz="0" w:space="0" w:color="auto"/>
            <w:right w:val="none" w:sz="0" w:space="0" w:color="auto"/>
          </w:divBdr>
        </w:div>
        <w:div w:id="1157116140">
          <w:marLeft w:val="0"/>
          <w:marRight w:val="0"/>
          <w:marTop w:val="0"/>
          <w:marBottom w:val="0"/>
          <w:divBdr>
            <w:top w:val="none" w:sz="0" w:space="0" w:color="auto"/>
            <w:left w:val="none" w:sz="0" w:space="0" w:color="auto"/>
            <w:bottom w:val="none" w:sz="0" w:space="0" w:color="auto"/>
            <w:right w:val="none" w:sz="0" w:space="0" w:color="auto"/>
          </w:divBdr>
        </w:div>
        <w:div w:id="1842772847">
          <w:marLeft w:val="0"/>
          <w:marRight w:val="0"/>
          <w:marTop w:val="0"/>
          <w:marBottom w:val="0"/>
          <w:divBdr>
            <w:top w:val="none" w:sz="0" w:space="0" w:color="auto"/>
            <w:left w:val="none" w:sz="0" w:space="0" w:color="auto"/>
            <w:bottom w:val="none" w:sz="0" w:space="0" w:color="auto"/>
            <w:right w:val="none" w:sz="0" w:space="0" w:color="auto"/>
          </w:divBdr>
        </w:div>
        <w:div w:id="64957921">
          <w:marLeft w:val="0"/>
          <w:marRight w:val="0"/>
          <w:marTop w:val="0"/>
          <w:marBottom w:val="0"/>
          <w:divBdr>
            <w:top w:val="none" w:sz="0" w:space="0" w:color="auto"/>
            <w:left w:val="none" w:sz="0" w:space="0" w:color="auto"/>
            <w:bottom w:val="none" w:sz="0" w:space="0" w:color="auto"/>
            <w:right w:val="none" w:sz="0" w:space="0" w:color="auto"/>
          </w:divBdr>
        </w:div>
        <w:div w:id="570388727">
          <w:marLeft w:val="0"/>
          <w:marRight w:val="0"/>
          <w:marTop w:val="0"/>
          <w:marBottom w:val="0"/>
          <w:divBdr>
            <w:top w:val="none" w:sz="0" w:space="0" w:color="auto"/>
            <w:left w:val="none" w:sz="0" w:space="0" w:color="auto"/>
            <w:bottom w:val="none" w:sz="0" w:space="0" w:color="auto"/>
            <w:right w:val="none" w:sz="0" w:space="0" w:color="auto"/>
          </w:divBdr>
        </w:div>
        <w:div w:id="1331982294">
          <w:marLeft w:val="0"/>
          <w:marRight w:val="0"/>
          <w:marTop w:val="0"/>
          <w:marBottom w:val="0"/>
          <w:divBdr>
            <w:top w:val="none" w:sz="0" w:space="0" w:color="auto"/>
            <w:left w:val="none" w:sz="0" w:space="0" w:color="auto"/>
            <w:bottom w:val="none" w:sz="0" w:space="0" w:color="auto"/>
            <w:right w:val="none" w:sz="0" w:space="0" w:color="auto"/>
          </w:divBdr>
        </w:div>
        <w:div w:id="188229093">
          <w:marLeft w:val="0"/>
          <w:marRight w:val="0"/>
          <w:marTop w:val="0"/>
          <w:marBottom w:val="0"/>
          <w:divBdr>
            <w:top w:val="none" w:sz="0" w:space="0" w:color="auto"/>
            <w:left w:val="none" w:sz="0" w:space="0" w:color="auto"/>
            <w:bottom w:val="none" w:sz="0" w:space="0" w:color="auto"/>
            <w:right w:val="none" w:sz="0" w:space="0" w:color="auto"/>
          </w:divBdr>
        </w:div>
        <w:div w:id="1194271885">
          <w:marLeft w:val="0"/>
          <w:marRight w:val="0"/>
          <w:marTop w:val="0"/>
          <w:marBottom w:val="0"/>
          <w:divBdr>
            <w:top w:val="none" w:sz="0" w:space="0" w:color="auto"/>
            <w:left w:val="none" w:sz="0" w:space="0" w:color="auto"/>
            <w:bottom w:val="none" w:sz="0" w:space="0" w:color="auto"/>
            <w:right w:val="none" w:sz="0" w:space="0" w:color="auto"/>
          </w:divBdr>
        </w:div>
        <w:div w:id="1101996837">
          <w:marLeft w:val="0"/>
          <w:marRight w:val="0"/>
          <w:marTop w:val="0"/>
          <w:marBottom w:val="0"/>
          <w:divBdr>
            <w:top w:val="none" w:sz="0" w:space="0" w:color="auto"/>
            <w:left w:val="none" w:sz="0" w:space="0" w:color="auto"/>
            <w:bottom w:val="none" w:sz="0" w:space="0" w:color="auto"/>
            <w:right w:val="none" w:sz="0" w:space="0" w:color="auto"/>
          </w:divBdr>
        </w:div>
        <w:div w:id="1151824880">
          <w:marLeft w:val="0"/>
          <w:marRight w:val="0"/>
          <w:marTop w:val="0"/>
          <w:marBottom w:val="0"/>
          <w:divBdr>
            <w:top w:val="none" w:sz="0" w:space="0" w:color="auto"/>
            <w:left w:val="none" w:sz="0" w:space="0" w:color="auto"/>
            <w:bottom w:val="none" w:sz="0" w:space="0" w:color="auto"/>
            <w:right w:val="none" w:sz="0" w:space="0" w:color="auto"/>
          </w:divBdr>
        </w:div>
        <w:div w:id="1485857916">
          <w:marLeft w:val="0"/>
          <w:marRight w:val="0"/>
          <w:marTop w:val="0"/>
          <w:marBottom w:val="0"/>
          <w:divBdr>
            <w:top w:val="none" w:sz="0" w:space="0" w:color="auto"/>
            <w:left w:val="none" w:sz="0" w:space="0" w:color="auto"/>
            <w:bottom w:val="none" w:sz="0" w:space="0" w:color="auto"/>
            <w:right w:val="none" w:sz="0" w:space="0" w:color="auto"/>
          </w:divBdr>
        </w:div>
        <w:div w:id="284428926">
          <w:marLeft w:val="0"/>
          <w:marRight w:val="0"/>
          <w:marTop w:val="0"/>
          <w:marBottom w:val="0"/>
          <w:divBdr>
            <w:top w:val="none" w:sz="0" w:space="0" w:color="auto"/>
            <w:left w:val="none" w:sz="0" w:space="0" w:color="auto"/>
            <w:bottom w:val="none" w:sz="0" w:space="0" w:color="auto"/>
            <w:right w:val="none" w:sz="0" w:space="0" w:color="auto"/>
          </w:divBdr>
        </w:div>
        <w:div w:id="80418585">
          <w:marLeft w:val="0"/>
          <w:marRight w:val="0"/>
          <w:marTop w:val="0"/>
          <w:marBottom w:val="0"/>
          <w:divBdr>
            <w:top w:val="none" w:sz="0" w:space="0" w:color="auto"/>
            <w:left w:val="none" w:sz="0" w:space="0" w:color="auto"/>
            <w:bottom w:val="none" w:sz="0" w:space="0" w:color="auto"/>
            <w:right w:val="none" w:sz="0" w:space="0" w:color="auto"/>
          </w:divBdr>
        </w:div>
        <w:div w:id="728843378">
          <w:marLeft w:val="0"/>
          <w:marRight w:val="0"/>
          <w:marTop w:val="0"/>
          <w:marBottom w:val="0"/>
          <w:divBdr>
            <w:top w:val="none" w:sz="0" w:space="0" w:color="auto"/>
            <w:left w:val="none" w:sz="0" w:space="0" w:color="auto"/>
            <w:bottom w:val="none" w:sz="0" w:space="0" w:color="auto"/>
            <w:right w:val="none" w:sz="0" w:space="0" w:color="auto"/>
          </w:divBdr>
        </w:div>
        <w:div w:id="1493719307">
          <w:marLeft w:val="0"/>
          <w:marRight w:val="0"/>
          <w:marTop w:val="0"/>
          <w:marBottom w:val="0"/>
          <w:divBdr>
            <w:top w:val="none" w:sz="0" w:space="0" w:color="auto"/>
            <w:left w:val="none" w:sz="0" w:space="0" w:color="auto"/>
            <w:bottom w:val="none" w:sz="0" w:space="0" w:color="auto"/>
            <w:right w:val="none" w:sz="0" w:space="0" w:color="auto"/>
          </w:divBdr>
        </w:div>
        <w:div w:id="397436322">
          <w:marLeft w:val="0"/>
          <w:marRight w:val="0"/>
          <w:marTop w:val="0"/>
          <w:marBottom w:val="0"/>
          <w:divBdr>
            <w:top w:val="none" w:sz="0" w:space="0" w:color="auto"/>
            <w:left w:val="none" w:sz="0" w:space="0" w:color="auto"/>
            <w:bottom w:val="none" w:sz="0" w:space="0" w:color="auto"/>
            <w:right w:val="none" w:sz="0" w:space="0" w:color="auto"/>
          </w:divBdr>
        </w:div>
        <w:div w:id="713503363">
          <w:marLeft w:val="0"/>
          <w:marRight w:val="0"/>
          <w:marTop w:val="0"/>
          <w:marBottom w:val="0"/>
          <w:divBdr>
            <w:top w:val="none" w:sz="0" w:space="0" w:color="auto"/>
            <w:left w:val="none" w:sz="0" w:space="0" w:color="auto"/>
            <w:bottom w:val="none" w:sz="0" w:space="0" w:color="auto"/>
            <w:right w:val="none" w:sz="0" w:space="0" w:color="auto"/>
          </w:divBdr>
        </w:div>
      </w:divsChild>
    </w:div>
    <w:div w:id="1719430354">
      <w:bodyDiv w:val="1"/>
      <w:marLeft w:val="0"/>
      <w:marRight w:val="0"/>
      <w:marTop w:val="0"/>
      <w:marBottom w:val="0"/>
      <w:divBdr>
        <w:top w:val="none" w:sz="0" w:space="0" w:color="auto"/>
        <w:left w:val="none" w:sz="0" w:space="0" w:color="auto"/>
        <w:bottom w:val="none" w:sz="0" w:space="0" w:color="auto"/>
        <w:right w:val="none" w:sz="0" w:space="0" w:color="auto"/>
      </w:divBdr>
      <w:divsChild>
        <w:div w:id="1533572741">
          <w:marLeft w:val="0"/>
          <w:marRight w:val="0"/>
          <w:marTop w:val="0"/>
          <w:marBottom w:val="0"/>
          <w:divBdr>
            <w:top w:val="none" w:sz="0" w:space="0" w:color="auto"/>
            <w:left w:val="none" w:sz="0" w:space="0" w:color="auto"/>
            <w:bottom w:val="none" w:sz="0" w:space="0" w:color="auto"/>
            <w:right w:val="none" w:sz="0" w:space="0" w:color="auto"/>
          </w:divBdr>
          <w:divsChild>
            <w:div w:id="621575372">
              <w:marLeft w:val="0"/>
              <w:marRight w:val="0"/>
              <w:marTop w:val="0"/>
              <w:marBottom w:val="0"/>
              <w:divBdr>
                <w:top w:val="none" w:sz="0" w:space="0" w:color="auto"/>
                <w:left w:val="none" w:sz="0" w:space="0" w:color="auto"/>
                <w:bottom w:val="none" w:sz="0" w:space="0" w:color="auto"/>
                <w:right w:val="none" w:sz="0" w:space="0" w:color="auto"/>
              </w:divBdr>
              <w:divsChild>
                <w:div w:id="14543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3500">
      <w:bodyDiv w:val="1"/>
      <w:marLeft w:val="0"/>
      <w:marRight w:val="0"/>
      <w:marTop w:val="0"/>
      <w:marBottom w:val="0"/>
      <w:divBdr>
        <w:top w:val="none" w:sz="0" w:space="0" w:color="auto"/>
        <w:left w:val="none" w:sz="0" w:space="0" w:color="auto"/>
        <w:bottom w:val="none" w:sz="0" w:space="0" w:color="auto"/>
        <w:right w:val="none" w:sz="0" w:space="0" w:color="auto"/>
      </w:divBdr>
      <w:divsChild>
        <w:div w:id="1765998938">
          <w:marLeft w:val="0"/>
          <w:marRight w:val="0"/>
          <w:marTop w:val="0"/>
          <w:marBottom w:val="0"/>
          <w:divBdr>
            <w:top w:val="none" w:sz="0" w:space="0" w:color="auto"/>
            <w:left w:val="none" w:sz="0" w:space="0" w:color="auto"/>
            <w:bottom w:val="none" w:sz="0" w:space="0" w:color="auto"/>
            <w:right w:val="none" w:sz="0" w:space="0" w:color="auto"/>
          </w:divBdr>
          <w:divsChild>
            <w:div w:id="826938105">
              <w:marLeft w:val="0"/>
              <w:marRight w:val="0"/>
              <w:marTop w:val="0"/>
              <w:marBottom w:val="0"/>
              <w:divBdr>
                <w:top w:val="none" w:sz="0" w:space="0" w:color="auto"/>
                <w:left w:val="none" w:sz="0" w:space="0" w:color="auto"/>
                <w:bottom w:val="none" w:sz="0" w:space="0" w:color="auto"/>
                <w:right w:val="none" w:sz="0" w:space="0" w:color="auto"/>
              </w:divBdr>
              <w:divsChild>
                <w:div w:id="17222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7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Documents/Countries/NHRI/ChartStatusNHRIs.pdf" TargetMode="External"/><Relationship Id="rId18" Type="http://schemas.openxmlformats.org/officeDocument/2006/relationships/hyperlink" Target="https://government.ae/ar-AE/participate" TargetMode="External"/><Relationship Id="rId26" Type="http://schemas.openxmlformats.org/officeDocument/2006/relationships/hyperlink" Target="http://www.lasportal.org/ar/sectors/dep/HumanRightsDep/Pages/CommitteeSuperVisor.aspx" TargetMode="External"/><Relationship Id="rId21" Type="http://schemas.openxmlformats.org/officeDocument/2006/relationships/hyperlink" Target="http://portal.www.gov.qa/wps/portal" TargetMode="External"/><Relationship Id="rId34" Type="http://schemas.openxmlformats.org/officeDocument/2006/relationships/hyperlink" Target="http://www.oic-iphrc.org/ar/legal/" TargetMode="External"/><Relationship Id="rId7" Type="http://schemas.openxmlformats.org/officeDocument/2006/relationships/hyperlink" Target="http://www.annd.org/arabic/itemId.php?itemId=540" TargetMode="External"/><Relationship Id="rId12" Type="http://schemas.openxmlformats.org/officeDocument/2006/relationships/hyperlink" Target="https://rsf.org/en/ranking" TargetMode="External"/><Relationship Id="rId17" Type="http://schemas.openxmlformats.org/officeDocument/2006/relationships/hyperlink" Target="http://www.hrpub.org/download/201307/wjcat.2013.010103.pdf" TargetMode="External"/><Relationship Id="rId25" Type="http://schemas.openxmlformats.org/officeDocument/2006/relationships/hyperlink" Target="http://www.lasportal.org/ar/Sectors/Dep/Pages/default.aspx?RID=62&amp;SID=12" TargetMode="External"/><Relationship Id="rId33" Type="http://schemas.openxmlformats.org/officeDocument/2006/relationships/hyperlink" Target="http://www.oic-iphrc.org/ar/about/" TargetMode="External"/><Relationship Id="rId2" Type="http://schemas.openxmlformats.org/officeDocument/2006/relationships/hyperlink" Target="https://constituteproject.org" TargetMode="External"/><Relationship Id="rId16" Type="http://schemas.openxmlformats.org/officeDocument/2006/relationships/hyperlink" Target="https://www.cisco.com/c/dam/en_us/about/ac79/docs/ps/Web_2-Mid-East-Governance_IBSG.pdf" TargetMode="External"/><Relationship Id="rId20" Type="http://schemas.openxmlformats.org/officeDocument/2006/relationships/hyperlink" Target="http://www.e-gov.gov.lb/Cultures/en-us/aboutEgov/EParticipation/Pages/Main.aspx" TargetMode="External"/><Relationship Id="rId29" Type="http://schemas.openxmlformats.org/officeDocument/2006/relationships/hyperlink" Target="http://www.lasportal.org/ar/humanrights/Committee/Pages/CommitteePublications.aspx" TargetMode="External"/><Relationship Id="rId1" Type="http://schemas.openxmlformats.org/officeDocument/2006/relationships/hyperlink" Target="https://freedomhouse.org/report/freedom-world/freedom-world-2018" TargetMode="External"/><Relationship Id="rId6" Type="http://schemas.openxmlformats.org/officeDocument/2006/relationships/hyperlink" Target="https://monitor.civicus.org" TargetMode="External"/><Relationship Id="rId11" Type="http://schemas.openxmlformats.org/officeDocument/2006/relationships/hyperlink" Target="http://www.gc4hr.org/news/view/1769" TargetMode="External"/><Relationship Id="rId24" Type="http://schemas.openxmlformats.org/officeDocument/2006/relationships/hyperlink" Target="https://www.e.gov.kw/sites/kgoArabic/Pages/Business/InfoSubPages/LawsAndRegulations.aspx" TargetMode="External"/><Relationship Id="rId32" Type="http://schemas.openxmlformats.org/officeDocument/2006/relationships/hyperlink" Target="http://www.lasportal.org/ar/sectors/dep/Pages/DepVersions.aspx?RID=22&amp;SID=6" TargetMode="External"/><Relationship Id="rId37" Type="http://schemas.openxmlformats.org/officeDocument/2006/relationships/hyperlink" Target="https://www.ohchr.org/_layouts/15/WopiFrame.aspx?sourcedoc=/Documents/HRBodies/TB/HRChart.xls&amp;action=default&amp;DefaultItemOpen=1" TargetMode="External"/><Relationship Id="rId5" Type="http://schemas.openxmlformats.org/officeDocument/2006/relationships/hyperlink" Target="http://arabcenterdc.org/policy_analyses/human-rights-in-the-constitution-a-survey-of-the-arab-uprisings/" TargetMode="External"/><Relationship Id="rId15" Type="http://schemas.openxmlformats.org/officeDocument/2006/relationships/hyperlink" Target="https://www.oecd.org/mena/governance/women-in-public-life-mena-brochure.pdf" TargetMode="External"/><Relationship Id="rId23" Type="http://schemas.openxmlformats.org/officeDocument/2006/relationships/hyperlink" Target="http://www.data.gov.bh/ar/" TargetMode="External"/><Relationship Id="rId28" Type="http://schemas.openxmlformats.org/officeDocument/2006/relationships/hyperlink" Target="http://www.lasportal.org/ar/sectors/dep/HumanRightsDep/Pages/Mechanisms.aspx" TargetMode="External"/><Relationship Id="rId36" Type="http://schemas.openxmlformats.org/officeDocument/2006/relationships/hyperlink" Target="http://www.arabipu.org/upload/OrganUnion/2932385847.pdf" TargetMode="External"/><Relationship Id="rId10" Type="http://schemas.openxmlformats.org/officeDocument/2006/relationships/hyperlink" Target="http://www.gc4hr.org/report/view/39" TargetMode="External"/><Relationship Id="rId19" Type="http://schemas.openxmlformats.org/officeDocument/2006/relationships/hyperlink" Target="http://www.oman.om/wps/portal/index/interact/shurkum/!ut/p/a1/hc6xDsIgAATQb_ELOKCh6UiLtZQ2REFtWQyTIdHqYPx-q-mq3nbJu-RIIAMJU3ymc3yk2xQv7x7EyW6poI2FsVXHIXd5qZwHXeeYwTgDfInEv_2RhA9xrSmdzhhs7Si01E1VSc_oXiyAYwPYQvfG9xKMH-q26ARXKlvAjw_364Ck5eoF05iitg!!/dl5/d5/L0lDU1EvUU5RSy80SlNFL2Fy/" TargetMode="External"/><Relationship Id="rId31" Type="http://schemas.openxmlformats.org/officeDocument/2006/relationships/hyperlink" Target="http://www.lasportal.org/ar/election/Pages/default.aspx" TargetMode="External"/><Relationship Id="rId4" Type="http://schemas.openxmlformats.org/officeDocument/2006/relationships/hyperlink" Target="http://archive.ipu.org/wmn-e/world.htm" TargetMode="External"/><Relationship Id="rId9" Type="http://schemas.openxmlformats.org/officeDocument/2006/relationships/hyperlink" Target="http://www.icnl.org/research/monitor/saudiarabia.html" TargetMode="External"/><Relationship Id="rId14" Type="http://schemas.openxmlformats.org/officeDocument/2006/relationships/hyperlink" Target="https://www.unescwa.org/ar/publications/%D8%A7%D9%84%D9%85%D8%B1%D8%A3%D8%A9-%D8%A7%D9%84%D8%A3%D9%85%D9%86-%D8%A7%D9%84%D8%B3%D9%84%D8%A7%D9%85-%D8%A7%D9%84%D9%81%D8%AC%D9%88%D8%A7%D8%AA-%D8%A7%D9%84%D8%AA%D8%B4%D8%B1%D9%8A%D8%B9%D9%8A%D8%A9-%D8%A7%D9%84%D9%82%D8%B1%D8%A7%D8%B1-1325" TargetMode="External"/><Relationship Id="rId22" Type="http://schemas.openxmlformats.org/officeDocument/2006/relationships/hyperlink" Target="http://www.egypt.gov.eg/General/Confirm.aspx?Status=401&amp;act=general" TargetMode="External"/><Relationship Id="rId27" Type="http://schemas.openxmlformats.org/officeDocument/2006/relationships/hyperlink" Target="https://emiratesnewswire.com/general/41081/uae-participants-in-arab-leagues-launch-of-arab-charter-on-civil-society-organisations/" TargetMode="External"/><Relationship Id="rId30" Type="http://schemas.openxmlformats.org/officeDocument/2006/relationships/hyperlink" Target="http://www.lasportal.org/ar/humanrights/Committee/Pages/Reports.aspx" TargetMode="External"/><Relationship Id="rId35" Type="http://schemas.openxmlformats.org/officeDocument/2006/relationships/hyperlink" Target="http://www.oic-iphrc.org/ar/activities/" TargetMode="External"/><Relationship Id="rId8" Type="http://schemas.openxmlformats.org/officeDocument/2006/relationships/hyperlink" Target="http://www.icnl.org/research/monitor/algeria.html" TargetMode="External"/><Relationship Id="rId3" Type="http://schemas.openxmlformats.org/officeDocument/2006/relationships/hyperlink" Target="https://www.palestinianbasiclaw.org/basic-law/2003-amended-basi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CBB2-DD14-4A04-AADF-F076E544A134}">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0D2302-9EA6-4963-8DE1-CDD2702A7D45}">
  <ds:schemaRefs>
    <ds:schemaRef ds:uri="http://schemas.microsoft.com/sharepoint/v3/contenttype/forms"/>
  </ds:schemaRefs>
</ds:datastoreItem>
</file>

<file path=customXml/itemProps3.xml><?xml version="1.0" encoding="utf-8"?>
<ds:datastoreItem xmlns:ds="http://schemas.openxmlformats.org/officeDocument/2006/customXml" ds:itemID="{00D3D4FE-B893-4BC8-B0FF-7C03C4BFB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DCBE6-F7F1-4C83-A2F6-35C22FAF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7350</Words>
  <Characters>41899</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Beirut Brackground Paper</vt:lpstr>
    </vt:vector>
  </TitlesOfParts>
  <Company/>
  <LinksUpToDate>false</LinksUpToDate>
  <CharactersWithSpaces>49151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Beirut Brackground Paper</dc:title>
  <dc:subject/>
  <dc:creator>Fateh Azzam</dc:creator>
  <cp:keywords/>
  <dc:description/>
  <cp:lastModifiedBy>Federica Morvay</cp:lastModifiedBy>
  <cp:revision>2</cp:revision>
  <cp:lastPrinted>2018-01-31T23:24:00Z</cp:lastPrinted>
  <dcterms:created xsi:type="dcterms:W3CDTF">2018-05-08T07:48:00Z</dcterms:created>
  <dcterms:modified xsi:type="dcterms:W3CDTF">2018-05-08T07:48:00Z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