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C0" w:rsidRPr="00C905C0" w:rsidRDefault="00C905C0" w:rsidP="00C905C0">
      <w:pPr>
        <w:pStyle w:val="HChGA"/>
        <w:tabs>
          <w:tab w:val="clear" w:pos="1021"/>
        </w:tabs>
        <w:bidi w:val="0"/>
        <w:ind w:left="0" w:right="0" w:firstLine="0"/>
        <w:jc w:val="left"/>
        <w:rPr>
          <w:b w:val="0"/>
          <w:bCs w:val="0"/>
          <w:sz w:val="20"/>
          <w:szCs w:val="20"/>
          <w:lang w:eastAsia="ar-SA"/>
        </w:rPr>
      </w:pPr>
      <w:r w:rsidRPr="00C905C0">
        <w:rPr>
          <w:b w:val="0"/>
          <w:bCs w:val="0"/>
          <w:sz w:val="20"/>
          <w:szCs w:val="20"/>
          <w:lang w:eastAsia="ar-SA"/>
        </w:rPr>
        <w:t>A/HRC/INFORMAL/2017/1</w:t>
      </w:r>
    </w:p>
    <w:p w:rsidR="00CF11FB" w:rsidRDefault="00CF11FB" w:rsidP="00877FDB">
      <w:pPr>
        <w:pStyle w:val="HChGA"/>
        <w:tabs>
          <w:tab w:val="clear" w:pos="1021"/>
        </w:tabs>
        <w:ind w:left="0" w:right="0" w:firstLine="0"/>
        <w:jc w:val="center"/>
        <w:rPr>
          <w:lang w:eastAsia="ar-SA"/>
        </w:rPr>
      </w:pPr>
      <w:bookmarkStart w:id="0" w:name="_GoBack"/>
      <w:r w:rsidRPr="00CF11FB">
        <w:rPr>
          <w:rtl/>
          <w:lang w:eastAsia="ar-SA"/>
        </w:rPr>
        <w:t xml:space="preserve">مذكرة </w:t>
      </w:r>
      <w:proofErr w:type="spellStart"/>
      <w:r w:rsidRPr="00CF11FB">
        <w:rPr>
          <w:rtl/>
          <w:lang w:eastAsia="ar-SA"/>
        </w:rPr>
        <w:t>مفاهيمية</w:t>
      </w:r>
      <w:proofErr w:type="spellEnd"/>
    </w:p>
    <w:bookmarkEnd w:id="0"/>
    <w:p w:rsidR="00CF11FB" w:rsidRDefault="0061005C" w:rsidP="00877FDB">
      <w:pPr>
        <w:pStyle w:val="HChGA"/>
        <w:tabs>
          <w:tab w:val="clear" w:pos="1021"/>
        </w:tabs>
        <w:ind w:left="0" w:right="0" w:firstLine="0"/>
        <w:jc w:val="center"/>
        <w:rPr>
          <w:rtl/>
          <w:lang w:eastAsia="ar-SA"/>
        </w:rPr>
      </w:pPr>
      <w:r>
        <w:rPr>
          <w:rFonts w:hint="cs"/>
          <w:rtl/>
          <w:lang w:eastAsia="ar-SA"/>
        </w:rPr>
        <w:t>ال</w:t>
      </w:r>
      <w:r w:rsidR="00CF11FB" w:rsidRPr="00CF11FB">
        <w:rPr>
          <w:rtl/>
          <w:lang w:eastAsia="ar-SA"/>
        </w:rPr>
        <w:t xml:space="preserve">مشاورة </w:t>
      </w:r>
      <w:r>
        <w:rPr>
          <w:rFonts w:hint="cs"/>
          <w:rtl/>
          <w:lang w:eastAsia="ar-SA"/>
        </w:rPr>
        <w:t>ال</w:t>
      </w:r>
      <w:r w:rsidR="00CF11FB" w:rsidRPr="00CF11FB">
        <w:rPr>
          <w:rtl/>
          <w:lang w:eastAsia="ar-SA"/>
        </w:rPr>
        <w:t xml:space="preserve">إقليمية، </w:t>
      </w:r>
      <w:r>
        <w:rPr>
          <w:rFonts w:hint="cs"/>
          <w:rtl/>
          <w:lang w:eastAsia="ar-SA"/>
        </w:rPr>
        <w:t>الخاصة ب</w:t>
      </w:r>
      <w:r w:rsidR="00CF11FB" w:rsidRPr="00CF11FB">
        <w:rPr>
          <w:rtl/>
          <w:lang w:eastAsia="ar-SA"/>
        </w:rPr>
        <w:t>منطقة الشرق الأوسط وشمال أفريقيا،</w:t>
      </w:r>
      <w:r w:rsidR="00877FDB">
        <w:rPr>
          <w:rtl/>
          <w:lang w:eastAsia="ar-SA"/>
        </w:rPr>
        <w:br/>
      </w:r>
      <w:r w:rsidR="00CF11FB" w:rsidRPr="00CF11FB">
        <w:rPr>
          <w:rtl/>
          <w:lang w:eastAsia="ar-SA"/>
        </w:rPr>
        <w:t>بشأن</w:t>
      </w:r>
      <w:r w:rsidR="003A010F">
        <w:rPr>
          <w:rFonts w:hint="cs"/>
          <w:rtl/>
          <w:lang w:eastAsia="ar-SA"/>
        </w:rPr>
        <w:t> </w:t>
      </w:r>
      <w:r w:rsidR="00CF11FB" w:rsidRPr="00CF11FB">
        <w:rPr>
          <w:rtl/>
          <w:lang w:eastAsia="ar-SA"/>
        </w:rPr>
        <w:t xml:space="preserve">مشروع المبادئ التوجيهية المتعلقة </w:t>
      </w:r>
      <w:r w:rsidR="00CF11FB">
        <w:rPr>
          <w:rFonts w:hint="cs"/>
          <w:rtl/>
          <w:lang w:eastAsia="ar-SA"/>
        </w:rPr>
        <w:t>بإعمال ا</w:t>
      </w:r>
      <w:r w:rsidR="00CF11FB" w:rsidRPr="00CF11FB">
        <w:rPr>
          <w:rtl/>
          <w:lang w:eastAsia="ar-SA"/>
        </w:rPr>
        <w:t>لحق</w:t>
      </w:r>
      <w:r w:rsidR="00877FDB">
        <w:rPr>
          <w:rtl/>
          <w:lang w:eastAsia="ar-SA"/>
        </w:rPr>
        <w:br/>
      </w:r>
      <w:r w:rsidR="00CF11FB" w:rsidRPr="00CF11FB">
        <w:rPr>
          <w:rtl/>
          <w:lang w:eastAsia="ar-SA"/>
        </w:rPr>
        <w:t>في المشاركة في الشؤون العامة</w:t>
      </w:r>
      <w:r w:rsidR="00CF11FB">
        <w:rPr>
          <w:rFonts w:hint="cs"/>
          <w:rtl/>
          <w:lang w:eastAsia="ar-SA"/>
        </w:rPr>
        <w:t xml:space="preserve"> إعمالا</w:t>
      </w:r>
      <w:r w:rsidR="003A010F">
        <w:rPr>
          <w:rFonts w:hint="cs"/>
          <w:rtl/>
          <w:lang w:eastAsia="ar-SA"/>
        </w:rPr>
        <w:t>ً</w:t>
      </w:r>
      <w:r w:rsidR="00CF11FB">
        <w:rPr>
          <w:rFonts w:hint="cs"/>
          <w:rtl/>
          <w:lang w:eastAsia="ar-SA"/>
        </w:rPr>
        <w:t xml:space="preserve"> فعالا</w:t>
      </w:r>
      <w:r w:rsidR="003A010F">
        <w:rPr>
          <w:rFonts w:hint="cs"/>
          <w:rtl/>
          <w:lang w:eastAsia="ar-SA"/>
        </w:rPr>
        <w:t>ً</w:t>
      </w:r>
    </w:p>
    <w:p w:rsidR="00CF11FB" w:rsidRPr="00877FDB" w:rsidRDefault="000722B1" w:rsidP="00877FDB">
      <w:pPr>
        <w:pStyle w:val="SingleTxtGA"/>
        <w:tabs>
          <w:tab w:val="clear" w:pos="1928"/>
          <w:tab w:val="clear" w:pos="2608"/>
          <w:tab w:val="clear" w:pos="3289"/>
          <w:tab w:val="clear" w:pos="3969"/>
          <w:tab w:val="clear" w:pos="4649"/>
          <w:tab w:val="clear" w:pos="5330"/>
        </w:tabs>
        <w:ind w:left="0" w:right="0"/>
        <w:jc w:val="center"/>
        <w:rPr>
          <w:b/>
          <w:bCs/>
          <w:sz w:val="38"/>
          <w:szCs w:val="38"/>
          <w:rtl/>
          <w:lang w:eastAsia="ar-SA"/>
        </w:rPr>
      </w:pPr>
      <w:r>
        <w:rPr>
          <w:rFonts w:hint="cs"/>
          <w:b/>
          <w:bCs/>
          <w:shd w:val="clear" w:color="auto" w:fill="FFFFFF"/>
          <w:rtl/>
        </w:rPr>
        <w:t>21 و22 كانون الأول/ديسمبر 2017</w:t>
      </w:r>
      <w:r w:rsidR="00CF11FB" w:rsidRPr="00877FDB">
        <w:rPr>
          <w:b/>
          <w:bCs/>
          <w:shd w:val="clear" w:color="auto" w:fill="FFFFFF"/>
          <w:rtl/>
        </w:rPr>
        <w:t>، بيروت</w:t>
      </w:r>
    </w:p>
    <w:p w:rsidR="00A1149F" w:rsidRPr="003C2F1B" w:rsidRDefault="00A1149F" w:rsidP="003A010F">
      <w:pPr>
        <w:pStyle w:val="HChGA"/>
        <w:rPr>
          <w:lang w:bidi="ar-DZ"/>
        </w:rPr>
      </w:pPr>
      <w:r w:rsidRPr="003C2F1B">
        <w:rPr>
          <w:rtl/>
        </w:rPr>
        <w:tab/>
      </w:r>
      <w:r w:rsidR="00CF11FB" w:rsidRPr="003C2F1B">
        <w:rPr>
          <w:rFonts w:hint="cs"/>
          <w:rtl/>
        </w:rPr>
        <w:t>أولا</w:t>
      </w:r>
      <w:r w:rsidR="003A010F" w:rsidRPr="003C2F1B">
        <w:rPr>
          <w:rFonts w:hint="cs"/>
          <w:rtl/>
        </w:rPr>
        <w:t>ً</w:t>
      </w:r>
      <w:r w:rsidRPr="003C2F1B">
        <w:rPr>
          <w:rtl/>
        </w:rPr>
        <w:t>-</w:t>
      </w:r>
      <w:r w:rsidRPr="003C2F1B">
        <w:rPr>
          <w:rtl/>
        </w:rPr>
        <w:tab/>
      </w:r>
      <w:r w:rsidR="00CF11FB" w:rsidRPr="003C2F1B">
        <w:rPr>
          <w:rFonts w:hint="cs"/>
          <w:rtl/>
        </w:rPr>
        <w:t>مقدمة</w:t>
      </w:r>
    </w:p>
    <w:p w:rsidR="00A1149F" w:rsidRPr="003C2F1B" w:rsidRDefault="00CF11FB" w:rsidP="003C2F1B">
      <w:pPr>
        <w:pStyle w:val="SingleTxtGA"/>
        <w:rPr>
          <w:rtl/>
        </w:rPr>
      </w:pPr>
      <w:r w:rsidRPr="003C2F1B">
        <w:rPr>
          <w:rFonts w:hint="cs"/>
          <w:rtl/>
        </w:rPr>
        <w:t>1</w:t>
      </w:r>
      <w:r w:rsidR="00A1149F" w:rsidRPr="003C2F1B">
        <w:rPr>
          <w:rtl/>
        </w:rPr>
        <w:t>-</w:t>
      </w:r>
      <w:r w:rsidR="00A1149F" w:rsidRPr="003C2F1B">
        <w:rPr>
          <w:rtl/>
        </w:rPr>
        <w:tab/>
      </w:r>
      <w:r w:rsidRPr="003C2F1B">
        <w:rPr>
          <w:rtl/>
        </w:rPr>
        <w:t>طلب مجلس حقوق الإنسان، في قراره 33/22، بشأن المشاركة في الشأن السياسي والعام على قدم المساواة بين الجميع</w:t>
      </w:r>
      <w:r w:rsidRPr="003C2F1B">
        <w:rPr>
          <w:rFonts w:hint="cs"/>
          <w:rtl/>
        </w:rPr>
        <w:t>،</w:t>
      </w:r>
      <w:r w:rsidRPr="003C2F1B">
        <w:rPr>
          <w:rtl/>
        </w:rPr>
        <w:t xml:space="preserve"> </w:t>
      </w:r>
      <w:r w:rsidRPr="003C2F1B">
        <w:rPr>
          <w:rFonts w:hint="cs"/>
          <w:rtl/>
        </w:rPr>
        <w:t>إلى</w:t>
      </w:r>
      <w:r w:rsidR="00C64B00" w:rsidRPr="003C2F1B">
        <w:rPr>
          <w:rFonts w:hint="cs"/>
          <w:rtl/>
        </w:rPr>
        <w:t xml:space="preserve"> </w:t>
      </w:r>
      <w:r w:rsidRPr="003C2F1B">
        <w:rPr>
          <w:rFonts w:hint="cs"/>
          <w:rtl/>
        </w:rPr>
        <w:t>مفوّضية</w:t>
      </w:r>
      <w:r w:rsidRPr="003C2F1B">
        <w:rPr>
          <w:rtl/>
        </w:rPr>
        <w:t xml:space="preserve"> </w:t>
      </w:r>
      <w:r w:rsidRPr="003C2F1B">
        <w:rPr>
          <w:rFonts w:hint="cs"/>
          <w:rtl/>
        </w:rPr>
        <w:t>الأمم</w:t>
      </w:r>
      <w:r w:rsidRPr="003C2F1B">
        <w:rPr>
          <w:rtl/>
        </w:rPr>
        <w:t xml:space="preserve"> </w:t>
      </w:r>
      <w:r w:rsidRPr="003C2F1B">
        <w:rPr>
          <w:rFonts w:hint="cs"/>
          <w:rtl/>
        </w:rPr>
        <w:t>المتحدة</w:t>
      </w:r>
      <w:r w:rsidRPr="003C2F1B">
        <w:rPr>
          <w:rtl/>
        </w:rPr>
        <w:t xml:space="preserve"> </w:t>
      </w:r>
      <w:r w:rsidRPr="003C2F1B">
        <w:rPr>
          <w:rFonts w:hint="cs"/>
          <w:rtl/>
        </w:rPr>
        <w:t>السامية</w:t>
      </w:r>
      <w:r w:rsidRPr="003C2F1B">
        <w:rPr>
          <w:rtl/>
        </w:rPr>
        <w:t xml:space="preserve"> </w:t>
      </w:r>
      <w:r w:rsidRPr="003C2F1B">
        <w:rPr>
          <w:rFonts w:hint="cs"/>
          <w:rtl/>
        </w:rPr>
        <w:t>لحقوق</w:t>
      </w:r>
      <w:r w:rsidRPr="003C2F1B">
        <w:rPr>
          <w:rtl/>
        </w:rPr>
        <w:t xml:space="preserve"> </w:t>
      </w:r>
      <w:r w:rsidRPr="003C2F1B">
        <w:rPr>
          <w:rFonts w:hint="cs"/>
          <w:rtl/>
        </w:rPr>
        <w:t>الإنسان</w:t>
      </w:r>
      <w:r w:rsidRPr="003C2F1B">
        <w:rPr>
          <w:rtl/>
        </w:rPr>
        <w:t xml:space="preserve"> </w:t>
      </w:r>
      <w:r w:rsidRPr="003C2F1B">
        <w:rPr>
          <w:rFonts w:hint="cs"/>
          <w:rtl/>
        </w:rPr>
        <w:t>أن</w:t>
      </w:r>
      <w:r w:rsidRPr="003C2F1B">
        <w:rPr>
          <w:rtl/>
        </w:rPr>
        <w:t xml:space="preserve"> </w:t>
      </w:r>
      <w:r w:rsidRPr="003C2F1B">
        <w:rPr>
          <w:rFonts w:hint="cs"/>
          <w:rtl/>
        </w:rPr>
        <w:t>تعد</w:t>
      </w:r>
      <w:r w:rsidRPr="003C2F1B">
        <w:rPr>
          <w:rtl/>
        </w:rPr>
        <w:t xml:space="preserve"> </w:t>
      </w:r>
      <w:r w:rsidRPr="003C2F1B">
        <w:rPr>
          <w:rFonts w:hint="cs"/>
          <w:rtl/>
        </w:rPr>
        <w:t>مشروع</w:t>
      </w:r>
      <w:r w:rsidRPr="003C2F1B">
        <w:rPr>
          <w:rtl/>
        </w:rPr>
        <w:t xml:space="preserve"> </w:t>
      </w:r>
      <w:r w:rsidRPr="003C2F1B">
        <w:rPr>
          <w:rFonts w:hint="cs"/>
          <w:rtl/>
        </w:rPr>
        <w:t>مبادئ</w:t>
      </w:r>
      <w:r w:rsidRPr="003C2F1B">
        <w:rPr>
          <w:rtl/>
        </w:rPr>
        <w:t xml:space="preserve"> </w:t>
      </w:r>
      <w:r w:rsidRPr="003C2F1B">
        <w:rPr>
          <w:rFonts w:hint="cs"/>
          <w:rtl/>
        </w:rPr>
        <w:t>توجيهية</w:t>
      </w:r>
      <w:r w:rsidRPr="003C2F1B">
        <w:rPr>
          <w:rtl/>
        </w:rPr>
        <w:t xml:space="preserve"> </w:t>
      </w:r>
      <w:r w:rsidRPr="003C2F1B">
        <w:rPr>
          <w:rFonts w:hint="cs"/>
          <w:rtl/>
        </w:rPr>
        <w:t>موجزة</w:t>
      </w:r>
      <w:r w:rsidRPr="003C2F1B">
        <w:rPr>
          <w:rtl/>
        </w:rPr>
        <w:t xml:space="preserve"> </w:t>
      </w:r>
      <w:r w:rsidRPr="003C2F1B">
        <w:rPr>
          <w:rFonts w:hint="cs"/>
          <w:rtl/>
        </w:rPr>
        <w:t>وعملية</w:t>
      </w:r>
      <w:r w:rsidRPr="003C2F1B">
        <w:rPr>
          <w:rtl/>
        </w:rPr>
        <w:t xml:space="preserve"> </w:t>
      </w:r>
      <w:r w:rsidRPr="003C2F1B">
        <w:rPr>
          <w:rFonts w:hint="cs"/>
          <w:rtl/>
        </w:rPr>
        <w:t>المنحى،</w:t>
      </w:r>
      <w:r w:rsidRPr="003C2F1B">
        <w:rPr>
          <w:rtl/>
        </w:rPr>
        <w:t xml:space="preserve"> </w:t>
      </w:r>
      <w:r w:rsidRPr="003C2F1B">
        <w:rPr>
          <w:rFonts w:hint="cs"/>
          <w:rtl/>
        </w:rPr>
        <w:t>بوصفها</w:t>
      </w:r>
      <w:r w:rsidRPr="003C2F1B">
        <w:rPr>
          <w:rtl/>
        </w:rPr>
        <w:t xml:space="preserve"> </w:t>
      </w:r>
      <w:r w:rsidRPr="003C2F1B">
        <w:rPr>
          <w:rFonts w:hint="cs"/>
          <w:rtl/>
        </w:rPr>
        <w:t>مجموعة</w:t>
      </w:r>
      <w:r w:rsidRPr="003C2F1B">
        <w:rPr>
          <w:rtl/>
        </w:rPr>
        <w:t xml:space="preserve"> </w:t>
      </w:r>
      <w:r w:rsidRPr="003C2F1B">
        <w:rPr>
          <w:rFonts w:hint="cs"/>
          <w:rtl/>
        </w:rPr>
        <w:t>من</w:t>
      </w:r>
      <w:r w:rsidRPr="003C2F1B">
        <w:rPr>
          <w:rtl/>
        </w:rPr>
        <w:t xml:space="preserve"> </w:t>
      </w:r>
      <w:r w:rsidRPr="003C2F1B">
        <w:rPr>
          <w:rFonts w:hint="cs"/>
          <w:rtl/>
        </w:rPr>
        <w:t>التوجيهات</w:t>
      </w:r>
      <w:r w:rsidRPr="003C2F1B">
        <w:rPr>
          <w:rtl/>
        </w:rPr>
        <w:t xml:space="preserve"> </w:t>
      </w:r>
      <w:r w:rsidRPr="003C2F1B">
        <w:rPr>
          <w:rFonts w:hint="cs"/>
          <w:rtl/>
        </w:rPr>
        <w:t>للدول</w:t>
      </w:r>
      <w:r w:rsidRPr="003C2F1B">
        <w:rPr>
          <w:rtl/>
        </w:rPr>
        <w:t xml:space="preserve"> </w:t>
      </w:r>
      <w:r w:rsidRPr="003C2F1B">
        <w:rPr>
          <w:rFonts w:hint="cs"/>
          <w:rtl/>
        </w:rPr>
        <w:t>بشأن</w:t>
      </w:r>
      <w:r w:rsidRPr="003C2F1B">
        <w:rPr>
          <w:rtl/>
        </w:rPr>
        <w:t xml:space="preserve"> </w:t>
      </w:r>
      <w:r w:rsidRPr="003C2F1B">
        <w:rPr>
          <w:rFonts w:hint="cs"/>
          <w:rtl/>
        </w:rPr>
        <w:t>إعمال</w:t>
      </w:r>
      <w:r w:rsidRPr="003C2F1B">
        <w:rPr>
          <w:rtl/>
        </w:rPr>
        <w:t xml:space="preserve"> </w:t>
      </w:r>
      <w:r w:rsidRPr="003C2F1B">
        <w:rPr>
          <w:rFonts w:hint="cs"/>
          <w:rtl/>
        </w:rPr>
        <w:t>الحق</w:t>
      </w:r>
      <w:r w:rsidRPr="003C2F1B">
        <w:rPr>
          <w:rtl/>
        </w:rPr>
        <w:t xml:space="preserve"> </w:t>
      </w:r>
      <w:r w:rsidRPr="003C2F1B">
        <w:rPr>
          <w:rFonts w:hint="cs"/>
          <w:rtl/>
        </w:rPr>
        <w:t>في</w:t>
      </w:r>
      <w:r w:rsidRPr="003C2F1B">
        <w:rPr>
          <w:rtl/>
        </w:rPr>
        <w:t xml:space="preserve"> </w:t>
      </w:r>
      <w:r w:rsidRPr="003C2F1B">
        <w:rPr>
          <w:rFonts w:hint="cs"/>
          <w:rtl/>
        </w:rPr>
        <w:t>ال</w:t>
      </w:r>
      <w:r w:rsidRPr="003C2F1B">
        <w:rPr>
          <w:rtl/>
        </w:rPr>
        <w:t xml:space="preserve">مشاركة في </w:t>
      </w:r>
      <w:r w:rsidR="006746AB" w:rsidRPr="003C2F1B">
        <w:rPr>
          <w:rtl/>
        </w:rPr>
        <w:t>الشؤون العامة</w:t>
      </w:r>
      <w:r w:rsidRPr="003C2F1B">
        <w:rPr>
          <w:rtl/>
        </w:rPr>
        <w:t xml:space="preserve"> إعمالاً فعالاً، على النحو المنصوص عليه في المادة 25 من العهد الدولي الخاص بالحقوق المدنية والسياسية وعلى النحو المفصل في أحكام أخرى ذات صلة في القانون الدولي لحقوق الإنسان، وأن تقدم إليه مشروع المبادئ التوجيهية في دورته التاسعة والثلاثين ليتسنى له اتخاذ قرار بشأن سبل المضي قُدماً</w:t>
      </w:r>
      <w:r w:rsidR="00A1149F" w:rsidRPr="003C2F1B">
        <w:rPr>
          <w:rtl/>
        </w:rPr>
        <w:t>.</w:t>
      </w:r>
    </w:p>
    <w:p w:rsidR="0061005C" w:rsidRPr="003C2F1B" w:rsidRDefault="00CF11FB" w:rsidP="003A010F">
      <w:pPr>
        <w:pStyle w:val="SingleTxtGA"/>
        <w:rPr>
          <w:rtl/>
        </w:rPr>
      </w:pPr>
      <w:r w:rsidRPr="003C2F1B">
        <w:rPr>
          <w:rFonts w:hint="cs"/>
          <w:rtl/>
        </w:rPr>
        <w:t>2</w:t>
      </w:r>
      <w:r w:rsidR="00A1149F" w:rsidRPr="003C2F1B">
        <w:rPr>
          <w:rtl/>
        </w:rPr>
        <w:t>-</w:t>
      </w:r>
      <w:r w:rsidR="00A1149F" w:rsidRPr="003C2F1B">
        <w:rPr>
          <w:rtl/>
        </w:rPr>
        <w:tab/>
      </w:r>
      <w:r w:rsidRPr="003C2F1B">
        <w:rPr>
          <w:rtl/>
        </w:rPr>
        <w:t>وفي القرار ذاته، طلب المجلس أيضاً إلى المفوضية السامية أن تيسر عملية وضع مشروع المبادئ التوجيهية بشكل مفتوح وشفاف وشامل من خلال التشاور مع الدول وبمشاركة الوكالات والصناديق والبرامج ذات الصلة التابعة للأمم المتحدة، والمنظمات الحكومية الدولية، واللجنة المعنية بحقوق الإنسان وغيرها من هيئات المعاهدات والإجراءات الخاصة والآليات الإقليمية لحقوق الإنسان والمؤسسات الوطنية لحقوق الإنسان، ومنظمات المجتمع المدني والأوساط الأكاديمية والجهات المعنية الأخرى،</w:t>
      </w:r>
      <w:r w:rsidR="003C2F1B" w:rsidRPr="003C2F1B">
        <w:rPr>
          <w:rtl/>
        </w:rPr>
        <w:t xml:space="preserve"> بما </w:t>
      </w:r>
      <w:r w:rsidRPr="003C2F1B">
        <w:rPr>
          <w:rtl/>
        </w:rPr>
        <w:t>في ذلك من خلال المشاورات غير الرسمية مع الدول وسائر الجهات المعنية على الصعيد الإقليمي</w:t>
      </w:r>
      <w:r w:rsidR="00A1149F" w:rsidRPr="003C2F1B">
        <w:rPr>
          <w:rtl/>
        </w:rPr>
        <w:t>.</w:t>
      </w:r>
    </w:p>
    <w:p w:rsidR="00A1149F" w:rsidRPr="003C2F1B" w:rsidRDefault="0061005C" w:rsidP="003C2F1B">
      <w:pPr>
        <w:pStyle w:val="SingleTxtGA"/>
        <w:rPr>
          <w:rtl/>
        </w:rPr>
      </w:pPr>
      <w:r w:rsidRPr="003C2F1B">
        <w:rPr>
          <w:rFonts w:hint="cs"/>
          <w:rtl/>
        </w:rPr>
        <w:t>3-</w:t>
      </w:r>
      <w:r w:rsidRPr="003C2F1B">
        <w:rPr>
          <w:rFonts w:hint="cs"/>
          <w:rtl/>
        </w:rPr>
        <w:tab/>
      </w:r>
      <w:r w:rsidRPr="003C2F1B">
        <w:rPr>
          <w:rtl/>
        </w:rPr>
        <w:t xml:space="preserve">وبغية تنفيذ القرار 33/22، ستنظم المفوضية السامية خمس مشاورات إقليمية في كل من المناطق التالية: </w:t>
      </w:r>
      <w:r w:rsidRPr="003C2F1B">
        <w:rPr>
          <w:rFonts w:hint="cs"/>
          <w:rtl/>
        </w:rPr>
        <w:t xml:space="preserve">منطقة </w:t>
      </w:r>
      <w:proofErr w:type="spellStart"/>
      <w:r w:rsidRPr="003C2F1B">
        <w:rPr>
          <w:rtl/>
        </w:rPr>
        <w:t>الأمريكتين</w:t>
      </w:r>
      <w:proofErr w:type="spellEnd"/>
      <w:r w:rsidRPr="003C2F1B">
        <w:rPr>
          <w:rFonts w:hint="cs"/>
          <w:rtl/>
        </w:rPr>
        <w:t xml:space="preserve">؛ ومنطقة </w:t>
      </w:r>
      <w:r w:rsidR="009F52AB" w:rsidRPr="003C2F1B">
        <w:rPr>
          <w:rtl/>
        </w:rPr>
        <w:t>أفريقيا جنوب</w:t>
      </w:r>
      <w:r w:rsidRPr="003C2F1B">
        <w:rPr>
          <w:rtl/>
        </w:rPr>
        <w:t xml:space="preserve"> الصحراء</w:t>
      </w:r>
      <w:r w:rsidRPr="003C2F1B">
        <w:rPr>
          <w:rFonts w:hint="cs"/>
          <w:rtl/>
        </w:rPr>
        <w:t xml:space="preserve">؛ </w:t>
      </w:r>
      <w:r w:rsidRPr="003C2F1B">
        <w:rPr>
          <w:rtl/>
        </w:rPr>
        <w:t>ومنطقة الشرق الأوسط وشمال أفريقيا</w:t>
      </w:r>
      <w:r w:rsidRPr="003C2F1B">
        <w:rPr>
          <w:rFonts w:hint="cs"/>
          <w:rtl/>
        </w:rPr>
        <w:t xml:space="preserve">؛ </w:t>
      </w:r>
      <w:r w:rsidRPr="003C2F1B">
        <w:rPr>
          <w:rtl/>
        </w:rPr>
        <w:t>ومنطقة آسيا والمحيط الهادئ</w:t>
      </w:r>
      <w:r w:rsidRPr="003C2F1B">
        <w:rPr>
          <w:rFonts w:hint="cs"/>
          <w:rtl/>
        </w:rPr>
        <w:t xml:space="preserve">؛ </w:t>
      </w:r>
      <w:r w:rsidRPr="003C2F1B">
        <w:rPr>
          <w:rtl/>
        </w:rPr>
        <w:t>ومنطقة أوروبا الغربية وأوروبا الشرقية ومناطق أخرى</w:t>
      </w:r>
      <w:r w:rsidRPr="003C2F1B">
        <w:rPr>
          <w:rFonts w:hint="cs"/>
          <w:rtl/>
        </w:rPr>
        <w:t xml:space="preserve">. </w:t>
      </w:r>
      <w:r w:rsidR="006A0FA8" w:rsidRPr="003C2F1B">
        <w:rPr>
          <w:rtl/>
        </w:rPr>
        <w:t xml:space="preserve">وعُقدت المشاورة الإقليمية الأولى، الخاصة بمنطقة </w:t>
      </w:r>
      <w:proofErr w:type="spellStart"/>
      <w:r w:rsidR="006A0FA8" w:rsidRPr="003C2F1B">
        <w:rPr>
          <w:rtl/>
        </w:rPr>
        <w:t>الأمريكتين</w:t>
      </w:r>
      <w:proofErr w:type="spellEnd"/>
      <w:r w:rsidR="006A0FA8" w:rsidRPr="003C2F1B">
        <w:rPr>
          <w:rtl/>
        </w:rPr>
        <w:t>، في سانتياغو يومي 13 و14 حزيران/يونيه 2017، والمشاورة الثانية، الخاصة بمنطقة أفريقيا جنوب الصحراء، في أديس أبابا يومي 6 و7 أيلول/سبتمبر 2017، والمشاورة الثالثة، الخاصة بمنطقة آسيا والمحيط الهادئ، في بانكوك يومي 2 و3 تشرين الأول/أكتوبر 2017</w:t>
      </w:r>
      <w:r w:rsidRPr="003C2F1B">
        <w:rPr>
          <w:rFonts w:hint="cs"/>
          <w:rtl/>
        </w:rPr>
        <w:t>.</w:t>
      </w:r>
    </w:p>
    <w:p w:rsidR="006A0FA8" w:rsidRPr="003C2F1B" w:rsidRDefault="006A0FA8" w:rsidP="003A010F">
      <w:pPr>
        <w:pStyle w:val="HChGA"/>
        <w:rPr>
          <w:rtl/>
        </w:rPr>
      </w:pPr>
      <w:r w:rsidRPr="003C2F1B">
        <w:rPr>
          <w:rtl/>
        </w:rPr>
        <w:lastRenderedPageBreak/>
        <w:tab/>
      </w:r>
      <w:r w:rsidRPr="003C2F1B">
        <w:rPr>
          <w:rFonts w:hint="cs"/>
          <w:rtl/>
        </w:rPr>
        <w:t>ثانيا</w:t>
      </w:r>
      <w:r w:rsidR="003A010F" w:rsidRPr="003C2F1B">
        <w:rPr>
          <w:rFonts w:hint="cs"/>
          <w:rtl/>
        </w:rPr>
        <w:t>ً</w:t>
      </w:r>
      <w:r w:rsidRPr="003C2F1B">
        <w:rPr>
          <w:rtl/>
        </w:rPr>
        <w:t>-</w:t>
      </w:r>
      <w:r w:rsidRPr="003C2F1B">
        <w:rPr>
          <w:rtl/>
        </w:rPr>
        <w:tab/>
      </w:r>
      <w:r w:rsidR="004F743A" w:rsidRPr="003C2F1B">
        <w:rPr>
          <w:rFonts w:hint="cs"/>
          <w:rtl/>
        </w:rPr>
        <w:t>معلومات أساسية</w:t>
      </w:r>
    </w:p>
    <w:p w:rsidR="006A0FA8" w:rsidRPr="003C2F1B" w:rsidRDefault="004F743A" w:rsidP="003A010F">
      <w:pPr>
        <w:pStyle w:val="SingleTxtGA"/>
        <w:rPr>
          <w:rtl/>
        </w:rPr>
      </w:pPr>
      <w:r w:rsidRPr="003C2F1B">
        <w:rPr>
          <w:rFonts w:hint="cs"/>
          <w:rtl/>
        </w:rPr>
        <w:t>4</w:t>
      </w:r>
      <w:r w:rsidR="006A0FA8" w:rsidRPr="003C2F1B">
        <w:rPr>
          <w:rtl/>
        </w:rPr>
        <w:t>-</w:t>
      </w:r>
      <w:r w:rsidR="006A0FA8" w:rsidRPr="003C2F1B">
        <w:rPr>
          <w:rtl/>
        </w:rPr>
        <w:tab/>
      </w:r>
      <w:r w:rsidRPr="003C2F1B">
        <w:rPr>
          <w:rFonts w:hint="cs"/>
          <w:rtl/>
        </w:rPr>
        <w:t>كما</w:t>
      </w:r>
      <w:r w:rsidRPr="003C2F1B">
        <w:rPr>
          <w:rtl/>
        </w:rPr>
        <w:t xml:space="preserve"> </w:t>
      </w:r>
      <w:r w:rsidRPr="003C2F1B">
        <w:rPr>
          <w:rFonts w:hint="cs"/>
          <w:rtl/>
        </w:rPr>
        <w:t>يرد</w:t>
      </w:r>
      <w:r w:rsidRPr="003C2F1B">
        <w:rPr>
          <w:rtl/>
        </w:rPr>
        <w:t xml:space="preserve"> </w:t>
      </w:r>
      <w:r w:rsidRPr="003C2F1B">
        <w:rPr>
          <w:rFonts w:hint="cs"/>
          <w:rtl/>
        </w:rPr>
        <w:t>في</w:t>
      </w:r>
      <w:r w:rsidRPr="003C2F1B">
        <w:rPr>
          <w:rtl/>
        </w:rPr>
        <w:t xml:space="preserve"> </w:t>
      </w:r>
      <w:r w:rsidRPr="003C2F1B">
        <w:rPr>
          <w:rFonts w:hint="cs"/>
          <w:rtl/>
        </w:rPr>
        <w:t>المادة</w:t>
      </w:r>
      <w:r w:rsidRPr="003C2F1B">
        <w:rPr>
          <w:rtl/>
        </w:rPr>
        <w:t xml:space="preserve"> 25 </w:t>
      </w:r>
      <w:r w:rsidRPr="003C2F1B">
        <w:rPr>
          <w:rFonts w:hint="cs"/>
          <w:rtl/>
        </w:rPr>
        <w:t>من</w:t>
      </w:r>
      <w:r w:rsidRPr="003C2F1B">
        <w:rPr>
          <w:rtl/>
        </w:rPr>
        <w:t xml:space="preserve"> </w:t>
      </w:r>
      <w:r w:rsidRPr="003C2F1B">
        <w:rPr>
          <w:rFonts w:hint="cs"/>
          <w:rtl/>
        </w:rPr>
        <w:t>العهد</w:t>
      </w:r>
      <w:r w:rsidRPr="003C2F1B">
        <w:rPr>
          <w:rtl/>
        </w:rPr>
        <w:t xml:space="preserve"> </w:t>
      </w:r>
      <w:r w:rsidRPr="003C2F1B">
        <w:rPr>
          <w:rFonts w:hint="cs"/>
          <w:rtl/>
        </w:rPr>
        <w:t>الدولي</w:t>
      </w:r>
      <w:r w:rsidRPr="003C2F1B">
        <w:rPr>
          <w:rtl/>
        </w:rPr>
        <w:t xml:space="preserve"> </w:t>
      </w:r>
      <w:r w:rsidRPr="003C2F1B">
        <w:rPr>
          <w:rFonts w:hint="cs"/>
          <w:rtl/>
        </w:rPr>
        <w:t>الخاص</w:t>
      </w:r>
      <w:r w:rsidRPr="003C2F1B">
        <w:rPr>
          <w:rtl/>
        </w:rPr>
        <w:t xml:space="preserve"> </w:t>
      </w:r>
      <w:r w:rsidRPr="003C2F1B">
        <w:rPr>
          <w:rFonts w:hint="cs"/>
          <w:rtl/>
        </w:rPr>
        <w:t>بالحقوق</w:t>
      </w:r>
      <w:r w:rsidRPr="003C2F1B">
        <w:rPr>
          <w:rtl/>
        </w:rPr>
        <w:t xml:space="preserve"> </w:t>
      </w:r>
      <w:r w:rsidRPr="003C2F1B">
        <w:rPr>
          <w:rFonts w:hint="cs"/>
          <w:rtl/>
        </w:rPr>
        <w:t>ا</w:t>
      </w:r>
      <w:r w:rsidRPr="003C2F1B">
        <w:rPr>
          <w:rtl/>
        </w:rPr>
        <w:t>لمدنية والسياسية</w:t>
      </w:r>
      <w:r w:rsidR="009F174B" w:rsidRPr="003C2F1B">
        <w:rPr>
          <w:rFonts w:hint="cs"/>
          <w:rtl/>
        </w:rPr>
        <w:t>،</w:t>
      </w:r>
      <w:r w:rsidRPr="003C2F1B">
        <w:rPr>
          <w:rtl/>
        </w:rPr>
        <w:t xml:space="preserve"> يشمل الحق في المشاركة </w:t>
      </w:r>
      <w:r w:rsidR="00C64B00" w:rsidRPr="003C2F1B">
        <w:rPr>
          <w:rtl/>
        </w:rPr>
        <w:t xml:space="preserve">في </w:t>
      </w:r>
      <w:r w:rsidR="006746AB" w:rsidRPr="003C2F1B">
        <w:rPr>
          <w:rtl/>
        </w:rPr>
        <w:t>الشؤون العامة</w:t>
      </w:r>
      <w:r w:rsidR="00C64B00" w:rsidRPr="003C2F1B">
        <w:rPr>
          <w:rtl/>
        </w:rPr>
        <w:t xml:space="preserve"> </w:t>
      </w:r>
      <w:r w:rsidRPr="003C2F1B">
        <w:rPr>
          <w:rtl/>
        </w:rPr>
        <w:t xml:space="preserve">حق الفرد في </w:t>
      </w:r>
      <w:r w:rsidR="00A35356" w:rsidRPr="003C2F1B">
        <w:rPr>
          <w:rtl/>
        </w:rPr>
        <w:t>أن يشارك في إدارة الشؤون العامة</w:t>
      </w:r>
      <w:r w:rsidR="003C2F1B" w:rsidRPr="003C2F1B">
        <w:rPr>
          <w:rtl/>
        </w:rPr>
        <w:t xml:space="preserve"> وفي </w:t>
      </w:r>
      <w:r w:rsidRPr="003C2F1B">
        <w:rPr>
          <w:rtl/>
        </w:rPr>
        <w:t xml:space="preserve">أن يَنتخب </w:t>
      </w:r>
      <w:r w:rsidR="00A35356" w:rsidRPr="003C2F1B">
        <w:rPr>
          <w:rtl/>
        </w:rPr>
        <w:t>ويُنتخب</w:t>
      </w:r>
      <w:r w:rsidRPr="003C2F1B">
        <w:rPr>
          <w:rtl/>
        </w:rPr>
        <w:t xml:space="preserve"> ويتقلّد الوظائف العامة في بلده</w:t>
      </w:r>
      <w:r w:rsidRPr="003C2F1B">
        <w:rPr>
          <w:rFonts w:hint="cs"/>
          <w:rtl/>
        </w:rPr>
        <w:t>. وتتضمن</w:t>
      </w:r>
      <w:r w:rsidRPr="003C2F1B">
        <w:rPr>
          <w:rtl/>
        </w:rPr>
        <w:t xml:space="preserve"> </w:t>
      </w:r>
      <w:r w:rsidRPr="003C2F1B">
        <w:rPr>
          <w:rFonts w:hint="cs"/>
          <w:rtl/>
        </w:rPr>
        <w:t>معاهدات</w:t>
      </w:r>
      <w:r w:rsidRPr="003C2F1B">
        <w:rPr>
          <w:rtl/>
        </w:rPr>
        <w:t xml:space="preserve"> </w:t>
      </w:r>
      <w:r w:rsidRPr="003C2F1B">
        <w:rPr>
          <w:rFonts w:hint="cs"/>
          <w:rtl/>
        </w:rPr>
        <w:t>دولية</w:t>
      </w:r>
      <w:r w:rsidRPr="003C2F1B">
        <w:rPr>
          <w:rtl/>
        </w:rPr>
        <w:t xml:space="preserve"> </w:t>
      </w:r>
      <w:r w:rsidRPr="003C2F1B">
        <w:rPr>
          <w:rFonts w:hint="cs"/>
          <w:rtl/>
        </w:rPr>
        <w:t>أخرى</w:t>
      </w:r>
      <w:r w:rsidRPr="003C2F1B">
        <w:rPr>
          <w:rtl/>
        </w:rPr>
        <w:t xml:space="preserve"> </w:t>
      </w:r>
      <w:r w:rsidRPr="003C2F1B">
        <w:rPr>
          <w:rFonts w:hint="cs"/>
          <w:rtl/>
        </w:rPr>
        <w:t>لحقوق</w:t>
      </w:r>
      <w:r w:rsidRPr="003C2F1B">
        <w:rPr>
          <w:rtl/>
        </w:rPr>
        <w:t xml:space="preserve"> </w:t>
      </w:r>
      <w:r w:rsidRPr="003C2F1B">
        <w:rPr>
          <w:rFonts w:hint="cs"/>
          <w:rtl/>
        </w:rPr>
        <w:t>الإنسان</w:t>
      </w:r>
      <w:r w:rsidRPr="003C2F1B">
        <w:rPr>
          <w:rtl/>
        </w:rPr>
        <w:t xml:space="preserve"> </w:t>
      </w:r>
      <w:r w:rsidRPr="003C2F1B">
        <w:rPr>
          <w:rFonts w:hint="cs"/>
          <w:rtl/>
        </w:rPr>
        <w:t>أحكاماً</w:t>
      </w:r>
      <w:r w:rsidRPr="003C2F1B">
        <w:rPr>
          <w:rtl/>
        </w:rPr>
        <w:t xml:space="preserve"> </w:t>
      </w:r>
      <w:r w:rsidRPr="003C2F1B">
        <w:rPr>
          <w:rFonts w:hint="cs"/>
          <w:rtl/>
        </w:rPr>
        <w:t>مماثلة</w:t>
      </w:r>
      <w:r w:rsidRPr="003C2F1B">
        <w:rPr>
          <w:rtl/>
        </w:rPr>
        <w:t xml:space="preserve"> </w:t>
      </w:r>
      <w:r w:rsidRPr="003C2F1B">
        <w:rPr>
          <w:rFonts w:hint="cs"/>
          <w:rtl/>
        </w:rPr>
        <w:t>تكمّل</w:t>
      </w:r>
      <w:r w:rsidRPr="003C2F1B">
        <w:rPr>
          <w:rtl/>
        </w:rPr>
        <w:t xml:space="preserve"> </w:t>
      </w:r>
      <w:r w:rsidRPr="003C2F1B">
        <w:rPr>
          <w:rFonts w:hint="cs"/>
          <w:rtl/>
        </w:rPr>
        <w:t>أحكام</w:t>
      </w:r>
      <w:r w:rsidRPr="003C2F1B">
        <w:rPr>
          <w:rtl/>
        </w:rPr>
        <w:t xml:space="preserve"> </w:t>
      </w:r>
      <w:r w:rsidRPr="003C2F1B">
        <w:rPr>
          <w:rFonts w:hint="cs"/>
          <w:rtl/>
        </w:rPr>
        <w:t>العهد</w:t>
      </w:r>
      <w:r w:rsidR="003C2F1B" w:rsidRPr="003C2F1B">
        <w:rPr>
          <w:vertAlign w:val="superscript"/>
          <w:rtl/>
        </w:rPr>
        <w:t>(</w:t>
      </w:r>
      <w:r w:rsidR="003C2F1B" w:rsidRPr="003C2F1B">
        <w:rPr>
          <w:vertAlign w:val="superscript"/>
          <w:rtl/>
        </w:rPr>
        <w:footnoteReference w:id="1"/>
      </w:r>
      <w:r w:rsidR="003C2F1B" w:rsidRPr="003C2F1B">
        <w:rPr>
          <w:vertAlign w:val="superscript"/>
          <w:rtl/>
        </w:rPr>
        <w:t>)</w:t>
      </w:r>
      <w:r w:rsidR="003C2F1B" w:rsidRPr="003C2F1B">
        <w:rPr>
          <w:rFonts w:hint="cs"/>
          <w:rtl/>
        </w:rPr>
        <w:t>.</w:t>
      </w:r>
    </w:p>
    <w:p w:rsidR="007660F0" w:rsidRPr="003C2F1B" w:rsidRDefault="007660F0" w:rsidP="003A010F">
      <w:pPr>
        <w:pStyle w:val="SingleTxtGA"/>
        <w:rPr>
          <w:rtl/>
        </w:rPr>
      </w:pPr>
      <w:r w:rsidRPr="003C2F1B">
        <w:rPr>
          <w:rFonts w:hint="cs"/>
          <w:rtl/>
        </w:rPr>
        <w:t>5-</w:t>
      </w:r>
      <w:r w:rsidRPr="003C2F1B">
        <w:rPr>
          <w:rFonts w:hint="cs"/>
          <w:rtl/>
        </w:rPr>
        <w:tab/>
      </w:r>
      <w:r w:rsidRPr="003C2F1B">
        <w:rPr>
          <w:rtl/>
        </w:rPr>
        <w:t xml:space="preserve">ولا يمكن النظر </w:t>
      </w:r>
      <w:r w:rsidR="00A35356" w:rsidRPr="003C2F1B">
        <w:rPr>
          <w:rtl/>
        </w:rPr>
        <w:t>إلى الحق في المشاركة في الش</w:t>
      </w:r>
      <w:r w:rsidR="00A35356" w:rsidRPr="003C2F1B">
        <w:rPr>
          <w:rFonts w:hint="cs"/>
          <w:rtl/>
        </w:rPr>
        <w:t>ؤو</w:t>
      </w:r>
      <w:r w:rsidRPr="003C2F1B">
        <w:rPr>
          <w:rtl/>
        </w:rPr>
        <w:t>ن السياسي</w:t>
      </w:r>
      <w:r w:rsidR="00A35356" w:rsidRPr="003C2F1B">
        <w:rPr>
          <w:rFonts w:hint="cs"/>
          <w:rtl/>
        </w:rPr>
        <w:t>ة</w:t>
      </w:r>
      <w:r w:rsidRPr="003C2F1B">
        <w:rPr>
          <w:rtl/>
        </w:rPr>
        <w:t xml:space="preserve"> والعام</w:t>
      </w:r>
      <w:r w:rsidR="00A35356" w:rsidRPr="003C2F1B">
        <w:rPr>
          <w:rFonts w:hint="cs"/>
          <w:rtl/>
        </w:rPr>
        <w:t>ة</w:t>
      </w:r>
      <w:r w:rsidRPr="003C2F1B">
        <w:rPr>
          <w:rtl/>
        </w:rPr>
        <w:t xml:space="preserve"> بمعزل عن غيره من الحقوق؛</w:t>
      </w:r>
      <w:r w:rsidRPr="003C2F1B">
        <w:rPr>
          <w:rFonts w:hint="cs"/>
          <w:rtl/>
        </w:rPr>
        <w:t xml:space="preserve"> </w:t>
      </w:r>
      <w:r w:rsidRPr="003C2F1B">
        <w:rPr>
          <w:rtl/>
        </w:rPr>
        <w:t>فهو يدعم إعمال جميع حقوق الإنسان، ويرت</w:t>
      </w:r>
      <w:r w:rsidR="00EF1263" w:rsidRPr="003C2F1B">
        <w:rPr>
          <w:rtl/>
        </w:rPr>
        <w:t>بط بها أيض</w:t>
      </w:r>
      <w:r w:rsidR="003C2F1B" w:rsidRPr="003C2F1B">
        <w:rPr>
          <w:rtl/>
        </w:rPr>
        <w:t xml:space="preserve">اً </w:t>
      </w:r>
      <w:r w:rsidR="00EF1263" w:rsidRPr="003C2F1B">
        <w:rPr>
          <w:rtl/>
        </w:rPr>
        <w:t>ارتباط</w:t>
      </w:r>
      <w:r w:rsidR="003C2F1B" w:rsidRPr="003C2F1B">
        <w:rPr>
          <w:rtl/>
        </w:rPr>
        <w:t xml:space="preserve">اً </w:t>
      </w:r>
      <w:r w:rsidR="00EF1263" w:rsidRPr="003C2F1B">
        <w:rPr>
          <w:rFonts w:hint="cs"/>
          <w:rtl/>
        </w:rPr>
        <w:t>وثيق</w:t>
      </w:r>
      <w:r w:rsidR="003C2F1B" w:rsidRPr="003C2F1B">
        <w:rPr>
          <w:rFonts w:hint="cs"/>
          <w:rtl/>
        </w:rPr>
        <w:t>اً.</w:t>
      </w:r>
      <w:r w:rsidRPr="003C2F1B">
        <w:rPr>
          <w:rFonts w:hint="cs"/>
          <w:rtl/>
        </w:rPr>
        <w:t xml:space="preserve"> </w:t>
      </w:r>
      <w:r w:rsidR="009C581E" w:rsidRPr="003C2F1B">
        <w:rPr>
          <w:rtl/>
        </w:rPr>
        <w:t xml:space="preserve">وعلى سبيل المثال، فإن </w:t>
      </w:r>
      <w:r w:rsidR="009C581E" w:rsidRPr="003C2F1B">
        <w:rPr>
          <w:rFonts w:hint="cs"/>
          <w:rtl/>
        </w:rPr>
        <w:t xml:space="preserve">مراعاة </w:t>
      </w:r>
      <w:r w:rsidR="009C581E" w:rsidRPr="003C2F1B">
        <w:rPr>
          <w:rtl/>
        </w:rPr>
        <w:t xml:space="preserve">الحقوق المتمثلة في حرية التعبير وحرية تكوين الجمعيات والتجمع السلمي والحصول على المعلومات والتعليم وممارستها على نحو كامل </w:t>
      </w:r>
      <w:r w:rsidR="00F04298" w:rsidRPr="003C2F1B">
        <w:rPr>
          <w:rFonts w:hint="cs"/>
          <w:rtl/>
        </w:rPr>
        <w:t xml:space="preserve">مسألتان تندرجان </w:t>
      </w:r>
      <w:r w:rsidR="009C581E" w:rsidRPr="003C2F1B">
        <w:rPr>
          <w:rtl/>
        </w:rPr>
        <w:t>"ضمن الشروط الأساسية للمشاركة في الشأن السياسي والعام على قدم المساواة بين الجميع"، عل</w:t>
      </w:r>
      <w:r w:rsidR="00EF1263" w:rsidRPr="003C2F1B">
        <w:rPr>
          <w:rtl/>
        </w:rPr>
        <w:t xml:space="preserve">ى النحو الذي أقره، </w:t>
      </w:r>
      <w:r w:rsidR="00EF1263" w:rsidRPr="003C2F1B">
        <w:rPr>
          <w:rFonts w:hint="cs"/>
          <w:rtl/>
        </w:rPr>
        <w:t>إلى جانب هيئات أخرى</w:t>
      </w:r>
      <w:r w:rsidR="009C581E" w:rsidRPr="003C2F1B">
        <w:rPr>
          <w:rtl/>
        </w:rPr>
        <w:t>، مجلس حقوق الإنسان في قراره 33/22</w:t>
      </w:r>
      <w:r w:rsidR="009C581E" w:rsidRPr="003C2F1B">
        <w:rPr>
          <w:rFonts w:hint="cs"/>
          <w:rtl/>
        </w:rPr>
        <w:t>.</w:t>
      </w:r>
    </w:p>
    <w:p w:rsidR="009C581E" w:rsidRPr="003C2F1B" w:rsidRDefault="009C581E" w:rsidP="003A010F">
      <w:pPr>
        <w:pStyle w:val="SingleTxtGA"/>
        <w:rPr>
          <w:rtl/>
        </w:rPr>
      </w:pPr>
      <w:r w:rsidRPr="003C2F1B">
        <w:rPr>
          <w:rFonts w:hint="cs"/>
          <w:rtl/>
        </w:rPr>
        <w:t>6-</w:t>
      </w:r>
      <w:r w:rsidRPr="003C2F1B">
        <w:rPr>
          <w:rFonts w:hint="cs"/>
          <w:rtl/>
        </w:rPr>
        <w:tab/>
      </w:r>
      <w:r w:rsidR="0091089D" w:rsidRPr="003C2F1B">
        <w:rPr>
          <w:rtl/>
        </w:rPr>
        <w:t>وفي القرار ذاته، اعترف المجلس أيض</w:t>
      </w:r>
      <w:r w:rsidR="003C2F1B" w:rsidRPr="003C2F1B">
        <w:rPr>
          <w:rtl/>
        </w:rPr>
        <w:t xml:space="preserve">اً </w:t>
      </w:r>
      <w:r w:rsidR="0091089D" w:rsidRPr="003C2F1B">
        <w:rPr>
          <w:rtl/>
        </w:rPr>
        <w:t xml:space="preserve">أنه، رغم التقدم المحرز من أجل إعمال الحق في المشاركة في </w:t>
      </w:r>
      <w:r w:rsidR="006746AB" w:rsidRPr="003C2F1B">
        <w:rPr>
          <w:rtl/>
        </w:rPr>
        <w:t>الشؤون العامة</w:t>
      </w:r>
      <w:r w:rsidR="0091089D" w:rsidRPr="003C2F1B">
        <w:rPr>
          <w:rtl/>
        </w:rPr>
        <w:t xml:space="preserve"> إعمال</w:t>
      </w:r>
      <w:r w:rsidR="003C2F1B" w:rsidRPr="003C2F1B">
        <w:rPr>
          <w:rtl/>
        </w:rPr>
        <w:t xml:space="preserve">اً </w:t>
      </w:r>
      <w:r w:rsidR="0091089D" w:rsidRPr="003C2F1B">
        <w:rPr>
          <w:rtl/>
        </w:rPr>
        <w:t>فعال</w:t>
      </w:r>
      <w:r w:rsidR="003C2F1B" w:rsidRPr="003C2F1B">
        <w:rPr>
          <w:rtl/>
        </w:rPr>
        <w:t xml:space="preserve">اً </w:t>
      </w:r>
      <w:r w:rsidR="0091089D" w:rsidRPr="003C2F1B">
        <w:rPr>
          <w:rtl/>
        </w:rPr>
        <w:t>على الصعيد العالمي،</w:t>
      </w:r>
      <w:r w:rsidR="003C2F1B" w:rsidRPr="003C2F1B">
        <w:rPr>
          <w:rtl/>
        </w:rPr>
        <w:t xml:space="preserve"> لا </w:t>
      </w:r>
      <w:r w:rsidR="0091089D" w:rsidRPr="003C2F1B">
        <w:rPr>
          <w:rtl/>
        </w:rPr>
        <w:t xml:space="preserve">يزال العديد من الأفراد يواجهون عقبات مثل التمييز في التمتع بحقهم في المشاركة في </w:t>
      </w:r>
      <w:r w:rsidR="006746AB" w:rsidRPr="003C2F1B">
        <w:rPr>
          <w:rtl/>
        </w:rPr>
        <w:t>الشؤون العامة</w:t>
      </w:r>
      <w:r w:rsidR="0091089D" w:rsidRPr="003C2F1B">
        <w:rPr>
          <w:rtl/>
        </w:rPr>
        <w:t xml:space="preserve"> لبلدانهم</w:t>
      </w:r>
      <w:r w:rsidR="003C2F1B" w:rsidRPr="003C2F1B">
        <w:rPr>
          <w:vertAlign w:val="superscript"/>
          <w:rtl/>
        </w:rPr>
        <w:t>(</w:t>
      </w:r>
      <w:r w:rsidR="003C2F1B" w:rsidRPr="003C2F1B">
        <w:rPr>
          <w:vertAlign w:val="superscript"/>
          <w:rtl/>
        </w:rPr>
        <w:footnoteReference w:id="2"/>
      </w:r>
      <w:r w:rsidR="003C2F1B" w:rsidRPr="003C2F1B">
        <w:rPr>
          <w:vertAlign w:val="superscript"/>
          <w:rtl/>
        </w:rPr>
        <w:t>)</w:t>
      </w:r>
      <w:r w:rsidR="003C2F1B" w:rsidRPr="003C2F1B">
        <w:rPr>
          <w:rFonts w:hint="cs"/>
          <w:rtl/>
        </w:rPr>
        <w:t>.</w:t>
      </w:r>
    </w:p>
    <w:p w:rsidR="0091089D" w:rsidRPr="003C2F1B" w:rsidRDefault="0091089D" w:rsidP="003A010F">
      <w:pPr>
        <w:pStyle w:val="HChGA"/>
        <w:rPr>
          <w:rtl/>
        </w:rPr>
      </w:pPr>
      <w:r w:rsidRPr="003C2F1B">
        <w:rPr>
          <w:rtl/>
        </w:rPr>
        <w:tab/>
      </w:r>
      <w:r w:rsidRPr="003C2F1B">
        <w:rPr>
          <w:rFonts w:hint="cs"/>
          <w:rtl/>
        </w:rPr>
        <w:t>ثالث</w:t>
      </w:r>
      <w:r w:rsidR="003C2F1B" w:rsidRPr="003C2F1B">
        <w:rPr>
          <w:rFonts w:hint="cs"/>
          <w:rtl/>
        </w:rPr>
        <w:t>اً</w:t>
      </w:r>
      <w:r w:rsidR="003C2F1B" w:rsidRPr="003C2F1B">
        <w:rPr>
          <w:rtl/>
        </w:rPr>
        <w:t>-</w:t>
      </w:r>
      <w:r w:rsidRPr="003C2F1B">
        <w:rPr>
          <w:rtl/>
        </w:rPr>
        <w:tab/>
        <w:t>المشاورة الإقليمية الخاصة بمنطقة الشرق الأوسط وشمال أفريقيا</w:t>
      </w:r>
    </w:p>
    <w:p w:rsidR="0050129E" w:rsidRPr="003C2F1B" w:rsidRDefault="003A010F" w:rsidP="003A010F">
      <w:pPr>
        <w:pStyle w:val="H1GA"/>
        <w:rPr>
          <w:rtl/>
        </w:rPr>
      </w:pPr>
      <w:r w:rsidRPr="003C2F1B">
        <w:rPr>
          <w:rtl/>
        </w:rPr>
        <w:tab/>
      </w:r>
      <w:r w:rsidRPr="003C2F1B">
        <w:rPr>
          <w:rFonts w:hint="cs"/>
          <w:rtl/>
        </w:rPr>
        <w:t>(أ)</w:t>
      </w:r>
      <w:r w:rsidRPr="003C2F1B">
        <w:rPr>
          <w:rtl/>
        </w:rPr>
        <w:tab/>
      </w:r>
      <w:r w:rsidR="0050129E" w:rsidRPr="003C2F1B">
        <w:rPr>
          <w:rFonts w:hint="cs"/>
          <w:rtl/>
        </w:rPr>
        <w:t>أهداف المشاورة</w:t>
      </w:r>
    </w:p>
    <w:p w:rsidR="0091089D" w:rsidRPr="003C2F1B" w:rsidRDefault="00384986" w:rsidP="003A010F">
      <w:pPr>
        <w:pStyle w:val="SingleTxtGA"/>
        <w:rPr>
          <w:rtl/>
        </w:rPr>
      </w:pPr>
      <w:r w:rsidRPr="003C2F1B">
        <w:rPr>
          <w:rFonts w:hint="cs"/>
          <w:rtl/>
        </w:rPr>
        <w:t>7-</w:t>
      </w:r>
      <w:r w:rsidRPr="003C2F1B">
        <w:rPr>
          <w:rFonts w:hint="cs"/>
          <w:rtl/>
        </w:rPr>
        <w:tab/>
      </w:r>
      <w:r w:rsidRPr="003C2F1B">
        <w:rPr>
          <w:rtl/>
        </w:rPr>
        <w:t>تتمثل الأهداف الرئيسية للمشاورة الإقليمية في (أ) التماس آراء الجهات المعنية في منطقة الشرق الأوسط وشمال أفريقيا بشأن محتوى مشروع المبادئ التوجيهي</w:t>
      </w:r>
      <w:r w:rsidR="002A43AE" w:rsidRPr="003C2F1B">
        <w:rPr>
          <w:rtl/>
        </w:rPr>
        <w:t>ة، و(ب) تحقيق فهم أفضل للقوانين والسوابق القضائية</w:t>
      </w:r>
      <w:r w:rsidRPr="003C2F1B">
        <w:rPr>
          <w:rtl/>
        </w:rPr>
        <w:t xml:space="preserve"> والسياسات والممارسات الجيدة في المنطقة </w:t>
      </w:r>
      <w:r w:rsidR="003C2F1B" w:rsidRPr="003C2F1B">
        <w:rPr>
          <w:rtl/>
        </w:rPr>
        <w:t>فيما يتعلق</w:t>
      </w:r>
      <w:r w:rsidRPr="003C2F1B">
        <w:rPr>
          <w:rtl/>
        </w:rPr>
        <w:t xml:space="preserve"> بإعمال </w:t>
      </w:r>
      <w:r w:rsidRPr="003C2F1B">
        <w:rPr>
          <w:rtl/>
        </w:rPr>
        <w:lastRenderedPageBreak/>
        <w:t xml:space="preserve">الحق في المشاركة في </w:t>
      </w:r>
      <w:r w:rsidR="006746AB" w:rsidRPr="003C2F1B">
        <w:rPr>
          <w:rtl/>
        </w:rPr>
        <w:t>الشؤون العامة</w:t>
      </w:r>
      <w:r w:rsidRPr="003C2F1B">
        <w:rPr>
          <w:rtl/>
        </w:rPr>
        <w:t xml:space="preserve"> إعمال</w:t>
      </w:r>
      <w:r w:rsidR="003C2F1B" w:rsidRPr="003C2F1B">
        <w:rPr>
          <w:rtl/>
        </w:rPr>
        <w:t xml:space="preserve">اً </w:t>
      </w:r>
      <w:r w:rsidRPr="003C2F1B">
        <w:rPr>
          <w:rtl/>
        </w:rPr>
        <w:t>فعال</w:t>
      </w:r>
      <w:r w:rsidR="003C2F1B" w:rsidRPr="003C2F1B">
        <w:rPr>
          <w:rtl/>
        </w:rPr>
        <w:t>اً</w:t>
      </w:r>
      <w:r w:rsidR="003C2F1B" w:rsidRPr="003C2F1B">
        <w:rPr>
          <w:rFonts w:hint="cs"/>
          <w:rtl/>
        </w:rPr>
        <w:t>.</w:t>
      </w:r>
      <w:r w:rsidR="001837E5" w:rsidRPr="003C2F1B">
        <w:rPr>
          <w:rFonts w:hint="cs"/>
          <w:rtl/>
        </w:rPr>
        <w:t xml:space="preserve"> </w:t>
      </w:r>
      <w:r w:rsidR="00E06A00" w:rsidRPr="003C2F1B">
        <w:rPr>
          <w:rtl/>
        </w:rPr>
        <w:t>وينبغي أن تساعد المناقشات التي ستجرى خلال المشاورة المفوضية السامية في إعداد مشروع المبادئ التوجيهية</w:t>
      </w:r>
      <w:r w:rsidR="001837E5" w:rsidRPr="003C2F1B">
        <w:rPr>
          <w:rFonts w:hint="cs"/>
          <w:rtl/>
        </w:rPr>
        <w:t>.</w:t>
      </w:r>
    </w:p>
    <w:p w:rsidR="001837E5" w:rsidRPr="003C2F1B" w:rsidRDefault="003A010F" w:rsidP="003A010F">
      <w:pPr>
        <w:pStyle w:val="H1GA"/>
        <w:rPr>
          <w:rtl/>
        </w:rPr>
      </w:pPr>
      <w:r w:rsidRPr="003C2F1B">
        <w:rPr>
          <w:rtl/>
        </w:rPr>
        <w:tab/>
      </w:r>
      <w:r w:rsidRPr="003C2F1B">
        <w:rPr>
          <w:rFonts w:hint="cs"/>
          <w:rtl/>
        </w:rPr>
        <w:t>(ب)</w:t>
      </w:r>
      <w:r w:rsidR="001837E5" w:rsidRPr="003C2F1B">
        <w:rPr>
          <w:rtl/>
        </w:rPr>
        <w:tab/>
      </w:r>
      <w:r w:rsidR="00E06A00" w:rsidRPr="003C2F1B">
        <w:rPr>
          <w:rtl/>
        </w:rPr>
        <w:t>المشاركون</w:t>
      </w:r>
    </w:p>
    <w:p w:rsidR="001837E5" w:rsidRPr="003C2F1B" w:rsidRDefault="001837E5" w:rsidP="003C2F1B">
      <w:pPr>
        <w:pStyle w:val="SingleTxtGA"/>
        <w:rPr>
          <w:rtl/>
        </w:rPr>
      </w:pPr>
      <w:r w:rsidRPr="003C2F1B">
        <w:rPr>
          <w:rFonts w:hint="cs"/>
          <w:rtl/>
        </w:rPr>
        <w:t>8-</w:t>
      </w:r>
      <w:r w:rsidRPr="003C2F1B">
        <w:rPr>
          <w:rFonts w:hint="cs"/>
          <w:rtl/>
        </w:rPr>
        <w:tab/>
      </w:r>
      <w:r w:rsidR="00E06A00" w:rsidRPr="003C2F1B">
        <w:rPr>
          <w:rtl/>
        </w:rPr>
        <w:t>سيدعى للحضور الخبراء من المنطقة، بمن فيهم الأعضاء الحاليون</w:t>
      </w:r>
      <w:r w:rsidR="003C2F1B" w:rsidRPr="003C2F1B">
        <w:rPr>
          <w:rtl/>
        </w:rPr>
        <w:t xml:space="preserve"> أو </w:t>
      </w:r>
      <w:r w:rsidR="00E06A00" w:rsidRPr="003C2F1B">
        <w:rPr>
          <w:rtl/>
        </w:rPr>
        <w:t>السابقون في هيئات معاهدات حقوق الإنسان والمكلفون بولاي</w:t>
      </w:r>
      <w:r w:rsidR="002A43AE" w:rsidRPr="003C2F1B">
        <w:rPr>
          <w:rtl/>
        </w:rPr>
        <w:t>ات في إطار الإجراءات الخاصة، وممثلون و</w:t>
      </w:r>
      <w:r w:rsidR="00E06A00" w:rsidRPr="003C2F1B">
        <w:rPr>
          <w:rtl/>
        </w:rPr>
        <w:t xml:space="preserve">خبراء من </w:t>
      </w:r>
      <w:r w:rsidR="002A43AE" w:rsidRPr="003C2F1B">
        <w:rPr>
          <w:rtl/>
        </w:rPr>
        <w:t>الآليات الإقليمية لحقوق الإنسان</w:t>
      </w:r>
      <w:r w:rsidR="00E06A00" w:rsidRPr="003C2F1B">
        <w:rPr>
          <w:rtl/>
        </w:rPr>
        <w:t xml:space="preserve"> </w:t>
      </w:r>
      <w:r w:rsidR="002A43AE" w:rsidRPr="003C2F1B">
        <w:rPr>
          <w:rtl/>
        </w:rPr>
        <w:t>والمؤسسات الوطنية لحقوق الإنسان ومنظمات المجتمع المدني</w:t>
      </w:r>
      <w:r w:rsidR="00E06A00" w:rsidRPr="003C2F1B">
        <w:rPr>
          <w:rtl/>
        </w:rPr>
        <w:t xml:space="preserve"> والأوساط الأكاديمية، مع مراعاة التوازن الجنساني والجغرافي ومجالات الخبرة</w:t>
      </w:r>
      <w:r w:rsidR="00E06A00" w:rsidRPr="003C2F1B">
        <w:rPr>
          <w:rFonts w:hint="cs"/>
          <w:rtl/>
        </w:rPr>
        <w:t>.</w:t>
      </w:r>
      <w:r w:rsidR="003C2F1B" w:rsidRPr="003C2F1B">
        <w:rPr>
          <w:rFonts w:hint="cs"/>
          <w:rtl/>
        </w:rPr>
        <w:t xml:space="preserve"> كما </w:t>
      </w:r>
      <w:r w:rsidR="00E06A00" w:rsidRPr="003C2F1B">
        <w:rPr>
          <w:rtl/>
        </w:rPr>
        <w:t>سيكون الاجتماع مفتوح</w:t>
      </w:r>
      <w:r w:rsidR="003C2F1B" w:rsidRPr="003C2F1B">
        <w:rPr>
          <w:rtl/>
        </w:rPr>
        <w:t xml:space="preserve">اً </w:t>
      </w:r>
      <w:r w:rsidR="00E06A00" w:rsidRPr="003C2F1B">
        <w:rPr>
          <w:rtl/>
        </w:rPr>
        <w:t>أمام مشاركة ممثلي الدول والجهات المعنية الأخرى من المنطقة لإتاحة إمكانية إجراء مشاورة مفتوحة وشاملة وشفافة</w:t>
      </w:r>
      <w:r w:rsidRPr="003C2F1B">
        <w:rPr>
          <w:rFonts w:hint="cs"/>
          <w:rtl/>
        </w:rPr>
        <w:t>.</w:t>
      </w:r>
    </w:p>
    <w:p w:rsidR="00E06A00" w:rsidRPr="003C2F1B" w:rsidRDefault="003A010F" w:rsidP="003A010F">
      <w:pPr>
        <w:pStyle w:val="H1GA"/>
        <w:rPr>
          <w:rtl/>
        </w:rPr>
      </w:pPr>
      <w:r w:rsidRPr="003C2F1B">
        <w:rPr>
          <w:rtl/>
        </w:rPr>
        <w:tab/>
      </w:r>
      <w:r w:rsidRPr="003C2F1B">
        <w:rPr>
          <w:rFonts w:hint="cs"/>
          <w:rtl/>
        </w:rPr>
        <w:t>(ج)</w:t>
      </w:r>
      <w:r w:rsidRPr="003C2F1B">
        <w:rPr>
          <w:rtl/>
        </w:rPr>
        <w:tab/>
      </w:r>
      <w:r w:rsidR="00E06A00" w:rsidRPr="003C2F1B">
        <w:rPr>
          <w:rtl/>
        </w:rPr>
        <w:t>المسائل المقرر مناقشتها</w:t>
      </w:r>
    </w:p>
    <w:p w:rsidR="00C64B00" w:rsidRPr="003C2F1B" w:rsidRDefault="003A010F" w:rsidP="003A010F">
      <w:pPr>
        <w:pStyle w:val="H4GA"/>
        <w:rPr>
          <w:rtl/>
        </w:rPr>
      </w:pPr>
      <w:r w:rsidRPr="003C2F1B">
        <w:rPr>
          <w:rtl/>
        </w:rPr>
        <w:tab/>
      </w:r>
      <w:r w:rsidR="00C64B00" w:rsidRPr="003C2F1B">
        <w:rPr>
          <w:rtl/>
        </w:rPr>
        <w:t>(1)</w:t>
      </w:r>
      <w:r w:rsidRPr="003C2F1B">
        <w:rPr>
          <w:rtl/>
        </w:rPr>
        <w:tab/>
      </w:r>
      <w:r w:rsidR="00C64B00" w:rsidRPr="003C2F1B">
        <w:rPr>
          <w:rtl/>
        </w:rPr>
        <w:t xml:space="preserve">نطاق الحق في المشاركة في </w:t>
      </w:r>
      <w:r w:rsidR="006746AB" w:rsidRPr="003C2F1B">
        <w:rPr>
          <w:rtl/>
        </w:rPr>
        <w:t>الشؤون العامة</w:t>
      </w:r>
    </w:p>
    <w:p w:rsidR="00E06A00" w:rsidRPr="003C2F1B" w:rsidRDefault="00E06A00" w:rsidP="003A010F">
      <w:pPr>
        <w:pStyle w:val="SingleTxtGA"/>
        <w:rPr>
          <w:rtl/>
        </w:rPr>
      </w:pPr>
      <w:r w:rsidRPr="003C2F1B">
        <w:rPr>
          <w:rFonts w:hint="cs"/>
          <w:rtl/>
        </w:rPr>
        <w:t>9-</w:t>
      </w:r>
      <w:r w:rsidRPr="003C2F1B">
        <w:rPr>
          <w:rFonts w:hint="cs"/>
          <w:rtl/>
        </w:rPr>
        <w:tab/>
      </w:r>
      <w:r w:rsidR="00C64B00" w:rsidRPr="003C2F1B">
        <w:rPr>
          <w:rtl/>
        </w:rPr>
        <w:t xml:space="preserve">يشمل الحق في المشاركة في </w:t>
      </w:r>
      <w:r w:rsidR="006746AB" w:rsidRPr="003C2F1B">
        <w:rPr>
          <w:rtl/>
        </w:rPr>
        <w:t>الشؤون العامة</w:t>
      </w:r>
      <w:r w:rsidR="002A43AE" w:rsidRPr="003C2F1B">
        <w:rPr>
          <w:rtl/>
        </w:rPr>
        <w:t xml:space="preserve"> حق الفرد في أن يَنتخب ويُنتخب</w:t>
      </w:r>
      <w:r w:rsidR="00C64B00" w:rsidRPr="003C2F1B">
        <w:rPr>
          <w:rtl/>
        </w:rPr>
        <w:t xml:space="preserve"> و</w:t>
      </w:r>
      <w:r w:rsidR="002A43AE" w:rsidRPr="003C2F1B">
        <w:rPr>
          <w:rtl/>
        </w:rPr>
        <w:t>أن يشارك في إدارة الشؤون العامة</w:t>
      </w:r>
      <w:r w:rsidR="00C64B00" w:rsidRPr="003C2F1B">
        <w:rPr>
          <w:rtl/>
        </w:rPr>
        <w:t xml:space="preserve"> ويتقلّد الوظائف العامة في بلده</w:t>
      </w:r>
      <w:r w:rsidR="003C2F1B" w:rsidRPr="003C2F1B">
        <w:rPr>
          <w:vertAlign w:val="superscript"/>
          <w:rtl/>
        </w:rPr>
        <w:t>(</w:t>
      </w:r>
      <w:r w:rsidR="003C2F1B" w:rsidRPr="003C2F1B">
        <w:rPr>
          <w:vertAlign w:val="superscript"/>
          <w:rtl/>
        </w:rPr>
        <w:footnoteReference w:id="3"/>
      </w:r>
      <w:r w:rsidR="003C2F1B" w:rsidRPr="003C2F1B">
        <w:rPr>
          <w:vertAlign w:val="superscript"/>
          <w:rtl/>
        </w:rPr>
        <w:t>)</w:t>
      </w:r>
      <w:r w:rsidR="003C2F1B" w:rsidRPr="003C2F1B">
        <w:rPr>
          <w:rFonts w:hint="cs"/>
          <w:rtl/>
        </w:rPr>
        <w:t>.</w:t>
      </w:r>
    </w:p>
    <w:p w:rsidR="00C64B00" w:rsidRPr="003C2F1B" w:rsidRDefault="00C64B00" w:rsidP="003C2F1B">
      <w:pPr>
        <w:pStyle w:val="SingleTxtGA"/>
        <w:rPr>
          <w:rtl/>
        </w:rPr>
      </w:pPr>
      <w:r w:rsidRPr="003C2F1B">
        <w:rPr>
          <w:rFonts w:hint="cs"/>
          <w:rtl/>
        </w:rPr>
        <w:t>10-</w:t>
      </w:r>
      <w:r w:rsidRPr="003C2F1B">
        <w:rPr>
          <w:rFonts w:hint="cs"/>
          <w:rtl/>
        </w:rPr>
        <w:tab/>
      </w:r>
      <w:r w:rsidR="009371B3" w:rsidRPr="003C2F1B">
        <w:rPr>
          <w:rtl/>
        </w:rPr>
        <w:t>وفسرت اللجنة المعنية بحقوق الإنسان عبارة "إدارة الشؤون العامة" المشار إليها في المادة</w:t>
      </w:r>
      <w:r w:rsidR="003C2F1B" w:rsidRPr="003C2F1B">
        <w:rPr>
          <w:rFonts w:hint="cs"/>
          <w:rtl/>
        </w:rPr>
        <w:t> </w:t>
      </w:r>
      <w:r w:rsidR="009371B3" w:rsidRPr="003C2F1B">
        <w:rPr>
          <w:rtl/>
        </w:rPr>
        <w:t>25(أ) من العهد الدولي الخاص بالحقوق المدنية والسياسية بأنها "مفهوم واسع يتعلق بممارسة السلطة السياسية، وعلى وجه الخصوص، السلطات التشريعية والتنفيذية والإدارية؛ وهو يشمل شتى أوجه الإدارة العامة</w:t>
      </w:r>
      <w:r w:rsidR="003C2F1B" w:rsidRPr="003C2F1B">
        <w:rPr>
          <w:rtl/>
        </w:rPr>
        <w:t xml:space="preserve"> كما </w:t>
      </w:r>
      <w:r w:rsidR="009371B3" w:rsidRPr="003C2F1B">
        <w:rPr>
          <w:rtl/>
        </w:rPr>
        <w:t>يخص تحديد وتنفيذ السياسة العامة التي ستتبع على الأصعدة الدولية والوطنية والإقليمية والمحلية"</w:t>
      </w:r>
      <w:r w:rsidR="003C2F1B" w:rsidRPr="003C2F1B">
        <w:rPr>
          <w:vertAlign w:val="superscript"/>
          <w:rtl/>
        </w:rPr>
        <w:t>(</w:t>
      </w:r>
      <w:r w:rsidR="003C2F1B" w:rsidRPr="003C2F1B">
        <w:rPr>
          <w:vertAlign w:val="superscript"/>
          <w:rtl/>
        </w:rPr>
        <w:footnoteReference w:id="4"/>
      </w:r>
      <w:r w:rsidR="003C2F1B" w:rsidRPr="003C2F1B">
        <w:rPr>
          <w:vertAlign w:val="superscript"/>
          <w:rtl/>
        </w:rPr>
        <w:t>)</w:t>
      </w:r>
      <w:r w:rsidR="003C2F1B" w:rsidRPr="003C2F1B">
        <w:rPr>
          <w:rFonts w:hint="cs"/>
          <w:rtl/>
        </w:rPr>
        <w:t>.</w:t>
      </w:r>
      <w:r w:rsidR="00D439B7" w:rsidRPr="003C2F1B">
        <w:rPr>
          <w:rFonts w:hint="cs"/>
          <w:rtl/>
        </w:rPr>
        <w:t xml:space="preserve"> </w:t>
      </w:r>
      <w:r w:rsidR="003C0FB1" w:rsidRPr="003C2F1B">
        <w:rPr>
          <w:rtl/>
        </w:rPr>
        <w:t xml:space="preserve">وستعالج المناقشات جميع أبعاد الحق في المشاركة في </w:t>
      </w:r>
      <w:r w:rsidR="006746AB" w:rsidRPr="003C2F1B">
        <w:rPr>
          <w:rtl/>
        </w:rPr>
        <w:t>الشؤون العامة</w:t>
      </w:r>
      <w:r w:rsidR="003C2F1B" w:rsidRPr="003C2F1B">
        <w:rPr>
          <w:vertAlign w:val="superscript"/>
          <w:rtl/>
        </w:rPr>
        <w:t>(</w:t>
      </w:r>
      <w:r w:rsidR="003C2F1B" w:rsidRPr="003C2F1B">
        <w:rPr>
          <w:vertAlign w:val="superscript"/>
          <w:rtl/>
        </w:rPr>
        <w:footnoteReference w:id="5"/>
      </w:r>
      <w:r w:rsidR="003C2F1B" w:rsidRPr="003C2F1B">
        <w:rPr>
          <w:vertAlign w:val="superscript"/>
          <w:rtl/>
        </w:rPr>
        <w:t>)</w:t>
      </w:r>
      <w:r w:rsidR="003C2F1B" w:rsidRPr="003C2F1B">
        <w:rPr>
          <w:rtl/>
        </w:rPr>
        <w:t>، بما </w:t>
      </w:r>
      <w:r w:rsidR="003C0FB1" w:rsidRPr="003C2F1B">
        <w:rPr>
          <w:rtl/>
        </w:rPr>
        <w:t>في ذلك ف</w:t>
      </w:r>
      <w:r w:rsidR="00FF204F" w:rsidRPr="003C2F1B">
        <w:rPr>
          <w:rtl/>
        </w:rPr>
        <w:t>ي جميع مراحل العملية الانتخابية</w:t>
      </w:r>
      <w:r w:rsidR="003C0FB1" w:rsidRPr="003C2F1B">
        <w:rPr>
          <w:rtl/>
        </w:rPr>
        <w:t xml:space="preserve"> وفترات</w:t>
      </w:r>
      <w:r w:rsidR="003C2F1B" w:rsidRPr="003C2F1B">
        <w:rPr>
          <w:rtl/>
        </w:rPr>
        <w:t xml:space="preserve"> ما </w:t>
      </w:r>
      <w:r w:rsidR="003C0FB1" w:rsidRPr="003C2F1B">
        <w:rPr>
          <w:rtl/>
        </w:rPr>
        <w:t>بين الانتخابات</w:t>
      </w:r>
      <w:r w:rsidRPr="003C2F1B">
        <w:rPr>
          <w:rFonts w:hint="cs"/>
          <w:rtl/>
        </w:rPr>
        <w:t>.</w:t>
      </w:r>
    </w:p>
    <w:p w:rsidR="003C0FB1" w:rsidRPr="003C2F1B" w:rsidRDefault="003A010F" w:rsidP="003A010F">
      <w:pPr>
        <w:pStyle w:val="H4GA"/>
        <w:rPr>
          <w:rtl/>
        </w:rPr>
      </w:pPr>
      <w:r w:rsidRPr="003C2F1B">
        <w:rPr>
          <w:rtl/>
        </w:rPr>
        <w:tab/>
      </w:r>
      <w:r w:rsidR="003C0FB1" w:rsidRPr="003C2F1B">
        <w:rPr>
          <w:rtl/>
        </w:rPr>
        <w:t>(</w:t>
      </w:r>
      <w:r w:rsidR="003C0FB1" w:rsidRPr="003C2F1B">
        <w:rPr>
          <w:rFonts w:hint="cs"/>
          <w:rtl/>
        </w:rPr>
        <w:t>2</w:t>
      </w:r>
      <w:r w:rsidRPr="003C2F1B">
        <w:rPr>
          <w:rFonts w:hint="cs"/>
          <w:rtl/>
        </w:rPr>
        <w:t>)</w:t>
      </w:r>
      <w:r w:rsidRPr="003C2F1B">
        <w:rPr>
          <w:rtl/>
        </w:rPr>
        <w:tab/>
      </w:r>
      <w:r w:rsidR="00FF204F" w:rsidRPr="003C2F1B">
        <w:rPr>
          <w:rtl/>
        </w:rPr>
        <w:t xml:space="preserve">إطار المشاركة المجدية </w:t>
      </w:r>
      <w:r w:rsidR="003C0FB1" w:rsidRPr="003C2F1B">
        <w:rPr>
          <w:rtl/>
        </w:rPr>
        <w:t xml:space="preserve">على قدم المساواة في إدارة </w:t>
      </w:r>
      <w:r w:rsidR="006746AB" w:rsidRPr="003C2F1B">
        <w:rPr>
          <w:rtl/>
        </w:rPr>
        <w:t>الشؤون العامة</w:t>
      </w:r>
    </w:p>
    <w:p w:rsidR="003C0FB1" w:rsidRPr="003C2F1B" w:rsidRDefault="003C0FB1" w:rsidP="003A010F">
      <w:pPr>
        <w:pStyle w:val="SingleTxtGA"/>
        <w:rPr>
          <w:rtl/>
        </w:rPr>
      </w:pPr>
      <w:r w:rsidRPr="003C2F1B">
        <w:rPr>
          <w:rFonts w:hint="cs"/>
          <w:rtl/>
        </w:rPr>
        <w:t>11-</w:t>
      </w:r>
      <w:r w:rsidRPr="003C2F1B">
        <w:rPr>
          <w:rFonts w:hint="cs"/>
          <w:rtl/>
        </w:rPr>
        <w:tab/>
      </w:r>
      <w:r w:rsidRPr="003C2F1B">
        <w:rPr>
          <w:rtl/>
        </w:rPr>
        <w:t>لضمان المشاركة الفعالة على قدم المساواة في الشؤون السياسية والعامة، ينبغي أن تتوافق الآليات والعمليات التشاركية مع مبادئ معينة، مثل عدم التمييز و</w:t>
      </w:r>
      <w:r w:rsidR="006746AB" w:rsidRPr="003C2F1B">
        <w:rPr>
          <w:rtl/>
        </w:rPr>
        <w:t>شمول الجميع</w:t>
      </w:r>
      <w:r w:rsidRPr="003C2F1B">
        <w:rPr>
          <w:rtl/>
        </w:rPr>
        <w:t xml:space="preserve"> والانفتاح </w:t>
      </w:r>
      <w:r w:rsidRPr="003C2F1B">
        <w:rPr>
          <w:rtl/>
        </w:rPr>
        <w:lastRenderedPageBreak/>
        <w:t>و</w:t>
      </w:r>
      <w:r w:rsidR="006746AB" w:rsidRPr="003C2F1B">
        <w:rPr>
          <w:rtl/>
        </w:rPr>
        <w:t>يسر الإجراءات</w:t>
      </w:r>
      <w:r w:rsidRPr="003C2F1B">
        <w:rPr>
          <w:rFonts w:hint="cs"/>
          <w:rtl/>
        </w:rPr>
        <w:t xml:space="preserve">. </w:t>
      </w:r>
      <w:r w:rsidRPr="003C2F1B">
        <w:rPr>
          <w:rtl/>
        </w:rPr>
        <w:t xml:space="preserve">وستركز المناقشات على هذه المبادئ وغيرها من المبادئ التي ينبغي الاسترشاد بها في إعمال الحق في المشاركة في </w:t>
      </w:r>
      <w:r w:rsidR="006746AB" w:rsidRPr="003C2F1B">
        <w:rPr>
          <w:rtl/>
        </w:rPr>
        <w:t>الشؤون العامة</w:t>
      </w:r>
      <w:r w:rsidRPr="003C2F1B">
        <w:rPr>
          <w:rtl/>
        </w:rPr>
        <w:t xml:space="preserve"> إعمال</w:t>
      </w:r>
      <w:r w:rsidR="003C2F1B" w:rsidRPr="003C2F1B">
        <w:rPr>
          <w:rtl/>
        </w:rPr>
        <w:t xml:space="preserve">اً </w:t>
      </w:r>
      <w:r w:rsidRPr="003C2F1B">
        <w:rPr>
          <w:rtl/>
        </w:rPr>
        <w:t>فعال</w:t>
      </w:r>
      <w:r w:rsidR="003C2F1B" w:rsidRPr="003C2F1B">
        <w:rPr>
          <w:rtl/>
        </w:rPr>
        <w:t>اً</w:t>
      </w:r>
      <w:r w:rsidR="003C2F1B" w:rsidRPr="003C2F1B">
        <w:rPr>
          <w:rFonts w:hint="cs"/>
          <w:rtl/>
        </w:rPr>
        <w:t>.</w:t>
      </w:r>
    </w:p>
    <w:p w:rsidR="0003487E" w:rsidRPr="003C2F1B" w:rsidRDefault="0003487E" w:rsidP="003A010F">
      <w:pPr>
        <w:pStyle w:val="SingleTxtGA"/>
        <w:rPr>
          <w:rtl/>
        </w:rPr>
      </w:pPr>
      <w:r w:rsidRPr="003C2F1B">
        <w:rPr>
          <w:rFonts w:hint="cs"/>
          <w:rtl/>
        </w:rPr>
        <w:t>12-</w:t>
      </w:r>
      <w:r w:rsidRPr="003C2F1B">
        <w:rPr>
          <w:rFonts w:hint="cs"/>
          <w:rtl/>
        </w:rPr>
        <w:tab/>
      </w:r>
      <w:r w:rsidR="00FF204F" w:rsidRPr="003C2F1B">
        <w:rPr>
          <w:rtl/>
        </w:rPr>
        <w:t xml:space="preserve">ويتطلب ضمان المشاركة المجدية </w:t>
      </w:r>
      <w:r w:rsidRPr="003C2F1B">
        <w:rPr>
          <w:rtl/>
        </w:rPr>
        <w:t xml:space="preserve">على قدم المساواة في إدارة </w:t>
      </w:r>
      <w:r w:rsidR="006746AB" w:rsidRPr="003C2F1B">
        <w:rPr>
          <w:rtl/>
        </w:rPr>
        <w:t>الشؤون العامة</w:t>
      </w:r>
      <w:r w:rsidR="004C0B35" w:rsidRPr="003C2F1B">
        <w:rPr>
          <w:rtl/>
        </w:rPr>
        <w:t xml:space="preserve"> بيئة آمنة وم</w:t>
      </w:r>
      <w:r w:rsidR="004C0B35" w:rsidRPr="003C2F1B">
        <w:rPr>
          <w:rFonts w:hint="cs"/>
          <w:rtl/>
        </w:rPr>
        <w:t>و</w:t>
      </w:r>
      <w:r w:rsidRPr="003C2F1B">
        <w:rPr>
          <w:rtl/>
        </w:rPr>
        <w:t>اتية</w:t>
      </w:r>
      <w:r w:rsidRPr="003C2F1B">
        <w:rPr>
          <w:rFonts w:hint="cs"/>
          <w:rtl/>
        </w:rPr>
        <w:t xml:space="preserve">. </w:t>
      </w:r>
      <w:r w:rsidRPr="003C2F1B">
        <w:rPr>
          <w:rtl/>
        </w:rPr>
        <w:t xml:space="preserve">وستركز المناقشات على الحقوق التي ينبغي تعزيزها وحمايتها كشرط مسبق لممارسة الحق في المشاركة في </w:t>
      </w:r>
      <w:r w:rsidR="006746AB" w:rsidRPr="003C2F1B">
        <w:rPr>
          <w:rtl/>
        </w:rPr>
        <w:t>الشؤون العامة</w:t>
      </w:r>
      <w:r w:rsidRPr="003C2F1B">
        <w:rPr>
          <w:rtl/>
        </w:rPr>
        <w:t xml:space="preserve">، وعلى الإطار المعياري والمؤسسي الذي يساهم في ضمان وتيسير </w:t>
      </w:r>
      <w:r w:rsidR="00FF204F" w:rsidRPr="003C2F1B">
        <w:rPr>
          <w:rFonts w:hint="cs"/>
          <w:rtl/>
        </w:rPr>
        <w:t xml:space="preserve">إعمال هذا </w:t>
      </w:r>
      <w:r w:rsidR="00FF204F" w:rsidRPr="003C2F1B">
        <w:rPr>
          <w:rtl/>
        </w:rPr>
        <w:t>الحق</w:t>
      </w:r>
      <w:r w:rsidRPr="003C2F1B">
        <w:rPr>
          <w:rFonts w:hint="cs"/>
          <w:rtl/>
        </w:rPr>
        <w:t>.</w:t>
      </w:r>
    </w:p>
    <w:p w:rsidR="0003487E" w:rsidRPr="003C2F1B" w:rsidRDefault="0003487E" w:rsidP="003A010F">
      <w:pPr>
        <w:pStyle w:val="SingleTxtGA"/>
        <w:rPr>
          <w:rtl/>
        </w:rPr>
      </w:pPr>
      <w:r w:rsidRPr="003C2F1B">
        <w:rPr>
          <w:rFonts w:hint="cs"/>
          <w:rtl/>
        </w:rPr>
        <w:t>13-</w:t>
      </w:r>
      <w:r w:rsidRPr="003C2F1B">
        <w:rPr>
          <w:rFonts w:hint="cs"/>
          <w:rtl/>
        </w:rPr>
        <w:tab/>
      </w:r>
      <w:r w:rsidRPr="003C2F1B">
        <w:rPr>
          <w:rtl/>
        </w:rPr>
        <w:t>وستجري مناقشة الممارسات الجيدة في المنطقة التي تتيح مستويات مختلفة من المشاركة في ممارسة السلطات التشريعية والتنفيذية والإدارية،</w:t>
      </w:r>
      <w:r w:rsidR="003C2F1B" w:rsidRPr="003C2F1B">
        <w:rPr>
          <w:rtl/>
        </w:rPr>
        <w:t xml:space="preserve"> بما </w:t>
      </w:r>
      <w:r w:rsidRPr="003C2F1B">
        <w:rPr>
          <w:rtl/>
        </w:rPr>
        <w:t>في ذلك في وضع التشريعات وصياغة السياسات وتنفيذها على الصعد الوطنية والإقليمية والمحلية</w:t>
      </w:r>
      <w:r w:rsidRPr="003C2F1B">
        <w:rPr>
          <w:rFonts w:hint="cs"/>
          <w:rtl/>
        </w:rPr>
        <w:t>.</w:t>
      </w:r>
      <w:r w:rsidR="003C2F1B" w:rsidRPr="003C2F1B">
        <w:rPr>
          <w:rFonts w:hint="cs"/>
          <w:rtl/>
        </w:rPr>
        <w:t xml:space="preserve"> كما </w:t>
      </w:r>
      <w:r w:rsidRPr="003C2F1B">
        <w:rPr>
          <w:rtl/>
        </w:rPr>
        <w:t>ستركز المناقشات على سبل الانتصاف المتاحة في حالة عدم إعمال الحق في المشاركة</w:t>
      </w:r>
      <w:r w:rsidRPr="003C2F1B">
        <w:rPr>
          <w:rFonts w:hint="cs"/>
          <w:rtl/>
        </w:rPr>
        <w:t xml:space="preserve">. </w:t>
      </w:r>
      <w:r w:rsidRPr="003C2F1B">
        <w:rPr>
          <w:rtl/>
        </w:rPr>
        <w:t xml:space="preserve">وتزايد الاعتراف بأهمية ضمان الحق في المشاركة في </w:t>
      </w:r>
      <w:r w:rsidR="006746AB" w:rsidRPr="003C2F1B">
        <w:rPr>
          <w:rtl/>
        </w:rPr>
        <w:t>الشؤون العامة</w:t>
      </w:r>
      <w:r w:rsidRPr="003C2F1B">
        <w:rPr>
          <w:rtl/>
        </w:rPr>
        <w:t xml:space="preserve"> على الصعيدين الإقليمي والدولي،</w:t>
      </w:r>
      <w:r w:rsidR="003C2F1B" w:rsidRPr="003C2F1B">
        <w:rPr>
          <w:rtl/>
        </w:rPr>
        <w:t xml:space="preserve"> بما </w:t>
      </w:r>
      <w:r w:rsidRPr="003C2F1B">
        <w:rPr>
          <w:rtl/>
        </w:rPr>
        <w:t>في ذلك داخل المنظمات الدولية، وستناقَش هذه المسألة أيض</w:t>
      </w:r>
      <w:r w:rsidR="003C2F1B" w:rsidRPr="003C2F1B">
        <w:rPr>
          <w:rtl/>
        </w:rPr>
        <w:t>اً</w:t>
      </w:r>
      <w:r w:rsidR="003C2F1B" w:rsidRPr="003C2F1B">
        <w:rPr>
          <w:vertAlign w:val="superscript"/>
          <w:rtl/>
        </w:rPr>
        <w:t>(</w:t>
      </w:r>
      <w:r w:rsidR="003C2F1B" w:rsidRPr="003C2F1B">
        <w:rPr>
          <w:vertAlign w:val="superscript"/>
          <w:rtl/>
        </w:rPr>
        <w:footnoteReference w:id="6"/>
      </w:r>
      <w:r w:rsidR="003C2F1B" w:rsidRPr="003C2F1B">
        <w:rPr>
          <w:vertAlign w:val="superscript"/>
          <w:rtl/>
        </w:rPr>
        <w:t>)</w:t>
      </w:r>
      <w:r w:rsidR="003C2F1B" w:rsidRPr="003C2F1B">
        <w:rPr>
          <w:rFonts w:hint="cs"/>
          <w:rtl/>
        </w:rPr>
        <w:t>.</w:t>
      </w:r>
    </w:p>
    <w:p w:rsidR="0003487E" w:rsidRPr="003C2F1B" w:rsidRDefault="0003487E" w:rsidP="003A010F">
      <w:pPr>
        <w:pStyle w:val="SingleTxtGA"/>
        <w:rPr>
          <w:rtl/>
        </w:rPr>
      </w:pPr>
      <w:r w:rsidRPr="003C2F1B">
        <w:rPr>
          <w:rFonts w:hint="cs"/>
          <w:rtl/>
        </w:rPr>
        <w:t>14-</w:t>
      </w:r>
      <w:r w:rsidRPr="003C2F1B">
        <w:rPr>
          <w:rFonts w:hint="cs"/>
          <w:rtl/>
        </w:rPr>
        <w:tab/>
      </w:r>
      <w:r w:rsidR="004C0B35" w:rsidRPr="003C2F1B">
        <w:rPr>
          <w:rtl/>
        </w:rPr>
        <w:t>كما س</w:t>
      </w:r>
      <w:r w:rsidRPr="003C2F1B">
        <w:rPr>
          <w:rtl/>
        </w:rPr>
        <w:t>ت</w:t>
      </w:r>
      <w:r w:rsidR="004C0B35" w:rsidRPr="003C2F1B">
        <w:rPr>
          <w:rFonts w:hint="cs"/>
          <w:rtl/>
        </w:rPr>
        <w:t>ن</w:t>
      </w:r>
      <w:r w:rsidRPr="003C2F1B">
        <w:rPr>
          <w:rtl/>
        </w:rPr>
        <w:t xml:space="preserve">اقش مسألة الأشكال </w:t>
      </w:r>
      <w:r w:rsidR="00096072" w:rsidRPr="003C2F1B">
        <w:rPr>
          <w:rFonts w:hint="cs"/>
          <w:rtl/>
        </w:rPr>
        <w:t>الجديدة و</w:t>
      </w:r>
      <w:r w:rsidRPr="003C2F1B">
        <w:rPr>
          <w:rtl/>
        </w:rPr>
        <w:t>الناشئة للمشاركة،</w:t>
      </w:r>
      <w:r w:rsidR="003C2F1B" w:rsidRPr="003C2F1B">
        <w:rPr>
          <w:rtl/>
        </w:rPr>
        <w:t xml:space="preserve"> ولا </w:t>
      </w:r>
      <w:r w:rsidRPr="003C2F1B">
        <w:rPr>
          <w:rtl/>
        </w:rPr>
        <w:t>سيما من خلال تكنولوجيا المعلومات والاتصالات ووسائ</w:t>
      </w:r>
      <w:r w:rsidR="00096072" w:rsidRPr="003C2F1B">
        <w:rPr>
          <w:rFonts w:hint="cs"/>
          <w:rtl/>
        </w:rPr>
        <w:t>ل</w:t>
      </w:r>
      <w:r w:rsidRPr="003C2F1B">
        <w:rPr>
          <w:rtl/>
        </w:rPr>
        <w:t xml:space="preserve"> التواصل الاجتماعي</w:t>
      </w:r>
      <w:r w:rsidRPr="003C2F1B">
        <w:rPr>
          <w:rFonts w:hint="cs"/>
          <w:rtl/>
        </w:rPr>
        <w:t>.</w:t>
      </w:r>
    </w:p>
    <w:p w:rsidR="00092AE3" w:rsidRPr="003C2F1B" w:rsidRDefault="003A010F" w:rsidP="003A010F">
      <w:pPr>
        <w:pStyle w:val="H1GA"/>
        <w:rPr>
          <w:rtl/>
        </w:rPr>
      </w:pPr>
      <w:r w:rsidRPr="003C2F1B">
        <w:rPr>
          <w:rtl/>
        </w:rPr>
        <w:tab/>
      </w:r>
      <w:r w:rsidRPr="003C2F1B">
        <w:rPr>
          <w:rFonts w:hint="cs"/>
          <w:rtl/>
        </w:rPr>
        <w:t>(د)</w:t>
      </w:r>
      <w:r w:rsidR="00092AE3" w:rsidRPr="003C2F1B">
        <w:rPr>
          <w:rtl/>
        </w:rPr>
        <w:tab/>
      </w:r>
      <w:r w:rsidR="00092AE3" w:rsidRPr="003C2F1B">
        <w:rPr>
          <w:rFonts w:hint="cs"/>
          <w:rtl/>
        </w:rPr>
        <w:t>النتائج</w:t>
      </w:r>
    </w:p>
    <w:p w:rsidR="001837E5" w:rsidRPr="003C2F1B" w:rsidRDefault="00092AE3" w:rsidP="00BD41F7">
      <w:pPr>
        <w:pStyle w:val="SingleTxtGA"/>
        <w:rPr>
          <w:rtl/>
        </w:rPr>
      </w:pPr>
      <w:r w:rsidRPr="003C2F1B">
        <w:rPr>
          <w:rFonts w:hint="cs"/>
          <w:rtl/>
        </w:rPr>
        <w:t>15-</w:t>
      </w:r>
      <w:r w:rsidRPr="003C2F1B">
        <w:rPr>
          <w:rFonts w:hint="cs"/>
          <w:rtl/>
        </w:rPr>
        <w:tab/>
      </w:r>
      <w:r w:rsidRPr="003C2F1B">
        <w:rPr>
          <w:rtl/>
        </w:rPr>
        <w:t>ستعد المفوضية السامية موجز</w:t>
      </w:r>
      <w:r w:rsidR="003C2F1B" w:rsidRPr="003C2F1B">
        <w:rPr>
          <w:rtl/>
        </w:rPr>
        <w:t xml:space="preserve">اً </w:t>
      </w:r>
      <w:r w:rsidRPr="003C2F1B">
        <w:rPr>
          <w:rtl/>
        </w:rPr>
        <w:t>للمناقشات التي ستجرى خلال المشاورات</w:t>
      </w:r>
      <w:r w:rsidRPr="003C2F1B">
        <w:rPr>
          <w:rFonts w:hint="cs"/>
          <w:rtl/>
        </w:rPr>
        <w:t xml:space="preserve">. </w:t>
      </w:r>
      <w:r w:rsidRPr="003C2F1B">
        <w:rPr>
          <w:rtl/>
        </w:rPr>
        <w:t>وسيتاح</w:t>
      </w:r>
      <w:r w:rsidR="00BD41F7">
        <w:rPr>
          <w:rFonts w:hint="cs"/>
          <w:rtl/>
        </w:rPr>
        <w:t> </w:t>
      </w:r>
      <w:r w:rsidRPr="003C2F1B">
        <w:rPr>
          <w:rtl/>
        </w:rPr>
        <w:t>الموجز على الصفحة الشبكية للمفوضية السامية المكرسة لعملية المشاورات (</w:t>
      </w:r>
      <w:hyperlink r:id="rId9" w:history="1">
        <w:r w:rsidRPr="003C2F1B">
          <w:t>www.ohchr.org/participationguidelines</w:t>
        </w:r>
      </w:hyperlink>
      <w:r w:rsidRPr="003C2F1B">
        <w:rPr>
          <w:rtl/>
        </w:rPr>
        <w:t>)</w:t>
      </w:r>
      <w:r w:rsidRPr="003C2F1B">
        <w:rPr>
          <w:rFonts w:hint="cs"/>
          <w:rtl/>
        </w:rPr>
        <w:t>.</w:t>
      </w:r>
    </w:p>
    <w:p w:rsidR="00683F50" w:rsidRDefault="00CD1113" w:rsidP="003A010F">
      <w:pPr>
        <w:spacing w:after="200" w:line="276" w:lineRule="auto"/>
        <w:jc w:val="left"/>
        <w:rPr>
          <w:sz w:val="22"/>
        </w:rPr>
      </w:pPr>
      <w:r>
        <w:rPr>
          <w:rFonts w:ascii="Traditional Arabic" w:hAnsi="Traditional Arabic"/>
          <w:rtl/>
          <w:lang w:eastAsia="ar-SA"/>
        </w:rPr>
        <w:br w:type="page"/>
      </w:r>
    </w:p>
    <w:tbl>
      <w:tblPr>
        <w:bidiVisual/>
        <w:tblW w:w="9299" w:type="dxa"/>
        <w:tblCellMar>
          <w:left w:w="0" w:type="dxa"/>
          <w:right w:w="0" w:type="dxa"/>
        </w:tblCellMar>
        <w:tblLook w:val="0000" w:firstRow="0" w:lastRow="0" w:firstColumn="0" w:lastColumn="0" w:noHBand="0" w:noVBand="0"/>
      </w:tblPr>
      <w:tblGrid>
        <w:gridCol w:w="3661"/>
        <w:gridCol w:w="3005"/>
        <w:gridCol w:w="2633"/>
      </w:tblGrid>
      <w:tr w:rsidR="003A010F" w:rsidTr="00787846">
        <w:tc>
          <w:tcPr>
            <w:tcW w:w="9052" w:type="dxa"/>
            <w:gridSpan w:val="3"/>
          </w:tcPr>
          <w:p w:rsidR="003A010F" w:rsidRPr="003A010F" w:rsidRDefault="003A010F" w:rsidP="003A010F">
            <w:pPr>
              <w:pStyle w:val="SingleTxtGA"/>
              <w:spacing w:after="0" w:line="240" w:lineRule="auto"/>
              <w:ind w:left="0" w:right="0"/>
              <w:jc w:val="center"/>
              <w:rPr>
                <w:b/>
                <w:bCs/>
                <w:noProof/>
                <w:sz w:val="24"/>
                <w:szCs w:val="36"/>
                <w:rtl/>
                <w:lang w:bidi="ar-DZ"/>
              </w:rPr>
            </w:pPr>
            <w:r w:rsidRPr="003A010F">
              <w:rPr>
                <w:b/>
                <w:bCs/>
                <w:sz w:val="24"/>
                <w:szCs w:val="36"/>
                <w:rtl/>
                <w:lang w:val="en-GB" w:eastAsia="zh-TW"/>
              </w:rPr>
              <w:lastRenderedPageBreak/>
              <w:t>استمارة التسجيل</w:t>
            </w:r>
          </w:p>
        </w:tc>
      </w:tr>
      <w:tr w:rsidR="003A010F" w:rsidTr="00787846">
        <w:tc>
          <w:tcPr>
            <w:tcW w:w="3564" w:type="dxa"/>
            <w:tcBorders>
              <w:bottom w:val="single" w:sz="4" w:space="0" w:color="auto"/>
            </w:tcBorders>
          </w:tcPr>
          <w:p w:rsidR="003A010F" w:rsidRDefault="003A010F" w:rsidP="003A010F">
            <w:pPr>
              <w:pStyle w:val="SingleTxtGA"/>
              <w:spacing w:line="240" w:lineRule="auto"/>
              <w:ind w:left="0" w:right="0"/>
              <w:rPr>
                <w:rtl/>
                <w:lang w:val="en-GB" w:eastAsia="zh-TW"/>
              </w:rPr>
            </w:pPr>
            <w:r>
              <w:rPr>
                <w:noProof/>
                <w:lang w:val="en-GB" w:eastAsia="en-GB"/>
              </w:rPr>
              <w:drawing>
                <wp:inline distT="0" distB="0" distL="0" distR="0" wp14:anchorId="3AC3C3CD" wp14:editId="033B5B61">
                  <wp:extent cx="1258784" cy="694690"/>
                  <wp:effectExtent l="0" t="0" r="0" b="0"/>
                  <wp:docPr id="14" name="Picture 14" descr="Black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ack_ENGLISH"/>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603"/>
                          <a:stretch/>
                        </pic:blipFill>
                        <pic:spPr bwMode="auto">
                          <a:xfrm>
                            <a:off x="0" y="0"/>
                            <a:ext cx="1258784" cy="6946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25" w:type="dxa"/>
            <w:tcBorders>
              <w:bottom w:val="single" w:sz="4" w:space="0" w:color="auto"/>
            </w:tcBorders>
          </w:tcPr>
          <w:p w:rsidR="003A010F" w:rsidRDefault="003A010F" w:rsidP="003A010F">
            <w:pPr>
              <w:pStyle w:val="SingleTxtGA"/>
              <w:ind w:left="0" w:right="0"/>
              <w:rPr>
                <w:rtl/>
                <w:lang w:val="en-GB" w:eastAsia="zh-TW" w:bidi="ar-DZ"/>
              </w:rPr>
            </w:pPr>
          </w:p>
        </w:tc>
        <w:tc>
          <w:tcPr>
            <w:tcW w:w="2563" w:type="dxa"/>
            <w:tcBorders>
              <w:bottom w:val="single" w:sz="4" w:space="0" w:color="auto"/>
            </w:tcBorders>
          </w:tcPr>
          <w:p w:rsidR="003A010F" w:rsidRPr="003A010F" w:rsidRDefault="003A010F" w:rsidP="003A010F">
            <w:pPr>
              <w:pStyle w:val="SingleTxtGA"/>
              <w:bidi w:val="0"/>
              <w:spacing w:line="240" w:lineRule="auto"/>
              <w:ind w:left="0" w:right="0"/>
              <w:jc w:val="left"/>
              <w:rPr>
                <w:lang w:eastAsia="zh-TW" w:bidi="ar-DZ"/>
              </w:rPr>
            </w:pPr>
            <w:r>
              <w:rPr>
                <w:noProof/>
                <w:lang w:val="en-GB" w:eastAsia="en-GB"/>
              </w:rPr>
              <w:drawing>
                <wp:inline distT="0" distB="0" distL="0" distR="0">
                  <wp:extent cx="694800" cy="57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l="-124" t="-142" r="-124" b="-142"/>
                          <a:stretch>
                            <a:fillRect/>
                          </a:stretch>
                        </pic:blipFill>
                        <pic:spPr bwMode="auto">
                          <a:xfrm>
                            <a:off x="0" y="0"/>
                            <a:ext cx="694800" cy="579600"/>
                          </a:xfrm>
                          <a:prstGeom prst="rect">
                            <a:avLst/>
                          </a:prstGeom>
                          <a:noFill/>
                          <a:ln>
                            <a:noFill/>
                          </a:ln>
                        </pic:spPr>
                      </pic:pic>
                    </a:graphicData>
                  </a:graphic>
                </wp:inline>
              </w:drawing>
            </w:r>
          </w:p>
        </w:tc>
      </w:tr>
      <w:tr w:rsidR="003A010F" w:rsidTr="00787846">
        <w:tc>
          <w:tcPr>
            <w:tcW w:w="9052" w:type="dxa"/>
            <w:gridSpan w:val="3"/>
            <w:tcBorders>
              <w:top w:val="single" w:sz="4" w:space="0" w:color="auto"/>
              <w:left w:val="single" w:sz="4" w:space="0" w:color="auto"/>
              <w:bottom w:val="single" w:sz="4" w:space="0" w:color="auto"/>
              <w:right w:val="single" w:sz="4" w:space="0" w:color="auto"/>
            </w:tcBorders>
          </w:tcPr>
          <w:p w:rsidR="003A010F" w:rsidRPr="003A010F" w:rsidRDefault="003A010F" w:rsidP="003C2F1B">
            <w:pPr>
              <w:pStyle w:val="SingleTxtGA"/>
              <w:jc w:val="center"/>
              <w:rPr>
                <w:rFonts w:ascii="Arial Narrow" w:hAnsi="Arial Narrow"/>
                <w:b/>
                <w:bCs/>
                <w:kern w:val="2"/>
                <w:sz w:val="24"/>
                <w:lang w:eastAsia="zh-TW"/>
              </w:rPr>
            </w:pPr>
            <w:r w:rsidRPr="003A010F">
              <w:rPr>
                <w:b/>
                <w:bCs/>
                <w:rtl/>
                <w:lang w:val="en-GB" w:eastAsia="zh-TW"/>
              </w:rPr>
              <w:t>المشاورة الإقليمية بشأن مشروع المبادئ التوجيهية المتعلقة بإعمال الحق</w:t>
            </w:r>
            <w:r w:rsidRPr="003A010F">
              <w:rPr>
                <w:b/>
                <w:bCs/>
                <w:rtl/>
                <w:lang w:val="en-GB" w:eastAsia="zh-TW"/>
              </w:rPr>
              <w:br/>
              <w:t>في المشاركة في الشؤون العامة إعمالا</w:t>
            </w:r>
            <w:r w:rsidRPr="003A010F">
              <w:rPr>
                <w:rFonts w:hint="cs"/>
                <w:b/>
                <w:bCs/>
                <w:rtl/>
                <w:lang w:val="en-GB" w:eastAsia="zh-TW"/>
              </w:rPr>
              <w:t>ً </w:t>
            </w:r>
            <w:r w:rsidRPr="003A010F">
              <w:rPr>
                <w:b/>
                <w:bCs/>
                <w:rtl/>
                <w:lang w:val="en-GB" w:eastAsia="zh-TW"/>
              </w:rPr>
              <w:t>فعالا</w:t>
            </w:r>
            <w:r w:rsidRPr="003A010F">
              <w:rPr>
                <w:rFonts w:hint="cs"/>
                <w:b/>
                <w:bCs/>
                <w:rtl/>
                <w:lang w:val="en-GB" w:eastAsia="zh-TW"/>
              </w:rPr>
              <w:t>ً</w:t>
            </w:r>
          </w:p>
          <w:p w:rsidR="003A010F" w:rsidRPr="003A010F" w:rsidRDefault="003A010F" w:rsidP="003A010F">
            <w:pPr>
              <w:pStyle w:val="SingleTxtGA"/>
              <w:jc w:val="center"/>
              <w:rPr>
                <w:rFonts w:ascii="Arial Narrow" w:hAnsi="Arial Narrow"/>
                <w:b/>
                <w:bCs/>
                <w:kern w:val="2"/>
                <w:sz w:val="24"/>
                <w:rtl/>
                <w:lang w:eastAsia="zh-TW"/>
              </w:rPr>
            </w:pPr>
            <w:r w:rsidRPr="003A010F">
              <w:rPr>
                <w:b/>
                <w:bCs/>
                <w:rtl/>
                <w:lang w:val="en-GB" w:eastAsia="zh-TW"/>
              </w:rPr>
              <w:t>بيروت</w:t>
            </w:r>
          </w:p>
          <w:p w:rsidR="003A010F" w:rsidRDefault="009F6DA0" w:rsidP="003574B0">
            <w:pPr>
              <w:pStyle w:val="SingleTxtGA"/>
              <w:ind w:left="0" w:right="0"/>
              <w:jc w:val="center"/>
              <w:rPr>
                <w:noProof/>
                <w:lang w:bidi="ar-DZ"/>
              </w:rPr>
            </w:pPr>
            <w:r>
              <w:rPr>
                <w:rFonts w:hint="cs"/>
                <w:b/>
                <w:bCs/>
                <w:shd w:val="clear" w:color="auto" w:fill="FFFFFF"/>
                <w:rtl/>
              </w:rPr>
              <w:t>21 و22 كانون الأول/ديسمبر</w:t>
            </w:r>
            <w:r>
              <w:rPr>
                <w:rFonts w:hint="cs"/>
                <w:noProof/>
                <w:rtl/>
                <w:lang w:bidi="ar-DZ"/>
              </w:rPr>
              <w:t xml:space="preserve"> 2017</w:t>
            </w:r>
          </w:p>
        </w:tc>
      </w:tr>
    </w:tbl>
    <w:p w:rsidR="003A010F" w:rsidRPr="003D27C4" w:rsidRDefault="003A010F" w:rsidP="00787846">
      <w:pPr>
        <w:rPr>
          <w:sz w:val="2"/>
          <w:szCs w:val="2"/>
          <w:rtl/>
          <w:lang w:val="en-GB" w:eastAsia="zh-TW" w:bidi="ar-DZ"/>
        </w:rPr>
      </w:pPr>
    </w:p>
    <w:p w:rsidR="00787846" w:rsidRPr="003D27C4" w:rsidRDefault="00787846" w:rsidP="00787846">
      <w:pPr>
        <w:pBdr>
          <w:top w:val="single" w:sz="48" w:space="1" w:color="auto"/>
        </w:pBdr>
        <w:tabs>
          <w:tab w:val="left" w:pos="1312"/>
          <w:tab w:val="left" w:pos="4482"/>
          <w:tab w:val="left" w:pos="8739"/>
        </w:tabs>
        <w:ind w:right="345"/>
        <w:textDirection w:val="tbRlV"/>
        <w:rPr>
          <w:sz w:val="2"/>
          <w:szCs w:val="2"/>
          <w:rtl/>
          <w:lang w:val="en-GB" w:eastAsia="zh-TW" w:bidi="ar-DZ"/>
        </w:rPr>
      </w:pPr>
    </w:p>
    <w:tbl>
      <w:tblPr>
        <w:bidiVisual/>
        <w:tblW w:w="0" w:type="auto"/>
        <w:tblCellMar>
          <w:left w:w="0" w:type="dxa"/>
          <w:right w:w="0" w:type="dxa"/>
        </w:tblCellMar>
        <w:tblLook w:val="0000" w:firstRow="0" w:lastRow="0" w:firstColumn="0" w:lastColumn="0" w:noHBand="0" w:noVBand="0"/>
      </w:tblPr>
      <w:tblGrid>
        <w:gridCol w:w="1203"/>
        <w:gridCol w:w="42"/>
        <w:gridCol w:w="42"/>
        <w:gridCol w:w="84"/>
        <w:gridCol w:w="336"/>
        <w:gridCol w:w="490"/>
        <w:gridCol w:w="2353"/>
        <w:gridCol w:w="691"/>
        <w:gridCol w:w="3974"/>
      </w:tblGrid>
      <w:tr w:rsidR="00787846" w:rsidRPr="00787846" w:rsidTr="00D4490C">
        <w:tc>
          <w:tcPr>
            <w:tcW w:w="9215" w:type="dxa"/>
            <w:gridSpan w:val="9"/>
          </w:tcPr>
          <w:p w:rsidR="00787846" w:rsidRPr="00787846" w:rsidRDefault="00787846" w:rsidP="00364556">
            <w:pPr>
              <w:pStyle w:val="SingleTxtGA"/>
              <w:ind w:left="0" w:right="0"/>
              <w:rPr>
                <w:rFonts w:ascii="Arial Narrow" w:hAnsi="Arial Narrow"/>
                <w:kern w:val="2"/>
                <w:rtl/>
                <w:lang w:eastAsia="zh-TW"/>
              </w:rPr>
            </w:pPr>
            <w:r w:rsidRPr="00787846">
              <w:rPr>
                <w:rtl/>
                <w:lang w:val="en-GB" w:eastAsia="zh-TW"/>
              </w:rPr>
              <w:t>السيد</w:t>
            </w:r>
            <w:r w:rsidRPr="00787846">
              <w:rPr>
                <w:rFonts w:hint="cs"/>
                <w:rtl/>
                <w:lang w:val="en-GB" w:eastAsia="zh-TW"/>
              </w:rPr>
              <w:t xml:space="preserve"> </w:t>
            </w:r>
            <w:sdt>
              <w:sdtPr>
                <w:rPr>
                  <w:rFonts w:hint="cs"/>
                  <w:rtl/>
                  <w:lang w:val="en-GB" w:eastAsia="zh-TW"/>
                </w:rPr>
                <w:id w:val="-1473362422"/>
                <w14:checkbox>
                  <w14:checked w14:val="0"/>
                  <w14:checkedState w14:val="2612" w14:font="MS Gothic"/>
                  <w14:uncheckedState w14:val="2610" w14:font="MS Gothic"/>
                </w14:checkbox>
              </w:sdtPr>
              <w:sdtEndPr/>
              <w:sdtContent>
                <w:r w:rsidRPr="00787846">
                  <w:rPr>
                    <w:rFonts w:ascii="Segoe UI Symbol" w:eastAsia="MS Gothic" w:hAnsi="Segoe UI Symbol" w:cs="Segoe UI Symbol" w:hint="cs"/>
                    <w:rtl/>
                    <w:lang w:val="en-GB" w:eastAsia="zh-TW"/>
                  </w:rPr>
                  <w:t>☐</w:t>
                </w:r>
              </w:sdtContent>
            </w:sdt>
            <w:r w:rsidR="003C2F1B">
              <w:rPr>
                <w:rFonts w:hint="cs"/>
                <w:rtl/>
                <w:lang w:val="en-GB" w:eastAsia="zh-TW"/>
              </w:rPr>
              <w:t xml:space="preserve"> أو </w:t>
            </w:r>
            <w:r w:rsidRPr="00787846">
              <w:rPr>
                <w:rtl/>
                <w:lang w:val="en-GB" w:eastAsia="zh-TW"/>
              </w:rPr>
              <w:t>السيدة</w:t>
            </w:r>
            <w:r w:rsidRPr="00787846">
              <w:rPr>
                <w:rFonts w:hint="cs"/>
                <w:rtl/>
                <w:lang w:val="en-GB" w:eastAsia="zh-TW"/>
              </w:rPr>
              <w:t xml:space="preserve"> </w:t>
            </w:r>
            <w:sdt>
              <w:sdtPr>
                <w:rPr>
                  <w:rFonts w:hint="cs"/>
                  <w:rtl/>
                  <w:lang w:val="en-GB" w:eastAsia="zh-TW"/>
                </w:rPr>
                <w:id w:val="-1194841226"/>
                <w14:checkbox>
                  <w14:checked w14:val="0"/>
                  <w14:checkedState w14:val="2612" w14:font="MS Gothic"/>
                  <w14:uncheckedState w14:val="2610" w14:font="MS Gothic"/>
                </w14:checkbox>
              </w:sdtPr>
              <w:sdtEndPr/>
              <w:sdtContent>
                <w:r w:rsidRPr="00787846">
                  <w:rPr>
                    <w:rFonts w:ascii="Segoe UI Symbol" w:eastAsia="MS Gothic" w:hAnsi="Segoe UI Symbol" w:cs="Segoe UI Symbol" w:hint="cs"/>
                    <w:rtl/>
                    <w:lang w:val="en-GB" w:eastAsia="zh-TW"/>
                  </w:rPr>
                  <w:t>☐</w:t>
                </w:r>
              </w:sdtContent>
            </w:sdt>
          </w:p>
        </w:tc>
      </w:tr>
      <w:tr w:rsidR="00787846" w:rsidRPr="00787846" w:rsidTr="00CC00D9">
        <w:tc>
          <w:tcPr>
            <w:tcW w:w="1203" w:type="dxa"/>
          </w:tcPr>
          <w:p w:rsidR="00787846" w:rsidRPr="00787846" w:rsidRDefault="00787846" w:rsidP="00CC00D9">
            <w:pPr>
              <w:pStyle w:val="SingleTxtGA"/>
              <w:spacing w:before="60" w:after="60" w:line="340" w:lineRule="exact"/>
              <w:ind w:left="0" w:right="0"/>
              <w:rPr>
                <w:rFonts w:ascii="Arial Narrow" w:hAnsi="Arial Narrow"/>
                <w:kern w:val="2"/>
                <w:rtl/>
                <w:lang w:eastAsia="zh-TW"/>
              </w:rPr>
            </w:pPr>
            <w:r w:rsidRPr="00787846">
              <w:rPr>
                <w:rtl/>
                <w:lang w:val="en-GB" w:eastAsia="zh-TW"/>
              </w:rPr>
              <w:t>الاسم العائلي</w:t>
            </w:r>
            <w:r w:rsidRPr="00787846">
              <w:rPr>
                <w:rFonts w:hint="cs"/>
                <w:rtl/>
                <w:lang w:val="en-GB" w:eastAsia="zh-TW"/>
              </w:rPr>
              <w:t>:</w:t>
            </w:r>
          </w:p>
        </w:tc>
        <w:tc>
          <w:tcPr>
            <w:tcW w:w="8012" w:type="dxa"/>
            <w:gridSpan w:val="8"/>
          </w:tcPr>
          <w:p w:rsidR="00787846" w:rsidRPr="00787846" w:rsidRDefault="00787846" w:rsidP="00CC00D9">
            <w:pPr>
              <w:pStyle w:val="SingleTxtGA"/>
              <w:spacing w:before="60" w:after="60" w:line="340" w:lineRule="exact"/>
              <w:ind w:left="0" w:right="0"/>
              <w:rPr>
                <w:rFonts w:ascii="Arial Narrow" w:hAnsi="Arial Narrow"/>
                <w:kern w:val="2"/>
                <w:rtl/>
                <w:lang w:eastAsia="zh-TW"/>
              </w:rPr>
            </w:pPr>
          </w:p>
        </w:tc>
      </w:tr>
      <w:tr w:rsidR="00787846" w:rsidRPr="00787846" w:rsidTr="00CC00D9">
        <w:tc>
          <w:tcPr>
            <w:tcW w:w="1371" w:type="dxa"/>
            <w:gridSpan w:val="4"/>
          </w:tcPr>
          <w:p w:rsidR="00787846" w:rsidRPr="00787846" w:rsidRDefault="00787846" w:rsidP="00CC00D9">
            <w:pPr>
              <w:pStyle w:val="SingleTxtGA"/>
              <w:spacing w:before="60" w:after="60" w:line="340" w:lineRule="exact"/>
              <w:ind w:left="0" w:right="0"/>
              <w:rPr>
                <w:rFonts w:ascii="Arial Narrow" w:hAnsi="Arial Narrow"/>
                <w:kern w:val="2"/>
                <w:rtl/>
                <w:lang w:eastAsia="zh-TW"/>
              </w:rPr>
            </w:pPr>
            <w:r w:rsidRPr="00787846">
              <w:rPr>
                <w:rtl/>
                <w:lang w:val="en-GB" w:eastAsia="zh-TW"/>
              </w:rPr>
              <w:t>الاسم الشخصي</w:t>
            </w:r>
            <w:r w:rsidRPr="00787846">
              <w:rPr>
                <w:rFonts w:hint="cs"/>
                <w:rtl/>
                <w:lang w:val="en-GB" w:eastAsia="zh-TW"/>
              </w:rPr>
              <w:t>:</w:t>
            </w:r>
          </w:p>
        </w:tc>
        <w:tc>
          <w:tcPr>
            <w:tcW w:w="7844" w:type="dxa"/>
            <w:gridSpan w:val="5"/>
            <w:tcBorders>
              <w:top w:val="single" w:sz="4" w:space="0" w:color="auto"/>
            </w:tcBorders>
          </w:tcPr>
          <w:p w:rsidR="00787846" w:rsidRPr="00787846" w:rsidRDefault="00787846" w:rsidP="00CC00D9">
            <w:pPr>
              <w:pStyle w:val="SingleTxtGA"/>
              <w:spacing w:before="60" w:after="60" w:line="340" w:lineRule="exact"/>
              <w:ind w:left="0" w:right="0"/>
              <w:rPr>
                <w:rFonts w:ascii="Arial Narrow" w:hAnsi="Arial Narrow"/>
                <w:kern w:val="2"/>
                <w:rtl/>
                <w:lang w:eastAsia="zh-TW" w:bidi="ar-DZ"/>
              </w:rPr>
            </w:pPr>
          </w:p>
        </w:tc>
      </w:tr>
      <w:tr w:rsidR="00787846" w:rsidRPr="00787846" w:rsidTr="00CC00D9">
        <w:tc>
          <w:tcPr>
            <w:tcW w:w="1245" w:type="dxa"/>
            <w:gridSpan w:val="2"/>
          </w:tcPr>
          <w:p w:rsidR="00787846" w:rsidRPr="00787846" w:rsidRDefault="00787846" w:rsidP="00CC00D9">
            <w:pPr>
              <w:pStyle w:val="SingleTxtGA"/>
              <w:spacing w:before="60" w:after="60" w:line="340" w:lineRule="exact"/>
              <w:ind w:left="0" w:right="0"/>
              <w:rPr>
                <w:rFonts w:ascii="Arial Narrow" w:hAnsi="Arial Narrow"/>
                <w:kern w:val="2"/>
                <w:rtl/>
                <w:lang w:eastAsia="zh-TW"/>
              </w:rPr>
            </w:pPr>
            <w:r w:rsidRPr="00787846">
              <w:rPr>
                <w:rtl/>
                <w:lang w:val="en-GB" w:eastAsia="zh-TW"/>
              </w:rPr>
              <w:t>المنصب الرسمي</w:t>
            </w:r>
            <w:r w:rsidRPr="00787846">
              <w:rPr>
                <w:rFonts w:hint="cs"/>
                <w:rtl/>
                <w:lang w:val="en-GB" w:eastAsia="zh-TW"/>
              </w:rPr>
              <w:t>:</w:t>
            </w:r>
          </w:p>
        </w:tc>
        <w:tc>
          <w:tcPr>
            <w:tcW w:w="7970" w:type="dxa"/>
            <w:gridSpan w:val="7"/>
            <w:tcBorders>
              <w:top w:val="single" w:sz="4" w:space="0" w:color="auto"/>
              <w:bottom w:val="single" w:sz="4" w:space="0" w:color="auto"/>
            </w:tcBorders>
          </w:tcPr>
          <w:p w:rsidR="00787846" w:rsidRPr="00787846" w:rsidRDefault="00787846" w:rsidP="00CC00D9">
            <w:pPr>
              <w:pStyle w:val="SingleTxtGA"/>
              <w:spacing w:before="60" w:after="60" w:line="340" w:lineRule="exact"/>
              <w:ind w:left="0" w:right="0"/>
              <w:rPr>
                <w:rFonts w:ascii="Arial Narrow" w:hAnsi="Arial Narrow"/>
                <w:kern w:val="2"/>
                <w:rtl/>
                <w:lang w:eastAsia="zh-TW"/>
              </w:rPr>
            </w:pPr>
          </w:p>
        </w:tc>
      </w:tr>
      <w:tr w:rsidR="00787846" w:rsidRPr="00787846" w:rsidTr="00CC00D9">
        <w:tc>
          <w:tcPr>
            <w:tcW w:w="1707" w:type="dxa"/>
            <w:gridSpan w:val="5"/>
          </w:tcPr>
          <w:p w:rsidR="00787846" w:rsidRPr="00787846" w:rsidRDefault="00787846" w:rsidP="00CC00D9">
            <w:pPr>
              <w:pStyle w:val="SingleTxtGA"/>
              <w:spacing w:before="60" w:after="60" w:line="340" w:lineRule="exact"/>
              <w:ind w:left="0" w:right="0"/>
              <w:rPr>
                <w:rFonts w:ascii="Arial Narrow" w:hAnsi="Arial Narrow"/>
                <w:kern w:val="2"/>
                <w:rtl/>
                <w:lang w:eastAsia="zh-TW"/>
              </w:rPr>
            </w:pPr>
            <w:r w:rsidRPr="00787846">
              <w:rPr>
                <w:rtl/>
                <w:lang w:val="en-GB" w:eastAsia="zh-TW"/>
              </w:rPr>
              <w:t>البلد/المنظمة/المؤسسة</w:t>
            </w:r>
            <w:r w:rsidRPr="00787846">
              <w:rPr>
                <w:rFonts w:hint="cs"/>
                <w:rtl/>
                <w:lang w:val="en-GB" w:eastAsia="zh-TW"/>
              </w:rPr>
              <w:t>:</w:t>
            </w:r>
          </w:p>
        </w:tc>
        <w:tc>
          <w:tcPr>
            <w:tcW w:w="7508" w:type="dxa"/>
            <w:gridSpan w:val="4"/>
            <w:tcBorders>
              <w:top w:val="single" w:sz="4" w:space="0" w:color="auto"/>
              <w:bottom w:val="single" w:sz="4" w:space="0" w:color="auto"/>
            </w:tcBorders>
          </w:tcPr>
          <w:p w:rsidR="00787846" w:rsidRPr="00787846" w:rsidRDefault="00787846" w:rsidP="00CC00D9">
            <w:pPr>
              <w:pStyle w:val="SingleTxtGA"/>
              <w:spacing w:before="60" w:after="60" w:line="340" w:lineRule="exact"/>
              <w:ind w:left="0" w:right="0"/>
              <w:rPr>
                <w:rFonts w:ascii="Arial Narrow" w:hAnsi="Arial Narrow"/>
                <w:kern w:val="2"/>
                <w:rtl/>
                <w:lang w:eastAsia="zh-TW"/>
              </w:rPr>
            </w:pPr>
          </w:p>
        </w:tc>
      </w:tr>
      <w:tr w:rsidR="00CC00D9" w:rsidRPr="00787846" w:rsidTr="00CC00D9">
        <w:tc>
          <w:tcPr>
            <w:tcW w:w="1287" w:type="dxa"/>
            <w:gridSpan w:val="3"/>
          </w:tcPr>
          <w:p w:rsidR="00CC00D9" w:rsidRPr="00787846" w:rsidRDefault="00CC00D9" w:rsidP="00CC00D9">
            <w:pPr>
              <w:pStyle w:val="SingleTxtGA"/>
              <w:spacing w:before="60" w:after="60" w:line="340" w:lineRule="exact"/>
              <w:ind w:left="0" w:right="0"/>
              <w:rPr>
                <w:rFonts w:ascii="Arial Narrow" w:hAnsi="Arial Narrow"/>
                <w:kern w:val="2"/>
                <w:rtl/>
                <w:lang w:eastAsia="zh-TW"/>
              </w:rPr>
            </w:pPr>
            <w:r>
              <w:rPr>
                <w:rtl/>
                <w:lang w:val="en-GB" w:eastAsia="zh-TW"/>
              </w:rPr>
              <w:t>رقم </w:t>
            </w:r>
            <w:r w:rsidRPr="00787846">
              <w:rPr>
                <w:rtl/>
                <w:lang w:val="en-GB" w:eastAsia="zh-TW"/>
              </w:rPr>
              <w:t>جواز السفر</w:t>
            </w:r>
            <w:r w:rsidRPr="00787846">
              <w:rPr>
                <w:rFonts w:hint="cs"/>
                <w:rtl/>
                <w:lang w:val="en-GB" w:eastAsia="zh-TW"/>
              </w:rPr>
              <w:t>:</w:t>
            </w:r>
          </w:p>
        </w:tc>
        <w:tc>
          <w:tcPr>
            <w:tcW w:w="3263" w:type="dxa"/>
            <w:gridSpan w:val="4"/>
            <w:tcBorders>
              <w:bottom w:val="single" w:sz="4" w:space="0" w:color="auto"/>
            </w:tcBorders>
          </w:tcPr>
          <w:p w:rsidR="00CC00D9" w:rsidRPr="00787846" w:rsidRDefault="00CC00D9" w:rsidP="00CC00D9">
            <w:pPr>
              <w:pStyle w:val="SingleTxtGA"/>
              <w:spacing w:before="60" w:after="60" w:line="340" w:lineRule="exact"/>
              <w:ind w:left="0" w:right="0"/>
              <w:rPr>
                <w:rFonts w:ascii="Arial Narrow" w:hAnsi="Arial Narrow"/>
                <w:kern w:val="2"/>
                <w:rtl/>
                <w:lang w:eastAsia="zh-TW"/>
              </w:rPr>
            </w:pPr>
          </w:p>
        </w:tc>
        <w:tc>
          <w:tcPr>
            <w:tcW w:w="691" w:type="dxa"/>
            <w:tcBorders>
              <w:top w:val="single" w:sz="4" w:space="0" w:color="auto"/>
            </w:tcBorders>
          </w:tcPr>
          <w:p w:rsidR="00CC00D9" w:rsidRPr="00787846" w:rsidRDefault="00CC00D9" w:rsidP="00CC00D9">
            <w:pPr>
              <w:pStyle w:val="SingleTxtGA"/>
              <w:spacing w:before="60" w:after="60" w:line="340" w:lineRule="exact"/>
              <w:ind w:left="0" w:right="0"/>
              <w:rPr>
                <w:rFonts w:ascii="Arial Narrow" w:hAnsi="Arial Narrow"/>
                <w:kern w:val="2"/>
                <w:rtl/>
                <w:lang w:eastAsia="zh-TW"/>
              </w:rPr>
            </w:pPr>
            <w:r>
              <w:rPr>
                <w:rFonts w:ascii="Arial Narrow" w:hAnsi="Arial Narrow" w:hint="cs"/>
                <w:kern w:val="2"/>
                <w:rtl/>
                <w:lang w:eastAsia="zh-TW"/>
              </w:rPr>
              <w:t>الجنسية:</w:t>
            </w:r>
          </w:p>
        </w:tc>
        <w:tc>
          <w:tcPr>
            <w:tcW w:w="3974" w:type="dxa"/>
            <w:tcBorders>
              <w:top w:val="single" w:sz="4" w:space="0" w:color="auto"/>
              <w:bottom w:val="single" w:sz="4" w:space="0" w:color="auto"/>
            </w:tcBorders>
          </w:tcPr>
          <w:p w:rsidR="00CC00D9" w:rsidRPr="00787846" w:rsidRDefault="00CC00D9" w:rsidP="00CC00D9">
            <w:pPr>
              <w:pStyle w:val="SingleTxtGA"/>
              <w:spacing w:before="60" w:after="60" w:line="340" w:lineRule="exact"/>
              <w:ind w:left="0" w:right="0"/>
              <w:rPr>
                <w:rFonts w:ascii="Arial Narrow" w:hAnsi="Arial Narrow"/>
                <w:kern w:val="2"/>
                <w:rtl/>
                <w:lang w:eastAsia="zh-TW"/>
              </w:rPr>
            </w:pPr>
          </w:p>
        </w:tc>
      </w:tr>
      <w:tr w:rsidR="00787846" w:rsidRPr="00787846" w:rsidTr="00CC00D9">
        <w:tc>
          <w:tcPr>
            <w:tcW w:w="2197" w:type="dxa"/>
            <w:gridSpan w:val="6"/>
          </w:tcPr>
          <w:p w:rsidR="00787846" w:rsidRPr="00787846" w:rsidRDefault="003C2F1B" w:rsidP="00CC00D9">
            <w:pPr>
              <w:pStyle w:val="SingleTxtGA"/>
              <w:spacing w:before="60" w:after="60" w:line="340" w:lineRule="exact"/>
              <w:ind w:left="0" w:right="0"/>
              <w:rPr>
                <w:rFonts w:ascii="Arial Narrow" w:hAnsi="Arial Narrow"/>
                <w:kern w:val="2"/>
                <w:rtl/>
                <w:lang w:eastAsia="zh-TW"/>
              </w:rPr>
            </w:pPr>
            <w:r>
              <w:rPr>
                <w:rtl/>
                <w:lang w:val="en-GB" w:eastAsia="zh-TW"/>
              </w:rPr>
              <w:t>رقم </w:t>
            </w:r>
            <w:r w:rsidR="00787846" w:rsidRPr="00787846">
              <w:rPr>
                <w:rtl/>
                <w:lang w:val="en-GB" w:eastAsia="zh-TW"/>
              </w:rPr>
              <w:t>الهاتف البريد الإلكتروني</w:t>
            </w:r>
            <w:r w:rsidR="00787846" w:rsidRPr="00787846">
              <w:rPr>
                <w:rFonts w:hint="cs"/>
                <w:rtl/>
                <w:lang w:val="en-GB" w:eastAsia="zh-TW"/>
              </w:rPr>
              <w:t>:</w:t>
            </w:r>
          </w:p>
        </w:tc>
        <w:tc>
          <w:tcPr>
            <w:tcW w:w="7018" w:type="dxa"/>
            <w:gridSpan w:val="3"/>
            <w:tcBorders>
              <w:bottom w:val="single" w:sz="4" w:space="0" w:color="auto"/>
            </w:tcBorders>
          </w:tcPr>
          <w:p w:rsidR="00787846" w:rsidRPr="00787846" w:rsidRDefault="00787846" w:rsidP="00CC00D9">
            <w:pPr>
              <w:pStyle w:val="SingleTxtGA"/>
              <w:spacing w:before="60" w:after="60" w:line="340" w:lineRule="exact"/>
              <w:ind w:left="0" w:right="0"/>
              <w:rPr>
                <w:rFonts w:ascii="Arial Narrow" w:hAnsi="Arial Narrow"/>
                <w:kern w:val="2"/>
                <w:rtl/>
                <w:lang w:eastAsia="zh-TW"/>
              </w:rPr>
            </w:pPr>
          </w:p>
        </w:tc>
      </w:tr>
    </w:tbl>
    <w:p w:rsidR="004C0A35" w:rsidRPr="004C0A35" w:rsidRDefault="004C0A35" w:rsidP="004C0A35">
      <w:pPr>
        <w:rPr>
          <w:sz w:val="2"/>
          <w:szCs w:val="2"/>
          <w:rtl/>
          <w:lang w:val="en-GB" w:eastAsia="zh-TW" w:bidi="ar-DZ"/>
        </w:rPr>
      </w:pPr>
    </w:p>
    <w:p w:rsidR="004C0A35" w:rsidRPr="004C0A35" w:rsidRDefault="004C0A35" w:rsidP="004C0A35">
      <w:pPr>
        <w:pBdr>
          <w:top w:val="single" w:sz="48" w:space="1" w:color="auto"/>
        </w:pBdr>
        <w:tabs>
          <w:tab w:val="left" w:pos="1312"/>
          <w:tab w:val="left" w:pos="4482"/>
          <w:tab w:val="left" w:pos="8739"/>
        </w:tabs>
        <w:ind w:right="345"/>
        <w:textDirection w:val="tbRlV"/>
        <w:rPr>
          <w:sz w:val="2"/>
          <w:szCs w:val="2"/>
          <w:rtl/>
          <w:lang w:val="en-GB" w:eastAsia="zh-TW" w:bidi="ar-DZ"/>
        </w:rPr>
      </w:pPr>
    </w:p>
    <w:p w:rsidR="00683F50" w:rsidRPr="004C0A35" w:rsidRDefault="00683F50" w:rsidP="00D4490C">
      <w:pPr>
        <w:pStyle w:val="SingleTxtGA"/>
        <w:ind w:left="0" w:right="0"/>
        <w:rPr>
          <w:rFonts w:ascii="Arial Narrow" w:hAnsi="Arial Narrow"/>
          <w:b/>
          <w:bCs/>
          <w:kern w:val="2"/>
          <w:rtl/>
          <w:lang w:eastAsia="zh-TW"/>
        </w:rPr>
      </w:pPr>
      <w:r w:rsidRPr="004C0A35">
        <w:rPr>
          <w:b/>
          <w:bCs/>
          <w:rtl/>
          <w:lang w:val="en-GB" w:eastAsia="zh-TW"/>
        </w:rPr>
        <w:t xml:space="preserve">يحضر الاجتماع بصفة: (يرجى وضع </w:t>
      </w:r>
      <w:r w:rsidR="00992E08" w:rsidRPr="004C0A35">
        <w:rPr>
          <w:rFonts w:hint="cs"/>
          <w:b/>
          <w:bCs/>
          <w:rtl/>
          <w:lang w:val="en-GB" w:eastAsia="zh-TW"/>
        </w:rPr>
        <w:t>ال</w:t>
      </w:r>
      <w:r w:rsidRPr="004C0A35">
        <w:rPr>
          <w:b/>
          <w:bCs/>
          <w:rtl/>
          <w:lang w:val="en-GB" w:eastAsia="zh-TW"/>
        </w:rPr>
        <w:t xml:space="preserve">علامة في خانة </w:t>
      </w:r>
      <w:r w:rsidR="006746AB" w:rsidRPr="004C0A35">
        <w:rPr>
          <w:b/>
          <w:bCs/>
          <w:rtl/>
          <w:lang w:val="en-GB" w:eastAsia="zh-TW"/>
        </w:rPr>
        <w:t>واحدة</w:t>
      </w:r>
      <w:r w:rsidRPr="004C0A35">
        <w:rPr>
          <w:b/>
          <w:bCs/>
          <w:rtl/>
          <w:lang w:val="en-GB" w:eastAsia="zh-TW"/>
        </w:rPr>
        <w:t xml:space="preserve"> فقط)</w:t>
      </w:r>
    </w:p>
    <w:p w:rsidR="00683F50" w:rsidRDefault="00C35B6E" w:rsidP="004C0A35">
      <w:pPr>
        <w:pStyle w:val="SingleTxtGA"/>
        <w:spacing w:after="0"/>
        <w:ind w:left="0" w:right="0"/>
        <w:rPr>
          <w:rFonts w:ascii="Arial Narrow" w:hAnsi="Arial Narrow"/>
          <w:kern w:val="2"/>
          <w:rtl/>
          <w:lang w:eastAsia="zh-TW" w:bidi="ar-DZ"/>
        </w:rPr>
      </w:pPr>
      <w:sdt>
        <w:sdtPr>
          <w:rPr>
            <w:rFonts w:hint="cs"/>
            <w:rtl/>
            <w:lang w:val="en-GB" w:eastAsia="zh-TW"/>
          </w:rPr>
          <w:id w:val="774369152"/>
          <w14:checkbox>
            <w14:checked w14:val="0"/>
            <w14:checkedState w14:val="2612" w14:font="MS Gothic"/>
            <w14:uncheckedState w14:val="2610" w14:font="MS Gothic"/>
          </w14:checkbox>
        </w:sdtPr>
        <w:sdtEndPr/>
        <w:sdtContent>
          <w:r w:rsidR="004C0A35" w:rsidRPr="00787846">
            <w:rPr>
              <w:rFonts w:ascii="Segoe UI Symbol" w:eastAsia="MS Gothic" w:hAnsi="Segoe UI Symbol" w:cs="Segoe UI Symbol" w:hint="cs"/>
              <w:rtl/>
              <w:lang w:val="en-GB" w:eastAsia="zh-TW"/>
            </w:rPr>
            <w:t>☐</w:t>
          </w:r>
        </w:sdtContent>
      </w:sdt>
      <w:r w:rsidR="004C0A35">
        <w:rPr>
          <w:rtl/>
          <w:lang w:val="en-GB" w:eastAsia="zh-TW"/>
        </w:rPr>
        <w:t xml:space="preserve"> </w:t>
      </w:r>
      <w:r w:rsidR="00683F50">
        <w:rPr>
          <w:rtl/>
          <w:lang w:val="en-GB" w:eastAsia="zh-TW"/>
        </w:rPr>
        <w:t>خبير</w:t>
      </w:r>
    </w:p>
    <w:p w:rsidR="00683F50" w:rsidRPr="00192B1F" w:rsidRDefault="00C35B6E" w:rsidP="004C0A35">
      <w:pPr>
        <w:pStyle w:val="SingleTxtGA"/>
        <w:spacing w:after="0"/>
        <w:ind w:left="0" w:right="0"/>
        <w:rPr>
          <w:rFonts w:ascii="Arial Narrow" w:hAnsi="Arial Narrow"/>
          <w:kern w:val="2"/>
          <w:rtl/>
          <w:lang w:eastAsia="zh-TW" w:bidi="ar-DZ"/>
        </w:rPr>
      </w:pPr>
      <w:sdt>
        <w:sdtPr>
          <w:rPr>
            <w:rFonts w:hint="cs"/>
            <w:rtl/>
            <w:lang w:val="en-GB" w:eastAsia="zh-TW"/>
          </w:rPr>
          <w:id w:val="2036226869"/>
          <w14:checkbox>
            <w14:checked w14:val="0"/>
            <w14:checkedState w14:val="2612" w14:font="MS Gothic"/>
            <w14:uncheckedState w14:val="2610" w14:font="MS Gothic"/>
          </w14:checkbox>
        </w:sdtPr>
        <w:sdtEndPr/>
        <w:sdtContent>
          <w:r w:rsidR="004C0A35" w:rsidRPr="00787846">
            <w:rPr>
              <w:rFonts w:ascii="Segoe UI Symbol" w:eastAsia="MS Gothic" w:hAnsi="Segoe UI Symbol" w:cs="Segoe UI Symbol" w:hint="cs"/>
              <w:rtl/>
              <w:lang w:val="en-GB" w:eastAsia="zh-TW"/>
            </w:rPr>
            <w:t>☐</w:t>
          </w:r>
        </w:sdtContent>
      </w:sdt>
      <w:r w:rsidR="004C0A35">
        <w:rPr>
          <w:rtl/>
          <w:lang w:val="en-GB" w:eastAsia="zh-TW"/>
        </w:rPr>
        <w:t xml:space="preserve"> ممثل حكومة</w:t>
      </w:r>
    </w:p>
    <w:p w:rsidR="001E4654" w:rsidRDefault="00C35B6E" w:rsidP="004C0A35">
      <w:pPr>
        <w:pStyle w:val="SingleTxtGA"/>
        <w:spacing w:after="0"/>
        <w:ind w:left="0" w:right="0"/>
        <w:rPr>
          <w:rFonts w:ascii="Arial Narrow" w:hAnsi="Arial Narrow"/>
          <w:kern w:val="2"/>
          <w:rtl/>
          <w:lang w:eastAsia="zh-TW"/>
        </w:rPr>
      </w:pPr>
      <w:sdt>
        <w:sdtPr>
          <w:rPr>
            <w:rFonts w:hint="cs"/>
            <w:rtl/>
            <w:lang w:val="en-GB" w:eastAsia="zh-TW"/>
          </w:rPr>
          <w:id w:val="1202753366"/>
          <w14:checkbox>
            <w14:checked w14:val="0"/>
            <w14:checkedState w14:val="2612" w14:font="MS Gothic"/>
            <w14:uncheckedState w14:val="2610" w14:font="MS Gothic"/>
          </w14:checkbox>
        </w:sdtPr>
        <w:sdtEndPr/>
        <w:sdtContent>
          <w:r w:rsidR="004C0A35" w:rsidRPr="00787846">
            <w:rPr>
              <w:rFonts w:ascii="Segoe UI Symbol" w:eastAsia="MS Gothic" w:hAnsi="Segoe UI Symbol" w:cs="Segoe UI Symbol" w:hint="cs"/>
              <w:rtl/>
              <w:lang w:val="en-GB" w:eastAsia="zh-TW"/>
            </w:rPr>
            <w:t>☐</w:t>
          </w:r>
        </w:sdtContent>
      </w:sdt>
      <w:r w:rsidR="004C0A35">
        <w:rPr>
          <w:rtl/>
          <w:lang w:val="en-GB" w:eastAsia="zh-TW"/>
        </w:rPr>
        <w:t xml:space="preserve"> </w:t>
      </w:r>
      <w:r w:rsidR="00683F50">
        <w:rPr>
          <w:rtl/>
          <w:lang w:val="en-GB" w:eastAsia="zh-TW"/>
        </w:rPr>
        <w:t>ممثل وكالة</w:t>
      </w:r>
      <w:r w:rsidR="003C2F1B">
        <w:rPr>
          <w:rtl/>
          <w:lang w:val="en-GB" w:eastAsia="zh-TW"/>
        </w:rPr>
        <w:t xml:space="preserve"> أو </w:t>
      </w:r>
      <w:r w:rsidR="00683F50">
        <w:rPr>
          <w:rtl/>
          <w:lang w:val="en-GB" w:eastAsia="zh-TW"/>
        </w:rPr>
        <w:t>صندوق</w:t>
      </w:r>
      <w:r w:rsidR="003C2F1B">
        <w:rPr>
          <w:rtl/>
          <w:lang w:val="en-GB" w:eastAsia="zh-TW"/>
        </w:rPr>
        <w:t xml:space="preserve"> أو </w:t>
      </w:r>
      <w:r w:rsidR="004C0A35">
        <w:rPr>
          <w:rtl/>
          <w:lang w:val="en-GB" w:eastAsia="zh-TW"/>
        </w:rPr>
        <w:t>برنامج تابع للأمم المتحدة</w:t>
      </w:r>
    </w:p>
    <w:p w:rsidR="00683F50" w:rsidRDefault="00C35B6E" w:rsidP="004C0A35">
      <w:pPr>
        <w:pStyle w:val="SingleTxtGA"/>
        <w:spacing w:after="0"/>
        <w:ind w:left="0" w:right="0"/>
        <w:rPr>
          <w:rFonts w:ascii="Arial Narrow" w:hAnsi="Arial Narrow"/>
          <w:kern w:val="2"/>
          <w:rtl/>
          <w:lang w:eastAsia="zh-TW"/>
        </w:rPr>
      </w:pPr>
      <w:sdt>
        <w:sdtPr>
          <w:rPr>
            <w:rFonts w:hint="cs"/>
            <w:rtl/>
            <w:lang w:val="en-GB" w:eastAsia="zh-TW"/>
          </w:rPr>
          <w:id w:val="948199253"/>
          <w14:checkbox>
            <w14:checked w14:val="0"/>
            <w14:checkedState w14:val="2612" w14:font="MS Gothic"/>
            <w14:uncheckedState w14:val="2610" w14:font="MS Gothic"/>
          </w14:checkbox>
        </w:sdtPr>
        <w:sdtEndPr/>
        <w:sdtContent>
          <w:r w:rsidR="004C0A35" w:rsidRPr="00787846">
            <w:rPr>
              <w:rFonts w:ascii="Segoe UI Symbol" w:eastAsia="MS Gothic" w:hAnsi="Segoe UI Symbol" w:cs="Segoe UI Symbol" w:hint="cs"/>
              <w:rtl/>
              <w:lang w:val="en-GB" w:eastAsia="zh-TW"/>
            </w:rPr>
            <w:t>☐</w:t>
          </w:r>
        </w:sdtContent>
      </w:sdt>
      <w:r w:rsidR="004C0A35">
        <w:rPr>
          <w:rFonts w:ascii="Arial Narrow" w:hAnsi="Arial Narrow" w:hint="cs"/>
          <w:kern w:val="2"/>
          <w:rtl/>
          <w:lang w:val="en-GB" w:eastAsia="zh-TW"/>
        </w:rPr>
        <w:t xml:space="preserve"> </w:t>
      </w:r>
      <w:r w:rsidR="001E4654">
        <w:rPr>
          <w:rFonts w:ascii="Arial Narrow" w:hAnsi="Arial Narrow" w:hint="cs"/>
          <w:kern w:val="2"/>
          <w:rtl/>
          <w:lang w:val="en-GB" w:eastAsia="zh-TW"/>
        </w:rPr>
        <w:t>م</w:t>
      </w:r>
      <w:r w:rsidR="004C0A35">
        <w:rPr>
          <w:rtl/>
          <w:lang w:val="en-GB" w:eastAsia="zh-TW"/>
        </w:rPr>
        <w:t>مثل منظمة حكومية دولية</w:t>
      </w:r>
    </w:p>
    <w:p w:rsidR="001E4654" w:rsidRDefault="00C35B6E" w:rsidP="004C0A35">
      <w:pPr>
        <w:pStyle w:val="SingleTxtGA"/>
        <w:spacing w:after="0"/>
        <w:ind w:left="0" w:right="0"/>
        <w:rPr>
          <w:rFonts w:ascii="Arial Narrow" w:hAnsi="Arial Narrow"/>
          <w:kern w:val="2"/>
          <w:rtl/>
          <w:lang w:eastAsia="zh-TW"/>
        </w:rPr>
      </w:pPr>
      <w:sdt>
        <w:sdtPr>
          <w:rPr>
            <w:rFonts w:hint="cs"/>
            <w:rtl/>
            <w:lang w:val="en-GB" w:eastAsia="zh-TW"/>
          </w:rPr>
          <w:id w:val="-1669938912"/>
          <w14:checkbox>
            <w14:checked w14:val="0"/>
            <w14:checkedState w14:val="2612" w14:font="MS Gothic"/>
            <w14:uncheckedState w14:val="2610" w14:font="MS Gothic"/>
          </w14:checkbox>
        </w:sdtPr>
        <w:sdtEndPr/>
        <w:sdtContent>
          <w:r w:rsidR="004C0A35" w:rsidRPr="00787846">
            <w:rPr>
              <w:rFonts w:ascii="Segoe UI Symbol" w:eastAsia="MS Gothic" w:hAnsi="Segoe UI Symbol" w:cs="Segoe UI Symbol" w:hint="cs"/>
              <w:rtl/>
              <w:lang w:val="en-GB" w:eastAsia="zh-TW"/>
            </w:rPr>
            <w:t>☐</w:t>
          </w:r>
        </w:sdtContent>
      </w:sdt>
      <w:r w:rsidR="004C0A35">
        <w:rPr>
          <w:rtl/>
          <w:lang w:val="en-GB" w:eastAsia="zh-TW"/>
        </w:rPr>
        <w:t xml:space="preserve"> </w:t>
      </w:r>
      <w:r w:rsidR="00683F50">
        <w:rPr>
          <w:rtl/>
          <w:lang w:val="en-GB" w:eastAsia="zh-TW"/>
        </w:rPr>
        <w:t>ممثل منظمة إقليمية</w:t>
      </w:r>
    </w:p>
    <w:p w:rsidR="00683F50" w:rsidRDefault="00C35B6E" w:rsidP="004C0A35">
      <w:pPr>
        <w:pStyle w:val="SingleTxtGA"/>
        <w:spacing w:after="0"/>
        <w:ind w:left="0" w:right="0"/>
        <w:rPr>
          <w:rFonts w:ascii="Arial Narrow" w:hAnsi="Arial Narrow"/>
          <w:kern w:val="2"/>
          <w:rtl/>
          <w:lang w:eastAsia="zh-TW"/>
        </w:rPr>
      </w:pPr>
      <w:sdt>
        <w:sdtPr>
          <w:rPr>
            <w:rFonts w:hint="cs"/>
            <w:rtl/>
            <w:lang w:val="en-GB" w:eastAsia="zh-TW"/>
          </w:rPr>
          <w:id w:val="1499619761"/>
          <w14:checkbox>
            <w14:checked w14:val="0"/>
            <w14:checkedState w14:val="2612" w14:font="MS Gothic"/>
            <w14:uncheckedState w14:val="2610" w14:font="MS Gothic"/>
          </w14:checkbox>
        </w:sdtPr>
        <w:sdtEndPr/>
        <w:sdtContent>
          <w:r w:rsidR="004C0A35" w:rsidRPr="00787846">
            <w:rPr>
              <w:rFonts w:ascii="Segoe UI Symbol" w:eastAsia="MS Gothic" w:hAnsi="Segoe UI Symbol" w:cs="Segoe UI Symbol" w:hint="cs"/>
              <w:rtl/>
              <w:lang w:val="en-GB" w:eastAsia="zh-TW"/>
            </w:rPr>
            <w:t>☐</w:t>
          </w:r>
        </w:sdtContent>
      </w:sdt>
      <w:r w:rsidR="004C0A35">
        <w:rPr>
          <w:rFonts w:ascii="Arial Narrow" w:hAnsi="Arial Narrow" w:hint="cs"/>
          <w:kern w:val="2"/>
          <w:rtl/>
          <w:lang w:val="en-GB" w:eastAsia="zh-TW"/>
        </w:rPr>
        <w:t xml:space="preserve"> </w:t>
      </w:r>
      <w:r w:rsidR="001E4654">
        <w:rPr>
          <w:rFonts w:ascii="Arial Narrow" w:hAnsi="Arial Narrow" w:hint="cs"/>
          <w:kern w:val="2"/>
          <w:rtl/>
          <w:lang w:val="en-GB" w:eastAsia="zh-TW"/>
        </w:rPr>
        <w:t>م</w:t>
      </w:r>
      <w:r w:rsidR="00683F50">
        <w:rPr>
          <w:rtl/>
          <w:lang w:val="en-GB" w:eastAsia="zh-TW"/>
        </w:rPr>
        <w:t>مثل منظمة غير حكومية دولية</w:t>
      </w:r>
    </w:p>
    <w:p w:rsidR="00683F50" w:rsidRPr="00192B1F" w:rsidRDefault="00C35B6E" w:rsidP="004C0A35">
      <w:pPr>
        <w:pStyle w:val="SingleTxtGA"/>
        <w:spacing w:after="0"/>
        <w:ind w:left="0" w:right="0"/>
        <w:rPr>
          <w:rFonts w:ascii="Arial Narrow" w:hAnsi="Arial Narrow"/>
          <w:kern w:val="2"/>
          <w:rtl/>
          <w:lang w:eastAsia="zh-TW"/>
        </w:rPr>
      </w:pPr>
      <w:sdt>
        <w:sdtPr>
          <w:rPr>
            <w:rFonts w:hint="cs"/>
            <w:rtl/>
            <w:lang w:val="en-GB" w:eastAsia="zh-TW"/>
          </w:rPr>
          <w:id w:val="324326947"/>
          <w14:checkbox>
            <w14:checked w14:val="0"/>
            <w14:checkedState w14:val="2612" w14:font="MS Gothic"/>
            <w14:uncheckedState w14:val="2610" w14:font="MS Gothic"/>
          </w14:checkbox>
        </w:sdtPr>
        <w:sdtEndPr/>
        <w:sdtContent>
          <w:r w:rsidR="004C0A35" w:rsidRPr="00787846">
            <w:rPr>
              <w:rFonts w:ascii="Segoe UI Symbol" w:eastAsia="MS Gothic" w:hAnsi="Segoe UI Symbol" w:cs="Segoe UI Symbol" w:hint="cs"/>
              <w:rtl/>
              <w:lang w:val="en-GB" w:eastAsia="zh-TW"/>
            </w:rPr>
            <w:t>☐</w:t>
          </w:r>
        </w:sdtContent>
      </w:sdt>
      <w:r w:rsidR="004C0A35">
        <w:rPr>
          <w:rFonts w:ascii="Arial Narrow" w:hAnsi="Arial Narrow" w:hint="cs"/>
          <w:kern w:val="2"/>
          <w:rtl/>
          <w:lang w:val="en-GB" w:eastAsia="zh-TW"/>
        </w:rPr>
        <w:t xml:space="preserve"> </w:t>
      </w:r>
      <w:r w:rsidR="009A193F">
        <w:rPr>
          <w:rFonts w:ascii="Arial Narrow" w:hAnsi="Arial Narrow" w:hint="cs"/>
          <w:kern w:val="2"/>
          <w:rtl/>
          <w:lang w:val="en-GB" w:eastAsia="zh-TW"/>
        </w:rPr>
        <w:t>م</w:t>
      </w:r>
      <w:r w:rsidR="00683F50">
        <w:rPr>
          <w:rtl/>
          <w:lang w:val="en-GB" w:eastAsia="zh-TW"/>
        </w:rPr>
        <w:t>مثل منظمة غير حكومية وطنية/إقليمية</w:t>
      </w:r>
    </w:p>
    <w:p w:rsidR="00683F50" w:rsidRDefault="00C35B6E" w:rsidP="004C0A35">
      <w:pPr>
        <w:pStyle w:val="SingleTxtGA"/>
        <w:spacing w:after="0"/>
        <w:ind w:left="0" w:right="0"/>
        <w:rPr>
          <w:rtl/>
          <w:lang w:val="en-GB" w:eastAsia="zh-TW"/>
        </w:rPr>
      </w:pPr>
      <w:sdt>
        <w:sdtPr>
          <w:rPr>
            <w:rFonts w:hint="cs"/>
            <w:rtl/>
            <w:lang w:val="en-GB" w:eastAsia="zh-TW"/>
          </w:rPr>
          <w:id w:val="1812586426"/>
          <w14:checkbox>
            <w14:checked w14:val="0"/>
            <w14:checkedState w14:val="2612" w14:font="MS Gothic"/>
            <w14:uncheckedState w14:val="2610" w14:font="MS Gothic"/>
          </w14:checkbox>
        </w:sdtPr>
        <w:sdtEndPr/>
        <w:sdtContent>
          <w:r w:rsidR="004C0A35" w:rsidRPr="00787846">
            <w:rPr>
              <w:rFonts w:ascii="Segoe UI Symbol" w:eastAsia="MS Gothic" w:hAnsi="Segoe UI Symbol" w:cs="Segoe UI Symbol" w:hint="cs"/>
              <w:rtl/>
              <w:lang w:val="en-GB" w:eastAsia="zh-TW"/>
            </w:rPr>
            <w:t>☐</w:t>
          </w:r>
        </w:sdtContent>
      </w:sdt>
      <w:r w:rsidR="004C0A35">
        <w:rPr>
          <w:rFonts w:ascii="Arial Narrow" w:hAnsi="Arial Narrow" w:hint="cs"/>
          <w:kern w:val="2"/>
          <w:rtl/>
          <w:lang w:val="en-GB" w:eastAsia="zh-TW"/>
        </w:rPr>
        <w:t xml:space="preserve"> </w:t>
      </w:r>
      <w:r w:rsidR="009A193F">
        <w:rPr>
          <w:rFonts w:ascii="Arial Narrow" w:hAnsi="Arial Narrow" w:hint="cs"/>
          <w:kern w:val="2"/>
          <w:rtl/>
          <w:lang w:val="en-GB" w:eastAsia="zh-TW"/>
        </w:rPr>
        <w:t>م</w:t>
      </w:r>
      <w:r w:rsidR="004C0A35">
        <w:rPr>
          <w:rtl/>
          <w:lang w:val="en-GB" w:eastAsia="zh-TW"/>
        </w:rPr>
        <w:t>مثل مؤسسة وطنية لحقوق الإنسان</w:t>
      </w:r>
    </w:p>
    <w:p w:rsidR="002039ED" w:rsidRPr="004C0A35" w:rsidRDefault="002039ED" w:rsidP="002039ED">
      <w:pPr>
        <w:rPr>
          <w:sz w:val="2"/>
          <w:szCs w:val="2"/>
          <w:rtl/>
          <w:lang w:val="en-GB" w:eastAsia="zh-TW" w:bidi="ar-DZ"/>
        </w:rPr>
      </w:pPr>
    </w:p>
    <w:p w:rsidR="00942936" w:rsidRDefault="00942936" w:rsidP="002039ED">
      <w:pPr>
        <w:pBdr>
          <w:top w:val="single" w:sz="48" w:space="1" w:color="auto"/>
        </w:pBdr>
        <w:tabs>
          <w:tab w:val="left" w:pos="1312"/>
          <w:tab w:val="left" w:pos="4482"/>
          <w:tab w:val="left" w:pos="8739"/>
        </w:tabs>
        <w:ind w:right="345"/>
        <w:textDirection w:val="tbRlV"/>
        <w:rPr>
          <w:sz w:val="2"/>
          <w:szCs w:val="2"/>
          <w:rtl/>
          <w:lang w:val="en-GB" w:eastAsia="zh-TW" w:bidi="ar-DZ"/>
        </w:rPr>
      </w:pPr>
    </w:p>
    <w:p w:rsidR="00942936" w:rsidRPr="004C0A35" w:rsidRDefault="00942936" w:rsidP="002039ED">
      <w:pPr>
        <w:pBdr>
          <w:top w:val="single" w:sz="48" w:space="1" w:color="auto"/>
        </w:pBdr>
        <w:tabs>
          <w:tab w:val="left" w:pos="1312"/>
          <w:tab w:val="left" w:pos="4482"/>
          <w:tab w:val="left" w:pos="8739"/>
        </w:tabs>
        <w:ind w:right="345"/>
        <w:textDirection w:val="tbRlV"/>
        <w:rPr>
          <w:sz w:val="2"/>
          <w:szCs w:val="2"/>
          <w:rtl/>
          <w:lang w:val="en-GB" w:eastAsia="zh-TW" w:bidi="ar-DZ"/>
        </w:rPr>
      </w:pPr>
    </w:p>
    <w:tbl>
      <w:tblPr>
        <w:bidiVisual/>
        <w:tblW w:w="0" w:type="auto"/>
        <w:tblCellMar>
          <w:left w:w="0" w:type="dxa"/>
          <w:right w:w="0" w:type="dxa"/>
        </w:tblCellMar>
        <w:tblLook w:val="0000" w:firstRow="0" w:lastRow="0" w:firstColumn="0" w:lastColumn="0" w:noHBand="0" w:noVBand="0"/>
      </w:tblPr>
      <w:tblGrid>
        <w:gridCol w:w="705"/>
        <w:gridCol w:w="2693"/>
        <w:gridCol w:w="850"/>
        <w:gridCol w:w="709"/>
        <w:gridCol w:w="4258"/>
      </w:tblGrid>
      <w:tr w:rsidR="002039ED" w:rsidRPr="00787846" w:rsidTr="00347DCD">
        <w:tc>
          <w:tcPr>
            <w:tcW w:w="705" w:type="dxa"/>
          </w:tcPr>
          <w:p w:rsidR="002039ED" w:rsidRPr="00787846" w:rsidRDefault="002039ED" w:rsidP="004C16B7">
            <w:pPr>
              <w:pStyle w:val="SingleTxtGA"/>
              <w:ind w:left="0" w:right="0"/>
              <w:rPr>
                <w:rFonts w:ascii="Arial Narrow" w:hAnsi="Arial Narrow"/>
                <w:kern w:val="2"/>
                <w:rtl/>
                <w:lang w:eastAsia="zh-TW"/>
              </w:rPr>
            </w:pPr>
            <w:r>
              <w:rPr>
                <w:rFonts w:hint="cs"/>
                <w:rtl/>
                <w:lang w:val="en-GB" w:eastAsia="zh-TW"/>
              </w:rPr>
              <w:t>التاريخ</w:t>
            </w:r>
            <w:r>
              <w:rPr>
                <w:rFonts w:ascii="Arial Narrow" w:hAnsi="Arial Narrow" w:hint="cs"/>
                <w:kern w:val="2"/>
                <w:rtl/>
                <w:lang w:eastAsia="zh-TW"/>
              </w:rPr>
              <w:t>:</w:t>
            </w:r>
          </w:p>
        </w:tc>
        <w:tc>
          <w:tcPr>
            <w:tcW w:w="2693" w:type="dxa"/>
            <w:tcBorders>
              <w:bottom w:val="single" w:sz="2" w:space="0" w:color="auto"/>
            </w:tcBorders>
          </w:tcPr>
          <w:p w:rsidR="002039ED" w:rsidRPr="00787846" w:rsidRDefault="002039ED" w:rsidP="004C16B7">
            <w:pPr>
              <w:pStyle w:val="SingleTxtGA"/>
              <w:ind w:left="0" w:right="0"/>
              <w:rPr>
                <w:rFonts w:ascii="Arial Narrow" w:hAnsi="Arial Narrow"/>
                <w:kern w:val="2"/>
                <w:rtl/>
                <w:lang w:eastAsia="zh-TW"/>
              </w:rPr>
            </w:pPr>
          </w:p>
        </w:tc>
        <w:tc>
          <w:tcPr>
            <w:tcW w:w="850" w:type="dxa"/>
          </w:tcPr>
          <w:p w:rsidR="002039ED" w:rsidRPr="00787846" w:rsidRDefault="002039ED" w:rsidP="004C16B7">
            <w:pPr>
              <w:pStyle w:val="SingleTxtGA"/>
              <w:ind w:left="0" w:right="0"/>
              <w:rPr>
                <w:rFonts w:ascii="Arial Narrow" w:hAnsi="Arial Narrow"/>
                <w:kern w:val="2"/>
                <w:rtl/>
                <w:lang w:eastAsia="zh-TW"/>
              </w:rPr>
            </w:pPr>
          </w:p>
        </w:tc>
        <w:tc>
          <w:tcPr>
            <w:tcW w:w="709" w:type="dxa"/>
          </w:tcPr>
          <w:p w:rsidR="002039ED" w:rsidRPr="00787846" w:rsidRDefault="002039ED" w:rsidP="004C16B7">
            <w:pPr>
              <w:pStyle w:val="SingleTxtGA"/>
              <w:ind w:left="0" w:right="0"/>
              <w:rPr>
                <w:rFonts w:ascii="Arial Narrow" w:hAnsi="Arial Narrow"/>
                <w:kern w:val="2"/>
                <w:rtl/>
                <w:lang w:eastAsia="zh-TW" w:bidi="ar-DZ"/>
              </w:rPr>
            </w:pPr>
            <w:r>
              <w:rPr>
                <w:rFonts w:ascii="Arial Narrow" w:hAnsi="Arial Narrow" w:hint="cs"/>
                <w:kern w:val="2"/>
                <w:rtl/>
                <w:lang w:eastAsia="zh-TW"/>
              </w:rPr>
              <w:t>التوقيع:</w:t>
            </w:r>
          </w:p>
        </w:tc>
        <w:tc>
          <w:tcPr>
            <w:tcW w:w="4258" w:type="dxa"/>
            <w:tcBorders>
              <w:bottom w:val="single" w:sz="2" w:space="0" w:color="auto"/>
            </w:tcBorders>
          </w:tcPr>
          <w:p w:rsidR="002039ED" w:rsidRPr="00787846" w:rsidRDefault="002039ED" w:rsidP="004C16B7">
            <w:pPr>
              <w:pStyle w:val="SingleTxtGA"/>
              <w:ind w:left="0" w:right="0"/>
              <w:rPr>
                <w:rFonts w:ascii="Arial Narrow" w:hAnsi="Arial Narrow"/>
                <w:kern w:val="2"/>
                <w:rtl/>
                <w:lang w:eastAsia="zh-TW"/>
              </w:rPr>
            </w:pPr>
          </w:p>
        </w:tc>
      </w:tr>
    </w:tbl>
    <w:p w:rsidR="00092AE3" w:rsidRPr="00CE58B9" w:rsidRDefault="002039ED" w:rsidP="00425C8B">
      <w:pPr>
        <w:pStyle w:val="SingleTxtGA"/>
        <w:tabs>
          <w:tab w:val="clear" w:pos="1928"/>
        </w:tabs>
        <w:spacing w:before="280" w:line="300" w:lineRule="exact"/>
        <w:ind w:left="805" w:right="0" w:hanging="805"/>
        <w:rPr>
          <w:sz w:val="16"/>
          <w:szCs w:val="24"/>
          <w:rtl/>
          <w:lang w:eastAsia="ar-SA" w:bidi="ar-DZ"/>
        </w:rPr>
      </w:pPr>
      <w:r w:rsidRPr="00CE58B9">
        <w:rPr>
          <w:i/>
          <w:iCs/>
          <w:sz w:val="16"/>
          <w:szCs w:val="24"/>
          <w:rtl/>
          <w:lang w:eastAsia="ar-SA"/>
        </w:rPr>
        <w:t>ملاحظة:</w:t>
      </w:r>
      <w:r w:rsidRPr="00CE58B9">
        <w:rPr>
          <w:sz w:val="16"/>
          <w:szCs w:val="24"/>
          <w:rtl/>
          <w:lang w:eastAsia="ar-SA"/>
        </w:rPr>
        <w:tab/>
      </w:r>
      <w:r w:rsidRPr="00CE58B9">
        <w:rPr>
          <w:b/>
          <w:bCs/>
          <w:sz w:val="16"/>
          <w:szCs w:val="24"/>
          <w:rtl/>
          <w:lang w:eastAsia="ar-SA"/>
        </w:rPr>
        <w:t xml:space="preserve">يرجى إعادة هذه الاستمارة، </w:t>
      </w:r>
      <w:proofErr w:type="gramStart"/>
      <w:r w:rsidRPr="00CE58B9">
        <w:rPr>
          <w:b/>
          <w:bCs/>
          <w:sz w:val="16"/>
          <w:szCs w:val="24"/>
          <w:rtl/>
          <w:lang w:eastAsia="ar-SA"/>
        </w:rPr>
        <w:t>مملوءة</w:t>
      </w:r>
      <w:proofErr w:type="gramEnd"/>
      <w:r w:rsidRPr="00CE58B9">
        <w:rPr>
          <w:b/>
          <w:bCs/>
          <w:sz w:val="16"/>
          <w:szCs w:val="24"/>
          <w:rtl/>
          <w:lang w:eastAsia="ar-SA"/>
        </w:rPr>
        <w:t xml:space="preserve"> على النحو الواجب، إلى </w:t>
      </w:r>
      <w:r w:rsidRPr="00CE58B9">
        <w:rPr>
          <w:b/>
          <w:bCs/>
          <w:sz w:val="16"/>
          <w:szCs w:val="24"/>
          <w:lang w:eastAsia="ar-SA"/>
        </w:rPr>
        <w:t>fmorvay@ohchr.</w:t>
      </w:r>
      <w:proofErr w:type="gramStart"/>
      <w:r w:rsidRPr="00CE58B9">
        <w:rPr>
          <w:b/>
          <w:bCs/>
          <w:sz w:val="16"/>
          <w:szCs w:val="24"/>
          <w:lang w:eastAsia="ar-SA"/>
        </w:rPr>
        <w:t>org</w:t>
      </w:r>
      <w:proofErr w:type="gramEnd"/>
      <w:r w:rsidRPr="00CE58B9">
        <w:rPr>
          <w:b/>
          <w:bCs/>
          <w:sz w:val="16"/>
          <w:szCs w:val="24"/>
          <w:rtl/>
          <w:lang w:eastAsia="ar-SA"/>
        </w:rPr>
        <w:t>، بحلول 16 تشرين الثاني/نوفمبر 2017</w:t>
      </w:r>
      <w:r w:rsidRPr="00CE58B9">
        <w:rPr>
          <w:sz w:val="16"/>
          <w:szCs w:val="24"/>
          <w:rtl/>
          <w:lang w:eastAsia="ar-SA"/>
        </w:rPr>
        <w:t xml:space="preserve">. وللمزيد من المعلومات، يرجى الاتصال بالسيدة </w:t>
      </w:r>
      <w:proofErr w:type="spellStart"/>
      <w:r w:rsidRPr="00CE58B9">
        <w:rPr>
          <w:sz w:val="16"/>
          <w:szCs w:val="24"/>
          <w:rtl/>
          <w:lang w:eastAsia="ar-SA"/>
        </w:rPr>
        <w:t>فيديريكا</w:t>
      </w:r>
      <w:proofErr w:type="spellEnd"/>
      <w:r w:rsidRPr="00CE58B9">
        <w:rPr>
          <w:sz w:val="16"/>
          <w:szCs w:val="24"/>
          <w:rtl/>
          <w:lang w:eastAsia="ar-SA"/>
        </w:rPr>
        <w:t xml:space="preserve"> </w:t>
      </w:r>
      <w:proofErr w:type="spellStart"/>
      <w:r w:rsidRPr="00CE58B9">
        <w:rPr>
          <w:sz w:val="16"/>
          <w:szCs w:val="24"/>
          <w:rtl/>
          <w:lang w:eastAsia="ar-SA"/>
        </w:rPr>
        <w:t>مورفاي</w:t>
      </w:r>
      <w:proofErr w:type="spellEnd"/>
      <w:r w:rsidRPr="00CE58B9">
        <w:rPr>
          <w:sz w:val="16"/>
          <w:szCs w:val="24"/>
          <w:rtl/>
          <w:lang w:eastAsia="ar-SA"/>
        </w:rPr>
        <w:t xml:space="preserve"> عبر البريد الإليكتروني </w:t>
      </w:r>
      <w:r w:rsidRPr="00CE58B9">
        <w:rPr>
          <w:sz w:val="16"/>
          <w:szCs w:val="24"/>
          <w:lang w:eastAsia="ar-SA"/>
        </w:rPr>
        <w:t>fmorvay@ohchr.org</w:t>
      </w:r>
      <w:r w:rsidRPr="00CE58B9">
        <w:rPr>
          <w:sz w:val="16"/>
          <w:szCs w:val="24"/>
          <w:rtl/>
          <w:lang w:eastAsia="ar-SA"/>
        </w:rPr>
        <w:t>.</w:t>
      </w:r>
    </w:p>
    <w:sectPr w:rsidR="00092AE3" w:rsidRPr="00CE58B9" w:rsidSect="004C0A35">
      <w:footerReference w:type="even" r:id="rId12"/>
      <w:footerReference w:type="default" r:id="rId13"/>
      <w:footerReference w:type="first" r:id="rId14"/>
      <w:endnotePr>
        <w:numFmt w:val="decimal"/>
      </w:endnotePr>
      <w:type w:val="continuous"/>
      <w:pgSz w:w="11907" w:h="16840" w:code="9"/>
      <w:pgMar w:top="1134" w:right="1134" w:bottom="1134" w:left="1134" w:header="1134" w:footer="1134"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A4" w:rsidRPr="002901D9" w:rsidRDefault="002245A4" w:rsidP="002901D9">
      <w:pPr>
        <w:spacing w:after="60" w:line="240" w:lineRule="auto"/>
        <w:rPr>
          <w:i/>
          <w:iCs/>
        </w:rPr>
      </w:pPr>
      <w:r>
        <w:rPr>
          <w:rFonts w:hint="cs"/>
          <w:i/>
          <w:iCs/>
          <w:rtl/>
        </w:rPr>
        <w:t>الحواشي</w:t>
      </w:r>
    </w:p>
  </w:endnote>
  <w:endnote w:type="continuationSeparator" w:id="0">
    <w:p w:rsidR="002245A4" w:rsidRDefault="002245A4"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00031653"/>
      <w:docPartObj>
        <w:docPartGallery w:val="Page Numbers (Bottom of Page)"/>
        <w:docPartUnique/>
      </w:docPartObj>
    </w:sdtPr>
    <w:sdtEndPr>
      <w:rPr>
        <w:b/>
        <w:bCs/>
        <w:noProof/>
      </w:rPr>
    </w:sdtEndPr>
    <w:sdtContent>
      <w:p w:rsidR="00270539" w:rsidRPr="00270539" w:rsidRDefault="00270539" w:rsidP="00270539">
        <w:pPr>
          <w:pStyle w:val="Footer"/>
          <w:jc w:val="right"/>
          <w:rPr>
            <w:b/>
            <w:bCs/>
            <w:sz w:val="20"/>
            <w:rtl/>
            <w:lang w:bidi="ar-DZ"/>
          </w:rPr>
        </w:pPr>
        <w:r w:rsidRPr="00270539">
          <w:rPr>
            <w:b/>
            <w:bCs/>
            <w:sz w:val="20"/>
          </w:rPr>
          <w:fldChar w:fldCharType="begin"/>
        </w:r>
        <w:r w:rsidRPr="00270539">
          <w:rPr>
            <w:b/>
            <w:bCs/>
            <w:sz w:val="20"/>
          </w:rPr>
          <w:instrText xml:space="preserve"> PAGE   \* MERGEFORMAT </w:instrText>
        </w:r>
        <w:r w:rsidRPr="00270539">
          <w:rPr>
            <w:b/>
            <w:bCs/>
            <w:sz w:val="20"/>
          </w:rPr>
          <w:fldChar w:fldCharType="separate"/>
        </w:r>
        <w:r w:rsidR="00C35B6E">
          <w:rPr>
            <w:b/>
            <w:bCs/>
            <w:noProof/>
            <w:sz w:val="20"/>
          </w:rPr>
          <w:t>2</w:t>
        </w:r>
        <w:r w:rsidRPr="00270539">
          <w:rPr>
            <w:b/>
            <w:bCs/>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447629376"/>
      <w:docPartObj>
        <w:docPartGallery w:val="Page Numbers (Bottom of Page)"/>
        <w:docPartUnique/>
      </w:docPartObj>
    </w:sdtPr>
    <w:sdtEndPr>
      <w:rPr>
        <w:b/>
        <w:bCs/>
        <w:noProof/>
      </w:rPr>
    </w:sdtEndPr>
    <w:sdtContent>
      <w:p w:rsidR="00270539" w:rsidRPr="00270539" w:rsidRDefault="00270539" w:rsidP="00270539">
        <w:pPr>
          <w:pStyle w:val="Footer"/>
          <w:jc w:val="left"/>
          <w:rPr>
            <w:b/>
            <w:bCs/>
            <w:sz w:val="20"/>
            <w:lang w:bidi="ar-DZ"/>
          </w:rPr>
        </w:pPr>
        <w:r w:rsidRPr="00270539">
          <w:rPr>
            <w:b/>
            <w:bCs/>
            <w:sz w:val="20"/>
          </w:rPr>
          <w:fldChar w:fldCharType="begin"/>
        </w:r>
        <w:r w:rsidRPr="00270539">
          <w:rPr>
            <w:b/>
            <w:bCs/>
            <w:sz w:val="20"/>
          </w:rPr>
          <w:instrText xml:space="preserve"> PAGE   \* MERGEFORMAT </w:instrText>
        </w:r>
        <w:r w:rsidRPr="00270539">
          <w:rPr>
            <w:b/>
            <w:bCs/>
            <w:sz w:val="20"/>
          </w:rPr>
          <w:fldChar w:fldCharType="separate"/>
        </w:r>
        <w:r w:rsidR="00C35B6E">
          <w:rPr>
            <w:b/>
            <w:bCs/>
            <w:noProof/>
            <w:sz w:val="20"/>
          </w:rPr>
          <w:t>3</w:t>
        </w:r>
        <w:r w:rsidRPr="00270539">
          <w:rPr>
            <w:b/>
            <w:bCs/>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45483519"/>
      <w:docPartObj>
        <w:docPartGallery w:val="Page Numbers (Bottom of Page)"/>
        <w:docPartUnique/>
      </w:docPartObj>
    </w:sdtPr>
    <w:sdtEndPr>
      <w:rPr>
        <w:b/>
        <w:bCs/>
        <w:noProof/>
      </w:rPr>
    </w:sdtEndPr>
    <w:sdtContent>
      <w:p w:rsidR="00270539" w:rsidRPr="00270539" w:rsidRDefault="00270539" w:rsidP="00C905C0">
        <w:pPr>
          <w:pStyle w:val="Footer"/>
          <w:tabs>
            <w:tab w:val="left" w:pos="8364"/>
          </w:tabs>
          <w:rPr>
            <w:b/>
            <w:bCs/>
            <w:sz w:val="20"/>
          </w:rPr>
        </w:pPr>
        <w:r w:rsidRPr="00270539">
          <w:rPr>
            <w:b/>
            <w:bCs/>
            <w:sz w:val="20"/>
          </w:rPr>
          <w:fldChar w:fldCharType="begin"/>
        </w:r>
        <w:r w:rsidRPr="00270539">
          <w:rPr>
            <w:b/>
            <w:bCs/>
            <w:sz w:val="20"/>
          </w:rPr>
          <w:instrText xml:space="preserve"> PAGE   \* MERGEFORMAT </w:instrText>
        </w:r>
        <w:r w:rsidRPr="00270539">
          <w:rPr>
            <w:b/>
            <w:bCs/>
            <w:sz w:val="20"/>
          </w:rPr>
          <w:fldChar w:fldCharType="separate"/>
        </w:r>
        <w:r w:rsidR="00C35B6E">
          <w:rPr>
            <w:b/>
            <w:bCs/>
            <w:noProof/>
            <w:sz w:val="20"/>
          </w:rPr>
          <w:t>1</w:t>
        </w:r>
        <w:r w:rsidRPr="00270539">
          <w:rPr>
            <w:b/>
            <w:bCs/>
            <w:noProof/>
            <w:sz w:val="20"/>
          </w:rPr>
          <w:fldChar w:fldCharType="end"/>
        </w:r>
        <w:r w:rsidR="00C905C0">
          <w:rPr>
            <w:b/>
            <w:bCs/>
            <w:noProof/>
            <w:sz w:val="20"/>
          </w:rPr>
          <w:tab/>
        </w:r>
        <w:r w:rsidR="00C905C0" w:rsidRPr="00C905C0">
          <w:rPr>
            <w:noProof/>
            <w:sz w:val="18"/>
            <w:szCs w:val="18"/>
          </w:rPr>
          <w:t>GE.17</w:t>
        </w:r>
        <w:r w:rsidR="00C905C0">
          <w:rPr>
            <w:noProof/>
            <w:sz w:val="18"/>
            <w:szCs w:val="18"/>
          </w:rPr>
          <w:t>-</w:t>
        </w:r>
        <w:r w:rsidR="00C905C0" w:rsidRPr="00C905C0">
          <w:rPr>
            <w:noProof/>
            <w:sz w:val="18"/>
            <w:szCs w:val="18"/>
          </w:rPr>
          <w:t>17013A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A4" w:rsidRPr="0054762C" w:rsidRDefault="002245A4" w:rsidP="00173565">
      <w:pPr>
        <w:pStyle w:val="Footer"/>
        <w:bidi/>
        <w:spacing w:after="80" w:line="200" w:lineRule="exact"/>
        <w:ind w:left="680"/>
      </w:pPr>
      <w:r>
        <w:rPr>
          <w:rtl/>
        </w:rPr>
        <w:t>__________</w:t>
      </w:r>
    </w:p>
  </w:footnote>
  <w:footnote w:type="continuationSeparator" w:id="0">
    <w:p w:rsidR="002245A4" w:rsidRDefault="002245A4" w:rsidP="00656392">
      <w:pPr>
        <w:spacing w:line="240" w:lineRule="auto"/>
      </w:pPr>
      <w:r>
        <w:continuationSeparator/>
      </w:r>
    </w:p>
  </w:footnote>
  <w:footnote w:id="1">
    <w:p w:rsidR="003C2F1B" w:rsidRPr="003C2F1B" w:rsidRDefault="003C2F1B" w:rsidP="003C2F1B">
      <w:pPr>
        <w:pStyle w:val="FootnoteText"/>
        <w:spacing w:after="60" w:line="300" w:lineRule="exact"/>
        <w:ind w:left="1247" w:right="1247" w:hanging="567"/>
        <w:rPr>
          <w:sz w:val="18"/>
          <w:szCs w:val="26"/>
        </w:rPr>
      </w:pPr>
      <w:r w:rsidRPr="003C2F1B">
        <w:rPr>
          <w:rStyle w:val="FootnoteReference"/>
          <w:szCs w:val="26"/>
          <w:vertAlign w:val="baseline"/>
          <w:rtl/>
        </w:rPr>
        <w:t>(</w:t>
      </w:r>
      <w:r w:rsidRPr="003C2F1B">
        <w:rPr>
          <w:rStyle w:val="FootnoteReference"/>
          <w:szCs w:val="26"/>
          <w:vertAlign w:val="baseline"/>
          <w:rtl/>
        </w:rPr>
        <w:footnoteRef/>
      </w:r>
      <w:r w:rsidRPr="003C2F1B">
        <w:rPr>
          <w:rStyle w:val="FootnoteReference"/>
          <w:szCs w:val="26"/>
          <w:vertAlign w:val="baseline"/>
          <w:rtl/>
        </w:rPr>
        <w:t>)</w:t>
      </w:r>
      <w:r w:rsidRPr="003C2F1B">
        <w:rPr>
          <w:rStyle w:val="FootnoteReference"/>
          <w:szCs w:val="26"/>
          <w:vertAlign w:val="baseline"/>
          <w:rtl/>
        </w:rPr>
        <w:tab/>
      </w:r>
      <w:r w:rsidRPr="003C2F1B">
        <w:rPr>
          <w:sz w:val="18"/>
          <w:szCs w:val="26"/>
          <w:rtl/>
        </w:rPr>
        <w:t>انظر الإعلان العالمي لحقوق الإنسان، المادة 21؛</w:t>
      </w:r>
      <w:r w:rsidRPr="003C2F1B">
        <w:rPr>
          <w:rFonts w:hint="cs"/>
          <w:sz w:val="18"/>
          <w:szCs w:val="26"/>
          <w:rtl/>
        </w:rPr>
        <w:t xml:space="preserve"> </w:t>
      </w:r>
      <w:r w:rsidRPr="003C2F1B">
        <w:rPr>
          <w:sz w:val="18"/>
          <w:szCs w:val="26"/>
          <w:rtl/>
        </w:rPr>
        <w:t>والعهد الدولي الخاص بالحقوق الاقتصادية والاجتماعية والثقافية، المادة 8؛</w:t>
      </w:r>
      <w:r w:rsidRPr="003C2F1B">
        <w:rPr>
          <w:rFonts w:hint="cs"/>
          <w:sz w:val="18"/>
          <w:szCs w:val="26"/>
          <w:rtl/>
        </w:rPr>
        <w:t xml:space="preserve"> </w:t>
      </w:r>
      <w:r w:rsidRPr="003C2F1B">
        <w:rPr>
          <w:sz w:val="18"/>
          <w:szCs w:val="26"/>
          <w:rtl/>
        </w:rPr>
        <w:t>والاتفاقية الدولية للقضاء على جميع أشكال التمييز العنصري، المادة 5(ج)</w:t>
      </w:r>
      <w:r w:rsidRPr="003C2F1B">
        <w:rPr>
          <w:rFonts w:hint="cs"/>
          <w:sz w:val="18"/>
          <w:szCs w:val="26"/>
          <w:rtl/>
        </w:rPr>
        <w:t xml:space="preserve">؛ </w:t>
      </w:r>
      <w:r w:rsidRPr="003C2F1B">
        <w:rPr>
          <w:sz w:val="18"/>
          <w:szCs w:val="26"/>
          <w:rtl/>
        </w:rPr>
        <w:t>واتفاقية القضاء على جميع أشكال التمييز ضد المرأة، المادتان 7 و8؛</w:t>
      </w:r>
      <w:r w:rsidRPr="003C2F1B">
        <w:rPr>
          <w:rFonts w:hint="cs"/>
          <w:sz w:val="18"/>
          <w:szCs w:val="26"/>
          <w:rtl/>
        </w:rPr>
        <w:t xml:space="preserve"> </w:t>
      </w:r>
      <w:r w:rsidRPr="003C2F1B">
        <w:rPr>
          <w:sz w:val="18"/>
          <w:szCs w:val="26"/>
          <w:rtl/>
        </w:rPr>
        <w:t>واتفاقية حقوق الطفل، المادة 15؛</w:t>
      </w:r>
      <w:r w:rsidRPr="003C2F1B">
        <w:rPr>
          <w:rFonts w:hint="cs"/>
          <w:sz w:val="18"/>
          <w:szCs w:val="26"/>
          <w:rtl/>
        </w:rPr>
        <w:t xml:space="preserve"> </w:t>
      </w:r>
      <w:r w:rsidRPr="003C2F1B">
        <w:rPr>
          <w:sz w:val="18"/>
          <w:szCs w:val="26"/>
          <w:rtl/>
        </w:rPr>
        <w:t>واتفاقية حقوق الأشخاص ذوي الإعاقة، المواد 4(3) و29 و33(3)؛</w:t>
      </w:r>
      <w:r w:rsidRPr="003C2F1B">
        <w:rPr>
          <w:rFonts w:hint="cs"/>
          <w:sz w:val="18"/>
          <w:szCs w:val="26"/>
          <w:rtl/>
        </w:rPr>
        <w:t xml:space="preserve"> </w:t>
      </w:r>
      <w:r w:rsidRPr="003C2F1B">
        <w:rPr>
          <w:sz w:val="18"/>
          <w:szCs w:val="26"/>
          <w:rtl/>
        </w:rPr>
        <w:t>والاتفاقية الدولية لحماية حقوق جميع العمال المهاجرين وأفراد أسرهم، المادتان 41 و42؛</w:t>
      </w:r>
      <w:r w:rsidRPr="003C2F1B">
        <w:rPr>
          <w:rFonts w:hint="cs"/>
          <w:sz w:val="18"/>
          <w:szCs w:val="26"/>
          <w:rtl/>
        </w:rPr>
        <w:t xml:space="preserve"> والإعلان </w:t>
      </w:r>
      <w:r w:rsidRPr="003C2F1B">
        <w:rPr>
          <w:sz w:val="18"/>
          <w:szCs w:val="26"/>
          <w:rtl/>
        </w:rPr>
        <w:t>بشأن حقوق الأشخاص المنتمين إلى أقليات قومية أو </w:t>
      </w:r>
      <w:proofErr w:type="spellStart"/>
      <w:r w:rsidRPr="003C2F1B">
        <w:rPr>
          <w:sz w:val="18"/>
          <w:szCs w:val="26"/>
          <w:rtl/>
        </w:rPr>
        <w:t>إثنية</w:t>
      </w:r>
      <w:proofErr w:type="spellEnd"/>
      <w:r w:rsidRPr="003C2F1B">
        <w:rPr>
          <w:sz w:val="18"/>
          <w:szCs w:val="26"/>
          <w:rtl/>
        </w:rPr>
        <w:t xml:space="preserve"> وإلى أقليات دينية ولغوية، المادة 2(2)؛</w:t>
      </w:r>
      <w:r w:rsidRPr="003C2F1B">
        <w:rPr>
          <w:rFonts w:hint="cs"/>
          <w:sz w:val="18"/>
          <w:szCs w:val="26"/>
          <w:rtl/>
        </w:rPr>
        <w:t xml:space="preserve"> </w:t>
      </w:r>
      <w:r w:rsidRPr="003C2F1B">
        <w:rPr>
          <w:sz w:val="18"/>
          <w:szCs w:val="26"/>
          <w:rtl/>
        </w:rPr>
        <w:t>وإعلان الأمم المتحدة بشأن حقوق الشعوب الأصلية، المادتان</w:t>
      </w:r>
      <w:r w:rsidRPr="003C2F1B">
        <w:rPr>
          <w:rFonts w:hint="cs"/>
          <w:sz w:val="18"/>
          <w:szCs w:val="26"/>
          <w:rtl/>
        </w:rPr>
        <w:t> </w:t>
      </w:r>
      <w:r w:rsidRPr="003C2F1B">
        <w:rPr>
          <w:sz w:val="18"/>
          <w:szCs w:val="26"/>
          <w:rtl/>
        </w:rPr>
        <w:t>5 و18؛</w:t>
      </w:r>
      <w:r w:rsidRPr="003C2F1B">
        <w:rPr>
          <w:rFonts w:hint="cs"/>
          <w:sz w:val="18"/>
          <w:szCs w:val="26"/>
          <w:rtl/>
        </w:rPr>
        <w:t xml:space="preserve"> </w:t>
      </w:r>
      <w:r w:rsidRPr="003C2F1B">
        <w:rPr>
          <w:sz w:val="18"/>
          <w:szCs w:val="26"/>
          <w:rtl/>
        </w:rPr>
        <w:t>وبرنامج عمل ديربان، الفقرة 22؛ وإعلان الحق في التنمية، المواد 1(1) و2 و8(2)؛</w:t>
      </w:r>
      <w:r w:rsidRPr="003C2F1B">
        <w:rPr>
          <w:rFonts w:hint="cs"/>
          <w:sz w:val="18"/>
          <w:szCs w:val="26"/>
          <w:rtl/>
        </w:rPr>
        <w:t xml:space="preserve"> </w:t>
      </w:r>
      <w:r w:rsidRPr="003C2F1B">
        <w:rPr>
          <w:sz w:val="18"/>
          <w:szCs w:val="26"/>
          <w:rtl/>
        </w:rPr>
        <w:t>والإعلان المتعلق بحق ومسؤولية الأفراد والجماعات وهيئات المجتمع في تعزيز وحماية حقوق الإنسان والحريات الأساسية المعترف بها عالمي</w:t>
      </w:r>
      <w:r w:rsidR="00262F0F" w:rsidRPr="003C2F1B">
        <w:rPr>
          <w:sz w:val="18"/>
          <w:szCs w:val="26"/>
          <w:rtl/>
        </w:rPr>
        <w:t>ا</w:t>
      </w:r>
      <w:r w:rsidR="00262F0F">
        <w:rPr>
          <w:sz w:val="18"/>
          <w:szCs w:val="26"/>
          <w:rtl/>
        </w:rPr>
        <w:t>ً</w:t>
      </w:r>
      <w:r w:rsidR="00262F0F" w:rsidRPr="003C2F1B">
        <w:rPr>
          <w:sz w:val="18"/>
          <w:szCs w:val="26"/>
          <w:rtl/>
        </w:rPr>
        <w:t>،</w:t>
      </w:r>
      <w:r w:rsidRPr="003C2F1B">
        <w:rPr>
          <w:sz w:val="18"/>
          <w:szCs w:val="26"/>
          <w:rtl/>
        </w:rPr>
        <w:t xml:space="preserve"> المادة 8؛</w:t>
      </w:r>
      <w:r w:rsidRPr="003C2F1B">
        <w:rPr>
          <w:rFonts w:hint="cs"/>
          <w:sz w:val="18"/>
          <w:szCs w:val="26"/>
          <w:rtl/>
        </w:rPr>
        <w:t xml:space="preserve"> </w:t>
      </w:r>
      <w:r w:rsidRPr="003C2F1B">
        <w:rPr>
          <w:sz w:val="18"/>
          <w:szCs w:val="26"/>
          <w:rtl/>
        </w:rPr>
        <w:t>وعلى الصعيد الإقليمي، تحمي عدة صكوك المساواة في الحقوق السياسية، منها البروتوكول الأول لاتفاقية حماية حقوق الإنسان والحريات الأساسية (المادة 3)، والاتفاقية الأمريكية لحقوق الإنسان (المادة 23)، والميثاق الأفريقي لحقوق الإنسان والشعوب (المادة 13)</w:t>
      </w:r>
      <w:r w:rsidRPr="003C2F1B">
        <w:rPr>
          <w:rFonts w:hint="cs"/>
          <w:sz w:val="18"/>
          <w:szCs w:val="26"/>
          <w:rtl/>
        </w:rPr>
        <w:t xml:space="preserve">. </w:t>
      </w:r>
    </w:p>
  </w:footnote>
  <w:footnote w:id="2">
    <w:p w:rsidR="003C2F1B" w:rsidRPr="003C2F1B" w:rsidRDefault="003C2F1B" w:rsidP="003C2F1B">
      <w:pPr>
        <w:pStyle w:val="FootnoteText"/>
        <w:spacing w:after="60" w:line="300" w:lineRule="exact"/>
        <w:ind w:left="1247" w:right="1247" w:hanging="567"/>
        <w:rPr>
          <w:sz w:val="18"/>
          <w:szCs w:val="26"/>
        </w:rPr>
      </w:pPr>
      <w:r w:rsidRPr="003C2F1B">
        <w:rPr>
          <w:rStyle w:val="FootnoteReference"/>
          <w:szCs w:val="26"/>
          <w:vertAlign w:val="baseline"/>
          <w:rtl/>
        </w:rPr>
        <w:t>(</w:t>
      </w:r>
      <w:r w:rsidRPr="003C2F1B">
        <w:rPr>
          <w:rStyle w:val="FootnoteReference"/>
          <w:szCs w:val="26"/>
          <w:vertAlign w:val="baseline"/>
          <w:rtl/>
        </w:rPr>
        <w:footnoteRef/>
      </w:r>
      <w:r w:rsidRPr="003C2F1B">
        <w:rPr>
          <w:rStyle w:val="FootnoteReference"/>
          <w:szCs w:val="26"/>
          <w:vertAlign w:val="baseline"/>
          <w:rtl/>
        </w:rPr>
        <w:t>)</w:t>
      </w:r>
      <w:r w:rsidRPr="003C2F1B">
        <w:rPr>
          <w:rStyle w:val="FootnoteReference"/>
          <w:szCs w:val="26"/>
          <w:vertAlign w:val="baseline"/>
          <w:rtl/>
        </w:rPr>
        <w:tab/>
      </w:r>
      <w:r w:rsidRPr="003C2F1B">
        <w:rPr>
          <w:sz w:val="18"/>
          <w:szCs w:val="26"/>
          <w:rtl/>
        </w:rPr>
        <w:t>انظر تقارير المفوضية السامية بشأن العوامل التي تعوق المشاركة السياسية على قدم المساواة بين الجميع والخطوات اللازم اتخاذها للتغلب على هذه التحديات (</w:t>
      </w:r>
      <w:r w:rsidRPr="003C2F1B">
        <w:rPr>
          <w:sz w:val="18"/>
          <w:szCs w:val="26"/>
        </w:rPr>
        <w:t>A/HRC/27/29</w:t>
      </w:r>
      <w:r w:rsidRPr="003C2F1B">
        <w:rPr>
          <w:sz w:val="18"/>
          <w:szCs w:val="26"/>
          <w:rtl/>
        </w:rPr>
        <w:t xml:space="preserve">)، وبشأن </w:t>
      </w:r>
      <w:r w:rsidRPr="003C2F1B">
        <w:rPr>
          <w:rFonts w:hint="cs"/>
          <w:sz w:val="18"/>
          <w:szCs w:val="26"/>
          <w:rtl/>
        </w:rPr>
        <w:t>تعزيز</w:t>
      </w:r>
      <w:r w:rsidRPr="003C2F1B">
        <w:rPr>
          <w:sz w:val="18"/>
          <w:szCs w:val="26"/>
          <w:rtl/>
        </w:rPr>
        <w:t xml:space="preserve"> </w:t>
      </w:r>
      <w:r w:rsidRPr="003C2F1B">
        <w:rPr>
          <w:rFonts w:hint="cs"/>
          <w:sz w:val="18"/>
          <w:szCs w:val="26"/>
          <w:rtl/>
        </w:rPr>
        <w:t>وحماية</w:t>
      </w:r>
      <w:r w:rsidRPr="003C2F1B">
        <w:rPr>
          <w:sz w:val="18"/>
          <w:szCs w:val="26"/>
          <w:rtl/>
        </w:rPr>
        <w:t xml:space="preserve"> </w:t>
      </w:r>
      <w:r w:rsidRPr="003C2F1B">
        <w:rPr>
          <w:rFonts w:hint="cs"/>
          <w:sz w:val="18"/>
          <w:szCs w:val="26"/>
          <w:rtl/>
        </w:rPr>
        <w:t>وإعمال</w:t>
      </w:r>
      <w:r w:rsidRPr="003C2F1B">
        <w:rPr>
          <w:sz w:val="18"/>
          <w:szCs w:val="26"/>
          <w:rtl/>
        </w:rPr>
        <w:t xml:space="preserve"> </w:t>
      </w:r>
      <w:r w:rsidRPr="003C2F1B">
        <w:rPr>
          <w:rFonts w:hint="cs"/>
          <w:sz w:val="18"/>
          <w:szCs w:val="26"/>
          <w:rtl/>
        </w:rPr>
        <w:t>الحق</w:t>
      </w:r>
      <w:r w:rsidRPr="003C2F1B">
        <w:rPr>
          <w:sz w:val="18"/>
          <w:szCs w:val="26"/>
          <w:rtl/>
        </w:rPr>
        <w:t xml:space="preserve"> </w:t>
      </w:r>
      <w:r w:rsidRPr="003C2F1B">
        <w:rPr>
          <w:rFonts w:hint="cs"/>
          <w:sz w:val="18"/>
          <w:szCs w:val="26"/>
          <w:rtl/>
        </w:rPr>
        <w:t>في</w:t>
      </w:r>
      <w:r w:rsidRPr="003C2F1B">
        <w:rPr>
          <w:sz w:val="18"/>
          <w:szCs w:val="26"/>
          <w:rtl/>
        </w:rPr>
        <w:t xml:space="preserve"> </w:t>
      </w:r>
      <w:r w:rsidRPr="003C2F1B">
        <w:rPr>
          <w:rFonts w:hint="cs"/>
          <w:sz w:val="18"/>
          <w:szCs w:val="26"/>
          <w:rtl/>
        </w:rPr>
        <w:t>المشاركة</w:t>
      </w:r>
      <w:r w:rsidRPr="003C2F1B">
        <w:rPr>
          <w:sz w:val="18"/>
          <w:szCs w:val="26"/>
          <w:rtl/>
        </w:rPr>
        <w:t xml:space="preserve"> </w:t>
      </w:r>
      <w:r w:rsidRPr="003C2F1B">
        <w:rPr>
          <w:rFonts w:hint="cs"/>
          <w:sz w:val="18"/>
          <w:szCs w:val="26"/>
          <w:rtl/>
        </w:rPr>
        <w:t>في</w:t>
      </w:r>
      <w:r w:rsidRPr="003C2F1B">
        <w:rPr>
          <w:sz w:val="18"/>
          <w:szCs w:val="26"/>
          <w:rtl/>
        </w:rPr>
        <w:t xml:space="preserve"> </w:t>
      </w:r>
      <w:r w:rsidRPr="003C2F1B">
        <w:rPr>
          <w:rFonts w:hint="cs"/>
          <w:sz w:val="18"/>
          <w:szCs w:val="26"/>
          <w:rtl/>
        </w:rPr>
        <w:t>الشؤون العامة</w:t>
      </w:r>
      <w:r w:rsidRPr="003C2F1B">
        <w:rPr>
          <w:sz w:val="18"/>
          <w:szCs w:val="26"/>
          <w:rtl/>
        </w:rPr>
        <w:t xml:space="preserve"> </w:t>
      </w:r>
      <w:r w:rsidRPr="003C2F1B">
        <w:rPr>
          <w:rFonts w:hint="cs"/>
          <w:sz w:val="18"/>
          <w:szCs w:val="26"/>
          <w:rtl/>
        </w:rPr>
        <w:t>في</w:t>
      </w:r>
      <w:r w:rsidRPr="003C2F1B">
        <w:rPr>
          <w:sz w:val="18"/>
          <w:szCs w:val="26"/>
          <w:rtl/>
        </w:rPr>
        <w:t xml:space="preserve"> </w:t>
      </w:r>
      <w:r w:rsidRPr="003C2F1B">
        <w:rPr>
          <w:rFonts w:hint="cs"/>
          <w:sz w:val="18"/>
          <w:szCs w:val="26"/>
          <w:rtl/>
        </w:rPr>
        <w:t>سياق</w:t>
      </w:r>
      <w:r w:rsidRPr="003C2F1B">
        <w:rPr>
          <w:sz w:val="18"/>
          <w:szCs w:val="26"/>
          <w:rtl/>
        </w:rPr>
        <w:t xml:space="preserve"> </w:t>
      </w:r>
      <w:r w:rsidRPr="003C2F1B">
        <w:rPr>
          <w:rFonts w:hint="cs"/>
          <w:sz w:val="18"/>
          <w:szCs w:val="26"/>
          <w:rtl/>
        </w:rPr>
        <w:t>قانون</w:t>
      </w:r>
      <w:r w:rsidRPr="003C2F1B">
        <w:rPr>
          <w:sz w:val="18"/>
          <w:szCs w:val="26"/>
          <w:rtl/>
        </w:rPr>
        <w:t xml:space="preserve"> </w:t>
      </w:r>
      <w:r w:rsidRPr="003C2F1B">
        <w:rPr>
          <w:rFonts w:hint="cs"/>
          <w:sz w:val="18"/>
          <w:szCs w:val="26"/>
          <w:rtl/>
        </w:rPr>
        <w:t>حقوق</w:t>
      </w:r>
      <w:r w:rsidRPr="003C2F1B">
        <w:rPr>
          <w:sz w:val="18"/>
          <w:szCs w:val="26"/>
          <w:rtl/>
        </w:rPr>
        <w:t xml:space="preserve"> </w:t>
      </w:r>
      <w:r w:rsidRPr="003C2F1B">
        <w:rPr>
          <w:rFonts w:hint="cs"/>
          <w:sz w:val="18"/>
          <w:szCs w:val="26"/>
          <w:rtl/>
        </w:rPr>
        <w:t>الإنسان</w:t>
      </w:r>
      <w:r w:rsidRPr="003C2F1B">
        <w:rPr>
          <w:sz w:val="18"/>
          <w:szCs w:val="26"/>
          <w:rtl/>
        </w:rPr>
        <w:t xml:space="preserve"> </w:t>
      </w:r>
      <w:r w:rsidRPr="003C2F1B">
        <w:rPr>
          <w:rFonts w:hint="cs"/>
          <w:sz w:val="18"/>
          <w:szCs w:val="26"/>
          <w:rtl/>
        </w:rPr>
        <w:t>القائم</w:t>
      </w:r>
      <w:r w:rsidRPr="003C2F1B">
        <w:rPr>
          <w:sz w:val="18"/>
          <w:szCs w:val="26"/>
          <w:rtl/>
        </w:rPr>
        <w:t xml:space="preserve">: </w:t>
      </w:r>
      <w:r w:rsidRPr="003C2F1B">
        <w:rPr>
          <w:rFonts w:hint="cs"/>
          <w:sz w:val="18"/>
          <w:szCs w:val="26"/>
          <w:rtl/>
        </w:rPr>
        <w:t>الممارسات</w:t>
      </w:r>
      <w:r w:rsidRPr="003C2F1B">
        <w:rPr>
          <w:sz w:val="18"/>
          <w:szCs w:val="26"/>
          <w:rtl/>
        </w:rPr>
        <w:t xml:space="preserve"> </w:t>
      </w:r>
      <w:r w:rsidRPr="003C2F1B">
        <w:rPr>
          <w:rFonts w:hint="cs"/>
          <w:sz w:val="18"/>
          <w:szCs w:val="26"/>
          <w:rtl/>
        </w:rPr>
        <w:t>الفضلى</w:t>
      </w:r>
      <w:r w:rsidRPr="003C2F1B">
        <w:rPr>
          <w:sz w:val="18"/>
          <w:szCs w:val="26"/>
          <w:rtl/>
        </w:rPr>
        <w:t xml:space="preserve"> </w:t>
      </w:r>
      <w:r w:rsidRPr="003C2F1B">
        <w:rPr>
          <w:rFonts w:hint="cs"/>
          <w:sz w:val="18"/>
          <w:szCs w:val="26"/>
          <w:rtl/>
        </w:rPr>
        <w:t>والخبرات</w:t>
      </w:r>
      <w:r w:rsidRPr="003C2F1B">
        <w:rPr>
          <w:sz w:val="18"/>
          <w:szCs w:val="26"/>
          <w:rtl/>
        </w:rPr>
        <w:t xml:space="preserve"> </w:t>
      </w:r>
      <w:r w:rsidRPr="003C2F1B">
        <w:rPr>
          <w:rFonts w:hint="cs"/>
          <w:sz w:val="18"/>
          <w:szCs w:val="26"/>
          <w:rtl/>
        </w:rPr>
        <w:t>والتحديات</w:t>
      </w:r>
      <w:r w:rsidRPr="003C2F1B">
        <w:rPr>
          <w:sz w:val="18"/>
          <w:szCs w:val="26"/>
          <w:rtl/>
        </w:rPr>
        <w:t xml:space="preserve"> </w:t>
      </w:r>
      <w:r w:rsidRPr="003C2F1B">
        <w:rPr>
          <w:rFonts w:hint="cs"/>
          <w:sz w:val="18"/>
          <w:szCs w:val="26"/>
          <w:rtl/>
        </w:rPr>
        <w:t>وسبل</w:t>
      </w:r>
      <w:r w:rsidRPr="003C2F1B">
        <w:rPr>
          <w:sz w:val="18"/>
          <w:szCs w:val="26"/>
          <w:rtl/>
        </w:rPr>
        <w:t xml:space="preserve"> </w:t>
      </w:r>
      <w:r w:rsidRPr="003C2F1B">
        <w:rPr>
          <w:rFonts w:hint="cs"/>
          <w:sz w:val="18"/>
          <w:szCs w:val="26"/>
          <w:rtl/>
        </w:rPr>
        <w:t>التغلب</w:t>
      </w:r>
      <w:r w:rsidRPr="003C2F1B">
        <w:rPr>
          <w:sz w:val="18"/>
          <w:szCs w:val="26"/>
          <w:rtl/>
        </w:rPr>
        <w:t xml:space="preserve"> </w:t>
      </w:r>
      <w:r w:rsidRPr="003C2F1B">
        <w:rPr>
          <w:rFonts w:hint="cs"/>
          <w:sz w:val="18"/>
          <w:szCs w:val="26"/>
          <w:rtl/>
        </w:rPr>
        <w:t>على</w:t>
      </w:r>
      <w:r w:rsidRPr="003C2F1B">
        <w:rPr>
          <w:sz w:val="18"/>
          <w:szCs w:val="26"/>
          <w:rtl/>
        </w:rPr>
        <w:t xml:space="preserve"> </w:t>
      </w:r>
      <w:r w:rsidRPr="003C2F1B">
        <w:rPr>
          <w:rFonts w:hint="cs"/>
          <w:sz w:val="18"/>
          <w:szCs w:val="26"/>
          <w:rtl/>
        </w:rPr>
        <w:t xml:space="preserve">التحديات </w:t>
      </w:r>
      <w:r w:rsidRPr="003C2F1B">
        <w:rPr>
          <w:sz w:val="18"/>
          <w:szCs w:val="26"/>
          <w:rtl/>
        </w:rPr>
        <w:t>(</w:t>
      </w:r>
      <w:r w:rsidRPr="003C2F1B">
        <w:rPr>
          <w:sz w:val="18"/>
          <w:szCs w:val="26"/>
        </w:rPr>
        <w:t>A/HRC/30/26</w:t>
      </w:r>
      <w:r w:rsidRPr="003C2F1B">
        <w:rPr>
          <w:sz w:val="18"/>
          <w:szCs w:val="26"/>
          <w:rtl/>
        </w:rPr>
        <w:t>)، وبشأن موجز المناقشات التي جرت أثناء حلقة عمل الخبراء بشأن الحق في المشاركة في الشؤون العامة (</w:t>
      </w:r>
      <w:r w:rsidRPr="003C2F1B">
        <w:rPr>
          <w:sz w:val="18"/>
          <w:szCs w:val="26"/>
        </w:rPr>
        <w:t>A/HRC/33/25</w:t>
      </w:r>
      <w:r w:rsidRPr="003C2F1B">
        <w:rPr>
          <w:sz w:val="18"/>
          <w:szCs w:val="26"/>
          <w:rtl/>
        </w:rPr>
        <w:t>)</w:t>
      </w:r>
      <w:r w:rsidRPr="003C2F1B">
        <w:rPr>
          <w:rFonts w:hint="cs"/>
          <w:sz w:val="18"/>
          <w:szCs w:val="26"/>
          <w:rtl/>
        </w:rPr>
        <w:t>.</w:t>
      </w:r>
    </w:p>
  </w:footnote>
  <w:footnote w:id="3">
    <w:p w:rsidR="003C2F1B" w:rsidRPr="003C2F1B" w:rsidRDefault="003C2F1B" w:rsidP="003C2F1B">
      <w:pPr>
        <w:pStyle w:val="FootnoteText"/>
        <w:spacing w:after="60" w:line="300" w:lineRule="exact"/>
        <w:ind w:left="1247" w:right="1247" w:hanging="567"/>
        <w:rPr>
          <w:sz w:val="18"/>
          <w:szCs w:val="26"/>
        </w:rPr>
      </w:pPr>
      <w:r w:rsidRPr="003C2F1B">
        <w:rPr>
          <w:rStyle w:val="FootnoteReference"/>
          <w:szCs w:val="26"/>
          <w:vertAlign w:val="baseline"/>
          <w:rtl/>
        </w:rPr>
        <w:t>(</w:t>
      </w:r>
      <w:r w:rsidRPr="003C2F1B">
        <w:rPr>
          <w:rStyle w:val="FootnoteReference"/>
          <w:szCs w:val="26"/>
          <w:vertAlign w:val="baseline"/>
          <w:rtl/>
        </w:rPr>
        <w:footnoteRef/>
      </w:r>
      <w:r w:rsidRPr="003C2F1B">
        <w:rPr>
          <w:rStyle w:val="FootnoteReference"/>
          <w:szCs w:val="26"/>
          <w:vertAlign w:val="baseline"/>
          <w:rtl/>
        </w:rPr>
        <w:t>)</w:t>
      </w:r>
      <w:r w:rsidRPr="003C2F1B">
        <w:rPr>
          <w:rStyle w:val="FootnoteReference"/>
          <w:szCs w:val="26"/>
          <w:vertAlign w:val="baseline"/>
          <w:rtl/>
        </w:rPr>
        <w:tab/>
      </w:r>
      <w:r w:rsidRPr="003C2F1B">
        <w:rPr>
          <w:sz w:val="18"/>
          <w:szCs w:val="26"/>
          <w:rtl/>
        </w:rPr>
        <w:t>انظر التعليق العام للجنة المعنية بحقوق الإنسان رقم 25(1996) بشأن المشاركة في إدارة الشؤون العامة وحق الاقتراع، الفقرة 1</w:t>
      </w:r>
      <w:r w:rsidRPr="003C2F1B">
        <w:rPr>
          <w:rFonts w:hint="cs"/>
          <w:sz w:val="18"/>
          <w:szCs w:val="26"/>
          <w:rtl/>
        </w:rPr>
        <w:t>.</w:t>
      </w:r>
    </w:p>
  </w:footnote>
  <w:footnote w:id="4">
    <w:p w:rsidR="003C2F1B" w:rsidRPr="003C2F1B" w:rsidRDefault="003C2F1B" w:rsidP="003C2F1B">
      <w:pPr>
        <w:pStyle w:val="FootnoteText"/>
        <w:spacing w:after="60" w:line="300" w:lineRule="exact"/>
        <w:ind w:left="1247" w:right="1247" w:hanging="567"/>
        <w:rPr>
          <w:sz w:val="18"/>
          <w:szCs w:val="26"/>
        </w:rPr>
      </w:pPr>
      <w:r w:rsidRPr="003C2F1B">
        <w:rPr>
          <w:rStyle w:val="FootnoteReference"/>
          <w:szCs w:val="26"/>
          <w:vertAlign w:val="baseline"/>
          <w:rtl/>
        </w:rPr>
        <w:t>(</w:t>
      </w:r>
      <w:r w:rsidRPr="003C2F1B">
        <w:rPr>
          <w:rStyle w:val="FootnoteReference"/>
          <w:szCs w:val="26"/>
          <w:vertAlign w:val="baseline"/>
          <w:rtl/>
        </w:rPr>
        <w:footnoteRef/>
      </w:r>
      <w:r w:rsidRPr="003C2F1B">
        <w:rPr>
          <w:rStyle w:val="FootnoteReference"/>
          <w:szCs w:val="26"/>
          <w:vertAlign w:val="baseline"/>
          <w:rtl/>
        </w:rPr>
        <w:t>)</w:t>
      </w:r>
      <w:r w:rsidRPr="003C2F1B">
        <w:rPr>
          <w:rStyle w:val="FootnoteReference"/>
          <w:szCs w:val="26"/>
          <w:vertAlign w:val="baseline"/>
          <w:rtl/>
        </w:rPr>
        <w:tab/>
      </w:r>
      <w:r w:rsidRPr="003C2F1B">
        <w:rPr>
          <w:rFonts w:hint="cs"/>
          <w:sz w:val="18"/>
          <w:szCs w:val="26"/>
          <w:rtl/>
        </w:rPr>
        <w:t xml:space="preserve">المرجع نفسه، الفقرة 5. </w:t>
      </w:r>
      <w:r w:rsidRPr="003C2F1B">
        <w:rPr>
          <w:sz w:val="18"/>
          <w:szCs w:val="26"/>
          <w:rtl/>
        </w:rPr>
        <w:t>وبالإضافة إلى اللجنة المعنية بحقوق الإنسان، اعتبر عدد من الآليات الدولية لحقوق الإنسان المشاركة في إدارة الشؤون العامة "مفهوم</w:t>
      </w:r>
      <w:r w:rsidR="00262F0F" w:rsidRPr="003C2F1B">
        <w:rPr>
          <w:sz w:val="18"/>
          <w:szCs w:val="26"/>
          <w:rtl/>
        </w:rPr>
        <w:t>ا</w:t>
      </w:r>
      <w:r w:rsidR="00262F0F">
        <w:rPr>
          <w:sz w:val="18"/>
          <w:szCs w:val="26"/>
          <w:rtl/>
        </w:rPr>
        <w:t>ً</w:t>
      </w:r>
      <w:r w:rsidR="00262F0F" w:rsidRPr="003C2F1B">
        <w:rPr>
          <w:sz w:val="18"/>
          <w:szCs w:val="26"/>
          <w:rtl/>
        </w:rPr>
        <w:t xml:space="preserve"> </w:t>
      </w:r>
      <w:r w:rsidRPr="003C2F1B">
        <w:rPr>
          <w:sz w:val="18"/>
          <w:szCs w:val="26"/>
          <w:rtl/>
        </w:rPr>
        <w:t>واسع</w:t>
      </w:r>
      <w:r w:rsidR="00262F0F" w:rsidRPr="003C2F1B">
        <w:rPr>
          <w:sz w:val="18"/>
          <w:szCs w:val="26"/>
          <w:rtl/>
        </w:rPr>
        <w:t>ا</w:t>
      </w:r>
      <w:r w:rsidR="00262F0F">
        <w:rPr>
          <w:sz w:val="18"/>
          <w:szCs w:val="26"/>
          <w:rtl/>
        </w:rPr>
        <w:t>ً</w:t>
      </w:r>
      <w:r w:rsidR="00262F0F" w:rsidRPr="003C2F1B">
        <w:rPr>
          <w:sz w:val="18"/>
          <w:szCs w:val="26"/>
          <w:rtl/>
        </w:rPr>
        <w:t>"</w:t>
      </w:r>
      <w:r w:rsidRPr="003C2F1B">
        <w:rPr>
          <w:sz w:val="18"/>
          <w:szCs w:val="26"/>
          <w:rtl/>
        </w:rPr>
        <w:t xml:space="preserve"> يشمل حقوق جميع الناس في أن يُشرَكوا على نحو كامل ويؤثروا بفعالية في عمليات صنع القرارات العامة التي تمسهم، وأن يُستشاروا في كل مرحلة من مراحل صياغة التشريعات ورسم السياسات، وأن يعربوا </w:t>
      </w:r>
      <w:r w:rsidRPr="003C2F1B">
        <w:rPr>
          <w:rFonts w:hint="cs"/>
          <w:sz w:val="18"/>
          <w:szCs w:val="26"/>
          <w:rtl/>
        </w:rPr>
        <w:t xml:space="preserve">عن </w:t>
      </w:r>
      <w:r w:rsidRPr="003C2F1B">
        <w:rPr>
          <w:sz w:val="18"/>
          <w:szCs w:val="26"/>
          <w:rtl/>
        </w:rPr>
        <w:t>انتقاداتهم ويقدموا اقتراحات ترمي إلى تحسين أداء جميع الهيئات الحكومية المشاركة في إدارة الشؤون العامة ومستوى استيعابها للجميع</w:t>
      </w:r>
      <w:r w:rsidRPr="003C2F1B">
        <w:rPr>
          <w:rFonts w:hint="cs"/>
          <w:sz w:val="18"/>
          <w:szCs w:val="26"/>
          <w:rtl/>
        </w:rPr>
        <w:t xml:space="preserve">. </w:t>
      </w:r>
      <w:r w:rsidRPr="003C2F1B">
        <w:rPr>
          <w:sz w:val="18"/>
          <w:szCs w:val="26"/>
          <w:rtl/>
        </w:rPr>
        <w:t>انظر، ضمن جملة أمور، التوصية العامة للجنة المعنية بالقضاء على التمييز ضد المرأة، رقم 23(1997) بشأن دور المرأة في الحياة السياسية والعامة؛</w:t>
      </w:r>
      <w:r w:rsidRPr="003C2F1B">
        <w:rPr>
          <w:rFonts w:hint="cs"/>
          <w:sz w:val="18"/>
          <w:szCs w:val="26"/>
          <w:rtl/>
        </w:rPr>
        <w:t xml:space="preserve"> </w:t>
      </w:r>
      <w:r w:rsidRPr="003C2F1B">
        <w:rPr>
          <w:sz w:val="18"/>
          <w:szCs w:val="26"/>
          <w:rtl/>
        </w:rPr>
        <w:t>والتعليق العام للجنة المعنية بالحقوق الاقتصادية والاجتماعية والثقافية، رقم 21(2009) بشأن حق كل فرد في أن يشارك في الحياة الثقافية؛</w:t>
      </w:r>
      <w:r w:rsidRPr="003C2F1B">
        <w:rPr>
          <w:rFonts w:hint="cs"/>
          <w:sz w:val="18"/>
          <w:szCs w:val="26"/>
          <w:rtl/>
        </w:rPr>
        <w:t xml:space="preserve"> </w:t>
      </w:r>
      <w:r w:rsidRPr="003C2F1B">
        <w:rPr>
          <w:sz w:val="18"/>
          <w:szCs w:val="26"/>
          <w:rtl/>
        </w:rPr>
        <w:t>وإعلان الأمم المتحدة بشأن حقوق الشعوب الأصلية، المادة 19؛</w:t>
      </w:r>
      <w:r w:rsidRPr="003C2F1B">
        <w:rPr>
          <w:rFonts w:hint="cs"/>
          <w:sz w:val="18"/>
          <w:szCs w:val="26"/>
          <w:rtl/>
        </w:rPr>
        <w:t xml:space="preserve"> </w:t>
      </w:r>
      <w:r w:rsidRPr="003C2F1B">
        <w:rPr>
          <w:sz w:val="18"/>
          <w:szCs w:val="26"/>
          <w:rtl/>
        </w:rPr>
        <w:t>والإعلان بشأن حقوق الأشخاص المنتمين إلى أقليات قومية أو </w:t>
      </w:r>
      <w:proofErr w:type="spellStart"/>
      <w:r w:rsidRPr="003C2F1B">
        <w:rPr>
          <w:sz w:val="18"/>
          <w:szCs w:val="26"/>
          <w:rtl/>
        </w:rPr>
        <w:t>إثنية</w:t>
      </w:r>
      <w:proofErr w:type="spellEnd"/>
      <w:r w:rsidRPr="003C2F1B">
        <w:rPr>
          <w:sz w:val="18"/>
          <w:szCs w:val="26"/>
          <w:rtl/>
        </w:rPr>
        <w:t xml:space="preserve"> وإلى أقليات دينية ولغوية، المادة 2؛</w:t>
      </w:r>
      <w:r w:rsidRPr="003C2F1B">
        <w:rPr>
          <w:rFonts w:hint="cs"/>
          <w:sz w:val="18"/>
          <w:szCs w:val="26"/>
          <w:rtl/>
        </w:rPr>
        <w:t xml:space="preserve"> </w:t>
      </w:r>
      <w:r w:rsidRPr="003C2F1B">
        <w:rPr>
          <w:sz w:val="18"/>
          <w:szCs w:val="26"/>
          <w:rtl/>
        </w:rPr>
        <w:t>والتقارير ذات الصلة للمقرر الخاص المعني بقضايا الأقليات</w:t>
      </w:r>
      <w:r w:rsidRPr="003C2F1B">
        <w:rPr>
          <w:rFonts w:hint="cs"/>
          <w:sz w:val="18"/>
          <w:szCs w:val="26"/>
          <w:rtl/>
        </w:rPr>
        <w:t>.</w:t>
      </w:r>
    </w:p>
  </w:footnote>
  <w:footnote w:id="5">
    <w:p w:rsidR="003C2F1B" w:rsidRPr="003C2F1B" w:rsidRDefault="003C2F1B" w:rsidP="003C2F1B">
      <w:pPr>
        <w:pStyle w:val="FootnoteText"/>
        <w:spacing w:after="60" w:line="300" w:lineRule="exact"/>
        <w:ind w:left="1247" w:right="1247" w:hanging="567"/>
        <w:rPr>
          <w:sz w:val="18"/>
          <w:szCs w:val="26"/>
        </w:rPr>
      </w:pPr>
      <w:r w:rsidRPr="003C2F1B">
        <w:rPr>
          <w:rStyle w:val="FootnoteReference"/>
          <w:szCs w:val="26"/>
          <w:vertAlign w:val="baseline"/>
          <w:rtl/>
        </w:rPr>
        <w:t>(</w:t>
      </w:r>
      <w:r w:rsidRPr="003C2F1B">
        <w:rPr>
          <w:rStyle w:val="FootnoteReference"/>
          <w:szCs w:val="26"/>
          <w:vertAlign w:val="baseline"/>
          <w:rtl/>
        </w:rPr>
        <w:footnoteRef/>
      </w:r>
      <w:r w:rsidRPr="003C2F1B">
        <w:rPr>
          <w:rStyle w:val="FootnoteReference"/>
          <w:szCs w:val="26"/>
          <w:vertAlign w:val="baseline"/>
          <w:rtl/>
        </w:rPr>
        <w:t>)</w:t>
      </w:r>
      <w:r w:rsidRPr="003C2F1B">
        <w:rPr>
          <w:rStyle w:val="FootnoteReference"/>
          <w:szCs w:val="26"/>
          <w:vertAlign w:val="baseline"/>
          <w:rtl/>
        </w:rPr>
        <w:tab/>
      </w:r>
      <w:r w:rsidRPr="003C2F1B">
        <w:rPr>
          <w:sz w:val="18"/>
          <w:szCs w:val="26"/>
          <w:rtl/>
        </w:rPr>
        <w:t>انظر قرار مجلس حقوق الإنسان 33/22، الفقرة 10(ب)</w:t>
      </w:r>
      <w:r w:rsidRPr="003C2F1B">
        <w:rPr>
          <w:rFonts w:hint="cs"/>
          <w:sz w:val="18"/>
          <w:szCs w:val="26"/>
          <w:rtl/>
        </w:rPr>
        <w:t>.</w:t>
      </w:r>
    </w:p>
  </w:footnote>
  <w:footnote w:id="6">
    <w:p w:rsidR="003C2F1B" w:rsidRPr="003C2F1B" w:rsidRDefault="003C2F1B" w:rsidP="003C2F1B">
      <w:pPr>
        <w:pStyle w:val="FootnoteText"/>
        <w:spacing w:after="60" w:line="300" w:lineRule="exact"/>
        <w:ind w:left="1247" w:right="1247" w:hanging="567"/>
        <w:rPr>
          <w:sz w:val="18"/>
          <w:szCs w:val="26"/>
        </w:rPr>
      </w:pPr>
      <w:r w:rsidRPr="003C2F1B">
        <w:rPr>
          <w:rStyle w:val="FootnoteReference"/>
          <w:szCs w:val="26"/>
          <w:vertAlign w:val="baseline"/>
          <w:rtl/>
        </w:rPr>
        <w:t>(</w:t>
      </w:r>
      <w:r w:rsidRPr="003C2F1B">
        <w:rPr>
          <w:rStyle w:val="FootnoteReference"/>
          <w:szCs w:val="26"/>
          <w:vertAlign w:val="baseline"/>
          <w:rtl/>
        </w:rPr>
        <w:footnoteRef/>
      </w:r>
      <w:r w:rsidRPr="003C2F1B">
        <w:rPr>
          <w:rStyle w:val="FootnoteReference"/>
          <w:szCs w:val="26"/>
          <w:vertAlign w:val="baseline"/>
          <w:rtl/>
        </w:rPr>
        <w:t>)</w:t>
      </w:r>
      <w:r w:rsidRPr="003C2F1B">
        <w:rPr>
          <w:rStyle w:val="FootnoteReference"/>
          <w:szCs w:val="26"/>
          <w:vertAlign w:val="baseline"/>
          <w:rtl/>
        </w:rPr>
        <w:tab/>
      </w:r>
      <w:r w:rsidRPr="003C2F1B">
        <w:rPr>
          <w:sz w:val="18"/>
          <w:szCs w:val="26"/>
          <w:rtl/>
        </w:rPr>
        <w:t>انظر، على سبيل المثال، الغاية 16-7 من أهداف التنمية المستدامة، التي ترمي إلى ضمان اتخاذ القرارات على نحو مستجيب للاحتياجات وشامل للجميع وتشاركي وتمثيلي على جميع المستويات</w:t>
      </w:r>
      <w:r w:rsidRPr="003C2F1B">
        <w:rPr>
          <w:rFonts w:hint="cs"/>
          <w:sz w:val="18"/>
          <w:szCs w:val="26"/>
          <w:rtl/>
        </w:rPr>
        <w:t xml:space="preserve">. </w:t>
      </w:r>
      <w:r w:rsidRPr="003C2F1B">
        <w:rPr>
          <w:sz w:val="18"/>
          <w:szCs w:val="26"/>
          <w:rtl/>
        </w:rPr>
        <w:t>وانظر أيض</w:t>
      </w:r>
      <w:r w:rsidR="00262F0F" w:rsidRPr="003C2F1B">
        <w:rPr>
          <w:sz w:val="18"/>
          <w:szCs w:val="26"/>
          <w:rtl/>
        </w:rPr>
        <w:t>ا</w:t>
      </w:r>
      <w:r w:rsidR="00262F0F">
        <w:rPr>
          <w:sz w:val="18"/>
          <w:szCs w:val="26"/>
          <w:rtl/>
        </w:rPr>
        <w:t>ً</w:t>
      </w:r>
      <w:r w:rsidR="00262F0F" w:rsidRPr="003C2F1B">
        <w:rPr>
          <w:sz w:val="18"/>
          <w:szCs w:val="26"/>
          <w:rtl/>
        </w:rPr>
        <w:t xml:space="preserve"> </w:t>
      </w:r>
      <w:r w:rsidRPr="003C2F1B">
        <w:rPr>
          <w:sz w:val="18"/>
          <w:szCs w:val="26"/>
          <w:rtl/>
        </w:rPr>
        <w:t xml:space="preserve">تقرير مفوض الأمم المتحدة السامي لحقوق الإنسان بشأن </w:t>
      </w:r>
      <w:r w:rsidRPr="003C2F1B">
        <w:rPr>
          <w:rFonts w:hint="cs"/>
          <w:sz w:val="18"/>
          <w:szCs w:val="26"/>
          <w:rtl/>
        </w:rPr>
        <w:t>التوصيات</w:t>
      </w:r>
      <w:r w:rsidRPr="003C2F1B">
        <w:rPr>
          <w:sz w:val="18"/>
          <w:szCs w:val="26"/>
          <w:rtl/>
        </w:rPr>
        <w:t xml:space="preserve"> </w:t>
      </w:r>
      <w:r w:rsidRPr="003C2F1B">
        <w:rPr>
          <w:rFonts w:hint="cs"/>
          <w:sz w:val="18"/>
          <w:szCs w:val="26"/>
          <w:rtl/>
        </w:rPr>
        <w:t>العملية</w:t>
      </w:r>
      <w:r w:rsidRPr="003C2F1B">
        <w:rPr>
          <w:sz w:val="18"/>
          <w:szCs w:val="26"/>
          <w:rtl/>
        </w:rPr>
        <w:t xml:space="preserve"> </w:t>
      </w:r>
      <w:r w:rsidRPr="003C2F1B">
        <w:rPr>
          <w:rFonts w:hint="cs"/>
          <w:sz w:val="18"/>
          <w:szCs w:val="26"/>
          <w:rtl/>
        </w:rPr>
        <w:t>لتهيئة</w:t>
      </w:r>
      <w:r w:rsidRPr="003C2F1B">
        <w:rPr>
          <w:sz w:val="18"/>
          <w:szCs w:val="26"/>
          <w:rtl/>
        </w:rPr>
        <w:t xml:space="preserve"> </w:t>
      </w:r>
      <w:r w:rsidRPr="003C2F1B">
        <w:rPr>
          <w:rFonts w:hint="cs"/>
          <w:sz w:val="18"/>
          <w:szCs w:val="26"/>
          <w:rtl/>
        </w:rPr>
        <w:t>بيئة</w:t>
      </w:r>
      <w:r w:rsidRPr="003C2F1B">
        <w:rPr>
          <w:sz w:val="18"/>
          <w:szCs w:val="26"/>
          <w:rtl/>
        </w:rPr>
        <w:t xml:space="preserve"> </w:t>
      </w:r>
      <w:r w:rsidRPr="003C2F1B">
        <w:rPr>
          <w:rFonts w:hint="cs"/>
          <w:sz w:val="18"/>
          <w:szCs w:val="26"/>
          <w:rtl/>
        </w:rPr>
        <w:t>آمنة</w:t>
      </w:r>
      <w:r w:rsidRPr="003C2F1B">
        <w:rPr>
          <w:sz w:val="18"/>
          <w:szCs w:val="26"/>
          <w:rtl/>
        </w:rPr>
        <w:t xml:space="preserve"> </w:t>
      </w:r>
      <w:r w:rsidRPr="003C2F1B">
        <w:rPr>
          <w:rFonts w:hint="cs"/>
          <w:sz w:val="18"/>
          <w:szCs w:val="26"/>
          <w:rtl/>
        </w:rPr>
        <w:t>ومواتية</w:t>
      </w:r>
      <w:r w:rsidRPr="003C2F1B">
        <w:rPr>
          <w:sz w:val="18"/>
          <w:szCs w:val="26"/>
          <w:rtl/>
        </w:rPr>
        <w:t xml:space="preserve"> </w:t>
      </w:r>
      <w:r w:rsidRPr="003C2F1B">
        <w:rPr>
          <w:rFonts w:hint="cs"/>
          <w:sz w:val="18"/>
          <w:szCs w:val="26"/>
          <w:rtl/>
        </w:rPr>
        <w:t>للمجتمع</w:t>
      </w:r>
      <w:r w:rsidRPr="003C2F1B">
        <w:rPr>
          <w:sz w:val="18"/>
          <w:szCs w:val="26"/>
          <w:rtl/>
        </w:rPr>
        <w:t xml:space="preserve"> </w:t>
      </w:r>
      <w:r w:rsidRPr="003C2F1B">
        <w:rPr>
          <w:rFonts w:hint="cs"/>
          <w:sz w:val="18"/>
          <w:szCs w:val="26"/>
          <w:rtl/>
        </w:rPr>
        <w:t>المدني</w:t>
      </w:r>
      <w:r w:rsidRPr="003C2F1B">
        <w:rPr>
          <w:sz w:val="18"/>
          <w:szCs w:val="26"/>
          <w:rtl/>
        </w:rPr>
        <w:t xml:space="preserve"> </w:t>
      </w:r>
      <w:r w:rsidRPr="003C2F1B">
        <w:rPr>
          <w:rFonts w:hint="cs"/>
          <w:sz w:val="18"/>
          <w:szCs w:val="26"/>
          <w:rtl/>
        </w:rPr>
        <w:t>والحفاظ</w:t>
      </w:r>
      <w:r w:rsidRPr="003C2F1B">
        <w:rPr>
          <w:sz w:val="18"/>
          <w:szCs w:val="26"/>
          <w:rtl/>
        </w:rPr>
        <w:t xml:space="preserve"> </w:t>
      </w:r>
      <w:r w:rsidRPr="003C2F1B">
        <w:rPr>
          <w:rFonts w:hint="cs"/>
          <w:sz w:val="18"/>
          <w:szCs w:val="26"/>
          <w:rtl/>
        </w:rPr>
        <w:t>عليها،</w:t>
      </w:r>
      <w:r w:rsidRPr="003C2F1B">
        <w:rPr>
          <w:sz w:val="18"/>
          <w:szCs w:val="26"/>
          <w:rtl/>
        </w:rPr>
        <w:t xml:space="preserve"> </w:t>
      </w:r>
      <w:r w:rsidRPr="003C2F1B">
        <w:rPr>
          <w:rFonts w:hint="cs"/>
          <w:sz w:val="18"/>
          <w:szCs w:val="26"/>
          <w:rtl/>
        </w:rPr>
        <w:t>استناداً</w:t>
      </w:r>
      <w:r w:rsidRPr="003C2F1B">
        <w:rPr>
          <w:sz w:val="18"/>
          <w:szCs w:val="26"/>
          <w:rtl/>
        </w:rPr>
        <w:t xml:space="preserve"> </w:t>
      </w:r>
      <w:r w:rsidRPr="003C2F1B">
        <w:rPr>
          <w:rFonts w:hint="cs"/>
          <w:sz w:val="18"/>
          <w:szCs w:val="26"/>
          <w:rtl/>
        </w:rPr>
        <w:t>إلى</w:t>
      </w:r>
      <w:r w:rsidRPr="003C2F1B">
        <w:rPr>
          <w:sz w:val="18"/>
          <w:szCs w:val="26"/>
          <w:rtl/>
        </w:rPr>
        <w:t xml:space="preserve"> </w:t>
      </w:r>
      <w:r w:rsidRPr="003C2F1B">
        <w:rPr>
          <w:rFonts w:hint="cs"/>
          <w:sz w:val="18"/>
          <w:szCs w:val="26"/>
          <w:rtl/>
        </w:rPr>
        <w:t>الممارسات</w:t>
      </w:r>
      <w:r w:rsidRPr="003C2F1B">
        <w:rPr>
          <w:sz w:val="18"/>
          <w:szCs w:val="26"/>
          <w:rtl/>
        </w:rPr>
        <w:t xml:space="preserve"> </w:t>
      </w:r>
      <w:r w:rsidRPr="003C2F1B">
        <w:rPr>
          <w:rFonts w:hint="cs"/>
          <w:sz w:val="18"/>
          <w:szCs w:val="26"/>
          <w:rtl/>
        </w:rPr>
        <w:t>الجيدة</w:t>
      </w:r>
      <w:r w:rsidRPr="003C2F1B">
        <w:rPr>
          <w:sz w:val="18"/>
          <w:szCs w:val="26"/>
          <w:rtl/>
        </w:rPr>
        <w:t xml:space="preserve"> </w:t>
      </w:r>
      <w:r w:rsidRPr="003C2F1B">
        <w:rPr>
          <w:rFonts w:hint="cs"/>
          <w:sz w:val="18"/>
          <w:szCs w:val="26"/>
          <w:rtl/>
        </w:rPr>
        <w:t>والدروس</w:t>
      </w:r>
      <w:r w:rsidRPr="003C2F1B">
        <w:rPr>
          <w:sz w:val="18"/>
          <w:szCs w:val="26"/>
          <w:rtl/>
        </w:rPr>
        <w:t xml:space="preserve"> </w:t>
      </w:r>
      <w:r w:rsidRPr="003C2F1B">
        <w:rPr>
          <w:rFonts w:hint="cs"/>
          <w:sz w:val="18"/>
          <w:szCs w:val="26"/>
          <w:rtl/>
        </w:rPr>
        <w:t>المستفادة</w:t>
      </w:r>
      <w:r w:rsidRPr="003C2F1B">
        <w:rPr>
          <w:sz w:val="18"/>
          <w:szCs w:val="26"/>
          <w:rtl/>
        </w:rPr>
        <w:t xml:space="preserve"> (</w:t>
      </w:r>
      <w:r w:rsidRPr="003C2F1B">
        <w:rPr>
          <w:sz w:val="18"/>
          <w:szCs w:val="26"/>
        </w:rPr>
        <w:t>A/HRC/32/20</w:t>
      </w:r>
      <w:r w:rsidRPr="003C2F1B">
        <w:rPr>
          <w:sz w:val="18"/>
          <w:szCs w:val="26"/>
          <w:rtl/>
        </w:rPr>
        <w:t>)</w:t>
      </w:r>
      <w:r w:rsidRPr="003C2F1B">
        <w:rPr>
          <w:rFonts w:hint="cs"/>
          <w:sz w:val="18"/>
          <w:szCs w:val="26"/>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567"/>
  <w:hyphenationZone w:val="425"/>
  <w:evenAndOddHeaders/>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D6"/>
    <w:rsid w:val="000076D5"/>
    <w:rsid w:val="0003487E"/>
    <w:rsid w:val="00043663"/>
    <w:rsid w:val="000505CF"/>
    <w:rsid w:val="0006251A"/>
    <w:rsid w:val="00067485"/>
    <w:rsid w:val="000722B1"/>
    <w:rsid w:val="00092AE3"/>
    <w:rsid w:val="00096072"/>
    <w:rsid w:val="000D701C"/>
    <w:rsid w:val="000E2A71"/>
    <w:rsid w:val="00120BE4"/>
    <w:rsid w:val="00132894"/>
    <w:rsid w:val="00160263"/>
    <w:rsid w:val="00173565"/>
    <w:rsid w:val="00177001"/>
    <w:rsid w:val="00181F96"/>
    <w:rsid w:val="001837E5"/>
    <w:rsid w:val="001A1371"/>
    <w:rsid w:val="001B346A"/>
    <w:rsid w:val="001B5299"/>
    <w:rsid w:val="001C4DE1"/>
    <w:rsid w:val="001E1CAD"/>
    <w:rsid w:val="001E290D"/>
    <w:rsid w:val="001E4654"/>
    <w:rsid w:val="002039ED"/>
    <w:rsid w:val="002144FA"/>
    <w:rsid w:val="002245A4"/>
    <w:rsid w:val="0023469A"/>
    <w:rsid w:val="00243C8A"/>
    <w:rsid w:val="00262F0F"/>
    <w:rsid w:val="00267A0E"/>
    <w:rsid w:val="00270539"/>
    <w:rsid w:val="002901D9"/>
    <w:rsid w:val="0029722E"/>
    <w:rsid w:val="002976C2"/>
    <w:rsid w:val="002A43AE"/>
    <w:rsid w:val="00300A44"/>
    <w:rsid w:val="003260FF"/>
    <w:rsid w:val="00343D95"/>
    <w:rsid w:val="00347DCD"/>
    <w:rsid w:val="00356E94"/>
    <w:rsid w:val="003574B0"/>
    <w:rsid w:val="00374341"/>
    <w:rsid w:val="00383CFE"/>
    <w:rsid w:val="00384986"/>
    <w:rsid w:val="003A010F"/>
    <w:rsid w:val="003C0FB1"/>
    <w:rsid w:val="003C2F1B"/>
    <w:rsid w:val="003D1062"/>
    <w:rsid w:val="003D27C4"/>
    <w:rsid w:val="003D4C4E"/>
    <w:rsid w:val="003E0E26"/>
    <w:rsid w:val="003E159A"/>
    <w:rsid w:val="00420D7B"/>
    <w:rsid w:val="00425C8B"/>
    <w:rsid w:val="00450B21"/>
    <w:rsid w:val="00453B63"/>
    <w:rsid w:val="00455780"/>
    <w:rsid w:val="004575E4"/>
    <w:rsid w:val="00463AD0"/>
    <w:rsid w:val="00464D06"/>
    <w:rsid w:val="004A3FF8"/>
    <w:rsid w:val="004B0A1C"/>
    <w:rsid w:val="004B0F3A"/>
    <w:rsid w:val="004C0A35"/>
    <w:rsid w:val="004C0B35"/>
    <w:rsid w:val="004D298E"/>
    <w:rsid w:val="004F743A"/>
    <w:rsid w:val="0050129E"/>
    <w:rsid w:val="00501E7A"/>
    <w:rsid w:val="00517BC9"/>
    <w:rsid w:val="00521E0B"/>
    <w:rsid w:val="0054472E"/>
    <w:rsid w:val="0054762C"/>
    <w:rsid w:val="005662A9"/>
    <w:rsid w:val="005827D4"/>
    <w:rsid w:val="005924B8"/>
    <w:rsid w:val="0059622A"/>
    <w:rsid w:val="005A2FAA"/>
    <w:rsid w:val="005C281C"/>
    <w:rsid w:val="005C45DC"/>
    <w:rsid w:val="005C5878"/>
    <w:rsid w:val="005C7CEA"/>
    <w:rsid w:val="005D3C0B"/>
    <w:rsid w:val="005E5217"/>
    <w:rsid w:val="005F0FA4"/>
    <w:rsid w:val="005F30EE"/>
    <w:rsid w:val="0060473A"/>
    <w:rsid w:val="00606EDF"/>
    <w:rsid w:val="0061005C"/>
    <w:rsid w:val="006239F4"/>
    <w:rsid w:val="0062470A"/>
    <w:rsid w:val="0064118A"/>
    <w:rsid w:val="00656392"/>
    <w:rsid w:val="006746AB"/>
    <w:rsid w:val="00683F50"/>
    <w:rsid w:val="00687200"/>
    <w:rsid w:val="0068781D"/>
    <w:rsid w:val="006959B0"/>
    <w:rsid w:val="006A0FA8"/>
    <w:rsid w:val="006B3E27"/>
    <w:rsid w:val="006B6507"/>
    <w:rsid w:val="006C104C"/>
    <w:rsid w:val="006C49D6"/>
    <w:rsid w:val="006E453F"/>
    <w:rsid w:val="0071140F"/>
    <w:rsid w:val="00733704"/>
    <w:rsid w:val="007361A8"/>
    <w:rsid w:val="007660F0"/>
    <w:rsid w:val="00771264"/>
    <w:rsid w:val="0078071A"/>
    <w:rsid w:val="00787846"/>
    <w:rsid w:val="00787DBC"/>
    <w:rsid w:val="007A3CB3"/>
    <w:rsid w:val="007A70BB"/>
    <w:rsid w:val="0084683B"/>
    <w:rsid w:val="00852A9A"/>
    <w:rsid w:val="00876AD0"/>
    <w:rsid w:val="00877FDB"/>
    <w:rsid w:val="008930DB"/>
    <w:rsid w:val="00895D16"/>
    <w:rsid w:val="008D754E"/>
    <w:rsid w:val="008F49E1"/>
    <w:rsid w:val="0090370F"/>
    <w:rsid w:val="0091089D"/>
    <w:rsid w:val="00926602"/>
    <w:rsid w:val="009269D2"/>
    <w:rsid w:val="009371B3"/>
    <w:rsid w:val="0094052A"/>
    <w:rsid w:val="00942135"/>
    <w:rsid w:val="00942936"/>
    <w:rsid w:val="009521B0"/>
    <w:rsid w:val="00952E69"/>
    <w:rsid w:val="00992E08"/>
    <w:rsid w:val="009A193F"/>
    <w:rsid w:val="009A7E9F"/>
    <w:rsid w:val="009C581E"/>
    <w:rsid w:val="009E5018"/>
    <w:rsid w:val="009F174B"/>
    <w:rsid w:val="009F32F0"/>
    <w:rsid w:val="009F52AB"/>
    <w:rsid w:val="009F6DA0"/>
    <w:rsid w:val="00A1149F"/>
    <w:rsid w:val="00A12B37"/>
    <w:rsid w:val="00A24631"/>
    <w:rsid w:val="00A35356"/>
    <w:rsid w:val="00A50EC0"/>
    <w:rsid w:val="00A6668C"/>
    <w:rsid w:val="00AB6758"/>
    <w:rsid w:val="00AC758E"/>
    <w:rsid w:val="00B12C0B"/>
    <w:rsid w:val="00B13763"/>
    <w:rsid w:val="00B477A4"/>
    <w:rsid w:val="00B54045"/>
    <w:rsid w:val="00B91F01"/>
    <w:rsid w:val="00BB1CE9"/>
    <w:rsid w:val="00BD41F7"/>
    <w:rsid w:val="00BD6854"/>
    <w:rsid w:val="00C022F5"/>
    <w:rsid w:val="00C13D73"/>
    <w:rsid w:val="00C232D7"/>
    <w:rsid w:val="00C35B6E"/>
    <w:rsid w:val="00C438D7"/>
    <w:rsid w:val="00C53FE8"/>
    <w:rsid w:val="00C64B00"/>
    <w:rsid w:val="00C70A7C"/>
    <w:rsid w:val="00C81B50"/>
    <w:rsid w:val="00C905C0"/>
    <w:rsid w:val="00C956C4"/>
    <w:rsid w:val="00CA655B"/>
    <w:rsid w:val="00CC00D9"/>
    <w:rsid w:val="00CD1113"/>
    <w:rsid w:val="00CD1801"/>
    <w:rsid w:val="00CE58B9"/>
    <w:rsid w:val="00CF11FB"/>
    <w:rsid w:val="00D10EF1"/>
    <w:rsid w:val="00D27282"/>
    <w:rsid w:val="00D42810"/>
    <w:rsid w:val="00D439B7"/>
    <w:rsid w:val="00D4456B"/>
    <w:rsid w:val="00D4490C"/>
    <w:rsid w:val="00D914A7"/>
    <w:rsid w:val="00DD13C3"/>
    <w:rsid w:val="00DD596E"/>
    <w:rsid w:val="00DD621E"/>
    <w:rsid w:val="00DE0E78"/>
    <w:rsid w:val="00DF0575"/>
    <w:rsid w:val="00E06A00"/>
    <w:rsid w:val="00E25B68"/>
    <w:rsid w:val="00E32BC4"/>
    <w:rsid w:val="00E54B84"/>
    <w:rsid w:val="00E70E04"/>
    <w:rsid w:val="00E817E3"/>
    <w:rsid w:val="00EC05A7"/>
    <w:rsid w:val="00EC2782"/>
    <w:rsid w:val="00EC4B6B"/>
    <w:rsid w:val="00ED7442"/>
    <w:rsid w:val="00EE0B18"/>
    <w:rsid w:val="00EF1263"/>
    <w:rsid w:val="00EF1EE5"/>
    <w:rsid w:val="00F0233D"/>
    <w:rsid w:val="00F04298"/>
    <w:rsid w:val="00F16633"/>
    <w:rsid w:val="00F46705"/>
    <w:rsid w:val="00F763B4"/>
    <w:rsid w:val="00F85EF3"/>
    <w:rsid w:val="00F900C3"/>
    <w:rsid w:val="00FC75D1"/>
    <w:rsid w:val="00FD06EF"/>
    <w:rsid w:val="00FD4BC9"/>
    <w:rsid w:val="00FF0EF6"/>
    <w:rsid w:val="00FF204F"/>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0233D"/>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F0233D"/>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F0233D"/>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uiPriority w:val="99"/>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uiPriority w:val="99"/>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qFormat/>
    <w:rsid w:val="00A1149F"/>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SimSun" w:hAnsiTheme="minorHAnsi" w:hint="cs"/>
      <w:b/>
      <w:sz w:val="28"/>
      <w:lang w:val="en-GB"/>
    </w:rPr>
  </w:style>
  <w:style w:type="character" w:styleId="Hyperlink">
    <w:name w:val="Hyperlink"/>
    <w:basedOn w:val="DefaultParagraphFont"/>
    <w:uiPriority w:val="99"/>
    <w:unhideWhenUsed/>
    <w:rsid w:val="00092AE3"/>
    <w:rPr>
      <w:color w:val="0000FF" w:themeColor="hyperlink"/>
      <w:u w:val="single"/>
    </w:rPr>
  </w:style>
  <w:style w:type="character" w:customStyle="1" w:styleId="UnresolvedMention">
    <w:name w:val="Unresolved Mention"/>
    <w:basedOn w:val="DefaultParagraphFont"/>
    <w:uiPriority w:val="99"/>
    <w:semiHidden/>
    <w:unhideWhenUsed/>
    <w:rsid w:val="00092AE3"/>
    <w:rPr>
      <w:color w:val="808080"/>
      <w:shd w:val="clear" w:color="auto" w:fill="E6E6E6"/>
    </w:rPr>
  </w:style>
  <w:style w:type="paragraph" w:styleId="BodyText">
    <w:name w:val="Body Text"/>
    <w:basedOn w:val="Normal"/>
    <w:link w:val="BodyTextChar"/>
    <w:rsid w:val="00683F50"/>
    <w:pPr>
      <w:widowControl w:val="0"/>
      <w:bidi w:val="0"/>
      <w:spacing w:line="240" w:lineRule="auto"/>
      <w:jc w:val="center"/>
    </w:pPr>
    <w:rPr>
      <w:rFonts w:cs="Times New Roman" w:hint="cs"/>
      <w:b/>
      <w:bCs/>
      <w:snapToGrid w:val="0"/>
      <w:szCs w:val="20"/>
    </w:rPr>
  </w:style>
  <w:style w:type="character" w:customStyle="1" w:styleId="BodyTextChar">
    <w:name w:val="Body Text Char"/>
    <w:basedOn w:val="DefaultParagraphFont"/>
    <w:link w:val="BodyText"/>
    <w:rsid w:val="00683F50"/>
    <w:rPr>
      <w:rFonts w:ascii="Times New Roman" w:hAnsi="Times New Roman" w:cs="Times New Roman"/>
      <w:b/>
      <w:bCs/>
      <w:snapToGrid w:val="0"/>
      <w:sz w:val="20"/>
      <w:szCs w:val="20"/>
    </w:rPr>
  </w:style>
  <w:style w:type="character" w:styleId="PlaceholderText">
    <w:name w:val="Placeholder Text"/>
    <w:basedOn w:val="DefaultParagraphFont"/>
    <w:uiPriority w:val="99"/>
    <w:semiHidden/>
    <w:rsid w:val="007878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0233D"/>
    <w:pPr>
      <w:keepNext/>
      <w:keepLines/>
      <w:tabs>
        <w:tab w:val="right" w:pos="1021"/>
      </w:tabs>
      <w:suppressAutoHyphens/>
      <w:spacing w:before="240" w:after="120" w:line="380" w:lineRule="exact"/>
      <w:ind w:left="1247" w:right="1247" w:hanging="1247"/>
    </w:pPr>
    <w:rPr>
      <w:b/>
      <w:bCs/>
      <w:lang w:eastAsia="ar-SA"/>
    </w:rPr>
  </w:style>
  <w:style w:type="paragraph" w:customStyle="1" w:styleId="H4GA">
    <w:name w:val="_ H_4_GA"/>
    <w:basedOn w:val="Normal"/>
    <w:next w:val="Normal"/>
    <w:qFormat/>
    <w:rsid w:val="00F0233D"/>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F0233D"/>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uiPriority w:val="99"/>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uiPriority w:val="99"/>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customStyle="1" w:styleId="HChG">
    <w:name w:val="_ H _Ch_G"/>
    <w:basedOn w:val="Normal"/>
    <w:next w:val="Normal"/>
    <w:qFormat/>
    <w:rsid w:val="00A1149F"/>
    <w:pPr>
      <w:keepNext/>
      <w:keepLines/>
      <w:tabs>
        <w:tab w:val="right" w:pos="851"/>
      </w:tabs>
      <w:suppressAutoHyphens/>
      <w:kinsoku w:val="0"/>
      <w:overflowPunct w:val="0"/>
      <w:autoSpaceDE w:val="0"/>
      <w:autoSpaceDN w:val="0"/>
      <w:bidi w:val="0"/>
      <w:adjustRightInd w:val="0"/>
      <w:snapToGrid w:val="0"/>
      <w:spacing w:before="360" w:after="240" w:line="300" w:lineRule="exact"/>
      <w:ind w:left="1134" w:right="1134" w:hanging="1134"/>
      <w:jc w:val="left"/>
    </w:pPr>
    <w:rPr>
      <w:rFonts w:eastAsia="SimSun" w:hAnsiTheme="minorHAnsi" w:hint="cs"/>
      <w:b/>
      <w:sz w:val="28"/>
      <w:lang w:val="en-GB"/>
    </w:rPr>
  </w:style>
  <w:style w:type="character" w:styleId="Hyperlink">
    <w:name w:val="Hyperlink"/>
    <w:basedOn w:val="DefaultParagraphFont"/>
    <w:uiPriority w:val="99"/>
    <w:unhideWhenUsed/>
    <w:rsid w:val="00092AE3"/>
    <w:rPr>
      <w:color w:val="0000FF" w:themeColor="hyperlink"/>
      <w:u w:val="single"/>
    </w:rPr>
  </w:style>
  <w:style w:type="character" w:customStyle="1" w:styleId="UnresolvedMention">
    <w:name w:val="Unresolved Mention"/>
    <w:basedOn w:val="DefaultParagraphFont"/>
    <w:uiPriority w:val="99"/>
    <w:semiHidden/>
    <w:unhideWhenUsed/>
    <w:rsid w:val="00092AE3"/>
    <w:rPr>
      <w:color w:val="808080"/>
      <w:shd w:val="clear" w:color="auto" w:fill="E6E6E6"/>
    </w:rPr>
  </w:style>
  <w:style w:type="paragraph" w:styleId="BodyText">
    <w:name w:val="Body Text"/>
    <w:basedOn w:val="Normal"/>
    <w:link w:val="BodyTextChar"/>
    <w:rsid w:val="00683F50"/>
    <w:pPr>
      <w:widowControl w:val="0"/>
      <w:bidi w:val="0"/>
      <w:spacing w:line="240" w:lineRule="auto"/>
      <w:jc w:val="center"/>
    </w:pPr>
    <w:rPr>
      <w:rFonts w:cs="Times New Roman" w:hint="cs"/>
      <w:b/>
      <w:bCs/>
      <w:snapToGrid w:val="0"/>
      <w:szCs w:val="20"/>
    </w:rPr>
  </w:style>
  <w:style w:type="character" w:customStyle="1" w:styleId="BodyTextChar">
    <w:name w:val="Body Text Char"/>
    <w:basedOn w:val="DefaultParagraphFont"/>
    <w:link w:val="BodyText"/>
    <w:rsid w:val="00683F50"/>
    <w:rPr>
      <w:rFonts w:ascii="Times New Roman" w:hAnsi="Times New Roman" w:cs="Times New Roman"/>
      <w:b/>
      <w:bCs/>
      <w:snapToGrid w:val="0"/>
      <w:sz w:val="20"/>
      <w:szCs w:val="20"/>
    </w:rPr>
  </w:style>
  <w:style w:type="character" w:styleId="PlaceholderText">
    <w:name w:val="Placeholder Text"/>
    <w:basedOn w:val="DefaultParagraphFont"/>
    <w:uiPriority w:val="99"/>
    <w:semiHidden/>
    <w:rsid w:val="007878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www.ohchr.org/participationguideline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08CF06-7544-4505-90E7-4982B2B953E6}">
  <ds:schemaRefs>
    <ds:schemaRef ds:uri="http://schemas.openxmlformats.org/officeDocument/2006/bibliography"/>
  </ds:schemaRefs>
</ds:datastoreItem>
</file>

<file path=customXml/itemProps2.xml><?xml version="1.0" encoding="utf-8"?>
<ds:datastoreItem xmlns:ds="http://schemas.openxmlformats.org/officeDocument/2006/customXml" ds:itemID="{1CBF5C1A-3AD1-4F26-80E8-B5E277CB2D0A}"/>
</file>

<file path=customXml/itemProps3.xml><?xml version="1.0" encoding="utf-8"?>
<ds:datastoreItem xmlns:ds="http://schemas.openxmlformats.org/officeDocument/2006/customXml" ds:itemID="{A9F3405A-49B4-4E76-BBC8-FA8EF0452490}"/>
</file>

<file path=customXml/itemProps4.xml><?xml version="1.0" encoding="utf-8"?>
<ds:datastoreItem xmlns:ds="http://schemas.openxmlformats.org/officeDocument/2006/customXml" ds:itemID="{536EE4FB-41A7-4308-B595-FAC60539F35A}"/>
</file>

<file path=docProps/app.xml><?xml version="1.0" encoding="utf-8"?>
<Properties xmlns="http://schemas.openxmlformats.org/officeDocument/2006/extended-properties" xmlns:vt="http://schemas.openxmlformats.org/officeDocument/2006/docPropsVTypes">
  <Template>Normal.dotm</Template>
  <TotalTime>0</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A/HRC/INFORMAL/2017/1</vt:lpstr>
    </vt:vector>
  </TitlesOfParts>
  <Company>UNOG</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A/HRC/INFORMAL/2017/1</dc:title>
  <dc:creator>Jamal ALKAHLOUT - MAB</dc:creator>
  <cp:keywords>GE.: 1717013A</cp:keywords>
  <dc:description>ODS. No.: 1728459A</dc:description>
  <cp:lastModifiedBy>Federica Morvay</cp:lastModifiedBy>
  <cp:revision>2</cp:revision>
  <cp:lastPrinted>2017-10-20T05:48:00Z</cp:lastPrinted>
  <dcterms:created xsi:type="dcterms:W3CDTF">2017-10-23T11:45:00Z</dcterms:created>
  <dcterms:modified xsi:type="dcterms:W3CDTF">2017-10-23T11:45:00Z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