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AF1AE" w14:textId="77777777" w:rsidR="00F95E85" w:rsidRPr="005D084F" w:rsidRDefault="00F95E85" w:rsidP="001B179E">
      <w:pPr>
        <w:ind w:firstLine="284"/>
        <w:jc w:val="center"/>
        <w:rPr>
          <w:b/>
          <w:sz w:val="36"/>
          <w:szCs w:val="36"/>
          <w:lang w:val="en-GB"/>
        </w:rPr>
      </w:pPr>
    </w:p>
    <w:p w14:paraId="2E2663DF" w14:textId="77777777" w:rsidR="00F95E85" w:rsidRPr="005D084F" w:rsidRDefault="00F95E85" w:rsidP="001B179E">
      <w:pPr>
        <w:ind w:firstLine="284"/>
        <w:jc w:val="center"/>
        <w:rPr>
          <w:b/>
          <w:sz w:val="36"/>
          <w:szCs w:val="36"/>
          <w:lang w:val="en-GB"/>
        </w:rPr>
      </w:pPr>
    </w:p>
    <w:p w14:paraId="11D23CAE" w14:textId="77777777" w:rsidR="00405A4B" w:rsidRPr="005D084F" w:rsidRDefault="00405A4B" w:rsidP="001B179E">
      <w:pPr>
        <w:ind w:firstLine="284"/>
        <w:jc w:val="center"/>
        <w:rPr>
          <w:b/>
          <w:sz w:val="36"/>
          <w:szCs w:val="36"/>
          <w:lang w:val="en-GB"/>
        </w:rPr>
      </w:pPr>
    </w:p>
    <w:p w14:paraId="496E8A72" w14:textId="77777777" w:rsidR="00746131" w:rsidRPr="005D084F" w:rsidRDefault="00947F3E" w:rsidP="001B179E">
      <w:pPr>
        <w:ind w:firstLine="284"/>
        <w:jc w:val="center"/>
        <w:rPr>
          <w:b/>
          <w:sz w:val="36"/>
          <w:szCs w:val="36"/>
          <w:lang w:val="en-GB"/>
        </w:rPr>
      </w:pPr>
      <w:r w:rsidRPr="005D084F">
        <w:rPr>
          <w:b/>
          <w:sz w:val="36"/>
          <w:szCs w:val="36"/>
          <w:lang w:val="en-GB"/>
        </w:rPr>
        <w:t>Study on the Right</w:t>
      </w:r>
      <w:r w:rsidR="00746131" w:rsidRPr="005D084F">
        <w:rPr>
          <w:b/>
          <w:sz w:val="36"/>
          <w:szCs w:val="36"/>
          <w:lang w:val="en-GB"/>
        </w:rPr>
        <w:t xml:space="preserve"> to </w:t>
      </w:r>
      <w:r w:rsidR="00C567A2" w:rsidRPr="005D084F">
        <w:rPr>
          <w:b/>
          <w:sz w:val="36"/>
          <w:szCs w:val="36"/>
          <w:lang w:val="en-GB"/>
        </w:rPr>
        <w:t xml:space="preserve">Equal Participation </w:t>
      </w:r>
      <w:r w:rsidR="00A50EC2" w:rsidRPr="005D084F">
        <w:rPr>
          <w:b/>
          <w:sz w:val="36"/>
          <w:szCs w:val="36"/>
          <w:lang w:val="en-GB"/>
        </w:rPr>
        <w:br/>
      </w:r>
      <w:r w:rsidR="00C567A2" w:rsidRPr="005D084F">
        <w:rPr>
          <w:b/>
          <w:sz w:val="36"/>
          <w:szCs w:val="36"/>
          <w:lang w:val="en-GB"/>
        </w:rPr>
        <w:t>in Public Affairs</w:t>
      </w:r>
      <w:r w:rsidR="00A50EC2" w:rsidRPr="005D084F">
        <w:rPr>
          <w:b/>
          <w:sz w:val="36"/>
          <w:szCs w:val="36"/>
          <w:lang w:val="en-GB"/>
        </w:rPr>
        <w:t xml:space="preserve"> </w:t>
      </w:r>
      <w:r w:rsidR="00746131" w:rsidRPr="005D084F">
        <w:rPr>
          <w:b/>
          <w:sz w:val="36"/>
          <w:szCs w:val="36"/>
          <w:lang w:val="en-GB"/>
        </w:rPr>
        <w:t>in Western Europe</w:t>
      </w:r>
    </w:p>
    <w:p w14:paraId="30C209D6" w14:textId="77777777" w:rsidR="00C567A2" w:rsidRPr="005D084F" w:rsidRDefault="00C567A2" w:rsidP="001B179E">
      <w:pPr>
        <w:ind w:firstLine="284"/>
        <w:jc w:val="center"/>
        <w:rPr>
          <w:sz w:val="36"/>
          <w:szCs w:val="36"/>
          <w:lang w:val="en-GB"/>
        </w:rPr>
      </w:pPr>
      <w:r w:rsidRPr="005D084F">
        <w:rPr>
          <w:sz w:val="36"/>
          <w:szCs w:val="36"/>
          <w:lang w:val="en-GB"/>
        </w:rPr>
        <w:t>Analysis of legislation, jurisprudence and practice</w:t>
      </w:r>
    </w:p>
    <w:p w14:paraId="1F002917" w14:textId="77777777" w:rsidR="00F778C4" w:rsidRPr="005D084F" w:rsidRDefault="00F778C4" w:rsidP="007A3B12">
      <w:pPr>
        <w:ind w:firstLine="284"/>
        <w:rPr>
          <w:b/>
          <w:lang w:val="en-GB"/>
        </w:rPr>
      </w:pPr>
    </w:p>
    <w:p w14:paraId="643522BB" w14:textId="77777777" w:rsidR="00116EF8" w:rsidRPr="005D084F" w:rsidRDefault="006020C0" w:rsidP="006020C0">
      <w:pPr>
        <w:ind w:firstLine="284"/>
        <w:jc w:val="center"/>
        <w:rPr>
          <w:sz w:val="28"/>
          <w:szCs w:val="28"/>
          <w:lang w:val="fr-CH"/>
        </w:rPr>
      </w:pPr>
      <w:r w:rsidRPr="005D084F">
        <w:rPr>
          <w:sz w:val="28"/>
          <w:szCs w:val="28"/>
          <w:lang w:val="fr-CH"/>
        </w:rPr>
        <w:t xml:space="preserve">Olivier de </w:t>
      </w:r>
      <w:proofErr w:type="spellStart"/>
      <w:r w:rsidRPr="005D084F">
        <w:rPr>
          <w:sz w:val="28"/>
          <w:szCs w:val="28"/>
          <w:lang w:val="fr-CH"/>
        </w:rPr>
        <w:t>Frouville</w:t>
      </w:r>
      <w:proofErr w:type="spellEnd"/>
      <w:r w:rsidR="003E39F5" w:rsidRPr="005D084F">
        <w:rPr>
          <w:rStyle w:val="FootnoteReference"/>
          <w:rFonts w:ascii="Times New Roman" w:hAnsi="Times New Roman"/>
          <w:sz w:val="28"/>
          <w:szCs w:val="28"/>
          <w:lang w:val="fr-CH"/>
        </w:rPr>
        <w:footnoteReference w:customMarkFollows="1" w:id="1"/>
        <w:t>*</w:t>
      </w:r>
    </w:p>
    <w:p w14:paraId="658255CB" w14:textId="77777777" w:rsidR="009C3C75" w:rsidRPr="00042A8C" w:rsidRDefault="009C3C75" w:rsidP="006020C0">
      <w:pPr>
        <w:ind w:firstLine="284"/>
        <w:jc w:val="center"/>
        <w:rPr>
          <w:sz w:val="28"/>
          <w:szCs w:val="28"/>
          <w:lang w:val="fr-CH"/>
        </w:rPr>
      </w:pPr>
      <w:proofErr w:type="gramStart"/>
      <w:r w:rsidRPr="00042A8C">
        <w:rPr>
          <w:sz w:val="28"/>
          <w:szCs w:val="28"/>
          <w:lang w:val="fr-CH"/>
        </w:rPr>
        <w:t>and</w:t>
      </w:r>
      <w:proofErr w:type="gramEnd"/>
    </w:p>
    <w:p w14:paraId="5422423C" w14:textId="77777777" w:rsidR="009C3C75" w:rsidRPr="00042A8C" w:rsidRDefault="009C3C75" w:rsidP="006020C0">
      <w:pPr>
        <w:ind w:firstLine="284"/>
        <w:jc w:val="center"/>
        <w:rPr>
          <w:sz w:val="28"/>
          <w:szCs w:val="28"/>
          <w:lang w:val="fr-CH"/>
        </w:rPr>
      </w:pPr>
      <w:r w:rsidRPr="00042A8C">
        <w:rPr>
          <w:sz w:val="28"/>
          <w:szCs w:val="28"/>
          <w:lang w:val="fr-CH"/>
        </w:rPr>
        <w:t>Claire</w:t>
      </w:r>
      <w:r w:rsidR="00995477" w:rsidRPr="00042A8C">
        <w:rPr>
          <w:sz w:val="28"/>
          <w:szCs w:val="28"/>
          <w:lang w:val="fr-CH"/>
        </w:rPr>
        <w:t xml:space="preserve"> </w:t>
      </w:r>
      <w:proofErr w:type="spellStart"/>
      <w:r w:rsidR="00995477" w:rsidRPr="00042A8C">
        <w:rPr>
          <w:sz w:val="28"/>
          <w:szCs w:val="28"/>
          <w:lang w:val="fr-CH"/>
        </w:rPr>
        <w:t>Callejon</w:t>
      </w:r>
      <w:proofErr w:type="spellEnd"/>
      <w:r w:rsidR="003E39F5" w:rsidRPr="00042A8C">
        <w:rPr>
          <w:rStyle w:val="FootnoteReference"/>
          <w:rFonts w:ascii="Times New Roman" w:hAnsi="Times New Roman"/>
          <w:sz w:val="28"/>
          <w:szCs w:val="28"/>
          <w:lang w:val="fr-CH"/>
        </w:rPr>
        <w:footnoteReference w:customMarkFollows="1" w:id="2"/>
        <w:t>**</w:t>
      </w:r>
    </w:p>
    <w:p w14:paraId="4153CA71" w14:textId="77777777" w:rsidR="00F95E85" w:rsidRPr="00042A8C" w:rsidRDefault="00F95E85">
      <w:pPr>
        <w:rPr>
          <w:lang w:val="fr-CH"/>
        </w:rPr>
      </w:pPr>
      <w:r w:rsidRPr="00042A8C">
        <w:rPr>
          <w:lang w:val="fr-CH"/>
        </w:rPr>
        <w:br w:type="page"/>
      </w:r>
    </w:p>
    <w:p w14:paraId="468A384D" w14:textId="77777777" w:rsidR="00786EA2" w:rsidRPr="00042A8C" w:rsidRDefault="00786EA2" w:rsidP="006020C0">
      <w:pPr>
        <w:ind w:firstLine="284"/>
        <w:jc w:val="center"/>
        <w:rPr>
          <w:lang w:val="fr-CH"/>
        </w:rPr>
      </w:pPr>
    </w:p>
    <w:p w14:paraId="3F9EC75A" w14:textId="77777777" w:rsidR="00C92A01" w:rsidRPr="005D084F" w:rsidRDefault="00DA6709" w:rsidP="006020C0">
      <w:pPr>
        <w:ind w:firstLine="284"/>
        <w:jc w:val="center"/>
        <w:rPr>
          <w:b/>
          <w:sz w:val="32"/>
          <w:szCs w:val="32"/>
          <w:lang w:val="en-GB"/>
        </w:rPr>
      </w:pPr>
      <w:r w:rsidRPr="005D084F">
        <w:rPr>
          <w:b/>
          <w:sz w:val="32"/>
          <w:szCs w:val="32"/>
          <w:lang w:val="en-GB"/>
        </w:rPr>
        <w:t>Table of contents</w:t>
      </w:r>
    </w:p>
    <w:p w14:paraId="49529851" w14:textId="77777777" w:rsidR="00DA6709" w:rsidRPr="005D084F" w:rsidRDefault="00DA6709" w:rsidP="006020C0">
      <w:pPr>
        <w:ind w:firstLine="284"/>
        <w:jc w:val="center"/>
        <w:rPr>
          <w:b/>
          <w:lang w:val="en-GB"/>
        </w:rPr>
      </w:pPr>
    </w:p>
    <w:p w14:paraId="5421594F" w14:textId="77777777" w:rsidR="0043479F" w:rsidRDefault="008A003F">
      <w:pPr>
        <w:pStyle w:val="TOC1"/>
        <w:tabs>
          <w:tab w:val="right" w:leader="dot" w:pos="9054"/>
        </w:tabs>
        <w:rPr>
          <w:rFonts w:eastAsiaTheme="minorEastAsia" w:cstheme="minorBidi"/>
          <w:noProof/>
          <w:sz w:val="22"/>
          <w:szCs w:val="22"/>
          <w:lang w:val="en-GB" w:eastAsia="en-GB"/>
        </w:rPr>
      </w:pPr>
      <w:r w:rsidRPr="00E05E56">
        <w:rPr>
          <w:rFonts w:ascii="Times New Roman" w:hAnsi="Times New Roman"/>
          <w:b/>
          <w:lang w:val="fr-FR"/>
        </w:rPr>
        <w:fldChar w:fldCharType="begin"/>
      </w:r>
      <w:r w:rsidRPr="00E05E56">
        <w:rPr>
          <w:rFonts w:ascii="Times New Roman" w:hAnsi="Times New Roman"/>
          <w:b/>
          <w:lang w:val="en-GB"/>
        </w:rPr>
        <w:instrText xml:space="preserve"> TOC \o "1-3" </w:instrText>
      </w:r>
      <w:r w:rsidRPr="00E05E56">
        <w:rPr>
          <w:rFonts w:ascii="Times New Roman" w:hAnsi="Times New Roman"/>
          <w:b/>
          <w:lang w:val="fr-FR"/>
        </w:rPr>
        <w:fldChar w:fldCharType="separate"/>
      </w:r>
      <w:r w:rsidR="0043479F" w:rsidRPr="00774DDE">
        <w:rPr>
          <w:rFonts w:ascii="Times New Roman" w:hAnsi="Times New Roman"/>
          <w:noProof/>
          <w:lang w:val="en-GB"/>
        </w:rPr>
        <w:t>Introduction</w:t>
      </w:r>
      <w:r w:rsidR="0043479F">
        <w:rPr>
          <w:noProof/>
        </w:rPr>
        <w:tab/>
      </w:r>
      <w:r w:rsidR="0043479F">
        <w:rPr>
          <w:noProof/>
        </w:rPr>
        <w:fldChar w:fldCharType="begin"/>
      </w:r>
      <w:r w:rsidR="0043479F">
        <w:rPr>
          <w:noProof/>
        </w:rPr>
        <w:instrText xml:space="preserve"> PAGEREF _Toc509931719 \h </w:instrText>
      </w:r>
      <w:r w:rsidR="0043479F">
        <w:rPr>
          <w:noProof/>
        </w:rPr>
      </w:r>
      <w:r w:rsidR="0043479F">
        <w:rPr>
          <w:noProof/>
        </w:rPr>
        <w:fldChar w:fldCharType="separate"/>
      </w:r>
      <w:r w:rsidR="0043479F">
        <w:rPr>
          <w:noProof/>
        </w:rPr>
        <w:t>4</w:t>
      </w:r>
      <w:r w:rsidR="0043479F">
        <w:rPr>
          <w:noProof/>
        </w:rPr>
        <w:fldChar w:fldCharType="end"/>
      </w:r>
    </w:p>
    <w:p w14:paraId="1E6BFC53" w14:textId="77777777" w:rsidR="0043479F" w:rsidRDefault="0043479F">
      <w:pPr>
        <w:pStyle w:val="TOC1"/>
        <w:tabs>
          <w:tab w:val="left" w:pos="72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I.</w:t>
      </w:r>
      <w:r>
        <w:rPr>
          <w:rFonts w:eastAsiaTheme="minorEastAsia" w:cstheme="minorBidi"/>
          <w:noProof/>
          <w:sz w:val="22"/>
          <w:szCs w:val="22"/>
          <w:lang w:val="en-GB" w:eastAsia="en-GB"/>
        </w:rPr>
        <w:tab/>
      </w:r>
      <w:r w:rsidRPr="00774DDE">
        <w:rPr>
          <w:rFonts w:ascii="Times New Roman" w:hAnsi="Times New Roman"/>
          <w:noProof/>
          <w:lang w:val="en-GB"/>
        </w:rPr>
        <w:t>Discrimination faced by various social groups</w:t>
      </w:r>
      <w:r>
        <w:rPr>
          <w:noProof/>
        </w:rPr>
        <w:tab/>
      </w:r>
      <w:r>
        <w:rPr>
          <w:noProof/>
        </w:rPr>
        <w:fldChar w:fldCharType="begin"/>
      </w:r>
      <w:r>
        <w:rPr>
          <w:noProof/>
        </w:rPr>
        <w:instrText xml:space="preserve"> PAGEREF _Toc509931720 \h </w:instrText>
      </w:r>
      <w:r>
        <w:rPr>
          <w:noProof/>
        </w:rPr>
      </w:r>
      <w:r>
        <w:rPr>
          <w:noProof/>
        </w:rPr>
        <w:fldChar w:fldCharType="separate"/>
      </w:r>
      <w:r>
        <w:rPr>
          <w:noProof/>
        </w:rPr>
        <w:t>7</w:t>
      </w:r>
      <w:r>
        <w:rPr>
          <w:noProof/>
        </w:rPr>
        <w:fldChar w:fldCharType="end"/>
      </w:r>
    </w:p>
    <w:p w14:paraId="2FBBC0B7"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A. The right to vote of non-nationals and non-resident citizens</w:t>
      </w:r>
      <w:r>
        <w:rPr>
          <w:noProof/>
        </w:rPr>
        <w:tab/>
      </w:r>
      <w:r>
        <w:rPr>
          <w:noProof/>
        </w:rPr>
        <w:fldChar w:fldCharType="begin"/>
      </w:r>
      <w:r>
        <w:rPr>
          <w:noProof/>
        </w:rPr>
        <w:instrText xml:space="preserve"> PAGEREF _Toc509931721 \h </w:instrText>
      </w:r>
      <w:r>
        <w:rPr>
          <w:noProof/>
        </w:rPr>
      </w:r>
      <w:r>
        <w:rPr>
          <w:noProof/>
        </w:rPr>
        <w:fldChar w:fldCharType="separate"/>
      </w:r>
      <w:r>
        <w:rPr>
          <w:noProof/>
        </w:rPr>
        <w:t>7</w:t>
      </w:r>
      <w:r>
        <w:rPr>
          <w:noProof/>
        </w:rPr>
        <w:fldChar w:fldCharType="end"/>
      </w:r>
    </w:p>
    <w:p w14:paraId="50DCE7AC" w14:textId="77777777" w:rsidR="0043479F" w:rsidRDefault="0043479F">
      <w:pPr>
        <w:pStyle w:val="TOC3"/>
        <w:tabs>
          <w:tab w:val="left" w:pos="144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1.</w:t>
      </w:r>
      <w:r>
        <w:rPr>
          <w:rFonts w:eastAsiaTheme="minorEastAsia" w:cstheme="minorBidi"/>
          <w:noProof/>
          <w:sz w:val="22"/>
          <w:szCs w:val="22"/>
          <w:lang w:val="en-GB" w:eastAsia="en-GB"/>
        </w:rPr>
        <w:tab/>
      </w:r>
      <w:r w:rsidRPr="00774DDE">
        <w:rPr>
          <w:rFonts w:ascii="Times New Roman" w:hAnsi="Times New Roman"/>
          <w:noProof/>
          <w:lang w:val="en-GB"/>
        </w:rPr>
        <w:t>Non-nationals</w:t>
      </w:r>
      <w:r>
        <w:rPr>
          <w:noProof/>
        </w:rPr>
        <w:tab/>
      </w:r>
      <w:r>
        <w:rPr>
          <w:noProof/>
        </w:rPr>
        <w:fldChar w:fldCharType="begin"/>
      </w:r>
      <w:r>
        <w:rPr>
          <w:noProof/>
        </w:rPr>
        <w:instrText xml:space="preserve"> PAGEREF _Toc509931722 \h </w:instrText>
      </w:r>
      <w:r>
        <w:rPr>
          <w:noProof/>
        </w:rPr>
      </w:r>
      <w:r>
        <w:rPr>
          <w:noProof/>
        </w:rPr>
        <w:fldChar w:fldCharType="separate"/>
      </w:r>
      <w:r>
        <w:rPr>
          <w:noProof/>
        </w:rPr>
        <w:t>7</w:t>
      </w:r>
      <w:r>
        <w:rPr>
          <w:noProof/>
        </w:rPr>
        <w:fldChar w:fldCharType="end"/>
      </w:r>
    </w:p>
    <w:p w14:paraId="45B09E5B" w14:textId="77777777" w:rsidR="0043479F" w:rsidRDefault="0043479F">
      <w:pPr>
        <w:pStyle w:val="TOC3"/>
        <w:tabs>
          <w:tab w:val="left" w:pos="144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2.</w:t>
      </w:r>
      <w:r>
        <w:rPr>
          <w:rFonts w:eastAsiaTheme="minorEastAsia" w:cstheme="minorBidi"/>
          <w:noProof/>
          <w:sz w:val="22"/>
          <w:szCs w:val="22"/>
          <w:lang w:val="en-GB" w:eastAsia="en-GB"/>
        </w:rPr>
        <w:tab/>
      </w:r>
      <w:r w:rsidRPr="00774DDE">
        <w:rPr>
          <w:rFonts w:ascii="Times New Roman" w:hAnsi="Times New Roman"/>
          <w:noProof/>
          <w:lang w:val="en-GB"/>
        </w:rPr>
        <w:t>Non-resident citizens</w:t>
      </w:r>
      <w:r>
        <w:rPr>
          <w:noProof/>
        </w:rPr>
        <w:tab/>
      </w:r>
      <w:r>
        <w:rPr>
          <w:noProof/>
        </w:rPr>
        <w:fldChar w:fldCharType="begin"/>
      </w:r>
      <w:r>
        <w:rPr>
          <w:noProof/>
        </w:rPr>
        <w:instrText xml:space="preserve"> PAGEREF _Toc509931723 \h </w:instrText>
      </w:r>
      <w:r>
        <w:rPr>
          <w:noProof/>
        </w:rPr>
      </w:r>
      <w:r>
        <w:rPr>
          <w:noProof/>
        </w:rPr>
        <w:fldChar w:fldCharType="separate"/>
      </w:r>
      <w:r>
        <w:rPr>
          <w:noProof/>
        </w:rPr>
        <w:t>9</w:t>
      </w:r>
      <w:r>
        <w:rPr>
          <w:noProof/>
        </w:rPr>
        <w:fldChar w:fldCharType="end"/>
      </w:r>
    </w:p>
    <w:p w14:paraId="23B7DFFA"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B. Women</w:t>
      </w:r>
      <w:r>
        <w:rPr>
          <w:noProof/>
        </w:rPr>
        <w:tab/>
      </w:r>
      <w:r>
        <w:rPr>
          <w:noProof/>
        </w:rPr>
        <w:fldChar w:fldCharType="begin"/>
      </w:r>
      <w:r>
        <w:rPr>
          <w:noProof/>
        </w:rPr>
        <w:instrText xml:space="preserve"> PAGEREF _Toc509931724 \h </w:instrText>
      </w:r>
      <w:r>
        <w:rPr>
          <w:noProof/>
        </w:rPr>
      </w:r>
      <w:r>
        <w:rPr>
          <w:noProof/>
        </w:rPr>
        <w:fldChar w:fldCharType="separate"/>
      </w:r>
      <w:r>
        <w:rPr>
          <w:noProof/>
        </w:rPr>
        <w:t>11</w:t>
      </w:r>
      <w:r>
        <w:rPr>
          <w:noProof/>
        </w:rPr>
        <w:fldChar w:fldCharType="end"/>
      </w:r>
    </w:p>
    <w:p w14:paraId="60184845"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C. Minorities and indigenous peoples</w:t>
      </w:r>
      <w:r>
        <w:rPr>
          <w:noProof/>
        </w:rPr>
        <w:tab/>
      </w:r>
      <w:r>
        <w:rPr>
          <w:noProof/>
        </w:rPr>
        <w:fldChar w:fldCharType="begin"/>
      </w:r>
      <w:r>
        <w:rPr>
          <w:noProof/>
        </w:rPr>
        <w:instrText xml:space="preserve"> PAGEREF _Toc509931725 \h </w:instrText>
      </w:r>
      <w:r>
        <w:rPr>
          <w:noProof/>
        </w:rPr>
      </w:r>
      <w:r>
        <w:rPr>
          <w:noProof/>
        </w:rPr>
        <w:fldChar w:fldCharType="separate"/>
      </w:r>
      <w:r>
        <w:rPr>
          <w:noProof/>
        </w:rPr>
        <w:t>12</w:t>
      </w:r>
      <w:r>
        <w:rPr>
          <w:noProof/>
        </w:rPr>
        <w:fldChar w:fldCharType="end"/>
      </w:r>
    </w:p>
    <w:p w14:paraId="1E995FBA"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D. Persons with Disabilities</w:t>
      </w:r>
      <w:r>
        <w:rPr>
          <w:noProof/>
        </w:rPr>
        <w:tab/>
      </w:r>
      <w:r>
        <w:rPr>
          <w:noProof/>
        </w:rPr>
        <w:fldChar w:fldCharType="begin"/>
      </w:r>
      <w:r>
        <w:rPr>
          <w:noProof/>
        </w:rPr>
        <w:instrText xml:space="preserve"> PAGEREF _Toc509931726 \h </w:instrText>
      </w:r>
      <w:r>
        <w:rPr>
          <w:noProof/>
        </w:rPr>
      </w:r>
      <w:r>
        <w:rPr>
          <w:noProof/>
        </w:rPr>
        <w:fldChar w:fldCharType="separate"/>
      </w:r>
      <w:r>
        <w:rPr>
          <w:noProof/>
        </w:rPr>
        <w:t>15</w:t>
      </w:r>
      <w:r>
        <w:rPr>
          <w:noProof/>
        </w:rPr>
        <w:fldChar w:fldCharType="end"/>
      </w:r>
    </w:p>
    <w:p w14:paraId="7CFA222E"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E. Prisoners</w:t>
      </w:r>
      <w:r>
        <w:rPr>
          <w:noProof/>
        </w:rPr>
        <w:tab/>
      </w:r>
      <w:r>
        <w:rPr>
          <w:noProof/>
        </w:rPr>
        <w:fldChar w:fldCharType="begin"/>
      </w:r>
      <w:r>
        <w:rPr>
          <w:noProof/>
        </w:rPr>
        <w:instrText xml:space="preserve"> PAGEREF _Toc509931727 \h </w:instrText>
      </w:r>
      <w:r>
        <w:rPr>
          <w:noProof/>
        </w:rPr>
      </w:r>
      <w:r>
        <w:rPr>
          <w:noProof/>
        </w:rPr>
        <w:fldChar w:fldCharType="separate"/>
      </w:r>
      <w:r>
        <w:rPr>
          <w:noProof/>
        </w:rPr>
        <w:t>17</w:t>
      </w:r>
      <w:r>
        <w:rPr>
          <w:noProof/>
        </w:rPr>
        <w:fldChar w:fldCharType="end"/>
      </w:r>
    </w:p>
    <w:p w14:paraId="22FE4715" w14:textId="77777777" w:rsidR="0043479F" w:rsidRDefault="0043479F">
      <w:pPr>
        <w:pStyle w:val="TOC1"/>
        <w:tabs>
          <w:tab w:val="left" w:pos="96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II.</w:t>
      </w:r>
      <w:r>
        <w:rPr>
          <w:rFonts w:eastAsiaTheme="minorEastAsia" w:cstheme="minorBidi"/>
          <w:noProof/>
          <w:sz w:val="22"/>
          <w:szCs w:val="22"/>
          <w:lang w:val="en-GB" w:eastAsia="en-GB"/>
        </w:rPr>
        <w:tab/>
      </w:r>
      <w:r w:rsidRPr="00774DDE">
        <w:rPr>
          <w:rFonts w:ascii="Times New Roman" w:hAnsi="Times New Roman"/>
          <w:noProof/>
        </w:rPr>
        <w:t>Information and Communication Technology (</w:t>
      </w:r>
      <w:r w:rsidRPr="00774DDE">
        <w:rPr>
          <w:rFonts w:ascii="Times New Roman" w:hAnsi="Times New Roman"/>
          <w:noProof/>
          <w:lang w:val="en-GB"/>
        </w:rPr>
        <w:t>ICTs) and the right to participate</w:t>
      </w:r>
      <w:r>
        <w:rPr>
          <w:noProof/>
        </w:rPr>
        <w:tab/>
      </w:r>
      <w:r>
        <w:rPr>
          <w:noProof/>
        </w:rPr>
        <w:fldChar w:fldCharType="begin"/>
      </w:r>
      <w:r>
        <w:rPr>
          <w:noProof/>
        </w:rPr>
        <w:instrText xml:space="preserve"> PAGEREF _Toc509931728 \h </w:instrText>
      </w:r>
      <w:r>
        <w:rPr>
          <w:noProof/>
        </w:rPr>
      </w:r>
      <w:r>
        <w:rPr>
          <w:noProof/>
        </w:rPr>
        <w:fldChar w:fldCharType="separate"/>
      </w:r>
      <w:r>
        <w:rPr>
          <w:noProof/>
        </w:rPr>
        <w:t>18</w:t>
      </w:r>
      <w:r>
        <w:rPr>
          <w:noProof/>
        </w:rPr>
        <w:fldChar w:fldCharType="end"/>
      </w:r>
    </w:p>
    <w:p w14:paraId="0FF9BA96"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A. ICTs and elections</w:t>
      </w:r>
      <w:r>
        <w:rPr>
          <w:noProof/>
        </w:rPr>
        <w:tab/>
      </w:r>
      <w:r>
        <w:rPr>
          <w:noProof/>
        </w:rPr>
        <w:fldChar w:fldCharType="begin"/>
      </w:r>
      <w:r>
        <w:rPr>
          <w:noProof/>
        </w:rPr>
        <w:instrText xml:space="preserve"> PAGEREF _Toc509931729 \h </w:instrText>
      </w:r>
      <w:r>
        <w:rPr>
          <w:noProof/>
        </w:rPr>
      </w:r>
      <w:r>
        <w:rPr>
          <w:noProof/>
        </w:rPr>
        <w:fldChar w:fldCharType="separate"/>
      </w:r>
      <w:r>
        <w:rPr>
          <w:noProof/>
        </w:rPr>
        <w:t>18</w:t>
      </w:r>
      <w:r>
        <w:rPr>
          <w:noProof/>
        </w:rPr>
        <w:fldChar w:fldCharType="end"/>
      </w:r>
    </w:p>
    <w:p w14:paraId="7A77CAAE" w14:textId="77777777" w:rsidR="0043479F" w:rsidRDefault="0043479F">
      <w:pPr>
        <w:pStyle w:val="TOC2"/>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B. ICTs and new forms of participation</w:t>
      </w:r>
      <w:r>
        <w:rPr>
          <w:noProof/>
        </w:rPr>
        <w:tab/>
      </w:r>
      <w:r>
        <w:rPr>
          <w:noProof/>
        </w:rPr>
        <w:fldChar w:fldCharType="begin"/>
      </w:r>
      <w:r>
        <w:rPr>
          <w:noProof/>
        </w:rPr>
        <w:instrText xml:space="preserve"> PAGEREF _Toc509931730 \h </w:instrText>
      </w:r>
      <w:r>
        <w:rPr>
          <w:noProof/>
        </w:rPr>
      </w:r>
      <w:r>
        <w:rPr>
          <w:noProof/>
        </w:rPr>
        <w:fldChar w:fldCharType="separate"/>
      </w:r>
      <w:r>
        <w:rPr>
          <w:noProof/>
        </w:rPr>
        <w:t>19</w:t>
      </w:r>
      <w:r>
        <w:rPr>
          <w:noProof/>
        </w:rPr>
        <w:fldChar w:fldCharType="end"/>
      </w:r>
    </w:p>
    <w:p w14:paraId="60A76C45" w14:textId="77777777" w:rsidR="0043479F" w:rsidRDefault="0043479F">
      <w:pPr>
        <w:pStyle w:val="TOC3"/>
        <w:tabs>
          <w:tab w:val="left" w:pos="144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1.</w:t>
      </w:r>
      <w:r>
        <w:rPr>
          <w:rFonts w:eastAsiaTheme="minorEastAsia" w:cstheme="minorBidi"/>
          <w:noProof/>
          <w:sz w:val="22"/>
          <w:szCs w:val="22"/>
          <w:lang w:val="en-GB" w:eastAsia="en-GB"/>
        </w:rPr>
        <w:tab/>
      </w:r>
      <w:r w:rsidRPr="00774DDE">
        <w:rPr>
          <w:rFonts w:ascii="Times New Roman" w:hAnsi="Times New Roman"/>
          <w:noProof/>
          <w:lang w:val="en-GB"/>
        </w:rPr>
        <w:t>Promoting transparency and access to information through the use of ICTs</w:t>
      </w:r>
      <w:r>
        <w:rPr>
          <w:noProof/>
        </w:rPr>
        <w:tab/>
      </w:r>
      <w:r>
        <w:rPr>
          <w:noProof/>
        </w:rPr>
        <w:fldChar w:fldCharType="begin"/>
      </w:r>
      <w:r>
        <w:rPr>
          <w:noProof/>
        </w:rPr>
        <w:instrText xml:space="preserve"> PAGEREF _Toc509931731 \h </w:instrText>
      </w:r>
      <w:r>
        <w:rPr>
          <w:noProof/>
        </w:rPr>
      </w:r>
      <w:r>
        <w:rPr>
          <w:noProof/>
        </w:rPr>
        <w:fldChar w:fldCharType="separate"/>
      </w:r>
      <w:r>
        <w:rPr>
          <w:noProof/>
        </w:rPr>
        <w:t>20</w:t>
      </w:r>
      <w:r>
        <w:rPr>
          <w:noProof/>
        </w:rPr>
        <w:fldChar w:fldCharType="end"/>
      </w:r>
    </w:p>
    <w:p w14:paraId="11F18509" w14:textId="77777777" w:rsidR="0043479F" w:rsidRDefault="0043479F">
      <w:pPr>
        <w:pStyle w:val="TOC3"/>
        <w:tabs>
          <w:tab w:val="left" w:pos="1440"/>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2.</w:t>
      </w:r>
      <w:r>
        <w:rPr>
          <w:rFonts w:eastAsiaTheme="minorEastAsia" w:cstheme="minorBidi"/>
          <w:noProof/>
          <w:sz w:val="22"/>
          <w:szCs w:val="22"/>
          <w:lang w:val="en-GB" w:eastAsia="en-GB"/>
        </w:rPr>
        <w:tab/>
      </w:r>
      <w:r w:rsidRPr="00774DDE">
        <w:rPr>
          <w:rFonts w:ascii="Times New Roman" w:hAnsi="Times New Roman"/>
          <w:noProof/>
          <w:lang w:val="en-GB"/>
        </w:rPr>
        <w:t>Involvement in the consultation process</w:t>
      </w:r>
      <w:r>
        <w:rPr>
          <w:noProof/>
        </w:rPr>
        <w:tab/>
      </w:r>
      <w:r>
        <w:rPr>
          <w:noProof/>
        </w:rPr>
        <w:fldChar w:fldCharType="begin"/>
      </w:r>
      <w:r>
        <w:rPr>
          <w:noProof/>
        </w:rPr>
        <w:instrText xml:space="preserve"> PAGEREF _Toc509931732 \h </w:instrText>
      </w:r>
      <w:r>
        <w:rPr>
          <w:noProof/>
        </w:rPr>
      </w:r>
      <w:r>
        <w:rPr>
          <w:noProof/>
        </w:rPr>
        <w:fldChar w:fldCharType="separate"/>
      </w:r>
      <w:r>
        <w:rPr>
          <w:noProof/>
        </w:rPr>
        <w:t>21</w:t>
      </w:r>
      <w:r>
        <w:rPr>
          <w:noProof/>
        </w:rPr>
        <w:fldChar w:fldCharType="end"/>
      </w:r>
    </w:p>
    <w:p w14:paraId="7989684F" w14:textId="77777777" w:rsidR="0043479F" w:rsidRDefault="0043479F">
      <w:pPr>
        <w:pStyle w:val="TOC3"/>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3. Access to the decision-making process</w:t>
      </w:r>
      <w:r>
        <w:rPr>
          <w:noProof/>
        </w:rPr>
        <w:tab/>
      </w:r>
      <w:r>
        <w:rPr>
          <w:noProof/>
        </w:rPr>
        <w:fldChar w:fldCharType="begin"/>
      </w:r>
      <w:r>
        <w:rPr>
          <w:noProof/>
        </w:rPr>
        <w:instrText xml:space="preserve"> PAGEREF _Toc509931733 \h </w:instrText>
      </w:r>
      <w:r>
        <w:rPr>
          <w:noProof/>
        </w:rPr>
      </w:r>
      <w:r>
        <w:rPr>
          <w:noProof/>
        </w:rPr>
        <w:fldChar w:fldCharType="separate"/>
      </w:r>
      <w:r>
        <w:rPr>
          <w:noProof/>
        </w:rPr>
        <w:t>2</w:t>
      </w:r>
      <w:r>
        <w:rPr>
          <w:noProof/>
        </w:rPr>
        <w:t>2</w:t>
      </w:r>
      <w:r>
        <w:rPr>
          <w:noProof/>
        </w:rPr>
        <w:fldChar w:fldCharType="end"/>
      </w:r>
    </w:p>
    <w:p w14:paraId="277387D3" w14:textId="77777777" w:rsidR="0043479F" w:rsidRDefault="0043479F">
      <w:pPr>
        <w:pStyle w:val="TOC1"/>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III. Participation beyond the State level</w:t>
      </w:r>
      <w:r>
        <w:rPr>
          <w:noProof/>
        </w:rPr>
        <w:tab/>
      </w:r>
      <w:r>
        <w:rPr>
          <w:noProof/>
        </w:rPr>
        <w:fldChar w:fldCharType="begin"/>
      </w:r>
      <w:r>
        <w:rPr>
          <w:noProof/>
        </w:rPr>
        <w:instrText xml:space="preserve"> PAGEREF _Toc509931734 \h </w:instrText>
      </w:r>
      <w:r>
        <w:rPr>
          <w:noProof/>
        </w:rPr>
      </w:r>
      <w:r>
        <w:rPr>
          <w:noProof/>
        </w:rPr>
        <w:fldChar w:fldCharType="separate"/>
      </w:r>
      <w:r>
        <w:rPr>
          <w:noProof/>
        </w:rPr>
        <w:t>23</w:t>
      </w:r>
      <w:r>
        <w:rPr>
          <w:noProof/>
        </w:rPr>
        <w:fldChar w:fldCharType="end"/>
      </w:r>
    </w:p>
    <w:p w14:paraId="162E7D80" w14:textId="77777777" w:rsidR="0043479F" w:rsidRDefault="0043479F">
      <w:pPr>
        <w:pStyle w:val="TOC1"/>
        <w:tabs>
          <w:tab w:val="right" w:leader="dot" w:pos="9054"/>
        </w:tabs>
        <w:rPr>
          <w:rFonts w:eastAsiaTheme="minorEastAsia" w:cstheme="minorBidi"/>
          <w:noProof/>
          <w:sz w:val="22"/>
          <w:szCs w:val="22"/>
          <w:lang w:val="en-GB" w:eastAsia="en-GB"/>
        </w:rPr>
      </w:pPr>
      <w:r w:rsidRPr="00774DDE">
        <w:rPr>
          <w:rFonts w:ascii="Times New Roman" w:hAnsi="Times New Roman"/>
          <w:noProof/>
          <w:lang w:val="en-GB"/>
        </w:rPr>
        <w:t>Conclusion</w:t>
      </w:r>
      <w:r>
        <w:rPr>
          <w:noProof/>
        </w:rPr>
        <w:tab/>
      </w:r>
      <w:r>
        <w:rPr>
          <w:noProof/>
        </w:rPr>
        <w:fldChar w:fldCharType="begin"/>
      </w:r>
      <w:r>
        <w:rPr>
          <w:noProof/>
        </w:rPr>
        <w:instrText xml:space="preserve"> PAGEREF _Toc509931735 \h </w:instrText>
      </w:r>
      <w:r>
        <w:rPr>
          <w:noProof/>
        </w:rPr>
      </w:r>
      <w:r>
        <w:rPr>
          <w:noProof/>
        </w:rPr>
        <w:fldChar w:fldCharType="separate"/>
      </w:r>
      <w:r>
        <w:rPr>
          <w:noProof/>
        </w:rPr>
        <w:t>26</w:t>
      </w:r>
      <w:r>
        <w:rPr>
          <w:noProof/>
        </w:rPr>
        <w:fldChar w:fldCharType="end"/>
      </w:r>
    </w:p>
    <w:p w14:paraId="109154CB" w14:textId="77777777" w:rsidR="0043479F" w:rsidRDefault="0043479F">
      <w:pPr>
        <w:pStyle w:val="TOC1"/>
        <w:tabs>
          <w:tab w:val="right" w:leader="dot" w:pos="9054"/>
        </w:tabs>
        <w:rPr>
          <w:rFonts w:eastAsiaTheme="minorEastAsia" w:cstheme="minorBidi"/>
          <w:noProof/>
          <w:sz w:val="22"/>
          <w:szCs w:val="22"/>
          <w:lang w:val="en-GB" w:eastAsia="en-GB"/>
        </w:rPr>
      </w:pPr>
      <w:r w:rsidRPr="00774DDE">
        <w:rPr>
          <w:rFonts w:ascii="Times New Roman" w:hAnsi="Times New Roman"/>
          <w:noProof/>
        </w:rPr>
        <w:t>Annex 1: Women in National Parliaments</w:t>
      </w:r>
      <w:r>
        <w:rPr>
          <w:noProof/>
        </w:rPr>
        <w:tab/>
      </w:r>
      <w:r>
        <w:rPr>
          <w:noProof/>
        </w:rPr>
        <w:fldChar w:fldCharType="begin"/>
      </w:r>
      <w:r>
        <w:rPr>
          <w:noProof/>
        </w:rPr>
        <w:instrText xml:space="preserve"> PAGEREF _Toc509931736 \h </w:instrText>
      </w:r>
      <w:r>
        <w:rPr>
          <w:noProof/>
        </w:rPr>
      </w:r>
      <w:r>
        <w:rPr>
          <w:noProof/>
        </w:rPr>
        <w:fldChar w:fldCharType="separate"/>
      </w:r>
      <w:r>
        <w:rPr>
          <w:noProof/>
        </w:rPr>
        <w:t>27</w:t>
      </w:r>
      <w:r>
        <w:rPr>
          <w:noProof/>
        </w:rPr>
        <w:fldChar w:fldCharType="end"/>
      </w:r>
    </w:p>
    <w:p w14:paraId="326EB98D" w14:textId="77777777" w:rsidR="0043479F" w:rsidRPr="0043479F" w:rsidRDefault="0043479F">
      <w:pPr>
        <w:pStyle w:val="TOC1"/>
        <w:tabs>
          <w:tab w:val="right" w:leader="dot" w:pos="9054"/>
        </w:tabs>
        <w:rPr>
          <w:rFonts w:eastAsiaTheme="minorEastAsia" w:cstheme="minorBidi"/>
          <w:noProof/>
          <w:sz w:val="22"/>
          <w:szCs w:val="22"/>
          <w:lang w:val="fr-CH" w:eastAsia="en-GB"/>
        </w:rPr>
      </w:pPr>
      <w:r w:rsidRPr="0043479F">
        <w:rPr>
          <w:rFonts w:ascii="Times New Roman" w:hAnsi="Times New Roman"/>
          <w:noProof/>
          <w:lang w:val="fr-CH"/>
        </w:rPr>
        <w:t>Annex 2: Gender Quotas</w:t>
      </w:r>
      <w:r w:rsidRPr="0043479F">
        <w:rPr>
          <w:noProof/>
          <w:lang w:val="fr-CH"/>
        </w:rPr>
        <w:tab/>
      </w:r>
      <w:r>
        <w:rPr>
          <w:noProof/>
        </w:rPr>
        <w:fldChar w:fldCharType="begin"/>
      </w:r>
      <w:r w:rsidRPr="0043479F">
        <w:rPr>
          <w:noProof/>
          <w:lang w:val="fr-CH"/>
        </w:rPr>
        <w:instrText xml:space="preserve"> PAGEREF _Toc509931737 \h </w:instrText>
      </w:r>
      <w:r>
        <w:rPr>
          <w:noProof/>
        </w:rPr>
      </w:r>
      <w:r>
        <w:rPr>
          <w:noProof/>
        </w:rPr>
        <w:fldChar w:fldCharType="separate"/>
      </w:r>
      <w:r w:rsidRPr="0043479F">
        <w:rPr>
          <w:noProof/>
          <w:lang w:val="fr-CH"/>
        </w:rPr>
        <w:t>2</w:t>
      </w:r>
      <w:r w:rsidRPr="0043479F">
        <w:rPr>
          <w:noProof/>
          <w:lang w:val="fr-CH"/>
        </w:rPr>
        <w:t>8</w:t>
      </w:r>
      <w:r>
        <w:rPr>
          <w:noProof/>
        </w:rPr>
        <w:fldChar w:fldCharType="end"/>
      </w:r>
    </w:p>
    <w:p w14:paraId="5CD12CD7" w14:textId="77777777" w:rsidR="0043479F" w:rsidRPr="0043479F" w:rsidRDefault="0043479F">
      <w:pPr>
        <w:pStyle w:val="TOC1"/>
        <w:tabs>
          <w:tab w:val="right" w:leader="dot" w:pos="9054"/>
        </w:tabs>
        <w:rPr>
          <w:rFonts w:eastAsiaTheme="minorEastAsia" w:cstheme="minorBidi"/>
          <w:noProof/>
          <w:sz w:val="22"/>
          <w:szCs w:val="22"/>
          <w:lang w:val="fr-CH" w:eastAsia="en-GB"/>
        </w:rPr>
      </w:pPr>
      <w:r w:rsidRPr="0043479F">
        <w:rPr>
          <w:rFonts w:ascii="Times New Roman" w:hAnsi="Times New Roman"/>
          <w:noProof/>
          <w:lang w:val="fr-CH"/>
        </w:rPr>
        <w:t>Annex 3: Relevant Applicable Standards</w:t>
      </w:r>
      <w:r w:rsidRPr="0043479F">
        <w:rPr>
          <w:noProof/>
          <w:lang w:val="fr-CH"/>
        </w:rPr>
        <w:tab/>
      </w:r>
      <w:r>
        <w:rPr>
          <w:noProof/>
        </w:rPr>
        <w:fldChar w:fldCharType="begin"/>
      </w:r>
      <w:r w:rsidRPr="0043479F">
        <w:rPr>
          <w:noProof/>
          <w:lang w:val="fr-CH"/>
        </w:rPr>
        <w:instrText xml:space="preserve"> PAGEREF _Toc509931738 \h </w:instrText>
      </w:r>
      <w:r>
        <w:rPr>
          <w:noProof/>
        </w:rPr>
      </w:r>
      <w:r>
        <w:rPr>
          <w:noProof/>
        </w:rPr>
        <w:fldChar w:fldCharType="separate"/>
      </w:r>
      <w:r w:rsidRPr="0043479F">
        <w:rPr>
          <w:noProof/>
          <w:lang w:val="fr-CH"/>
        </w:rPr>
        <w:t>2</w:t>
      </w:r>
      <w:r w:rsidRPr="0043479F">
        <w:rPr>
          <w:noProof/>
          <w:lang w:val="fr-CH"/>
        </w:rPr>
        <w:t>9</w:t>
      </w:r>
      <w:r>
        <w:rPr>
          <w:noProof/>
        </w:rPr>
        <w:fldChar w:fldCharType="end"/>
      </w:r>
    </w:p>
    <w:p w14:paraId="3C2A1CCC" w14:textId="63B88424" w:rsidR="00DA6709" w:rsidRPr="0043479F" w:rsidRDefault="008A003F" w:rsidP="006A6325">
      <w:pPr>
        <w:tabs>
          <w:tab w:val="center" w:pos="4674"/>
          <w:tab w:val="left" w:pos="5085"/>
        </w:tabs>
        <w:ind w:firstLine="284"/>
        <w:rPr>
          <w:b/>
          <w:lang w:val="fr-CH"/>
        </w:rPr>
      </w:pPr>
      <w:r w:rsidRPr="00E05E56">
        <w:rPr>
          <w:b/>
          <w:lang w:val="fr-FR"/>
        </w:rPr>
        <w:fldChar w:fldCharType="end"/>
      </w:r>
      <w:r w:rsidR="006A6325">
        <w:rPr>
          <w:b/>
          <w:lang w:val="fr-FR"/>
        </w:rPr>
        <w:tab/>
      </w:r>
    </w:p>
    <w:p w14:paraId="369F843E" w14:textId="77777777" w:rsidR="00D66B2D" w:rsidRPr="0043479F" w:rsidRDefault="00D66B2D">
      <w:pPr>
        <w:rPr>
          <w:b/>
          <w:lang w:val="fr-CH"/>
        </w:rPr>
      </w:pPr>
      <w:r w:rsidRPr="0043479F">
        <w:rPr>
          <w:b/>
          <w:lang w:val="fr-CH"/>
        </w:rPr>
        <w:br w:type="page"/>
      </w:r>
      <w:bookmarkStart w:id="0" w:name="_GoBack"/>
      <w:bookmarkEnd w:id="0"/>
    </w:p>
    <w:p w14:paraId="18A41E5D" w14:textId="0730F9A0" w:rsidR="00BD3DC7" w:rsidRDefault="00BD3DC7" w:rsidP="00BD3DC7">
      <w:pPr>
        <w:jc w:val="center"/>
        <w:rPr>
          <w:b/>
        </w:rPr>
      </w:pPr>
      <w:r>
        <w:rPr>
          <w:b/>
        </w:rPr>
        <w:lastRenderedPageBreak/>
        <w:t>List of abbreviations</w:t>
      </w:r>
    </w:p>
    <w:p w14:paraId="6B2D9420" w14:textId="77777777" w:rsidR="00BD3DC7" w:rsidRDefault="00BD3DC7" w:rsidP="00BD3DC7">
      <w:pPr>
        <w:jc w:val="both"/>
      </w:pPr>
    </w:p>
    <w:p w14:paraId="4E986E42" w14:textId="77777777" w:rsidR="00BD3DC7" w:rsidRDefault="00BD3DC7" w:rsidP="00BD3DC7">
      <w:pPr>
        <w:ind w:left="709" w:hanging="709"/>
        <w:jc w:val="both"/>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6180"/>
      </w:tblGrid>
      <w:tr w:rsidR="00BD3DC7" w14:paraId="33FBB9CB" w14:textId="77777777" w:rsidTr="0043479F">
        <w:tc>
          <w:tcPr>
            <w:tcW w:w="2121" w:type="dxa"/>
          </w:tcPr>
          <w:p w14:paraId="48CAC3B3" w14:textId="77777777" w:rsidR="00BD3DC7" w:rsidRDefault="00BD3DC7" w:rsidP="0043479F">
            <w:pPr>
              <w:jc w:val="both"/>
            </w:pPr>
            <w:r>
              <w:t>ACFC</w:t>
            </w:r>
          </w:p>
        </w:tc>
        <w:tc>
          <w:tcPr>
            <w:tcW w:w="6180" w:type="dxa"/>
          </w:tcPr>
          <w:p w14:paraId="25C28F2F" w14:textId="77777777" w:rsidR="00BD3DC7" w:rsidRDefault="00BD3DC7" w:rsidP="0043479F">
            <w:pPr>
              <w:jc w:val="both"/>
            </w:pPr>
            <w:r w:rsidRPr="003E197D">
              <w:t>Advisory Committee on the Framework Convention for the Protection of National Minorities</w:t>
            </w:r>
          </w:p>
        </w:tc>
      </w:tr>
      <w:tr w:rsidR="00BD3DC7" w14:paraId="5ACF51A8" w14:textId="77777777" w:rsidTr="0043479F">
        <w:tc>
          <w:tcPr>
            <w:tcW w:w="2121" w:type="dxa"/>
          </w:tcPr>
          <w:p w14:paraId="5B1371AB" w14:textId="77777777" w:rsidR="00BD3DC7" w:rsidRDefault="00BD3DC7" w:rsidP="0043479F">
            <w:pPr>
              <w:jc w:val="both"/>
            </w:pPr>
            <w:r>
              <w:t>CERD</w:t>
            </w:r>
          </w:p>
        </w:tc>
        <w:tc>
          <w:tcPr>
            <w:tcW w:w="6180" w:type="dxa"/>
          </w:tcPr>
          <w:p w14:paraId="13FC8D8F" w14:textId="77777777" w:rsidR="00BD3DC7" w:rsidRDefault="00BD3DC7" w:rsidP="0043479F">
            <w:pPr>
              <w:jc w:val="both"/>
            </w:pPr>
            <w:r>
              <w:t>Convention/Committee on the Elimination of Racial Discrimination</w:t>
            </w:r>
          </w:p>
        </w:tc>
      </w:tr>
      <w:tr w:rsidR="00BD3DC7" w14:paraId="3CD58002" w14:textId="77777777" w:rsidTr="0043479F">
        <w:tc>
          <w:tcPr>
            <w:tcW w:w="2121" w:type="dxa"/>
          </w:tcPr>
          <w:p w14:paraId="5E7C8866" w14:textId="77777777" w:rsidR="00BD3DC7" w:rsidRDefault="00BD3DC7" w:rsidP="0043479F">
            <w:pPr>
              <w:jc w:val="both"/>
            </w:pPr>
            <w:r>
              <w:t>CESCR</w:t>
            </w:r>
          </w:p>
        </w:tc>
        <w:tc>
          <w:tcPr>
            <w:tcW w:w="6180" w:type="dxa"/>
          </w:tcPr>
          <w:p w14:paraId="6A89A03F" w14:textId="77777777" w:rsidR="00BD3DC7" w:rsidRDefault="00BD3DC7" w:rsidP="0043479F">
            <w:pPr>
              <w:jc w:val="both"/>
            </w:pPr>
            <w:r>
              <w:t>Convention/</w:t>
            </w:r>
            <w:r w:rsidRPr="00927821">
              <w:t>Committee on Economic, Social and Cultural Rights</w:t>
            </w:r>
          </w:p>
        </w:tc>
      </w:tr>
      <w:tr w:rsidR="00BD3DC7" w14:paraId="19B09AD2" w14:textId="77777777" w:rsidTr="0043479F">
        <w:tc>
          <w:tcPr>
            <w:tcW w:w="2121" w:type="dxa"/>
          </w:tcPr>
          <w:p w14:paraId="659C8E83" w14:textId="77777777" w:rsidR="00BD3DC7" w:rsidRDefault="00BD3DC7" w:rsidP="0043479F">
            <w:pPr>
              <w:jc w:val="both"/>
            </w:pPr>
            <w:r>
              <w:t>CJEU</w:t>
            </w:r>
          </w:p>
        </w:tc>
        <w:tc>
          <w:tcPr>
            <w:tcW w:w="6180" w:type="dxa"/>
          </w:tcPr>
          <w:p w14:paraId="421423DD" w14:textId="77777777" w:rsidR="00BD3DC7" w:rsidRDefault="00BD3DC7" w:rsidP="0043479F">
            <w:pPr>
              <w:jc w:val="both"/>
            </w:pPr>
            <w:r w:rsidRPr="00927821">
              <w:t>Court of Justice of the European Union</w:t>
            </w:r>
          </w:p>
        </w:tc>
      </w:tr>
      <w:tr w:rsidR="00BD3DC7" w14:paraId="3908C047" w14:textId="77777777" w:rsidTr="0043479F">
        <w:tc>
          <w:tcPr>
            <w:tcW w:w="2121" w:type="dxa"/>
          </w:tcPr>
          <w:p w14:paraId="27303359" w14:textId="77777777" w:rsidR="00BD3DC7" w:rsidRDefault="00BD3DC7" w:rsidP="0043479F">
            <w:pPr>
              <w:jc w:val="both"/>
            </w:pPr>
            <w:proofErr w:type="spellStart"/>
            <w:r>
              <w:t>CoE</w:t>
            </w:r>
            <w:proofErr w:type="spellEnd"/>
          </w:p>
        </w:tc>
        <w:tc>
          <w:tcPr>
            <w:tcW w:w="6180" w:type="dxa"/>
          </w:tcPr>
          <w:p w14:paraId="7F2E94A0" w14:textId="77777777" w:rsidR="00BD3DC7" w:rsidRPr="00927821" w:rsidRDefault="00BD3DC7" w:rsidP="0043479F">
            <w:pPr>
              <w:jc w:val="both"/>
            </w:pPr>
            <w:r>
              <w:t>Council of Europe</w:t>
            </w:r>
          </w:p>
        </w:tc>
      </w:tr>
      <w:tr w:rsidR="00BD3DC7" w14:paraId="5B4D2267" w14:textId="77777777" w:rsidTr="0043479F">
        <w:tc>
          <w:tcPr>
            <w:tcW w:w="2121" w:type="dxa"/>
          </w:tcPr>
          <w:p w14:paraId="1FC52AE7" w14:textId="77777777" w:rsidR="00BD3DC7" w:rsidRDefault="00BD3DC7" w:rsidP="0043479F">
            <w:pPr>
              <w:jc w:val="both"/>
            </w:pPr>
            <w:r>
              <w:t>CRDP</w:t>
            </w:r>
          </w:p>
        </w:tc>
        <w:tc>
          <w:tcPr>
            <w:tcW w:w="6180" w:type="dxa"/>
          </w:tcPr>
          <w:p w14:paraId="6A0BA1DA" w14:textId="77777777" w:rsidR="00BD3DC7" w:rsidRDefault="00BD3DC7" w:rsidP="0043479F">
            <w:pPr>
              <w:jc w:val="both"/>
            </w:pPr>
            <w:r>
              <w:t>Convention/</w:t>
            </w:r>
            <w:r w:rsidRPr="00927821">
              <w:t>Committee on the Rights of Persons with Disabilities</w:t>
            </w:r>
          </w:p>
        </w:tc>
      </w:tr>
      <w:tr w:rsidR="00BD3DC7" w14:paraId="7277A55E" w14:textId="77777777" w:rsidTr="0043479F">
        <w:tc>
          <w:tcPr>
            <w:tcW w:w="2121" w:type="dxa"/>
          </w:tcPr>
          <w:p w14:paraId="392DAD13" w14:textId="77777777" w:rsidR="00BD3DC7" w:rsidRDefault="00BD3DC7" w:rsidP="0043479F">
            <w:pPr>
              <w:jc w:val="both"/>
            </w:pPr>
            <w:r>
              <w:t>ECHR</w:t>
            </w:r>
          </w:p>
        </w:tc>
        <w:tc>
          <w:tcPr>
            <w:tcW w:w="6180" w:type="dxa"/>
          </w:tcPr>
          <w:p w14:paraId="28557BB5" w14:textId="77777777" w:rsidR="00BD3DC7" w:rsidRDefault="00BD3DC7" w:rsidP="0043479F">
            <w:pPr>
              <w:jc w:val="both"/>
            </w:pPr>
            <w:r>
              <w:t>European Convention on Human Rights</w:t>
            </w:r>
          </w:p>
        </w:tc>
      </w:tr>
      <w:tr w:rsidR="00BD3DC7" w14:paraId="15B3ADCC" w14:textId="77777777" w:rsidTr="0043479F">
        <w:tc>
          <w:tcPr>
            <w:tcW w:w="2121" w:type="dxa"/>
          </w:tcPr>
          <w:p w14:paraId="73100673" w14:textId="77777777" w:rsidR="00BD3DC7" w:rsidRDefault="00BD3DC7" w:rsidP="0043479F">
            <w:pPr>
              <w:jc w:val="both"/>
            </w:pPr>
            <w:proofErr w:type="spellStart"/>
            <w:r>
              <w:t>ECtHR</w:t>
            </w:r>
            <w:proofErr w:type="spellEnd"/>
          </w:p>
        </w:tc>
        <w:tc>
          <w:tcPr>
            <w:tcW w:w="6180" w:type="dxa"/>
          </w:tcPr>
          <w:p w14:paraId="48D45AFE" w14:textId="77777777" w:rsidR="00BD3DC7" w:rsidRDefault="00BD3DC7" w:rsidP="0043479F">
            <w:pPr>
              <w:jc w:val="both"/>
            </w:pPr>
            <w:r>
              <w:t>European Court of Human Rights</w:t>
            </w:r>
          </w:p>
        </w:tc>
      </w:tr>
      <w:tr w:rsidR="00BD3DC7" w14:paraId="26E6E005" w14:textId="77777777" w:rsidTr="0043479F">
        <w:tc>
          <w:tcPr>
            <w:tcW w:w="2121" w:type="dxa"/>
          </w:tcPr>
          <w:p w14:paraId="291F37B0" w14:textId="77777777" w:rsidR="00BD3DC7" w:rsidRDefault="00BD3DC7" w:rsidP="0043479F">
            <w:pPr>
              <w:jc w:val="both"/>
            </w:pPr>
            <w:r>
              <w:t>ECRI</w:t>
            </w:r>
          </w:p>
        </w:tc>
        <w:tc>
          <w:tcPr>
            <w:tcW w:w="6180" w:type="dxa"/>
          </w:tcPr>
          <w:p w14:paraId="2DA826D7" w14:textId="77777777" w:rsidR="00BD3DC7" w:rsidRDefault="00BD3DC7" w:rsidP="0043479F">
            <w:pPr>
              <w:jc w:val="both"/>
            </w:pPr>
            <w:r w:rsidRPr="00927821">
              <w:t>European Commission Against Racism and Intolerance</w:t>
            </w:r>
          </w:p>
        </w:tc>
      </w:tr>
      <w:tr w:rsidR="00BD3DC7" w14:paraId="6766FB88" w14:textId="77777777" w:rsidTr="0043479F">
        <w:tc>
          <w:tcPr>
            <w:tcW w:w="2121" w:type="dxa"/>
          </w:tcPr>
          <w:p w14:paraId="022CF876" w14:textId="77777777" w:rsidR="00BD3DC7" w:rsidRDefault="00BD3DC7" w:rsidP="0043479F">
            <w:pPr>
              <w:jc w:val="both"/>
            </w:pPr>
            <w:r>
              <w:t>ESCR</w:t>
            </w:r>
          </w:p>
        </w:tc>
        <w:tc>
          <w:tcPr>
            <w:tcW w:w="6180" w:type="dxa"/>
          </w:tcPr>
          <w:p w14:paraId="124475C7" w14:textId="77777777" w:rsidR="00BD3DC7" w:rsidRDefault="00BD3DC7" w:rsidP="0043479F">
            <w:pPr>
              <w:jc w:val="both"/>
            </w:pPr>
            <w:r w:rsidRPr="00CA4C34">
              <w:t>European Committee on Social Rights</w:t>
            </w:r>
          </w:p>
        </w:tc>
      </w:tr>
      <w:tr w:rsidR="00BD3DC7" w14:paraId="7893439D" w14:textId="77777777" w:rsidTr="0043479F">
        <w:tc>
          <w:tcPr>
            <w:tcW w:w="2121" w:type="dxa"/>
          </w:tcPr>
          <w:p w14:paraId="74CC6FA3" w14:textId="77777777" w:rsidR="00BD3DC7" w:rsidRDefault="00BD3DC7" w:rsidP="0043479F">
            <w:pPr>
              <w:jc w:val="both"/>
            </w:pPr>
            <w:r>
              <w:t>EU</w:t>
            </w:r>
          </w:p>
        </w:tc>
        <w:tc>
          <w:tcPr>
            <w:tcW w:w="6180" w:type="dxa"/>
          </w:tcPr>
          <w:p w14:paraId="61E3BB3F" w14:textId="77777777" w:rsidR="00BD3DC7" w:rsidRDefault="00BD3DC7" w:rsidP="0043479F">
            <w:pPr>
              <w:jc w:val="both"/>
            </w:pPr>
            <w:r>
              <w:t>European Union</w:t>
            </w:r>
          </w:p>
        </w:tc>
      </w:tr>
      <w:tr w:rsidR="00BD3DC7" w14:paraId="35D3C6BE" w14:textId="77777777" w:rsidTr="0043479F">
        <w:tc>
          <w:tcPr>
            <w:tcW w:w="2121" w:type="dxa"/>
          </w:tcPr>
          <w:p w14:paraId="4495D52C" w14:textId="77777777" w:rsidR="00BD3DC7" w:rsidRDefault="00BD3DC7" w:rsidP="0043479F">
            <w:pPr>
              <w:jc w:val="both"/>
            </w:pPr>
            <w:r>
              <w:t>FRA</w:t>
            </w:r>
          </w:p>
        </w:tc>
        <w:tc>
          <w:tcPr>
            <w:tcW w:w="6180" w:type="dxa"/>
          </w:tcPr>
          <w:p w14:paraId="431FCBA1" w14:textId="77777777" w:rsidR="00BD3DC7" w:rsidRDefault="00BD3DC7" w:rsidP="0043479F">
            <w:pPr>
              <w:jc w:val="both"/>
            </w:pPr>
            <w:r>
              <w:t>European Union Agency for Fundamental Rights</w:t>
            </w:r>
          </w:p>
        </w:tc>
      </w:tr>
      <w:tr w:rsidR="00BD3DC7" w14:paraId="4AB18E89" w14:textId="77777777" w:rsidTr="0043479F">
        <w:tc>
          <w:tcPr>
            <w:tcW w:w="2121" w:type="dxa"/>
          </w:tcPr>
          <w:p w14:paraId="187C260A" w14:textId="77777777" w:rsidR="00BD3DC7" w:rsidRDefault="00BD3DC7" w:rsidP="0043479F">
            <w:pPr>
              <w:jc w:val="both"/>
            </w:pPr>
            <w:r>
              <w:t>ICCPR</w:t>
            </w:r>
          </w:p>
        </w:tc>
        <w:tc>
          <w:tcPr>
            <w:tcW w:w="6180" w:type="dxa"/>
          </w:tcPr>
          <w:p w14:paraId="6DCC1E41" w14:textId="77777777" w:rsidR="00BD3DC7" w:rsidRDefault="00BD3DC7" w:rsidP="0043479F">
            <w:pPr>
              <w:jc w:val="both"/>
            </w:pPr>
            <w:r>
              <w:t>International Covenant on Civil and Political Rights</w:t>
            </w:r>
          </w:p>
        </w:tc>
      </w:tr>
      <w:tr w:rsidR="00BD3DC7" w14:paraId="2A8126FD" w14:textId="77777777" w:rsidTr="0043479F">
        <w:tc>
          <w:tcPr>
            <w:tcW w:w="2121" w:type="dxa"/>
          </w:tcPr>
          <w:p w14:paraId="18B5FF67" w14:textId="77777777" w:rsidR="00BD3DC7" w:rsidRDefault="00BD3DC7" w:rsidP="0043479F">
            <w:pPr>
              <w:jc w:val="both"/>
            </w:pPr>
            <w:r>
              <w:t>OSCE</w:t>
            </w:r>
          </w:p>
        </w:tc>
        <w:tc>
          <w:tcPr>
            <w:tcW w:w="6180" w:type="dxa"/>
          </w:tcPr>
          <w:p w14:paraId="1913DFE6" w14:textId="77777777" w:rsidR="00BD3DC7" w:rsidRDefault="00BD3DC7" w:rsidP="0043479F">
            <w:pPr>
              <w:jc w:val="both"/>
            </w:pPr>
            <w:r>
              <w:t>Organization for Security and Co-operation in Europe</w:t>
            </w:r>
          </w:p>
        </w:tc>
      </w:tr>
      <w:tr w:rsidR="00BD3DC7" w14:paraId="313BEEB3" w14:textId="77777777" w:rsidTr="0043479F">
        <w:tc>
          <w:tcPr>
            <w:tcW w:w="2121" w:type="dxa"/>
          </w:tcPr>
          <w:p w14:paraId="37C186BC" w14:textId="77777777" w:rsidR="00BD3DC7" w:rsidRDefault="00BD3DC7" w:rsidP="0043479F">
            <w:pPr>
              <w:jc w:val="both"/>
            </w:pPr>
            <w:r>
              <w:t>UDHR</w:t>
            </w:r>
          </w:p>
        </w:tc>
        <w:tc>
          <w:tcPr>
            <w:tcW w:w="6180" w:type="dxa"/>
          </w:tcPr>
          <w:p w14:paraId="165AB770" w14:textId="77777777" w:rsidR="00BD3DC7" w:rsidRDefault="00BD3DC7" w:rsidP="0043479F">
            <w:pPr>
              <w:jc w:val="both"/>
            </w:pPr>
            <w:r>
              <w:t>Universal Declaration of Human Rights</w:t>
            </w:r>
          </w:p>
        </w:tc>
      </w:tr>
      <w:tr w:rsidR="00BD3DC7" w14:paraId="60607882" w14:textId="77777777" w:rsidTr="0043479F">
        <w:tc>
          <w:tcPr>
            <w:tcW w:w="2121" w:type="dxa"/>
          </w:tcPr>
          <w:p w14:paraId="6341068B" w14:textId="77777777" w:rsidR="00BD3DC7" w:rsidRDefault="00BD3DC7" w:rsidP="0043479F">
            <w:pPr>
              <w:jc w:val="both"/>
            </w:pPr>
            <w:r>
              <w:t>UN</w:t>
            </w:r>
          </w:p>
        </w:tc>
        <w:tc>
          <w:tcPr>
            <w:tcW w:w="6180" w:type="dxa"/>
          </w:tcPr>
          <w:p w14:paraId="50A4E134" w14:textId="77777777" w:rsidR="00BD3DC7" w:rsidRDefault="00BD3DC7" w:rsidP="0043479F">
            <w:pPr>
              <w:jc w:val="both"/>
            </w:pPr>
            <w:r>
              <w:t>United Nations</w:t>
            </w:r>
          </w:p>
        </w:tc>
      </w:tr>
      <w:tr w:rsidR="00BD3DC7" w14:paraId="402979F8" w14:textId="77777777" w:rsidTr="0043479F">
        <w:tc>
          <w:tcPr>
            <w:tcW w:w="2121" w:type="dxa"/>
          </w:tcPr>
          <w:p w14:paraId="6FFBED4A" w14:textId="77777777" w:rsidR="00BD3DC7" w:rsidRDefault="00BD3DC7" w:rsidP="0043479F">
            <w:pPr>
              <w:jc w:val="both"/>
            </w:pPr>
            <w:r>
              <w:t>UPR</w:t>
            </w:r>
          </w:p>
        </w:tc>
        <w:tc>
          <w:tcPr>
            <w:tcW w:w="6180" w:type="dxa"/>
          </w:tcPr>
          <w:p w14:paraId="2ECB1676" w14:textId="77777777" w:rsidR="00BD3DC7" w:rsidRDefault="00BD3DC7" w:rsidP="0043479F">
            <w:pPr>
              <w:jc w:val="both"/>
            </w:pPr>
            <w:r>
              <w:t>Universal Periodic Review</w:t>
            </w:r>
          </w:p>
        </w:tc>
      </w:tr>
      <w:tr w:rsidR="00BD3DC7" w14:paraId="5ABC02AA" w14:textId="77777777" w:rsidTr="0043479F">
        <w:tc>
          <w:tcPr>
            <w:tcW w:w="2121" w:type="dxa"/>
          </w:tcPr>
          <w:p w14:paraId="1238F56A" w14:textId="77777777" w:rsidR="00BD3DC7" w:rsidRPr="00E304B0" w:rsidRDefault="00BD3DC7" w:rsidP="0043479F">
            <w:pPr>
              <w:jc w:val="both"/>
            </w:pPr>
            <w:r w:rsidRPr="00E304B0">
              <w:t>Venice Commission</w:t>
            </w:r>
          </w:p>
        </w:tc>
        <w:tc>
          <w:tcPr>
            <w:tcW w:w="6180" w:type="dxa"/>
          </w:tcPr>
          <w:p w14:paraId="2E2BA093" w14:textId="77777777" w:rsidR="00BD3DC7" w:rsidRDefault="00BD3DC7" w:rsidP="0043479F">
            <w:r w:rsidRPr="00E304B0">
              <w:t>European Commission for Democracy through Law</w:t>
            </w:r>
          </w:p>
        </w:tc>
      </w:tr>
      <w:tr w:rsidR="00BD3DC7" w14:paraId="2995A5AA" w14:textId="77777777" w:rsidTr="0043479F">
        <w:tc>
          <w:tcPr>
            <w:tcW w:w="2121" w:type="dxa"/>
          </w:tcPr>
          <w:p w14:paraId="79BF16BC" w14:textId="77777777" w:rsidR="00BD3DC7" w:rsidRPr="00E304B0" w:rsidRDefault="00BD3DC7" w:rsidP="0043479F">
            <w:pPr>
              <w:jc w:val="both"/>
            </w:pPr>
            <w:r>
              <w:t>WEOG</w:t>
            </w:r>
          </w:p>
        </w:tc>
        <w:tc>
          <w:tcPr>
            <w:tcW w:w="6180" w:type="dxa"/>
          </w:tcPr>
          <w:p w14:paraId="32D8287A" w14:textId="77777777" w:rsidR="00BD3DC7" w:rsidRPr="00E304B0" w:rsidRDefault="00BD3DC7" w:rsidP="0043479F">
            <w:r>
              <w:t>Western European and Others Group</w:t>
            </w:r>
          </w:p>
        </w:tc>
      </w:tr>
    </w:tbl>
    <w:p w14:paraId="6D014053" w14:textId="77777777" w:rsidR="00BD3DC7" w:rsidRDefault="00BD3DC7" w:rsidP="00BD3DC7">
      <w:pPr>
        <w:ind w:left="709" w:hanging="709"/>
        <w:jc w:val="both"/>
      </w:pPr>
    </w:p>
    <w:p w14:paraId="640D9AA0" w14:textId="77777777" w:rsidR="00BD3DC7" w:rsidRPr="00927821" w:rsidRDefault="00BD3DC7" w:rsidP="00BD3DC7"/>
    <w:p w14:paraId="78F1CA4F" w14:textId="77777777" w:rsidR="00BD3DC7" w:rsidRDefault="00BD3DC7" w:rsidP="00BD3DC7"/>
    <w:p w14:paraId="6EEB1EE6" w14:textId="77777777" w:rsidR="00BD3DC7" w:rsidRDefault="00BD3DC7" w:rsidP="00BD3DC7"/>
    <w:p w14:paraId="4D0D5477" w14:textId="77777777" w:rsidR="00BD3DC7" w:rsidRDefault="00BD3DC7" w:rsidP="00BD3DC7">
      <w:pPr>
        <w:jc w:val="both"/>
      </w:pPr>
    </w:p>
    <w:p w14:paraId="136E3D43" w14:textId="77777777" w:rsidR="00BD3DC7" w:rsidRDefault="00BD3DC7" w:rsidP="00BD3DC7">
      <w:pPr>
        <w:jc w:val="both"/>
      </w:pPr>
    </w:p>
    <w:p w14:paraId="20A118F7" w14:textId="2D7BDA2B" w:rsidR="00BD3DC7" w:rsidRDefault="00BD3DC7">
      <w:pPr>
        <w:rPr>
          <w:b/>
        </w:rPr>
      </w:pPr>
    </w:p>
    <w:p w14:paraId="7CE53122" w14:textId="77777777" w:rsidR="00BD3DC7" w:rsidRDefault="00BD3DC7">
      <w:pPr>
        <w:rPr>
          <w:b/>
        </w:rPr>
      </w:pPr>
    </w:p>
    <w:p w14:paraId="7F9AE686" w14:textId="77777777" w:rsidR="00BD3DC7" w:rsidRDefault="00BD3DC7">
      <w:pPr>
        <w:rPr>
          <w:b/>
        </w:rPr>
      </w:pPr>
    </w:p>
    <w:p w14:paraId="748AA893" w14:textId="77777777" w:rsidR="00BD3DC7" w:rsidRDefault="00BD3DC7">
      <w:pPr>
        <w:rPr>
          <w:b/>
        </w:rPr>
      </w:pPr>
    </w:p>
    <w:p w14:paraId="06720006" w14:textId="77777777" w:rsidR="00BD3DC7" w:rsidRDefault="00BD3DC7">
      <w:pPr>
        <w:rPr>
          <w:b/>
        </w:rPr>
      </w:pPr>
    </w:p>
    <w:p w14:paraId="5E7799F4" w14:textId="77777777" w:rsidR="00BD3DC7" w:rsidRDefault="00BD3DC7">
      <w:pPr>
        <w:rPr>
          <w:b/>
        </w:rPr>
      </w:pPr>
    </w:p>
    <w:p w14:paraId="2D5A1330" w14:textId="77777777" w:rsidR="00BD3DC7" w:rsidRDefault="00BD3DC7">
      <w:pPr>
        <w:rPr>
          <w:b/>
        </w:rPr>
      </w:pPr>
    </w:p>
    <w:p w14:paraId="739EE157" w14:textId="77777777" w:rsidR="00BD3DC7" w:rsidRDefault="00BD3DC7">
      <w:pPr>
        <w:rPr>
          <w:b/>
        </w:rPr>
      </w:pPr>
    </w:p>
    <w:p w14:paraId="3137BCB2" w14:textId="77777777" w:rsidR="00BD3DC7" w:rsidRDefault="00BD3DC7">
      <w:pPr>
        <w:rPr>
          <w:b/>
        </w:rPr>
      </w:pPr>
    </w:p>
    <w:p w14:paraId="424EB655" w14:textId="77777777" w:rsidR="00BD3DC7" w:rsidRDefault="00BD3DC7">
      <w:pPr>
        <w:rPr>
          <w:b/>
        </w:rPr>
      </w:pPr>
    </w:p>
    <w:p w14:paraId="60B5A129" w14:textId="77777777" w:rsidR="00BD3DC7" w:rsidRDefault="00BD3DC7">
      <w:pPr>
        <w:rPr>
          <w:b/>
        </w:rPr>
      </w:pPr>
    </w:p>
    <w:p w14:paraId="32F48A45" w14:textId="77777777" w:rsidR="00BD3DC7" w:rsidRDefault="00BD3DC7">
      <w:pPr>
        <w:rPr>
          <w:b/>
        </w:rPr>
      </w:pPr>
    </w:p>
    <w:p w14:paraId="6A6953E1" w14:textId="77777777" w:rsidR="00BD3DC7" w:rsidRDefault="00BD3DC7">
      <w:pPr>
        <w:rPr>
          <w:b/>
        </w:rPr>
      </w:pPr>
    </w:p>
    <w:p w14:paraId="65C3BE45" w14:textId="77777777" w:rsidR="00BD3DC7" w:rsidRDefault="00BD3DC7">
      <w:pPr>
        <w:rPr>
          <w:b/>
        </w:rPr>
      </w:pPr>
    </w:p>
    <w:p w14:paraId="036D7167" w14:textId="77777777" w:rsidR="00D66B2D" w:rsidRPr="00E05E56" w:rsidRDefault="00D66B2D" w:rsidP="006020C0">
      <w:pPr>
        <w:ind w:firstLine="284"/>
        <w:jc w:val="center"/>
        <w:rPr>
          <w:b/>
        </w:rPr>
      </w:pPr>
    </w:p>
    <w:p w14:paraId="5F47786C" w14:textId="77777777" w:rsidR="00D66B2D" w:rsidRPr="00E05E56" w:rsidRDefault="00D66B2D" w:rsidP="00D66B2D">
      <w:pPr>
        <w:pStyle w:val="Heading1"/>
        <w:rPr>
          <w:rFonts w:ascii="Times New Roman" w:hAnsi="Times New Roman" w:cs="Times New Roman"/>
          <w:color w:val="auto"/>
          <w:lang w:val="en-GB"/>
        </w:rPr>
      </w:pPr>
      <w:bookmarkStart w:id="1" w:name="_Toc509931719"/>
      <w:r w:rsidRPr="00E05E56">
        <w:rPr>
          <w:rFonts w:ascii="Times New Roman" w:hAnsi="Times New Roman" w:cs="Times New Roman"/>
          <w:color w:val="auto"/>
          <w:lang w:val="en-GB"/>
        </w:rPr>
        <w:lastRenderedPageBreak/>
        <w:t>Introduction</w:t>
      </w:r>
      <w:bookmarkEnd w:id="1"/>
    </w:p>
    <w:p w14:paraId="53E3A605" w14:textId="77777777" w:rsidR="008F512B" w:rsidRDefault="002F0322" w:rsidP="00E05E56">
      <w:pPr>
        <w:widowControl w:val="0"/>
        <w:autoSpaceDE w:val="0"/>
        <w:autoSpaceDN w:val="0"/>
        <w:adjustRightInd w:val="0"/>
        <w:spacing w:after="240"/>
        <w:ind w:firstLine="284"/>
        <w:jc w:val="both"/>
        <w:rPr>
          <w:lang w:val="en-GB"/>
        </w:rPr>
      </w:pPr>
      <w:r w:rsidRPr="00E05E56">
        <w:rPr>
          <w:lang w:val="en-GB"/>
        </w:rPr>
        <w:t xml:space="preserve">The right to equal participation in publics affairs provided in Article 25 of the ICCPR </w:t>
      </w:r>
      <w:r w:rsidR="00934E93" w:rsidRPr="00E05E56">
        <w:rPr>
          <w:lang w:val="en-GB"/>
        </w:rPr>
        <w:t xml:space="preserve">is closely linked to the idea of democracy. </w:t>
      </w:r>
      <w:r w:rsidR="004B1E2E" w:rsidRPr="00E05E56">
        <w:rPr>
          <w:lang w:val="en-GB"/>
        </w:rPr>
        <w:t>As stated by t</w:t>
      </w:r>
      <w:r w:rsidR="00947F3E" w:rsidRPr="00E05E56">
        <w:rPr>
          <w:lang w:val="en-GB"/>
        </w:rPr>
        <w:t>he Human Rights Committee in</w:t>
      </w:r>
      <w:r w:rsidR="004B1E2E" w:rsidRPr="00E05E56">
        <w:rPr>
          <w:lang w:val="en-GB"/>
        </w:rPr>
        <w:t xml:space="preserve"> General Comment No. 25, it “lies at the core of democratic government based on the consent of the people and in conformity with the principles of the Covenant”.</w:t>
      </w:r>
      <w:r w:rsidR="00A93785" w:rsidRPr="00E05E56">
        <w:rPr>
          <w:lang w:val="en-GB"/>
        </w:rPr>
        <w:t xml:space="preserve"> Its</w:t>
      </w:r>
      <w:r w:rsidR="00934E93" w:rsidRPr="00E05E56">
        <w:rPr>
          <w:lang w:val="en-GB"/>
        </w:rPr>
        <w:t xml:space="preserve"> material scope </w:t>
      </w:r>
      <w:r w:rsidR="00A93785" w:rsidRPr="00E05E56">
        <w:rPr>
          <w:lang w:val="en-GB"/>
        </w:rPr>
        <w:t>is wide since it comprises the right of every citizen to take part in the conduct of public affairs, the right to vote and to be elected and the right to have access to public service.</w:t>
      </w:r>
      <w:r w:rsidR="000B633A" w:rsidRPr="00E05E56">
        <w:rPr>
          <w:lang w:val="en-GB"/>
        </w:rPr>
        <w:t xml:space="preserve"> </w:t>
      </w:r>
    </w:p>
    <w:p w14:paraId="5F64DF09" w14:textId="77777777" w:rsidR="008F512B" w:rsidRDefault="00237E02" w:rsidP="00E05E56">
      <w:pPr>
        <w:widowControl w:val="0"/>
        <w:autoSpaceDE w:val="0"/>
        <w:autoSpaceDN w:val="0"/>
        <w:adjustRightInd w:val="0"/>
        <w:spacing w:after="240"/>
        <w:ind w:firstLine="284"/>
        <w:jc w:val="both"/>
        <w:rPr>
          <w:rFonts w:eastAsia="Times New Roman"/>
        </w:rPr>
      </w:pPr>
      <w:r w:rsidRPr="00E05E56">
        <w:rPr>
          <w:lang w:val="en-GB"/>
        </w:rPr>
        <w:t>The Human Rights Committee has interpreted the conduct of public affairs as “</w:t>
      </w:r>
      <w:r w:rsidRPr="00E05E56">
        <w:rPr>
          <w:rFonts w:eastAsia="Times New Roman"/>
        </w:rPr>
        <w:t>a broad concept which relates to the exercise of political power, in particular the exercise of legislative, executive and administrative powers. It covers all aspects of public administration, and the formulation and implementation of policy at international, national, regional and local levels.”</w:t>
      </w:r>
      <w:r w:rsidR="00404260" w:rsidRPr="006B753A">
        <w:rPr>
          <w:rStyle w:val="FootnoteReference"/>
          <w:rFonts w:ascii="Times New Roman" w:eastAsia="Times New Roman" w:hAnsi="Times New Roman"/>
        </w:rPr>
        <w:footnoteReference w:id="3"/>
      </w:r>
      <w:r w:rsidR="00765CC9" w:rsidRPr="00E05E56">
        <w:rPr>
          <w:rFonts w:eastAsia="Times New Roman"/>
        </w:rPr>
        <w:t xml:space="preserve"> </w:t>
      </w:r>
      <w:r w:rsidR="00527304" w:rsidRPr="00E05E56">
        <w:rPr>
          <w:rFonts w:eastAsia="Times New Roman"/>
        </w:rPr>
        <w:t>The right to take part in the conduct of public affairs may be exercised directly</w:t>
      </w:r>
      <w:r w:rsidR="000C5A4B" w:rsidRPr="00E05E56">
        <w:rPr>
          <w:rFonts w:eastAsia="Times New Roman"/>
        </w:rPr>
        <w:t xml:space="preserve">, by </w:t>
      </w:r>
      <w:r w:rsidR="00D54226" w:rsidRPr="00E05E56">
        <w:rPr>
          <w:rFonts w:eastAsia="Times New Roman"/>
        </w:rPr>
        <w:t>holding legislative bodies’ positions or executive office</w:t>
      </w:r>
      <w:r w:rsidR="004376F6" w:rsidRPr="00E05E56">
        <w:rPr>
          <w:rFonts w:eastAsia="Times New Roman"/>
        </w:rPr>
        <w:t xml:space="preserve"> and through direct consultation mechanisms</w:t>
      </w:r>
      <w:r w:rsidR="00527304" w:rsidRPr="00E05E56">
        <w:rPr>
          <w:rFonts w:eastAsia="Times New Roman"/>
        </w:rPr>
        <w:t xml:space="preserve"> </w:t>
      </w:r>
      <w:r w:rsidR="000C5A4B" w:rsidRPr="00E05E56">
        <w:rPr>
          <w:rFonts w:eastAsia="Times New Roman"/>
        </w:rPr>
        <w:t>or indirectly</w:t>
      </w:r>
      <w:r w:rsidR="00556D95" w:rsidRPr="00E05E56">
        <w:rPr>
          <w:rFonts w:eastAsia="Times New Roman"/>
        </w:rPr>
        <w:t xml:space="preserve"> through freely chosen representatives but also by exerting influence through public</w:t>
      </w:r>
      <w:r w:rsidR="009479E6" w:rsidRPr="00E05E56">
        <w:rPr>
          <w:rFonts w:eastAsia="Times New Roman"/>
        </w:rPr>
        <w:t xml:space="preserve"> debate or civil society organiz</w:t>
      </w:r>
      <w:r w:rsidR="00556D95" w:rsidRPr="00E05E56">
        <w:rPr>
          <w:rFonts w:eastAsia="Times New Roman"/>
        </w:rPr>
        <w:t>ations.</w:t>
      </w:r>
      <w:r w:rsidR="009479E6" w:rsidRPr="006B753A">
        <w:rPr>
          <w:rStyle w:val="FootnoteReference"/>
          <w:rFonts w:ascii="Times New Roman" w:eastAsia="Times New Roman" w:hAnsi="Times New Roman"/>
        </w:rPr>
        <w:footnoteReference w:id="4"/>
      </w:r>
      <w:r w:rsidR="00F06AC5" w:rsidRPr="00E05E56">
        <w:rPr>
          <w:rFonts w:eastAsia="Times New Roman"/>
        </w:rPr>
        <w:t xml:space="preserve"> In other words, the conduct of public affairs entails the right to be fully involved in and to influence decision-making processes at </w:t>
      </w:r>
      <w:r w:rsidR="00520343" w:rsidRPr="00E05E56">
        <w:rPr>
          <w:rFonts w:eastAsia="Times New Roman"/>
        </w:rPr>
        <w:t xml:space="preserve">each phase of the </w:t>
      </w:r>
      <w:r w:rsidR="0045265D" w:rsidRPr="00E05E56">
        <w:rPr>
          <w:rFonts w:eastAsia="Times New Roman"/>
        </w:rPr>
        <w:t xml:space="preserve">policy-making </w:t>
      </w:r>
      <w:r w:rsidR="00520343" w:rsidRPr="00E05E56">
        <w:rPr>
          <w:rFonts w:eastAsia="Times New Roman"/>
        </w:rPr>
        <w:t>cycle</w:t>
      </w:r>
      <w:r w:rsidR="00964E9F" w:rsidRPr="00E05E56">
        <w:rPr>
          <w:rFonts w:eastAsia="Times New Roman"/>
        </w:rPr>
        <w:t>:</w:t>
      </w:r>
      <w:r w:rsidR="001E2739" w:rsidRPr="00E05E56">
        <w:rPr>
          <w:rFonts w:eastAsia="Times New Roman"/>
        </w:rPr>
        <w:t xml:space="preserve"> formulation, monitoring and implementation of policies and legislation that have an impact on right holders</w:t>
      </w:r>
      <w:r w:rsidR="00BE112C" w:rsidRPr="00E05E56">
        <w:rPr>
          <w:rFonts w:eastAsia="Times New Roman"/>
        </w:rPr>
        <w:t>.</w:t>
      </w:r>
      <w:r w:rsidR="00544BAF" w:rsidRPr="006B753A">
        <w:rPr>
          <w:rStyle w:val="FootnoteReference"/>
          <w:rFonts w:ascii="Times New Roman" w:eastAsia="Times New Roman" w:hAnsi="Times New Roman"/>
        </w:rPr>
        <w:footnoteReference w:id="5"/>
      </w:r>
      <w:r w:rsidR="00A47E73" w:rsidRPr="00E05E56">
        <w:rPr>
          <w:rFonts w:eastAsia="Times New Roman"/>
        </w:rPr>
        <w:t xml:space="preserve"> </w:t>
      </w:r>
    </w:p>
    <w:p w14:paraId="3BCD5893" w14:textId="18E51159" w:rsidR="00F77DF9" w:rsidRPr="00E05E56" w:rsidRDefault="00964E9F" w:rsidP="00E05E56">
      <w:pPr>
        <w:widowControl w:val="0"/>
        <w:autoSpaceDE w:val="0"/>
        <w:autoSpaceDN w:val="0"/>
        <w:adjustRightInd w:val="0"/>
        <w:spacing w:after="240"/>
        <w:ind w:firstLine="284"/>
        <w:jc w:val="both"/>
        <w:rPr>
          <w:rFonts w:eastAsia="Times New Roman"/>
        </w:rPr>
      </w:pPr>
      <w:r w:rsidRPr="00E05E56">
        <w:rPr>
          <w:rFonts w:eastAsia="Times New Roman"/>
        </w:rPr>
        <w:t>This study therefore covers the various aspects of Article 25, i.e. the right to participate in the electoral process, but also between elections and in decision-making processes more broadly</w:t>
      </w:r>
      <w:r w:rsidR="002E76E2">
        <w:rPr>
          <w:rFonts w:eastAsia="Times New Roman"/>
        </w:rPr>
        <w:t>.</w:t>
      </w:r>
    </w:p>
    <w:p w14:paraId="4FCBE65A" w14:textId="77777777" w:rsidR="00046142" w:rsidRDefault="00F71F23" w:rsidP="004667E9">
      <w:pPr>
        <w:ind w:firstLine="284"/>
        <w:jc w:val="both"/>
      </w:pPr>
      <w:r w:rsidRPr="00E05E56">
        <w:t xml:space="preserve">For the purpose of this study, Western Europe relates to the United Nations “Western Europe and Others” (WEOG) regional group minus the “American” and “Pacific” States (Canada, United Stated of America, Australia and New Zealand). </w:t>
      </w:r>
      <w:r w:rsidR="00947F3E" w:rsidRPr="00E05E56">
        <w:rPr>
          <w:lang w:val="en-GB"/>
        </w:rPr>
        <w:t>This</w:t>
      </w:r>
      <w:r w:rsidR="0054702D" w:rsidRPr="00E05E56">
        <w:rPr>
          <w:lang w:val="en-GB"/>
        </w:rPr>
        <w:t xml:space="preserve"> study covers the following 25 countries: Andorra, </w:t>
      </w:r>
      <w:r w:rsidR="0054702D" w:rsidRPr="00E05E56">
        <w:rPr>
          <w:rFonts w:eastAsia="Times New Roman"/>
          <w:lang w:val="en-GB" w:eastAsia="en-GB"/>
        </w:rPr>
        <w:t>Austria, Belgium, Denmark, Finland, France, Germany, Greece, Iceland, Ireland, Israel, Italy, Liechtenstein, Luxembourg, Malta, Monaco, the Netherlands, Norway, Portugal, San Marino, Spa</w:t>
      </w:r>
      <w:r w:rsidR="00947F3E" w:rsidRPr="00E05E56">
        <w:rPr>
          <w:rFonts w:eastAsia="Times New Roman"/>
          <w:lang w:val="en-GB" w:eastAsia="en-GB"/>
        </w:rPr>
        <w:t>in, Sweden, Switzerland, Turkey and</w:t>
      </w:r>
      <w:r w:rsidR="0054702D" w:rsidRPr="00E05E56">
        <w:rPr>
          <w:rFonts w:eastAsia="Times New Roman"/>
          <w:lang w:val="en-GB" w:eastAsia="en-GB"/>
        </w:rPr>
        <w:t xml:space="preserve"> the United Kingdom.</w:t>
      </w:r>
      <w:r w:rsidR="003535ED" w:rsidRPr="00E05E56">
        <w:rPr>
          <w:rFonts w:eastAsia="Times New Roman"/>
          <w:lang w:val="en-GB" w:eastAsia="en-GB"/>
        </w:rPr>
        <w:t xml:space="preserve"> </w:t>
      </w:r>
      <w:r w:rsidR="00B255E2" w:rsidRPr="00E05E56">
        <w:t>Other studies focusing on different regions complement this one</w:t>
      </w:r>
      <w:r w:rsidR="003535ED" w:rsidRPr="00E05E56">
        <w:t>.</w:t>
      </w:r>
      <w:r w:rsidR="003535ED" w:rsidRPr="006B753A">
        <w:rPr>
          <w:rStyle w:val="FootnoteReference"/>
          <w:rFonts w:ascii="Times New Roman" w:hAnsi="Times New Roman"/>
          <w:lang w:val="en-GB"/>
        </w:rPr>
        <w:footnoteReference w:id="6"/>
      </w:r>
    </w:p>
    <w:p w14:paraId="5C50FA90" w14:textId="77777777" w:rsidR="008F512B" w:rsidRPr="00E05E56" w:rsidRDefault="008F512B" w:rsidP="004667E9">
      <w:pPr>
        <w:ind w:firstLine="284"/>
        <w:jc w:val="both"/>
      </w:pPr>
    </w:p>
    <w:p w14:paraId="29A9476C" w14:textId="77777777" w:rsidR="006878DD" w:rsidRPr="00E05E56" w:rsidRDefault="006878DD" w:rsidP="004667E9">
      <w:pPr>
        <w:ind w:firstLine="284"/>
        <w:jc w:val="both"/>
      </w:pPr>
    </w:p>
    <w:p w14:paraId="5E25BD4B" w14:textId="77777777" w:rsidR="00B96F91" w:rsidRPr="00E05E56" w:rsidRDefault="00B96F91" w:rsidP="004667E9">
      <w:pPr>
        <w:ind w:firstLine="284"/>
        <w:jc w:val="both"/>
        <w:rPr>
          <w:b/>
        </w:rPr>
      </w:pPr>
      <w:r w:rsidRPr="00E05E56">
        <w:rPr>
          <w:b/>
        </w:rPr>
        <w:t>The applicable legal framework</w:t>
      </w:r>
    </w:p>
    <w:p w14:paraId="68DBD5E3" w14:textId="77777777" w:rsidR="006878DD" w:rsidRPr="00E05E56" w:rsidRDefault="006878DD" w:rsidP="004667E9">
      <w:pPr>
        <w:ind w:firstLine="284"/>
        <w:jc w:val="both"/>
        <w:rPr>
          <w:lang w:val="en-GB"/>
        </w:rPr>
      </w:pPr>
    </w:p>
    <w:p w14:paraId="54A95807" w14:textId="77777777" w:rsidR="00321599" w:rsidRDefault="00534CFF" w:rsidP="004667E9">
      <w:pPr>
        <w:ind w:firstLine="284"/>
        <w:jc w:val="both"/>
        <w:rPr>
          <w:lang w:val="en-GB"/>
        </w:rPr>
      </w:pPr>
      <w:r w:rsidRPr="00E05E56">
        <w:rPr>
          <w:lang w:val="en-GB"/>
        </w:rPr>
        <w:t>Applicable standards in Western Europe</w:t>
      </w:r>
      <w:r w:rsidR="00A40BF5" w:rsidRPr="00E05E56">
        <w:rPr>
          <w:lang w:val="en-GB"/>
        </w:rPr>
        <w:t xml:space="preserve"> </w:t>
      </w:r>
      <w:r w:rsidRPr="00E05E56">
        <w:rPr>
          <w:lang w:val="en-GB"/>
        </w:rPr>
        <w:t xml:space="preserve">derive </w:t>
      </w:r>
      <w:r w:rsidR="001C4C7C" w:rsidRPr="00E05E56">
        <w:rPr>
          <w:lang w:val="en-GB"/>
        </w:rPr>
        <w:t>from the United Nations and domestic law, but also</w:t>
      </w:r>
      <w:r w:rsidRPr="00E05E56">
        <w:rPr>
          <w:lang w:val="en-GB"/>
        </w:rPr>
        <w:t xml:space="preserve"> from </w:t>
      </w:r>
      <w:r w:rsidR="00980F54" w:rsidRPr="00E05E56">
        <w:rPr>
          <w:lang w:val="en-GB"/>
        </w:rPr>
        <w:t>regional</w:t>
      </w:r>
      <w:r w:rsidR="006764C3" w:rsidRPr="00E05E56">
        <w:rPr>
          <w:lang w:val="en-GB"/>
        </w:rPr>
        <w:t xml:space="preserve"> organisations, namely the Council of Europe, the European Union and the OSCE.</w:t>
      </w:r>
      <w:r w:rsidR="00082CB5" w:rsidRPr="006B753A">
        <w:rPr>
          <w:rStyle w:val="FootnoteReference"/>
          <w:rFonts w:ascii="Times New Roman" w:hAnsi="Times New Roman"/>
          <w:lang w:val="en-GB"/>
        </w:rPr>
        <w:footnoteReference w:id="7"/>
      </w:r>
      <w:r w:rsidR="004275EA" w:rsidRPr="00E05E56">
        <w:rPr>
          <w:lang w:val="en-GB"/>
        </w:rPr>
        <w:t xml:space="preserve"> </w:t>
      </w:r>
    </w:p>
    <w:p w14:paraId="7FA2FA54" w14:textId="77777777" w:rsidR="008F512B" w:rsidRPr="00E05E56" w:rsidRDefault="008F512B" w:rsidP="004667E9">
      <w:pPr>
        <w:ind w:firstLine="284"/>
        <w:jc w:val="both"/>
        <w:rPr>
          <w:lang w:val="en-GB"/>
        </w:rPr>
      </w:pPr>
    </w:p>
    <w:p w14:paraId="2A6A5709" w14:textId="77777777" w:rsidR="00800623" w:rsidRPr="00E05E56" w:rsidRDefault="00800623" w:rsidP="004667E9">
      <w:pPr>
        <w:ind w:firstLine="284"/>
        <w:jc w:val="both"/>
        <w:rPr>
          <w:rFonts w:eastAsia="Times New Roman"/>
          <w:lang w:val="en-GB"/>
        </w:rPr>
      </w:pPr>
      <w:r w:rsidRPr="00E05E56">
        <w:rPr>
          <w:rFonts w:eastAsia="Times New Roman"/>
          <w:lang w:val="en-GB"/>
        </w:rPr>
        <w:t xml:space="preserve">UN applicable standards relevant to this study are </w:t>
      </w:r>
      <w:r w:rsidR="00DB26D7" w:rsidRPr="00E05E56">
        <w:rPr>
          <w:rFonts w:eastAsia="Times New Roman"/>
          <w:lang w:val="en-GB"/>
        </w:rPr>
        <w:t>Article 21 UDHR, Article 25 ICCPR, Article 8 CESCR, Articles 7 and 8 CEDAW, Article 5(c) CERD and Article 29 CRPD.</w:t>
      </w:r>
    </w:p>
    <w:p w14:paraId="4C99CB1C" w14:textId="77777777" w:rsidR="00257236" w:rsidRDefault="00501A76" w:rsidP="004667E9">
      <w:pPr>
        <w:ind w:firstLine="284"/>
        <w:jc w:val="both"/>
        <w:rPr>
          <w:rFonts w:eastAsia="Times New Roman"/>
          <w:lang w:val="en-GB"/>
        </w:rPr>
      </w:pPr>
      <w:r w:rsidRPr="00E05E56">
        <w:rPr>
          <w:rFonts w:eastAsia="Times New Roman"/>
          <w:lang w:val="en-GB"/>
        </w:rPr>
        <w:lastRenderedPageBreak/>
        <w:t>In the framework of the Council of Europe, article 3 of Protocol 1 to the ECHR</w:t>
      </w:r>
      <w:r w:rsidR="0063417A" w:rsidRPr="00E05E56">
        <w:rPr>
          <w:rFonts w:eastAsia="Times New Roman"/>
          <w:lang w:val="en-GB"/>
        </w:rPr>
        <w:t xml:space="preserve"> </w:t>
      </w:r>
      <w:r w:rsidR="00B819F3" w:rsidRPr="00E05E56">
        <w:rPr>
          <w:rFonts w:eastAsia="Times New Roman"/>
          <w:lang w:val="en-GB"/>
        </w:rPr>
        <w:t>recognizes the obligation for States Parties “to hold free elections at reasonable intervals by secret ballot, under conditions which will ensure the free expression of the opinion of the people in the choice of the legislature”</w:t>
      </w:r>
      <w:r w:rsidR="00BB0F8C" w:rsidRPr="00E05E56">
        <w:rPr>
          <w:rFonts w:eastAsia="Times New Roman"/>
          <w:lang w:val="en-GB"/>
        </w:rPr>
        <w:t xml:space="preserve">. </w:t>
      </w:r>
      <w:r w:rsidR="00F638D1" w:rsidRPr="00E05E56">
        <w:rPr>
          <w:rFonts w:eastAsia="Times New Roman"/>
          <w:lang w:val="en-GB"/>
        </w:rPr>
        <w:t>This pro</w:t>
      </w:r>
      <w:r w:rsidR="00C16302" w:rsidRPr="00E05E56">
        <w:rPr>
          <w:rFonts w:eastAsia="Times New Roman"/>
          <w:lang w:val="en-GB"/>
        </w:rPr>
        <w:t>vision</w:t>
      </w:r>
      <w:r w:rsidR="00DF3AEE" w:rsidRPr="00E05E56">
        <w:rPr>
          <w:rFonts w:eastAsia="Times New Roman"/>
          <w:lang w:val="en-GB"/>
        </w:rPr>
        <w:t xml:space="preserve"> is considered by the Court “</w:t>
      </w:r>
      <w:r w:rsidR="00B45FE7" w:rsidRPr="00E05E56">
        <w:rPr>
          <w:rFonts w:eastAsia="Times New Roman"/>
          <w:lang w:val="en-GB"/>
        </w:rPr>
        <w:t>of prime importance in the Convention system</w:t>
      </w:r>
      <w:r w:rsidR="00DF3AEE" w:rsidRPr="00E05E56">
        <w:rPr>
          <w:rFonts w:eastAsia="Times New Roman"/>
          <w:lang w:val="en-GB"/>
        </w:rPr>
        <w:t>”</w:t>
      </w:r>
      <w:r w:rsidR="00A541B4" w:rsidRPr="00E05E56">
        <w:rPr>
          <w:rFonts w:eastAsia="Times New Roman"/>
          <w:lang w:val="en-GB"/>
        </w:rPr>
        <w:t xml:space="preserve"> since “it enshrines a characteristic principle of </w:t>
      </w:r>
      <w:r w:rsidR="00C16302" w:rsidRPr="00E05E56">
        <w:rPr>
          <w:rFonts w:eastAsia="Times New Roman"/>
          <w:lang w:val="en-GB"/>
        </w:rPr>
        <w:t>democracy”</w:t>
      </w:r>
      <w:r w:rsidR="00DF3AEE" w:rsidRPr="00E05E56">
        <w:rPr>
          <w:rFonts w:eastAsia="Times New Roman"/>
          <w:lang w:val="en-GB"/>
        </w:rPr>
        <w:t>.</w:t>
      </w:r>
      <w:r w:rsidR="00DF3AEE" w:rsidRPr="006B753A">
        <w:rPr>
          <w:rStyle w:val="FootnoteReference"/>
          <w:rFonts w:ascii="Times New Roman" w:eastAsia="Times New Roman" w:hAnsi="Times New Roman"/>
          <w:lang w:val="en-GB"/>
        </w:rPr>
        <w:footnoteReference w:id="8"/>
      </w:r>
      <w:r w:rsidR="00DF3AEE" w:rsidRPr="00E05E56">
        <w:rPr>
          <w:rFonts w:eastAsia="Times New Roman"/>
          <w:lang w:val="en-GB"/>
        </w:rPr>
        <w:t xml:space="preserve"> </w:t>
      </w:r>
      <w:r w:rsidR="00BB0F8C" w:rsidRPr="00E05E56">
        <w:rPr>
          <w:rFonts w:eastAsia="Times New Roman"/>
          <w:lang w:val="en-GB"/>
        </w:rPr>
        <w:t xml:space="preserve">However, </w:t>
      </w:r>
      <w:r w:rsidR="00073449" w:rsidRPr="00E05E56">
        <w:rPr>
          <w:rFonts w:eastAsia="Times New Roman"/>
          <w:lang w:val="en-GB"/>
        </w:rPr>
        <w:t xml:space="preserve">the right to free elections </w:t>
      </w:r>
      <w:r w:rsidR="00760C8C" w:rsidRPr="00E05E56">
        <w:rPr>
          <w:rFonts w:eastAsia="Times New Roman"/>
          <w:lang w:val="en-GB"/>
        </w:rPr>
        <w:t>is limited in scope to the election of the “legislature” and does not apply to referendums for example.</w:t>
      </w:r>
      <w:r w:rsidR="00760C8C" w:rsidRPr="006B753A">
        <w:rPr>
          <w:rStyle w:val="FootnoteReference"/>
          <w:rFonts w:ascii="Times New Roman" w:eastAsia="Times New Roman" w:hAnsi="Times New Roman"/>
          <w:lang w:val="en-GB"/>
        </w:rPr>
        <w:footnoteReference w:id="9"/>
      </w:r>
      <w:r w:rsidR="00760C8C" w:rsidRPr="00E05E56">
        <w:rPr>
          <w:rFonts w:eastAsia="Times New Roman"/>
          <w:lang w:val="en-GB"/>
        </w:rPr>
        <w:t xml:space="preserve"> Besides,</w:t>
      </w:r>
      <w:r w:rsidR="00DF3AEE" w:rsidRPr="00E05E56">
        <w:rPr>
          <w:rFonts w:eastAsia="Times New Roman"/>
          <w:lang w:val="en-GB"/>
        </w:rPr>
        <w:t xml:space="preserve"> </w:t>
      </w:r>
      <w:r w:rsidR="00C36689" w:rsidRPr="00E05E56">
        <w:rPr>
          <w:rFonts w:eastAsia="Times New Roman"/>
          <w:lang w:val="en-GB"/>
        </w:rPr>
        <w:t xml:space="preserve">restrictions to the right protected by </w:t>
      </w:r>
      <w:r w:rsidR="006F0A03" w:rsidRPr="00E05E56">
        <w:rPr>
          <w:rFonts w:eastAsia="Times New Roman"/>
          <w:lang w:val="en-GB"/>
        </w:rPr>
        <w:t xml:space="preserve">Article 3 </w:t>
      </w:r>
      <w:r w:rsidR="00C36689" w:rsidRPr="00E05E56">
        <w:rPr>
          <w:rFonts w:eastAsia="Times New Roman"/>
          <w:lang w:val="en-GB"/>
        </w:rPr>
        <w:t>of Protocol No. 1 ECHR may apply</w:t>
      </w:r>
      <w:r w:rsidR="00760C8C" w:rsidRPr="00E05E56">
        <w:rPr>
          <w:rFonts w:eastAsia="Times New Roman"/>
          <w:lang w:val="en-GB"/>
        </w:rPr>
        <w:t xml:space="preserve">. </w:t>
      </w:r>
      <w:r w:rsidR="001C1CAC" w:rsidRPr="00E05E56">
        <w:rPr>
          <w:rFonts w:eastAsia="Times New Roman"/>
        </w:rPr>
        <w:t xml:space="preserve"> </w:t>
      </w:r>
      <w:r w:rsidR="00760C8C" w:rsidRPr="00E05E56">
        <w:rPr>
          <w:rFonts w:eastAsia="Times New Roman"/>
          <w:lang w:val="en-GB"/>
        </w:rPr>
        <w:t xml:space="preserve"> </w:t>
      </w:r>
    </w:p>
    <w:p w14:paraId="4311DF04" w14:textId="77777777" w:rsidR="008F512B" w:rsidRPr="00E05E56" w:rsidRDefault="008F512B" w:rsidP="004667E9">
      <w:pPr>
        <w:ind w:firstLine="284"/>
        <w:jc w:val="both"/>
        <w:rPr>
          <w:rFonts w:eastAsia="Times New Roman"/>
          <w:lang w:val="en-GB"/>
        </w:rPr>
      </w:pPr>
    </w:p>
    <w:p w14:paraId="1FA5813C" w14:textId="77777777" w:rsidR="00464014" w:rsidRDefault="008761EE" w:rsidP="004667E9">
      <w:pPr>
        <w:ind w:firstLine="284"/>
        <w:jc w:val="both"/>
        <w:rPr>
          <w:rFonts w:eastAsia="Times New Roman"/>
        </w:rPr>
      </w:pPr>
      <w:r w:rsidRPr="00E05E56">
        <w:rPr>
          <w:lang w:val="en-GB"/>
        </w:rPr>
        <w:t xml:space="preserve">The </w:t>
      </w:r>
      <w:proofErr w:type="spellStart"/>
      <w:r w:rsidRPr="00E05E56">
        <w:rPr>
          <w:lang w:val="en-GB"/>
        </w:rPr>
        <w:t>ECtHR</w:t>
      </w:r>
      <w:proofErr w:type="spellEnd"/>
      <w:r w:rsidRPr="00E05E56">
        <w:rPr>
          <w:lang w:val="en-GB"/>
        </w:rPr>
        <w:t xml:space="preserve"> has also emphasised that the right</w:t>
      </w:r>
      <w:r w:rsidR="00405836" w:rsidRPr="00E05E56">
        <w:rPr>
          <w:lang w:val="en-GB"/>
        </w:rPr>
        <w:t>s</w:t>
      </w:r>
      <w:r w:rsidRPr="00E05E56">
        <w:rPr>
          <w:lang w:val="en-GB"/>
        </w:rPr>
        <w:t xml:space="preserve"> </w:t>
      </w:r>
      <w:r w:rsidR="004C37B6" w:rsidRPr="00E05E56">
        <w:rPr>
          <w:lang w:val="en-GB"/>
        </w:rPr>
        <w:t xml:space="preserve">guaranteed </w:t>
      </w:r>
      <w:r w:rsidR="00405836" w:rsidRPr="00E05E56">
        <w:rPr>
          <w:lang w:val="en-GB"/>
        </w:rPr>
        <w:t>under</w:t>
      </w:r>
      <w:r w:rsidR="004C37B6" w:rsidRPr="00E05E56">
        <w:rPr>
          <w:lang w:val="en-GB"/>
        </w:rPr>
        <w:t xml:space="preserve"> Article 3 Protocol 1</w:t>
      </w:r>
      <w:r w:rsidR="009C6A4A" w:rsidRPr="006B753A">
        <w:rPr>
          <w:rStyle w:val="FootnoteReference"/>
          <w:rFonts w:ascii="Times New Roman" w:hAnsi="Times New Roman"/>
          <w:lang w:val="en-GB"/>
        </w:rPr>
        <w:footnoteReference w:id="10"/>
      </w:r>
      <w:r w:rsidR="004C37B6" w:rsidRPr="00E05E56">
        <w:rPr>
          <w:lang w:val="en-GB"/>
        </w:rPr>
        <w:t xml:space="preserve"> </w:t>
      </w:r>
      <w:r w:rsidR="00BC0A25" w:rsidRPr="00E05E56">
        <w:rPr>
          <w:lang w:val="en-GB"/>
        </w:rPr>
        <w:t>are</w:t>
      </w:r>
      <w:r w:rsidRPr="00E05E56">
        <w:rPr>
          <w:lang w:val="en-GB"/>
        </w:rPr>
        <w:t xml:space="preserve"> not limited to the right to stand in elections or to the elections themselves but covers the period running f</w:t>
      </w:r>
      <w:r w:rsidR="00C94222" w:rsidRPr="00E05E56">
        <w:rPr>
          <w:lang w:val="en-GB"/>
        </w:rPr>
        <w:t xml:space="preserve">rom the election campaign to the </w:t>
      </w:r>
      <w:r w:rsidR="00ED3E1E" w:rsidRPr="00E05E56">
        <w:rPr>
          <w:lang w:val="en-GB"/>
        </w:rPr>
        <w:t xml:space="preserve">actual </w:t>
      </w:r>
      <w:r w:rsidR="00C94222" w:rsidRPr="00E05E56">
        <w:rPr>
          <w:lang w:val="en-GB"/>
        </w:rPr>
        <w:t>exe</w:t>
      </w:r>
      <w:r w:rsidR="001A1C62" w:rsidRPr="00E05E56">
        <w:rPr>
          <w:lang w:val="en-GB"/>
        </w:rPr>
        <w:t>rcise of office.</w:t>
      </w:r>
      <w:r w:rsidR="001A1C62" w:rsidRPr="006B753A">
        <w:rPr>
          <w:rStyle w:val="FootnoteReference"/>
          <w:rFonts w:ascii="Times New Roman" w:hAnsi="Times New Roman"/>
          <w:lang w:val="en-GB"/>
        </w:rPr>
        <w:footnoteReference w:id="11"/>
      </w:r>
      <w:r w:rsidR="004329C8" w:rsidRPr="00E05E56">
        <w:rPr>
          <w:lang w:val="en-GB"/>
        </w:rPr>
        <w:t xml:space="preserve"> </w:t>
      </w:r>
      <w:r w:rsidR="00F87266" w:rsidRPr="00E05E56">
        <w:rPr>
          <w:lang w:val="en-GB"/>
        </w:rPr>
        <w:t xml:space="preserve">Articles 10 and 11 </w:t>
      </w:r>
      <w:r w:rsidR="00677D1E" w:rsidRPr="00E05E56">
        <w:rPr>
          <w:lang w:val="en-GB"/>
        </w:rPr>
        <w:t xml:space="preserve">of the </w:t>
      </w:r>
      <w:r w:rsidR="00F87266" w:rsidRPr="00E05E56">
        <w:rPr>
          <w:lang w:val="en-GB"/>
        </w:rPr>
        <w:t>ECHR</w:t>
      </w:r>
      <w:r w:rsidR="00A53663" w:rsidRPr="00E05E56">
        <w:rPr>
          <w:lang w:val="en-GB"/>
        </w:rPr>
        <w:t xml:space="preserve"> relating to freedom of expression and freedom of assembly</w:t>
      </w:r>
      <w:r w:rsidR="00E54F19" w:rsidRPr="00E05E56">
        <w:rPr>
          <w:lang w:val="en-GB"/>
        </w:rPr>
        <w:t xml:space="preserve"> and association</w:t>
      </w:r>
      <w:r w:rsidR="00A53663" w:rsidRPr="00E05E56">
        <w:rPr>
          <w:lang w:val="en-GB"/>
        </w:rPr>
        <w:t xml:space="preserve"> are also relevant</w:t>
      </w:r>
      <w:r w:rsidR="00F87266" w:rsidRPr="00E05E56">
        <w:rPr>
          <w:lang w:val="en-GB"/>
        </w:rPr>
        <w:t>.</w:t>
      </w:r>
      <w:r w:rsidR="00363316" w:rsidRPr="00E05E56">
        <w:rPr>
          <w:lang w:val="en-GB"/>
        </w:rPr>
        <w:t xml:space="preserve"> </w:t>
      </w:r>
      <w:r w:rsidR="00E965C8" w:rsidRPr="00E05E56">
        <w:rPr>
          <w:lang w:val="en-GB"/>
        </w:rPr>
        <w:t>The</w:t>
      </w:r>
      <w:r w:rsidR="00363316" w:rsidRPr="00E05E56">
        <w:rPr>
          <w:lang w:val="en-GB"/>
        </w:rPr>
        <w:t xml:space="preserve"> Council of Europe</w:t>
      </w:r>
      <w:r w:rsidR="00E965C8" w:rsidRPr="00E05E56">
        <w:rPr>
          <w:lang w:val="en-GB"/>
        </w:rPr>
        <w:t xml:space="preserve"> has also </w:t>
      </w:r>
      <w:r w:rsidR="00361C6D" w:rsidRPr="00E05E56">
        <w:rPr>
          <w:lang w:val="en-GB"/>
        </w:rPr>
        <w:t>developed</w:t>
      </w:r>
      <w:r w:rsidR="00363316" w:rsidRPr="00E05E56">
        <w:rPr>
          <w:lang w:val="en-GB"/>
        </w:rPr>
        <w:t xml:space="preserve"> </w:t>
      </w:r>
      <w:r w:rsidR="00F824FE" w:rsidRPr="00E05E56">
        <w:rPr>
          <w:lang w:val="en-GB"/>
        </w:rPr>
        <w:t xml:space="preserve">standards </w:t>
      </w:r>
      <w:r w:rsidR="00340CF2" w:rsidRPr="00E05E56">
        <w:rPr>
          <w:lang w:val="en-GB"/>
        </w:rPr>
        <w:t>apply</w:t>
      </w:r>
      <w:r w:rsidR="00F9114C" w:rsidRPr="00E05E56">
        <w:rPr>
          <w:lang w:val="en-GB"/>
        </w:rPr>
        <w:t>ing</w:t>
      </w:r>
      <w:r w:rsidR="00340CF2" w:rsidRPr="00E05E56">
        <w:rPr>
          <w:lang w:val="en-GB"/>
        </w:rPr>
        <w:t xml:space="preserve"> to specific groups</w:t>
      </w:r>
      <w:r w:rsidR="00361C6D" w:rsidRPr="00E05E56">
        <w:rPr>
          <w:lang w:val="en-GB"/>
        </w:rPr>
        <w:t xml:space="preserve">, </w:t>
      </w:r>
      <w:r w:rsidR="00F824FE" w:rsidRPr="00E05E56">
        <w:rPr>
          <w:lang w:val="en-GB"/>
        </w:rPr>
        <w:t>namely</w:t>
      </w:r>
      <w:r w:rsidR="00363316" w:rsidRPr="00E05E56">
        <w:rPr>
          <w:lang w:val="en-GB"/>
        </w:rPr>
        <w:t xml:space="preserve"> </w:t>
      </w:r>
      <w:r w:rsidR="00361C6D" w:rsidRPr="00E05E56">
        <w:rPr>
          <w:lang w:val="en-GB"/>
        </w:rPr>
        <w:t>national minorities,</w:t>
      </w:r>
      <w:r w:rsidR="00361C6D" w:rsidRPr="006B753A">
        <w:rPr>
          <w:rStyle w:val="FootnoteReference"/>
          <w:rFonts w:ascii="Times New Roman" w:hAnsi="Times New Roman"/>
          <w:lang w:val="en-GB"/>
        </w:rPr>
        <w:footnoteReference w:id="12"/>
      </w:r>
      <w:r w:rsidR="00361C6D" w:rsidRPr="00E05E56">
        <w:rPr>
          <w:lang w:val="en-GB"/>
        </w:rPr>
        <w:t xml:space="preserve"> women</w:t>
      </w:r>
      <w:r w:rsidR="00363316" w:rsidRPr="00E05E56">
        <w:rPr>
          <w:rFonts w:eastAsia="Times New Roman"/>
          <w:lang w:val="en-GB"/>
        </w:rPr>
        <w:t>,</w:t>
      </w:r>
      <w:r w:rsidR="00361C6D" w:rsidRPr="006B753A">
        <w:rPr>
          <w:rStyle w:val="FootnoteReference"/>
          <w:rFonts w:ascii="Times New Roman" w:eastAsia="Times New Roman" w:hAnsi="Times New Roman"/>
          <w:lang w:val="en-GB"/>
        </w:rPr>
        <w:footnoteReference w:id="13"/>
      </w:r>
      <w:r w:rsidR="00363316" w:rsidRPr="00E05E56">
        <w:rPr>
          <w:rFonts w:eastAsia="Times New Roman"/>
          <w:lang w:val="en-GB"/>
        </w:rPr>
        <w:t xml:space="preserve"> </w:t>
      </w:r>
      <w:r w:rsidR="00361C6D" w:rsidRPr="00E05E56">
        <w:rPr>
          <w:rFonts w:eastAsia="Times New Roman"/>
          <w:lang w:val="en-GB"/>
        </w:rPr>
        <w:t xml:space="preserve"> persons with disabilities,</w:t>
      </w:r>
      <w:r w:rsidR="00361C6D" w:rsidRPr="006B753A">
        <w:rPr>
          <w:rStyle w:val="FootnoteReference"/>
          <w:rFonts w:ascii="Times New Roman" w:eastAsia="Times New Roman" w:hAnsi="Times New Roman"/>
          <w:lang w:val="en-GB"/>
        </w:rPr>
        <w:footnoteReference w:id="14"/>
      </w:r>
      <w:r w:rsidR="00361C6D" w:rsidRPr="00E05E56">
        <w:rPr>
          <w:rFonts w:eastAsia="Times New Roman"/>
          <w:lang w:val="en-GB"/>
        </w:rPr>
        <w:t xml:space="preserve"> and foreigners.</w:t>
      </w:r>
      <w:r w:rsidR="00361C6D" w:rsidRPr="006B753A">
        <w:rPr>
          <w:rStyle w:val="FootnoteReference"/>
          <w:rFonts w:ascii="Times New Roman" w:eastAsia="Times New Roman" w:hAnsi="Times New Roman"/>
          <w:lang w:val="en-GB"/>
        </w:rPr>
        <w:footnoteReference w:id="15"/>
      </w:r>
      <w:r w:rsidR="00363316" w:rsidRPr="00E05E56">
        <w:rPr>
          <w:rFonts w:eastAsia="Times New Roman"/>
          <w:lang w:val="en-GB"/>
        </w:rPr>
        <w:t xml:space="preserve"> </w:t>
      </w:r>
      <w:r w:rsidR="005E47B3" w:rsidRPr="00E05E56">
        <w:rPr>
          <w:rFonts w:eastAsia="Times New Roman"/>
          <w:lang w:val="en-GB"/>
        </w:rPr>
        <w:t xml:space="preserve">Finally, the </w:t>
      </w:r>
      <w:r w:rsidR="00A569F3" w:rsidRPr="00E05E56">
        <w:rPr>
          <w:rFonts w:eastAsia="Times New Roman"/>
        </w:rPr>
        <w:t>European Social Charter and more precisely</w:t>
      </w:r>
      <w:r w:rsidR="00DA7697" w:rsidRPr="00E05E56">
        <w:rPr>
          <w:rFonts w:eastAsia="Times New Roman"/>
        </w:rPr>
        <w:t xml:space="preserve"> Article E </w:t>
      </w:r>
      <w:r w:rsidR="00281DCE" w:rsidRPr="00E05E56">
        <w:rPr>
          <w:rFonts w:eastAsia="Times New Roman"/>
        </w:rPr>
        <w:t xml:space="preserve">read </w:t>
      </w:r>
      <w:r w:rsidR="00DA7697" w:rsidRPr="00E05E56">
        <w:rPr>
          <w:rFonts w:eastAsia="Times New Roman"/>
        </w:rPr>
        <w:t>in conjunction with Article 30</w:t>
      </w:r>
      <w:r w:rsidR="00677D1E" w:rsidRPr="00E05E56">
        <w:rPr>
          <w:rFonts w:eastAsia="Times New Roman"/>
        </w:rPr>
        <w:t>, are</w:t>
      </w:r>
      <w:r w:rsidR="00281DCE" w:rsidRPr="00E05E56">
        <w:rPr>
          <w:rFonts w:eastAsia="Times New Roman"/>
        </w:rPr>
        <w:t xml:space="preserve"> also considered to cover rights relating to civic and citizens’ participation</w:t>
      </w:r>
      <w:r w:rsidR="00DA7697" w:rsidRPr="00E05E56">
        <w:rPr>
          <w:rFonts w:eastAsia="Times New Roman"/>
        </w:rPr>
        <w:t>.</w:t>
      </w:r>
      <w:r w:rsidR="00DA7697" w:rsidRPr="006B753A">
        <w:rPr>
          <w:rStyle w:val="FootnoteReference"/>
          <w:rFonts w:ascii="Times New Roman" w:eastAsia="Times New Roman" w:hAnsi="Times New Roman"/>
        </w:rPr>
        <w:footnoteReference w:id="16"/>
      </w:r>
      <w:r w:rsidR="00A93F4C" w:rsidRPr="00E05E56">
        <w:rPr>
          <w:rFonts w:eastAsia="Times New Roman"/>
        </w:rPr>
        <w:t xml:space="preserve"> </w:t>
      </w:r>
    </w:p>
    <w:p w14:paraId="0E223C7A" w14:textId="77777777" w:rsidR="008C6568" w:rsidRPr="00E05E56" w:rsidRDefault="008C6568" w:rsidP="004667E9">
      <w:pPr>
        <w:ind w:firstLine="284"/>
        <w:jc w:val="both"/>
        <w:rPr>
          <w:rFonts w:eastAsia="Times New Roman"/>
        </w:rPr>
      </w:pPr>
    </w:p>
    <w:p w14:paraId="2B5B9A0A" w14:textId="77777777" w:rsidR="00464014" w:rsidRDefault="008973B7" w:rsidP="0055669F">
      <w:pPr>
        <w:ind w:firstLine="284"/>
        <w:jc w:val="both"/>
      </w:pPr>
      <w:r w:rsidRPr="00E05E56">
        <w:rPr>
          <w:rFonts w:eastAsia="Times New Roman"/>
        </w:rPr>
        <w:t>At the European Union level,</w:t>
      </w:r>
      <w:r w:rsidR="009B6458" w:rsidRPr="00E05E56">
        <w:rPr>
          <w:rFonts w:eastAsia="Times New Roman"/>
        </w:rPr>
        <w:t xml:space="preserve"> </w:t>
      </w:r>
      <w:r w:rsidR="00223F1E" w:rsidRPr="00E05E56">
        <w:rPr>
          <w:rFonts w:eastAsia="Times New Roman"/>
        </w:rPr>
        <w:t xml:space="preserve">a distinction needs to be drawn between </w:t>
      </w:r>
      <w:r w:rsidR="00AB2D97" w:rsidRPr="00E05E56">
        <w:rPr>
          <w:rFonts w:eastAsia="Times New Roman"/>
        </w:rPr>
        <w:t xml:space="preserve">the </w:t>
      </w:r>
      <w:r w:rsidR="00223F1E" w:rsidRPr="00E05E56">
        <w:rPr>
          <w:rFonts w:eastAsia="Times New Roman"/>
        </w:rPr>
        <w:t xml:space="preserve">human rights recognized </w:t>
      </w:r>
      <w:r w:rsidR="00D31D34" w:rsidRPr="00E05E56">
        <w:rPr>
          <w:rFonts w:eastAsia="Times New Roman"/>
        </w:rPr>
        <w:t xml:space="preserve">to all </w:t>
      </w:r>
      <w:r w:rsidR="00223F1E" w:rsidRPr="00E05E56">
        <w:rPr>
          <w:rFonts w:eastAsia="Times New Roman"/>
        </w:rPr>
        <w:t>under the law of the EU (EU treaties and CJEU case law)</w:t>
      </w:r>
      <w:r w:rsidR="004A1599" w:rsidRPr="006B753A">
        <w:rPr>
          <w:rStyle w:val="FootnoteReference"/>
          <w:rFonts w:ascii="Times New Roman" w:eastAsia="Times New Roman" w:hAnsi="Times New Roman"/>
        </w:rPr>
        <w:footnoteReference w:id="17"/>
      </w:r>
      <w:r w:rsidR="00223F1E" w:rsidRPr="00E05E56">
        <w:rPr>
          <w:rFonts w:eastAsia="Times New Roman"/>
        </w:rPr>
        <w:t xml:space="preserve"> and EU citizens’ </w:t>
      </w:r>
      <w:r w:rsidR="00223F1E" w:rsidRPr="00E05E56">
        <w:rPr>
          <w:rFonts w:eastAsia="Times New Roman"/>
        </w:rPr>
        <w:lastRenderedPageBreak/>
        <w:t>rights.</w:t>
      </w:r>
      <w:r w:rsidR="000C652E" w:rsidRPr="00D24721">
        <w:rPr>
          <w:rStyle w:val="FootnoteReference"/>
          <w:rFonts w:ascii="Times New Roman" w:eastAsia="Times New Roman" w:hAnsi="Times New Roman"/>
        </w:rPr>
        <w:footnoteReference w:id="18"/>
      </w:r>
      <w:r w:rsidRPr="00E05E56">
        <w:rPr>
          <w:rFonts w:eastAsia="Times New Roman"/>
        </w:rPr>
        <w:t xml:space="preserve"> </w:t>
      </w:r>
      <w:r w:rsidR="00510F33" w:rsidRPr="00E05E56">
        <w:rPr>
          <w:rFonts w:eastAsia="Times New Roman"/>
        </w:rPr>
        <w:t xml:space="preserve">Rights recognized to all are only protected within the scope of application of EU law. </w:t>
      </w:r>
      <w:r w:rsidR="00223F1E" w:rsidRPr="00E05E56">
        <w:rPr>
          <w:rFonts w:eastAsia="Times New Roman"/>
        </w:rPr>
        <w:t>T</w:t>
      </w:r>
      <w:r w:rsidRPr="00E05E56">
        <w:rPr>
          <w:rFonts w:eastAsia="Times New Roman"/>
        </w:rPr>
        <w:t>he</w:t>
      </w:r>
      <w:r w:rsidR="008A3014" w:rsidRPr="00E05E56">
        <w:rPr>
          <w:rFonts w:eastAsia="Times New Roman"/>
        </w:rPr>
        <w:t xml:space="preserve"> </w:t>
      </w:r>
      <w:r w:rsidRPr="00E05E56">
        <w:rPr>
          <w:rFonts w:eastAsia="Times New Roman"/>
        </w:rPr>
        <w:t>right to participation in public affairs</w:t>
      </w:r>
      <w:r w:rsidR="008A4A19" w:rsidRPr="00E05E56">
        <w:rPr>
          <w:rFonts w:eastAsia="Times New Roman"/>
        </w:rPr>
        <w:t xml:space="preserve"> for EU citizens</w:t>
      </w:r>
      <w:r w:rsidRPr="00E05E56">
        <w:rPr>
          <w:rFonts w:eastAsia="Times New Roman"/>
        </w:rPr>
        <w:t xml:space="preserve"> is protected by the Lisbon Treaty in its</w:t>
      </w:r>
      <w:r w:rsidR="008A3014" w:rsidRPr="00E05E56">
        <w:rPr>
          <w:rFonts w:eastAsia="Times New Roman"/>
        </w:rPr>
        <w:t xml:space="preserve"> Articles </w:t>
      </w:r>
      <w:r w:rsidR="00E737BD" w:rsidRPr="00E05E56">
        <w:rPr>
          <w:rFonts w:eastAsia="Times New Roman"/>
        </w:rPr>
        <w:t xml:space="preserve">10 </w:t>
      </w:r>
      <w:r w:rsidR="008A3014" w:rsidRPr="00E05E56">
        <w:rPr>
          <w:rFonts w:eastAsia="Times New Roman"/>
        </w:rPr>
        <w:t xml:space="preserve">and </w:t>
      </w:r>
      <w:r w:rsidR="00E737BD" w:rsidRPr="00E05E56">
        <w:rPr>
          <w:rFonts w:eastAsia="Times New Roman"/>
        </w:rPr>
        <w:t>11</w:t>
      </w:r>
      <w:r w:rsidR="008A3014" w:rsidRPr="00E05E56">
        <w:rPr>
          <w:rFonts w:eastAsia="Times New Roman"/>
        </w:rPr>
        <w:t>.</w:t>
      </w:r>
      <w:r w:rsidR="00947F3A" w:rsidRPr="00E05E56">
        <w:rPr>
          <w:rFonts w:eastAsia="Times New Roman"/>
          <w:b/>
        </w:rPr>
        <w:t xml:space="preserve"> </w:t>
      </w:r>
      <w:r w:rsidR="007A3B12" w:rsidRPr="00E05E56">
        <w:rPr>
          <w:rFonts w:eastAsia="Times New Roman"/>
        </w:rPr>
        <w:t xml:space="preserve">These provisions underline the principle of representative democracy </w:t>
      </w:r>
      <w:r w:rsidR="00677D1E" w:rsidRPr="00E05E56">
        <w:rPr>
          <w:rFonts w:eastAsia="Times New Roman"/>
        </w:rPr>
        <w:t>via</w:t>
      </w:r>
      <w:r w:rsidR="007A3B12" w:rsidRPr="00E05E56">
        <w:rPr>
          <w:rFonts w:eastAsia="Times New Roman"/>
        </w:rPr>
        <w:t xml:space="preserve"> the European Parliament, representing the citizens directly at </w:t>
      </w:r>
      <w:r w:rsidR="00677D1E" w:rsidRPr="00E05E56">
        <w:rPr>
          <w:rFonts w:eastAsia="Times New Roman"/>
        </w:rPr>
        <w:t>European</w:t>
      </w:r>
      <w:r w:rsidR="007A3B12" w:rsidRPr="00E05E56">
        <w:rPr>
          <w:rFonts w:eastAsia="Times New Roman"/>
        </w:rPr>
        <w:t xml:space="preserve"> level</w:t>
      </w:r>
      <w:r w:rsidR="00FA74B4" w:rsidRPr="00E05E56">
        <w:rPr>
          <w:rFonts w:eastAsia="Times New Roman"/>
        </w:rPr>
        <w:t xml:space="preserve">. </w:t>
      </w:r>
      <w:r w:rsidR="00C65230" w:rsidRPr="00E05E56">
        <w:rPr>
          <w:rFonts w:eastAsia="Times New Roman"/>
        </w:rPr>
        <w:t xml:space="preserve">Article </w:t>
      </w:r>
      <w:r w:rsidR="008B7CD6" w:rsidRPr="00E05E56">
        <w:rPr>
          <w:rFonts w:eastAsia="Times New Roman"/>
        </w:rPr>
        <w:t>10(3)</w:t>
      </w:r>
      <w:r w:rsidR="00C65230" w:rsidRPr="00E05E56">
        <w:rPr>
          <w:rFonts w:eastAsia="Times New Roman"/>
        </w:rPr>
        <w:t xml:space="preserve"> </w:t>
      </w:r>
      <w:r w:rsidR="00C65230" w:rsidRPr="00E05E56">
        <w:t>guarantees the right of “every citizen” to “participate in the democratic life of the Union” and provides that “[d]</w:t>
      </w:r>
      <w:proofErr w:type="spellStart"/>
      <w:r w:rsidR="00C65230" w:rsidRPr="00E05E56">
        <w:t>ecisions</w:t>
      </w:r>
      <w:proofErr w:type="spellEnd"/>
      <w:r w:rsidR="00C65230" w:rsidRPr="00E05E56">
        <w:t xml:space="preserve"> shall be taken as openly and as closely as possible to the citizen.”</w:t>
      </w:r>
      <w:r w:rsidR="00621A66" w:rsidRPr="00E05E56">
        <w:t xml:space="preserve"> </w:t>
      </w:r>
      <w:r w:rsidR="00D76CBC" w:rsidRPr="00E05E56">
        <w:t>For its part, t</w:t>
      </w:r>
      <w:r w:rsidR="00621A66" w:rsidRPr="00E05E56">
        <w:t xml:space="preserve">he Charter </w:t>
      </w:r>
      <w:r w:rsidR="00E80D97" w:rsidRPr="00E05E56">
        <w:t xml:space="preserve">of Fundamental Rights of the EU </w:t>
      </w:r>
      <w:r w:rsidR="00D76CBC" w:rsidRPr="00E05E56">
        <w:t xml:space="preserve">guarantees the right of every citizen of the Union to vote and stand as candidate at elections to the European Parliament (Article </w:t>
      </w:r>
      <w:r w:rsidR="0027677C" w:rsidRPr="00E05E56">
        <w:t>39) and at municipal elections (Article 40).</w:t>
      </w:r>
    </w:p>
    <w:p w14:paraId="743130CB" w14:textId="77777777" w:rsidR="008F512B" w:rsidRPr="00E05E56" w:rsidRDefault="008F512B" w:rsidP="0055669F">
      <w:pPr>
        <w:ind w:firstLine="284"/>
        <w:jc w:val="both"/>
      </w:pPr>
    </w:p>
    <w:p w14:paraId="1E29E0AC" w14:textId="77777777" w:rsidR="00053A3E" w:rsidRDefault="00AD1EE9" w:rsidP="0055669F">
      <w:pPr>
        <w:ind w:firstLine="284"/>
        <w:jc w:val="both"/>
        <w:rPr>
          <w:lang w:val="en-GB"/>
        </w:rPr>
      </w:pPr>
      <w:r w:rsidRPr="00E05E56">
        <w:rPr>
          <w:lang w:val="en-GB"/>
        </w:rPr>
        <w:t>For its part, t</w:t>
      </w:r>
      <w:r w:rsidR="00DF134E" w:rsidRPr="00E05E56">
        <w:rPr>
          <w:lang w:val="en-GB"/>
        </w:rPr>
        <w:t>he</w:t>
      </w:r>
      <w:r w:rsidR="00C36212" w:rsidRPr="00E05E56">
        <w:rPr>
          <w:lang w:val="en-GB"/>
        </w:rPr>
        <w:t xml:space="preserve"> </w:t>
      </w:r>
      <w:r w:rsidR="00CE14BF" w:rsidRPr="00E05E56">
        <w:rPr>
          <w:lang w:val="en-GB"/>
        </w:rPr>
        <w:t>OSCE</w:t>
      </w:r>
      <w:r w:rsidR="00DF134E" w:rsidRPr="00E05E56">
        <w:rPr>
          <w:lang w:val="en-GB"/>
        </w:rPr>
        <w:t xml:space="preserve"> has </w:t>
      </w:r>
      <w:r w:rsidR="00F25954" w:rsidRPr="00E05E56">
        <w:rPr>
          <w:lang w:val="en-GB"/>
        </w:rPr>
        <w:t>adopted</w:t>
      </w:r>
      <w:r w:rsidR="00C36212" w:rsidRPr="00E05E56">
        <w:rPr>
          <w:lang w:val="en-GB"/>
        </w:rPr>
        <w:t xml:space="preserve"> </w:t>
      </w:r>
      <w:r w:rsidR="005939EB" w:rsidRPr="00E05E56">
        <w:rPr>
          <w:lang w:val="en-GB"/>
        </w:rPr>
        <w:t>several</w:t>
      </w:r>
      <w:r w:rsidR="00C36212" w:rsidRPr="00E05E56">
        <w:rPr>
          <w:lang w:val="en-GB"/>
        </w:rPr>
        <w:t xml:space="preserve"> </w:t>
      </w:r>
      <w:r w:rsidR="005939EB" w:rsidRPr="00E05E56">
        <w:rPr>
          <w:lang w:val="en-GB"/>
        </w:rPr>
        <w:t xml:space="preserve">documents </w:t>
      </w:r>
      <w:r w:rsidR="00C36212" w:rsidRPr="00E05E56">
        <w:rPr>
          <w:lang w:val="en-GB"/>
        </w:rPr>
        <w:t>relat</w:t>
      </w:r>
      <w:r w:rsidR="00F25954" w:rsidRPr="00E05E56">
        <w:rPr>
          <w:lang w:val="en-GB"/>
        </w:rPr>
        <w:t>ing</w:t>
      </w:r>
      <w:r w:rsidR="00C36212" w:rsidRPr="00E05E56">
        <w:rPr>
          <w:lang w:val="en-GB"/>
        </w:rPr>
        <w:t xml:space="preserve"> to the right to participation</w:t>
      </w:r>
      <w:r w:rsidR="00F25954" w:rsidRPr="00E05E56">
        <w:rPr>
          <w:lang w:val="en-GB"/>
        </w:rPr>
        <w:t xml:space="preserve"> of national minorities,</w:t>
      </w:r>
      <w:r w:rsidR="00AE1050" w:rsidRPr="00D24721">
        <w:rPr>
          <w:rStyle w:val="FootnoteReference"/>
          <w:rFonts w:ascii="Times New Roman" w:hAnsi="Times New Roman"/>
          <w:lang w:val="en-GB"/>
        </w:rPr>
        <w:footnoteReference w:id="19"/>
      </w:r>
      <w:r w:rsidR="00AE1050" w:rsidRPr="00E05E56">
        <w:rPr>
          <w:lang w:val="en-GB"/>
        </w:rPr>
        <w:t xml:space="preserve"> </w:t>
      </w:r>
      <w:r w:rsidR="00F25954" w:rsidRPr="00E05E56">
        <w:rPr>
          <w:lang w:val="en-GB"/>
        </w:rPr>
        <w:t xml:space="preserve"> women</w:t>
      </w:r>
      <w:r w:rsidR="00AE1050" w:rsidRPr="00D24721">
        <w:rPr>
          <w:rStyle w:val="FootnoteReference"/>
          <w:rFonts w:ascii="Times New Roman" w:hAnsi="Times New Roman"/>
          <w:lang w:val="en-GB"/>
        </w:rPr>
        <w:footnoteReference w:id="20"/>
      </w:r>
      <w:r w:rsidR="00F25954" w:rsidRPr="00E05E56">
        <w:rPr>
          <w:lang w:val="en-GB"/>
        </w:rPr>
        <w:t xml:space="preserve"> and persons with disabilities</w:t>
      </w:r>
      <w:r w:rsidR="00AE1050" w:rsidRPr="00D24721">
        <w:rPr>
          <w:rStyle w:val="FootnoteReference"/>
          <w:rFonts w:ascii="Times New Roman" w:hAnsi="Times New Roman"/>
          <w:lang w:val="en-GB"/>
        </w:rPr>
        <w:footnoteReference w:id="21"/>
      </w:r>
      <w:r w:rsidR="00870715" w:rsidRPr="00E05E56">
        <w:rPr>
          <w:lang w:val="en-GB"/>
        </w:rPr>
        <w:t>.</w:t>
      </w:r>
      <w:r w:rsidR="00E00586" w:rsidRPr="00E05E56">
        <w:rPr>
          <w:lang w:val="en-GB"/>
        </w:rPr>
        <w:t xml:space="preserve"> </w:t>
      </w:r>
      <w:r w:rsidR="00F4070E" w:rsidRPr="00E05E56">
        <w:rPr>
          <w:lang w:val="en-GB"/>
        </w:rPr>
        <w:t>Besides, t</w:t>
      </w:r>
      <w:r w:rsidR="00E00586" w:rsidRPr="00E05E56">
        <w:rPr>
          <w:lang w:val="en-GB"/>
        </w:rPr>
        <w:t>he OSCE</w:t>
      </w:r>
      <w:r w:rsidR="00187647" w:rsidRPr="00E05E56">
        <w:rPr>
          <w:lang w:val="en-GB"/>
        </w:rPr>
        <w:t xml:space="preserve"> </w:t>
      </w:r>
      <w:r w:rsidR="00DB75EF" w:rsidRPr="00E05E56">
        <w:rPr>
          <w:lang w:val="en-GB"/>
        </w:rPr>
        <w:t>provide</w:t>
      </w:r>
      <w:r w:rsidR="00187647" w:rsidRPr="00E05E56">
        <w:rPr>
          <w:lang w:val="en-GB"/>
        </w:rPr>
        <w:t>s</w:t>
      </w:r>
      <w:r w:rsidR="00E00586" w:rsidRPr="00E05E56">
        <w:rPr>
          <w:lang w:val="en-GB"/>
        </w:rPr>
        <w:t xml:space="preserve"> a regulatory framework to </w:t>
      </w:r>
      <w:r w:rsidR="00187647" w:rsidRPr="00E05E56">
        <w:rPr>
          <w:lang w:val="en-GB"/>
        </w:rPr>
        <w:t xml:space="preserve">participating </w:t>
      </w:r>
      <w:r w:rsidR="00E00586" w:rsidRPr="00E05E56">
        <w:rPr>
          <w:lang w:val="en-GB"/>
        </w:rPr>
        <w:t>States th</w:t>
      </w:r>
      <w:r w:rsidR="00DB75EF" w:rsidRPr="00E05E56">
        <w:rPr>
          <w:lang w:val="en-GB"/>
        </w:rPr>
        <w:t>r</w:t>
      </w:r>
      <w:r w:rsidR="00E00586" w:rsidRPr="00E05E56">
        <w:rPr>
          <w:lang w:val="en-GB"/>
        </w:rPr>
        <w:t>ough the elaboration of guidelines</w:t>
      </w:r>
      <w:r w:rsidR="00A714C3" w:rsidRPr="00E05E56">
        <w:rPr>
          <w:lang w:val="en-GB"/>
        </w:rPr>
        <w:t xml:space="preserve"> and recommendations</w:t>
      </w:r>
      <w:r w:rsidR="00564E24" w:rsidRPr="00E05E56">
        <w:rPr>
          <w:lang w:val="en-GB"/>
        </w:rPr>
        <w:t>, notably</w:t>
      </w:r>
      <w:r w:rsidR="003538F5" w:rsidRPr="00E05E56">
        <w:rPr>
          <w:lang w:val="en-GB"/>
        </w:rPr>
        <w:t xml:space="preserve"> on the participation of national minorities and associations</w:t>
      </w:r>
      <w:r w:rsidR="00187647" w:rsidRPr="00E05E56">
        <w:rPr>
          <w:lang w:val="en-GB"/>
        </w:rPr>
        <w:t>,</w:t>
      </w:r>
      <w:r w:rsidR="00A714C3" w:rsidRPr="00D24721">
        <w:rPr>
          <w:rStyle w:val="FootnoteReference"/>
          <w:rFonts w:ascii="Times New Roman" w:hAnsi="Times New Roman"/>
          <w:lang w:val="en-GB"/>
        </w:rPr>
        <w:footnoteReference w:id="22"/>
      </w:r>
      <w:r w:rsidR="00187647" w:rsidRPr="00E05E56">
        <w:rPr>
          <w:lang w:val="en-GB"/>
        </w:rPr>
        <w:t xml:space="preserve"> some of which with the Council of Europe Venice Commission</w:t>
      </w:r>
      <w:r w:rsidR="00E00586" w:rsidRPr="00E05E56">
        <w:rPr>
          <w:lang w:val="en-GB"/>
        </w:rPr>
        <w:t>.</w:t>
      </w:r>
      <w:r w:rsidR="00EB41C5" w:rsidRPr="00D24721">
        <w:rPr>
          <w:rStyle w:val="FootnoteReference"/>
          <w:rFonts w:ascii="Times New Roman" w:hAnsi="Times New Roman"/>
          <w:lang w:val="en-GB"/>
        </w:rPr>
        <w:footnoteReference w:id="23"/>
      </w:r>
    </w:p>
    <w:p w14:paraId="479CE2F4" w14:textId="77777777" w:rsidR="008F512B" w:rsidRPr="00E05E56" w:rsidRDefault="008F512B" w:rsidP="0055669F">
      <w:pPr>
        <w:ind w:firstLine="284"/>
        <w:jc w:val="both"/>
        <w:rPr>
          <w:lang w:val="en-GB"/>
        </w:rPr>
      </w:pPr>
    </w:p>
    <w:p w14:paraId="68BB7485" w14:textId="77777777" w:rsidR="00C94222" w:rsidRDefault="007A3C0A" w:rsidP="0055669F">
      <w:pPr>
        <w:ind w:firstLine="284"/>
        <w:jc w:val="both"/>
        <w:rPr>
          <w:lang w:val="en-GB"/>
        </w:rPr>
      </w:pPr>
      <w:r w:rsidRPr="00E05E56">
        <w:rPr>
          <w:lang w:val="en-GB"/>
        </w:rPr>
        <w:t xml:space="preserve">The UN, </w:t>
      </w:r>
      <w:proofErr w:type="spellStart"/>
      <w:r w:rsidRPr="00E05E56">
        <w:rPr>
          <w:lang w:val="en-GB"/>
        </w:rPr>
        <w:t>CoE</w:t>
      </w:r>
      <w:proofErr w:type="spellEnd"/>
      <w:r w:rsidRPr="00E05E56">
        <w:rPr>
          <w:lang w:val="en-GB"/>
        </w:rPr>
        <w:t xml:space="preserve"> and the OSCE standards </w:t>
      </w:r>
      <w:r w:rsidR="00D25F0E" w:rsidRPr="00E05E56">
        <w:rPr>
          <w:lang w:val="en-GB"/>
        </w:rPr>
        <w:t>apply to all</w:t>
      </w:r>
      <w:r w:rsidR="006C2EE0" w:rsidRPr="00E05E56">
        <w:rPr>
          <w:lang w:val="en-GB"/>
        </w:rPr>
        <w:t xml:space="preserve"> 25 countries apart from Israel</w:t>
      </w:r>
      <w:r w:rsidR="00053A3E" w:rsidRPr="00E05E56">
        <w:rPr>
          <w:lang w:val="en-GB"/>
        </w:rPr>
        <w:t xml:space="preserve">. Israel is not </w:t>
      </w:r>
      <w:r w:rsidR="008A2BC9" w:rsidRPr="00E05E56">
        <w:rPr>
          <w:lang w:val="en-GB"/>
        </w:rPr>
        <w:t xml:space="preserve">a party to </w:t>
      </w:r>
      <w:r w:rsidR="00053A3E" w:rsidRPr="00E05E56">
        <w:rPr>
          <w:lang w:val="en-GB"/>
        </w:rPr>
        <w:t xml:space="preserve">the ECHR. It is </w:t>
      </w:r>
      <w:r w:rsidR="00F04737" w:rsidRPr="00E05E56">
        <w:rPr>
          <w:lang w:val="en-GB"/>
        </w:rPr>
        <w:t xml:space="preserve">a </w:t>
      </w:r>
      <w:r w:rsidR="00053A3E" w:rsidRPr="00E05E56">
        <w:rPr>
          <w:lang w:val="en-GB"/>
        </w:rPr>
        <w:t xml:space="preserve">party to other </w:t>
      </w:r>
      <w:proofErr w:type="spellStart"/>
      <w:r w:rsidR="00053A3E" w:rsidRPr="00E05E56">
        <w:rPr>
          <w:lang w:val="en-GB"/>
        </w:rPr>
        <w:t>CoE</w:t>
      </w:r>
      <w:proofErr w:type="spellEnd"/>
      <w:r w:rsidR="00053A3E" w:rsidRPr="00E05E56">
        <w:rPr>
          <w:lang w:val="en-GB"/>
        </w:rPr>
        <w:t xml:space="preserve"> conventions - none of which are relevant to this study</w:t>
      </w:r>
      <w:r w:rsidR="00053A3E" w:rsidRPr="00D24721">
        <w:rPr>
          <w:rStyle w:val="FootnoteReference"/>
          <w:rFonts w:ascii="Times New Roman" w:hAnsi="Times New Roman"/>
          <w:lang w:val="en-GB"/>
        </w:rPr>
        <w:footnoteReference w:id="24"/>
      </w:r>
      <w:r w:rsidR="00053A3E" w:rsidRPr="00E05E56">
        <w:rPr>
          <w:lang w:val="en-GB"/>
        </w:rPr>
        <w:t xml:space="preserve">  - and a member of the Venice Commission. As an OSCE partner for co-operation, Israel may also participate in the yearly human dimension implementation meetings.</w:t>
      </w:r>
      <w:r w:rsidR="00053A3E" w:rsidRPr="00D24721">
        <w:rPr>
          <w:rStyle w:val="FootnoteReference"/>
          <w:rFonts w:ascii="Times New Roman" w:hAnsi="Times New Roman"/>
          <w:lang w:val="en-GB"/>
        </w:rPr>
        <w:footnoteReference w:id="25"/>
      </w:r>
      <w:r w:rsidR="00053A3E" w:rsidRPr="00E05E56">
        <w:rPr>
          <w:lang w:val="en-GB"/>
        </w:rPr>
        <w:t xml:space="preserve"> EU standards do not apply to non EU Member States (Andorra, Iceland, Israel, Liechtenstein, Monaco, Norway, San Marino, Switzerland and Turkey).</w:t>
      </w:r>
    </w:p>
    <w:p w14:paraId="59ACC31F" w14:textId="77777777" w:rsidR="00974A17" w:rsidRPr="00E05E56" w:rsidRDefault="00974A17" w:rsidP="0055669F">
      <w:pPr>
        <w:ind w:firstLine="284"/>
        <w:jc w:val="both"/>
        <w:rPr>
          <w:rFonts w:eastAsia="Times New Roman"/>
          <w:b/>
        </w:rPr>
      </w:pPr>
    </w:p>
    <w:p w14:paraId="7A71EFE6" w14:textId="77777777" w:rsidR="0043688B" w:rsidRDefault="00D41468" w:rsidP="0055669F">
      <w:pPr>
        <w:ind w:firstLine="284"/>
        <w:jc w:val="both"/>
        <w:rPr>
          <w:lang w:val="en-GB"/>
        </w:rPr>
      </w:pPr>
      <w:r w:rsidRPr="00E05E56">
        <w:rPr>
          <w:lang w:val="en-GB"/>
        </w:rPr>
        <w:t>This study is necessarily limited in scope and therefore non-exhaustive. N</w:t>
      </w:r>
      <w:r w:rsidR="002D6E80" w:rsidRPr="00E05E56">
        <w:rPr>
          <w:lang w:val="en-GB"/>
        </w:rPr>
        <w:t xml:space="preserve">ot all standards, cases and </w:t>
      </w:r>
      <w:r w:rsidRPr="00E05E56">
        <w:rPr>
          <w:lang w:val="en-GB"/>
        </w:rPr>
        <w:t xml:space="preserve">practices have been </w:t>
      </w:r>
      <w:r w:rsidR="008B3E64" w:rsidRPr="00E05E56">
        <w:rPr>
          <w:lang w:val="en-GB"/>
        </w:rPr>
        <w:t>compiled and studied</w:t>
      </w:r>
      <w:r w:rsidRPr="00E05E56">
        <w:rPr>
          <w:lang w:val="en-GB"/>
        </w:rPr>
        <w:t>.</w:t>
      </w:r>
      <w:r w:rsidR="00B739A3" w:rsidRPr="00D24721">
        <w:rPr>
          <w:rStyle w:val="FootnoteReference"/>
          <w:rFonts w:ascii="Times New Roman" w:hAnsi="Times New Roman"/>
          <w:lang w:val="en-GB"/>
        </w:rPr>
        <w:footnoteReference w:id="26"/>
      </w:r>
      <w:r w:rsidR="00A93F4C" w:rsidRPr="00E05E56">
        <w:rPr>
          <w:lang w:val="en-GB"/>
        </w:rPr>
        <w:t xml:space="preserve"> </w:t>
      </w:r>
      <w:r w:rsidR="005848BE" w:rsidRPr="00E05E56">
        <w:rPr>
          <w:lang w:val="en-GB"/>
        </w:rPr>
        <w:t xml:space="preserve">The most recent reports and views of the following UN Human Rights bodies have been </w:t>
      </w:r>
      <w:r w:rsidR="0013576E" w:rsidRPr="00E05E56">
        <w:rPr>
          <w:lang w:val="en-GB"/>
        </w:rPr>
        <w:t>processed</w:t>
      </w:r>
      <w:r w:rsidR="005848BE" w:rsidRPr="00E05E56">
        <w:rPr>
          <w:lang w:val="en-GB"/>
        </w:rPr>
        <w:t xml:space="preserve">: Human Rights Committee, CESCR, CERD, CEDAW, CRDP, relevant special procedures and UPR recommendations. At the European level, the relevant </w:t>
      </w:r>
      <w:proofErr w:type="spellStart"/>
      <w:r w:rsidR="005848BE" w:rsidRPr="00E05E56">
        <w:rPr>
          <w:lang w:val="en-GB"/>
        </w:rPr>
        <w:t>ECtHR</w:t>
      </w:r>
      <w:proofErr w:type="spellEnd"/>
      <w:r w:rsidR="005848BE" w:rsidRPr="00E05E56">
        <w:rPr>
          <w:lang w:val="en-GB"/>
        </w:rPr>
        <w:t xml:space="preserve"> and CJEU judgments as well as the </w:t>
      </w:r>
      <w:r w:rsidR="00257E69" w:rsidRPr="00E05E56">
        <w:rPr>
          <w:lang w:val="en-GB"/>
        </w:rPr>
        <w:t xml:space="preserve">most recent reports, </w:t>
      </w:r>
      <w:r w:rsidR="005848BE" w:rsidRPr="00E05E56">
        <w:rPr>
          <w:lang w:val="en-GB"/>
        </w:rPr>
        <w:lastRenderedPageBreak/>
        <w:t xml:space="preserve">recommendations </w:t>
      </w:r>
      <w:r w:rsidR="00257E69" w:rsidRPr="00E05E56">
        <w:rPr>
          <w:lang w:val="en-GB"/>
        </w:rPr>
        <w:t xml:space="preserve">and resolutions </w:t>
      </w:r>
      <w:r w:rsidR="005848BE" w:rsidRPr="00E05E56">
        <w:rPr>
          <w:lang w:val="en-GB"/>
        </w:rPr>
        <w:t xml:space="preserve">from the following bodies have been </w:t>
      </w:r>
      <w:r w:rsidR="00005DA3" w:rsidRPr="00E05E56">
        <w:rPr>
          <w:lang w:val="en-GB"/>
        </w:rPr>
        <w:t>considered</w:t>
      </w:r>
      <w:r w:rsidR="005848BE" w:rsidRPr="00E05E56">
        <w:rPr>
          <w:lang w:val="en-GB"/>
        </w:rPr>
        <w:t>: the Commissioner for Human Rights,</w:t>
      </w:r>
      <w:r w:rsidR="00257E69" w:rsidRPr="00E05E56">
        <w:rPr>
          <w:lang w:val="en-GB"/>
        </w:rPr>
        <w:t xml:space="preserve"> Committee of Ministers,</w:t>
      </w:r>
      <w:r w:rsidR="005848BE" w:rsidRPr="00E05E56">
        <w:rPr>
          <w:lang w:val="en-GB"/>
        </w:rPr>
        <w:t xml:space="preserve"> </w:t>
      </w:r>
      <w:r w:rsidR="00D161C3" w:rsidRPr="00E05E56">
        <w:rPr>
          <w:lang w:val="en-GB"/>
        </w:rPr>
        <w:t xml:space="preserve">the </w:t>
      </w:r>
      <w:r w:rsidR="00D161C3" w:rsidRPr="00E05E56">
        <w:t>European Commission Against Racism and Intolerance</w:t>
      </w:r>
      <w:r w:rsidR="00D161C3" w:rsidRPr="00E05E56">
        <w:rPr>
          <w:lang w:val="en-GB"/>
        </w:rPr>
        <w:t xml:space="preserve"> (</w:t>
      </w:r>
      <w:r w:rsidR="005848BE" w:rsidRPr="00E05E56">
        <w:rPr>
          <w:lang w:val="en-GB"/>
        </w:rPr>
        <w:t>ECRI</w:t>
      </w:r>
      <w:r w:rsidR="00D161C3" w:rsidRPr="00E05E56">
        <w:rPr>
          <w:lang w:val="en-GB"/>
        </w:rPr>
        <w:t>)</w:t>
      </w:r>
      <w:r w:rsidR="005848BE" w:rsidRPr="00E05E56">
        <w:rPr>
          <w:lang w:val="en-GB"/>
        </w:rPr>
        <w:t xml:space="preserve">, </w:t>
      </w:r>
      <w:r w:rsidR="00D161C3" w:rsidRPr="00E05E56">
        <w:rPr>
          <w:lang w:val="en-GB"/>
        </w:rPr>
        <w:t xml:space="preserve">the </w:t>
      </w:r>
      <w:r w:rsidR="00D161C3" w:rsidRPr="00E05E56">
        <w:t>Advisory Committee on the Framework Convention for the Protection of National Minorities</w:t>
      </w:r>
      <w:r w:rsidR="00D161C3" w:rsidRPr="00E05E56">
        <w:rPr>
          <w:lang w:val="en-GB"/>
        </w:rPr>
        <w:t xml:space="preserve"> (</w:t>
      </w:r>
      <w:r w:rsidR="005848BE" w:rsidRPr="00E05E56">
        <w:rPr>
          <w:lang w:val="en-GB"/>
        </w:rPr>
        <w:t>ACFC</w:t>
      </w:r>
      <w:r w:rsidR="00D161C3" w:rsidRPr="00E05E56">
        <w:rPr>
          <w:lang w:val="en-GB"/>
        </w:rPr>
        <w:t>)</w:t>
      </w:r>
      <w:r w:rsidR="005848BE" w:rsidRPr="00E05E56">
        <w:rPr>
          <w:lang w:val="en-GB"/>
        </w:rPr>
        <w:t xml:space="preserve"> and the Venice Commission.</w:t>
      </w:r>
    </w:p>
    <w:p w14:paraId="000D45BE" w14:textId="77777777" w:rsidR="008F512B" w:rsidRPr="00E05E56" w:rsidRDefault="008F512B" w:rsidP="0055669F">
      <w:pPr>
        <w:ind w:firstLine="284"/>
        <w:jc w:val="both"/>
        <w:rPr>
          <w:lang w:val="en-GB"/>
        </w:rPr>
      </w:pPr>
    </w:p>
    <w:p w14:paraId="18392ED1" w14:textId="77777777" w:rsidR="009C144F" w:rsidRDefault="00E96397" w:rsidP="0055669F">
      <w:pPr>
        <w:ind w:firstLine="284"/>
        <w:jc w:val="both"/>
        <w:rPr>
          <w:lang w:val="en-GB"/>
        </w:rPr>
      </w:pPr>
      <w:r w:rsidRPr="00E05E56">
        <w:rPr>
          <w:lang w:val="en-GB"/>
        </w:rPr>
        <w:t xml:space="preserve">In line with </w:t>
      </w:r>
      <w:r w:rsidR="009C284E" w:rsidRPr="00E05E56">
        <w:rPr>
          <w:lang w:val="en-GB"/>
        </w:rPr>
        <w:t xml:space="preserve">Human Rights Council </w:t>
      </w:r>
      <w:r w:rsidRPr="00E05E56">
        <w:rPr>
          <w:lang w:val="en-GB"/>
        </w:rPr>
        <w:t xml:space="preserve">Resolution </w:t>
      </w:r>
      <w:r w:rsidR="0043688B" w:rsidRPr="00E05E56">
        <w:rPr>
          <w:lang w:val="en-GB"/>
        </w:rPr>
        <w:t>33/22,</w:t>
      </w:r>
      <w:r w:rsidR="00C32825" w:rsidRPr="00D24721">
        <w:rPr>
          <w:rStyle w:val="FootnoteReference"/>
          <w:rFonts w:ascii="Times New Roman" w:hAnsi="Times New Roman"/>
          <w:lang w:val="en-GB"/>
        </w:rPr>
        <w:footnoteReference w:id="27"/>
      </w:r>
      <w:r w:rsidR="0043688B" w:rsidRPr="00E05E56">
        <w:rPr>
          <w:lang w:val="en-GB"/>
        </w:rPr>
        <w:t xml:space="preserve"> this study</w:t>
      </w:r>
      <w:r w:rsidR="005D4FBC" w:rsidRPr="00E05E56">
        <w:rPr>
          <w:lang w:val="en-GB"/>
        </w:rPr>
        <w:t xml:space="preserve"> focuses on three main aspects:</w:t>
      </w:r>
      <w:r w:rsidR="00854F66" w:rsidRPr="00E05E56">
        <w:rPr>
          <w:lang w:val="en-GB"/>
        </w:rPr>
        <w:t xml:space="preserve"> discrimination</w:t>
      </w:r>
      <w:r w:rsidR="00BD3B8D" w:rsidRPr="00E05E56">
        <w:rPr>
          <w:lang w:val="en-GB"/>
        </w:rPr>
        <w:t xml:space="preserve"> faced by several social groups </w:t>
      </w:r>
      <w:r w:rsidR="005D4FBC" w:rsidRPr="00E05E56">
        <w:rPr>
          <w:lang w:val="en-GB"/>
        </w:rPr>
        <w:t>in their enjoyme</w:t>
      </w:r>
      <w:r w:rsidR="000B11CA" w:rsidRPr="00E05E56">
        <w:rPr>
          <w:lang w:val="en-GB"/>
        </w:rPr>
        <w:t>nt of the right to participate</w:t>
      </w:r>
      <w:r w:rsidR="005D4FBC" w:rsidRPr="00E05E56">
        <w:rPr>
          <w:lang w:val="en-GB"/>
        </w:rPr>
        <w:t xml:space="preserve"> in public affairs </w:t>
      </w:r>
      <w:r w:rsidR="00BD3B8D" w:rsidRPr="00E05E56">
        <w:rPr>
          <w:lang w:val="en-GB"/>
        </w:rPr>
        <w:t>(I), new forms of participation</w:t>
      </w:r>
      <w:r w:rsidR="0043688B" w:rsidRPr="00E05E56">
        <w:rPr>
          <w:lang w:val="en-GB"/>
        </w:rPr>
        <w:t xml:space="preserve"> </w:t>
      </w:r>
      <w:r w:rsidR="00BD3B8D" w:rsidRPr="00E05E56">
        <w:rPr>
          <w:lang w:val="en-GB"/>
        </w:rPr>
        <w:t>and new technologies</w:t>
      </w:r>
      <w:r w:rsidR="005D4FBC" w:rsidRPr="00E05E56">
        <w:rPr>
          <w:lang w:val="en-GB"/>
        </w:rPr>
        <w:t xml:space="preserve"> as an opportunity to allow more people to take part in elections</w:t>
      </w:r>
      <w:r w:rsidR="00BD3B8D" w:rsidRPr="00E05E56">
        <w:rPr>
          <w:lang w:val="en-GB"/>
        </w:rPr>
        <w:t xml:space="preserve"> (II) and public participation beyond the State level (III).</w:t>
      </w:r>
    </w:p>
    <w:p w14:paraId="7A38C370" w14:textId="77777777" w:rsidR="00974A17" w:rsidRPr="00E05E56" w:rsidRDefault="00974A17" w:rsidP="0055669F">
      <w:pPr>
        <w:ind w:firstLine="284"/>
        <w:jc w:val="both"/>
        <w:rPr>
          <w:lang w:val="en-GB"/>
        </w:rPr>
      </w:pPr>
    </w:p>
    <w:p w14:paraId="64C5C285" w14:textId="1EF98289" w:rsidR="001D0128" w:rsidRDefault="00D44316" w:rsidP="00E05E56">
      <w:pPr>
        <w:pStyle w:val="Heading1"/>
        <w:numPr>
          <w:ilvl w:val="0"/>
          <w:numId w:val="20"/>
        </w:numPr>
        <w:rPr>
          <w:rFonts w:ascii="Times New Roman" w:hAnsi="Times New Roman" w:cs="Times New Roman"/>
          <w:color w:val="auto"/>
          <w:lang w:val="en-GB"/>
        </w:rPr>
      </w:pPr>
      <w:bookmarkStart w:id="2" w:name="_Toc509931720"/>
      <w:r w:rsidRPr="00E05E56">
        <w:rPr>
          <w:rFonts w:ascii="Times New Roman" w:hAnsi="Times New Roman" w:cs="Times New Roman"/>
          <w:color w:val="auto"/>
          <w:lang w:val="en-GB"/>
        </w:rPr>
        <w:t>Discrimination</w:t>
      </w:r>
      <w:r w:rsidR="00524702" w:rsidRPr="00E05E56">
        <w:rPr>
          <w:rFonts w:ascii="Times New Roman" w:hAnsi="Times New Roman" w:cs="Times New Roman"/>
          <w:color w:val="auto"/>
          <w:lang w:val="en-GB"/>
        </w:rPr>
        <w:t xml:space="preserve"> faced by </w:t>
      </w:r>
      <w:r w:rsidR="00E1488E" w:rsidRPr="00E05E56">
        <w:rPr>
          <w:rFonts w:ascii="Times New Roman" w:hAnsi="Times New Roman" w:cs="Times New Roman"/>
          <w:color w:val="auto"/>
          <w:lang w:val="en-GB"/>
        </w:rPr>
        <w:t xml:space="preserve">various </w:t>
      </w:r>
      <w:r w:rsidR="00524702" w:rsidRPr="00E05E56">
        <w:rPr>
          <w:rFonts w:ascii="Times New Roman" w:hAnsi="Times New Roman" w:cs="Times New Roman"/>
          <w:color w:val="auto"/>
          <w:lang w:val="en-GB"/>
        </w:rPr>
        <w:t>social groups</w:t>
      </w:r>
      <w:bookmarkEnd w:id="2"/>
    </w:p>
    <w:p w14:paraId="1523F1A2" w14:textId="77777777" w:rsidR="00E05E56" w:rsidRPr="00E05E56" w:rsidRDefault="00E05E56" w:rsidP="00E05E56">
      <w:pPr>
        <w:rPr>
          <w:lang w:val="en-GB"/>
        </w:rPr>
      </w:pPr>
    </w:p>
    <w:p w14:paraId="11C45176" w14:textId="77777777" w:rsidR="00D8296A" w:rsidRPr="008F512B" w:rsidRDefault="0060648D" w:rsidP="00086D3C">
      <w:pPr>
        <w:ind w:firstLine="284"/>
        <w:rPr>
          <w:lang w:val="en-GB"/>
        </w:rPr>
      </w:pPr>
      <w:r w:rsidRPr="005D084F">
        <w:rPr>
          <w:lang w:val="en-GB"/>
        </w:rPr>
        <w:t>Various social groups face specific challenges and discrimination.</w:t>
      </w:r>
      <w:r w:rsidR="000A5F92" w:rsidRPr="00D24721">
        <w:rPr>
          <w:rStyle w:val="FootnoteReference"/>
          <w:rFonts w:ascii="Times New Roman" w:hAnsi="Times New Roman"/>
          <w:lang w:val="en-GB"/>
        </w:rPr>
        <w:footnoteReference w:id="28"/>
      </w:r>
      <w:r w:rsidR="00086D3C" w:rsidRPr="005D084F">
        <w:rPr>
          <w:lang w:val="en-GB"/>
        </w:rPr>
        <w:t xml:space="preserve"> The Human Rights Committee has clarified that</w:t>
      </w:r>
      <w:r w:rsidR="00D8296A" w:rsidRPr="00D24721">
        <w:rPr>
          <w:lang w:val="en-GB"/>
        </w:rPr>
        <w:t xml:space="preserve"> “not all differentiation constitutes discrimination </w:t>
      </w:r>
      <w:r w:rsidR="0064026E" w:rsidRPr="00D24721">
        <w:rPr>
          <w:lang w:val="en-GB"/>
        </w:rPr>
        <w:t xml:space="preserve">in the enjoyment of the right to participate </w:t>
      </w:r>
      <w:r w:rsidR="00D8296A" w:rsidRPr="006B753A">
        <w:rPr>
          <w:lang w:val="en-GB"/>
        </w:rPr>
        <w:t>if it is based on objective and reasonable criteria and the purpose sought is legitimate under the Covenant”.</w:t>
      </w:r>
      <w:r w:rsidR="00D8296A" w:rsidRPr="006B753A">
        <w:rPr>
          <w:rStyle w:val="FootnoteReference"/>
          <w:rFonts w:ascii="Times New Roman" w:hAnsi="Times New Roman"/>
          <w:lang w:val="en-GB"/>
        </w:rPr>
        <w:footnoteReference w:id="29"/>
      </w:r>
      <w:r w:rsidR="00EA2ACD" w:rsidRPr="005D084F">
        <w:rPr>
          <w:lang w:val="en-GB"/>
        </w:rPr>
        <w:t xml:space="preserve"> Discrimination in the right to participation in publi</w:t>
      </w:r>
      <w:r w:rsidR="00E46A35" w:rsidRPr="00D24721">
        <w:rPr>
          <w:lang w:val="en-GB"/>
        </w:rPr>
        <w:t xml:space="preserve">c affairs remains a major issue. In Western Europe, the various </w:t>
      </w:r>
      <w:r w:rsidR="00763AB8" w:rsidRPr="00D24721">
        <w:rPr>
          <w:lang w:val="en-GB"/>
        </w:rPr>
        <w:t>social groups identified are</w:t>
      </w:r>
      <w:r w:rsidR="00E46A35" w:rsidRPr="006B753A">
        <w:rPr>
          <w:lang w:val="en-GB"/>
        </w:rPr>
        <w:t xml:space="preserve"> non-</w:t>
      </w:r>
      <w:r w:rsidR="00411840" w:rsidRPr="006B753A">
        <w:rPr>
          <w:lang w:val="en-GB"/>
        </w:rPr>
        <w:t xml:space="preserve">nationals </w:t>
      </w:r>
      <w:r w:rsidR="00E46A35" w:rsidRPr="006B753A">
        <w:rPr>
          <w:lang w:val="en-GB"/>
        </w:rPr>
        <w:t xml:space="preserve">and </w:t>
      </w:r>
      <w:r w:rsidR="00411840" w:rsidRPr="006B753A">
        <w:rPr>
          <w:lang w:val="en-GB"/>
        </w:rPr>
        <w:t xml:space="preserve">non-resident citizens </w:t>
      </w:r>
      <w:r w:rsidR="00E46A35" w:rsidRPr="006B753A">
        <w:rPr>
          <w:lang w:val="en-GB"/>
        </w:rPr>
        <w:t xml:space="preserve">(A), women (B), </w:t>
      </w:r>
      <w:r w:rsidR="00763AB8" w:rsidRPr="006B753A">
        <w:rPr>
          <w:lang w:val="en-GB"/>
        </w:rPr>
        <w:t>minorities and indigenous peoples (C), persons with disabilit</w:t>
      </w:r>
      <w:r w:rsidR="00763AB8" w:rsidRPr="008F512B">
        <w:rPr>
          <w:lang w:val="en-GB"/>
        </w:rPr>
        <w:t>ies (D) and prisoners (E).</w:t>
      </w:r>
    </w:p>
    <w:p w14:paraId="3375E7C5" w14:textId="77777777" w:rsidR="005F10ED" w:rsidRPr="00E05E56" w:rsidRDefault="00DB3A8E" w:rsidP="00336AC3">
      <w:pPr>
        <w:pStyle w:val="Heading2"/>
        <w:rPr>
          <w:rFonts w:ascii="Times New Roman" w:hAnsi="Times New Roman"/>
          <w:color w:val="auto"/>
          <w:lang w:val="en-GB"/>
        </w:rPr>
      </w:pPr>
      <w:bookmarkStart w:id="3" w:name="_Toc509931721"/>
      <w:r w:rsidRPr="00E05E56">
        <w:rPr>
          <w:rFonts w:ascii="Times New Roman" w:hAnsi="Times New Roman"/>
          <w:color w:val="auto"/>
          <w:lang w:val="en-GB"/>
        </w:rPr>
        <w:t xml:space="preserve">A. </w:t>
      </w:r>
      <w:r w:rsidR="0064026E" w:rsidRPr="00E05E56">
        <w:rPr>
          <w:rFonts w:ascii="Times New Roman" w:hAnsi="Times New Roman"/>
          <w:color w:val="auto"/>
          <w:lang w:val="en-GB"/>
        </w:rPr>
        <w:t>The right to vote of n</w:t>
      </w:r>
      <w:r w:rsidR="0008432C" w:rsidRPr="00E05E56">
        <w:rPr>
          <w:rFonts w:ascii="Times New Roman" w:hAnsi="Times New Roman"/>
          <w:color w:val="auto"/>
          <w:lang w:val="en-GB"/>
        </w:rPr>
        <w:t>on</w:t>
      </w:r>
      <w:r w:rsidR="00396455" w:rsidRPr="00E05E56">
        <w:rPr>
          <w:rFonts w:ascii="Times New Roman" w:hAnsi="Times New Roman"/>
          <w:color w:val="auto"/>
          <w:lang w:val="en-GB"/>
        </w:rPr>
        <w:t>-</w:t>
      </w:r>
      <w:r w:rsidR="00411840" w:rsidRPr="00E05E56">
        <w:rPr>
          <w:rFonts w:ascii="Times New Roman" w:hAnsi="Times New Roman"/>
          <w:color w:val="auto"/>
          <w:lang w:val="en-GB"/>
        </w:rPr>
        <w:t xml:space="preserve">nationals </w:t>
      </w:r>
      <w:r w:rsidR="00D006B8" w:rsidRPr="00E05E56">
        <w:rPr>
          <w:rFonts w:ascii="Times New Roman" w:hAnsi="Times New Roman"/>
          <w:color w:val="auto"/>
          <w:lang w:val="en-GB"/>
        </w:rPr>
        <w:t>and non-resident citizens</w:t>
      </w:r>
      <w:bookmarkEnd w:id="3"/>
    </w:p>
    <w:p w14:paraId="4D494A7B" w14:textId="77777777" w:rsidR="00282431" w:rsidRPr="005D084F" w:rsidRDefault="00282431" w:rsidP="00747360">
      <w:pPr>
        <w:ind w:firstLine="284"/>
        <w:rPr>
          <w:lang w:val="en-GB"/>
        </w:rPr>
      </w:pPr>
      <w:r w:rsidRPr="005D084F">
        <w:rPr>
          <w:lang w:val="en-GB"/>
        </w:rPr>
        <w:t>H</w:t>
      </w:r>
      <w:r w:rsidR="007C3E54" w:rsidRPr="005D084F">
        <w:rPr>
          <w:lang w:val="en-GB"/>
        </w:rPr>
        <w:t xml:space="preserve">istorically, </w:t>
      </w:r>
      <w:r w:rsidR="00D048D1" w:rsidRPr="00D24721">
        <w:rPr>
          <w:lang w:val="en-GB"/>
        </w:rPr>
        <w:t>the right to vote and political participation more generally</w:t>
      </w:r>
      <w:r w:rsidR="001B2C26" w:rsidRPr="00D24721">
        <w:rPr>
          <w:lang w:val="en-GB"/>
        </w:rPr>
        <w:t xml:space="preserve"> </w:t>
      </w:r>
      <w:r w:rsidR="00D048D1" w:rsidRPr="00904A38">
        <w:rPr>
          <w:lang w:val="en-GB"/>
        </w:rPr>
        <w:t>w</w:t>
      </w:r>
      <w:r w:rsidR="001B2C26" w:rsidRPr="00972980">
        <w:rPr>
          <w:lang w:val="en-GB"/>
        </w:rPr>
        <w:t>ere</w:t>
      </w:r>
      <w:r w:rsidR="00D048D1" w:rsidRPr="006B753A">
        <w:rPr>
          <w:lang w:val="en-GB"/>
        </w:rPr>
        <w:t xml:space="preserve"> granted both on the basis of citizenship and residence. </w:t>
      </w:r>
      <w:r w:rsidR="00372666" w:rsidRPr="008F512B">
        <w:rPr>
          <w:lang w:val="en-GB"/>
        </w:rPr>
        <w:t>Nowadays</w:t>
      </w:r>
      <w:r w:rsidR="0099684A" w:rsidRPr="008F512B">
        <w:rPr>
          <w:lang w:val="en-GB"/>
        </w:rPr>
        <w:t>, m</w:t>
      </w:r>
      <w:r w:rsidR="000D6593" w:rsidRPr="008F512B">
        <w:rPr>
          <w:lang w:val="en-GB"/>
        </w:rPr>
        <w:t>obility</w:t>
      </w:r>
      <w:r w:rsidR="007C3E54" w:rsidRPr="008F512B">
        <w:rPr>
          <w:lang w:val="en-GB"/>
        </w:rPr>
        <w:t xml:space="preserve"> raises </w:t>
      </w:r>
      <w:r w:rsidR="00FE1B3B" w:rsidRPr="008F512B">
        <w:rPr>
          <w:lang w:val="en-GB"/>
        </w:rPr>
        <w:t>the issue of the right to vote of non-</w:t>
      </w:r>
      <w:r w:rsidR="00411840" w:rsidRPr="008F512B">
        <w:rPr>
          <w:lang w:val="en-GB"/>
        </w:rPr>
        <w:t xml:space="preserve">nationals </w:t>
      </w:r>
      <w:r w:rsidR="008B59B0" w:rsidRPr="008F512B">
        <w:rPr>
          <w:lang w:val="en-GB"/>
        </w:rPr>
        <w:t xml:space="preserve">as </w:t>
      </w:r>
      <w:r w:rsidR="00BE2617" w:rsidRPr="008F512B">
        <w:rPr>
          <w:lang w:val="en-GB"/>
        </w:rPr>
        <w:t xml:space="preserve">well </w:t>
      </w:r>
      <w:r w:rsidR="00EB4F8B" w:rsidRPr="008F512B">
        <w:rPr>
          <w:lang w:val="en-GB"/>
        </w:rPr>
        <w:t xml:space="preserve">as </w:t>
      </w:r>
      <w:r w:rsidR="00BE2617" w:rsidRPr="008F512B">
        <w:rPr>
          <w:lang w:val="en-GB"/>
        </w:rPr>
        <w:t>non-resident citizens</w:t>
      </w:r>
      <w:r w:rsidR="000D6593" w:rsidRPr="008F512B">
        <w:rPr>
          <w:lang w:val="en-GB"/>
        </w:rPr>
        <w:t>.</w:t>
      </w:r>
      <w:r w:rsidR="00F70562" w:rsidRPr="00D66546">
        <w:rPr>
          <w:rStyle w:val="FootnoteReference"/>
          <w:rFonts w:ascii="Times New Roman" w:hAnsi="Times New Roman"/>
          <w:lang w:val="en-GB"/>
        </w:rPr>
        <w:footnoteReference w:id="30"/>
      </w:r>
    </w:p>
    <w:p w14:paraId="0FBB2954" w14:textId="77777777" w:rsidR="00A35C92" w:rsidRPr="00E05E56" w:rsidRDefault="00A35C92" w:rsidP="00EE61E3">
      <w:pPr>
        <w:pStyle w:val="Heading3"/>
        <w:numPr>
          <w:ilvl w:val="0"/>
          <w:numId w:val="18"/>
        </w:numPr>
        <w:rPr>
          <w:rFonts w:ascii="Times New Roman" w:hAnsi="Times New Roman" w:cs="Times New Roman"/>
          <w:color w:val="auto"/>
          <w:lang w:val="en-GB"/>
        </w:rPr>
      </w:pPr>
      <w:bookmarkStart w:id="4" w:name="_Toc509931722"/>
      <w:r w:rsidRPr="00E05E56">
        <w:rPr>
          <w:rFonts w:ascii="Times New Roman" w:hAnsi="Times New Roman" w:cs="Times New Roman"/>
          <w:color w:val="auto"/>
          <w:lang w:val="en-GB"/>
        </w:rPr>
        <w:t>Non-</w:t>
      </w:r>
      <w:r w:rsidR="00411840" w:rsidRPr="00E05E56">
        <w:rPr>
          <w:rFonts w:ascii="Times New Roman" w:hAnsi="Times New Roman" w:cs="Times New Roman"/>
          <w:color w:val="auto"/>
          <w:lang w:val="en-GB"/>
        </w:rPr>
        <w:t>nationals</w:t>
      </w:r>
      <w:bookmarkEnd w:id="4"/>
    </w:p>
    <w:p w14:paraId="1A2D2A6C" w14:textId="77777777" w:rsidR="00EE61E3" w:rsidRPr="005D084F" w:rsidRDefault="00EE61E3" w:rsidP="00EE61E3">
      <w:pPr>
        <w:rPr>
          <w:lang w:val="en-GB"/>
        </w:rPr>
      </w:pPr>
    </w:p>
    <w:p w14:paraId="51C13FD5" w14:textId="77777777" w:rsidR="001B0F3C" w:rsidRPr="006B753A" w:rsidRDefault="008879E7" w:rsidP="00F376A1">
      <w:pPr>
        <w:ind w:firstLine="284"/>
        <w:rPr>
          <w:rFonts w:eastAsia="Times New Roman"/>
        </w:rPr>
      </w:pPr>
      <w:r w:rsidRPr="00D24721">
        <w:rPr>
          <w:lang w:val="en-GB"/>
        </w:rPr>
        <w:t>The</w:t>
      </w:r>
      <w:r w:rsidR="0027680D" w:rsidRPr="00D24721">
        <w:rPr>
          <w:lang w:val="en-GB"/>
        </w:rPr>
        <w:t xml:space="preserve"> Maastricht Treaty</w:t>
      </w:r>
      <w:r w:rsidRPr="00904A38">
        <w:rPr>
          <w:lang w:val="en-GB"/>
        </w:rPr>
        <w:t xml:space="preserve"> of 1992</w:t>
      </w:r>
      <w:r w:rsidR="0027680D" w:rsidRPr="00972980">
        <w:rPr>
          <w:lang w:val="en-GB"/>
        </w:rPr>
        <w:t xml:space="preserve"> </w:t>
      </w:r>
      <w:r w:rsidRPr="006B753A">
        <w:rPr>
          <w:lang w:val="en-GB"/>
        </w:rPr>
        <w:t xml:space="preserve">established </w:t>
      </w:r>
      <w:r w:rsidR="0003522B" w:rsidRPr="006B753A">
        <w:t xml:space="preserve">the EU citizenship with the rights attached, including </w:t>
      </w:r>
      <w:r w:rsidR="00C30A36" w:rsidRPr="008F512B">
        <w:t>the</w:t>
      </w:r>
      <w:r w:rsidR="0003522B" w:rsidRPr="008F512B">
        <w:t xml:space="preserve"> right to vote </w:t>
      </w:r>
      <w:r w:rsidR="0003522B" w:rsidRPr="008F512B">
        <w:rPr>
          <w:rFonts w:eastAsia="Times New Roman"/>
        </w:rPr>
        <w:t>and stand as candidate in municipal elections</w:t>
      </w:r>
      <w:r w:rsidR="00D6752B" w:rsidRPr="008F512B">
        <w:rPr>
          <w:rFonts w:eastAsia="Times New Roman"/>
        </w:rPr>
        <w:t xml:space="preserve"> and in elections to the European Parliament</w:t>
      </w:r>
      <w:r w:rsidR="0003522B" w:rsidRPr="008F512B">
        <w:rPr>
          <w:rFonts w:eastAsia="Times New Roman"/>
        </w:rPr>
        <w:t>,</w:t>
      </w:r>
      <w:r w:rsidR="0003522B" w:rsidRPr="008F512B">
        <w:rPr>
          <w:lang w:val="en-GB"/>
        </w:rPr>
        <w:t xml:space="preserve"> but only for EU citizens residing in other Member States.</w:t>
      </w:r>
      <w:r w:rsidR="00C400EC" w:rsidRPr="00D66546">
        <w:rPr>
          <w:rStyle w:val="FootnoteReference"/>
          <w:rFonts w:ascii="Times New Roman" w:hAnsi="Times New Roman"/>
          <w:lang w:val="en-GB"/>
        </w:rPr>
        <w:footnoteReference w:id="31"/>
      </w:r>
      <w:r w:rsidR="0003522B" w:rsidRPr="005D084F">
        <w:rPr>
          <w:rFonts w:eastAsia="Times New Roman"/>
        </w:rPr>
        <w:t xml:space="preserve"> As a result</w:t>
      </w:r>
      <w:r w:rsidR="0027680D" w:rsidRPr="005D084F">
        <w:rPr>
          <w:lang w:val="en-GB"/>
        </w:rPr>
        <w:t xml:space="preserve">, </w:t>
      </w:r>
      <w:r w:rsidR="00F12B2D" w:rsidRPr="00D24721">
        <w:rPr>
          <w:lang w:val="en-GB"/>
        </w:rPr>
        <w:t>the right to vote in local elections</w:t>
      </w:r>
      <w:r w:rsidR="0027680D" w:rsidRPr="00D24721">
        <w:rPr>
          <w:lang w:val="en-GB"/>
        </w:rPr>
        <w:t xml:space="preserve"> has been introduced in EU countries</w:t>
      </w:r>
      <w:r w:rsidR="0003522B" w:rsidRPr="00904A38">
        <w:rPr>
          <w:lang w:val="en-GB"/>
        </w:rPr>
        <w:t xml:space="preserve"> since 1993</w:t>
      </w:r>
      <w:r w:rsidR="00785E39" w:rsidRPr="00972980">
        <w:rPr>
          <w:lang w:val="en-GB"/>
        </w:rPr>
        <w:t xml:space="preserve"> for EU </w:t>
      </w:r>
      <w:r w:rsidR="00785E39" w:rsidRPr="00972980">
        <w:rPr>
          <w:lang w:val="en-GB"/>
        </w:rPr>
        <w:lastRenderedPageBreak/>
        <w:t>citizens</w:t>
      </w:r>
      <w:r w:rsidR="0003522B" w:rsidRPr="006B753A">
        <w:rPr>
          <w:lang w:val="en-GB"/>
        </w:rPr>
        <w:t>.</w:t>
      </w:r>
      <w:r w:rsidR="0027680D" w:rsidRPr="006B753A">
        <w:rPr>
          <w:lang w:val="en-GB"/>
        </w:rPr>
        <w:t xml:space="preserve"> </w:t>
      </w:r>
      <w:r w:rsidR="00F6321A" w:rsidRPr="006B753A">
        <w:rPr>
          <w:rFonts w:eastAsia="Times New Roman"/>
        </w:rPr>
        <w:t>As regards the beneficiaries of the right to vote in elections to the European Parliament, the CJEU</w:t>
      </w:r>
      <w:r w:rsidR="008C0C85" w:rsidRPr="008F512B">
        <w:rPr>
          <w:rFonts w:eastAsia="Times New Roman"/>
        </w:rPr>
        <w:t xml:space="preserve"> </w:t>
      </w:r>
      <w:r w:rsidR="00E7466C" w:rsidRPr="008F512B">
        <w:rPr>
          <w:rFonts w:eastAsia="Times New Roman"/>
        </w:rPr>
        <w:t>ruled</w:t>
      </w:r>
      <w:r w:rsidR="008C0C85" w:rsidRPr="008F512B">
        <w:rPr>
          <w:rFonts w:eastAsia="Times New Roman"/>
        </w:rPr>
        <w:t xml:space="preserve"> in its judgments</w:t>
      </w:r>
      <w:r w:rsidR="00F6321A" w:rsidRPr="008F512B">
        <w:rPr>
          <w:rFonts w:eastAsia="Times New Roman"/>
        </w:rPr>
        <w:t> </w:t>
      </w:r>
      <w:r w:rsidR="00F6321A" w:rsidRPr="008F512B">
        <w:rPr>
          <w:rFonts w:eastAsia="Times New Roman"/>
          <w:i/>
          <w:iCs/>
        </w:rPr>
        <w:t>Spain</w:t>
      </w:r>
      <w:r w:rsidR="00F6321A" w:rsidRPr="008F512B">
        <w:rPr>
          <w:rFonts w:eastAsia="Times New Roman"/>
        </w:rPr>
        <w:t> v. </w:t>
      </w:r>
      <w:r w:rsidR="00A25ABB" w:rsidRPr="008F512B">
        <w:rPr>
          <w:rFonts w:eastAsia="Times New Roman"/>
          <w:i/>
          <w:iCs/>
        </w:rPr>
        <w:t xml:space="preserve">United </w:t>
      </w:r>
      <w:r w:rsidR="00F6321A" w:rsidRPr="008F512B">
        <w:rPr>
          <w:rFonts w:eastAsia="Times New Roman"/>
          <w:i/>
          <w:iCs/>
        </w:rPr>
        <w:t>Kingdom</w:t>
      </w:r>
      <w:r w:rsidR="00A25ABB" w:rsidRPr="008F512B">
        <w:rPr>
          <w:rStyle w:val="FootnoteReference"/>
          <w:rFonts w:ascii="Times New Roman" w:eastAsia="Times New Roman" w:hAnsi="Times New Roman"/>
          <w:iCs/>
        </w:rPr>
        <w:footnoteReference w:id="32"/>
      </w:r>
      <w:r w:rsidR="00F6321A" w:rsidRPr="005D084F">
        <w:rPr>
          <w:rFonts w:eastAsia="Times New Roman"/>
        </w:rPr>
        <w:t> and </w:t>
      </w:r>
      <w:proofErr w:type="spellStart"/>
      <w:r w:rsidR="00F6321A" w:rsidRPr="005D084F">
        <w:rPr>
          <w:rFonts w:eastAsia="Times New Roman"/>
          <w:i/>
          <w:iCs/>
        </w:rPr>
        <w:t>Eman</w:t>
      </w:r>
      <w:proofErr w:type="spellEnd"/>
      <w:r w:rsidR="00F6321A" w:rsidRPr="005D084F">
        <w:rPr>
          <w:rFonts w:eastAsia="Times New Roman"/>
          <w:i/>
          <w:iCs/>
        </w:rPr>
        <w:t xml:space="preserve"> and </w:t>
      </w:r>
      <w:proofErr w:type="spellStart"/>
      <w:r w:rsidR="00F6321A" w:rsidRPr="005D084F">
        <w:rPr>
          <w:rFonts w:eastAsia="Times New Roman"/>
          <w:i/>
          <w:iCs/>
        </w:rPr>
        <w:t>Sevinger</w:t>
      </w:r>
      <w:proofErr w:type="spellEnd"/>
      <w:r w:rsidR="00A25ABB" w:rsidRPr="00D24721">
        <w:rPr>
          <w:rStyle w:val="FootnoteReference"/>
          <w:rFonts w:ascii="Times New Roman" w:eastAsia="Times New Roman" w:hAnsi="Times New Roman"/>
          <w:iCs/>
        </w:rPr>
        <w:footnoteReference w:id="33"/>
      </w:r>
      <w:r w:rsidR="00F6321A" w:rsidRPr="005D084F">
        <w:rPr>
          <w:rFonts w:eastAsia="Times New Roman"/>
        </w:rPr>
        <w:t xml:space="preserve"> </w:t>
      </w:r>
      <w:r w:rsidR="00DE56B0" w:rsidRPr="005D084F">
        <w:rPr>
          <w:rFonts w:eastAsia="Times New Roman"/>
        </w:rPr>
        <w:t xml:space="preserve">that, </w:t>
      </w:r>
      <w:r w:rsidR="00F6321A" w:rsidRPr="00D24721">
        <w:rPr>
          <w:rFonts w:eastAsia="Times New Roman"/>
        </w:rPr>
        <w:t>as EU law currently stands, the definition of the persons entitled to exercise that right falls within the competence</w:t>
      </w:r>
      <w:r w:rsidR="00F6321A" w:rsidRPr="006B753A">
        <w:rPr>
          <w:rFonts w:eastAsia="Times New Roman"/>
        </w:rPr>
        <w:t xml:space="preserve"> of each Member State.</w:t>
      </w:r>
    </w:p>
    <w:p w14:paraId="7DBABCF8" w14:textId="77777777" w:rsidR="004C1783" w:rsidRPr="008F512B" w:rsidRDefault="004C1783" w:rsidP="00F376A1">
      <w:pPr>
        <w:ind w:firstLine="284"/>
        <w:rPr>
          <w:rFonts w:eastAsia="Times New Roman"/>
        </w:rPr>
      </w:pPr>
    </w:p>
    <w:p w14:paraId="7FF07A30" w14:textId="77777777" w:rsidR="0002645D" w:rsidRPr="005D084F" w:rsidRDefault="00DE176A" w:rsidP="00F376A1">
      <w:pPr>
        <w:ind w:firstLine="284"/>
        <w:rPr>
          <w:rFonts w:eastAsia="Times New Roman"/>
        </w:rPr>
      </w:pPr>
      <w:r w:rsidRPr="008F512B">
        <w:rPr>
          <w:rFonts w:eastAsia="Times New Roman"/>
        </w:rPr>
        <w:t>The European Convention on the Participation of Foreigners in Publ</w:t>
      </w:r>
      <w:r w:rsidR="00541C78" w:rsidRPr="008F512B">
        <w:rPr>
          <w:rFonts w:eastAsia="Times New Roman"/>
        </w:rPr>
        <w:t>ic Life at Local Level</w:t>
      </w:r>
      <w:r w:rsidR="000362A6" w:rsidRPr="008F512B">
        <w:rPr>
          <w:rFonts w:eastAsia="Times New Roman"/>
        </w:rPr>
        <w:t xml:space="preserve"> of 1992</w:t>
      </w:r>
      <w:r w:rsidR="00CB76E1" w:rsidRPr="008F512B">
        <w:rPr>
          <w:rFonts w:eastAsia="Times New Roman"/>
        </w:rPr>
        <w:t>, which has only been ratified by 9 States</w:t>
      </w:r>
      <w:r w:rsidR="00FB0786" w:rsidRPr="008F512B">
        <w:rPr>
          <w:rFonts w:eastAsia="Times New Roman"/>
        </w:rPr>
        <w:t>, including 7 covered by this study</w:t>
      </w:r>
      <w:r w:rsidR="00FB0786" w:rsidRPr="00D66546">
        <w:rPr>
          <w:rStyle w:val="FootnoteReference"/>
          <w:rFonts w:ascii="Times New Roman" w:eastAsia="Times New Roman" w:hAnsi="Times New Roman"/>
        </w:rPr>
        <w:footnoteReference w:id="34"/>
      </w:r>
      <w:r w:rsidR="00541C78" w:rsidRPr="005D084F">
        <w:rPr>
          <w:rFonts w:eastAsia="Times New Roman"/>
        </w:rPr>
        <w:t xml:space="preserve"> provides in Article 6</w:t>
      </w:r>
      <w:r w:rsidRPr="00D24721">
        <w:rPr>
          <w:rFonts w:eastAsia="Times New Roman"/>
        </w:rPr>
        <w:t xml:space="preserve"> for electoral rights to be granted to foreigners after lawful and habitual residence for five years preceding the elections. </w:t>
      </w:r>
      <w:r w:rsidR="000937CD" w:rsidRPr="006B753A">
        <w:rPr>
          <w:rFonts w:eastAsia="Times New Roman"/>
        </w:rPr>
        <w:t>In ECRI’s view, a country which has large numbers of foreign residents who participate actively in the life and prosperity of the local community should allow them to</w:t>
      </w:r>
      <w:r w:rsidR="000937CD" w:rsidRPr="008F512B">
        <w:rPr>
          <w:rFonts w:eastAsia="Times New Roman"/>
        </w:rPr>
        <w:t xml:space="preserve"> contribute to the local decision-making process on matters which affect them.</w:t>
      </w:r>
      <w:r w:rsidR="000937CD" w:rsidRPr="00D66546">
        <w:rPr>
          <w:rStyle w:val="FootnoteReference"/>
          <w:rFonts w:ascii="Times New Roman" w:eastAsia="Times New Roman" w:hAnsi="Times New Roman"/>
        </w:rPr>
        <w:footnoteReference w:id="35"/>
      </w:r>
      <w:r w:rsidR="000937CD" w:rsidRPr="005D084F">
        <w:rPr>
          <w:rFonts w:eastAsia="Times New Roman"/>
        </w:rPr>
        <w:t xml:space="preserve"> </w:t>
      </w:r>
    </w:p>
    <w:p w14:paraId="478C8CA2" w14:textId="77777777" w:rsidR="004C1783" w:rsidRPr="00D24721" w:rsidRDefault="004C1783" w:rsidP="00F376A1">
      <w:pPr>
        <w:ind w:firstLine="284"/>
        <w:rPr>
          <w:rFonts w:eastAsia="Times New Roman"/>
        </w:rPr>
      </w:pPr>
    </w:p>
    <w:p w14:paraId="75FBECCE" w14:textId="77777777" w:rsidR="00302465" w:rsidRPr="005D084F" w:rsidRDefault="00AC3BF9" w:rsidP="00F376A1">
      <w:pPr>
        <w:ind w:firstLine="284"/>
        <w:rPr>
          <w:rFonts w:eastAsia="Times New Roman"/>
        </w:rPr>
      </w:pPr>
      <w:r w:rsidRPr="006B753A">
        <w:rPr>
          <w:lang w:val="en-GB"/>
        </w:rPr>
        <w:t xml:space="preserve">As regards third-countries citizens, </w:t>
      </w:r>
      <w:r w:rsidR="004C1783" w:rsidRPr="006B753A">
        <w:rPr>
          <w:lang w:val="en-GB"/>
        </w:rPr>
        <w:t xml:space="preserve">for example </w:t>
      </w:r>
      <w:r w:rsidRPr="006B753A">
        <w:rPr>
          <w:lang w:val="en-GB"/>
        </w:rPr>
        <w:t>i</w:t>
      </w:r>
      <w:r w:rsidR="00D91724" w:rsidRPr="006B753A">
        <w:rPr>
          <w:lang w:val="en-GB"/>
        </w:rPr>
        <w:t>n Ireland, non-EU citizens may vote at local government elections.</w:t>
      </w:r>
      <w:r w:rsidR="00D91724" w:rsidRPr="008F512B">
        <w:rPr>
          <w:rStyle w:val="FootnoteReference"/>
          <w:rFonts w:ascii="Times New Roman" w:hAnsi="Times New Roman"/>
          <w:lang w:val="en-GB"/>
        </w:rPr>
        <w:footnoteReference w:id="36"/>
      </w:r>
      <w:r w:rsidR="00571B41" w:rsidRPr="005D084F">
        <w:rPr>
          <w:lang w:val="en-GB"/>
        </w:rPr>
        <w:t xml:space="preserve"> In Spain, </w:t>
      </w:r>
      <w:r w:rsidR="00A241B6" w:rsidRPr="005D084F">
        <w:rPr>
          <w:rFonts w:eastAsia="Times New Roman"/>
        </w:rPr>
        <w:t>non-citizens cannot vote,</w:t>
      </w:r>
      <w:r w:rsidR="00A241B6" w:rsidRPr="00D24721">
        <w:rPr>
          <w:lang w:val="en-GB"/>
        </w:rPr>
        <w:t xml:space="preserve"> </w:t>
      </w:r>
      <w:r w:rsidR="005024EA" w:rsidRPr="00D24721">
        <w:rPr>
          <w:lang w:val="en-GB"/>
        </w:rPr>
        <w:t xml:space="preserve">apart from </w:t>
      </w:r>
      <w:r w:rsidR="00571B41" w:rsidRPr="00904A38">
        <w:rPr>
          <w:rFonts w:eastAsia="Times New Roman"/>
        </w:rPr>
        <w:t>reciproci</w:t>
      </w:r>
      <w:r w:rsidR="00571B41" w:rsidRPr="00972980">
        <w:rPr>
          <w:rFonts w:eastAsia="Times New Roman"/>
        </w:rPr>
        <w:t xml:space="preserve">ty agreements with some countries (Chile, Colombia, Ecuador, Norway, </w:t>
      </w:r>
      <w:r w:rsidR="00A241B6" w:rsidRPr="006B753A">
        <w:rPr>
          <w:rFonts w:eastAsia="Times New Roman"/>
        </w:rPr>
        <w:t>New Zealand, Paraguay and Peru). However, t</w:t>
      </w:r>
      <w:r w:rsidR="00571B41" w:rsidRPr="006B753A">
        <w:rPr>
          <w:rFonts w:eastAsia="Times New Roman"/>
        </w:rPr>
        <w:t>hese agreements do not confer the right to stand for election.</w:t>
      </w:r>
      <w:r w:rsidR="00571B41" w:rsidRPr="006B753A">
        <w:rPr>
          <w:rStyle w:val="FootnoteReference"/>
          <w:rFonts w:ascii="Times New Roman" w:eastAsia="Times New Roman" w:hAnsi="Times New Roman"/>
        </w:rPr>
        <w:footnoteReference w:id="37"/>
      </w:r>
      <w:r w:rsidR="00FF4228" w:rsidRPr="005D084F">
        <w:rPr>
          <w:rFonts w:eastAsia="Times New Roman"/>
        </w:rPr>
        <w:t xml:space="preserve"> </w:t>
      </w:r>
      <w:r w:rsidR="00906F9B" w:rsidRPr="00D24721">
        <w:rPr>
          <w:rFonts w:eastAsia="Times New Roman"/>
        </w:rPr>
        <w:t>Likewise, i</w:t>
      </w:r>
      <w:r w:rsidR="005F709C" w:rsidRPr="00D24721">
        <w:rPr>
          <w:rFonts w:eastAsia="Times New Roman"/>
        </w:rPr>
        <w:t>n Portugal, based on reciprocity, apart from EU citizens, nationals o</w:t>
      </w:r>
      <w:r w:rsidR="005F709C" w:rsidRPr="00904A38">
        <w:rPr>
          <w:rFonts w:eastAsia="Times New Roman"/>
        </w:rPr>
        <w:t>f the following States have voting rights at local level: Brazil, Cape Verde, Norway, Uruguay, Venezuela, Chile, Argentina and Iceland. Nationals of EU countries, Brazil and Cape Verde can also stand as candidates in local elections.</w:t>
      </w:r>
      <w:r w:rsidR="005F709C" w:rsidRPr="006B753A">
        <w:rPr>
          <w:rStyle w:val="FootnoteReference"/>
          <w:rFonts w:ascii="Times New Roman" w:eastAsia="Times New Roman" w:hAnsi="Times New Roman"/>
        </w:rPr>
        <w:footnoteReference w:id="38"/>
      </w:r>
      <w:r w:rsidR="005F709C" w:rsidRPr="005D084F">
        <w:rPr>
          <w:rFonts w:eastAsia="Times New Roman"/>
        </w:rPr>
        <w:t xml:space="preserve"> </w:t>
      </w:r>
    </w:p>
    <w:p w14:paraId="5CB87F63" w14:textId="77777777" w:rsidR="004C1783" w:rsidRPr="00D24721" w:rsidRDefault="004C1783" w:rsidP="00F376A1">
      <w:pPr>
        <w:ind w:firstLine="284"/>
        <w:rPr>
          <w:lang w:val="en-GB"/>
        </w:rPr>
      </w:pPr>
    </w:p>
    <w:p w14:paraId="2CFBF02D" w14:textId="77777777" w:rsidR="00E618E4" w:rsidRPr="005D084F" w:rsidRDefault="0058555F" w:rsidP="00F376A1">
      <w:pPr>
        <w:ind w:firstLine="284"/>
        <w:rPr>
          <w:lang w:val="en-GB"/>
        </w:rPr>
      </w:pPr>
      <w:r w:rsidRPr="006B753A">
        <w:rPr>
          <w:lang w:val="en-GB"/>
        </w:rPr>
        <w:t>Ultimately</w:t>
      </w:r>
      <w:r w:rsidR="00966A0C" w:rsidRPr="006B753A">
        <w:rPr>
          <w:lang w:val="en-GB"/>
        </w:rPr>
        <w:t>, g</w:t>
      </w:r>
      <w:r w:rsidR="00D31AF8" w:rsidRPr="006B753A">
        <w:rPr>
          <w:lang w:val="en-GB"/>
        </w:rPr>
        <w:t>ranting citizenship is a way of furtheri</w:t>
      </w:r>
      <w:r w:rsidR="00DF1D7F" w:rsidRPr="006B753A">
        <w:rPr>
          <w:lang w:val="en-GB"/>
        </w:rPr>
        <w:t>ng political participation</w:t>
      </w:r>
      <w:r w:rsidR="00E12812" w:rsidRPr="006B753A">
        <w:rPr>
          <w:lang w:val="en-GB"/>
        </w:rPr>
        <w:t>.</w:t>
      </w:r>
      <w:r w:rsidR="009946B4" w:rsidRPr="00AF57E3">
        <w:rPr>
          <w:lang w:val="en-GB"/>
        </w:rPr>
        <w:t xml:space="preserve"> </w:t>
      </w:r>
      <w:r w:rsidR="00981093" w:rsidRPr="00AF57E3">
        <w:rPr>
          <w:lang w:val="en-GB"/>
        </w:rPr>
        <w:t>It has also been argued that it</w:t>
      </w:r>
      <w:r w:rsidR="00D31AF8" w:rsidRPr="008F512B">
        <w:rPr>
          <w:lang w:val="en-GB"/>
        </w:rPr>
        <w:t xml:space="preserve"> indirectly </w:t>
      </w:r>
      <w:r w:rsidR="00D31AF8" w:rsidRPr="008F512B">
        <w:rPr>
          <w:rFonts w:eastAsia="Times New Roman"/>
        </w:rPr>
        <w:t>stimulates a better representation of members of ethnic minority groups in the public sector when public service employment requires citizenship</w:t>
      </w:r>
      <w:r w:rsidR="00981093" w:rsidRPr="008F512B">
        <w:rPr>
          <w:rFonts w:eastAsia="Times New Roman"/>
        </w:rPr>
        <w:t xml:space="preserve">, </w:t>
      </w:r>
      <w:r w:rsidR="00D31AF8" w:rsidRPr="008F512B">
        <w:rPr>
          <w:rFonts w:eastAsia="Times New Roman"/>
        </w:rPr>
        <w:t>as is the case in Spain</w:t>
      </w:r>
      <w:r w:rsidR="00981093" w:rsidRPr="008F512B">
        <w:rPr>
          <w:rFonts w:eastAsia="Times New Roman"/>
        </w:rPr>
        <w:t xml:space="preserve"> for instance</w:t>
      </w:r>
      <w:r w:rsidR="00D31AF8" w:rsidRPr="00D66546">
        <w:rPr>
          <w:rStyle w:val="FootnoteReference"/>
          <w:rFonts w:ascii="Times New Roman" w:eastAsia="Times New Roman" w:hAnsi="Times New Roman"/>
        </w:rPr>
        <w:footnoteReference w:id="39"/>
      </w:r>
      <w:r w:rsidR="00D31AF8" w:rsidRPr="005D084F">
        <w:rPr>
          <w:rFonts w:eastAsia="Times New Roman"/>
        </w:rPr>
        <w:t xml:space="preserve">. </w:t>
      </w:r>
      <w:r w:rsidR="00216235" w:rsidRPr="005D084F">
        <w:rPr>
          <w:rFonts w:eastAsia="Times New Roman"/>
        </w:rPr>
        <w:t xml:space="preserve">The EU Fundamental Rights Agency considers that </w:t>
      </w:r>
      <w:r w:rsidR="00496465" w:rsidRPr="00D24721">
        <w:rPr>
          <w:rFonts w:eastAsia="Times New Roman"/>
        </w:rPr>
        <w:t>“</w:t>
      </w:r>
      <w:r w:rsidR="00496465" w:rsidRPr="005D084F">
        <w:rPr>
          <w:rFonts w:eastAsia="Times New Roman"/>
        </w:rPr>
        <w:sym w:font="Symbol" w:char="F05B"/>
      </w:r>
      <w:r w:rsidR="00496465" w:rsidRPr="005D084F">
        <w:rPr>
          <w:rFonts w:eastAsia="Times New Roman"/>
        </w:rPr>
        <w:t>r</w:t>
      </w:r>
      <w:r w:rsidR="00496465" w:rsidRPr="005D084F">
        <w:rPr>
          <w:rFonts w:eastAsia="Times New Roman"/>
        </w:rPr>
        <w:sym w:font="Symbol" w:char="F05D"/>
      </w:r>
      <w:proofErr w:type="spellStart"/>
      <w:r w:rsidR="00216235" w:rsidRPr="005D084F">
        <w:rPr>
          <w:rFonts w:eastAsia="Times New Roman"/>
        </w:rPr>
        <w:t>esidence</w:t>
      </w:r>
      <w:proofErr w:type="spellEnd"/>
      <w:r w:rsidR="00216235" w:rsidRPr="005D084F">
        <w:rPr>
          <w:rFonts w:eastAsia="Times New Roman"/>
        </w:rPr>
        <w:t xml:space="preserve"> status and access to citizenship are important for immigrants and descendants of immigrants (…) for individuals’ active political participation</w:t>
      </w:r>
      <w:r w:rsidR="00496465" w:rsidRPr="005D084F">
        <w:rPr>
          <w:rFonts w:eastAsia="Times New Roman"/>
        </w:rPr>
        <w:t>”</w:t>
      </w:r>
      <w:r w:rsidR="00216235" w:rsidRPr="00D24721">
        <w:rPr>
          <w:rFonts w:eastAsia="Times New Roman"/>
        </w:rPr>
        <w:t>.</w:t>
      </w:r>
      <w:r w:rsidR="00496465" w:rsidRPr="00D24721">
        <w:rPr>
          <w:rStyle w:val="FootnoteReference"/>
          <w:rFonts w:ascii="Times New Roman" w:eastAsia="Times New Roman" w:hAnsi="Times New Roman"/>
        </w:rPr>
        <w:footnoteReference w:id="40"/>
      </w:r>
      <w:r w:rsidR="0072133C" w:rsidRPr="005D084F">
        <w:rPr>
          <w:rFonts w:eastAsia="Times New Roman"/>
        </w:rPr>
        <w:t xml:space="preserve"> </w:t>
      </w:r>
      <w:r w:rsidR="00D31AF8" w:rsidRPr="005D084F">
        <w:rPr>
          <w:rFonts w:eastAsia="Times New Roman"/>
        </w:rPr>
        <w:t>The European C</w:t>
      </w:r>
      <w:r w:rsidR="00D31AF8" w:rsidRPr="00D24721">
        <w:rPr>
          <w:rFonts w:eastAsia="Times New Roman"/>
        </w:rPr>
        <w:t>onvention on Nationality</w:t>
      </w:r>
      <w:r w:rsidR="007546A7" w:rsidRPr="00D24721">
        <w:rPr>
          <w:rFonts w:eastAsia="Times New Roman"/>
        </w:rPr>
        <w:t xml:space="preserve">, </w:t>
      </w:r>
      <w:r w:rsidR="00DE5113" w:rsidRPr="00904A38">
        <w:rPr>
          <w:rFonts w:eastAsia="Times New Roman"/>
        </w:rPr>
        <w:t>which has been ratified by 21 States including 10 covered by this</w:t>
      </w:r>
      <w:r w:rsidR="007546A7" w:rsidRPr="00972980">
        <w:rPr>
          <w:rFonts w:eastAsia="Times New Roman"/>
        </w:rPr>
        <w:t xml:space="preserve"> study</w:t>
      </w:r>
      <w:r w:rsidR="00DE5113" w:rsidRPr="006B753A">
        <w:rPr>
          <w:rFonts w:eastAsia="Times New Roman"/>
        </w:rPr>
        <w:t>,</w:t>
      </w:r>
      <w:r w:rsidR="00DE5113" w:rsidRPr="006B753A">
        <w:rPr>
          <w:rStyle w:val="FootnoteReference"/>
          <w:rFonts w:ascii="Times New Roman" w:eastAsia="Times New Roman" w:hAnsi="Times New Roman"/>
        </w:rPr>
        <w:footnoteReference w:id="41"/>
      </w:r>
      <w:r w:rsidR="00D31AF8" w:rsidRPr="005D084F">
        <w:rPr>
          <w:rFonts w:eastAsia="Times New Roman"/>
        </w:rPr>
        <w:t xml:space="preserve"> provides that the period of residence required of an applicant by a State </w:t>
      </w:r>
      <w:r w:rsidR="00BF29D3" w:rsidRPr="00D24721">
        <w:rPr>
          <w:rFonts w:eastAsia="Times New Roman"/>
        </w:rPr>
        <w:t>to become a citizen</w:t>
      </w:r>
      <w:r w:rsidR="004A3A56" w:rsidRPr="00D24721">
        <w:rPr>
          <w:rFonts w:eastAsia="Times New Roman"/>
        </w:rPr>
        <w:t xml:space="preserve"> </w:t>
      </w:r>
      <w:r w:rsidR="00D31AF8" w:rsidRPr="006B753A">
        <w:rPr>
          <w:rFonts w:eastAsia="Times New Roman"/>
        </w:rPr>
        <w:t xml:space="preserve">should not exceed ten years of residence. Most countries in Europe </w:t>
      </w:r>
      <w:r w:rsidR="00EC6442" w:rsidRPr="006B753A">
        <w:rPr>
          <w:rFonts w:eastAsia="Times New Roman"/>
        </w:rPr>
        <w:t xml:space="preserve">abide by this standard and </w:t>
      </w:r>
      <w:r w:rsidR="00D31AF8" w:rsidRPr="008F512B">
        <w:rPr>
          <w:rFonts w:eastAsia="Times New Roman"/>
        </w:rPr>
        <w:t>require between five and ten years of residence.</w:t>
      </w:r>
      <w:r w:rsidR="00B418F1" w:rsidRPr="008F512B">
        <w:rPr>
          <w:rStyle w:val="FootnoteReference"/>
          <w:rFonts w:ascii="Times New Roman" w:eastAsia="Times New Roman" w:hAnsi="Times New Roman"/>
        </w:rPr>
        <w:footnoteReference w:id="42"/>
      </w:r>
      <w:r w:rsidR="00DD28B3" w:rsidRPr="005D084F">
        <w:rPr>
          <w:rFonts w:eastAsia="Times New Roman"/>
        </w:rPr>
        <w:t xml:space="preserve"> However, </w:t>
      </w:r>
      <w:r w:rsidR="00DD28B3" w:rsidRPr="005D084F">
        <w:t>c</w:t>
      </w:r>
      <w:proofErr w:type="spellStart"/>
      <w:r w:rsidR="00726405" w:rsidRPr="00D24721">
        <w:rPr>
          <w:lang w:val="en-GB"/>
        </w:rPr>
        <w:t>onditions</w:t>
      </w:r>
      <w:proofErr w:type="spellEnd"/>
      <w:r w:rsidR="00726405" w:rsidRPr="00D24721">
        <w:rPr>
          <w:lang w:val="en-GB"/>
        </w:rPr>
        <w:t xml:space="preserve"> for acquiring </w:t>
      </w:r>
      <w:r w:rsidR="00726405" w:rsidRPr="00D24721">
        <w:rPr>
          <w:lang w:val="en-GB"/>
        </w:rPr>
        <w:lastRenderedPageBreak/>
        <w:t xml:space="preserve">nationality </w:t>
      </w:r>
      <w:r w:rsidR="00DD28B3" w:rsidRPr="00D24721">
        <w:rPr>
          <w:lang w:val="en-GB"/>
        </w:rPr>
        <w:t xml:space="preserve">have been </w:t>
      </w:r>
      <w:r w:rsidR="00726405" w:rsidRPr="00D24721">
        <w:rPr>
          <w:lang w:val="en-GB"/>
        </w:rPr>
        <w:t>tigh</w:t>
      </w:r>
      <w:r w:rsidR="00DD28B3" w:rsidRPr="00904A38">
        <w:rPr>
          <w:lang w:val="en-GB"/>
        </w:rPr>
        <w:t xml:space="preserve">tened </w:t>
      </w:r>
      <w:r w:rsidR="000A5F4F" w:rsidRPr="00972980">
        <w:rPr>
          <w:lang w:val="en-GB"/>
        </w:rPr>
        <w:t xml:space="preserve">in several countries in recent years </w:t>
      </w:r>
      <w:r w:rsidR="00D139C8" w:rsidRPr="006B753A">
        <w:rPr>
          <w:lang w:val="en-GB"/>
        </w:rPr>
        <w:t>regarding the length of residency or</w:t>
      </w:r>
      <w:r w:rsidR="00D961BF" w:rsidRPr="006B753A">
        <w:rPr>
          <w:lang w:val="en-GB"/>
        </w:rPr>
        <w:t xml:space="preserve"> </w:t>
      </w:r>
      <w:r w:rsidR="00A42833" w:rsidRPr="006B753A">
        <w:rPr>
          <w:lang w:val="en-GB"/>
        </w:rPr>
        <w:t>through the imposition of</w:t>
      </w:r>
      <w:r w:rsidR="00726405" w:rsidRPr="006B753A">
        <w:rPr>
          <w:lang w:val="en-GB"/>
        </w:rPr>
        <w:t xml:space="preserve"> langua</w:t>
      </w:r>
      <w:r w:rsidR="00AD1C3B" w:rsidRPr="006B753A">
        <w:rPr>
          <w:lang w:val="en-GB"/>
        </w:rPr>
        <w:t>ges tests</w:t>
      </w:r>
      <w:r w:rsidR="00726405" w:rsidRPr="006B753A">
        <w:rPr>
          <w:lang w:val="en-GB"/>
        </w:rPr>
        <w:t>.</w:t>
      </w:r>
      <w:r w:rsidR="00726405" w:rsidRPr="00E05E56">
        <w:rPr>
          <w:rStyle w:val="FootnoteReference"/>
          <w:rFonts w:ascii="Times New Roman" w:hAnsi="Times New Roman"/>
          <w:lang w:val="en-GB"/>
        </w:rPr>
        <w:footnoteReference w:id="43"/>
      </w:r>
      <w:r w:rsidR="00D139C8" w:rsidRPr="005D084F">
        <w:rPr>
          <w:lang w:val="en-GB"/>
        </w:rPr>
        <w:t xml:space="preserve"> Civic i</w:t>
      </w:r>
      <w:r w:rsidR="00135F03" w:rsidRPr="005D084F">
        <w:rPr>
          <w:lang w:val="en-GB"/>
        </w:rPr>
        <w:t>nt</w:t>
      </w:r>
      <w:r w:rsidR="00D139C8" w:rsidRPr="005D084F">
        <w:rPr>
          <w:lang w:val="en-GB"/>
        </w:rPr>
        <w:t>egration tests</w:t>
      </w:r>
      <w:r w:rsidR="00744A0A" w:rsidRPr="00E05E56">
        <w:rPr>
          <w:rStyle w:val="FootnoteReference"/>
          <w:rFonts w:ascii="Times New Roman" w:hAnsi="Times New Roman"/>
          <w:lang w:val="en-GB"/>
        </w:rPr>
        <w:footnoteReference w:id="44"/>
      </w:r>
      <w:r w:rsidR="00D139C8" w:rsidRPr="005D084F">
        <w:rPr>
          <w:lang w:val="en-GB"/>
        </w:rPr>
        <w:t xml:space="preserve"> have been perceived as potential hurdles to obtain citizenship and naturalisation. </w:t>
      </w:r>
      <w:r w:rsidR="001575F1" w:rsidRPr="00D24721">
        <w:rPr>
          <w:lang w:val="en-GB"/>
        </w:rPr>
        <w:t xml:space="preserve">In some countries, the mandatory nature of civic integration and the resulting sanctions for failed applicants has also been </w:t>
      </w:r>
      <w:r w:rsidR="00B35A39" w:rsidRPr="006B753A">
        <w:rPr>
          <w:lang w:val="en-GB"/>
        </w:rPr>
        <w:t>questioned</w:t>
      </w:r>
      <w:r w:rsidR="001575F1" w:rsidRPr="006B753A">
        <w:rPr>
          <w:lang w:val="en-GB"/>
        </w:rPr>
        <w:t>.</w:t>
      </w:r>
      <w:r w:rsidR="00B35A39" w:rsidRPr="006B753A">
        <w:rPr>
          <w:lang w:val="en-GB"/>
        </w:rPr>
        <w:t xml:space="preserve"> ECRI has thus recommended </w:t>
      </w:r>
      <w:r w:rsidR="00CD53D3" w:rsidRPr="006B753A">
        <w:rPr>
          <w:lang w:val="en-GB"/>
        </w:rPr>
        <w:t>to</w:t>
      </w:r>
      <w:r w:rsidR="000B1CB0" w:rsidRPr="006B753A">
        <w:rPr>
          <w:lang w:val="en-GB"/>
        </w:rPr>
        <w:t xml:space="preserve"> </w:t>
      </w:r>
      <w:r w:rsidR="00B35A39" w:rsidRPr="00AF57E3">
        <w:rPr>
          <w:lang w:val="en-GB"/>
        </w:rPr>
        <w:t xml:space="preserve">several countries </w:t>
      </w:r>
      <w:r w:rsidR="003B3DB2" w:rsidRPr="00AF57E3">
        <w:rPr>
          <w:lang w:val="en-GB"/>
        </w:rPr>
        <w:t>that they should</w:t>
      </w:r>
      <w:r w:rsidR="000B1CB0" w:rsidRPr="00AF57E3">
        <w:rPr>
          <w:lang w:val="en-GB"/>
        </w:rPr>
        <w:t xml:space="preserve"> </w:t>
      </w:r>
      <w:r w:rsidR="00B35A39" w:rsidRPr="00AF57E3">
        <w:rPr>
          <w:rFonts w:eastAsia="Times New Roman"/>
        </w:rPr>
        <w:t xml:space="preserve">combine any obligation to participate in these integration </w:t>
      </w:r>
      <w:proofErr w:type="spellStart"/>
      <w:r w:rsidR="000B1CB0" w:rsidRPr="008F512B">
        <w:rPr>
          <w:rFonts w:eastAsia="Times New Roman"/>
        </w:rPr>
        <w:t>programmes</w:t>
      </w:r>
      <w:proofErr w:type="spellEnd"/>
      <w:r w:rsidR="00B35A39" w:rsidRPr="008F512B">
        <w:rPr>
          <w:rFonts w:eastAsia="Times New Roman"/>
        </w:rPr>
        <w:t xml:space="preserve"> with incentives and rewards, confining sanctions to cases where incentives have failed and integration without participation in these measures is not likely.</w:t>
      </w:r>
      <w:r w:rsidR="00B35A39" w:rsidRPr="00E05E56">
        <w:rPr>
          <w:rStyle w:val="FootnoteReference"/>
          <w:rFonts w:ascii="Times New Roman" w:eastAsia="Times New Roman" w:hAnsi="Times New Roman"/>
        </w:rPr>
        <w:footnoteReference w:id="45"/>
      </w:r>
      <w:r w:rsidR="001575F1" w:rsidRPr="005D084F">
        <w:rPr>
          <w:lang w:val="en-GB"/>
        </w:rPr>
        <w:t xml:space="preserve"> </w:t>
      </w:r>
    </w:p>
    <w:p w14:paraId="5839C7D0" w14:textId="77777777" w:rsidR="004C1783" w:rsidRPr="00D24721" w:rsidRDefault="004C1783" w:rsidP="00F376A1">
      <w:pPr>
        <w:ind w:firstLine="284"/>
        <w:rPr>
          <w:lang w:val="en-GB"/>
        </w:rPr>
      </w:pPr>
    </w:p>
    <w:p w14:paraId="3BB34BC2" w14:textId="77777777" w:rsidR="00EB372C" w:rsidRPr="006B753A" w:rsidRDefault="0032645A" w:rsidP="00F376A1">
      <w:pPr>
        <w:ind w:firstLine="284"/>
        <w:rPr>
          <w:rFonts w:eastAsia="Times New Roman"/>
        </w:rPr>
      </w:pPr>
      <w:r w:rsidRPr="00D24721">
        <w:rPr>
          <w:lang w:val="en-GB"/>
        </w:rPr>
        <w:t xml:space="preserve"> Statelessness should also be mentioned. Without any nationality, stateless persons</w:t>
      </w:r>
      <w:r w:rsidR="00A73B48" w:rsidRPr="00E05E56">
        <w:rPr>
          <w:rStyle w:val="FootnoteReference"/>
          <w:rFonts w:ascii="Times New Roman" w:hAnsi="Times New Roman"/>
          <w:lang w:val="en-GB"/>
        </w:rPr>
        <w:footnoteReference w:id="46"/>
      </w:r>
      <w:r w:rsidRPr="005D084F">
        <w:rPr>
          <w:lang w:val="en-GB"/>
        </w:rPr>
        <w:t xml:space="preserve"> do not enjoy the same basic rights as nationals and are </w:t>
      </w:r>
      <w:r w:rsidR="00EC1E96" w:rsidRPr="00D24721">
        <w:rPr>
          <w:lang w:val="en-GB"/>
        </w:rPr>
        <w:t>therefore deprived of</w:t>
      </w:r>
      <w:r w:rsidRPr="00D24721">
        <w:rPr>
          <w:lang w:val="en-GB"/>
        </w:rPr>
        <w:t xml:space="preserve"> the</w:t>
      </w:r>
      <w:r w:rsidR="00EC1E96" w:rsidRPr="00904A38">
        <w:rPr>
          <w:lang w:val="en-GB"/>
        </w:rPr>
        <w:t>ir right to participate</w:t>
      </w:r>
      <w:r w:rsidRPr="00972980">
        <w:rPr>
          <w:lang w:val="en-GB"/>
        </w:rPr>
        <w:t xml:space="preserve"> in public affairs</w:t>
      </w:r>
      <w:r w:rsidR="00052B00" w:rsidRPr="006B753A">
        <w:rPr>
          <w:lang w:val="en-GB"/>
        </w:rPr>
        <w:t>.</w:t>
      </w:r>
    </w:p>
    <w:p w14:paraId="686E191B" w14:textId="77777777" w:rsidR="00A35C92" w:rsidRPr="00E05E56" w:rsidRDefault="00A35C92" w:rsidP="00EE61E3">
      <w:pPr>
        <w:pStyle w:val="Heading3"/>
        <w:numPr>
          <w:ilvl w:val="0"/>
          <w:numId w:val="18"/>
        </w:numPr>
        <w:rPr>
          <w:rFonts w:ascii="Times New Roman" w:hAnsi="Times New Roman" w:cs="Times New Roman"/>
          <w:color w:val="auto"/>
          <w:lang w:val="en-GB"/>
        </w:rPr>
      </w:pPr>
      <w:bookmarkStart w:id="5" w:name="_Toc509931723"/>
      <w:r w:rsidRPr="00E05E56">
        <w:rPr>
          <w:rFonts w:ascii="Times New Roman" w:hAnsi="Times New Roman" w:cs="Times New Roman"/>
          <w:color w:val="auto"/>
          <w:lang w:val="en-GB"/>
        </w:rPr>
        <w:t>Non-resident citizens</w:t>
      </w:r>
      <w:bookmarkEnd w:id="5"/>
    </w:p>
    <w:p w14:paraId="62C61386" w14:textId="77777777" w:rsidR="00EE61E3" w:rsidRPr="005D084F" w:rsidRDefault="00EE61E3" w:rsidP="00EE61E3">
      <w:pPr>
        <w:ind w:left="794"/>
        <w:rPr>
          <w:lang w:val="en-GB"/>
        </w:rPr>
      </w:pPr>
    </w:p>
    <w:p w14:paraId="63E7D90A" w14:textId="77777777" w:rsidR="00902731" w:rsidRPr="008F512B" w:rsidRDefault="00E618E4" w:rsidP="00EE492F">
      <w:pPr>
        <w:ind w:firstLine="284"/>
        <w:rPr>
          <w:rFonts w:eastAsia="Times New Roman"/>
        </w:rPr>
      </w:pPr>
      <w:r w:rsidRPr="00D24721">
        <w:rPr>
          <w:lang w:val="en-GB"/>
        </w:rPr>
        <w:t xml:space="preserve">Restrictions </w:t>
      </w:r>
      <w:r w:rsidR="00C22D79" w:rsidRPr="00D24721">
        <w:rPr>
          <w:lang w:val="en-GB"/>
        </w:rPr>
        <w:t xml:space="preserve">to the right to participate in public affairs </w:t>
      </w:r>
      <w:r w:rsidR="006272E5" w:rsidRPr="00904A38">
        <w:rPr>
          <w:lang w:val="en-GB"/>
        </w:rPr>
        <w:t xml:space="preserve">may also be </w:t>
      </w:r>
      <w:r w:rsidRPr="00972980">
        <w:rPr>
          <w:lang w:val="en-GB"/>
        </w:rPr>
        <w:t>based on</w:t>
      </w:r>
      <w:r w:rsidR="00A175C9" w:rsidRPr="006B753A">
        <w:rPr>
          <w:lang w:val="en-GB"/>
        </w:rPr>
        <w:t xml:space="preserve"> a</w:t>
      </w:r>
      <w:r w:rsidRPr="006B753A">
        <w:rPr>
          <w:lang w:val="en-GB"/>
        </w:rPr>
        <w:t xml:space="preserve"> res</w:t>
      </w:r>
      <w:r w:rsidR="00090305" w:rsidRPr="006B753A">
        <w:rPr>
          <w:lang w:val="en-GB"/>
        </w:rPr>
        <w:t xml:space="preserve">idence criterion – as opposed to </w:t>
      </w:r>
      <w:r w:rsidR="00F97EC5" w:rsidRPr="008F512B">
        <w:rPr>
          <w:lang w:val="en-GB"/>
        </w:rPr>
        <w:t>nationality. This mostly concerns the</w:t>
      </w:r>
      <w:r w:rsidR="00B141FD" w:rsidRPr="008F512B">
        <w:rPr>
          <w:lang w:val="en-GB"/>
        </w:rPr>
        <w:t xml:space="preserve"> exercise of the right t</w:t>
      </w:r>
      <w:r w:rsidR="00A175C9" w:rsidRPr="008F512B">
        <w:rPr>
          <w:lang w:val="en-GB"/>
        </w:rPr>
        <w:t>o vote for non-resident citizens</w:t>
      </w:r>
      <w:r w:rsidRPr="008F512B">
        <w:rPr>
          <w:lang w:val="en-GB"/>
        </w:rPr>
        <w:t xml:space="preserve">. </w:t>
      </w:r>
      <w:r w:rsidR="00CE1AE8" w:rsidRPr="008F512B">
        <w:rPr>
          <w:rFonts w:eastAsia="Times New Roman"/>
        </w:rPr>
        <w:t xml:space="preserve">The </w:t>
      </w:r>
      <w:proofErr w:type="spellStart"/>
      <w:r w:rsidR="00CE1AE8" w:rsidRPr="008F512B">
        <w:rPr>
          <w:rFonts w:eastAsia="Times New Roman"/>
        </w:rPr>
        <w:t>ECtHR</w:t>
      </w:r>
      <w:proofErr w:type="spellEnd"/>
      <w:r w:rsidR="00CE1AE8" w:rsidRPr="008F512B">
        <w:rPr>
          <w:rFonts w:eastAsia="Times New Roman"/>
        </w:rPr>
        <w:t xml:space="preserve"> grants a large “margin of appreciation” to States and its case-law is very clear in that regard.  In its </w:t>
      </w:r>
      <w:proofErr w:type="spellStart"/>
      <w:r w:rsidR="00CE1AE8" w:rsidRPr="008F512B">
        <w:rPr>
          <w:rFonts w:eastAsia="Times New Roman"/>
          <w:i/>
        </w:rPr>
        <w:t>Shindler</w:t>
      </w:r>
      <w:proofErr w:type="spellEnd"/>
      <w:r w:rsidR="00CE1AE8" w:rsidRPr="008F512B">
        <w:rPr>
          <w:rFonts w:eastAsia="Times New Roman"/>
          <w:i/>
        </w:rPr>
        <w:t xml:space="preserve"> v. the United Kingdom</w:t>
      </w:r>
      <w:r w:rsidR="00CE1AE8" w:rsidRPr="008F512B">
        <w:rPr>
          <w:rFonts w:eastAsia="Times New Roman"/>
        </w:rPr>
        <w:t xml:space="preserve"> case, the Court considered, as the law currently stood, that States were under no obligation to grant non-residents unrestricted access to the franchise, whilst noting the trend in </w:t>
      </w:r>
      <w:proofErr w:type="spellStart"/>
      <w:r w:rsidR="00CE1AE8" w:rsidRPr="008F512B">
        <w:rPr>
          <w:rFonts w:eastAsia="Times New Roman"/>
        </w:rPr>
        <w:t>favour</w:t>
      </w:r>
      <w:proofErr w:type="spellEnd"/>
      <w:r w:rsidR="00CE1AE8" w:rsidRPr="008F512B">
        <w:rPr>
          <w:rFonts w:eastAsia="Times New Roman"/>
        </w:rPr>
        <w:t xml:space="preserve"> of voting rights for non-resident citizens.</w:t>
      </w:r>
      <w:r w:rsidR="0030758D" w:rsidRPr="00AC0ABF">
        <w:rPr>
          <w:rFonts w:eastAsia="Times New Roman"/>
        </w:rPr>
        <w:t xml:space="preserve"> </w:t>
      </w:r>
      <w:r w:rsidR="00CE7A41" w:rsidRPr="00AC0ABF">
        <w:rPr>
          <w:rFonts w:eastAsia="Times New Roman"/>
        </w:rPr>
        <w:t xml:space="preserve">In this </w:t>
      </w:r>
      <w:r w:rsidR="00E517FE" w:rsidRPr="00AC0ABF">
        <w:rPr>
          <w:rFonts w:eastAsia="Times New Roman"/>
        </w:rPr>
        <w:t xml:space="preserve">landmark </w:t>
      </w:r>
      <w:r w:rsidR="00CE7A41" w:rsidRPr="00AC0ABF">
        <w:rPr>
          <w:rFonts w:eastAsia="Times New Roman"/>
        </w:rPr>
        <w:t xml:space="preserve">case concerning the United Kingdom where the law provides that </w:t>
      </w:r>
      <w:r w:rsidR="00E517FE" w:rsidRPr="00AC0ABF">
        <w:rPr>
          <w:rFonts w:eastAsia="Times New Roman"/>
        </w:rPr>
        <w:t xml:space="preserve">non-resident citizens lose the right to vote in </w:t>
      </w:r>
      <w:r w:rsidR="002E1A77" w:rsidRPr="00AC0ABF">
        <w:rPr>
          <w:rFonts w:eastAsia="Times New Roman"/>
        </w:rPr>
        <w:t>national</w:t>
      </w:r>
      <w:r w:rsidR="00E517FE" w:rsidRPr="00D66546">
        <w:rPr>
          <w:rFonts w:eastAsia="Times New Roman"/>
        </w:rPr>
        <w:t xml:space="preserve"> elections 15 years after they have emigrated, the Court concluded that the “legislation struck a fair balance between the conflicting interests at stake, namely the genuine interest of the applicant, as a British citizen, to participate in parliamentary elections in his country of origin and the chosen </w:t>
      </w:r>
      <w:r w:rsidR="00E517FE" w:rsidRPr="00D66546">
        <w:rPr>
          <w:rFonts w:eastAsia="Times New Roman"/>
        </w:rPr>
        <w:lastRenderedPageBreak/>
        <w:t>legislative policy of respondent State to confine the parliamentary franchise to those citizens with a close connection with the United Kingdom and who would therefore be most directly affected by its laws”.</w:t>
      </w:r>
      <w:r w:rsidR="00E517FE" w:rsidRPr="00E05E56">
        <w:rPr>
          <w:rStyle w:val="FootnoteReference"/>
          <w:rFonts w:ascii="Times New Roman" w:eastAsia="Times New Roman" w:hAnsi="Times New Roman"/>
        </w:rPr>
        <w:footnoteReference w:id="47"/>
      </w:r>
      <w:r w:rsidR="001E6C94" w:rsidRPr="008F512B">
        <w:rPr>
          <w:rFonts w:eastAsia="Times New Roman"/>
        </w:rPr>
        <w:t xml:space="preserve"> </w:t>
      </w:r>
    </w:p>
    <w:p w14:paraId="507E3AE9" w14:textId="77777777" w:rsidR="004C1783" w:rsidRPr="008F512B" w:rsidRDefault="004C1783" w:rsidP="00EE492F">
      <w:pPr>
        <w:ind w:firstLine="284"/>
        <w:rPr>
          <w:rFonts w:eastAsia="Times New Roman"/>
        </w:rPr>
      </w:pPr>
    </w:p>
    <w:p w14:paraId="15A6D42A" w14:textId="77777777" w:rsidR="00F07D7E" w:rsidRPr="008F512B" w:rsidRDefault="001E6C94" w:rsidP="00EE492F">
      <w:pPr>
        <w:ind w:firstLine="284"/>
        <w:rPr>
          <w:rFonts w:eastAsia="Times New Roman"/>
        </w:rPr>
      </w:pPr>
      <w:r w:rsidRPr="008F512B">
        <w:rPr>
          <w:rFonts w:eastAsia="Times New Roman"/>
        </w:rPr>
        <w:t xml:space="preserve">The </w:t>
      </w:r>
      <w:proofErr w:type="spellStart"/>
      <w:r w:rsidRPr="008F512B">
        <w:rPr>
          <w:rFonts w:eastAsia="Times New Roman"/>
        </w:rPr>
        <w:t>ECtHR</w:t>
      </w:r>
      <w:proofErr w:type="spellEnd"/>
      <w:r w:rsidRPr="008F512B">
        <w:rPr>
          <w:rFonts w:eastAsia="Times New Roman"/>
        </w:rPr>
        <w:t xml:space="preserve"> case-law </w:t>
      </w:r>
      <w:r w:rsidR="00470D48" w:rsidRPr="008F512B">
        <w:rPr>
          <w:rFonts w:eastAsia="Times New Roman"/>
        </w:rPr>
        <w:t>is i</w:t>
      </w:r>
      <w:r w:rsidR="00470D48" w:rsidRPr="00AC0ABF">
        <w:rPr>
          <w:rFonts w:eastAsia="Times New Roman"/>
        </w:rPr>
        <w:t>n contrast with</w:t>
      </w:r>
      <w:r w:rsidR="00B9046C" w:rsidRPr="00AC0ABF">
        <w:rPr>
          <w:rFonts w:eastAsia="Times New Roman"/>
        </w:rPr>
        <w:t xml:space="preserve"> European State practice, which overwhelmingly endorse</w:t>
      </w:r>
      <w:r w:rsidR="00470D48" w:rsidRPr="00AC0ABF">
        <w:rPr>
          <w:rFonts w:eastAsia="Times New Roman"/>
        </w:rPr>
        <w:t>s</w:t>
      </w:r>
      <w:r w:rsidR="00B9046C" w:rsidRPr="00AC0ABF">
        <w:rPr>
          <w:rFonts w:eastAsia="Times New Roman"/>
        </w:rPr>
        <w:t xml:space="preserve"> the right to vote for non-resident citizens.</w:t>
      </w:r>
      <w:r w:rsidR="00B9046C" w:rsidRPr="00E05E56">
        <w:rPr>
          <w:rStyle w:val="FootnoteReference"/>
          <w:rFonts w:ascii="Times New Roman" w:eastAsia="Times New Roman" w:hAnsi="Times New Roman"/>
        </w:rPr>
        <w:footnoteReference w:id="48"/>
      </w:r>
      <w:r w:rsidR="00B9046C" w:rsidRPr="008F512B">
        <w:rPr>
          <w:rFonts w:eastAsia="Times New Roman"/>
        </w:rPr>
        <w:t xml:space="preserve"> </w:t>
      </w:r>
      <w:r w:rsidR="0035058A" w:rsidRPr="008F512B">
        <w:rPr>
          <w:rFonts w:eastAsia="Times New Roman"/>
          <w:lang w:val="en-GB"/>
        </w:rPr>
        <w:t xml:space="preserve">The right to vote from abroad is recognised in many states for </w:t>
      </w:r>
      <w:proofErr w:type="gramStart"/>
      <w:r w:rsidR="0035058A" w:rsidRPr="008F512B">
        <w:rPr>
          <w:rFonts w:eastAsia="Times New Roman"/>
          <w:lang w:val="en-GB"/>
        </w:rPr>
        <w:t>citizens</w:t>
      </w:r>
      <w:proofErr w:type="gramEnd"/>
      <w:r w:rsidR="0035058A" w:rsidRPr="008F512B">
        <w:rPr>
          <w:rFonts w:eastAsia="Times New Roman"/>
          <w:lang w:val="en-GB"/>
        </w:rPr>
        <w:t xml:space="preserve"> resident abroad or temporarily out of the country without any restrictions concerning the period of absence or the obligation to have resided in the country.</w:t>
      </w:r>
      <w:r w:rsidR="0035058A" w:rsidRPr="00E05E56">
        <w:rPr>
          <w:rStyle w:val="FootnoteReference"/>
          <w:rFonts w:ascii="Times New Roman" w:eastAsia="Times New Roman" w:hAnsi="Times New Roman"/>
          <w:lang w:val="en-GB"/>
        </w:rPr>
        <w:footnoteReference w:id="49"/>
      </w:r>
      <w:r w:rsidR="0035058A" w:rsidRPr="008F512B">
        <w:rPr>
          <w:rFonts w:eastAsia="Times New Roman"/>
          <w:lang w:val="en-GB"/>
        </w:rPr>
        <w:t xml:space="preserve"> This situation was acknowledged in a </w:t>
      </w:r>
      <w:r w:rsidR="0035058A" w:rsidRPr="008F512B">
        <w:rPr>
          <w:lang w:val="en-GB"/>
        </w:rPr>
        <w:t>Venice Commission study</w:t>
      </w:r>
      <w:r w:rsidR="0035058A" w:rsidRPr="00E05E56">
        <w:rPr>
          <w:rStyle w:val="FootnoteReference"/>
          <w:rFonts w:ascii="Times New Roman" w:hAnsi="Times New Roman"/>
          <w:lang w:val="en-GB"/>
        </w:rPr>
        <w:footnoteReference w:id="50"/>
      </w:r>
      <w:r w:rsidR="0035058A" w:rsidRPr="008F512B">
        <w:rPr>
          <w:lang w:val="en-GB"/>
        </w:rPr>
        <w:t xml:space="preserve"> and </w:t>
      </w:r>
      <w:r w:rsidR="003842ED" w:rsidRPr="008F512B">
        <w:rPr>
          <w:lang w:val="en-GB"/>
        </w:rPr>
        <w:t xml:space="preserve">supported by its </w:t>
      </w:r>
      <w:r w:rsidR="0035058A" w:rsidRPr="008F512B">
        <w:rPr>
          <w:lang w:val="en-GB"/>
        </w:rPr>
        <w:t>report on out-of-country voting.</w:t>
      </w:r>
      <w:r w:rsidR="0035058A" w:rsidRPr="00E05E56">
        <w:rPr>
          <w:rStyle w:val="FootnoteReference"/>
          <w:rFonts w:ascii="Times New Roman" w:hAnsi="Times New Roman"/>
          <w:lang w:val="en-GB"/>
        </w:rPr>
        <w:footnoteReference w:id="51"/>
      </w:r>
      <w:r w:rsidR="00C543B8" w:rsidRPr="008F512B">
        <w:rPr>
          <w:lang w:val="en-GB"/>
        </w:rPr>
        <w:t xml:space="preserve"> </w:t>
      </w:r>
      <w:r w:rsidR="00C543B8" w:rsidRPr="008F512B">
        <w:rPr>
          <w:rFonts w:eastAsia="Times New Roman"/>
        </w:rPr>
        <w:t xml:space="preserve">Citizens abroad are allowed to vote in all elections in four countries covered by the study: Austria, Denmark, Iceland, and Norway. </w:t>
      </w:r>
      <w:r w:rsidR="00C543B8" w:rsidRPr="008F512B">
        <w:rPr>
          <w:lang w:val="en-GB"/>
        </w:rPr>
        <w:t xml:space="preserve">In Ireland and Israel, </w:t>
      </w:r>
      <w:r w:rsidR="00C543B8" w:rsidRPr="008F512B">
        <w:rPr>
          <w:rFonts w:eastAsia="Times New Roman"/>
          <w:lang w:val="en-GB"/>
        </w:rPr>
        <w:t>the only people allowed to vote abroad are members of the diplomatic corps and the army.</w:t>
      </w:r>
      <w:r w:rsidR="00C543B8" w:rsidRPr="00E05E56">
        <w:rPr>
          <w:rStyle w:val="FootnoteReference"/>
          <w:rFonts w:ascii="Times New Roman" w:eastAsia="Times New Roman" w:hAnsi="Times New Roman"/>
          <w:lang w:val="en-GB"/>
        </w:rPr>
        <w:footnoteReference w:id="52"/>
      </w:r>
      <w:r w:rsidR="00C543B8" w:rsidRPr="008F512B">
        <w:rPr>
          <w:lang w:val="en-GB"/>
        </w:rPr>
        <w:t xml:space="preserve"> </w:t>
      </w:r>
      <w:r w:rsidR="009C1632" w:rsidRPr="008F512B">
        <w:rPr>
          <w:rFonts w:eastAsia="Times New Roman"/>
        </w:rPr>
        <w:t>The</w:t>
      </w:r>
      <w:r w:rsidR="00470D48" w:rsidRPr="008F512B">
        <w:rPr>
          <w:rFonts w:eastAsia="Times New Roman"/>
        </w:rPr>
        <w:t xml:space="preserve"> Human Rights Committee has not had to consider this specific issue</w:t>
      </w:r>
      <w:r w:rsidR="00FC733A" w:rsidRPr="008F512B">
        <w:rPr>
          <w:rFonts w:eastAsia="Times New Roman"/>
        </w:rPr>
        <w:t xml:space="preserve"> regarding a national election</w:t>
      </w:r>
      <w:r w:rsidR="009C1632" w:rsidRPr="008F512B">
        <w:rPr>
          <w:rFonts w:eastAsia="Times New Roman"/>
        </w:rPr>
        <w:t>.</w:t>
      </w:r>
      <w:r w:rsidR="00470D48" w:rsidRPr="00E05E56">
        <w:rPr>
          <w:rStyle w:val="FootnoteReference"/>
          <w:rFonts w:ascii="Times New Roman" w:eastAsia="Times New Roman" w:hAnsi="Times New Roman"/>
        </w:rPr>
        <w:footnoteReference w:id="53"/>
      </w:r>
      <w:r w:rsidR="00470D48" w:rsidRPr="008F512B">
        <w:rPr>
          <w:rFonts w:eastAsia="Times New Roman"/>
        </w:rPr>
        <w:t xml:space="preserve"> </w:t>
      </w:r>
      <w:r w:rsidR="009C1632" w:rsidRPr="008F512B">
        <w:rPr>
          <w:rFonts w:eastAsia="Times New Roman"/>
        </w:rPr>
        <w:t>I</w:t>
      </w:r>
      <w:r w:rsidR="00470D48" w:rsidRPr="008F512B">
        <w:rPr>
          <w:rFonts w:eastAsia="Times New Roman"/>
        </w:rPr>
        <w:t xml:space="preserve">ts General Comment No. 25 </w:t>
      </w:r>
      <w:r w:rsidR="009C1632" w:rsidRPr="008F512B">
        <w:rPr>
          <w:rFonts w:eastAsia="Times New Roman"/>
        </w:rPr>
        <w:t xml:space="preserve">only </w:t>
      </w:r>
      <w:r w:rsidR="00470D48" w:rsidRPr="008F512B">
        <w:rPr>
          <w:rFonts w:eastAsia="Times New Roman"/>
        </w:rPr>
        <w:t xml:space="preserve">states that </w:t>
      </w:r>
      <w:r w:rsidR="00D07C7C" w:rsidRPr="008F512B">
        <w:rPr>
          <w:rFonts w:eastAsia="Times New Roman"/>
        </w:rPr>
        <w:t xml:space="preserve">Article 25 of the Covenant protects the rights of “every citizen”. </w:t>
      </w:r>
    </w:p>
    <w:p w14:paraId="3C2608BA" w14:textId="77777777" w:rsidR="004C1783" w:rsidRPr="008F512B" w:rsidRDefault="004C1783" w:rsidP="00EE492F">
      <w:pPr>
        <w:ind w:firstLine="284"/>
        <w:rPr>
          <w:rFonts w:eastAsia="Times New Roman"/>
        </w:rPr>
      </w:pPr>
    </w:p>
    <w:p w14:paraId="1A29ADA0" w14:textId="77777777" w:rsidR="004C1783" w:rsidRPr="00E05E56" w:rsidRDefault="004C1783" w:rsidP="00E05E56">
      <w:pPr>
        <w:ind w:firstLine="284"/>
        <w:rPr>
          <w:lang w:val="en-GB"/>
        </w:rPr>
      </w:pPr>
      <w:r w:rsidRPr="008F512B">
        <w:rPr>
          <w:lang w:val="en-GB"/>
        </w:rPr>
        <w:t>In terms of voting rights of non-nationals in the countries studied, EU citizens living in EU coun</w:t>
      </w:r>
      <w:r w:rsidRPr="00AC0ABF">
        <w:rPr>
          <w:lang w:val="en-GB"/>
        </w:rPr>
        <w:t xml:space="preserve">tries enjoy broader participation since they can vote in local elections. Third-countries nationals’ right to vote in local elections remains exceptional. A positive trend should be noted in favour of voting rights of non-resident citizens. As shown by European State practice and acknowledged by the European Court of Human Rights and the Venice Commission, the </w:t>
      </w:r>
      <w:r w:rsidRPr="00AC0ABF">
        <w:rPr>
          <w:rFonts w:eastAsia="Times New Roman"/>
          <w:lang w:val="en-GB"/>
        </w:rPr>
        <w:t>right to vote from abroad is recognised in many states for citizens residents abroad or temporarily out of the country without any restrictions based</w:t>
      </w:r>
      <w:r w:rsidRPr="00D66546">
        <w:rPr>
          <w:rFonts w:eastAsia="Times New Roman"/>
          <w:lang w:val="en-GB"/>
        </w:rPr>
        <w:t xml:space="preserve"> on the period of time spent abroad or residency in the country.</w:t>
      </w:r>
    </w:p>
    <w:p w14:paraId="4BF695BC" w14:textId="77777777" w:rsidR="004C1783" w:rsidRPr="00E05E56" w:rsidRDefault="004C1783" w:rsidP="00EE492F">
      <w:pPr>
        <w:ind w:firstLine="284"/>
        <w:rPr>
          <w:rFonts w:eastAsia="Times New Roman"/>
          <w:lang w:val="en-GB"/>
        </w:rPr>
      </w:pPr>
    </w:p>
    <w:p w14:paraId="4DDB397E" w14:textId="77777777" w:rsidR="004A11F7" w:rsidRDefault="004A11F7" w:rsidP="004A11F7">
      <w:pPr>
        <w:ind w:firstLine="284"/>
        <w:rPr>
          <w:lang w:val="en-GB"/>
        </w:rPr>
      </w:pPr>
      <w:r w:rsidRPr="005D084F">
        <w:rPr>
          <w:lang w:val="en-GB"/>
        </w:rPr>
        <w:lastRenderedPageBreak/>
        <w:t xml:space="preserve">Overall, a number of </w:t>
      </w:r>
      <w:r w:rsidR="00A55189" w:rsidRPr="005D084F">
        <w:rPr>
          <w:lang w:val="en-GB"/>
        </w:rPr>
        <w:t xml:space="preserve">trends and </w:t>
      </w:r>
      <w:r w:rsidRPr="005D084F">
        <w:rPr>
          <w:lang w:val="en-GB"/>
        </w:rPr>
        <w:t>good practices can be identified regarding equal participation in public affairs of non-citizens and non-resident citizens</w:t>
      </w:r>
      <w:r w:rsidR="003C7648" w:rsidRPr="00D24721">
        <w:rPr>
          <w:lang w:val="en-GB"/>
        </w:rPr>
        <w:t xml:space="preserve"> in the countries covered by the st</w:t>
      </w:r>
      <w:r w:rsidR="003C7648" w:rsidRPr="00904A38">
        <w:rPr>
          <w:lang w:val="en-GB"/>
        </w:rPr>
        <w:t>udy</w:t>
      </w:r>
      <w:r w:rsidRPr="00972980">
        <w:rPr>
          <w:lang w:val="en-GB"/>
        </w:rPr>
        <w:t>. These include:</w:t>
      </w:r>
    </w:p>
    <w:p w14:paraId="6E397BB3" w14:textId="77777777" w:rsidR="008F512B" w:rsidRDefault="008F512B" w:rsidP="004A11F7">
      <w:pPr>
        <w:ind w:firstLine="284"/>
        <w:rPr>
          <w:lang w:val="en-GB"/>
        </w:rPr>
      </w:pPr>
    </w:p>
    <w:p w14:paraId="2E4B7591" w14:textId="77777777" w:rsidR="008F512B" w:rsidRPr="00E05E56" w:rsidRDefault="008F512B" w:rsidP="008F512B">
      <w:pPr>
        <w:pStyle w:val="ListParagraph"/>
        <w:numPr>
          <w:ilvl w:val="0"/>
          <w:numId w:val="14"/>
        </w:numPr>
        <w:ind w:firstLine="284"/>
        <w:rPr>
          <w:rFonts w:ascii="Times New Roman" w:hAnsi="Times New Roman" w:cs="Times New Roman"/>
          <w:lang w:val="en-GB"/>
        </w:rPr>
      </w:pPr>
      <w:r w:rsidRPr="00E05E56">
        <w:rPr>
          <w:rFonts w:ascii="Times New Roman" w:hAnsi="Times New Roman" w:cs="Times New Roman"/>
          <w:lang w:val="en-GB"/>
        </w:rPr>
        <w:t xml:space="preserve">Granting foreigners electoral rights in the country where they live </w:t>
      </w:r>
      <w:r w:rsidRPr="00E05E56">
        <w:rPr>
          <w:rFonts w:ascii="Times New Roman" w:eastAsia="Times New Roman" w:hAnsi="Times New Roman" w:cs="Times New Roman"/>
        </w:rPr>
        <w:t>after lawful and habitual residence for five years preceding the elections</w:t>
      </w:r>
      <w:r w:rsidRPr="00E05E56">
        <w:rPr>
          <w:rFonts w:ascii="Times New Roman" w:hAnsi="Times New Roman" w:cs="Times New Roman"/>
          <w:lang w:val="en-GB"/>
        </w:rPr>
        <w:t xml:space="preserve">, in line with the </w:t>
      </w:r>
      <w:r w:rsidRPr="00E05E56">
        <w:rPr>
          <w:rFonts w:ascii="Times New Roman" w:eastAsia="Times New Roman" w:hAnsi="Times New Roman" w:cs="Times New Roman"/>
        </w:rPr>
        <w:t>European Convention on the Participation of Foreigners in Public Life at Local Level</w:t>
      </w:r>
      <w:r w:rsidRPr="00E05E56">
        <w:rPr>
          <w:rFonts w:ascii="Times New Roman" w:hAnsi="Times New Roman" w:cs="Times New Roman"/>
          <w:lang w:val="en-GB"/>
        </w:rPr>
        <w:t>;</w:t>
      </w:r>
    </w:p>
    <w:p w14:paraId="1FEA191D" w14:textId="77777777" w:rsidR="008F512B" w:rsidRPr="00E05E56" w:rsidRDefault="008F512B" w:rsidP="008F512B">
      <w:pPr>
        <w:pStyle w:val="ListParagraph"/>
        <w:numPr>
          <w:ilvl w:val="0"/>
          <w:numId w:val="14"/>
        </w:numPr>
        <w:ind w:firstLine="284"/>
        <w:rPr>
          <w:rFonts w:ascii="Times New Roman" w:hAnsi="Times New Roman" w:cs="Times New Roman"/>
          <w:lang w:val="en-GB"/>
        </w:rPr>
      </w:pPr>
      <w:r w:rsidRPr="00E05E56">
        <w:rPr>
          <w:rFonts w:ascii="Times New Roman" w:hAnsi="Times New Roman" w:cs="Times New Roman"/>
          <w:lang w:val="en-GB"/>
        </w:rPr>
        <w:t>Allowing non-resident citizens to vote from abroad regardless of how long they have been abroad, as is the case in most countries considered;</w:t>
      </w:r>
    </w:p>
    <w:p w14:paraId="72D2346A" w14:textId="77777777" w:rsidR="008F512B" w:rsidRPr="00E05E56" w:rsidRDefault="008F512B" w:rsidP="008F512B">
      <w:pPr>
        <w:pStyle w:val="ListParagraph"/>
        <w:numPr>
          <w:ilvl w:val="0"/>
          <w:numId w:val="14"/>
        </w:numPr>
        <w:ind w:firstLine="284"/>
        <w:rPr>
          <w:rFonts w:ascii="Times New Roman" w:hAnsi="Times New Roman" w:cs="Times New Roman"/>
          <w:lang w:val="en-GB"/>
        </w:rPr>
      </w:pPr>
      <w:r w:rsidRPr="00E05E56">
        <w:rPr>
          <w:rFonts w:ascii="Times New Roman" w:hAnsi="Times New Roman" w:cs="Times New Roman"/>
          <w:lang w:val="en-GB"/>
        </w:rPr>
        <w:t>Provide a</w:t>
      </w:r>
      <w:r w:rsidRPr="00E05E56">
        <w:rPr>
          <w:rFonts w:ascii="Times New Roman" w:eastAsia="Times New Roman" w:hAnsi="Times New Roman" w:cs="Times New Roman"/>
        </w:rPr>
        <w:t xml:space="preserve"> number of years of legal residence required to acquire citizenship in line with the European Convention on Nationality (no longer than ten years), as is also the case in most countries studied;</w:t>
      </w:r>
    </w:p>
    <w:p w14:paraId="0531C045" w14:textId="77777777" w:rsidR="008F512B" w:rsidRPr="00E05E56" w:rsidRDefault="008F512B" w:rsidP="008F512B">
      <w:pPr>
        <w:pStyle w:val="ListParagraph"/>
        <w:numPr>
          <w:ilvl w:val="0"/>
          <w:numId w:val="14"/>
        </w:numPr>
        <w:ind w:firstLine="284"/>
        <w:rPr>
          <w:rFonts w:ascii="Times New Roman" w:hAnsi="Times New Roman" w:cs="Times New Roman"/>
          <w:lang w:val="en-GB"/>
        </w:rPr>
      </w:pPr>
      <w:r w:rsidRPr="00E05E56">
        <w:rPr>
          <w:rFonts w:ascii="Times New Roman" w:eastAsia="Times New Roman" w:hAnsi="Times New Roman" w:cs="Times New Roman"/>
          <w:lang w:val="en-GB"/>
        </w:rPr>
        <w:t>Where foreigners, including migrants, do not have voting rights, promoting their contribution to the political debate and decision-making processes more generally.</w:t>
      </w:r>
      <w:r w:rsidRPr="00E05E56">
        <w:rPr>
          <w:rStyle w:val="FootnoteReference"/>
          <w:rFonts w:ascii="Times New Roman" w:eastAsia="Times New Roman" w:hAnsi="Times New Roman" w:cs="Times New Roman"/>
          <w:lang w:val="en-GB"/>
        </w:rPr>
        <w:footnoteReference w:id="54"/>
      </w:r>
    </w:p>
    <w:p w14:paraId="60A9D0FC" w14:textId="77777777" w:rsidR="008F512B" w:rsidRPr="008F512B" w:rsidRDefault="008F512B" w:rsidP="004A11F7">
      <w:pPr>
        <w:ind w:firstLine="284"/>
        <w:rPr>
          <w:lang w:val="en-GB"/>
        </w:rPr>
      </w:pPr>
    </w:p>
    <w:p w14:paraId="6DC33D0B" w14:textId="77777777" w:rsidR="008F512B" w:rsidRPr="00972980" w:rsidRDefault="008F512B" w:rsidP="004A11F7">
      <w:pPr>
        <w:ind w:firstLine="284"/>
        <w:rPr>
          <w:lang w:val="en-GB"/>
        </w:rPr>
      </w:pPr>
    </w:p>
    <w:p w14:paraId="345BD0DC" w14:textId="77777777" w:rsidR="0008432C" w:rsidRPr="00E05E56" w:rsidRDefault="00EE492F" w:rsidP="00EE492F">
      <w:pPr>
        <w:pStyle w:val="Heading2"/>
        <w:rPr>
          <w:rFonts w:ascii="Times New Roman" w:hAnsi="Times New Roman"/>
          <w:color w:val="auto"/>
          <w:lang w:val="en-GB"/>
        </w:rPr>
      </w:pPr>
      <w:bookmarkStart w:id="6" w:name="_Toc509931724"/>
      <w:r w:rsidRPr="00E05E56">
        <w:rPr>
          <w:rFonts w:ascii="Times New Roman" w:hAnsi="Times New Roman"/>
          <w:color w:val="auto"/>
          <w:lang w:val="en-GB"/>
        </w:rPr>
        <w:t xml:space="preserve">B. </w:t>
      </w:r>
      <w:r w:rsidR="0008432C" w:rsidRPr="00E05E56">
        <w:rPr>
          <w:rFonts w:ascii="Times New Roman" w:hAnsi="Times New Roman"/>
          <w:color w:val="auto"/>
          <w:lang w:val="en-GB"/>
        </w:rPr>
        <w:t>Women</w:t>
      </w:r>
      <w:bookmarkEnd w:id="6"/>
    </w:p>
    <w:p w14:paraId="41684F7B" w14:textId="38D3FB21" w:rsidR="003C059E" w:rsidRPr="005D084F" w:rsidRDefault="006D7256" w:rsidP="00E05E56">
      <w:pPr>
        <w:ind w:firstLine="284"/>
        <w:rPr>
          <w:rFonts w:eastAsia="Times New Roman"/>
        </w:rPr>
      </w:pPr>
      <w:r w:rsidRPr="005D084F">
        <w:rPr>
          <w:lang w:val="en-GB"/>
        </w:rPr>
        <w:t xml:space="preserve">Even though women tend to be better represented than they were in </w:t>
      </w:r>
      <w:proofErr w:type="gramStart"/>
      <w:r w:rsidRPr="005D084F">
        <w:rPr>
          <w:lang w:val="en-GB"/>
        </w:rPr>
        <w:t xml:space="preserve">most </w:t>
      </w:r>
      <w:r w:rsidR="00122C31" w:rsidRPr="005D084F">
        <w:rPr>
          <w:lang w:val="en-GB"/>
        </w:rPr>
        <w:t xml:space="preserve"> </w:t>
      </w:r>
      <w:r w:rsidRPr="005D084F">
        <w:rPr>
          <w:lang w:val="en-GB"/>
        </w:rPr>
        <w:t>countries</w:t>
      </w:r>
      <w:proofErr w:type="gramEnd"/>
      <w:r w:rsidRPr="005D084F">
        <w:rPr>
          <w:lang w:val="en-GB"/>
        </w:rPr>
        <w:t xml:space="preserve"> concerned,</w:t>
      </w:r>
      <w:r w:rsidR="00466971" w:rsidRPr="00E05E56">
        <w:rPr>
          <w:rStyle w:val="FootnoteReference"/>
          <w:rFonts w:ascii="Times New Roman" w:hAnsi="Times New Roman"/>
          <w:lang w:val="en-GB"/>
        </w:rPr>
        <w:footnoteReference w:id="55"/>
      </w:r>
      <w:r w:rsidRPr="005D084F">
        <w:rPr>
          <w:lang w:val="en-GB"/>
        </w:rPr>
        <w:t xml:space="preserve"> the Council of Europe Gender Equality Commission considers that</w:t>
      </w:r>
      <w:r w:rsidRPr="005D084F">
        <w:rPr>
          <w:rFonts w:eastAsia="Times New Roman"/>
          <w:lang w:val="en-GB"/>
        </w:rPr>
        <w:t xml:space="preserve"> </w:t>
      </w:r>
      <w:r w:rsidR="003C059E" w:rsidRPr="005D084F">
        <w:rPr>
          <w:rFonts w:eastAsia="Times New Roman"/>
          <w:lang w:val="en-GB"/>
        </w:rPr>
        <w:t xml:space="preserve">the full and equitable participation of women in political and public life </w:t>
      </w:r>
      <w:r w:rsidR="00FC34F8" w:rsidRPr="00D24721">
        <w:rPr>
          <w:rFonts w:eastAsia="Times New Roman"/>
          <w:lang w:val="en-GB"/>
        </w:rPr>
        <w:t xml:space="preserve">remains </w:t>
      </w:r>
      <w:r w:rsidR="003C059E" w:rsidRPr="00D24721">
        <w:rPr>
          <w:rFonts w:eastAsia="Times New Roman"/>
          <w:lang w:val="en-GB"/>
        </w:rPr>
        <w:t xml:space="preserve">to be </w:t>
      </w:r>
      <w:r w:rsidR="00FC34F8" w:rsidRPr="00904A38">
        <w:rPr>
          <w:rFonts w:eastAsia="Times New Roman"/>
          <w:lang w:val="en-GB"/>
        </w:rPr>
        <w:t xml:space="preserve">achieved </w:t>
      </w:r>
      <w:r w:rsidR="003C059E" w:rsidRPr="00904A38">
        <w:rPr>
          <w:rFonts w:eastAsia="Times New Roman"/>
          <w:lang w:val="en-GB"/>
        </w:rPr>
        <w:t xml:space="preserve">in most </w:t>
      </w:r>
      <w:r w:rsidR="00CB0CDE" w:rsidRPr="00972980">
        <w:rPr>
          <w:rFonts w:eastAsia="Times New Roman"/>
          <w:lang w:val="en-GB"/>
        </w:rPr>
        <w:t xml:space="preserve">of the </w:t>
      </w:r>
      <w:r w:rsidR="003C059E" w:rsidRPr="006B753A">
        <w:rPr>
          <w:rFonts w:eastAsia="Times New Roman"/>
          <w:lang w:val="en-GB"/>
        </w:rPr>
        <w:t>member States, both in legislative, executive and administrative bodies</w:t>
      </w:r>
      <w:r w:rsidR="003C059E" w:rsidRPr="006B753A">
        <w:rPr>
          <w:rFonts w:eastAsia="Times New Roman"/>
        </w:rPr>
        <w:t xml:space="preserve"> at the local, regional and national levels. </w:t>
      </w:r>
      <w:r w:rsidR="000D1EA3" w:rsidRPr="008F512B">
        <w:rPr>
          <w:rFonts w:eastAsia="Times New Roman"/>
        </w:rPr>
        <w:t>The Commission</w:t>
      </w:r>
      <w:r w:rsidRPr="008F512B">
        <w:rPr>
          <w:rFonts w:eastAsia="Times New Roman"/>
        </w:rPr>
        <w:t xml:space="preserve"> concludes that a “</w:t>
      </w:r>
      <w:r w:rsidR="003C059E" w:rsidRPr="008F512B">
        <w:rPr>
          <w:rFonts w:eastAsia="Times New Roman"/>
        </w:rPr>
        <w:t>huge amount of progress re</w:t>
      </w:r>
      <w:r w:rsidR="00E90692" w:rsidRPr="008F512B">
        <w:rPr>
          <w:rFonts w:eastAsia="Times New Roman"/>
        </w:rPr>
        <w:t xml:space="preserve">mains to be made to </w:t>
      </w:r>
      <w:r w:rsidR="002E7303" w:rsidRPr="008F512B">
        <w:rPr>
          <w:rFonts w:eastAsia="Times New Roman"/>
        </w:rPr>
        <w:t xml:space="preserve">reach </w:t>
      </w:r>
      <w:r w:rsidR="00E90692" w:rsidRPr="008F512B">
        <w:rPr>
          <w:rFonts w:eastAsia="Times New Roman"/>
        </w:rPr>
        <w:t>50-</w:t>
      </w:r>
      <w:r w:rsidR="003C059E" w:rsidRPr="008F512B">
        <w:rPr>
          <w:rFonts w:eastAsia="Times New Roman"/>
        </w:rPr>
        <w:t>50 by 2030.”</w:t>
      </w:r>
      <w:r w:rsidR="003C059E" w:rsidRPr="005D084F">
        <w:rPr>
          <w:rStyle w:val="FootnoteReference"/>
          <w:rFonts w:ascii="Times New Roman" w:eastAsia="Times New Roman" w:hAnsi="Times New Roman"/>
        </w:rPr>
        <w:footnoteReference w:id="56"/>
      </w:r>
    </w:p>
    <w:p w14:paraId="59BDE711" w14:textId="77777777" w:rsidR="005D084F" w:rsidRPr="00D24721" w:rsidRDefault="005D084F" w:rsidP="00E05E56">
      <w:pPr>
        <w:ind w:firstLine="284"/>
        <w:rPr>
          <w:lang w:val="en-GB"/>
        </w:rPr>
      </w:pPr>
    </w:p>
    <w:p w14:paraId="655658A8" w14:textId="3755F1B0" w:rsidR="00BB39AC" w:rsidRDefault="00BB39AC" w:rsidP="00B300E7">
      <w:pPr>
        <w:ind w:firstLine="284"/>
        <w:rPr>
          <w:rFonts w:eastAsia="Times New Roman"/>
        </w:rPr>
      </w:pPr>
      <w:r w:rsidRPr="006B753A">
        <w:rPr>
          <w:lang w:val="en-GB"/>
        </w:rPr>
        <w:t>In terms of parity threshold, the Council of Europe generally considers a 50/50 participation rate to be the objective whilst the representation of either women or men in political and public li</w:t>
      </w:r>
      <w:r w:rsidR="00BE24B5" w:rsidRPr="006B753A">
        <w:rPr>
          <w:lang w:val="en-GB"/>
        </w:rPr>
        <w:t>f</w:t>
      </w:r>
      <w:r w:rsidRPr="006B753A">
        <w:rPr>
          <w:lang w:val="en-GB"/>
        </w:rPr>
        <w:t>e should not fall below 40%.</w:t>
      </w:r>
      <w:r w:rsidRPr="005D084F">
        <w:rPr>
          <w:rStyle w:val="FootnoteReference"/>
          <w:rFonts w:ascii="Times New Roman" w:hAnsi="Times New Roman"/>
          <w:lang w:val="en-GB"/>
        </w:rPr>
        <w:footnoteReference w:id="57"/>
      </w:r>
      <w:r w:rsidR="009C0012" w:rsidRPr="005D084F">
        <w:rPr>
          <w:lang w:val="en-GB"/>
        </w:rPr>
        <w:t xml:space="preserve"> For its part, the European Union </w:t>
      </w:r>
      <w:r w:rsidR="00AA1175" w:rsidRPr="005D084F">
        <w:rPr>
          <w:lang w:val="en-GB"/>
        </w:rPr>
        <w:t>also encourages setting up a target of 50% representation of men and women</w:t>
      </w:r>
      <w:r w:rsidR="005C64A0" w:rsidRPr="005D084F">
        <w:rPr>
          <w:lang w:val="en-GB"/>
        </w:rPr>
        <w:t xml:space="preserve"> in </w:t>
      </w:r>
      <w:r w:rsidR="005C64A0" w:rsidRPr="00D24721">
        <w:rPr>
          <w:lang w:val="en-GB"/>
        </w:rPr>
        <w:t>national parli</w:t>
      </w:r>
      <w:r w:rsidR="00FA12F8" w:rsidRPr="00D24721">
        <w:rPr>
          <w:lang w:val="en-GB"/>
        </w:rPr>
        <w:t>am</w:t>
      </w:r>
      <w:r w:rsidR="00AA1175" w:rsidRPr="00D24721">
        <w:rPr>
          <w:lang w:val="en-GB"/>
        </w:rPr>
        <w:t>e</w:t>
      </w:r>
      <w:r w:rsidR="005C64A0" w:rsidRPr="00904A38">
        <w:rPr>
          <w:lang w:val="en-GB"/>
        </w:rPr>
        <w:t>n</w:t>
      </w:r>
      <w:r w:rsidR="00AA1175" w:rsidRPr="00904A38">
        <w:rPr>
          <w:lang w:val="en-GB"/>
        </w:rPr>
        <w:t>ts and in the European Parliament</w:t>
      </w:r>
      <w:r w:rsidR="00AA1175" w:rsidRPr="00E05E56">
        <w:rPr>
          <w:rStyle w:val="FootnoteReference"/>
          <w:rFonts w:ascii="Times New Roman" w:hAnsi="Times New Roman"/>
          <w:lang w:val="en-GB"/>
        </w:rPr>
        <w:footnoteReference w:id="58"/>
      </w:r>
      <w:r w:rsidR="005C64A0" w:rsidRPr="00D24721">
        <w:rPr>
          <w:lang w:val="en-GB"/>
        </w:rPr>
        <w:t xml:space="preserve">, whilst the Commission has </w:t>
      </w:r>
      <w:r w:rsidR="00EC5B36" w:rsidRPr="00D24721">
        <w:rPr>
          <w:lang w:val="en-GB"/>
        </w:rPr>
        <w:t>“</w:t>
      </w:r>
      <w:r w:rsidR="00EC5B36" w:rsidRPr="00904A38">
        <w:rPr>
          <w:rFonts w:eastAsia="Times New Roman"/>
        </w:rPr>
        <w:t>set itself a target of 40 % women in senior and middle management by the end of 2019</w:t>
      </w:r>
      <w:r w:rsidR="005C64A0" w:rsidRPr="00904A38">
        <w:rPr>
          <w:rFonts w:eastAsia="Times New Roman"/>
        </w:rPr>
        <w:t>”</w:t>
      </w:r>
      <w:r w:rsidR="00E74EDC" w:rsidRPr="00904A38">
        <w:rPr>
          <w:rFonts w:eastAsia="Times New Roman"/>
        </w:rPr>
        <w:t xml:space="preserve"> (end of its mandate)</w:t>
      </w:r>
      <w:r w:rsidR="005C64A0" w:rsidRPr="00972980">
        <w:rPr>
          <w:rFonts w:eastAsia="Times New Roman"/>
        </w:rPr>
        <w:t>.</w:t>
      </w:r>
      <w:r w:rsidR="005C64A0" w:rsidRPr="00E05E56">
        <w:rPr>
          <w:rStyle w:val="FootnoteReference"/>
          <w:rFonts w:ascii="Times New Roman" w:eastAsia="Times New Roman" w:hAnsi="Times New Roman"/>
        </w:rPr>
        <w:footnoteReference w:id="59"/>
      </w:r>
    </w:p>
    <w:p w14:paraId="3C940AEF" w14:textId="77777777" w:rsidR="005D084F" w:rsidRPr="005D084F" w:rsidRDefault="005D084F" w:rsidP="00B300E7">
      <w:pPr>
        <w:ind w:firstLine="284"/>
        <w:rPr>
          <w:rFonts w:eastAsia="Times New Roman"/>
        </w:rPr>
      </w:pPr>
    </w:p>
    <w:p w14:paraId="16744DDD" w14:textId="77777777" w:rsidR="00A713EA" w:rsidRDefault="00C92985" w:rsidP="00B300E7">
      <w:pPr>
        <w:ind w:firstLine="284"/>
        <w:rPr>
          <w:lang w:val="en-GB"/>
        </w:rPr>
      </w:pPr>
      <w:r w:rsidRPr="00D24721">
        <w:rPr>
          <w:rFonts w:eastAsia="Times New Roman"/>
        </w:rPr>
        <w:t>According to the Venice Commission and the Committee of Ministers of the Council of Europe, electoral gender quotas can be considered an appropriate and legitimate measure to increase women’s parliamentary representation. In the Committee of Minister’s 2009 Declaration “Maki</w:t>
      </w:r>
      <w:r w:rsidR="004E08B9" w:rsidRPr="006B753A">
        <w:rPr>
          <w:rFonts w:eastAsia="Times New Roman"/>
        </w:rPr>
        <w:t>ng Gender Equality a Reality”, Member S</w:t>
      </w:r>
      <w:r w:rsidRPr="006B753A">
        <w:rPr>
          <w:rFonts w:eastAsia="Times New Roman"/>
        </w:rPr>
        <w:t xml:space="preserve">tates are urged to enable positive action or special measures to be adopted in order to achieve balanced representation in </w:t>
      </w:r>
      <w:r w:rsidRPr="006B753A">
        <w:rPr>
          <w:rFonts w:eastAsia="Times New Roman"/>
        </w:rPr>
        <w:lastRenderedPageBreak/>
        <w:t>political and public decision-making.</w:t>
      </w:r>
      <w:r w:rsidR="00B119E3" w:rsidRPr="00E05E56">
        <w:rPr>
          <w:rStyle w:val="FootnoteReference"/>
          <w:rFonts w:ascii="Times New Roman" w:eastAsia="Times New Roman" w:hAnsi="Times New Roman"/>
        </w:rPr>
        <w:footnoteReference w:id="60"/>
      </w:r>
      <w:r w:rsidR="00284E0F" w:rsidRPr="008F512B">
        <w:rPr>
          <w:rFonts w:eastAsia="Times New Roman"/>
        </w:rPr>
        <w:t xml:space="preserve"> The UN human rights treaty bodies also regularly encourage States Parties to resort to gender quotas to improve women’s representation in political life.</w:t>
      </w:r>
      <w:r w:rsidR="00284E0F" w:rsidRPr="00E05E56">
        <w:rPr>
          <w:rStyle w:val="FootnoteReference"/>
          <w:rFonts w:ascii="Times New Roman" w:eastAsia="Times New Roman" w:hAnsi="Times New Roman"/>
        </w:rPr>
        <w:footnoteReference w:id="61"/>
      </w:r>
      <w:r w:rsidR="00171499" w:rsidRPr="00904A38">
        <w:rPr>
          <w:rFonts w:eastAsia="Times New Roman"/>
        </w:rPr>
        <w:t xml:space="preserve"> However, </w:t>
      </w:r>
      <w:r w:rsidR="00171499" w:rsidRPr="00904A38">
        <w:rPr>
          <w:lang w:val="en-GB"/>
        </w:rPr>
        <w:t>q</w:t>
      </w:r>
      <w:r w:rsidR="00B67001" w:rsidRPr="00F118DC">
        <w:rPr>
          <w:lang w:val="en-GB"/>
        </w:rPr>
        <w:t xml:space="preserve">uotas </w:t>
      </w:r>
      <w:r w:rsidR="009B0CAA" w:rsidRPr="006B753A">
        <w:rPr>
          <w:lang w:val="en-GB"/>
        </w:rPr>
        <w:t>do not always function effectively</w:t>
      </w:r>
      <w:r w:rsidR="009B0CAA" w:rsidRPr="00E05E56">
        <w:rPr>
          <w:rStyle w:val="FootnoteReference"/>
          <w:rFonts w:ascii="Times New Roman" w:hAnsi="Times New Roman"/>
          <w:lang w:val="en-GB"/>
        </w:rPr>
        <w:footnoteReference w:id="62"/>
      </w:r>
      <w:r w:rsidR="00B67001" w:rsidRPr="00904A38">
        <w:rPr>
          <w:lang w:val="en-GB"/>
        </w:rPr>
        <w:t xml:space="preserve"> </w:t>
      </w:r>
      <w:r w:rsidR="00134055" w:rsidRPr="00904A38">
        <w:rPr>
          <w:lang w:val="en-GB"/>
        </w:rPr>
        <w:t>and are not always</w:t>
      </w:r>
      <w:r w:rsidR="00B67001" w:rsidRPr="00F118DC">
        <w:rPr>
          <w:lang w:val="en-GB"/>
        </w:rPr>
        <w:t xml:space="preserve"> enforced</w:t>
      </w:r>
      <w:r w:rsidR="003329CC" w:rsidRPr="006B753A">
        <w:rPr>
          <w:lang w:val="en-GB"/>
        </w:rPr>
        <w:t xml:space="preserve"> due to the “leniency of the sanctions”</w:t>
      </w:r>
      <w:r w:rsidR="00120257" w:rsidRPr="00E05E56">
        <w:rPr>
          <w:rStyle w:val="FootnoteReference"/>
          <w:rFonts w:ascii="Times New Roman" w:hAnsi="Times New Roman"/>
          <w:lang w:val="en-GB"/>
        </w:rPr>
        <w:footnoteReference w:id="63"/>
      </w:r>
      <w:r w:rsidR="003329CC" w:rsidRPr="00904A38">
        <w:rPr>
          <w:lang w:val="en-GB"/>
        </w:rPr>
        <w:t xml:space="preserve"> or because </w:t>
      </w:r>
      <w:r w:rsidR="003329CC" w:rsidRPr="00904A38">
        <w:rPr>
          <w:rFonts w:eastAsia="Times New Roman"/>
          <w:lang w:val="en-GB"/>
        </w:rPr>
        <w:t>some political parties appear to prefer to be fined rather than to n</w:t>
      </w:r>
      <w:r w:rsidR="003329CC" w:rsidRPr="00F118DC">
        <w:rPr>
          <w:rFonts w:eastAsia="Times New Roman"/>
          <w:lang w:val="en-GB"/>
        </w:rPr>
        <w:t>ominate women candidates for elections</w:t>
      </w:r>
      <w:r w:rsidR="00B67001" w:rsidRPr="006B753A">
        <w:rPr>
          <w:lang w:val="en-GB"/>
        </w:rPr>
        <w:t>.</w:t>
      </w:r>
      <w:r w:rsidR="003329CC" w:rsidRPr="00E05E56">
        <w:rPr>
          <w:rStyle w:val="FootnoteReference"/>
          <w:rFonts w:ascii="Times New Roman" w:hAnsi="Times New Roman"/>
          <w:lang w:val="en-GB"/>
        </w:rPr>
        <w:footnoteReference w:id="64"/>
      </w:r>
      <w:r w:rsidR="00E87850" w:rsidRPr="00904A38">
        <w:rPr>
          <w:lang w:val="en-GB"/>
        </w:rPr>
        <w:t xml:space="preserve"> </w:t>
      </w:r>
      <w:r w:rsidR="00A713EA" w:rsidRPr="00904A38">
        <w:rPr>
          <w:lang w:val="en-GB"/>
        </w:rPr>
        <w:t xml:space="preserve">Data gathered show that very few countries have adopted legislated quotas and none provide reserved seats for women in the lower or single house. However, in most countries, political parties have </w:t>
      </w:r>
      <w:r w:rsidR="00A713EA" w:rsidRPr="00F118DC">
        <w:rPr>
          <w:i/>
          <w:lang w:val="en-GB"/>
        </w:rPr>
        <w:t>voluntary</w:t>
      </w:r>
      <w:r w:rsidR="00A713EA" w:rsidRPr="006B753A">
        <w:rPr>
          <w:lang w:val="en-GB"/>
        </w:rPr>
        <w:t xml:space="preserve"> gender quotas.</w:t>
      </w:r>
      <w:r w:rsidR="00951F0D" w:rsidRPr="00E05E56">
        <w:rPr>
          <w:rStyle w:val="FootnoteReference"/>
          <w:rFonts w:ascii="Times New Roman" w:hAnsi="Times New Roman"/>
          <w:lang w:val="en-GB"/>
        </w:rPr>
        <w:footnoteReference w:id="65"/>
      </w:r>
    </w:p>
    <w:p w14:paraId="06DBE55D" w14:textId="77777777" w:rsidR="005D084F" w:rsidRPr="005D084F" w:rsidRDefault="005D084F" w:rsidP="00B300E7">
      <w:pPr>
        <w:ind w:firstLine="284"/>
        <w:rPr>
          <w:lang w:val="en-GB"/>
        </w:rPr>
      </w:pPr>
    </w:p>
    <w:p w14:paraId="3CFADE9A" w14:textId="312E8914" w:rsidR="005D084F" w:rsidRPr="005D084F" w:rsidRDefault="00921ADA" w:rsidP="00E05E56">
      <w:pPr>
        <w:ind w:firstLine="284"/>
        <w:rPr>
          <w:lang w:val="en-GB"/>
        </w:rPr>
      </w:pPr>
      <w:r w:rsidRPr="005D084F">
        <w:rPr>
          <w:rFonts w:eastAsia="Times New Roman"/>
          <w:lang w:val="en-GB"/>
        </w:rPr>
        <w:t>G</w:t>
      </w:r>
      <w:proofErr w:type="spellStart"/>
      <w:r w:rsidR="009C605A" w:rsidRPr="005D084F">
        <w:rPr>
          <w:rFonts w:eastAsia="Times New Roman"/>
        </w:rPr>
        <w:t>iven</w:t>
      </w:r>
      <w:proofErr w:type="spellEnd"/>
      <w:r w:rsidR="00856277" w:rsidRPr="005D084F">
        <w:rPr>
          <w:rFonts w:eastAsia="Times New Roman"/>
        </w:rPr>
        <w:t xml:space="preserve"> the </w:t>
      </w:r>
      <w:r w:rsidR="005D084F">
        <w:rPr>
          <w:rFonts w:eastAsia="Times New Roman"/>
        </w:rPr>
        <w:t>broad</w:t>
      </w:r>
      <w:r w:rsidR="005D084F" w:rsidRPr="005D084F">
        <w:rPr>
          <w:rFonts w:eastAsia="Times New Roman"/>
        </w:rPr>
        <w:t xml:space="preserve"> </w:t>
      </w:r>
      <w:r w:rsidR="00856277" w:rsidRPr="005D084F">
        <w:rPr>
          <w:rFonts w:eastAsia="Times New Roman"/>
        </w:rPr>
        <w:t xml:space="preserve">under-representation of women, </w:t>
      </w:r>
      <w:r w:rsidR="00F53FC2" w:rsidRPr="005D084F">
        <w:rPr>
          <w:rFonts w:eastAsia="Times New Roman"/>
        </w:rPr>
        <w:t xml:space="preserve">the Venice Commission considers that </w:t>
      </w:r>
      <w:r w:rsidR="00856277" w:rsidRPr="005D084F">
        <w:rPr>
          <w:rFonts w:eastAsia="Times New Roman"/>
        </w:rPr>
        <w:t>quotas should be viewed as compensation for obstacles to women’s access to parliament. They can help to overcome structural, cultural and political constraints on women’s representation</w:t>
      </w:r>
      <w:r w:rsidR="00F53FC2" w:rsidRPr="005D084F">
        <w:rPr>
          <w:rFonts w:eastAsia="Times New Roman"/>
        </w:rPr>
        <w:t>.</w:t>
      </w:r>
      <w:r w:rsidR="00F53FC2" w:rsidRPr="00E05E56">
        <w:rPr>
          <w:rStyle w:val="FootnoteReference"/>
          <w:rFonts w:ascii="Times New Roman" w:eastAsia="Times New Roman" w:hAnsi="Times New Roman"/>
        </w:rPr>
        <w:footnoteReference w:id="66"/>
      </w:r>
      <w:r w:rsidR="00B14F91" w:rsidRPr="005D084F">
        <w:rPr>
          <w:rFonts w:eastAsia="Times New Roman"/>
        </w:rPr>
        <w:t xml:space="preserve"> </w:t>
      </w:r>
      <w:r w:rsidR="005D084F">
        <w:rPr>
          <w:rFonts w:eastAsia="Times New Roman"/>
        </w:rPr>
        <w:t>Furthermore</w:t>
      </w:r>
      <w:r w:rsidR="00B14F91" w:rsidRPr="005D084F">
        <w:rPr>
          <w:rFonts w:eastAsia="Times New Roman"/>
        </w:rPr>
        <w:t>, the Venice Commission gives guidance as to the rate of women candidates, considering that gender quotas should provide for “at least 30% of women on party lists, while 40% or 50% is preferable.”</w:t>
      </w:r>
      <w:r w:rsidR="007A0D83" w:rsidRPr="00E05E56">
        <w:rPr>
          <w:rStyle w:val="FootnoteReference"/>
          <w:rFonts w:ascii="Times New Roman" w:eastAsia="Times New Roman" w:hAnsi="Times New Roman"/>
        </w:rPr>
        <w:footnoteReference w:id="67"/>
      </w:r>
      <w:r w:rsidR="00A713EA" w:rsidRPr="005D084F">
        <w:rPr>
          <w:rFonts w:eastAsia="Times New Roman"/>
        </w:rPr>
        <w:t xml:space="preserve"> </w:t>
      </w:r>
      <w:r w:rsidR="005D084F" w:rsidRPr="005D084F">
        <w:rPr>
          <w:lang w:val="en-GB"/>
        </w:rPr>
        <w:t>The CEDAW Committee also recommend</w:t>
      </w:r>
      <w:r w:rsidR="005D084F">
        <w:rPr>
          <w:lang w:val="en-GB"/>
        </w:rPr>
        <w:t>ed to several European countries</w:t>
      </w:r>
      <w:r w:rsidR="005D084F" w:rsidRPr="005D084F">
        <w:rPr>
          <w:lang w:val="en-GB"/>
        </w:rPr>
        <w:t xml:space="preserve"> close monitoring and regular assessments of women participation in political life and of gender quotas to evaluate the impact of those mechanisms and check whether adjustments are needed.</w:t>
      </w:r>
      <w:r w:rsidR="005D084F" w:rsidRPr="00B70FBC">
        <w:rPr>
          <w:rStyle w:val="FootnoteReference"/>
          <w:rFonts w:ascii="Times New Roman" w:hAnsi="Times New Roman"/>
          <w:lang w:val="en-GB"/>
        </w:rPr>
        <w:footnoteReference w:id="68"/>
      </w:r>
      <w:r w:rsidR="005D084F" w:rsidRPr="005D084F">
        <w:rPr>
          <w:lang w:val="en-GB"/>
        </w:rPr>
        <w:t xml:space="preserve"> </w:t>
      </w:r>
    </w:p>
    <w:p w14:paraId="7F3A8E29" w14:textId="77777777" w:rsidR="00543F4F" w:rsidRPr="00E05E56" w:rsidRDefault="00543F4F" w:rsidP="00B300E7">
      <w:pPr>
        <w:ind w:firstLine="284"/>
        <w:rPr>
          <w:rFonts w:eastAsia="Times New Roman"/>
          <w:lang w:val="en-GB"/>
        </w:rPr>
      </w:pPr>
    </w:p>
    <w:p w14:paraId="046CC165" w14:textId="77777777" w:rsidR="005D084F" w:rsidRPr="005D084F" w:rsidRDefault="005D084F" w:rsidP="00B300E7">
      <w:pPr>
        <w:ind w:firstLine="284"/>
        <w:rPr>
          <w:rFonts w:eastAsia="Times New Roman"/>
        </w:rPr>
      </w:pPr>
    </w:p>
    <w:p w14:paraId="5B43F4F7" w14:textId="2DA4527D" w:rsidR="009A61C0" w:rsidRDefault="005D084F" w:rsidP="00A8009D">
      <w:pPr>
        <w:ind w:firstLine="284"/>
        <w:rPr>
          <w:lang w:val="en-GB"/>
        </w:rPr>
      </w:pPr>
      <w:r>
        <w:rPr>
          <w:lang w:val="en-GB"/>
        </w:rPr>
        <w:t>T</w:t>
      </w:r>
      <w:r w:rsidR="00DF6C51" w:rsidRPr="005D084F">
        <w:rPr>
          <w:lang w:val="en-GB"/>
        </w:rPr>
        <w:t xml:space="preserve">he good practices </w:t>
      </w:r>
      <w:r w:rsidR="00A35EB1" w:rsidRPr="005D084F">
        <w:rPr>
          <w:lang w:val="en-GB"/>
        </w:rPr>
        <w:t>analysed in the concerned countries as well as European institutions</w:t>
      </w:r>
      <w:r>
        <w:rPr>
          <w:lang w:val="en-GB"/>
        </w:rPr>
        <w:t xml:space="preserve"> to advance women’s political representation</w:t>
      </w:r>
      <w:r w:rsidR="00A35EB1" w:rsidRPr="005D084F">
        <w:rPr>
          <w:lang w:val="en-GB"/>
        </w:rPr>
        <w:t xml:space="preserve"> </w:t>
      </w:r>
      <w:r w:rsidR="008175B8" w:rsidRPr="005D084F">
        <w:rPr>
          <w:lang w:val="en-GB"/>
        </w:rPr>
        <w:t>lie m</w:t>
      </w:r>
      <w:r w:rsidR="008422C6" w:rsidRPr="005D084F">
        <w:rPr>
          <w:lang w:val="en-GB"/>
        </w:rPr>
        <w:t>ainly</w:t>
      </w:r>
      <w:r w:rsidR="008175B8" w:rsidRPr="005D084F">
        <w:rPr>
          <w:lang w:val="en-GB"/>
        </w:rPr>
        <w:t xml:space="preserve"> in the adoption of a</w:t>
      </w:r>
      <w:r w:rsidR="00543F4F" w:rsidRPr="005D084F">
        <w:rPr>
          <w:lang w:val="en-GB"/>
        </w:rPr>
        <w:t>dequate and enforced quotas (Ireland</w:t>
      </w:r>
      <w:r w:rsidR="00A81C82" w:rsidRPr="00E05E56">
        <w:rPr>
          <w:rStyle w:val="FootnoteReference"/>
          <w:rFonts w:ascii="Times New Roman" w:hAnsi="Times New Roman"/>
          <w:lang w:val="en-GB"/>
        </w:rPr>
        <w:footnoteReference w:id="69"/>
      </w:r>
      <w:r w:rsidR="003D128F" w:rsidRPr="005D084F">
        <w:rPr>
          <w:lang w:val="en-GB"/>
        </w:rPr>
        <w:t>, France in</w:t>
      </w:r>
      <w:r w:rsidR="008F0E16" w:rsidRPr="005D084F">
        <w:rPr>
          <w:lang w:val="en-GB"/>
        </w:rPr>
        <w:t xml:space="preserve"> </w:t>
      </w:r>
      <w:r w:rsidR="004D4B7E" w:rsidRPr="005D084F">
        <w:rPr>
          <w:lang w:val="en-GB"/>
        </w:rPr>
        <w:t xml:space="preserve">local </w:t>
      </w:r>
      <w:r w:rsidR="00A81C82" w:rsidRPr="005D084F">
        <w:rPr>
          <w:lang w:val="en-GB"/>
        </w:rPr>
        <w:t>elections</w:t>
      </w:r>
      <w:r w:rsidR="004D4B7E" w:rsidRPr="00E05E56">
        <w:rPr>
          <w:rStyle w:val="FootnoteReference"/>
          <w:rFonts w:ascii="Times New Roman" w:hAnsi="Times New Roman"/>
          <w:lang w:val="en-GB"/>
        </w:rPr>
        <w:footnoteReference w:id="70"/>
      </w:r>
      <w:r w:rsidR="00244C70" w:rsidRPr="005D084F">
        <w:rPr>
          <w:lang w:val="en-GB"/>
        </w:rPr>
        <w:t>)</w:t>
      </w:r>
      <w:r w:rsidR="009030DB" w:rsidRPr="005D084F">
        <w:rPr>
          <w:lang w:val="en-GB"/>
        </w:rPr>
        <w:t xml:space="preserve">. </w:t>
      </w:r>
    </w:p>
    <w:p w14:paraId="59198730" w14:textId="77777777" w:rsidR="0008432C" w:rsidRPr="00E05E56" w:rsidRDefault="00B300E7" w:rsidP="00B300E7">
      <w:pPr>
        <w:pStyle w:val="Heading2"/>
        <w:rPr>
          <w:rFonts w:ascii="Times New Roman" w:hAnsi="Times New Roman"/>
          <w:color w:val="auto"/>
          <w:lang w:val="en-GB"/>
        </w:rPr>
      </w:pPr>
      <w:bookmarkStart w:id="7" w:name="_Toc509931725"/>
      <w:r w:rsidRPr="00E05E56">
        <w:rPr>
          <w:rFonts w:ascii="Times New Roman" w:hAnsi="Times New Roman"/>
          <w:color w:val="auto"/>
          <w:lang w:val="en-GB"/>
        </w:rPr>
        <w:t xml:space="preserve">C. </w:t>
      </w:r>
      <w:r w:rsidR="0008432C" w:rsidRPr="00E05E56">
        <w:rPr>
          <w:rFonts w:ascii="Times New Roman" w:hAnsi="Times New Roman"/>
          <w:color w:val="auto"/>
          <w:lang w:val="en-GB"/>
        </w:rPr>
        <w:t>Minorities</w:t>
      </w:r>
      <w:r w:rsidR="00524F6C" w:rsidRPr="00E05E56">
        <w:rPr>
          <w:rFonts w:ascii="Times New Roman" w:hAnsi="Times New Roman"/>
          <w:color w:val="auto"/>
          <w:lang w:val="en-GB"/>
        </w:rPr>
        <w:t xml:space="preserve"> and indigenous peoples</w:t>
      </w:r>
      <w:bookmarkEnd w:id="7"/>
    </w:p>
    <w:p w14:paraId="43642603" w14:textId="77777777" w:rsidR="00E76EE5" w:rsidRPr="005D084F" w:rsidRDefault="00E4413B" w:rsidP="000C39D9">
      <w:pPr>
        <w:ind w:firstLine="284"/>
        <w:rPr>
          <w:lang w:val="en-GB"/>
        </w:rPr>
      </w:pPr>
      <w:r w:rsidRPr="005D084F">
        <w:rPr>
          <w:lang w:val="en-GB"/>
        </w:rPr>
        <w:lastRenderedPageBreak/>
        <w:t>I</w:t>
      </w:r>
      <w:r w:rsidR="00524F6C" w:rsidRPr="005D084F">
        <w:rPr>
          <w:lang w:val="en-GB"/>
        </w:rPr>
        <w:t>ndigenous peoples</w:t>
      </w:r>
      <w:r w:rsidR="00AC01DD" w:rsidRPr="005D084F">
        <w:rPr>
          <w:lang w:val="en-GB"/>
        </w:rPr>
        <w:t xml:space="preserve"> in the countries covered by the study</w:t>
      </w:r>
      <w:r w:rsidR="006E05D7" w:rsidRPr="005D084F">
        <w:rPr>
          <w:lang w:val="en-GB"/>
        </w:rPr>
        <w:t xml:space="preserve"> </w:t>
      </w:r>
      <w:r w:rsidRPr="005D084F">
        <w:rPr>
          <w:lang w:val="en-GB"/>
        </w:rPr>
        <w:t>include</w:t>
      </w:r>
      <w:r w:rsidR="006E05D7" w:rsidRPr="005D084F">
        <w:rPr>
          <w:lang w:val="en-GB"/>
        </w:rPr>
        <w:t xml:space="preserve"> the</w:t>
      </w:r>
      <w:r w:rsidR="00524F6C" w:rsidRPr="005D084F">
        <w:rPr>
          <w:lang w:val="en-GB"/>
        </w:rPr>
        <w:t xml:space="preserve"> Sam</w:t>
      </w:r>
      <w:r w:rsidR="006E05D7" w:rsidRPr="005D084F">
        <w:rPr>
          <w:lang w:val="en-GB"/>
        </w:rPr>
        <w:t>i people in Finland, Norway and Sweden and the</w:t>
      </w:r>
      <w:r w:rsidR="00417480" w:rsidRPr="005D084F">
        <w:rPr>
          <w:lang w:val="en-GB"/>
        </w:rPr>
        <w:t xml:space="preserve"> </w:t>
      </w:r>
      <w:proofErr w:type="spellStart"/>
      <w:r w:rsidR="00417480" w:rsidRPr="005D084F">
        <w:rPr>
          <w:lang w:val="en-GB"/>
        </w:rPr>
        <w:t>K</w:t>
      </w:r>
      <w:r w:rsidR="00524F6C" w:rsidRPr="005D084F">
        <w:rPr>
          <w:lang w:val="en-GB"/>
        </w:rPr>
        <w:t>anaks</w:t>
      </w:r>
      <w:proofErr w:type="spellEnd"/>
      <w:r w:rsidR="00524F6C" w:rsidRPr="005D084F">
        <w:rPr>
          <w:lang w:val="en-GB"/>
        </w:rPr>
        <w:t xml:space="preserve"> in New Caledonia (France)</w:t>
      </w:r>
      <w:r w:rsidR="00E76EE5" w:rsidRPr="005D084F">
        <w:rPr>
          <w:lang w:val="en-GB"/>
        </w:rPr>
        <w:t>.</w:t>
      </w:r>
      <w:r w:rsidR="00B46351" w:rsidRPr="00E05E56">
        <w:rPr>
          <w:rStyle w:val="FootnoteReference"/>
          <w:rFonts w:ascii="Times New Roman" w:hAnsi="Times New Roman"/>
          <w:lang w:val="en-GB"/>
        </w:rPr>
        <w:footnoteReference w:id="71"/>
      </w:r>
      <w:r w:rsidR="00505B36" w:rsidRPr="005D084F">
        <w:rPr>
          <w:lang w:val="en-GB"/>
        </w:rPr>
        <w:t xml:space="preserve"> </w:t>
      </w:r>
      <w:r w:rsidR="00B66DED" w:rsidRPr="005D084F">
        <w:rPr>
          <w:lang w:val="en-GB"/>
        </w:rPr>
        <w:t xml:space="preserve">The </w:t>
      </w:r>
      <w:r w:rsidR="007A70EC" w:rsidRPr="005D084F">
        <w:rPr>
          <w:lang w:val="en-GB"/>
        </w:rPr>
        <w:t>main</w:t>
      </w:r>
      <w:r w:rsidR="00B66DED" w:rsidRPr="005D084F">
        <w:rPr>
          <w:lang w:val="en-GB"/>
        </w:rPr>
        <w:t xml:space="preserve"> </w:t>
      </w:r>
      <w:r w:rsidR="00081E81" w:rsidRPr="00D24721">
        <w:rPr>
          <w:lang w:val="en-GB"/>
        </w:rPr>
        <w:t xml:space="preserve">minority </w:t>
      </w:r>
      <w:r w:rsidR="00E27BF1" w:rsidRPr="00D24721">
        <w:rPr>
          <w:lang w:val="en-GB"/>
        </w:rPr>
        <w:t>whose</w:t>
      </w:r>
      <w:r w:rsidRPr="00D24721">
        <w:rPr>
          <w:lang w:val="en-GB"/>
        </w:rPr>
        <w:t xml:space="preserve"> concerns are raised in terms of</w:t>
      </w:r>
      <w:r w:rsidR="00E27BF1" w:rsidRPr="00D24721">
        <w:rPr>
          <w:lang w:val="en-GB"/>
        </w:rPr>
        <w:t xml:space="preserve"> </w:t>
      </w:r>
      <w:r w:rsidR="00B66DED" w:rsidRPr="00904A38">
        <w:rPr>
          <w:lang w:val="en-GB"/>
        </w:rPr>
        <w:t xml:space="preserve">participation in public affairs in the region </w:t>
      </w:r>
      <w:r w:rsidR="00690ADA" w:rsidRPr="00904A38">
        <w:rPr>
          <w:lang w:val="en-GB"/>
        </w:rPr>
        <w:t>is the Roma</w:t>
      </w:r>
      <w:r w:rsidR="00B66DED" w:rsidRPr="00904A38">
        <w:rPr>
          <w:lang w:val="en-GB"/>
        </w:rPr>
        <w:t>, as demon</w:t>
      </w:r>
      <w:r w:rsidR="0028374C" w:rsidRPr="00904A38">
        <w:rPr>
          <w:lang w:val="en-GB"/>
        </w:rPr>
        <w:t>strated by the compilation of European</w:t>
      </w:r>
      <w:r w:rsidR="00B66DED" w:rsidRPr="00904A38">
        <w:rPr>
          <w:lang w:val="en-GB"/>
        </w:rPr>
        <w:t xml:space="preserve"> jurisprudence</w:t>
      </w:r>
      <w:r w:rsidR="0028374C" w:rsidRPr="00904A38">
        <w:rPr>
          <w:lang w:val="en-GB"/>
        </w:rPr>
        <w:t xml:space="preserve"> and reports</w:t>
      </w:r>
      <w:r w:rsidR="00E76EE5" w:rsidRPr="00904A38">
        <w:rPr>
          <w:lang w:val="en-GB"/>
        </w:rPr>
        <w:t>.</w:t>
      </w:r>
      <w:r w:rsidR="0028374C" w:rsidRPr="00E05E56">
        <w:rPr>
          <w:rStyle w:val="FootnoteReference"/>
          <w:rFonts w:ascii="Times New Roman" w:hAnsi="Times New Roman"/>
          <w:lang w:val="en-GB"/>
        </w:rPr>
        <w:footnoteReference w:id="72"/>
      </w:r>
      <w:r w:rsidR="009A4B54" w:rsidRPr="005D084F">
        <w:rPr>
          <w:lang w:val="en-GB"/>
        </w:rPr>
        <w:t xml:space="preserve"> </w:t>
      </w:r>
    </w:p>
    <w:p w14:paraId="7413184E" w14:textId="77777777" w:rsidR="00081E81" w:rsidRDefault="009310ED" w:rsidP="000C39D9">
      <w:pPr>
        <w:rPr>
          <w:lang w:val="en-GB"/>
        </w:rPr>
      </w:pPr>
      <w:r w:rsidRPr="00D24721">
        <w:rPr>
          <w:lang w:val="en-GB"/>
        </w:rPr>
        <w:t xml:space="preserve">Several issues are highlighted in the jurisprudence and reports researched. </w:t>
      </w:r>
      <w:r w:rsidR="00081E81" w:rsidRPr="00D24721">
        <w:rPr>
          <w:lang w:val="en-GB"/>
        </w:rPr>
        <w:t xml:space="preserve">Sometimes minorities are </w:t>
      </w:r>
      <w:r w:rsidR="00BE6F30" w:rsidRPr="00904A38">
        <w:rPr>
          <w:lang w:val="en-GB"/>
        </w:rPr>
        <w:t>not recognised as such by law. In Denmark, the only recognised minority</w:t>
      </w:r>
      <w:r w:rsidR="00081E81" w:rsidRPr="00904A38">
        <w:rPr>
          <w:lang w:val="en-GB"/>
        </w:rPr>
        <w:t xml:space="preserve"> is the G</w:t>
      </w:r>
      <w:r w:rsidR="00BE6F30" w:rsidRPr="00904A38">
        <w:rPr>
          <w:lang w:val="en-GB"/>
        </w:rPr>
        <w:t>erman minority in South Jutland.</w:t>
      </w:r>
      <w:r w:rsidR="005077DA" w:rsidRPr="00E05E56">
        <w:rPr>
          <w:rStyle w:val="FootnoteReference"/>
          <w:rFonts w:ascii="Times New Roman" w:hAnsi="Times New Roman"/>
        </w:rPr>
        <w:footnoteReference w:id="73"/>
      </w:r>
      <w:r w:rsidR="00081E81" w:rsidRPr="005D084F">
        <w:rPr>
          <w:lang w:val="en-GB"/>
        </w:rPr>
        <w:t xml:space="preserve"> France does not recognise any</w:t>
      </w:r>
      <w:r w:rsidR="00BE6F30" w:rsidRPr="005D084F">
        <w:rPr>
          <w:lang w:val="en-GB"/>
        </w:rPr>
        <w:t>,</w:t>
      </w:r>
      <w:r w:rsidR="005077DA" w:rsidRPr="00E05E56">
        <w:rPr>
          <w:rStyle w:val="FootnoteReference"/>
          <w:rFonts w:ascii="Times New Roman" w:hAnsi="Times New Roman"/>
        </w:rPr>
        <w:footnoteReference w:id="74"/>
      </w:r>
      <w:r w:rsidR="00BE6F30" w:rsidRPr="005D084F">
        <w:rPr>
          <w:lang w:val="en-GB"/>
        </w:rPr>
        <w:t xml:space="preserve"> whilst</w:t>
      </w:r>
      <w:r w:rsidR="00081E81" w:rsidRPr="005D084F">
        <w:rPr>
          <w:lang w:val="en-GB"/>
        </w:rPr>
        <w:t xml:space="preserve"> Italy does not recognise the Roma, </w:t>
      </w:r>
      <w:proofErr w:type="spellStart"/>
      <w:r w:rsidR="00081E81" w:rsidRPr="005D084F">
        <w:rPr>
          <w:lang w:val="en-GB"/>
        </w:rPr>
        <w:t>Sinti</w:t>
      </w:r>
      <w:proofErr w:type="spellEnd"/>
      <w:r w:rsidR="00081E81" w:rsidRPr="005D084F">
        <w:rPr>
          <w:lang w:val="en-GB"/>
        </w:rPr>
        <w:t xml:space="preserve"> and </w:t>
      </w:r>
      <w:proofErr w:type="spellStart"/>
      <w:r w:rsidR="00081E81" w:rsidRPr="005D084F">
        <w:rPr>
          <w:lang w:val="en-GB"/>
        </w:rPr>
        <w:t>Caminanti</w:t>
      </w:r>
      <w:proofErr w:type="spellEnd"/>
      <w:r w:rsidR="00081E81" w:rsidRPr="005D084F">
        <w:rPr>
          <w:lang w:val="en-GB"/>
        </w:rPr>
        <w:t xml:space="preserve"> (Travellers)</w:t>
      </w:r>
      <w:r w:rsidR="00ED6E02" w:rsidRPr="005D084F">
        <w:rPr>
          <w:lang w:val="en-GB"/>
        </w:rPr>
        <w:t>.</w:t>
      </w:r>
      <w:r w:rsidR="00081E81" w:rsidRPr="00E05E56">
        <w:rPr>
          <w:rStyle w:val="FootnoteReference"/>
          <w:rFonts w:ascii="Times New Roman" w:hAnsi="Times New Roman"/>
        </w:rPr>
        <w:footnoteReference w:id="75"/>
      </w:r>
      <w:r w:rsidR="00081E81" w:rsidRPr="005D084F">
        <w:rPr>
          <w:lang w:val="en-GB"/>
        </w:rPr>
        <w:t xml:space="preserve"> </w:t>
      </w:r>
    </w:p>
    <w:p w14:paraId="1B9852A9" w14:textId="77777777" w:rsidR="00D24721" w:rsidRPr="005D084F" w:rsidRDefault="00D24721" w:rsidP="000C39D9">
      <w:pPr>
        <w:rPr>
          <w:lang w:val="en-GB"/>
        </w:rPr>
      </w:pPr>
    </w:p>
    <w:p w14:paraId="4A8D1A76" w14:textId="77777777" w:rsidR="00DF78FD" w:rsidRDefault="00E87F80" w:rsidP="00DF78FD">
      <w:pPr>
        <w:ind w:firstLine="284"/>
        <w:rPr>
          <w:rFonts w:eastAsia="Times New Roman"/>
        </w:rPr>
      </w:pPr>
      <w:r w:rsidRPr="00D24721">
        <w:rPr>
          <w:rFonts w:eastAsia="Times New Roman"/>
        </w:rPr>
        <w:t>Both the European Commission and the Council of Europe have taken action to improve the civil and political participation of Roma citizens</w:t>
      </w:r>
      <w:r w:rsidR="00F8035C" w:rsidRPr="00D24721">
        <w:rPr>
          <w:lang w:val="en-GB"/>
        </w:rPr>
        <w:t>.</w:t>
      </w:r>
      <w:r w:rsidR="00CB2C7D" w:rsidRPr="00E05E56">
        <w:rPr>
          <w:rStyle w:val="FootnoteReference"/>
          <w:rFonts w:ascii="Times New Roman" w:hAnsi="Times New Roman"/>
          <w:lang w:val="en-GB"/>
        </w:rPr>
        <w:footnoteReference w:id="76"/>
      </w:r>
      <w:r w:rsidR="00F8035C" w:rsidRPr="005D084F">
        <w:rPr>
          <w:lang w:val="en-GB"/>
        </w:rPr>
        <w:t xml:space="preserve"> </w:t>
      </w:r>
      <w:r w:rsidR="002E68E7" w:rsidRPr="005D084F">
        <w:rPr>
          <w:lang w:val="en-GB"/>
        </w:rPr>
        <w:t>In</w:t>
      </w:r>
      <w:r w:rsidR="000E203B" w:rsidRPr="005D084F">
        <w:rPr>
          <w:lang w:val="en-GB"/>
        </w:rPr>
        <w:t xml:space="preserve"> 2011,</w:t>
      </w:r>
      <w:r w:rsidR="00C356CF" w:rsidRPr="005D084F">
        <w:rPr>
          <w:lang w:val="en-GB"/>
        </w:rPr>
        <w:t xml:space="preserve"> </w:t>
      </w:r>
      <w:r w:rsidR="00C356CF" w:rsidRPr="005D084F">
        <w:rPr>
          <w:rFonts w:eastAsia="Times New Roman"/>
          <w:shd w:val="clear" w:color="auto" w:fill="FFFFFF"/>
          <w:lang w:val="en-GB"/>
        </w:rPr>
        <w:t xml:space="preserve">the </w:t>
      </w:r>
      <w:r w:rsidR="00284BB9" w:rsidRPr="005D084F">
        <w:rPr>
          <w:rFonts w:eastAsia="Times New Roman"/>
          <w:shd w:val="clear" w:color="auto" w:fill="FFFFFF"/>
          <w:lang w:val="en-GB"/>
        </w:rPr>
        <w:t xml:space="preserve">European Commission </w:t>
      </w:r>
      <w:r w:rsidR="000E203B" w:rsidRPr="005D084F">
        <w:rPr>
          <w:rFonts w:eastAsia="Times New Roman"/>
          <w:shd w:val="clear" w:color="auto" w:fill="FFFFFF"/>
          <w:lang w:val="en-GB"/>
        </w:rPr>
        <w:t>planned an “EU Framework for National Roma Integration Strategies up to 2020”</w:t>
      </w:r>
      <w:r w:rsidR="00284BB9" w:rsidRPr="005D084F">
        <w:rPr>
          <w:rFonts w:eastAsia="Times New Roman"/>
          <w:shd w:val="clear" w:color="auto" w:fill="FFFFFF"/>
          <w:lang w:val="en-GB"/>
        </w:rPr>
        <w:t>.</w:t>
      </w:r>
      <w:r w:rsidR="000E203B" w:rsidRPr="00E05E56">
        <w:rPr>
          <w:rStyle w:val="FootnoteReference"/>
          <w:rFonts w:ascii="Times New Roman" w:eastAsia="Times New Roman" w:hAnsi="Times New Roman"/>
          <w:shd w:val="clear" w:color="auto" w:fill="FFFFFF"/>
          <w:lang w:val="en-GB"/>
        </w:rPr>
        <w:footnoteReference w:id="77"/>
      </w:r>
      <w:r w:rsidR="00284BB9" w:rsidRPr="005D084F">
        <w:rPr>
          <w:rFonts w:eastAsia="Times New Roman"/>
          <w:shd w:val="clear" w:color="auto" w:fill="FFFFFF"/>
          <w:lang w:val="en-GB"/>
        </w:rPr>
        <w:t xml:space="preserve"> In re</w:t>
      </w:r>
      <w:r w:rsidR="000E203B" w:rsidRPr="005D084F">
        <w:rPr>
          <w:rFonts w:eastAsia="Times New Roman"/>
          <w:shd w:val="clear" w:color="auto" w:fill="FFFFFF"/>
          <w:lang w:val="en-GB"/>
        </w:rPr>
        <w:t>s</w:t>
      </w:r>
      <w:r w:rsidR="00284BB9" w:rsidRPr="005D084F">
        <w:rPr>
          <w:rFonts w:eastAsia="Times New Roman"/>
          <w:shd w:val="clear" w:color="auto" w:fill="FFFFFF"/>
          <w:lang w:val="en-GB"/>
        </w:rPr>
        <w:t xml:space="preserve">ponse, the </w:t>
      </w:r>
      <w:r w:rsidR="00C356CF" w:rsidRPr="005D084F">
        <w:rPr>
          <w:rFonts w:eastAsia="Times New Roman"/>
          <w:shd w:val="clear" w:color="auto" w:fill="FFFFFF"/>
          <w:lang w:val="en-GB"/>
        </w:rPr>
        <w:t>EU Fundamental Rights Agency has launched the LERI</w:t>
      </w:r>
      <w:r w:rsidR="00E438A2" w:rsidRPr="00D24721">
        <w:rPr>
          <w:rFonts w:eastAsia="Times New Roman"/>
          <w:shd w:val="clear" w:color="auto" w:fill="FFFFFF"/>
          <w:lang w:val="en-GB"/>
        </w:rPr>
        <w:t xml:space="preserve"> (Local Engagement for Roma Inclusion)</w:t>
      </w:r>
      <w:r w:rsidR="00C356CF" w:rsidRPr="00D24721">
        <w:rPr>
          <w:rFonts w:eastAsia="Times New Roman"/>
          <w:shd w:val="clear" w:color="auto" w:fill="FFFFFF"/>
          <w:lang w:val="en-GB"/>
        </w:rPr>
        <w:t xml:space="preserve"> pro</w:t>
      </w:r>
      <w:r w:rsidR="004A75B6" w:rsidRPr="00D24721">
        <w:rPr>
          <w:rFonts w:eastAsia="Times New Roman"/>
          <w:shd w:val="clear" w:color="auto" w:fill="FFFFFF"/>
          <w:lang w:val="en-GB"/>
        </w:rPr>
        <w:t>gramme</w:t>
      </w:r>
      <w:r w:rsidR="00C356CF" w:rsidRPr="00D24721">
        <w:rPr>
          <w:rFonts w:eastAsia="Times New Roman"/>
          <w:shd w:val="clear" w:color="auto" w:fill="FFFFFF"/>
          <w:lang w:val="en-GB"/>
        </w:rPr>
        <w:t xml:space="preserve"> to investigate how Roma can be best involved in Roma integration policies.</w:t>
      </w:r>
      <w:r w:rsidR="00C356CF" w:rsidRPr="00E05E56">
        <w:rPr>
          <w:rStyle w:val="FootnoteReference"/>
          <w:rFonts w:ascii="Times New Roman" w:eastAsia="Times New Roman" w:hAnsi="Times New Roman"/>
          <w:shd w:val="clear" w:color="auto" w:fill="FFFFFF"/>
          <w:lang w:val="en-GB"/>
        </w:rPr>
        <w:footnoteReference w:id="78"/>
      </w:r>
      <w:r w:rsidR="00C356CF" w:rsidRPr="005D084F">
        <w:rPr>
          <w:rFonts w:eastAsia="Times New Roman"/>
          <w:shd w:val="clear" w:color="auto" w:fill="FFFFFF"/>
          <w:lang w:val="en-GB"/>
        </w:rPr>
        <w:t xml:space="preserve"> Several localities participate in the project in Finland, France, Greece, Italy, Spain and the United Kingdom.</w:t>
      </w:r>
      <w:r w:rsidR="000E124C" w:rsidRPr="00D24721">
        <w:rPr>
          <w:rFonts w:eastAsia="Times New Roman"/>
          <w:shd w:val="clear" w:color="auto" w:fill="FFFFFF"/>
          <w:lang w:val="en-GB"/>
        </w:rPr>
        <w:t xml:space="preserve"> At the national level, </w:t>
      </w:r>
      <w:r w:rsidR="000069F5" w:rsidRPr="00D24721">
        <w:rPr>
          <w:rFonts w:eastAsia="Times New Roman"/>
          <w:shd w:val="clear" w:color="auto" w:fill="FFFFFF"/>
          <w:lang w:val="en-GB"/>
        </w:rPr>
        <w:t>Member States committed to develop, implement and mo</w:t>
      </w:r>
      <w:r w:rsidR="000069F5" w:rsidRPr="00904A38">
        <w:rPr>
          <w:rFonts w:eastAsia="Times New Roman"/>
          <w:shd w:val="clear" w:color="auto" w:fill="FFFFFF"/>
          <w:lang w:val="en-GB"/>
        </w:rPr>
        <w:t xml:space="preserve">nitor </w:t>
      </w:r>
      <w:r w:rsidR="002C01A8" w:rsidRPr="00904A38">
        <w:rPr>
          <w:rFonts w:eastAsia="Times New Roman"/>
          <w:shd w:val="clear" w:color="auto" w:fill="FFFFFF"/>
          <w:lang w:val="en-GB"/>
        </w:rPr>
        <w:t>Roma integration strategies, one aspect of which aims to support the active citizenship of Roma</w:t>
      </w:r>
      <w:r w:rsidR="000E124C" w:rsidRPr="008F512B">
        <w:rPr>
          <w:rFonts w:eastAsia="Times New Roman"/>
          <w:shd w:val="clear" w:color="auto" w:fill="FFFFFF"/>
          <w:lang w:val="en-GB"/>
        </w:rPr>
        <w:t xml:space="preserve"> </w:t>
      </w:r>
      <w:r w:rsidR="002C01A8" w:rsidRPr="008F512B">
        <w:rPr>
          <w:rFonts w:eastAsia="Times New Roman"/>
          <w:shd w:val="clear" w:color="auto" w:fill="FFFFFF"/>
          <w:lang w:val="en-GB"/>
        </w:rPr>
        <w:t xml:space="preserve">by promoting their </w:t>
      </w:r>
      <w:r w:rsidR="002C01A8" w:rsidRPr="008F512B">
        <w:rPr>
          <w:rFonts w:eastAsia="Times New Roman"/>
          <w:shd w:val="clear" w:color="auto" w:fill="FFFFFF"/>
        </w:rPr>
        <w:t>social, economic, political and cultural participation</w:t>
      </w:r>
      <w:r w:rsidR="002C01A8" w:rsidRPr="008F512B">
        <w:rPr>
          <w:rFonts w:eastAsia="Times New Roman"/>
        </w:rPr>
        <w:t>.</w:t>
      </w:r>
      <w:r w:rsidR="00503972" w:rsidRPr="00E05E56">
        <w:rPr>
          <w:rStyle w:val="FootnoteReference"/>
          <w:rFonts w:ascii="Times New Roman" w:eastAsia="Times New Roman" w:hAnsi="Times New Roman"/>
        </w:rPr>
        <w:footnoteReference w:id="79"/>
      </w:r>
      <w:r w:rsidR="002C01A8" w:rsidRPr="005D084F">
        <w:rPr>
          <w:rFonts w:eastAsia="Times New Roman"/>
        </w:rPr>
        <w:t xml:space="preserve"> </w:t>
      </w:r>
    </w:p>
    <w:p w14:paraId="16FAD3FB" w14:textId="77777777" w:rsidR="00DF78FD" w:rsidRDefault="00DF78FD" w:rsidP="00DF78FD">
      <w:pPr>
        <w:ind w:firstLine="284"/>
        <w:rPr>
          <w:rFonts w:eastAsia="Times New Roman"/>
        </w:rPr>
      </w:pPr>
    </w:p>
    <w:p w14:paraId="1E426F2F" w14:textId="77777777" w:rsidR="00DF78FD" w:rsidRDefault="00DF78FD" w:rsidP="00DF78FD">
      <w:pPr>
        <w:ind w:firstLine="284"/>
        <w:rPr>
          <w:rFonts w:eastAsia="Times New Roman"/>
        </w:rPr>
      </w:pPr>
      <w:r w:rsidRPr="00D24721">
        <w:rPr>
          <w:rFonts w:eastAsia="Times New Roman"/>
        </w:rPr>
        <w:t>Preferent</w:t>
      </w:r>
      <w:r>
        <w:rPr>
          <w:rFonts w:eastAsia="Times New Roman"/>
        </w:rPr>
        <w:t>ial</w:t>
      </w:r>
      <w:r w:rsidR="00864180" w:rsidRPr="00D24721">
        <w:rPr>
          <w:rFonts w:eastAsia="Times New Roman"/>
        </w:rPr>
        <w:t xml:space="preserve"> voting systems have also been considered as a means to improve political participation of minorities</w:t>
      </w:r>
      <w:r w:rsidR="00F118DC" w:rsidRPr="005D084F">
        <w:rPr>
          <w:rFonts w:eastAsia="Times New Roman"/>
        </w:rPr>
        <w:t xml:space="preserve">, </w:t>
      </w:r>
      <w:r w:rsidR="00F118DC">
        <w:rPr>
          <w:rFonts w:eastAsia="Times New Roman"/>
        </w:rPr>
        <w:t xml:space="preserve">and to </w:t>
      </w:r>
      <w:r w:rsidR="00F118DC" w:rsidRPr="005D084F">
        <w:rPr>
          <w:rFonts w:eastAsia="Times New Roman"/>
        </w:rPr>
        <w:t xml:space="preserve">facilitate the representation of </w:t>
      </w:r>
      <w:proofErr w:type="gramStart"/>
      <w:r w:rsidR="00F118DC" w:rsidRPr="005D084F">
        <w:rPr>
          <w:rFonts w:eastAsia="Times New Roman"/>
        </w:rPr>
        <w:t>minorities</w:t>
      </w:r>
      <w:proofErr w:type="gramEnd"/>
      <w:r w:rsidR="00F118DC" w:rsidRPr="005D084F">
        <w:rPr>
          <w:rFonts w:eastAsia="Times New Roman"/>
        </w:rPr>
        <w:t>.</w:t>
      </w:r>
      <w:r w:rsidR="00F118DC" w:rsidRPr="00B70FBC">
        <w:rPr>
          <w:rStyle w:val="FootnoteReference"/>
          <w:rFonts w:ascii="Times New Roman" w:eastAsia="Times New Roman" w:hAnsi="Times New Roman"/>
        </w:rPr>
        <w:footnoteReference w:id="80"/>
      </w:r>
      <w:r w:rsidR="00864180" w:rsidRPr="00D24721">
        <w:rPr>
          <w:rFonts w:eastAsia="Times New Roman"/>
        </w:rPr>
        <w:t xml:space="preserve">. The </w:t>
      </w:r>
      <w:proofErr w:type="spellStart"/>
      <w:r w:rsidR="00864180" w:rsidRPr="00D24721">
        <w:rPr>
          <w:rFonts w:eastAsia="Times New Roman"/>
        </w:rPr>
        <w:t>ECtHR</w:t>
      </w:r>
      <w:proofErr w:type="spellEnd"/>
      <w:r w:rsidR="00864180" w:rsidRPr="00D24721">
        <w:rPr>
          <w:rFonts w:eastAsia="Times New Roman"/>
        </w:rPr>
        <w:t xml:space="preserve"> has long asserted that minority protection justifies the application of a different electoral system within the State in order to ensure better minority representation in the legislature.</w:t>
      </w:r>
      <w:r w:rsidR="00864180" w:rsidRPr="00E05E56">
        <w:rPr>
          <w:rStyle w:val="FootnoteReference"/>
          <w:rFonts w:ascii="Times New Roman" w:eastAsia="Times New Roman" w:hAnsi="Times New Roman"/>
        </w:rPr>
        <w:footnoteReference w:id="81"/>
      </w:r>
    </w:p>
    <w:p w14:paraId="3ECC04FB" w14:textId="75B0203C" w:rsidR="00F118DC" w:rsidRPr="00DF78FD" w:rsidRDefault="00864180" w:rsidP="00DF78FD">
      <w:pPr>
        <w:ind w:firstLine="284"/>
        <w:rPr>
          <w:rFonts w:eastAsia="Times New Roman"/>
        </w:rPr>
      </w:pPr>
      <w:r w:rsidRPr="005D084F">
        <w:rPr>
          <w:rFonts w:eastAsia="Times New Roman"/>
        </w:rPr>
        <w:t xml:space="preserve">Nevertheless, it has established that, “any electoral system must be assessed in the light of the political evolution of the country concerned”, and, as a result, “features that would be </w:t>
      </w:r>
      <w:r w:rsidRPr="005D084F">
        <w:rPr>
          <w:rFonts w:eastAsia="Times New Roman"/>
        </w:rPr>
        <w:lastRenderedPageBreak/>
        <w:t>unacceptable in the context of one system may accordingly be justified in the context of another”.</w:t>
      </w:r>
      <w:r w:rsidRPr="00E05E56">
        <w:rPr>
          <w:rStyle w:val="FootnoteReference"/>
          <w:rFonts w:ascii="Times New Roman" w:eastAsia="Times New Roman" w:hAnsi="Times New Roman"/>
        </w:rPr>
        <w:footnoteReference w:id="82"/>
      </w:r>
      <w:r w:rsidRPr="005D084F">
        <w:rPr>
          <w:rFonts w:eastAsia="Times New Roman"/>
        </w:rPr>
        <w:t xml:space="preserve"> The 2001 OSCE Warsaw Guidelines to Assist National Minority Participation in the Electoral Process elaborate further on preference voting systems, such as the single transferable vote (STV) (proportional system) and the alternative vot</w:t>
      </w:r>
      <w:r w:rsidRPr="00D24721">
        <w:rPr>
          <w:rFonts w:eastAsia="Times New Roman"/>
        </w:rPr>
        <w:t>e (AV) (majority system).</w:t>
      </w:r>
      <w:r w:rsidRPr="00E05E56">
        <w:rPr>
          <w:rStyle w:val="FootnoteReference"/>
          <w:rFonts w:ascii="Times New Roman" w:eastAsia="Times New Roman" w:hAnsi="Times New Roman"/>
        </w:rPr>
        <w:footnoteReference w:id="83"/>
      </w:r>
      <w:r w:rsidRPr="005D084F">
        <w:rPr>
          <w:rFonts w:eastAsia="Times New Roman"/>
        </w:rPr>
        <w:t xml:space="preserve"> In </w:t>
      </w:r>
      <w:proofErr w:type="gramStart"/>
      <w:r w:rsidRPr="005D084F">
        <w:rPr>
          <w:rFonts w:eastAsia="Times New Roman"/>
        </w:rPr>
        <w:t xml:space="preserve">its </w:t>
      </w:r>
      <w:r w:rsidRPr="005D084F">
        <w:rPr>
          <w:lang w:val="en-GB"/>
        </w:rPr>
        <w:t xml:space="preserve"> </w:t>
      </w:r>
      <w:proofErr w:type="spellStart"/>
      <w:r w:rsidRPr="005D084F">
        <w:rPr>
          <w:rFonts w:eastAsia="Times New Roman"/>
          <w:bCs/>
          <w:i/>
          <w:iCs/>
          <w:shd w:val="clear" w:color="auto" w:fill="FFFFFF"/>
        </w:rPr>
        <w:t>Partei</w:t>
      </w:r>
      <w:proofErr w:type="spellEnd"/>
      <w:proofErr w:type="gramEnd"/>
      <w:r w:rsidRPr="005D084F">
        <w:rPr>
          <w:rFonts w:eastAsia="Times New Roman"/>
          <w:bCs/>
          <w:i/>
          <w:iCs/>
          <w:shd w:val="clear" w:color="auto" w:fill="FFFFFF"/>
        </w:rPr>
        <w:t xml:space="preserve"> Die Friesen v. Germany</w:t>
      </w:r>
      <w:r w:rsidRPr="00D24721">
        <w:rPr>
          <w:lang w:val="en-GB"/>
        </w:rPr>
        <w:t xml:space="preserve"> case, the </w:t>
      </w:r>
      <w:proofErr w:type="spellStart"/>
      <w:r w:rsidRPr="00D24721">
        <w:rPr>
          <w:lang w:val="en-GB"/>
        </w:rPr>
        <w:t>ECtHR</w:t>
      </w:r>
      <w:proofErr w:type="spellEnd"/>
      <w:r w:rsidRPr="00D24721">
        <w:rPr>
          <w:lang w:val="en-GB"/>
        </w:rPr>
        <w:t xml:space="preserve"> refers to </w:t>
      </w:r>
      <w:r w:rsidRPr="00D24721">
        <w:rPr>
          <w:rFonts w:eastAsia="Times New Roman"/>
        </w:rPr>
        <w:t>Opinions of the Advisory Committee on the Framework Convention and the Venice Commission, which point at the potential negative impact of mini</w:t>
      </w:r>
      <w:r w:rsidRPr="00904A38">
        <w:rPr>
          <w:rFonts w:eastAsia="Times New Roman"/>
        </w:rPr>
        <w:t>mum</w:t>
      </w:r>
      <w:r w:rsidR="00904A38">
        <w:rPr>
          <w:rFonts w:eastAsia="Times New Roman"/>
        </w:rPr>
        <w:t xml:space="preserve"> electoral</w:t>
      </w:r>
      <w:r w:rsidRPr="00904A38">
        <w:rPr>
          <w:rFonts w:eastAsia="Times New Roman"/>
        </w:rPr>
        <w:t xml:space="preserve"> thresholds on the</w:t>
      </w:r>
      <w:r w:rsidR="00904A38" w:rsidRPr="00E05E56">
        <w:rPr>
          <w:rFonts w:eastAsia="Times New Roman"/>
          <w:lang w:val="en-GB" w:eastAsia="en-GB"/>
        </w:rPr>
        <w:t xml:space="preserve"> chances of national minorities to be represented</w:t>
      </w:r>
      <w:r w:rsidRPr="00D24721">
        <w:rPr>
          <w:rFonts w:eastAsia="Times New Roman"/>
        </w:rPr>
        <w:t xml:space="preserve"> </w:t>
      </w:r>
      <w:r w:rsidR="00904A38">
        <w:rPr>
          <w:rFonts w:eastAsia="Times New Roman"/>
        </w:rPr>
        <w:t xml:space="preserve">in elected bodies, such as Parliaments. </w:t>
      </w:r>
      <w:r w:rsidRPr="00D24721">
        <w:rPr>
          <w:rFonts w:eastAsia="Times New Roman"/>
        </w:rPr>
        <w:t xml:space="preserve">. </w:t>
      </w:r>
      <w:r w:rsidRPr="00D24721">
        <w:rPr>
          <w:rFonts w:eastAsia="Times New Roman"/>
          <w:shd w:val="clear" w:color="auto" w:fill="FFFFFF"/>
        </w:rPr>
        <w:t>.</w:t>
      </w:r>
      <w:r w:rsidRPr="00E05E56">
        <w:rPr>
          <w:rStyle w:val="FootnoteReference"/>
          <w:rFonts w:ascii="Times New Roman" w:eastAsia="Times New Roman" w:hAnsi="Times New Roman"/>
          <w:shd w:val="clear" w:color="auto" w:fill="FFFFFF"/>
        </w:rPr>
        <w:footnoteReference w:id="84"/>
      </w:r>
      <w:r w:rsidRPr="005D084F">
        <w:rPr>
          <w:rFonts w:eastAsia="Times New Roman"/>
          <w:shd w:val="clear" w:color="auto" w:fill="FFFFFF"/>
        </w:rPr>
        <w:t xml:space="preserve"> </w:t>
      </w:r>
    </w:p>
    <w:p w14:paraId="33E7D5E5" w14:textId="77777777" w:rsidR="00864180" w:rsidRDefault="00864180" w:rsidP="00E05E56">
      <w:pPr>
        <w:rPr>
          <w:rFonts w:eastAsia="Times New Roman"/>
          <w:shd w:val="clear" w:color="auto" w:fill="FFFFFF"/>
        </w:rPr>
      </w:pPr>
    </w:p>
    <w:p w14:paraId="4D58DD6B" w14:textId="3CBC46CF" w:rsidR="005838CA" w:rsidRDefault="00204FA3" w:rsidP="00E85654">
      <w:pPr>
        <w:ind w:firstLine="284"/>
        <w:rPr>
          <w:rFonts w:eastAsia="Times New Roman"/>
        </w:rPr>
      </w:pPr>
      <w:r w:rsidRPr="00D24721">
        <w:rPr>
          <w:lang w:val="en-GB"/>
        </w:rPr>
        <w:t xml:space="preserve">Despite efforts to increase the political participation of minorities, </w:t>
      </w:r>
      <w:r w:rsidR="00E76EE5" w:rsidRPr="00D24721">
        <w:rPr>
          <w:lang w:val="en-GB"/>
        </w:rPr>
        <w:t xml:space="preserve">frustration </w:t>
      </w:r>
      <w:r w:rsidRPr="00D24721">
        <w:rPr>
          <w:lang w:val="en-GB"/>
        </w:rPr>
        <w:t>is expressed where</w:t>
      </w:r>
      <w:r w:rsidR="00E76EE5" w:rsidRPr="00D24721">
        <w:rPr>
          <w:lang w:val="en-GB"/>
        </w:rPr>
        <w:t xml:space="preserve"> institutions</w:t>
      </w:r>
      <w:r w:rsidR="00D11988">
        <w:rPr>
          <w:lang w:val="en-GB"/>
        </w:rPr>
        <w:t xml:space="preserve"> are not in place to allow their meaningful participation</w:t>
      </w:r>
      <w:r w:rsidR="00E76EE5" w:rsidRPr="00D24721">
        <w:rPr>
          <w:lang w:val="en-GB"/>
        </w:rPr>
        <w:t xml:space="preserve"> and</w:t>
      </w:r>
      <w:r w:rsidR="00D11988">
        <w:rPr>
          <w:lang w:val="en-GB"/>
        </w:rPr>
        <w:t xml:space="preserve"> </w:t>
      </w:r>
      <w:r w:rsidR="00E76EE5" w:rsidRPr="00D24721">
        <w:rPr>
          <w:lang w:val="en-GB"/>
        </w:rPr>
        <w:t xml:space="preserve">when representative structures lack </w:t>
      </w:r>
      <w:r w:rsidR="00E76EE5" w:rsidRPr="00904A38">
        <w:rPr>
          <w:rFonts w:eastAsia="Times New Roman"/>
        </w:rPr>
        <w:t>binding decision-making powers.</w:t>
      </w:r>
      <w:r w:rsidR="00347842" w:rsidRPr="00904A38">
        <w:rPr>
          <w:rFonts w:eastAsia="Times New Roman"/>
        </w:rPr>
        <w:t xml:space="preserve"> </w:t>
      </w:r>
      <w:r w:rsidR="000728BF" w:rsidRPr="00904A38">
        <w:rPr>
          <w:rFonts w:eastAsia="Times New Roman"/>
        </w:rPr>
        <w:t>The gap between f</w:t>
      </w:r>
      <w:r w:rsidR="00347842" w:rsidRPr="00904A38">
        <w:rPr>
          <w:rFonts w:eastAsia="Times New Roman"/>
        </w:rPr>
        <w:t xml:space="preserve">ormal consultation </w:t>
      </w:r>
      <w:r w:rsidR="000728BF" w:rsidRPr="00904A38">
        <w:rPr>
          <w:rFonts w:eastAsia="Times New Roman"/>
        </w:rPr>
        <w:t>processes and a</w:t>
      </w:r>
      <w:r w:rsidR="00347842" w:rsidRPr="00904A38">
        <w:rPr>
          <w:rFonts w:eastAsia="Times New Roman"/>
        </w:rPr>
        <w:t xml:space="preserve"> genuine interest to </w:t>
      </w:r>
      <w:proofErr w:type="gramStart"/>
      <w:r w:rsidR="00347842" w:rsidRPr="00904A38">
        <w:rPr>
          <w:rFonts w:eastAsia="Times New Roman"/>
        </w:rPr>
        <w:t xml:space="preserve">hear </w:t>
      </w:r>
      <w:r w:rsidR="00D11988">
        <w:rPr>
          <w:rFonts w:eastAsia="Times New Roman"/>
        </w:rPr>
        <w:t xml:space="preserve"> minorities’</w:t>
      </w:r>
      <w:proofErr w:type="gramEnd"/>
      <w:r w:rsidR="00D11988" w:rsidRPr="00904A38">
        <w:rPr>
          <w:rFonts w:eastAsia="Times New Roman"/>
        </w:rPr>
        <w:t xml:space="preserve"> </w:t>
      </w:r>
      <w:r w:rsidR="00347842" w:rsidRPr="00904A38">
        <w:rPr>
          <w:rFonts w:eastAsia="Times New Roman"/>
        </w:rPr>
        <w:t>views</w:t>
      </w:r>
      <w:r w:rsidR="000728BF" w:rsidRPr="00904A38">
        <w:rPr>
          <w:rFonts w:eastAsia="Times New Roman"/>
        </w:rPr>
        <w:t xml:space="preserve"> has been highlighted in several countries</w:t>
      </w:r>
      <w:r w:rsidR="00347842" w:rsidRPr="00904A38">
        <w:rPr>
          <w:rFonts w:eastAsia="Times New Roman"/>
        </w:rPr>
        <w:t>.</w:t>
      </w:r>
      <w:r w:rsidR="00347842" w:rsidRPr="006B753A">
        <w:rPr>
          <w:rStyle w:val="FootnoteReference"/>
          <w:rFonts w:ascii="Times New Roman" w:eastAsia="Times New Roman" w:hAnsi="Times New Roman"/>
        </w:rPr>
        <w:footnoteReference w:id="85"/>
      </w:r>
      <w:r w:rsidR="001E7FA1" w:rsidRPr="005D084F">
        <w:rPr>
          <w:rFonts w:eastAsia="Times New Roman"/>
        </w:rPr>
        <w:t xml:space="preserve"> </w:t>
      </w:r>
      <w:r w:rsidR="00D11988">
        <w:rPr>
          <w:rFonts w:eastAsia="Times New Roman"/>
        </w:rPr>
        <w:t>In this respect, t</w:t>
      </w:r>
      <w:r w:rsidR="00327EBF" w:rsidRPr="00904A38">
        <w:rPr>
          <w:rFonts w:eastAsia="Times New Roman"/>
        </w:rPr>
        <w:t xml:space="preserve">he </w:t>
      </w:r>
      <w:proofErr w:type="spellStart"/>
      <w:r w:rsidR="00327EBF" w:rsidRPr="00904A38">
        <w:rPr>
          <w:rFonts w:eastAsia="Times New Roman"/>
        </w:rPr>
        <w:t>CoE</w:t>
      </w:r>
      <w:proofErr w:type="spellEnd"/>
      <w:r w:rsidR="00327EBF" w:rsidRPr="00904A38">
        <w:rPr>
          <w:rFonts w:eastAsia="Times New Roman"/>
        </w:rPr>
        <w:t xml:space="preserve"> ACFC considers that “it is not sufficient for States to ensure formal participation of persons belonging to minorities; States must also ensure that the participation of minority representatives has a substantial influence on decisions which are taken, so that there is, as far as possible, a shared ownership of the decisions taken.”</w:t>
      </w:r>
      <w:r w:rsidR="00327EBF" w:rsidRPr="006B753A">
        <w:rPr>
          <w:rStyle w:val="FootnoteReference"/>
          <w:rFonts w:ascii="Times New Roman" w:eastAsia="Times New Roman" w:hAnsi="Times New Roman"/>
        </w:rPr>
        <w:footnoteReference w:id="86"/>
      </w:r>
      <w:r w:rsidR="005838CA" w:rsidRPr="005D084F">
        <w:rPr>
          <w:rFonts w:eastAsia="Times New Roman"/>
        </w:rPr>
        <w:t xml:space="preserve"> </w:t>
      </w:r>
    </w:p>
    <w:p w14:paraId="65332989" w14:textId="77777777" w:rsidR="008F512B" w:rsidRDefault="008F512B" w:rsidP="00E85654">
      <w:pPr>
        <w:ind w:firstLine="284"/>
        <w:rPr>
          <w:rFonts w:eastAsia="Times New Roman"/>
        </w:rPr>
      </w:pPr>
    </w:p>
    <w:p w14:paraId="76CD5A89" w14:textId="607B7A78" w:rsidR="00AC0ABF" w:rsidRPr="00EE61E3" w:rsidRDefault="00AC0ABF" w:rsidP="00AC0ABF">
      <w:pPr>
        <w:ind w:firstLine="284"/>
        <w:rPr>
          <w:lang w:val="en-GB"/>
        </w:rPr>
      </w:pPr>
      <w:r w:rsidRPr="00EE61E3">
        <w:rPr>
          <w:rFonts w:eastAsia="Times New Roman"/>
        </w:rPr>
        <w:t>Encouraging examples of effective consultation and involvement in decision-making can be found for example in Portugal with Roma mediators in local government</w:t>
      </w:r>
      <w:r w:rsidRPr="00EE61E3">
        <w:rPr>
          <w:rStyle w:val="FootnoteReference"/>
          <w:rFonts w:eastAsia="Times New Roman"/>
        </w:rPr>
        <w:footnoteReference w:id="87"/>
      </w:r>
      <w:r w:rsidRPr="00EE61E3">
        <w:rPr>
          <w:rFonts w:eastAsia="Times New Roman"/>
        </w:rPr>
        <w:t xml:space="preserve">, in Sweden where, in a number of municipalities, representatives of national minorities can participate in decision-making on allocation for grants, e.g.  </w:t>
      </w:r>
      <w:proofErr w:type="gramStart"/>
      <w:r w:rsidRPr="00EE61E3">
        <w:rPr>
          <w:rFonts w:eastAsia="Times New Roman"/>
        </w:rPr>
        <w:t>the</w:t>
      </w:r>
      <w:proofErr w:type="gramEnd"/>
      <w:r w:rsidRPr="00EE61E3">
        <w:rPr>
          <w:rFonts w:eastAsia="Times New Roman"/>
        </w:rPr>
        <w:t xml:space="preserve"> Finnish minority in Stockholm.</w:t>
      </w:r>
      <w:r w:rsidRPr="00EE61E3">
        <w:rPr>
          <w:rStyle w:val="FootnoteReference"/>
          <w:rFonts w:eastAsia="Times New Roman"/>
        </w:rPr>
        <w:footnoteReference w:id="88"/>
      </w:r>
      <w:r w:rsidRPr="00EE61E3">
        <w:rPr>
          <w:rFonts w:eastAsia="Times New Roman"/>
        </w:rPr>
        <w:t xml:space="preserve"> The experience of the OSCE High Commissioner on National Minorities (HCNM) shows that such bodies, which are able to comment directly on issues of minority concern, can be more effective than representation in parliament. A minority expert nominated to, for example, an inter-ministerial commission, may in some cases exert more direct influence on government policy than a parliamentary representative. However, while the HCNM has always encouraged and </w:t>
      </w:r>
      <w:r w:rsidRPr="00D66546">
        <w:rPr>
          <w:rFonts w:eastAsia="Times New Roman"/>
        </w:rPr>
        <w:t xml:space="preserve">welcomed the establishment of such dialogue mechanisms, he has also </w:t>
      </w:r>
      <w:r w:rsidR="00FF2E6C" w:rsidRPr="00D66546">
        <w:rPr>
          <w:rFonts w:eastAsia="Times New Roman"/>
        </w:rPr>
        <w:lastRenderedPageBreak/>
        <w:t>emphasized</w:t>
      </w:r>
      <w:r w:rsidRPr="00D66546">
        <w:rPr>
          <w:rFonts w:eastAsia="Times New Roman"/>
        </w:rPr>
        <w:t xml:space="preserve"> that such forums should only complement, rather than substitute, direct political representation.</w:t>
      </w:r>
      <w:r w:rsidRPr="00D66546">
        <w:rPr>
          <w:rStyle w:val="FootnoteReference"/>
          <w:rFonts w:ascii="Times New Roman" w:eastAsia="Times New Roman" w:hAnsi="Times New Roman"/>
        </w:rPr>
        <w:footnoteReference w:id="89"/>
      </w:r>
      <w:r w:rsidRPr="00D66546">
        <w:rPr>
          <w:lang w:val="en-GB"/>
        </w:rPr>
        <w:t xml:space="preserve"> Another good practice lies in </w:t>
      </w:r>
      <w:r w:rsidRPr="00D66546">
        <w:rPr>
          <w:rFonts w:eastAsia="Times New Roman"/>
        </w:rPr>
        <w:t>initiatives to increase diversity in public service, for example the police in Denmark</w:t>
      </w:r>
      <w:r w:rsidRPr="00E05E56">
        <w:rPr>
          <w:rFonts w:eastAsia="Times New Roman"/>
        </w:rPr>
        <w:t>,</w:t>
      </w:r>
      <w:r w:rsidRPr="00E05E56">
        <w:rPr>
          <w:rStyle w:val="FootnoteReference"/>
          <w:rFonts w:ascii="Times New Roman" w:eastAsia="Times New Roman" w:hAnsi="Times New Roman"/>
        </w:rPr>
        <w:footnoteReference w:id="90"/>
      </w:r>
      <w:r w:rsidRPr="00D66546">
        <w:rPr>
          <w:rFonts w:eastAsia="Times New Roman"/>
        </w:rPr>
        <w:t xml:space="preserve"> or the association of officers belonging to minorities in London’s Metropolitan Police and the Gypsy Roma </w:t>
      </w:r>
      <w:proofErr w:type="spellStart"/>
      <w:r w:rsidRPr="00D66546">
        <w:rPr>
          <w:rFonts w:eastAsia="Times New Roman"/>
        </w:rPr>
        <w:t>Traveller</w:t>
      </w:r>
      <w:proofErr w:type="spellEnd"/>
      <w:r w:rsidRPr="00D66546">
        <w:rPr>
          <w:rFonts w:eastAsia="Times New Roman"/>
        </w:rPr>
        <w:t xml:space="preserve"> Police Association</w:t>
      </w:r>
      <w:r w:rsidRPr="00D66546">
        <w:rPr>
          <w:rStyle w:val="FootnoteReference"/>
          <w:rFonts w:ascii="Times New Roman" w:eastAsia="Times New Roman" w:hAnsi="Times New Roman"/>
        </w:rPr>
        <w:footnoteReference w:id="91"/>
      </w:r>
      <w:r w:rsidRPr="00D66546">
        <w:rPr>
          <w:rFonts w:eastAsia="Times New Roman"/>
        </w:rPr>
        <w:t xml:space="preserve"> in the United Kingdom</w:t>
      </w:r>
      <w:r w:rsidRPr="00D66546">
        <w:rPr>
          <w:rStyle w:val="FootnoteReference"/>
          <w:rFonts w:ascii="Times New Roman" w:eastAsia="Times New Roman" w:hAnsi="Times New Roman"/>
        </w:rPr>
        <w:footnoteReference w:id="92"/>
      </w:r>
      <w:r w:rsidRPr="00D66546">
        <w:rPr>
          <w:rFonts w:eastAsia="Times New Roman"/>
        </w:rPr>
        <w:t>. Finally, electoral systems should facilitate the representation of minorities.</w:t>
      </w:r>
      <w:r w:rsidRPr="00D66546">
        <w:rPr>
          <w:rStyle w:val="FootnoteReference"/>
          <w:rFonts w:ascii="Times New Roman" w:eastAsia="Times New Roman" w:hAnsi="Times New Roman"/>
        </w:rPr>
        <w:footnoteReference w:id="93"/>
      </w:r>
    </w:p>
    <w:p w14:paraId="3F173DF2" w14:textId="77777777" w:rsidR="00972980" w:rsidRPr="005D084F" w:rsidRDefault="00972980" w:rsidP="00E85654">
      <w:pPr>
        <w:ind w:firstLine="284"/>
        <w:rPr>
          <w:rFonts w:eastAsia="Times New Roman"/>
        </w:rPr>
      </w:pPr>
    </w:p>
    <w:p w14:paraId="79B03045" w14:textId="2C9B533E" w:rsidR="00F42E27" w:rsidRDefault="00F42E27" w:rsidP="00E85654">
      <w:pPr>
        <w:ind w:firstLine="284"/>
        <w:rPr>
          <w:rFonts w:eastAsia="Times New Roman"/>
        </w:rPr>
      </w:pPr>
    </w:p>
    <w:p w14:paraId="6D90285B" w14:textId="77777777" w:rsidR="0008432C" w:rsidRPr="00E05E56" w:rsidRDefault="00603FDF" w:rsidP="00E85654">
      <w:pPr>
        <w:pStyle w:val="Heading2"/>
        <w:rPr>
          <w:rFonts w:ascii="Times New Roman" w:hAnsi="Times New Roman"/>
          <w:color w:val="auto"/>
          <w:lang w:val="en-GB"/>
        </w:rPr>
      </w:pPr>
      <w:bookmarkStart w:id="8" w:name="_Toc509931726"/>
      <w:r w:rsidRPr="00E05E56">
        <w:rPr>
          <w:rFonts w:ascii="Times New Roman" w:hAnsi="Times New Roman"/>
          <w:color w:val="auto"/>
          <w:lang w:val="en-GB"/>
        </w:rPr>
        <w:t>D</w:t>
      </w:r>
      <w:r w:rsidR="00E85654" w:rsidRPr="00E05E56">
        <w:rPr>
          <w:rFonts w:ascii="Times New Roman" w:hAnsi="Times New Roman"/>
          <w:color w:val="auto"/>
          <w:lang w:val="en-GB"/>
        </w:rPr>
        <w:t xml:space="preserve">. </w:t>
      </w:r>
      <w:r w:rsidR="0008432C" w:rsidRPr="00E05E56">
        <w:rPr>
          <w:rFonts w:ascii="Times New Roman" w:hAnsi="Times New Roman"/>
          <w:color w:val="auto"/>
          <w:lang w:val="en-GB"/>
        </w:rPr>
        <w:t>Persons with Disabilities</w:t>
      </w:r>
      <w:bookmarkEnd w:id="8"/>
    </w:p>
    <w:p w14:paraId="0123804E" w14:textId="77777777" w:rsidR="00DF78FD" w:rsidRDefault="00461B7A" w:rsidP="008D7093">
      <w:pPr>
        <w:ind w:firstLine="284"/>
        <w:rPr>
          <w:lang w:val="en-GB"/>
        </w:rPr>
      </w:pPr>
      <w:r w:rsidRPr="005D084F">
        <w:rPr>
          <w:lang w:val="en-GB"/>
        </w:rPr>
        <w:t xml:space="preserve">Significant challenges </w:t>
      </w:r>
      <w:r w:rsidR="00BD3EE7" w:rsidRPr="005D084F">
        <w:rPr>
          <w:lang w:val="en-GB"/>
        </w:rPr>
        <w:t>remain for the realisation of the right to participation of persons with disabilities.</w:t>
      </w:r>
      <w:r w:rsidR="001075EE" w:rsidRPr="006B753A">
        <w:rPr>
          <w:rStyle w:val="FootnoteReference"/>
          <w:rFonts w:ascii="Times New Roman" w:hAnsi="Times New Roman"/>
          <w:lang w:val="en-GB"/>
        </w:rPr>
        <w:footnoteReference w:id="94"/>
      </w:r>
      <w:r w:rsidR="00BD3EE7" w:rsidRPr="005D084F">
        <w:rPr>
          <w:lang w:val="en-GB"/>
        </w:rPr>
        <w:t xml:space="preserve"> </w:t>
      </w:r>
      <w:r w:rsidR="005040EF" w:rsidRPr="005D084F">
        <w:rPr>
          <w:lang w:val="en-GB"/>
        </w:rPr>
        <w:t xml:space="preserve">From a legal point of view, </w:t>
      </w:r>
      <w:r w:rsidR="00C22D98" w:rsidRPr="005D084F">
        <w:rPr>
          <w:lang w:val="en-GB"/>
        </w:rPr>
        <w:t xml:space="preserve">the right to vote is often linked to legal capacity. </w:t>
      </w:r>
      <w:r w:rsidR="00A53C3A" w:rsidRPr="005D084F">
        <w:rPr>
          <w:lang w:val="en-GB"/>
        </w:rPr>
        <w:t>Therefore,</w:t>
      </w:r>
      <w:r w:rsidR="002912C8" w:rsidRPr="00D24721">
        <w:rPr>
          <w:lang w:val="en-GB"/>
        </w:rPr>
        <w:t xml:space="preserve"> people who have been deprived of their legal capacity, be it wholly or in part, are deprived of their right to vote.</w:t>
      </w:r>
      <w:r w:rsidR="00DC3CBF" w:rsidRPr="006B753A">
        <w:rPr>
          <w:rStyle w:val="FootnoteReference"/>
          <w:rFonts w:ascii="Times New Roman" w:hAnsi="Times New Roman"/>
          <w:lang w:val="en-GB"/>
        </w:rPr>
        <w:footnoteReference w:id="95"/>
      </w:r>
      <w:r w:rsidR="002912C8" w:rsidRPr="005D084F">
        <w:rPr>
          <w:lang w:val="en-GB"/>
        </w:rPr>
        <w:t xml:space="preserve"> </w:t>
      </w:r>
      <w:r w:rsidR="008A3EBA" w:rsidRPr="005D084F">
        <w:rPr>
          <w:lang w:val="en-GB"/>
        </w:rPr>
        <w:t xml:space="preserve">In its General Comment No. 25, the </w:t>
      </w:r>
      <w:r w:rsidR="00FD158D" w:rsidRPr="005D084F">
        <w:rPr>
          <w:lang w:val="en-GB"/>
        </w:rPr>
        <w:t>Human Rights Committee considered</w:t>
      </w:r>
      <w:r w:rsidR="008A3EBA" w:rsidRPr="005D084F">
        <w:rPr>
          <w:lang w:val="en-GB"/>
        </w:rPr>
        <w:t xml:space="preserve"> that only </w:t>
      </w:r>
      <w:r w:rsidR="00481DF5" w:rsidRPr="005D084F">
        <w:rPr>
          <w:lang w:val="en-GB"/>
        </w:rPr>
        <w:t>“</w:t>
      </w:r>
      <w:r w:rsidR="008A3EBA" w:rsidRPr="00D24721">
        <w:rPr>
          <w:i/>
          <w:lang w:val="en-GB"/>
        </w:rPr>
        <w:t>established</w:t>
      </w:r>
      <w:r w:rsidR="008A3EBA" w:rsidRPr="00D24721">
        <w:rPr>
          <w:lang w:val="en-GB"/>
        </w:rPr>
        <w:t xml:space="preserve"> </w:t>
      </w:r>
      <w:r w:rsidR="00481DF5" w:rsidRPr="00D24721">
        <w:rPr>
          <w:lang w:val="en-GB"/>
        </w:rPr>
        <w:t>mental incapacity may be a ground for denying a person the right to vote or to hold office</w:t>
      </w:r>
      <w:r w:rsidR="008A3EBA" w:rsidRPr="00D24721">
        <w:rPr>
          <w:lang w:val="en-GB"/>
        </w:rPr>
        <w:t>.</w:t>
      </w:r>
      <w:r w:rsidR="00481DF5" w:rsidRPr="00D24721">
        <w:rPr>
          <w:lang w:val="en-GB"/>
        </w:rPr>
        <w:t>”</w:t>
      </w:r>
      <w:r w:rsidR="00636288" w:rsidRPr="006B753A">
        <w:rPr>
          <w:rStyle w:val="FootnoteReference"/>
          <w:rFonts w:ascii="Times New Roman" w:hAnsi="Times New Roman"/>
          <w:lang w:val="en-GB"/>
        </w:rPr>
        <w:footnoteReference w:id="96"/>
      </w:r>
      <w:r w:rsidR="00851D78" w:rsidRPr="005D084F">
        <w:rPr>
          <w:lang w:val="en-GB"/>
        </w:rPr>
        <w:t xml:space="preserve"> </w:t>
      </w:r>
      <w:r w:rsidR="00DA51C0" w:rsidRPr="005D084F">
        <w:rPr>
          <w:lang w:val="en-GB"/>
        </w:rPr>
        <w:t xml:space="preserve">Since then, the Human Rights Committee has aligned its position with that of the </w:t>
      </w:r>
      <w:proofErr w:type="spellStart"/>
      <w:r w:rsidR="00DA51C0" w:rsidRPr="005D084F">
        <w:rPr>
          <w:lang w:val="en-GB"/>
        </w:rPr>
        <w:t>ECtHR</w:t>
      </w:r>
      <w:proofErr w:type="spellEnd"/>
      <w:r w:rsidR="00DA51C0" w:rsidRPr="005D084F">
        <w:rPr>
          <w:lang w:val="en-GB"/>
        </w:rPr>
        <w:t xml:space="preserve">, which </w:t>
      </w:r>
      <w:r w:rsidR="00FD158D" w:rsidRPr="00D24721">
        <w:rPr>
          <w:lang w:val="en-GB"/>
        </w:rPr>
        <w:t>ruled</w:t>
      </w:r>
      <w:r w:rsidR="00D32665" w:rsidRPr="00D24721">
        <w:rPr>
          <w:lang w:val="en-GB"/>
        </w:rPr>
        <w:t xml:space="preserve"> that</w:t>
      </w:r>
      <w:r w:rsidR="002910EA" w:rsidRPr="00D24721">
        <w:rPr>
          <w:lang w:val="en-GB"/>
        </w:rPr>
        <w:t xml:space="preserve"> the automatic disenfranchisement </w:t>
      </w:r>
      <w:r w:rsidR="00BF2AEB" w:rsidRPr="00D24721">
        <w:rPr>
          <w:lang w:val="en-GB"/>
        </w:rPr>
        <w:t xml:space="preserve">due to mental health problem, without an individualised judicial assessment, </w:t>
      </w:r>
      <w:r w:rsidR="00D32665" w:rsidRPr="00904A38">
        <w:rPr>
          <w:lang w:val="en-GB"/>
        </w:rPr>
        <w:t>was</w:t>
      </w:r>
      <w:r w:rsidR="00CB3647" w:rsidRPr="00904A38">
        <w:rPr>
          <w:lang w:val="en-GB"/>
        </w:rPr>
        <w:t xml:space="preserve"> </w:t>
      </w:r>
      <w:r w:rsidR="002910EA" w:rsidRPr="00972980">
        <w:rPr>
          <w:lang w:val="en-GB"/>
        </w:rPr>
        <w:t>a violation of the right to vote.</w:t>
      </w:r>
      <w:r w:rsidR="00A63F55" w:rsidRPr="006B753A">
        <w:rPr>
          <w:rStyle w:val="FootnoteReference"/>
          <w:rFonts w:ascii="Times New Roman" w:hAnsi="Times New Roman"/>
          <w:lang w:val="en-GB"/>
        </w:rPr>
        <w:footnoteReference w:id="97"/>
      </w:r>
      <w:r w:rsidR="00B769A1" w:rsidRPr="005D084F">
        <w:rPr>
          <w:lang w:val="en-GB"/>
        </w:rPr>
        <w:t xml:space="preserve"> </w:t>
      </w:r>
    </w:p>
    <w:p w14:paraId="2BF4216B" w14:textId="77777777" w:rsidR="00DF78FD" w:rsidRDefault="00DF78FD" w:rsidP="008D7093">
      <w:pPr>
        <w:ind w:firstLine="284"/>
        <w:rPr>
          <w:lang w:val="en-GB"/>
        </w:rPr>
      </w:pPr>
    </w:p>
    <w:p w14:paraId="4E690A38" w14:textId="49FDE2D7" w:rsidR="00006ED2" w:rsidRDefault="00DA51C0" w:rsidP="008D7093">
      <w:pPr>
        <w:ind w:firstLine="284"/>
        <w:rPr>
          <w:rFonts w:eastAsia="Times New Roman"/>
        </w:rPr>
      </w:pPr>
      <w:r w:rsidRPr="005D084F">
        <w:rPr>
          <w:lang w:val="en-GB"/>
        </w:rPr>
        <w:t xml:space="preserve">In recent concluding observations, the Human Rights Committee has </w:t>
      </w:r>
      <w:r w:rsidRPr="00D24721">
        <w:rPr>
          <w:lang w:val="en-GB"/>
        </w:rPr>
        <w:t>invited States parties to ensure that their legislation does not</w:t>
      </w:r>
      <w:r w:rsidRPr="00904A38">
        <w:rPr>
          <w:lang w:val="en-GB"/>
        </w:rPr>
        <w:t xml:space="preserve"> discriminate against persons with mental disabilities </w:t>
      </w:r>
      <w:r w:rsidRPr="00F118DC">
        <w:rPr>
          <w:lang w:val="en-GB"/>
        </w:rPr>
        <w:t xml:space="preserve">by denying them the right to vote on bases that are disproportionate or that have no </w:t>
      </w:r>
      <w:r w:rsidRPr="00F118DC">
        <w:rPr>
          <w:lang w:val="en-GB"/>
        </w:rPr>
        <w:lastRenderedPageBreak/>
        <w:t>reasonable or objective relation to their ability to vote.</w:t>
      </w:r>
      <w:r w:rsidRPr="006B753A">
        <w:rPr>
          <w:rStyle w:val="FootnoteReference"/>
          <w:rFonts w:ascii="Times New Roman" w:hAnsi="Times New Roman"/>
          <w:lang w:val="en-GB"/>
        </w:rPr>
        <w:footnoteReference w:id="98"/>
      </w:r>
      <w:r w:rsidRPr="005D084F">
        <w:rPr>
          <w:lang w:val="en-GB"/>
        </w:rPr>
        <w:t xml:space="preserve"> </w:t>
      </w:r>
      <w:r w:rsidR="00D23B4B" w:rsidRPr="005D084F">
        <w:rPr>
          <w:lang w:val="en-GB"/>
        </w:rPr>
        <w:t>For its part, the CRPD</w:t>
      </w:r>
      <w:r w:rsidR="0072140C" w:rsidRPr="00D24721">
        <w:rPr>
          <w:lang w:val="en-GB"/>
        </w:rPr>
        <w:t xml:space="preserve"> goes further</w:t>
      </w:r>
      <w:r w:rsidR="00D32665" w:rsidRPr="00D24721">
        <w:rPr>
          <w:lang w:val="en-GB"/>
        </w:rPr>
        <w:t xml:space="preserve"> and considers that “</w:t>
      </w:r>
      <w:r w:rsidR="00D32665" w:rsidRPr="00D24721">
        <w:rPr>
          <w:rFonts w:eastAsia="Times New Roman"/>
        </w:rPr>
        <w:t xml:space="preserve">Article 29 does not provide for any reasonable restriction or exception for any group of persons with disabilities. Therefore, an exclusion of the right to vote on the basis of a perceived or actual psychosocial or intellectual disability, </w:t>
      </w:r>
      <w:r w:rsidR="00D32665" w:rsidRPr="00D24721">
        <w:rPr>
          <w:rFonts w:eastAsia="Times New Roman"/>
          <w:i/>
        </w:rPr>
        <w:t>including a restriction pursuant to an individualized assessment</w:t>
      </w:r>
      <w:r w:rsidR="00D32665" w:rsidRPr="00904A38">
        <w:rPr>
          <w:rFonts w:eastAsia="Times New Roman"/>
        </w:rPr>
        <w:t>, constitutes discrimination on the basis of disability”.</w:t>
      </w:r>
      <w:r w:rsidR="00D32665" w:rsidRPr="006B753A">
        <w:rPr>
          <w:rStyle w:val="FootnoteReference"/>
          <w:rFonts w:ascii="Times New Roman" w:eastAsia="Times New Roman" w:hAnsi="Times New Roman"/>
        </w:rPr>
        <w:footnoteReference w:id="99"/>
      </w:r>
      <w:r w:rsidR="00D32665" w:rsidRPr="00E05E56">
        <w:rPr>
          <w:rFonts w:eastAsia="Times New Roman"/>
          <w:sz w:val="27"/>
          <w:szCs w:val="27"/>
        </w:rPr>
        <w:t xml:space="preserve"> </w:t>
      </w:r>
      <w:r w:rsidR="002912C8" w:rsidRPr="005D084F">
        <w:rPr>
          <w:rFonts w:eastAsia="Times New Roman"/>
        </w:rPr>
        <w:t>O</w:t>
      </w:r>
      <w:r w:rsidR="008C22CC" w:rsidRPr="005D084F">
        <w:rPr>
          <w:rFonts w:eastAsia="Times New Roman"/>
        </w:rPr>
        <w:t xml:space="preserve">nly a small number of </w:t>
      </w:r>
      <w:r w:rsidR="00D337C7" w:rsidRPr="005D084F">
        <w:rPr>
          <w:rFonts w:eastAsia="Times New Roman"/>
        </w:rPr>
        <w:t xml:space="preserve">the concerned </w:t>
      </w:r>
      <w:r w:rsidR="002C6C21" w:rsidRPr="005D084F">
        <w:rPr>
          <w:rFonts w:eastAsia="Times New Roman"/>
        </w:rPr>
        <w:t>countries</w:t>
      </w:r>
      <w:r w:rsidR="00D337C7" w:rsidRPr="005D084F">
        <w:rPr>
          <w:rFonts w:eastAsia="Times New Roman"/>
        </w:rPr>
        <w:t xml:space="preserve"> </w:t>
      </w:r>
      <w:r w:rsidR="008C22CC" w:rsidRPr="00D24721">
        <w:rPr>
          <w:rFonts w:eastAsia="Times New Roman"/>
        </w:rPr>
        <w:t>have lifted all restrictions on the political participation of persons with psychosocial or intellectual disabilities</w:t>
      </w:r>
      <w:r w:rsidR="001341A4" w:rsidRPr="00D24721">
        <w:rPr>
          <w:rFonts w:eastAsia="Times New Roman"/>
        </w:rPr>
        <w:t xml:space="preserve">, </w:t>
      </w:r>
      <w:r w:rsidR="006839AD" w:rsidRPr="00904A38">
        <w:rPr>
          <w:rFonts w:eastAsia="Times New Roman"/>
        </w:rPr>
        <w:t>i.e.</w:t>
      </w:r>
      <w:r w:rsidR="008C22CC" w:rsidRPr="00904A38">
        <w:rPr>
          <w:rFonts w:eastAsia="Times New Roman"/>
        </w:rPr>
        <w:t xml:space="preserve"> Austria,</w:t>
      </w:r>
      <w:r w:rsidR="00D337C7" w:rsidRPr="00972980">
        <w:rPr>
          <w:rFonts w:eastAsia="Times New Roman"/>
        </w:rPr>
        <w:t xml:space="preserve"> </w:t>
      </w:r>
      <w:r w:rsidR="006D081A" w:rsidRPr="00972980">
        <w:rPr>
          <w:rFonts w:eastAsia="Times New Roman"/>
        </w:rPr>
        <w:t xml:space="preserve">Italy, the Netherlands, Sweden </w:t>
      </w:r>
      <w:r w:rsidR="002C6C21" w:rsidRPr="00972980">
        <w:rPr>
          <w:rFonts w:eastAsia="Times New Roman"/>
        </w:rPr>
        <w:t xml:space="preserve">and </w:t>
      </w:r>
      <w:r w:rsidR="00D53873" w:rsidRPr="00972980">
        <w:rPr>
          <w:rFonts w:eastAsia="Times New Roman"/>
        </w:rPr>
        <w:t>the United Kingdom.</w:t>
      </w:r>
      <w:r w:rsidR="00646A51" w:rsidRPr="006B753A">
        <w:rPr>
          <w:rStyle w:val="FootnoteReference"/>
          <w:rFonts w:ascii="Times New Roman" w:eastAsia="Times New Roman" w:hAnsi="Times New Roman"/>
        </w:rPr>
        <w:footnoteReference w:id="100"/>
      </w:r>
      <w:r w:rsidR="00646A51" w:rsidRPr="005D084F">
        <w:rPr>
          <w:rFonts w:eastAsia="Times New Roman"/>
        </w:rPr>
        <w:t xml:space="preserve"> </w:t>
      </w:r>
    </w:p>
    <w:p w14:paraId="2EB9D432" w14:textId="77777777" w:rsidR="00AF57E3" w:rsidRPr="005D084F" w:rsidRDefault="00AF57E3" w:rsidP="008D7093">
      <w:pPr>
        <w:ind w:firstLine="284"/>
        <w:rPr>
          <w:rFonts w:eastAsia="Times New Roman"/>
        </w:rPr>
      </w:pPr>
    </w:p>
    <w:p w14:paraId="2A0E5171" w14:textId="50EA36B2" w:rsidR="00E04D50" w:rsidRDefault="001069D9" w:rsidP="008D7093">
      <w:pPr>
        <w:ind w:firstLine="284"/>
        <w:rPr>
          <w:rFonts w:eastAsia="Times New Roman"/>
        </w:rPr>
      </w:pPr>
      <w:r w:rsidRPr="00D24721">
        <w:rPr>
          <w:lang w:val="en-GB"/>
        </w:rPr>
        <w:t>A</w:t>
      </w:r>
      <w:r w:rsidR="008A3EBA" w:rsidRPr="00D24721">
        <w:rPr>
          <w:lang w:val="en-GB"/>
        </w:rPr>
        <w:t>ccording to the Human Rights Committee General Comment No. 25, physical disability may never be a legitimate ground for restricting the right to vote. However</w:t>
      </w:r>
      <w:r w:rsidR="00286550" w:rsidRPr="00904A38">
        <w:rPr>
          <w:lang w:val="en-GB"/>
        </w:rPr>
        <w:t>,</w:t>
      </w:r>
      <w:r w:rsidR="008A3EBA" w:rsidRPr="00904A38">
        <w:rPr>
          <w:lang w:val="en-GB"/>
        </w:rPr>
        <w:t xml:space="preserve"> </w:t>
      </w:r>
      <w:r w:rsidR="00F153C7" w:rsidRPr="00972980">
        <w:rPr>
          <w:lang w:val="en-GB"/>
        </w:rPr>
        <w:t>a</w:t>
      </w:r>
      <w:r w:rsidR="00461B7A" w:rsidRPr="00972980">
        <w:rPr>
          <w:lang w:val="en-GB"/>
        </w:rPr>
        <w:t xml:space="preserve">ccessibility </w:t>
      </w:r>
      <w:r w:rsidR="00F153C7" w:rsidRPr="00F118DC">
        <w:rPr>
          <w:lang w:val="en-GB"/>
        </w:rPr>
        <w:t>represent</w:t>
      </w:r>
      <w:r w:rsidR="00A7127D" w:rsidRPr="00F118DC">
        <w:rPr>
          <w:lang w:val="en-GB"/>
        </w:rPr>
        <w:t>s</w:t>
      </w:r>
      <w:r w:rsidR="00F153C7" w:rsidRPr="00F118DC">
        <w:rPr>
          <w:lang w:val="en-GB"/>
        </w:rPr>
        <w:t xml:space="preserve"> the main issue</w:t>
      </w:r>
      <w:r w:rsidR="006F5694" w:rsidRPr="00F118DC">
        <w:rPr>
          <w:lang w:val="en-GB"/>
        </w:rPr>
        <w:t xml:space="preserve"> as physical access to the polling stations is not always guaranteed. In some other cases, </w:t>
      </w:r>
      <w:r w:rsidR="006F5694" w:rsidRPr="00F118DC">
        <w:rPr>
          <w:rFonts w:eastAsia="Times New Roman"/>
        </w:rPr>
        <w:t>persons who are blind or visually impaired are obliged to vote verbally in front of a group of people</w:t>
      </w:r>
      <w:r w:rsidR="006F5694" w:rsidRPr="00F118DC">
        <w:rPr>
          <w:lang w:val="en-GB"/>
        </w:rPr>
        <w:t xml:space="preserve"> thereby undermining their right to vote by secret ballot.</w:t>
      </w:r>
      <w:r w:rsidR="006F5694" w:rsidRPr="006B753A">
        <w:rPr>
          <w:rStyle w:val="FootnoteReference"/>
          <w:rFonts w:ascii="Times New Roman" w:hAnsi="Times New Roman"/>
          <w:lang w:val="en-GB"/>
        </w:rPr>
        <w:footnoteReference w:id="101"/>
      </w:r>
      <w:r w:rsidR="004A0E45" w:rsidRPr="005D084F">
        <w:rPr>
          <w:lang w:val="en-GB"/>
        </w:rPr>
        <w:t xml:space="preserve"> The CRDP recommends that </w:t>
      </w:r>
      <w:r w:rsidR="004A0E45" w:rsidRPr="00D24721">
        <w:rPr>
          <w:rFonts w:eastAsia="Times New Roman"/>
        </w:rPr>
        <w:t xml:space="preserve">accessibility and reasonable accommodation for persons with disabilities be ensured at all stages of the electoral cycle </w:t>
      </w:r>
      <w:r w:rsidR="00AF57E3">
        <w:rPr>
          <w:rFonts w:eastAsia="Times New Roman"/>
        </w:rPr>
        <w:t>in order to facilitate</w:t>
      </w:r>
      <w:r w:rsidR="004A0E45" w:rsidRPr="00D24721">
        <w:rPr>
          <w:rFonts w:eastAsia="Times New Roman"/>
        </w:rPr>
        <w:t xml:space="preserve"> the exercise of the right to vote in private </w:t>
      </w:r>
      <w:r w:rsidR="00AF57E3">
        <w:rPr>
          <w:rFonts w:eastAsia="Times New Roman"/>
        </w:rPr>
        <w:t>or</w:t>
      </w:r>
      <w:r w:rsidR="00AF57E3" w:rsidRPr="00D24721">
        <w:rPr>
          <w:rFonts w:eastAsia="Times New Roman"/>
        </w:rPr>
        <w:t xml:space="preserve"> </w:t>
      </w:r>
      <w:r w:rsidR="004A0E45" w:rsidRPr="00D24721">
        <w:rPr>
          <w:rFonts w:eastAsia="Times New Roman"/>
        </w:rPr>
        <w:t>to be assisted by an assistant of one’s own choice.</w:t>
      </w:r>
      <w:r w:rsidR="004A0E45" w:rsidRPr="006B753A">
        <w:rPr>
          <w:rStyle w:val="FootnoteReference"/>
          <w:rFonts w:ascii="Times New Roman" w:eastAsia="Times New Roman" w:hAnsi="Times New Roman"/>
        </w:rPr>
        <w:footnoteReference w:id="102"/>
      </w:r>
    </w:p>
    <w:p w14:paraId="1767B095" w14:textId="77777777" w:rsidR="00D66546" w:rsidRPr="005D084F" w:rsidRDefault="00D66546" w:rsidP="008D7093">
      <w:pPr>
        <w:ind w:firstLine="284"/>
        <w:rPr>
          <w:lang w:val="en-GB"/>
        </w:rPr>
      </w:pPr>
    </w:p>
    <w:p w14:paraId="02571646" w14:textId="77777777" w:rsidR="00FC14A8" w:rsidRDefault="000309AB" w:rsidP="008D7093">
      <w:pPr>
        <w:ind w:firstLine="284"/>
      </w:pPr>
      <w:r w:rsidRPr="00D24721">
        <w:t>T</w:t>
      </w:r>
      <w:r w:rsidR="00C5538E" w:rsidRPr="00D24721">
        <w:t>he Committee of Ministers</w:t>
      </w:r>
      <w:r w:rsidRPr="00904A38">
        <w:t xml:space="preserve"> of the Council of Europe </w:t>
      </w:r>
      <w:r w:rsidR="00892A5D" w:rsidRPr="00904A38">
        <w:t>has encouraged</w:t>
      </w:r>
      <w:r w:rsidR="00C5538E" w:rsidRPr="00972980">
        <w:t xml:space="preserve"> governments to continue their efforts in this field by adopting appropriate legislation, developing support services so that persons with</w:t>
      </w:r>
      <w:r w:rsidR="00C5538E" w:rsidRPr="00F118DC">
        <w:t xml:space="preserve"> disabilities can participate in political life as citizens holding equal political rights and obligations</w:t>
      </w:r>
      <w:r w:rsidRPr="00F118DC">
        <w:t>.</w:t>
      </w:r>
      <w:r w:rsidRPr="006B753A">
        <w:rPr>
          <w:rStyle w:val="FootnoteReference"/>
          <w:rFonts w:ascii="Times New Roman" w:hAnsi="Times New Roman"/>
        </w:rPr>
        <w:footnoteReference w:id="103"/>
      </w:r>
      <w:r w:rsidR="00F14D87" w:rsidRPr="005D084F">
        <w:t xml:space="preserve"> </w:t>
      </w:r>
    </w:p>
    <w:p w14:paraId="61FE3413" w14:textId="77777777" w:rsidR="00AF57E3" w:rsidRPr="00DF78FD" w:rsidRDefault="00AF57E3" w:rsidP="008D7093">
      <w:pPr>
        <w:ind w:firstLine="284"/>
      </w:pPr>
    </w:p>
    <w:p w14:paraId="705F300B" w14:textId="2D6788C7" w:rsidR="00D66546" w:rsidRPr="00DF78FD" w:rsidRDefault="00EC5D5E"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 xml:space="preserve">A wide range of good examples derive from the legislation and practice in various countries covered by the study. These good practices relate to </w:t>
      </w:r>
      <w:r w:rsidR="00A7127D" w:rsidRPr="00DF78FD">
        <w:rPr>
          <w:rFonts w:ascii="Times New Roman" w:hAnsi="Times New Roman" w:cs="Times New Roman"/>
          <w:lang w:val="en-GB"/>
        </w:rPr>
        <w:t xml:space="preserve">the </w:t>
      </w:r>
      <w:r w:rsidR="00833722" w:rsidRPr="00DF78FD">
        <w:rPr>
          <w:rFonts w:ascii="Times New Roman" w:hAnsi="Times New Roman" w:cs="Times New Roman"/>
        </w:rPr>
        <w:t xml:space="preserve">participation to the </w:t>
      </w:r>
      <w:r w:rsidR="00A82DAF" w:rsidRPr="00DF78FD">
        <w:rPr>
          <w:rFonts w:ascii="Times New Roman" w:hAnsi="Times New Roman" w:cs="Times New Roman"/>
        </w:rPr>
        <w:t>drafting</w:t>
      </w:r>
      <w:r w:rsidR="00833722" w:rsidRPr="00DF78FD">
        <w:rPr>
          <w:rFonts w:ascii="Times New Roman" w:hAnsi="Times New Roman" w:cs="Times New Roman"/>
        </w:rPr>
        <w:t xml:space="preserve"> of new legislation, physical accessibility to polling stations, </w:t>
      </w:r>
      <w:r w:rsidR="00144AFB" w:rsidRPr="00DF78FD">
        <w:rPr>
          <w:rFonts w:ascii="Times New Roman" w:hAnsi="Times New Roman" w:cs="Times New Roman"/>
        </w:rPr>
        <w:t xml:space="preserve">the </w:t>
      </w:r>
      <w:r w:rsidR="00833722" w:rsidRPr="00DF78FD">
        <w:rPr>
          <w:rFonts w:ascii="Times New Roman" w:hAnsi="Times New Roman" w:cs="Times New Roman"/>
        </w:rPr>
        <w:t>provision of information in accessible format</w:t>
      </w:r>
      <w:r w:rsidR="00EC56A2" w:rsidRPr="00DF78FD">
        <w:rPr>
          <w:rFonts w:ascii="Times New Roman" w:hAnsi="Times New Roman" w:cs="Times New Roman"/>
        </w:rPr>
        <w:t>s,</w:t>
      </w:r>
      <w:r w:rsidR="00144AFB" w:rsidRPr="00DF78FD">
        <w:rPr>
          <w:rFonts w:ascii="Times New Roman" w:hAnsi="Times New Roman" w:cs="Times New Roman"/>
        </w:rPr>
        <w:t xml:space="preserve"> the</w:t>
      </w:r>
      <w:r w:rsidR="00EC56A2" w:rsidRPr="00DF78FD">
        <w:rPr>
          <w:rFonts w:ascii="Times New Roman" w:hAnsi="Times New Roman" w:cs="Times New Roman"/>
        </w:rPr>
        <w:t xml:space="preserve"> promotion and use of new tech</w:t>
      </w:r>
      <w:r w:rsidR="00B71E52" w:rsidRPr="00DF78FD">
        <w:rPr>
          <w:rFonts w:ascii="Times New Roman" w:hAnsi="Times New Roman" w:cs="Times New Roman"/>
        </w:rPr>
        <w:t>nologies.</w:t>
      </w:r>
      <w:r w:rsidR="001644E7" w:rsidRPr="00DF78FD">
        <w:rPr>
          <w:rFonts w:ascii="Times New Roman" w:hAnsi="Times New Roman" w:cs="Times New Roman"/>
        </w:rPr>
        <w:t xml:space="preserve"> Good practices </w:t>
      </w:r>
      <w:r w:rsidR="008971A4" w:rsidRPr="00DF78FD">
        <w:rPr>
          <w:rFonts w:ascii="Times New Roman" w:hAnsi="Times New Roman" w:cs="Times New Roman"/>
        </w:rPr>
        <w:t>include:</w:t>
      </w:r>
      <w:r w:rsidR="00722D31" w:rsidRPr="00DF78FD">
        <w:rPr>
          <w:rStyle w:val="FootnoteReference"/>
          <w:rFonts w:ascii="Times New Roman" w:eastAsia="Times New Roman" w:hAnsi="Times New Roman" w:cs="Times New Roman"/>
        </w:rPr>
        <w:footnoteReference w:id="104"/>
      </w:r>
      <w:r w:rsidR="00D66546" w:rsidRPr="00DF78FD">
        <w:rPr>
          <w:rFonts w:ascii="Times New Roman" w:hAnsi="Times New Roman" w:cs="Times New Roman"/>
        </w:rPr>
        <w:t>Consultation and collaboration between the government and organizations to formulate new legislation (Spain, Sweden);</w:t>
      </w:r>
    </w:p>
    <w:p w14:paraId="0EC31334" w14:textId="77777777" w:rsidR="00D66546" w:rsidRPr="00DF78FD"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Collection of data on the political participation of persons with disabilities (Germany</w:t>
      </w:r>
      <w:r w:rsidRPr="00DF78FD">
        <w:rPr>
          <w:rStyle w:val="FootnoteReference"/>
          <w:rFonts w:ascii="Times New Roman" w:hAnsi="Times New Roman" w:cs="Times New Roman"/>
        </w:rPr>
        <w:footnoteReference w:id="105"/>
      </w:r>
      <w:r w:rsidRPr="00DF78FD">
        <w:rPr>
          <w:rFonts w:ascii="Times New Roman" w:hAnsi="Times New Roman" w:cs="Times New Roman"/>
        </w:rPr>
        <w:t>);</w:t>
      </w:r>
    </w:p>
    <w:p w14:paraId="6CC47972" w14:textId="77777777" w:rsidR="00D66546" w:rsidRPr="00DF78FD"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lastRenderedPageBreak/>
        <w:t>Surveying the accessibility of polling stations (Denmark, UK</w:t>
      </w:r>
      <w:r w:rsidRPr="00DF78FD">
        <w:rPr>
          <w:rStyle w:val="FootnoteReference"/>
          <w:rFonts w:ascii="Times New Roman" w:hAnsi="Times New Roman" w:cs="Times New Roman"/>
        </w:rPr>
        <w:footnoteReference w:id="106"/>
      </w:r>
      <w:r w:rsidRPr="00DF78FD">
        <w:rPr>
          <w:rFonts w:ascii="Times New Roman" w:hAnsi="Times New Roman" w:cs="Times New Roman"/>
        </w:rPr>
        <w:t>);</w:t>
      </w:r>
    </w:p>
    <w:p w14:paraId="4873F629" w14:textId="77777777" w:rsidR="00D66546" w:rsidRPr="00DF78FD"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Introduction of polling booths in institutions which helped especially those who are too frail to travel (Finland, Malta) and in accessible buildings (Portugal), transportation to polling stations (Finland), assisting person available in polling stations (Germany</w:t>
      </w:r>
      <w:r w:rsidRPr="00DF78FD">
        <w:rPr>
          <w:rStyle w:val="FootnoteReference"/>
          <w:rFonts w:ascii="Times New Roman" w:hAnsi="Times New Roman" w:cs="Times New Roman"/>
        </w:rPr>
        <w:footnoteReference w:id="107"/>
      </w:r>
      <w:r w:rsidRPr="00DF78FD">
        <w:rPr>
          <w:rFonts w:ascii="Times New Roman" w:hAnsi="Times New Roman" w:cs="Times New Roman"/>
        </w:rPr>
        <w:t>);</w:t>
      </w:r>
    </w:p>
    <w:p w14:paraId="23B76487" w14:textId="77777777" w:rsidR="00D66546" w:rsidRPr="00DF78FD"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 xml:space="preserve">Alternatives to voting at polling stations: mobile polling booths in non-accessible polling stations so voters can vote in their </w:t>
      </w:r>
      <w:proofErr w:type="spellStart"/>
      <w:r w:rsidRPr="00DF78FD">
        <w:rPr>
          <w:rFonts w:ascii="Times New Roman" w:hAnsi="Times New Roman" w:cs="Times New Roman"/>
        </w:rPr>
        <w:t>neighbourhood</w:t>
      </w:r>
      <w:proofErr w:type="spellEnd"/>
      <w:r w:rsidRPr="00DF78FD">
        <w:rPr>
          <w:rFonts w:ascii="Times New Roman" w:hAnsi="Times New Roman" w:cs="Times New Roman"/>
        </w:rPr>
        <w:t xml:space="preserve"> (Germany), postal voting (Italy for voters living abroad, Germany, Liechtenstein, Spain for disabled people amongst others, Switzerland, UK), e-voting;</w:t>
      </w:r>
      <w:r w:rsidRPr="00DF78FD">
        <w:rPr>
          <w:rStyle w:val="FootnoteReference"/>
          <w:rFonts w:ascii="Times New Roman" w:hAnsi="Times New Roman" w:cs="Times New Roman"/>
        </w:rPr>
        <w:footnoteReference w:id="108"/>
      </w:r>
    </w:p>
    <w:p w14:paraId="4D985C85" w14:textId="77777777" w:rsidR="00D66546" w:rsidRPr="00DF78FD"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Systems for ensuring confidentiality of the vote (Sweden</w:t>
      </w:r>
      <w:r w:rsidRPr="00DF78FD">
        <w:rPr>
          <w:rStyle w:val="FootnoteReference"/>
          <w:rFonts w:ascii="Times New Roman" w:hAnsi="Times New Roman" w:cs="Times New Roman"/>
        </w:rPr>
        <w:footnoteReference w:id="109"/>
      </w:r>
      <w:r w:rsidRPr="00DF78FD">
        <w:rPr>
          <w:rFonts w:ascii="Times New Roman" w:hAnsi="Times New Roman" w:cs="Times New Roman"/>
        </w:rPr>
        <w:t>);</w:t>
      </w:r>
    </w:p>
    <w:p w14:paraId="69222D1C" w14:textId="77777777" w:rsidR="00D66546" w:rsidRPr="00E05E56" w:rsidRDefault="00D66546" w:rsidP="00D66546">
      <w:pPr>
        <w:pStyle w:val="ListParagraph"/>
        <w:numPr>
          <w:ilvl w:val="0"/>
          <w:numId w:val="7"/>
        </w:numPr>
        <w:ind w:firstLine="284"/>
        <w:rPr>
          <w:rFonts w:ascii="Times New Roman" w:hAnsi="Times New Roman" w:cs="Times New Roman"/>
        </w:rPr>
      </w:pPr>
      <w:r w:rsidRPr="00DF78FD">
        <w:rPr>
          <w:rFonts w:ascii="Times New Roman" w:hAnsi="Times New Roman" w:cs="Times New Roman"/>
        </w:rPr>
        <w:t>Use of sign language interpretation</w:t>
      </w:r>
      <w:r w:rsidRPr="00E05E56">
        <w:rPr>
          <w:rFonts w:ascii="Times New Roman" w:hAnsi="Times New Roman" w:cs="Times New Roman"/>
        </w:rPr>
        <w:t xml:space="preserve"> during election campaigns (France), text on major TV channels for political communication (France, Norway), elections information available in Braille and audio form (Finland);</w:t>
      </w:r>
      <w:r w:rsidRPr="00E05E56">
        <w:rPr>
          <w:rStyle w:val="FootnoteReference"/>
          <w:rFonts w:ascii="Times New Roman" w:hAnsi="Times New Roman" w:cs="Times New Roman"/>
        </w:rPr>
        <w:footnoteReference w:id="110"/>
      </w:r>
    </w:p>
    <w:p w14:paraId="5F29805C" w14:textId="77777777" w:rsidR="00D66546" w:rsidRPr="00E05E56" w:rsidRDefault="00D66546" w:rsidP="00D66546">
      <w:pPr>
        <w:pStyle w:val="ListParagraph"/>
        <w:numPr>
          <w:ilvl w:val="0"/>
          <w:numId w:val="7"/>
        </w:numPr>
        <w:ind w:firstLine="284"/>
        <w:rPr>
          <w:rFonts w:ascii="Times New Roman" w:hAnsi="Times New Roman" w:cs="Times New Roman"/>
        </w:rPr>
      </w:pPr>
      <w:r w:rsidRPr="00E05E56">
        <w:rPr>
          <w:rFonts w:ascii="Times New Roman" w:hAnsi="Times New Roman" w:cs="Times New Roman"/>
        </w:rPr>
        <w:t xml:space="preserve">Project </w:t>
      </w:r>
      <w:r w:rsidRPr="00E05E56">
        <w:rPr>
          <w:rStyle w:val="testo1"/>
          <w:rFonts w:ascii="Times New Roman" w:hAnsi="Times New Roman" w:cs="Times New Roman"/>
        </w:rPr>
        <w:t>to empower people with learning disabilities through active citizenship and participation in political elections</w:t>
      </w:r>
      <w:r w:rsidRPr="00E05E56">
        <w:rPr>
          <w:rFonts w:ascii="Times New Roman" w:hAnsi="Times New Roman" w:cs="Times New Roman"/>
        </w:rPr>
        <w:t xml:space="preserve"> (“My opinion my vote” in Denmark, Italy, Ireland, Malta, Spain</w:t>
      </w:r>
      <w:r w:rsidRPr="00E05E56">
        <w:rPr>
          <w:rStyle w:val="FootnoteReference"/>
          <w:rFonts w:ascii="Times New Roman" w:hAnsi="Times New Roman" w:cs="Times New Roman"/>
        </w:rPr>
        <w:footnoteReference w:id="111"/>
      </w:r>
      <w:r w:rsidRPr="00E05E56">
        <w:rPr>
          <w:rFonts w:ascii="Times New Roman" w:hAnsi="Times New Roman" w:cs="Times New Roman"/>
        </w:rPr>
        <w:t>), training on political processes with interactive debates between self-advocates and politicians (Netherlands), use of website platforms and social media to influence political debates on the right of persons with disabilities (Netherlands), websites providing political information in an accessible way (Austria)</w:t>
      </w:r>
      <w:r w:rsidRPr="00E05E56">
        <w:rPr>
          <w:rStyle w:val="FootnoteReference"/>
          <w:rFonts w:ascii="Times New Roman" w:hAnsi="Times New Roman" w:cs="Times New Roman"/>
        </w:rPr>
        <w:footnoteReference w:id="112"/>
      </w:r>
      <w:r w:rsidRPr="00E05E56">
        <w:rPr>
          <w:rFonts w:ascii="Times New Roman" w:hAnsi="Times New Roman" w:cs="Times New Roman"/>
        </w:rPr>
        <w:t>, use of e-learning to support getting people with disabilities closer to political office (UK</w:t>
      </w:r>
      <w:r w:rsidRPr="00E05E56">
        <w:rPr>
          <w:rStyle w:val="FootnoteReference"/>
          <w:rFonts w:ascii="Times New Roman" w:hAnsi="Times New Roman" w:cs="Times New Roman"/>
        </w:rPr>
        <w:footnoteReference w:id="113"/>
      </w:r>
      <w:r w:rsidRPr="00E05E56">
        <w:rPr>
          <w:rFonts w:ascii="Times New Roman" w:hAnsi="Times New Roman" w:cs="Times New Roman"/>
        </w:rPr>
        <w:t>);</w:t>
      </w:r>
    </w:p>
    <w:p w14:paraId="562E268F" w14:textId="77777777" w:rsidR="00D66546" w:rsidRPr="00E05E56" w:rsidRDefault="00D66546" w:rsidP="00D66546">
      <w:pPr>
        <w:pStyle w:val="ListParagraph"/>
        <w:numPr>
          <w:ilvl w:val="0"/>
          <w:numId w:val="7"/>
        </w:numPr>
        <w:ind w:firstLine="284"/>
        <w:rPr>
          <w:rFonts w:ascii="Times New Roman" w:hAnsi="Times New Roman" w:cs="Times New Roman"/>
        </w:rPr>
      </w:pPr>
      <w:r w:rsidRPr="00E05E56">
        <w:rPr>
          <w:rFonts w:ascii="Times New Roman" w:hAnsi="Times New Roman" w:cs="Times New Roman"/>
        </w:rPr>
        <w:t>Provision of adequate support to office holders with disabilities (Italy).</w:t>
      </w:r>
      <w:r w:rsidRPr="00E05E56">
        <w:rPr>
          <w:rStyle w:val="FootnoteReference"/>
          <w:rFonts w:ascii="Times New Roman" w:hAnsi="Times New Roman" w:cs="Times New Roman"/>
        </w:rPr>
        <w:footnoteReference w:id="114"/>
      </w:r>
    </w:p>
    <w:p w14:paraId="2F1B4A7D" w14:textId="77777777" w:rsidR="00AF57E3" w:rsidRPr="00AF57E3" w:rsidRDefault="00AF57E3" w:rsidP="00E05E56">
      <w:pPr>
        <w:ind w:firstLine="284"/>
      </w:pPr>
    </w:p>
    <w:p w14:paraId="45057C7F" w14:textId="77777777" w:rsidR="00B4287C" w:rsidRPr="00E05E56" w:rsidRDefault="00603FDF" w:rsidP="008D7093">
      <w:pPr>
        <w:pStyle w:val="Heading2"/>
        <w:rPr>
          <w:rFonts w:ascii="Times New Roman" w:hAnsi="Times New Roman"/>
          <w:color w:val="auto"/>
          <w:lang w:val="en-GB"/>
        </w:rPr>
      </w:pPr>
      <w:bookmarkStart w:id="9" w:name="_Toc509931727"/>
      <w:r w:rsidRPr="00E05E56">
        <w:rPr>
          <w:rFonts w:ascii="Times New Roman" w:hAnsi="Times New Roman"/>
          <w:color w:val="auto"/>
          <w:lang w:val="en-GB"/>
        </w:rPr>
        <w:t>E</w:t>
      </w:r>
      <w:r w:rsidR="008D7093" w:rsidRPr="00E05E56">
        <w:rPr>
          <w:rFonts w:ascii="Times New Roman" w:hAnsi="Times New Roman"/>
          <w:color w:val="auto"/>
          <w:lang w:val="en-GB"/>
        </w:rPr>
        <w:t xml:space="preserve">. </w:t>
      </w:r>
      <w:r w:rsidR="00B4287C" w:rsidRPr="00E05E56">
        <w:rPr>
          <w:rFonts w:ascii="Times New Roman" w:hAnsi="Times New Roman"/>
          <w:color w:val="auto"/>
          <w:lang w:val="en-GB"/>
        </w:rPr>
        <w:t>Prisoners</w:t>
      </w:r>
      <w:bookmarkEnd w:id="9"/>
    </w:p>
    <w:p w14:paraId="7E85DADE" w14:textId="77777777" w:rsidR="00C93A5E" w:rsidRDefault="00473A5B" w:rsidP="00954CEC">
      <w:pPr>
        <w:ind w:firstLine="284"/>
        <w:rPr>
          <w:rFonts w:eastAsia="Times New Roman"/>
          <w:shd w:val="clear" w:color="auto" w:fill="FFFFFF"/>
        </w:rPr>
      </w:pPr>
      <w:r w:rsidRPr="005D084F">
        <w:rPr>
          <w:rFonts w:eastAsia="Times New Roman"/>
        </w:rPr>
        <w:t>Countries having no restrictions on prisoners</w:t>
      </w:r>
      <w:r w:rsidR="00EA425A" w:rsidRPr="005D084F">
        <w:rPr>
          <w:rFonts w:eastAsia="Times New Roman"/>
        </w:rPr>
        <w:t>’ right to vote</w:t>
      </w:r>
      <w:r w:rsidRPr="005D084F">
        <w:rPr>
          <w:rFonts w:eastAsia="Times New Roman"/>
        </w:rPr>
        <w:t xml:space="preserve"> </w:t>
      </w:r>
      <w:r w:rsidR="00F61DD3" w:rsidRPr="005D084F">
        <w:rPr>
          <w:rFonts w:eastAsia="Times New Roman"/>
        </w:rPr>
        <w:t xml:space="preserve">pursuant to </w:t>
      </w:r>
      <w:r w:rsidR="00524BEB" w:rsidRPr="00D24721">
        <w:rPr>
          <w:rFonts w:eastAsia="Times New Roman"/>
        </w:rPr>
        <w:t xml:space="preserve">sentences of imprisonment </w:t>
      </w:r>
      <w:r w:rsidRPr="00D24721">
        <w:rPr>
          <w:rFonts w:eastAsia="Times New Roman"/>
        </w:rPr>
        <w:t>include Denmark, Ireland, Finland, Spain, Sweden, and Switzerland. Countries with partial restrictions include Austria, Belgium, France, Germany, Greece, Italy, Luxembourg, Malta, The Nethe</w:t>
      </w:r>
      <w:r w:rsidRPr="00904A38">
        <w:rPr>
          <w:rFonts w:eastAsia="Times New Roman"/>
        </w:rPr>
        <w:t>rlands and Portugal.</w:t>
      </w:r>
      <w:r w:rsidR="00610695" w:rsidRPr="00904A38">
        <w:rPr>
          <w:rFonts w:eastAsia="Times New Roman"/>
          <w:shd w:val="clear" w:color="auto" w:fill="FFFFFF"/>
        </w:rPr>
        <w:t xml:space="preserve"> The United Kingdom is the only W</w:t>
      </w:r>
      <w:r w:rsidR="00171797" w:rsidRPr="00972980">
        <w:rPr>
          <w:rFonts w:eastAsia="Times New Roman"/>
          <w:shd w:val="clear" w:color="auto" w:fill="FFFFFF"/>
        </w:rPr>
        <w:t>estern European country providing for</w:t>
      </w:r>
      <w:r w:rsidR="00610695" w:rsidRPr="00972980">
        <w:rPr>
          <w:rFonts w:eastAsia="Times New Roman"/>
          <w:shd w:val="clear" w:color="auto" w:fill="FFFFFF"/>
        </w:rPr>
        <w:t xml:space="preserve"> a blanket ban on prisoner voting.</w:t>
      </w:r>
      <w:r w:rsidR="00610695" w:rsidRPr="006B753A">
        <w:rPr>
          <w:rStyle w:val="FootnoteReference"/>
          <w:rFonts w:ascii="Times New Roman" w:eastAsia="Times New Roman" w:hAnsi="Times New Roman"/>
          <w:shd w:val="clear" w:color="auto" w:fill="FFFFFF"/>
        </w:rPr>
        <w:footnoteReference w:id="115"/>
      </w:r>
    </w:p>
    <w:p w14:paraId="25107E1F" w14:textId="45C4CBFB" w:rsidR="00FE4059" w:rsidRDefault="004039A0" w:rsidP="00954CEC">
      <w:pPr>
        <w:ind w:firstLine="284"/>
        <w:rPr>
          <w:rFonts w:eastAsia="Times New Roman"/>
          <w:shd w:val="clear" w:color="auto" w:fill="FFFFFF"/>
        </w:rPr>
      </w:pPr>
      <w:r w:rsidRPr="005D084F">
        <w:rPr>
          <w:rFonts w:eastAsia="Times New Roman"/>
          <w:shd w:val="clear" w:color="auto" w:fill="FFFFFF"/>
        </w:rPr>
        <w:lastRenderedPageBreak/>
        <w:t xml:space="preserve">Both the </w:t>
      </w:r>
      <w:proofErr w:type="spellStart"/>
      <w:r w:rsidRPr="005D084F">
        <w:rPr>
          <w:rFonts w:eastAsia="Times New Roman"/>
          <w:shd w:val="clear" w:color="auto" w:fill="FFFFFF"/>
        </w:rPr>
        <w:t>ECtHR</w:t>
      </w:r>
      <w:proofErr w:type="spellEnd"/>
      <w:r w:rsidR="008F4C0B" w:rsidRPr="00D24721">
        <w:rPr>
          <w:rStyle w:val="FootnoteReference"/>
          <w:rFonts w:ascii="Times New Roman" w:eastAsia="Times New Roman" w:hAnsi="Times New Roman"/>
          <w:shd w:val="clear" w:color="auto" w:fill="FFFFFF"/>
        </w:rPr>
        <w:footnoteReference w:id="116"/>
      </w:r>
      <w:r w:rsidRPr="005D084F">
        <w:rPr>
          <w:rFonts w:eastAsia="Times New Roman"/>
          <w:shd w:val="clear" w:color="auto" w:fill="FFFFFF"/>
        </w:rPr>
        <w:t xml:space="preserve"> and the CJEU</w:t>
      </w:r>
      <w:r w:rsidR="000C28EF" w:rsidRPr="005D084F">
        <w:rPr>
          <w:rStyle w:val="FootnoteReference"/>
          <w:rFonts w:ascii="Times New Roman" w:eastAsia="Times New Roman" w:hAnsi="Times New Roman"/>
          <w:shd w:val="clear" w:color="auto" w:fill="FFFFFF"/>
        </w:rPr>
        <w:footnoteReference w:id="117"/>
      </w:r>
      <w:r w:rsidRPr="005D084F">
        <w:rPr>
          <w:rFonts w:eastAsia="Times New Roman"/>
          <w:shd w:val="clear" w:color="auto" w:fill="FFFFFF"/>
        </w:rPr>
        <w:t xml:space="preserve"> have ruled that a ban on prisoner’s voting rights was lawful under certain circumstances and apply the proportionality test. The main issue with the UK blanket ban is </w:t>
      </w:r>
      <w:r w:rsidR="00AF57E3">
        <w:rPr>
          <w:rFonts w:eastAsia="Times New Roman"/>
          <w:shd w:val="clear" w:color="auto" w:fill="FFFFFF"/>
        </w:rPr>
        <w:t>its</w:t>
      </w:r>
      <w:r w:rsidR="00AF57E3" w:rsidRPr="005D084F">
        <w:rPr>
          <w:rFonts w:eastAsia="Times New Roman"/>
          <w:shd w:val="clear" w:color="auto" w:fill="FFFFFF"/>
        </w:rPr>
        <w:t xml:space="preserve"> </w:t>
      </w:r>
      <w:r w:rsidRPr="005D084F">
        <w:rPr>
          <w:rFonts w:eastAsia="Times New Roman"/>
          <w:shd w:val="clear" w:color="auto" w:fill="FFFFFF"/>
        </w:rPr>
        <w:t xml:space="preserve">automatic nature that does not take into account the </w:t>
      </w:r>
      <w:r w:rsidR="00EA7259" w:rsidRPr="00D24721">
        <w:rPr>
          <w:rFonts w:eastAsia="Times New Roman"/>
          <w:shd w:val="clear" w:color="auto" w:fill="FFFFFF"/>
        </w:rPr>
        <w:t xml:space="preserve">nature and gravity of the criminal offence or the length of the sentence. </w:t>
      </w:r>
    </w:p>
    <w:p w14:paraId="04C32DBA" w14:textId="77777777" w:rsidR="00AF57E3" w:rsidRPr="00904A38" w:rsidRDefault="00AF57E3" w:rsidP="00954CEC">
      <w:pPr>
        <w:ind w:firstLine="284"/>
        <w:rPr>
          <w:rFonts w:eastAsia="Times New Roman"/>
          <w:shd w:val="clear" w:color="auto" w:fill="FFFFFF"/>
        </w:rPr>
      </w:pPr>
    </w:p>
    <w:p w14:paraId="4EBDF077" w14:textId="77777777" w:rsidR="001C3C0B" w:rsidRDefault="009F0332" w:rsidP="00954CEC">
      <w:pPr>
        <w:ind w:firstLine="284"/>
        <w:rPr>
          <w:rFonts w:eastAsia="Times New Roman"/>
          <w:shd w:val="clear" w:color="auto" w:fill="FFFFFF"/>
        </w:rPr>
      </w:pPr>
      <w:r w:rsidRPr="00F118DC">
        <w:rPr>
          <w:rFonts w:eastAsia="Times New Roman"/>
          <w:shd w:val="clear" w:color="auto" w:fill="FFFFFF"/>
        </w:rPr>
        <w:t>Even in countries where</w:t>
      </w:r>
      <w:r w:rsidR="00FE4059" w:rsidRPr="00F118DC">
        <w:rPr>
          <w:rFonts w:eastAsia="Times New Roman"/>
          <w:shd w:val="clear" w:color="auto" w:fill="FFFFFF"/>
        </w:rPr>
        <w:t xml:space="preserve"> prisoners are </w:t>
      </w:r>
      <w:r w:rsidRPr="00F118DC">
        <w:rPr>
          <w:rFonts w:eastAsia="Times New Roman"/>
          <w:shd w:val="clear" w:color="auto" w:fill="FFFFFF"/>
        </w:rPr>
        <w:t>not deprived of their right</w:t>
      </w:r>
      <w:r w:rsidR="00FE4059" w:rsidRPr="006B753A">
        <w:rPr>
          <w:rFonts w:eastAsia="Times New Roman"/>
          <w:shd w:val="clear" w:color="auto" w:fill="FFFFFF"/>
        </w:rPr>
        <w:t xml:space="preserve"> to vote, </w:t>
      </w:r>
      <w:r w:rsidRPr="006B753A">
        <w:rPr>
          <w:rFonts w:eastAsia="Times New Roman"/>
          <w:shd w:val="clear" w:color="auto" w:fill="FFFFFF"/>
        </w:rPr>
        <w:t xml:space="preserve">practical obstacles hinder its exercise. </w:t>
      </w:r>
      <w:r w:rsidR="00B74313" w:rsidRPr="006B753A">
        <w:rPr>
          <w:rFonts w:eastAsia="Times New Roman"/>
          <w:shd w:val="clear" w:color="auto" w:fill="FFFFFF"/>
        </w:rPr>
        <w:t xml:space="preserve">In France, for example, prisoners cannot vote in prison and therefore </w:t>
      </w:r>
      <w:r w:rsidR="0038727F" w:rsidRPr="006B753A">
        <w:rPr>
          <w:rFonts w:eastAsia="Times New Roman"/>
          <w:shd w:val="clear" w:color="auto" w:fill="FFFFFF"/>
        </w:rPr>
        <w:t>have to vote by proxy</w:t>
      </w:r>
      <w:r w:rsidR="00B74313" w:rsidRPr="006B753A">
        <w:rPr>
          <w:rFonts w:eastAsia="Times New Roman"/>
          <w:shd w:val="clear" w:color="auto" w:fill="FFFFFF"/>
        </w:rPr>
        <w:t xml:space="preserve"> (which raises problems in terms of ballot secrecy when they are detained in places </w:t>
      </w:r>
      <w:r w:rsidR="003C20A8" w:rsidRPr="006B753A">
        <w:rPr>
          <w:rFonts w:eastAsia="Times New Roman"/>
          <w:shd w:val="clear" w:color="auto" w:fill="FFFFFF"/>
        </w:rPr>
        <w:t xml:space="preserve">away from their usual residence </w:t>
      </w:r>
      <w:r w:rsidR="00B74313" w:rsidRPr="006B753A">
        <w:rPr>
          <w:rFonts w:eastAsia="Times New Roman"/>
          <w:shd w:val="clear" w:color="auto" w:fill="FFFFFF"/>
        </w:rPr>
        <w:t xml:space="preserve">where they </w:t>
      </w:r>
      <w:r w:rsidR="003C20A8" w:rsidRPr="00AF57E3">
        <w:rPr>
          <w:rFonts w:eastAsia="Times New Roman"/>
          <w:shd w:val="clear" w:color="auto" w:fill="FFFFFF"/>
        </w:rPr>
        <w:t xml:space="preserve">might not </w:t>
      </w:r>
      <w:r w:rsidR="00B74313" w:rsidRPr="00AF57E3">
        <w:rPr>
          <w:rFonts w:eastAsia="Times New Roman"/>
          <w:shd w:val="clear" w:color="auto" w:fill="FFFFFF"/>
        </w:rPr>
        <w:t>know anyone</w:t>
      </w:r>
      <w:r w:rsidR="008E7260" w:rsidRPr="00AF57E3">
        <w:rPr>
          <w:rStyle w:val="FootnoteReference"/>
          <w:rFonts w:ascii="Times New Roman" w:eastAsia="Times New Roman" w:hAnsi="Times New Roman"/>
          <w:shd w:val="clear" w:color="auto" w:fill="FFFFFF"/>
        </w:rPr>
        <w:footnoteReference w:id="118"/>
      </w:r>
      <w:r w:rsidR="00B74313" w:rsidRPr="005D084F">
        <w:rPr>
          <w:rFonts w:eastAsia="Times New Roman"/>
          <w:shd w:val="clear" w:color="auto" w:fill="FFFFFF"/>
        </w:rPr>
        <w:t>)</w:t>
      </w:r>
      <w:r w:rsidRPr="005D084F">
        <w:rPr>
          <w:rFonts w:eastAsia="Times New Roman"/>
          <w:shd w:val="clear" w:color="auto" w:fill="FFFFFF"/>
        </w:rPr>
        <w:t xml:space="preserve"> </w:t>
      </w:r>
      <w:r w:rsidR="00B74313" w:rsidRPr="005D084F">
        <w:rPr>
          <w:rFonts w:eastAsia="Times New Roman"/>
          <w:shd w:val="clear" w:color="auto" w:fill="FFFFFF"/>
        </w:rPr>
        <w:t xml:space="preserve">or need to obtain a </w:t>
      </w:r>
      <w:r w:rsidR="00E43785" w:rsidRPr="005D084F">
        <w:rPr>
          <w:rFonts w:eastAsia="Times New Roman"/>
          <w:shd w:val="clear" w:color="auto" w:fill="FFFFFF"/>
        </w:rPr>
        <w:t>temporary absence from custody, which judges r</w:t>
      </w:r>
      <w:r w:rsidR="00BB65BB" w:rsidRPr="005D084F">
        <w:rPr>
          <w:rFonts w:eastAsia="Times New Roman"/>
          <w:shd w:val="clear" w:color="auto" w:fill="FFFFFF"/>
        </w:rPr>
        <w:t xml:space="preserve">arely issue. As a result, only 4 to 8 </w:t>
      </w:r>
      <w:r w:rsidR="00E43785" w:rsidRPr="00D24721">
        <w:rPr>
          <w:rFonts w:eastAsia="Times New Roman"/>
          <w:shd w:val="clear" w:color="auto" w:fill="FFFFFF"/>
        </w:rPr>
        <w:t xml:space="preserve">% of prisoners </w:t>
      </w:r>
      <w:r w:rsidR="00046A63" w:rsidRPr="00D24721">
        <w:rPr>
          <w:rFonts w:eastAsia="Times New Roman"/>
          <w:shd w:val="clear" w:color="auto" w:fill="FFFFFF"/>
        </w:rPr>
        <w:t xml:space="preserve">in the country </w:t>
      </w:r>
      <w:r w:rsidR="00BB65BB" w:rsidRPr="00D24721">
        <w:rPr>
          <w:rFonts w:eastAsia="Times New Roman"/>
          <w:shd w:val="clear" w:color="auto" w:fill="FFFFFF"/>
        </w:rPr>
        <w:t>exercise their right to vote depending on elections.</w:t>
      </w:r>
      <w:r w:rsidR="00FF674C" w:rsidRPr="006B753A">
        <w:rPr>
          <w:rStyle w:val="FootnoteReference"/>
          <w:rFonts w:ascii="Times New Roman" w:eastAsia="Times New Roman" w:hAnsi="Times New Roman"/>
          <w:shd w:val="clear" w:color="auto" w:fill="FFFFFF"/>
        </w:rPr>
        <w:footnoteReference w:id="119"/>
      </w:r>
      <w:r w:rsidR="00775999" w:rsidRPr="005D084F">
        <w:rPr>
          <w:rFonts w:eastAsia="Times New Roman"/>
          <w:shd w:val="clear" w:color="auto" w:fill="FFFFFF"/>
        </w:rPr>
        <w:t xml:space="preserve"> </w:t>
      </w:r>
    </w:p>
    <w:p w14:paraId="67BEF266" w14:textId="77777777" w:rsidR="00AF57E3" w:rsidRPr="005D084F" w:rsidRDefault="00AF57E3" w:rsidP="00954CEC">
      <w:pPr>
        <w:ind w:firstLine="284"/>
        <w:rPr>
          <w:rFonts w:eastAsia="Times New Roman"/>
          <w:shd w:val="clear" w:color="auto" w:fill="FFFFFF"/>
        </w:rPr>
      </w:pPr>
    </w:p>
    <w:p w14:paraId="236625D9" w14:textId="77777777" w:rsidR="00396455" w:rsidRDefault="001C3C0B" w:rsidP="00954CEC">
      <w:pPr>
        <w:ind w:firstLine="284"/>
        <w:rPr>
          <w:rFonts w:eastAsia="Times New Roman"/>
        </w:rPr>
      </w:pPr>
      <w:r w:rsidRPr="005D084F">
        <w:rPr>
          <w:rFonts w:eastAsia="Times New Roman"/>
          <w:shd w:val="clear" w:color="auto" w:fill="FFFFFF"/>
        </w:rPr>
        <w:t xml:space="preserve">A number of good practices aimed to tackle these practical obstacles can be observed in various countries. </w:t>
      </w:r>
      <w:r w:rsidR="001B3F13" w:rsidRPr="00D24721">
        <w:rPr>
          <w:rFonts w:eastAsia="Times New Roman"/>
          <w:shd w:val="clear" w:color="auto" w:fill="FFFFFF"/>
        </w:rPr>
        <w:t xml:space="preserve">For example, </w:t>
      </w:r>
      <w:r w:rsidR="001B3F13" w:rsidRPr="00D24721">
        <w:rPr>
          <w:rFonts w:eastAsia="Times New Roman"/>
        </w:rPr>
        <w:t>m</w:t>
      </w:r>
      <w:r w:rsidR="00CF29BC" w:rsidRPr="00904A38">
        <w:rPr>
          <w:rFonts w:eastAsia="Times New Roman"/>
        </w:rPr>
        <w:t xml:space="preserve">obile </w:t>
      </w:r>
      <w:r w:rsidR="00395761" w:rsidRPr="00904A38">
        <w:rPr>
          <w:rFonts w:eastAsia="Times New Roman"/>
        </w:rPr>
        <w:t xml:space="preserve">voting </w:t>
      </w:r>
      <w:r w:rsidR="00CF29BC" w:rsidRPr="00972980">
        <w:rPr>
          <w:rFonts w:eastAsia="Times New Roman"/>
        </w:rPr>
        <w:t xml:space="preserve">stations </w:t>
      </w:r>
      <w:r w:rsidR="001B3F13" w:rsidRPr="00972980">
        <w:rPr>
          <w:rFonts w:eastAsia="Times New Roman"/>
        </w:rPr>
        <w:t xml:space="preserve">are brought into prison in </w:t>
      </w:r>
      <w:r w:rsidR="00775999" w:rsidRPr="00D11988">
        <w:rPr>
          <w:rFonts w:eastAsia="Times New Roman"/>
        </w:rPr>
        <w:t>Finland, Italy, Portugal, and the Netherlands</w:t>
      </w:r>
      <w:r w:rsidR="001B3F13" w:rsidRPr="00F118DC">
        <w:rPr>
          <w:rFonts w:eastAsia="Times New Roman"/>
        </w:rPr>
        <w:t>.</w:t>
      </w:r>
      <w:r w:rsidR="001B3F13" w:rsidRPr="00F118DC">
        <w:rPr>
          <w:rFonts w:eastAsia="Times New Roman"/>
          <w:shd w:val="clear" w:color="auto" w:fill="FFFFFF"/>
        </w:rPr>
        <w:t xml:space="preserve"> </w:t>
      </w:r>
      <w:r w:rsidR="00224FF7" w:rsidRPr="00F118DC">
        <w:rPr>
          <w:rFonts w:eastAsia="Times New Roman"/>
          <w:shd w:val="clear" w:color="auto" w:fill="FFFFFF"/>
        </w:rPr>
        <w:t xml:space="preserve">Another practical means </w:t>
      </w:r>
      <w:r w:rsidR="00823C7B" w:rsidRPr="00F118DC">
        <w:rPr>
          <w:rFonts w:eastAsia="Times New Roman"/>
          <w:shd w:val="clear" w:color="auto" w:fill="FFFFFF"/>
        </w:rPr>
        <w:t xml:space="preserve">is </w:t>
      </w:r>
      <w:r w:rsidR="00224FF7" w:rsidRPr="00F118DC">
        <w:rPr>
          <w:rFonts w:eastAsia="Times New Roman"/>
          <w:shd w:val="clear" w:color="auto" w:fill="FFFFFF"/>
        </w:rPr>
        <w:t xml:space="preserve">to </w:t>
      </w:r>
      <w:r w:rsidR="00224FF7" w:rsidRPr="006B753A">
        <w:rPr>
          <w:rFonts w:eastAsia="Times New Roman"/>
        </w:rPr>
        <w:t>allow postal voting</w:t>
      </w:r>
      <w:r w:rsidR="00CF29BC" w:rsidRPr="006B753A">
        <w:rPr>
          <w:rFonts w:eastAsia="Times New Roman"/>
        </w:rPr>
        <w:t xml:space="preserve"> for prisoners</w:t>
      </w:r>
      <w:r w:rsidR="00775999" w:rsidRPr="006B753A">
        <w:rPr>
          <w:rFonts w:eastAsia="Times New Roman"/>
        </w:rPr>
        <w:t>, whilst ensuring secret ballot</w:t>
      </w:r>
      <w:r w:rsidR="00224FF7" w:rsidRPr="006B753A">
        <w:rPr>
          <w:rFonts w:eastAsia="Times New Roman"/>
        </w:rPr>
        <w:t>, as is the case in Denmark, Ireland and</w:t>
      </w:r>
      <w:r w:rsidR="00775999" w:rsidRPr="006B753A">
        <w:rPr>
          <w:rFonts w:eastAsia="Times New Roman"/>
        </w:rPr>
        <w:t xml:space="preserve"> Switzerland.</w:t>
      </w:r>
      <w:r w:rsidR="00772DD1" w:rsidRPr="006B753A">
        <w:rPr>
          <w:rStyle w:val="FootnoteReference"/>
          <w:rFonts w:ascii="Times New Roman" w:eastAsia="Times New Roman" w:hAnsi="Times New Roman"/>
        </w:rPr>
        <w:footnoteReference w:id="120"/>
      </w:r>
    </w:p>
    <w:p w14:paraId="0FC50A2E" w14:textId="77777777" w:rsidR="00D66546" w:rsidRPr="005D084F" w:rsidRDefault="00D66546" w:rsidP="00954CEC">
      <w:pPr>
        <w:ind w:firstLine="284"/>
        <w:rPr>
          <w:rFonts w:eastAsia="Times New Roman"/>
          <w:shd w:val="clear" w:color="auto" w:fill="FFFFFF"/>
        </w:rPr>
      </w:pPr>
    </w:p>
    <w:p w14:paraId="20C6B3CD" w14:textId="231479AE" w:rsidR="00AD154F" w:rsidRDefault="00B0432A" w:rsidP="00E05E56">
      <w:pPr>
        <w:pStyle w:val="Heading1"/>
        <w:numPr>
          <w:ilvl w:val="0"/>
          <w:numId w:val="20"/>
        </w:numPr>
        <w:rPr>
          <w:rFonts w:ascii="Times New Roman" w:hAnsi="Times New Roman" w:cs="Times New Roman"/>
          <w:color w:val="auto"/>
          <w:lang w:val="en-GB"/>
        </w:rPr>
      </w:pPr>
      <w:bookmarkStart w:id="10" w:name="_Toc509931728"/>
      <w:r w:rsidRPr="00E05E56">
        <w:rPr>
          <w:rStyle w:val="st"/>
          <w:rFonts w:ascii="Times New Roman" w:hAnsi="Times New Roman" w:cs="Times New Roman"/>
          <w:color w:val="auto"/>
        </w:rPr>
        <w:t>Information and Communication Technology (</w:t>
      </w:r>
      <w:r w:rsidR="002218D1" w:rsidRPr="00E05E56">
        <w:rPr>
          <w:rFonts w:ascii="Times New Roman" w:hAnsi="Times New Roman" w:cs="Times New Roman"/>
          <w:color w:val="auto"/>
          <w:lang w:val="en-GB"/>
        </w:rPr>
        <w:t>ICTs</w:t>
      </w:r>
      <w:r w:rsidRPr="00E05E56">
        <w:rPr>
          <w:rFonts w:ascii="Times New Roman" w:hAnsi="Times New Roman" w:cs="Times New Roman"/>
          <w:color w:val="auto"/>
          <w:lang w:val="en-GB"/>
        </w:rPr>
        <w:t>)</w:t>
      </w:r>
      <w:r w:rsidR="002218D1" w:rsidRPr="00E05E56">
        <w:rPr>
          <w:rFonts w:ascii="Times New Roman" w:hAnsi="Times New Roman" w:cs="Times New Roman"/>
          <w:color w:val="auto"/>
          <w:lang w:val="en-GB"/>
        </w:rPr>
        <w:t xml:space="preserve"> and the right to</w:t>
      </w:r>
      <w:r w:rsidR="00D44316" w:rsidRPr="00E05E56">
        <w:rPr>
          <w:rFonts w:ascii="Times New Roman" w:hAnsi="Times New Roman" w:cs="Times New Roman"/>
          <w:color w:val="auto"/>
          <w:lang w:val="en-GB"/>
        </w:rPr>
        <w:t xml:space="preserve"> participat</w:t>
      </w:r>
      <w:r w:rsidR="00626247" w:rsidRPr="00E05E56">
        <w:rPr>
          <w:rFonts w:ascii="Times New Roman" w:hAnsi="Times New Roman" w:cs="Times New Roman"/>
          <w:color w:val="auto"/>
          <w:lang w:val="en-GB"/>
        </w:rPr>
        <w:t>e</w:t>
      </w:r>
      <w:bookmarkEnd w:id="10"/>
    </w:p>
    <w:p w14:paraId="5370A270" w14:textId="77777777" w:rsidR="00E05E56" w:rsidRPr="00E05E56" w:rsidRDefault="00E05E56" w:rsidP="00E05E56">
      <w:pPr>
        <w:pStyle w:val="ListParagraph"/>
        <w:ind w:left="1060" w:firstLine="0"/>
        <w:rPr>
          <w:lang w:val="en-GB"/>
        </w:rPr>
      </w:pPr>
    </w:p>
    <w:p w14:paraId="01EC7B45" w14:textId="77777777" w:rsidR="00AD154F" w:rsidRPr="006B753A" w:rsidRDefault="00AD154F" w:rsidP="00954CEC">
      <w:pPr>
        <w:ind w:firstLine="284"/>
        <w:rPr>
          <w:lang w:val="en-GB"/>
        </w:rPr>
      </w:pPr>
      <w:r w:rsidRPr="005D084F">
        <w:rPr>
          <w:lang w:val="en-GB"/>
        </w:rPr>
        <w:t>The development of modern information and communication technologies (ICTs)</w:t>
      </w:r>
      <w:r w:rsidRPr="005D084F">
        <w:rPr>
          <w:rStyle w:val="FootnoteReference"/>
          <w:rFonts w:ascii="Times New Roman" w:hAnsi="Times New Roman"/>
          <w:lang w:val="en-GB"/>
        </w:rPr>
        <w:footnoteReference w:id="121"/>
      </w:r>
      <w:r w:rsidRPr="005D084F">
        <w:rPr>
          <w:lang w:val="en-GB"/>
        </w:rPr>
        <w:t xml:space="preserve"> represent</w:t>
      </w:r>
      <w:r w:rsidR="00485F31" w:rsidRPr="005D084F">
        <w:rPr>
          <w:lang w:val="en-GB"/>
        </w:rPr>
        <w:t>s</w:t>
      </w:r>
      <w:r w:rsidRPr="005D084F">
        <w:rPr>
          <w:lang w:val="en-GB"/>
        </w:rPr>
        <w:t xml:space="preserve"> a</w:t>
      </w:r>
      <w:r w:rsidR="00892F62" w:rsidRPr="005D084F">
        <w:rPr>
          <w:lang w:val="en-GB"/>
        </w:rPr>
        <w:t>n</w:t>
      </w:r>
      <w:r w:rsidRPr="005D084F">
        <w:rPr>
          <w:lang w:val="en-GB"/>
        </w:rPr>
        <w:t xml:space="preserve"> opportunity to </w:t>
      </w:r>
      <w:r w:rsidR="00485F31" w:rsidRPr="00D24721">
        <w:rPr>
          <w:lang w:val="en-GB"/>
        </w:rPr>
        <w:t>enable</w:t>
      </w:r>
      <w:r w:rsidRPr="00D24721">
        <w:rPr>
          <w:lang w:val="en-GB"/>
        </w:rPr>
        <w:t xml:space="preserve"> more people to</w:t>
      </w:r>
      <w:r w:rsidR="00872A24" w:rsidRPr="00D24721">
        <w:rPr>
          <w:lang w:val="en-GB"/>
        </w:rPr>
        <w:t xml:space="preserve"> exercise their right to participate in public affairs, including to</w:t>
      </w:r>
      <w:r w:rsidRPr="00904A38">
        <w:rPr>
          <w:lang w:val="en-GB"/>
        </w:rPr>
        <w:t xml:space="preserve"> vote, thus remedying some discrimination issues identified previously</w:t>
      </w:r>
      <w:r w:rsidR="0065633E" w:rsidRPr="00904A38">
        <w:rPr>
          <w:lang w:val="en-GB"/>
        </w:rPr>
        <w:t xml:space="preserve">. However, ICTs also present challenges in terms of cybersecurity and quality </w:t>
      </w:r>
      <w:r w:rsidR="0065633E" w:rsidRPr="00F118DC">
        <w:rPr>
          <w:lang w:val="en-GB"/>
        </w:rPr>
        <w:t xml:space="preserve">of information notably </w:t>
      </w:r>
      <w:r w:rsidRPr="00F118DC">
        <w:rPr>
          <w:lang w:val="en-GB"/>
        </w:rPr>
        <w:t xml:space="preserve">(A). </w:t>
      </w:r>
      <w:r w:rsidR="00485F31" w:rsidRPr="00F118DC">
        <w:rPr>
          <w:lang w:val="en-GB"/>
        </w:rPr>
        <w:t>New forms of participation</w:t>
      </w:r>
      <w:r w:rsidR="001003C2" w:rsidRPr="006B753A">
        <w:rPr>
          <w:lang w:val="en-GB"/>
        </w:rPr>
        <w:t xml:space="preserve"> have also emerged </w:t>
      </w:r>
      <w:r w:rsidR="00485F31" w:rsidRPr="006B753A">
        <w:rPr>
          <w:lang w:val="en-GB"/>
        </w:rPr>
        <w:t>in the context of general decline in traditional forms of political participation (B).</w:t>
      </w:r>
    </w:p>
    <w:p w14:paraId="6841B798" w14:textId="77777777" w:rsidR="00A532AF" w:rsidRPr="00E05E56" w:rsidRDefault="00954CEC" w:rsidP="00954CEC">
      <w:pPr>
        <w:pStyle w:val="Heading2"/>
        <w:rPr>
          <w:rFonts w:ascii="Times New Roman" w:hAnsi="Times New Roman"/>
          <w:color w:val="auto"/>
          <w:lang w:val="en-GB"/>
        </w:rPr>
      </w:pPr>
      <w:bookmarkStart w:id="11" w:name="_Toc509931729"/>
      <w:r w:rsidRPr="00E05E56">
        <w:rPr>
          <w:rFonts w:ascii="Times New Roman" w:hAnsi="Times New Roman"/>
          <w:color w:val="auto"/>
          <w:lang w:val="en-GB"/>
        </w:rPr>
        <w:t xml:space="preserve">A. </w:t>
      </w:r>
      <w:r w:rsidR="00730BB9" w:rsidRPr="00E05E56">
        <w:rPr>
          <w:rFonts w:ascii="Times New Roman" w:hAnsi="Times New Roman"/>
          <w:color w:val="auto"/>
          <w:lang w:val="en-GB"/>
        </w:rPr>
        <w:t>ICTs</w:t>
      </w:r>
      <w:r w:rsidR="00E66B14" w:rsidRPr="00E05E56">
        <w:rPr>
          <w:rFonts w:ascii="Times New Roman" w:hAnsi="Times New Roman"/>
          <w:color w:val="auto"/>
          <w:lang w:val="en-GB"/>
        </w:rPr>
        <w:t xml:space="preserve"> </w:t>
      </w:r>
      <w:r w:rsidR="0065633E" w:rsidRPr="00E05E56">
        <w:rPr>
          <w:rFonts w:ascii="Times New Roman" w:hAnsi="Times New Roman"/>
          <w:color w:val="auto"/>
          <w:lang w:val="en-GB"/>
        </w:rPr>
        <w:t xml:space="preserve">and </w:t>
      </w:r>
      <w:r w:rsidR="00411840" w:rsidRPr="00E05E56">
        <w:rPr>
          <w:rFonts w:ascii="Times New Roman" w:hAnsi="Times New Roman"/>
          <w:color w:val="auto"/>
          <w:lang w:val="en-GB"/>
        </w:rPr>
        <w:t>elections</w:t>
      </w:r>
      <w:bookmarkEnd w:id="11"/>
    </w:p>
    <w:p w14:paraId="3C2D1E89" w14:textId="77777777" w:rsidR="00D351F4" w:rsidRPr="005D084F" w:rsidRDefault="00D351F4" w:rsidP="00D351F4">
      <w:pPr>
        <w:rPr>
          <w:lang w:val="en-GB"/>
        </w:rPr>
      </w:pPr>
      <w:r w:rsidRPr="005D084F">
        <w:rPr>
          <w:lang w:val="en-GB"/>
        </w:rPr>
        <w:t xml:space="preserve">ICTs </w:t>
      </w:r>
      <w:r w:rsidR="00DE5376" w:rsidRPr="005D084F">
        <w:rPr>
          <w:lang w:val="en-GB"/>
        </w:rPr>
        <w:t xml:space="preserve">are in </w:t>
      </w:r>
      <w:r w:rsidRPr="005D084F">
        <w:rPr>
          <w:lang w:val="en-GB"/>
        </w:rPr>
        <w:t>use in the following areas:</w:t>
      </w:r>
    </w:p>
    <w:p w14:paraId="29F92FDC" w14:textId="77777777" w:rsidR="00D351F4" w:rsidRPr="00E05E56" w:rsidRDefault="00D351F4" w:rsidP="00D351F4">
      <w:pPr>
        <w:pStyle w:val="ListParagraph"/>
        <w:numPr>
          <w:ilvl w:val="0"/>
          <w:numId w:val="7"/>
        </w:numPr>
        <w:rPr>
          <w:rFonts w:ascii="Times New Roman" w:hAnsi="Times New Roman" w:cs="Times New Roman"/>
          <w:lang w:val="en-GB"/>
        </w:rPr>
      </w:pPr>
      <w:r w:rsidRPr="00E05E56">
        <w:rPr>
          <w:rFonts w:ascii="Times New Roman" w:hAnsi="Times New Roman" w:cs="Times New Roman"/>
          <w:lang w:val="en-GB"/>
        </w:rPr>
        <w:t>Voter registration and identification;</w:t>
      </w:r>
    </w:p>
    <w:p w14:paraId="57ADC657" w14:textId="77777777" w:rsidR="00D351F4" w:rsidRPr="00E05E56" w:rsidRDefault="00D351F4" w:rsidP="00D351F4">
      <w:pPr>
        <w:pStyle w:val="ListParagraph"/>
        <w:numPr>
          <w:ilvl w:val="0"/>
          <w:numId w:val="7"/>
        </w:numPr>
        <w:rPr>
          <w:rFonts w:ascii="Times New Roman" w:hAnsi="Times New Roman" w:cs="Times New Roman"/>
          <w:lang w:val="en-GB"/>
        </w:rPr>
      </w:pPr>
      <w:r w:rsidRPr="00E05E56">
        <w:rPr>
          <w:rFonts w:ascii="Times New Roman" w:hAnsi="Times New Roman" w:cs="Times New Roman"/>
          <w:lang w:val="en-GB"/>
        </w:rPr>
        <w:t>Electronic voting, if accessible and when guaranteeing the secrecy of the ballot;</w:t>
      </w:r>
    </w:p>
    <w:p w14:paraId="409ED305" w14:textId="77777777" w:rsidR="00D351F4" w:rsidRPr="00E05E56" w:rsidRDefault="00D351F4" w:rsidP="00D351F4">
      <w:pPr>
        <w:pStyle w:val="ListParagraph"/>
        <w:numPr>
          <w:ilvl w:val="0"/>
          <w:numId w:val="7"/>
        </w:numPr>
        <w:rPr>
          <w:rFonts w:ascii="Times New Roman" w:hAnsi="Times New Roman" w:cs="Times New Roman"/>
          <w:lang w:val="en-GB"/>
        </w:rPr>
      </w:pPr>
      <w:r w:rsidRPr="00E05E56">
        <w:rPr>
          <w:rFonts w:ascii="Times New Roman" w:hAnsi="Times New Roman" w:cs="Times New Roman"/>
          <w:lang w:val="en-GB"/>
        </w:rPr>
        <w:t>Processing of elections results;</w:t>
      </w:r>
    </w:p>
    <w:p w14:paraId="2812315F" w14:textId="77777777" w:rsidR="00D351F4" w:rsidRPr="00E05E56" w:rsidRDefault="00D351F4" w:rsidP="00D351F4">
      <w:pPr>
        <w:pStyle w:val="ListParagraph"/>
        <w:numPr>
          <w:ilvl w:val="0"/>
          <w:numId w:val="7"/>
        </w:numPr>
        <w:rPr>
          <w:rFonts w:ascii="Times New Roman" w:hAnsi="Times New Roman" w:cs="Times New Roman"/>
          <w:lang w:val="en-GB"/>
        </w:rPr>
      </w:pPr>
      <w:r w:rsidRPr="00E05E56">
        <w:rPr>
          <w:rFonts w:ascii="Times New Roman" w:hAnsi="Times New Roman" w:cs="Times New Roman"/>
          <w:lang w:val="en-GB"/>
        </w:rPr>
        <w:t xml:space="preserve">Use of open source technology in election administration </w:t>
      </w:r>
    </w:p>
    <w:p w14:paraId="5CFCD916" w14:textId="77777777" w:rsidR="00D351F4" w:rsidRPr="00E05E56" w:rsidRDefault="00D351F4" w:rsidP="00954CEC">
      <w:pPr>
        <w:pStyle w:val="ListParagraph"/>
        <w:numPr>
          <w:ilvl w:val="0"/>
          <w:numId w:val="7"/>
        </w:numPr>
        <w:rPr>
          <w:rFonts w:ascii="Times New Roman" w:hAnsi="Times New Roman" w:cs="Times New Roman"/>
          <w:lang w:val="en-GB"/>
        </w:rPr>
      </w:pPr>
      <w:r w:rsidRPr="00E05E56">
        <w:rPr>
          <w:rFonts w:ascii="Times New Roman" w:hAnsi="Times New Roman" w:cs="Times New Roman"/>
          <w:lang w:val="en-GB"/>
        </w:rPr>
        <w:t>Online data publication by electoral management bodies (EMBs)</w:t>
      </w:r>
    </w:p>
    <w:p w14:paraId="6B20F715" w14:textId="25BBF25B" w:rsidR="00ED093D" w:rsidRDefault="007C5CF6" w:rsidP="00954CEC">
      <w:pPr>
        <w:ind w:firstLine="284"/>
        <w:rPr>
          <w:lang w:val="en-GB"/>
        </w:rPr>
      </w:pPr>
      <w:r w:rsidRPr="005D084F">
        <w:rPr>
          <w:lang w:val="en-GB"/>
        </w:rPr>
        <w:lastRenderedPageBreak/>
        <w:t>ICTs have the potential to tackle some discriminations issues and enable more citizens to vote by overcoming practical obstacles</w:t>
      </w:r>
      <w:r w:rsidR="00AF57E3">
        <w:rPr>
          <w:lang w:val="en-GB"/>
        </w:rPr>
        <w:t>, including accessibility</w:t>
      </w:r>
      <w:r w:rsidRPr="005D084F">
        <w:rPr>
          <w:lang w:val="en-GB"/>
        </w:rPr>
        <w:t xml:space="preserve">. Non-resident citizens, persons with disabilities who cannot go to polling stations and prisoners may benefit from new technologies. </w:t>
      </w:r>
      <w:r w:rsidR="00AE5CFD" w:rsidRPr="00D24721">
        <w:t xml:space="preserve">E-voting is used in </w:t>
      </w:r>
      <w:r w:rsidR="003961EF" w:rsidRPr="00D24721">
        <w:t>Belgium and</w:t>
      </w:r>
      <w:r w:rsidR="00D351F4" w:rsidRPr="00D24721">
        <w:t xml:space="preserve"> </w:t>
      </w:r>
      <w:r w:rsidR="00AE5CFD" w:rsidRPr="00D24721">
        <w:t xml:space="preserve">in </w:t>
      </w:r>
      <w:r w:rsidR="00D351F4" w:rsidRPr="00904A38">
        <w:t>Switzerland in several ca</w:t>
      </w:r>
      <w:r w:rsidR="00AE5CFD" w:rsidRPr="00904A38">
        <w:t>ntons for voters living abroad</w:t>
      </w:r>
      <w:r w:rsidR="003961EF" w:rsidRPr="00F118DC">
        <w:t>.</w:t>
      </w:r>
      <w:r w:rsidR="00AE5CFD" w:rsidRPr="00F118DC">
        <w:t xml:space="preserve"> </w:t>
      </w:r>
      <w:r w:rsidR="00D351F4" w:rsidRPr="00F118DC">
        <w:t xml:space="preserve">Sweden </w:t>
      </w:r>
      <w:r w:rsidR="003961EF" w:rsidRPr="00F118DC">
        <w:t>is planning</w:t>
      </w:r>
      <w:r w:rsidR="00A94DF9" w:rsidRPr="006B753A">
        <w:t xml:space="preserve"> </w:t>
      </w:r>
      <w:r w:rsidR="003961EF" w:rsidRPr="006B753A">
        <w:t>to introduce</w:t>
      </w:r>
      <w:r w:rsidR="00D351F4" w:rsidRPr="006B753A">
        <w:t xml:space="preserve"> fully accessible e-voting </w:t>
      </w:r>
      <w:r w:rsidR="003961EF" w:rsidRPr="006B753A">
        <w:t>on a trial basis</w:t>
      </w:r>
      <w:r w:rsidR="00A94DF9" w:rsidRPr="006B753A">
        <w:t xml:space="preserve"> </w:t>
      </w:r>
      <w:r w:rsidR="00D351F4" w:rsidRPr="006B753A">
        <w:t>for the 2018 elections</w:t>
      </w:r>
      <w:r w:rsidR="00D351F4" w:rsidRPr="006B753A">
        <w:rPr>
          <w:rStyle w:val="FootnoteReference"/>
          <w:rFonts w:ascii="Times New Roman" w:hAnsi="Times New Roman"/>
        </w:rPr>
        <w:footnoteReference w:id="122"/>
      </w:r>
      <w:r w:rsidR="00D351F4" w:rsidRPr="005D084F">
        <w:t>. France dropped electronic voting for citizens abroad in 2017</w:t>
      </w:r>
      <w:r w:rsidR="00442385" w:rsidRPr="005D084F">
        <w:t xml:space="preserve"> due to the risk of </w:t>
      </w:r>
      <w:proofErr w:type="spellStart"/>
      <w:r w:rsidR="00442385" w:rsidRPr="005D084F">
        <w:t>cyber attacks</w:t>
      </w:r>
      <w:proofErr w:type="spellEnd"/>
      <w:r w:rsidR="00DE76D5" w:rsidRPr="005D084F">
        <w:t>.</w:t>
      </w:r>
      <w:r w:rsidR="00D351F4" w:rsidRPr="006B753A">
        <w:rPr>
          <w:rStyle w:val="FootnoteReference"/>
          <w:rFonts w:ascii="Times New Roman" w:hAnsi="Times New Roman"/>
        </w:rPr>
        <w:footnoteReference w:id="123"/>
      </w:r>
      <w:r w:rsidR="00DE76D5" w:rsidRPr="005D084F">
        <w:t xml:space="preserve"> T</w:t>
      </w:r>
      <w:r w:rsidR="00D351F4" w:rsidRPr="005D084F">
        <w:t xml:space="preserve">he Netherlands announced </w:t>
      </w:r>
      <w:r w:rsidR="00D53023" w:rsidRPr="005D084F">
        <w:t>t</w:t>
      </w:r>
      <w:r w:rsidR="00D351F4" w:rsidRPr="005D084F">
        <w:t>hat all ballots in the 2017 general election would be counted by hand and not electronically</w:t>
      </w:r>
      <w:r w:rsidR="00D351F4" w:rsidRPr="006B753A">
        <w:rPr>
          <w:rStyle w:val="FootnoteReference"/>
          <w:rFonts w:ascii="Times New Roman" w:hAnsi="Times New Roman"/>
        </w:rPr>
        <w:footnoteReference w:id="124"/>
      </w:r>
      <w:r w:rsidR="008A5F34" w:rsidRPr="005D084F">
        <w:t xml:space="preserve"> due to </w:t>
      </w:r>
      <w:r w:rsidR="000F4EA4" w:rsidRPr="005D084F">
        <w:t xml:space="preserve">similar </w:t>
      </w:r>
      <w:r w:rsidR="008A5F34" w:rsidRPr="005D084F">
        <w:t>cybersecurity concerns</w:t>
      </w:r>
      <w:r w:rsidR="00363444" w:rsidRPr="005D084F">
        <w:t xml:space="preserve"> amid allegations of election</w:t>
      </w:r>
      <w:r w:rsidR="007F2D4F" w:rsidRPr="00D24721">
        <w:t xml:space="preserve"> hacking</w:t>
      </w:r>
      <w:r w:rsidR="00363444" w:rsidRPr="00D24721">
        <w:t xml:space="preserve"> in Westerns countrie</w:t>
      </w:r>
      <w:r w:rsidR="00363444" w:rsidRPr="00904A38">
        <w:t>s</w:t>
      </w:r>
      <w:r w:rsidR="008A5F34" w:rsidRPr="00904A38">
        <w:t>.</w:t>
      </w:r>
      <w:r w:rsidR="00D351F4" w:rsidRPr="00972980">
        <w:t xml:space="preserve"> Germany ended electronic voting in 2009 following a Constitutional Court ruling</w:t>
      </w:r>
      <w:r w:rsidR="008A5F34" w:rsidRPr="00D11988">
        <w:t>.</w:t>
      </w:r>
      <w:r w:rsidR="00D351F4" w:rsidRPr="006B753A">
        <w:rPr>
          <w:rStyle w:val="FootnoteReference"/>
          <w:rFonts w:ascii="Times New Roman" w:hAnsi="Times New Roman"/>
        </w:rPr>
        <w:footnoteReference w:id="125"/>
      </w:r>
      <w:r w:rsidR="00D351F4" w:rsidRPr="005D084F">
        <w:t xml:space="preserve"> This technology has also been abandoned in Finland, Ireland and Norway.</w:t>
      </w:r>
      <w:r w:rsidR="00D351F4" w:rsidRPr="005D084F">
        <w:rPr>
          <w:lang w:val="en-GB"/>
        </w:rPr>
        <w:t xml:space="preserve"> Feasibility studies and tests have been carried out in various countries, some of which had already</w:t>
      </w:r>
      <w:r w:rsidR="00D351F4" w:rsidRPr="00D24721">
        <w:rPr>
          <w:lang w:val="en-GB"/>
        </w:rPr>
        <w:t xml:space="preserve"> tested and abandoned the technology.</w:t>
      </w:r>
      <w:r w:rsidR="00D351F4" w:rsidRPr="006B753A">
        <w:rPr>
          <w:rStyle w:val="FootnoteReference"/>
          <w:rFonts w:ascii="Times New Roman" w:hAnsi="Times New Roman"/>
          <w:lang w:val="en-GB"/>
        </w:rPr>
        <w:footnoteReference w:id="126"/>
      </w:r>
      <w:r w:rsidR="00F1172D" w:rsidRPr="005D084F">
        <w:rPr>
          <w:lang w:val="en-GB"/>
        </w:rPr>
        <w:t xml:space="preserve"> </w:t>
      </w:r>
    </w:p>
    <w:p w14:paraId="6AB3D584" w14:textId="77777777" w:rsidR="00AF57E3" w:rsidRPr="005D084F" w:rsidRDefault="00AF57E3" w:rsidP="00954CEC">
      <w:pPr>
        <w:ind w:firstLine="284"/>
        <w:rPr>
          <w:lang w:val="en-GB"/>
        </w:rPr>
      </w:pPr>
    </w:p>
    <w:p w14:paraId="10131095" w14:textId="77777777" w:rsidR="00D351F4" w:rsidRDefault="004C6893" w:rsidP="00954CEC">
      <w:pPr>
        <w:ind w:firstLine="284"/>
        <w:rPr>
          <w:lang w:val="en-GB"/>
        </w:rPr>
      </w:pPr>
      <w:r w:rsidRPr="005D084F">
        <w:rPr>
          <w:lang w:val="en-GB"/>
        </w:rPr>
        <w:t>Apart from concerns over cybersecurity</w:t>
      </w:r>
      <w:r w:rsidR="00411840" w:rsidRPr="00D24721">
        <w:rPr>
          <w:lang w:val="en-GB"/>
        </w:rPr>
        <w:t xml:space="preserve"> and privacy</w:t>
      </w:r>
      <w:r w:rsidRPr="00D24721">
        <w:rPr>
          <w:lang w:val="en-GB"/>
        </w:rPr>
        <w:t xml:space="preserve">, another downside </w:t>
      </w:r>
      <w:r w:rsidR="008D0E4A" w:rsidRPr="00D24721">
        <w:rPr>
          <w:lang w:val="en-GB"/>
        </w:rPr>
        <w:t>related to n</w:t>
      </w:r>
      <w:r w:rsidR="00FE5A70" w:rsidRPr="00D24721">
        <w:rPr>
          <w:lang w:val="en-GB"/>
        </w:rPr>
        <w:t xml:space="preserve">ew technologies </w:t>
      </w:r>
      <w:r w:rsidR="008D0E4A" w:rsidRPr="00904A38">
        <w:rPr>
          <w:lang w:val="en-GB"/>
        </w:rPr>
        <w:t>has been</w:t>
      </w:r>
      <w:r w:rsidR="000E7F41" w:rsidRPr="00904A38">
        <w:rPr>
          <w:lang w:val="en-GB"/>
        </w:rPr>
        <w:t xml:space="preserve"> the rise of </w:t>
      </w:r>
      <w:r w:rsidR="00320A77" w:rsidRPr="00972980">
        <w:rPr>
          <w:lang w:val="en-GB"/>
        </w:rPr>
        <w:t>disinformation</w:t>
      </w:r>
      <w:r w:rsidR="000E7F41" w:rsidRPr="00D11988">
        <w:rPr>
          <w:lang w:val="en-GB"/>
        </w:rPr>
        <w:t xml:space="preserve"> and populist discourse</w:t>
      </w:r>
      <w:r w:rsidR="008D0E4A" w:rsidRPr="00D11988">
        <w:rPr>
          <w:lang w:val="en-GB"/>
        </w:rPr>
        <w:t xml:space="preserve"> on social media</w:t>
      </w:r>
      <w:r w:rsidR="001300C0" w:rsidRPr="00D11988">
        <w:rPr>
          <w:lang w:val="en-GB"/>
        </w:rPr>
        <w:t>,</w:t>
      </w:r>
      <w:r w:rsidR="00D41FD2" w:rsidRPr="006B753A">
        <w:rPr>
          <w:rStyle w:val="FootnoteReference"/>
          <w:rFonts w:ascii="Times New Roman" w:hAnsi="Times New Roman"/>
          <w:lang w:val="en-GB"/>
        </w:rPr>
        <w:footnoteReference w:id="127"/>
      </w:r>
      <w:r w:rsidR="000E7F41" w:rsidRPr="005D084F">
        <w:rPr>
          <w:lang w:val="en-GB"/>
        </w:rPr>
        <w:t xml:space="preserve"> </w:t>
      </w:r>
      <w:r w:rsidR="001F0914" w:rsidRPr="005D084F">
        <w:rPr>
          <w:lang w:val="en-GB"/>
        </w:rPr>
        <w:t>which has an impact on the quality of info</w:t>
      </w:r>
      <w:r w:rsidR="001F0914" w:rsidRPr="00D24721">
        <w:rPr>
          <w:lang w:val="en-GB"/>
        </w:rPr>
        <w:t>rmation</w:t>
      </w:r>
      <w:r w:rsidR="00113D2D" w:rsidRPr="00D24721">
        <w:rPr>
          <w:lang w:val="en-GB"/>
        </w:rPr>
        <w:t xml:space="preserve"> necessary to make informed choices</w:t>
      </w:r>
      <w:r w:rsidR="001F0914" w:rsidRPr="00D24721">
        <w:rPr>
          <w:lang w:val="en-GB"/>
        </w:rPr>
        <w:t>.</w:t>
      </w:r>
    </w:p>
    <w:p w14:paraId="466FDF9F" w14:textId="77777777" w:rsidR="00AF57E3" w:rsidRPr="00D24721" w:rsidRDefault="00AF57E3" w:rsidP="00954CEC">
      <w:pPr>
        <w:ind w:firstLine="284"/>
        <w:rPr>
          <w:lang w:val="en-GB"/>
        </w:rPr>
      </w:pPr>
    </w:p>
    <w:p w14:paraId="4CE2B924" w14:textId="77777777" w:rsidR="00686AB6" w:rsidRPr="00E05E56" w:rsidRDefault="00954CEC" w:rsidP="00954CEC">
      <w:pPr>
        <w:pStyle w:val="Heading2"/>
        <w:rPr>
          <w:rFonts w:ascii="Times New Roman" w:hAnsi="Times New Roman"/>
          <w:color w:val="auto"/>
          <w:lang w:val="en-GB"/>
        </w:rPr>
      </w:pPr>
      <w:bookmarkStart w:id="12" w:name="_Toc509931730"/>
      <w:r w:rsidRPr="00E05E56">
        <w:rPr>
          <w:rFonts w:ascii="Times New Roman" w:hAnsi="Times New Roman"/>
          <w:color w:val="auto"/>
          <w:lang w:val="en-GB"/>
        </w:rPr>
        <w:t xml:space="preserve">B. </w:t>
      </w:r>
      <w:r w:rsidR="00730BB9" w:rsidRPr="00E05E56">
        <w:rPr>
          <w:rFonts w:ascii="Times New Roman" w:hAnsi="Times New Roman"/>
          <w:color w:val="auto"/>
          <w:lang w:val="en-GB"/>
        </w:rPr>
        <w:t>ICTs and n</w:t>
      </w:r>
      <w:r w:rsidR="00A532AF" w:rsidRPr="00E05E56">
        <w:rPr>
          <w:rFonts w:ascii="Times New Roman" w:hAnsi="Times New Roman"/>
          <w:color w:val="auto"/>
          <w:lang w:val="en-GB"/>
        </w:rPr>
        <w:t>ew forms of participation</w:t>
      </w:r>
      <w:bookmarkEnd w:id="12"/>
      <w:r w:rsidR="00E66B14" w:rsidRPr="00E05E56">
        <w:rPr>
          <w:rFonts w:ascii="Times New Roman" w:hAnsi="Times New Roman"/>
          <w:color w:val="auto"/>
          <w:lang w:val="en-GB"/>
        </w:rPr>
        <w:t xml:space="preserve"> </w:t>
      </w:r>
    </w:p>
    <w:p w14:paraId="30E586E0" w14:textId="77777777" w:rsidR="00026F53" w:rsidRDefault="0032207C" w:rsidP="00F27CBB">
      <w:pPr>
        <w:ind w:firstLine="284"/>
      </w:pPr>
      <w:r w:rsidRPr="005D084F">
        <w:rPr>
          <w:lang w:val="en-GB"/>
        </w:rPr>
        <w:t xml:space="preserve">Voter turnout in Western Europe has been </w:t>
      </w:r>
      <w:r w:rsidR="00F33142" w:rsidRPr="005D084F">
        <w:rPr>
          <w:lang w:val="en-GB"/>
        </w:rPr>
        <w:t>decreasing</w:t>
      </w:r>
      <w:r w:rsidRPr="005D084F">
        <w:rPr>
          <w:lang w:val="en-GB"/>
        </w:rPr>
        <w:t xml:space="preserve"> steadily in the past decades.</w:t>
      </w:r>
      <w:r w:rsidRPr="006B753A">
        <w:rPr>
          <w:rStyle w:val="FootnoteReference"/>
          <w:rFonts w:ascii="Times New Roman" w:hAnsi="Times New Roman"/>
          <w:lang w:val="en-GB"/>
        </w:rPr>
        <w:footnoteReference w:id="128"/>
      </w:r>
      <w:r w:rsidRPr="005D084F">
        <w:rPr>
          <w:lang w:val="en-GB"/>
        </w:rPr>
        <w:t xml:space="preserve"> </w:t>
      </w:r>
      <w:r w:rsidR="00F33142" w:rsidRPr="005D084F">
        <w:rPr>
          <w:lang w:val="en-GB"/>
        </w:rPr>
        <w:t>In contrast with t</w:t>
      </w:r>
      <w:r w:rsidR="006D4C0C" w:rsidRPr="005D084F">
        <w:rPr>
          <w:lang w:val="en-GB"/>
        </w:rPr>
        <w:t>he</w:t>
      </w:r>
      <w:r w:rsidR="00F33142" w:rsidRPr="005D084F">
        <w:rPr>
          <w:lang w:val="en-GB"/>
        </w:rPr>
        <w:t xml:space="preserve"> decline</w:t>
      </w:r>
      <w:r w:rsidR="006D4C0C" w:rsidRPr="00D24721">
        <w:rPr>
          <w:lang w:val="en-GB"/>
        </w:rPr>
        <w:t xml:space="preserve"> in representative democracy</w:t>
      </w:r>
      <w:r w:rsidR="00F33142" w:rsidRPr="00D24721">
        <w:rPr>
          <w:lang w:val="en-GB"/>
        </w:rPr>
        <w:t xml:space="preserve">, new forms of </w:t>
      </w:r>
      <w:r w:rsidR="009371D0" w:rsidRPr="00D24721">
        <w:rPr>
          <w:lang w:val="en-GB"/>
        </w:rPr>
        <w:t>deliberative and participatory democracy</w:t>
      </w:r>
      <w:r w:rsidR="00F33142" w:rsidRPr="00904A38">
        <w:rPr>
          <w:lang w:val="en-GB"/>
        </w:rPr>
        <w:t xml:space="preserve"> have emerged</w:t>
      </w:r>
      <w:r w:rsidR="003C3EAB" w:rsidRPr="00972980">
        <w:rPr>
          <w:lang w:val="en-GB"/>
        </w:rPr>
        <w:t>.</w:t>
      </w:r>
      <w:r w:rsidR="00BB4716" w:rsidRPr="00F118DC">
        <w:rPr>
          <w:lang w:val="en-GB"/>
        </w:rPr>
        <w:t xml:space="preserve"> </w:t>
      </w:r>
      <w:r w:rsidR="00026F53" w:rsidRPr="00F118DC">
        <w:rPr>
          <w:lang w:val="en-GB"/>
        </w:rPr>
        <w:t>Their main purpose is to (re</w:t>
      </w:r>
      <w:r w:rsidR="00540457" w:rsidRPr="00F118DC">
        <w:rPr>
          <w:lang w:val="en-GB"/>
        </w:rPr>
        <w:t>-</w:t>
      </w:r>
      <w:r w:rsidR="00026F53" w:rsidRPr="00F118DC">
        <w:rPr>
          <w:lang w:val="en-GB"/>
        </w:rPr>
        <w:t>)connect participation with political decision.</w:t>
      </w:r>
      <w:r w:rsidR="00026F53" w:rsidRPr="006B753A">
        <w:rPr>
          <w:rStyle w:val="FootnoteReference"/>
          <w:rFonts w:ascii="Times New Roman" w:hAnsi="Times New Roman"/>
          <w:lang w:val="en-GB"/>
        </w:rPr>
        <w:footnoteReference w:id="129"/>
      </w:r>
      <w:r w:rsidR="00D15653" w:rsidRPr="005D084F">
        <w:rPr>
          <w:lang w:val="en-GB"/>
        </w:rPr>
        <w:t xml:space="preserve"> </w:t>
      </w:r>
      <w:r w:rsidR="00C947C6" w:rsidRPr="005D084F">
        <w:rPr>
          <w:lang w:val="en-GB"/>
        </w:rPr>
        <w:t>ICTs have contributed to promote the exercise of the right to participate</w:t>
      </w:r>
      <w:r w:rsidR="008E7240" w:rsidRPr="005D084F">
        <w:rPr>
          <w:lang w:val="en-GB"/>
        </w:rPr>
        <w:t>.</w:t>
      </w:r>
      <w:r w:rsidR="008B60B9" w:rsidRPr="005D084F">
        <w:rPr>
          <w:lang w:val="en-GB"/>
        </w:rPr>
        <w:t xml:space="preserve"> </w:t>
      </w:r>
      <w:r w:rsidR="005F73EA" w:rsidRPr="00D24721">
        <w:rPr>
          <w:lang w:val="en-GB"/>
        </w:rPr>
        <w:t xml:space="preserve">Thanks to technology, transparency and access to information have been </w:t>
      </w:r>
      <w:r w:rsidR="00E86D62" w:rsidRPr="00D24721">
        <w:rPr>
          <w:lang w:val="en-GB"/>
        </w:rPr>
        <w:t>facilitated</w:t>
      </w:r>
      <w:r w:rsidR="005F73EA" w:rsidRPr="00D24721">
        <w:rPr>
          <w:lang w:val="en-GB"/>
        </w:rPr>
        <w:t xml:space="preserve">, thus promoting active involvement of </w:t>
      </w:r>
      <w:r w:rsidR="00834FAE" w:rsidRPr="00904A38">
        <w:rPr>
          <w:lang w:val="en-GB"/>
        </w:rPr>
        <w:t>concerned persons</w:t>
      </w:r>
      <w:r w:rsidR="005F73EA" w:rsidRPr="00972980">
        <w:rPr>
          <w:lang w:val="en-GB"/>
        </w:rPr>
        <w:t xml:space="preserve">. </w:t>
      </w:r>
      <w:r w:rsidR="00C62412" w:rsidRPr="00F118DC">
        <w:rPr>
          <w:lang w:val="en-GB"/>
        </w:rPr>
        <w:t>Besides, o</w:t>
      </w:r>
      <w:r w:rsidR="008B60B9" w:rsidRPr="00F118DC">
        <w:rPr>
          <w:lang w:val="en-GB"/>
        </w:rPr>
        <w:t>nline participation has developed to enable more people to take part in consultation, decision-making and monitoring processes</w:t>
      </w:r>
      <w:r w:rsidR="00927AC2" w:rsidRPr="00F118DC">
        <w:rPr>
          <w:lang w:val="en-GB"/>
        </w:rPr>
        <w:t>.</w:t>
      </w:r>
      <w:r w:rsidR="00C947C6" w:rsidRPr="00F118DC">
        <w:rPr>
          <w:lang w:val="en-GB"/>
        </w:rPr>
        <w:t xml:space="preserve"> </w:t>
      </w:r>
      <w:r w:rsidR="00D15653" w:rsidRPr="006B753A">
        <w:rPr>
          <w:lang w:val="en-GB"/>
        </w:rPr>
        <w:t xml:space="preserve">Internet is widely available in the concerned countries. In Finland and France, </w:t>
      </w:r>
      <w:r w:rsidR="00D15653" w:rsidRPr="006B753A">
        <w:t>access to the Internet is even recognized as a right.</w:t>
      </w:r>
      <w:r w:rsidR="00D15653" w:rsidRPr="006B753A">
        <w:rPr>
          <w:rStyle w:val="FootnoteReference"/>
          <w:rFonts w:ascii="Times New Roman" w:hAnsi="Times New Roman"/>
        </w:rPr>
        <w:footnoteReference w:id="130"/>
      </w:r>
      <w:r w:rsidR="00684FA8" w:rsidRPr="005D084F">
        <w:t xml:space="preserve"> </w:t>
      </w:r>
    </w:p>
    <w:p w14:paraId="70740F52" w14:textId="77777777" w:rsidR="00AF57E3" w:rsidRPr="005D084F" w:rsidRDefault="00AF57E3" w:rsidP="00F27CBB">
      <w:pPr>
        <w:ind w:firstLine="284"/>
        <w:rPr>
          <w:lang w:val="en-GB"/>
        </w:rPr>
      </w:pPr>
    </w:p>
    <w:p w14:paraId="2F7CB5BA" w14:textId="77777777" w:rsidR="00EA3E6E" w:rsidRPr="00E05E56" w:rsidRDefault="006878DD" w:rsidP="00EE61E3">
      <w:pPr>
        <w:pStyle w:val="Heading3"/>
        <w:numPr>
          <w:ilvl w:val="0"/>
          <w:numId w:val="19"/>
        </w:numPr>
        <w:rPr>
          <w:rFonts w:ascii="Times New Roman" w:hAnsi="Times New Roman" w:cs="Times New Roman"/>
          <w:color w:val="auto"/>
          <w:lang w:val="en-GB"/>
        </w:rPr>
      </w:pPr>
      <w:bookmarkStart w:id="13" w:name="_Toc509931731"/>
      <w:r w:rsidRPr="00E05E56">
        <w:rPr>
          <w:rFonts w:ascii="Times New Roman" w:hAnsi="Times New Roman" w:cs="Times New Roman"/>
          <w:color w:val="auto"/>
          <w:lang w:val="en-GB"/>
        </w:rPr>
        <w:lastRenderedPageBreak/>
        <w:t>Promoting t</w:t>
      </w:r>
      <w:r w:rsidR="00F32D84" w:rsidRPr="00E05E56">
        <w:rPr>
          <w:rFonts w:ascii="Times New Roman" w:hAnsi="Times New Roman" w:cs="Times New Roman"/>
          <w:color w:val="auto"/>
          <w:lang w:val="en-GB"/>
        </w:rPr>
        <w:t>ransparency and access to information</w:t>
      </w:r>
      <w:r w:rsidRPr="00E05E56">
        <w:rPr>
          <w:rFonts w:ascii="Times New Roman" w:hAnsi="Times New Roman" w:cs="Times New Roman"/>
          <w:color w:val="auto"/>
          <w:lang w:val="en-GB"/>
        </w:rPr>
        <w:t xml:space="preserve"> through the use of</w:t>
      </w:r>
      <w:r w:rsidR="00DC3EC4" w:rsidRPr="00E05E56">
        <w:rPr>
          <w:rFonts w:ascii="Times New Roman" w:hAnsi="Times New Roman" w:cs="Times New Roman"/>
          <w:color w:val="auto"/>
          <w:lang w:val="en-GB"/>
        </w:rPr>
        <w:t xml:space="preserve"> ICTs</w:t>
      </w:r>
      <w:bookmarkEnd w:id="13"/>
    </w:p>
    <w:p w14:paraId="5E545AA3" w14:textId="77777777" w:rsidR="00EE61E3" w:rsidRPr="00E05E56" w:rsidRDefault="00EE61E3" w:rsidP="00EE61E3">
      <w:pPr>
        <w:pStyle w:val="ListParagraph"/>
        <w:ind w:left="1154" w:firstLine="0"/>
        <w:rPr>
          <w:rFonts w:ascii="Times New Roman" w:hAnsi="Times New Roman" w:cs="Times New Roman"/>
          <w:lang w:val="en-GB"/>
        </w:rPr>
      </w:pPr>
    </w:p>
    <w:p w14:paraId="652616A6" w14:textId="5344649C" w:rsidR="00AF57E3" w:rsidRDefault="007749D3" w:rsidP="00F27CBB">
      <w:pPr>
        <w:ind w:firstLine="284"/>
        <w:rPr>
          <w:rFonts w:eastAsia="Times New Roman"/>
        </w:rPr>
      </w:pPr>
      <w:r w:rsidRPr="005D084F">
        <w:rPr>
          <w:lang w:val="en-GB"/>
        </w:rPr>
        <w:t>Transparency and access to information for citizens to make informed choices have been key features of th</w:t>
      </w:r>
      <w:r w:rsidR="007C4BF2" w:rsidRPr="005D084F">
        <w:rPr>
          <w:lang w:val="en-GB"/>
        </w:rPr>
        <w:t>e recent</w:t>
      </w:r>
      <w:r w:rsidRPr="00D24721">
        <w:rPr>
          <w:lang w:val="en-GB"/>
        </w:rPr>
        <w:t xml:space="preserve"> evolution</w:t>
      </w:r>
      <w:r w:rsidR="002710DC" w:rsidRPr="00D24721">
        <w:rPr>
          <w:lang w:val="en-GB"/>
        </w:rPr>
        <w:t>, notwithstanding the rise of “fake news” and challenges related to disinformation</w:t>
      </w:r>
      <w:r w:rsidRPr="00D24721">
        <w:rPr>
          <w:lang w:val="en-GB"/>
        </w:rPr>
        <w:t>.</w:t>
      </w:r>
      <w:r w:rsidR="00D346EA" w:rsidRPr="00D24721">
        <w:rPr>
          <w:lang w:val="en-GB"/>
        </w:rPr>
        <w:t xml:space="preserve"> As far as openness and transparency in public service are concerned, the 2016 </w:t>
      </w:r>
      <w:r w:rsidR="00D346EA" w:rsidRPr="00904A38">
        <w:rPr>
          <w:rFonts w:eastAsia="Times New Roman"/>
        </w:rPr>
        <w:t>EU E-Government Report indicates that although transparency s</w:t>
      </w:r>
      <w:r w:rsidR="00D346EA" w:rsidRPr="00972980">
        <w:rPr>
          <w:rFonts w:eastAsia="Times New Roman"/>
        </w:rPr>
        <w:t>eems to be on the agenda of most governments, “results are diffuse”.</w:t>
      </w:r>
      <w:r w:rsidR="000A7807" w:rsidRPr="00F118DC">
        <w:rPr>
          <w:lang w:val="en-GB"/>
        </w:rPr>
        <w:t xml:space="preserve"> </w:t>
      </w:r>
      <w:r w:rsidR="00253465" w:rsidRPr="00F118DC">
        <w:rPr>
          <w:lang w:val="en-GB"/>
        </w:rPr>
        <w:t xml:space="preserve">According to the report, </w:t>
      </w:r>
      <w:r w:rsidR="00253465" w:rsidRPr="006B753A">
        <w:rPr>
          <w:rFonts w:eastAsia="Times New Roman"/>
        </w:rPr>
        <w:t>c</w:t>
      </w:r>
      <w:r w:rsidR="0079551B" w:rsidRPr="006B753A">
        <w:rPr>
          <w:rFonts w:eastAsia="Times New Roman"/>
        </w:rPr>
        <w:t xml:space="preserve">ountries that lead by example and practice </w:t>
      </w:r>
      <w:r w:rsidR="00AF57E3">
        <w:rPr>
          <w:rFonts w:eastAsia="Times New Roman"/>
        </w:rPr>
        <w:t>are adopting a</w:t>
      </w:r>
      <w:r w:rsidR="00AF57E3" w:rsidRPr="006B753A">
        <w:rPr>
          <w:rFonts w:eastAsia="Times New Roman"/>
        </w:rPr>
        <w:t xml:space="preserve"> </w:t>
      </w:r>
      <w:r w:rsidR="0079551B" w:rsidRPr="006B753A">
        <w:rPr>
          <w:rFonts w:eastAsia="Times New Roman"/>
        </w:rPr>
        <w:t>new attitude towards public service include Austria, Germany, Denmark, Finland, France, the Netherlands and Spain.</w:t>
      </w:r>
      <w:r w:rsidR="000A7807" w:rsidRPr="006B753A">
        <w:rPr>
          <w:rStyle w:val="FootnoteReference"/>
          <w:rFonts w:ascii="Times New Roman" w:eastAsia="Times New Roman" w:hAnsi="Times New Roman"/>
        </w:rPr>
        <w:footnoteReference w:id="131"/>
      </w:r>
      <w:r w:rsidR="00AE6562" w:rsidRPr="005D084F">
        <w:rPr>
          <w:rFonts w:eastAsia="Times New Roman"/>
        </w:rPr>
        <w:t xml:space="preserve"> </w:t>
      </w:r>
    </w:p>
    <w:p w14:paraId="013FCCAE" w14:textId="77777777" w:rsidR="00AF57E3" w:rsidRDefault="00AF57E3" w:rsidP="00F27CBB">
      <w:pPr>
        <w:ind w:firstLine="284"/>
        <w:rPr>
          <w:rFonts w:eastAsia="Times New Roman"/>
        </w:rPr>
      </w:pPr>
    </w:p>
    <w:p w14:paraId="079BD1AF" w14:textId="77777777" w:rsidR="00AF57E3" w:rsidRDefault="00AE6562" w:rsidP="00F27CBB">
      <w:pPr>
        <w:ind w:firstLine="284"/>
        <w:rPr>
          <w:lang w:val="en-GB"/>
        </w:rPr>
      </w:pPr>
      <w:r w:rsidRPr="005D084F">
        <w:rPr>
          <w:rFonts w:eastAsia="Times New Roman"/>
        </w:rPr>
        <w:t>Several positive initiatives deserve to be mentioned, amongst many more. In France, for example, the lower chamber’s data website</w:t>
      </w:r>
      <w:r w:rsidRPr="005D084F">
        <w:rPr>
          <w:rStyle w:val="FootnoteReference"/>
          <w:rFonts w:ascii="Times New Roman" w:eastAsia="Times New Roman" w:hAnsi="Times New Roman"/>
        </w:rPr>
        <w:footnoteReference w:id="132"/>
      </w:r>
      <w:r w:rsidRPr="005D084F">
        <w:rPr>
          <w:rFonts w:eastAsia="Times New Roman"/>
        </w:rPr>
        <w:t xml:space="preserve"> </w:t>
      </w:r>
      <w:r w:rsidRPr="005D084F">
        <w:rPr>
          <w:lang w:val="en-GB"/>
        </w:rPr>
        <w:t>a</w:t>
      </w:r>
      <w:proofErr w:type="spellStart"/>
      <w:r w:rsidR="005B547B" w:rsidRPr="005D084F">
        <w:t>ims</w:t>
      </w:r>
      <w:proofErr w:type="spellEnd"/>
      <w:r w:rsidR="005B547B" w:rsidRPr="005D084F">
        <w:t xml:space="preserve"> to strengthen the transparency of the legislative process and of the operation of the National Assembly.</w:t>
      </w:r>
      <w:r w:rsidR="00DD742D" w:rsidRPr="005D084F">
        <w:t xml:space="preserve"> Besides general data on the legislative files, proceedings and proposed amendments, the platform also includes information on how each deputy has voted in the past years.</w:t>
      </w:r>
      <w:r w:rsidR="007B31A6" w:rsidRPr="00D24721">
        <w:rPr>
          <w:lang w:val="en-GB"/>
        </w:rPr>
        <w:t xml:space="preserve"> In </w:t>
      </w:r>
      <w:r w:rsidR="007B31A6" w:rsidRPr="00D24721">
        <w:t>Germany</w:t>
      </w:r>
      <w:r w:rsidR="005B365C" w:rsidRPr="00904A38">
        <w:t>,</w:t>
      </w:r>
      <w:r w:rsidR="007B31A6" w:rsidRPr="00972980">
        <w:t xml:space="preserve"> the </w:t>
      </w:r>
      <w:r w:rsidR="00873047" w:rsidRPr="00F118DC">
        <w:rPr>
          <w:rFonts w:eastAsia="Times New Roman"/>
          <w:bCs/>
        </w:rPr>
        <w:t>Fed</w:t>
      </w:r>
      <w:r w:rsidR="007B31A6" w:rsidRPr="00F118DC">
        <w:rPr>
          <w:rFonts w:eastAsia="Times New Roman"/>
          <w:bCs/>
        </w:rPr>
        <w:t>eral Agency for Civic Education makes</w:t>
      </w:r>
      <w:r w:rsidR="007441BB" w:rsidRPr="00F118DC">
        <w:rPr>
          <w:rFonts w:eastAsia="Times New Roman"/>
          <w:bCs/>
        </w:rPr>
        <w:t xml:space="preserve"> available</w:t>
      </w:r>
      <w:r w:rsidR="00873047" w:rsidRPr="00F118DC">
        <w:rPr>
          <w:rFonts w:eastAsia="Times New Roman"/>
          <w:bCs/>
        </w:rPr>
        <w:t xml:space="preserve"> </w:t>
      </w:r>
      <w:r w:rsidR="00B020FF" w:rsidRPr="006B753A">
        <w:rPr>
          <w:rFonts w:eastAsia="Times New Roman"/>
          <w:bCs/>
        </w:rPr>
        <w:t>l</w:t>
      </w:r>
      <w:r w:rsidR="00873047" w:rsidRPr="006B753A">
        <w:rPr>
          <w:rFonts w:eastAsia="Times New Roman"/>
          <w:bCs/>
        </w:rPr>
        <w:t>arge amounts of information. The range of topics includes European integration, participation in politics and in society, issues relating to the economy and the financial markets, migration, and social change, as well as historical issues and democracy in general.</w:t>
      </w:r>
      <w:r w:rsidR="00873047" w:rsidRPr="006B753A">
        <w:rPr>
          <w:rStyle w:val="FootnoteReference"/>
          <w:rFonts w:ascii="Times New Roman" w:eastAsia="Times New Roman" w:hAnsi="Times New Roman"/>
          <w:bCs/>
        </w:rPr>
        <w:footnoteReference w:id="133"/>
      </w:r>
      <w:r w:rsidR="00872CDB" w:rsidRPr="005D084F">
        <w:rPr>
          <w:lang w:val="en-GB"/>
        </w:rPr>
        <w:t xml:space="preserve"> </w:t>
      </w:r>
    </w:p>
    <w:p w14:paraId="7FC7C8F7" w14:textId="77777777" w:rsidR="00AF57E3" w:rsidRDefault="00AF57E3" w:rsidP="00F27CBB">
      <w:pPr>
        <w:ind w:firstLine="284"/>
        <w:rPr>
          <w:lang w:val="en-GB"/>
        </w:rPr>
      </w:pPr>
    </w:p>
    <w:p w14:paraId="2E759F62" w14:textId="77777777" w:rsidR="00AF57E3" w:rsidRDefault="00872CDB" w:rsidP="00F27CBB">
      <w:pPr>
        <w:ind w:firstLine="284"/>
        <w:rPr>
          <w:lang w:val="en-GB"/>
        </w:rPr>
      </w:pPr>
      <w:r w:rsidRPr="005D084F">
        <w:rPr>
          <w:lang w:val="en-GB"/>
        </w:rPr>
        <w:t xml:space="preserve">In </w:t>
      </w:r>
      <w:r w:rsidRPr="005D084F">
        <w:rPr>
          <w:rFonts w:eastAsia="Times New Roman"/>
          <w:bCs/>
        </w:rPr>
        <w:t>Greece, e</w:t>
      </w:r>
      <w:r w:rsidR="00175B0B" w:rsidRPr="005D084F">
        <w:t>very municipality has the obligation to have an official website on which all decisions issued by the municipal organs are posted.</w:t>
      </w:r>
      <w:r w:rsidR="00175B0B" w:rsidRPr="006B753A">
        <w:rPr>
          <w:rStyle w:val="FootnoteReference"/>
          <w:rFonts w:ascii="Times New Roman" w:hAnsi="Times New Roman"/>
        </w:rPr>
        <w:footnoteReference w:id="134"/>
      </w:r>
      <w:r w:rsidRPr="005D084F">
        <w:rPr>
          <w:lang w:val="en-GB"/>
        </w:rPr>
        <w:t xml:space="preserve"> </w:t>
      </w:r>
      <w:r w:rsidR="00B020FF" w:rsidRPr="005D084F">
        <w:rPr>
          <w:lang w:val="en-GB"/>
        </w:rPr>
        <w:t xml:space="preserve">In Israel, </w:t>
      </w:r>
      <w:r w:rsidR="00A42755" w:rsidRPr="005D084F">
        <w:rPr>
          <w:lang w:val="en-GB"/>
        </w:rPr>
        <w:t>as part of the “Open Government Action Plan”, over 240 G</w:t>
      </w:r>
      <w:r w:rsidR="00B12C36" w:rsidRPr="005D084F">
        <w:rPr>
          <w:lang w:val="en-GB"/>
        </w:rPr>
        <w:t>overnment databases have been published online</w:t>
      </w:r>
      <w:r w:rsidR="00A42755" w:rsidRPr="006B753A">
        <w:rPr>
          <w:rStyle w:val="FootnoteReference"/>
          <w:rFonts w:ascii="Times New Roman" w:hAnsi="Times New Roman"/>
          <w:lang w:val="en-GB"/>
        </w:rPr>
        <w:footnoteReference w:id="135"/>
      </w:r>
      <w:r w:rsidR="00B12C36" w:rsidRPr="005D084F">
        <w:rPr>
          <w:lang w:val="en-GB"/>
        </w:rPr>
        <w:t xml:space="preserve"> </w:t>
      </w:r>
      <w:r w:rsidR="00A42755" w:rsidRPr="005D084F">
        <w:rPr>
          <w:lang w:val="en-GB"/>
        </w:rPr>
        <w:t xml:space="preserve">concerning more than 30 Government offices to increase transparency. </w:t>
      </w:r>
    </w:p>
    <w:p w14:paraId="71704731" w14:textId="77777777" w:rsidR="00AF57E3" w:rsidRDefault="00AF57E3" w:rsidP="00F27CBB">
      <w:pPr>
        <w:ind w:firstLine="284"/>
        <w:rPr>
          <w:lang w:val="en-GB"/>
        </w:rPr>
      </w:pPr>
    </w:p>
    <w:p w14:paraId="7B6825C6" w14:textId="77777777" w:rsidR="00AF57E3" w:rsidRDefault="00872CDB" w:rsidP="00F27CBB">
      <w:pPr>
        <w:ind w:firstLine="284"/>
      </w:pPr>
      <w:r w:rsidRPr="005D084F">
        <w:rPr>
          <w:lang w:val="en-GB"/>
        </w:rPr>
        <w:t xml:space="preserve">In the </w:t>
      </w:r>
      <w:r w:rsidRPr="005D084F">
        <w:t>Netherlands,</w:t>
      </w:r>
      <w:r w:rsidR="00C20FAE" w:rsidRPr="00D24721">
        <w:t xml:space="preserve"> “Open State”</w:t>
      </w:r>
      <w:r w:rsidR="00C20FAE" w:rsidRPr="006B753A">
        <w:rPr>
          <w:rStyle w:val="FootnoteReference"/>
          <w:rFonts w:ascii="Times New Roman" w:hAnsi="Times New Roman"/>
        </w:rPr>
        <w:footnoteReference w:id="136"/>
      </w:r>
      <w:r w:rsidRPr="005D084F">
        <w:t xml:space="preserve"> </w:t>
      </w:r>
      <w:r w:rsidR="00151EBD" w:rsidRPr="005D084F">
        <w:t>intends</w:t>
      </w:r>
      <w:r w:rsidRPr="005D084F">
        <w:t xml:space="preserve"> to i</w:t>
      </w:r>
      <w:r w:rsidR="00C20FAE" w:rsidRPr="005D084F">
        <w:t>ntroduce an “action democracy”, promote active involvement and political transparency at the municipal level.</w:t>
      </w:r>
      <w:r w:rsidR="00C20FAE" w:rsidRPr="006B753A">
        <w:rPr>
          <w:rStyle w:val="FootnoteReference"/>
          <w:rFonts w:ascii="Times New Roman" w:hAnsi="Times New Roman"/>
        </w:rPr>
        <w:footnoteReference w:id="137"/>
      </w:r>
      <w:r w:rsidR="00C20FAE" w:rsidRPr="005D084F">
        <w:t xml:space="preserve"> Citizens may address social issues themselves without the intervention of a public authority through an acc</w:t>
      </w:r>
      <w:r w:rsidR="00051289" w:rsidRPr="005D084F">
        <w:t>ess to all public sector data. It also a</w:t>
      </w:r>
      <w:r w:rsidR="00C20FAE" w:rsidRPr="00D24721">
        <w:t>llows access to detailed information on decision-making documents, including spending of the municipality/province.</w:t>
      </w:r>
    </w:p>
    <w:p w14:paraId="657E0A40" w14:textId="77777777" w:rsidR="00AF57E3" w:rsidRDefault="00AF57E3" w:rsidP="00F27CBB">
      <w:pPr>
        <w:ind w:firstLine="284"/>
      </w:pPr>
    </w:p>
    <w:p w14:paraId="2F5C13B1" w14:textId="77777777" w:rsidR="007F7B31" w:rsidRPr="005D084F" w:rsidRDefault="008F5827" w:rsidP="00F27CBB">
      <w:pPr>
        <w:ind w:firstLine="284"/>
      </w:pPr>
      <w:r w:rsidRPr="00904A38">
        <w:rPr>
          <w:lang w:val="en-GB"/>
        </w:rPr>
        <w:t xml:space="preserve"> In the </w:t>
      </w:r>
      <w:r w:rsidRPr="00904A38">
        <w:t>UK, t</w:t>
      </w:r>
      <w:r w:rsidR="00C2164F" w:rsidRPr="00972980">
        <w:t>h</w:t>
      </w:r>
      <w:r w:rsidR="00CF2144" w:rsidRPr="00F118DC">
        <w:t>e Freedom of Information Act</w:t>
      </w:r>
      <w:r w:rsidR="00C2164F" w:rsidRPr="00F118DC">
        <w:t xml:space="preserve"> adopted in 2000</w:t>
      </w:r>
      <w:r w:rsidR="00B771B6" w:rsidRPr="00F118DC">
        <w:t xml:space="preserve"> entitles any person to make a request for information to a public authority, which has to convey the information no later than 12 days following the date of receipt of the request.</w:t>
      </w:r>
      <w:r w:rsidR="00B771B6" w:rsidRPr="006B753A">
        <w:rPr>
          <w:rStyle w:val="FootnoteReference"/>
          <w:rFonts w:ascii="Times New Roman" w:hAnsi="Times New Roman"/>
        </w:rPr>
        <w:footnoteReference w:id="138"/>
      </w:r>
    </w:p>
    <w:p w14:paraId="7A6C29FD" w14:textId="77777777" w:rsidR="00192567" w:rsidRPr="005D084F" w:rsidRDefault="00192567" w:rsidP="00F27CBB">
      <w:pPr>
        <w:ind w:firstLine="284"/>
      </w:pPr>
    </w:p>
    <w:p w14:paraId="2293D40F" w14:textId="77777777" w:rsidR="00F32D84" w:rsidRDefault="007F7B31" w:rsidP="00F27CBB">
      <w:pPr>
        <w:ind w:firstLine="284"/>
        <w:rPr>
          <w:lang w:val="en-GB"/>
        </w:rPr>
      </w:pPr>
      <w:r w:rsidRPr="00D24721">
        <w:t xml:space="preserve">These developments show that </w:t>
      </w:r>
      <w:r w:rsidRPr="00D24721">
        <w:rPr>
          <w:lang w:val="en-GB"/>
        </w:rPr>
        <w:t xml:space="preserve">new </w:t>
      </w:r>
      <w:r w:rsidR="003620A0" w:rsidRPr="00904A38">
        <w:rPr>
          <w:lang w:val="en-GB"/>
        </w:rPr>
        <w:t>technologies</w:t>
      </w:r>
      <w:r w:rsidRPr="00904A38">
        <w:rPr>
          <w:lang w:val="en-GB"/>
        </w:rPr>
        <w:t xml:space="preserve"> have enabl</w:t>
      </w:r>
      <w:r w:rsidRPr="00972980">
        <w:rPr>
          <w:lang w:val="en-GB"/>
        </w:rPr>
        <w:t>ed more persons to be better informed and to participate more directly in public affairs.</w:t>
      </w:r>
    </w:p>
    <w:p w14:paraId="1C3B14C0" w14:textId="77777777" w:rsidR="00D91F4E" w:rsidRPr="00F118DC" w:rsidRDefault="00D91F4E" w:rsidP="00F27CBB">
      <w:pPr>
        <w:ind w:firstLine="284"/>
      </w:pPr>
    </w:p>
    <w:p w14:paraId="2197C04D" w14:textId="77777777" w:rsidR="000E1185" w:rsidRPr="00E05E56" w:rsidRDefault="000E1185" w:rsidP="00EE61E3">
      <w:pPr>
        <w:pStyle w:val="Heading3"/>
        <w:numPr>
          <w:ilvl w:val="0"/>
          <w:numId w:val="19"/>
        </w:numPr>
        <w:rPr>
          <w:rFonts w:ascii="Times New Roman" w:hAnsi="Times New Roman" w:cs="Times New Roman"/>
          <w:color w:val="auto"/>
          <w:lang w:val="en-GB"/>
        </w:rPr>
      </w:pPr>
      <w:bookmarkStart w:id="14" w:name="_Toc509931732"/>
      <w:r w:rsidRPr="00E05E56">
        <w:rPr>
          <w:rFonts w:ascii="Times New Roman" w:hAnsi="Times New Roman" w:cs="Times New Roman"/>
          <w:color w:val="auto"/>
          <w:lang w:val="en-GB"/>
        </w:rPr>
        <w:lastRenderedPageBreak/>
        <w:t>Involvement in</w:t>
      </w:r>
      <w:r w:rsidR="008857CB" w:rsidRPr="00E05E56">
        <w:rPr>
          <w:rFonts w:ascii="Times New Roman" w:hAnsi="Times New Roman" w:cs="Times New Roman"/>
          <w:color w:val="auto"/>
          <w:lang w:val="en-GB"/>
        </w:rPr>
        <w:t xml:space="preserve"> the consultation</w:t>
      </w:r>
      <w:r w:rsidR="00534F89" w:rsidRPr="00E05E56">
        <w:rPr>
          <w:rFonts w:ascii="Times New Roman" w:hAnsi="Times New Roman" w:cs="Times New Roman"/>
          <w:color w:val="auto"/>
          <w:lang w:val="en-GB"/>
        </w:rPr>
        <w:t xml:space="preserve"> process</w:t>
      </w:r>
      <w:bookmarkEnd w:id="14"/>
    </w:p>
    <w:p w14:paraId="55B90670" w14:textId="77777777" w:rsidR="00EE61E3" w:rsidRPr="00E05E56" w:rsidRDefault="00EE61E3" w:rsidP="00EE61E3">
      <w:pPr>
        <w:pStyle w:val="ListParagraph"/>
        <w:ind w:left="1154" w:firstLine="0"/>
        <w:rPr>
          <w:rFonts w:ascii="Times New Roman" w:hAnsi="Times New Roman" w:cs="Times New Roman"/>
          <w:lang w:val="en-GB"/>
        </w:rPr>
      </w:pPr>
    </w:p>
    <w:p w14:paraId="3638E6EE" w14:textId="77777777" w:rsidR="00D91F4E" w:rsidRDefault="00684FA8" w:rsidP="00F556B9">
      <w:pPr>
        <w:ind w:firstLine="284"/>
        <w:rPr>
          <w:lang w:val="en-GB"/>
        </w:rPr>
      </w:pPr>
      <w:r w:rsidRPr="005D084F">
        <w:t xml:space="preserve">New forms of participation have developed regarding the various stages of the decision-making process. </w:t>
      </w:r>
      <w:r w:rsidR="00A72F23" w:rsidRPr="005D084F">
        <w:t xml:space="preserve">During the consultation phase, </w:t>
      </w:r>
      <w:r w:rsidR="00A72F23" w:rsidRPr="005D084F">
        <w:rPr>
          <w:rFonts w:eastAsia="Times New Roman"/>
        </w:rPr>
        <w:t>the I</w:t>
      </w:r>
      <w:r w:rsidR="00D622DE" w:rsidRPr="00D24721">
        <w:rPr>
          <w:rFonts w:eastAsia="Times New Roman"/>
        </w:rPr>
        <w:t xml:space="preserve">nternet can be used to foster </w:t>
      </w:r>
      <w:r w:rsidR="0071494D" w:rsidRPr="00D24721">
        <w:rPr>
          <w:rFonts w:eastAsia="Times New Roman"/>
        </w:rPr>
        <w:t xml:space="preserve">direct </w:t>
      </w:r>
      <w:r w:rsidR="00815B09" w:rsidRPr="00D24721">
        <w:rPr>
          <w:rFonts w:eastAsia="Times New Roman"/>
        </w:rPr>
        <w:t xml:space="preserve">influence on </w:t>
      </w:r>
      <w:r w:rsidR="00D622DE" w:rsidRPr="00D24721">
        <w:rPr>
          <w:rFonts w:eastAsia="Times New Roman"/>
        </w:rPr>
        <w:t xml:space="preserve">political </w:t>
      </w:r>
      <w:r w:rsidR="00815B09" w:rsidRPr="00904A38">
        <w:rPr>
          <w:rFonts w:eastAsia="Times New Roman"/>
        </w:rPr>
        <w:t>and public affairs</w:t>
      </w:r>
      <w:r w:rsidR="00A72F23" w:rsidRPr="00904A38">
        <w:rPr>
          <w:rFonts w:eastAsia="Times New Roman"/>
        </w:rPr>
        <w:t>. Examples</w:t>
      </w:r>
      <w:r w:rsidR="00377604" w:rsidRPr="00972980">
        <w:rPr>
          <w:rFonts w:eastAsia="Times New Roman"/>
        </w:rPr>
        <w:t xml:space="preserve"> </w:t>
      </w:r>
      <w:r w:rsidR="0041073C" w:rsidRPr="00F118DC">
        <w:rPr>
          <w:rFonts w:eastAsia="Times New Roman"/>
        </w:rPr>
        <w:t>are</w:t>
      </w:r>
      <w:r w:rsidR="00377604" w:rsidRPr="00F118DC">
        <w:rPr>
          <w:rFonts w:eastAsia="Times New Roman"/>
        </w:rPr>
        <w:t xml:space="preserve"> many.</w:t>
      </w:r>
      <w:r w:rsidR="00377604" w:rsidRPr="006B753A">
        <w:rPr>
          <w:rStyle w:val="FootnoteReference"/>
          <w:rFonts w:ascii="Times New Roman" w:hAnsi="Times New Roman"/>
          <w:lang w:val="en-GB"/>
        </w:rPr>
        <w:footnoteReference w:id="139"/>
      </w:r>
      <w:r w:rsidR="00056F78" w:rsidRPr="005D084F">
        <w:rPr>
          <w:lang w:val="en-GB"/>
        </w:rPr>
        <w:t xml:space="preserve"> In </w:t>
      </w:r>
      <w:r w:rsidR="008B217A" w:rsidRPr="005D084F">
        <w:rPr>
          <w:lang w:val="en-GB"/>
        </w:rPr>
        <w:t xml:space="preserve">Denmark, the </w:t>
      </w:r>
      <w:proofErr w:type="spellStart"/>
      <w:r w:rsidR="008B217A" w:rsidRPr="005D084F">
        <w:rPr>
          <w:lang w:val="en-GB"/>
        </w:rPr>
        <w:t>eDem</w:t>
      </w:r>
      <w:proofErr w:type="spellEnd"/>
      <w:r w:rsidR="008B217A" w:rsidRPr="005D084F">
        <w:rPr>
          <w:lang w:val="en-GB"/>
        </w:rPr>
        <w:t xml:space="preserve"> platform promotes</w:t>
      </w:r>
      <w:r w:rsidR="005272F3" w:rsidRPr="005D084F">
        <w:rPr>
          <w:lang w:val="en-GB"/>
        </w:rPr>
        <w:t xml:space="preserve"> dialogue at the national and at the local level</w:t>
      </w:r>
      <w:r w:rsidR="00D622DE" w:rsidRPr="005D084F">
        <w:rPr>
          <w:lang w:val="en-GB"/>
        </w:rPr>
        <w:t>s</w:t>
      </w:r>
      <w:r w:rsidR="008B217A" w:rsidRPr="005D084F">
        <w:rPr>
          <w:lang w:val="en-GB"/>
        </w:rPr>
        <w:t>.</w:t>
      </w:r>
      <w:r w:rsidR="005272F3" w:rsidRPr="006B753A">
        <w:rPr>
          <w:rStyle w:val="FootnoteReference"/>
          <w:rFonts w:ascii="Times New Roman" w:hAnsi="Times New Roman"/>
          <w:lang w:val="en-GB"/>
        </w:rPr>
        <w:footnoteReference w:id="140"/>
      </w:r>
      <w:r w:rsidR="00500090" w:rsidRPr="005D084F">
        <w:rPr>
          <w:lang w:val="en-GB"/>
        </w:rPr>
        <w:t xml:space="preserve"> </w:t>
      </w:r>
      <w:r w:rsidR="00B05F4C" w:rsidRPr="005D084F">
        <w:rPr>
          <w:lang w:val="en-GB"/>
        </w:rPr>
        <w:t>In Finland, public e-participation is encouraged through various in</w:t>
      </w:r>
      <w:r w:rsidR="00BE0BDF" w:rsidRPr="005D084F">
        <w:rPr>
          <w:lang w:val="en-GB"/>
        </w:rPr>
        <w:t>i</w:t>
      </w:r>
      <w:r w:rsidR="00B05F4C" w:rsidRPr="00D24721">
        <w:rPr>
          <w:lang w:val="en-GB"/>
        </w:rPr>
        <w:t xml:space="preserve">tiatives. </w:t>
      </w:r>
      <w:r w:rsidR="00BE0BDF" w:rsidRPr="00D24721">
        <w:rPr>
          <w:lang w:val="en-GB"/>
        </w:rPr>
        <w:t xml:space="preserve">Citizens with voting rights can </w:t>
      </w:r>
      <w:r w:rsidR="00F97EF2" w:rsidRPr="00D24721">
        <w:rPr>
          <w:lang w:val="en-GB"/>
        </w:rPr>
        <w:t>launch initiatives to propose new laws, amend existing laws or propose the withdrawal of existing legislation.</w:t>
      </w:r>
      <w:r w:rsidR="00F97EF2" w:rsidRPr="006B753A">
        <w:rPr>
          <w:rStyle w:val="FootnoteReference"/>
          <w:rFonts w:ascii="Times New Roman" w:hAnsi="Times New Roman"/>
          <w:lang w:val="en-GB"/>
        </w:rPr>
        <w:footnoteReference w:id="141"/>
      </w:r>
      <w:r w:rsidR="007B59A8" w:rsidRPr="005D084F">
        <w:rPr>
          <w:lang w:val="en-GB"/>
        </w:rPr>
        <w:t xml:space="preserve"> A similar service is available at the local level.</w:t>
      </w:r>
      <w:r w:rsidR="007B59A8" w:rsidRPr="005D084F">
        <w:rPr>
          <w:rStyle w:val="FootnoteReference"/>
          <w:rFonts w:ascii="Times New Roman" w:hAnsi="Times New Roman"/>
          <w:lang w:val="en-GB"/>
        </w:rPr>
        <w:footnoteReference w:id="142"/>
      </w:r>
      <w:r w:rsidR="001C72B5" w:rsidRPr="005D084F">
        <w:rPr>
          <w:lang w:val="en-GB"/>
        </w:rPr>
        <w:t xml:space="preserve"> Another online </w:t>
      </w:r>
      <w:r w:rsidR="003E633E" w:rsidRPr="005D084F">
        <w:rPr>
          <w:lang w:val="en-GB"/>
        </w:rPr>
        <w:t xml:space="preserve">consultation </w:t>
      </w:r>
      <w:r w:rsidR="001C72B5" w:rsidRPr="005D084F">
        <w:rPr>
          <w:lang w:val="en-GB"/>
        </w:rPr>
        <w:t>platform for dialogue is open to the public in general.</w:t>
      </w:r>
      <w:r w:rsidR="003E633E" w:rsidRPr="006B753A">
        <w:rPr>
          <w:rStyle w:val="FootnoteReference"/>
          <w:rFonts w:ascii="Times New Roman" w:hAnsi="Times New Roman"/>
          <w:lang w:val="en-GB"/>
        </w:rPr>
        <w:footnoteReference w:id="143"/>
      </w:r>
    </w:p>
    <w:p w14:paraId="4000160C" w14:textId="77777777" w:rsidR="00D91F4E" w:rsidRDefault="00D91F4E" w:rsidP="00F556B9">
      <w:pPr>
        <w:ind w:firstLine="284"/>
        <w:rPr>
          <w:lang w:val="en-GB"/>
        </w:rPr>
      </w:pPr>
    </w:p>
    <w:p w14:paraId="5E5A9F2D" w14:textId="0CE874EC" w:rsidR="00D91F4E" w:rsidRDefault="008B217A" w:rsidP="00D91F4E">
      <w:pPr>
        <w:ind w:firstLine="284"/>
        <w:rPr>
          <w:lang w:val="en-GB"/>
        </w:rPr>
      </w:pPr>
      <w:r w:rsidRPr="005D084F">
        <w:rPr>
          <w:lang w:val="en-GB"/>
        </w:rPr>
        <w:t xml:space="preserve">In </w:t>
      </w:r>
      <w:r w:rsidRPr="005D084F">
        <w:t>France</w:t>
      </w:r>
      <w:r w:rsidR="00054674" w:rsidRPr="005D084F">
        <w:t>,</w:t>
      </w:r>
      <w:r w:rsidRPr="005D084F">
        <w:t xml:space="preserve"> the</w:t>
      </w:r>
      <w:r w:rsidR="00D23426" w:rsidRPr="00D24721">
        <w:t xml:space="preserve"> </w:t>
      </w:r>
      <w:r w:rsidR="004A7826" w:rsidRPr="00D24721">
        <w:t xml:space="preserve">National Assembly data’s website </w:t>
      </w:r>
      <w:r w:rsidR="00272B13" w:rsidRPr="00D24721">
        <w:t>mentioned above</w:t>
      </w:r>
      <w:r w:rsidR="002F3517" w:rsidRPr="006B753A">
        <w:rPr>
          <w:rStyle w:val="FootnoteReference"/>
          <w:rFonts w:ascii="Times New Roman" w:hAnsi="Times New Roman"/>
        </w:rPr>
        <w:footnoteReference w:id="144"/>
      </w:r>
      <w:r w:rsidR="00973D7C" w:rsidRPr="005D084F">
        <w:t xml:space="preserve"> </w:t>
      </w:r>
      <w:r w:rsidRPr="005D084F">
        <w:t>also</w:t>
      </w:r>
      <w:r w:rsidR="00973D7C" w:rsidRPr="005D084F">
        <w:rPr>
          <w:lang w:val="en-GB"/>
        </w:rPr>
        <w:t xml:space="preserve"> aims to strengthen ties between citizens and their representatives. </w:t>
      </w:r>
      <w:r w:rsidR="00E77738" w:rsidRPr="005D084F">
        <w:rPr>
          <w:lang w:val="en-GB"/>
        </w:rPr>
        <w:t>It is used to c</w:t>
      </w:r>
      <w:r w:rsidR="00E77738" w:rsidRPr="005D084F">
        <w:t>all</w:t>
      </w:r>
      <w:r w:rsidR="00973D7C" w:rsidRPr="00D24721">
        <w:t xml:space="preserve"> on the opinion and expertise of in</w:t>
      </w:r>
      <w:r w:rsidR="00876225" w:rsidRPr="00D24721">
        <w:t>ternet user</w:t>
      </w:r>
      <w:r w:rsidR="00973D7C" w:rsidRPr="00D24721">
        <w:t>s</w:t>
      </w:r>
      <w:r w:rsidR="00876225" w:rsidRPr="00D24721">
        <w:t xml:space="preserve"> m</w:t>
      </w:r>
      <w:r w:rsidR="00876225" w:rsidRPr="00904A38">
        <w:t>ore generally</w:t>
      </w:r>
      <w:r w:rsidR="00973D7C" w:rsidRPr="00904A38">
        <w:t xml:space="preserve">. </w:t>
      </w:r>
      <w:r w:rsidR="00876225" w:rsidRPr="00F118DC">
        <w:t>All internet users</w:t>
      </w:r>
      <w:r w:rsidR="00973D7C" w:rsidRPr="00F118DC">
        <w:t xml:space="preserve"> can submit contributions to studies developed by rapporteurs in charge of sp</w:t>
      </w:r>
      <w:r w:rsidR="003A61B0" w:rsidRPr="00F118DC">
        <w:t>ecific legislative bills, who can</w:t>
      </w:r>
      <w:r w:rsidR="00D622DE" w:rsidRPr="00F118DC">
        <w:t xml:space="preserve"> annex them to their reports</w:t>
      </w:r>
      <w:r w:rsidR="003A61B0" w:rsidRPr="006B753A">
        <w:t>.</w:t>
      </w:r>
      <w:r w:rsidR="00257702" w:rsidRPr="006B753A">
        <w:rPr>
          <w:lang w:val="en-GB"/>
        </w:rPr>
        <w:t xml:space="preserve"> In </w:t>
      </w:r>
      <w:r w:rsidR="00257702" w:rsidRPr="006B753A">
        <w:t>Germany,</w:t>
      </w:r>
      <w:r w:rsidR="00D01DB6" w:rsidRPr="006B753A">
        <w:t xml:space="preserve"> </w:t>
      </w:r>
      <w:r w:rsidR="00EC0C09" w:rsidRPr="006B753A">
        <w:t xml:space="preserve">the </w:t>
      </w:r>
      <w:r w:rsidR="00257702" w:rsidRPr="006B753A">
        <w:t>“</w:t>
      </w:r>
      <w:proofErr w:type="spellStart"/>
      <w:r w:rsidR="00D01DB6" w:rsidRPr="006B753A">
        <w:t>eOpinio</w:t>
      </w:r>
      <w:proofErr w:type="spellEnd"/>
      <w:r w:rsidR="00257702" w:rsidRPr="006B753A">
        <w:t>”</w:t>
      </w:r>
      <w:r w:rsidR="00D622DE" w:rsidRPr="006B753A">
        <w:t xml:space="preserve"> </w:t>
      </w:r>
      <w:r w:rsidR="00EC0C09" w:rsidRPr="006B753A">
        <w:t>platform</w:t>
      </w:r>
      <w:r w:rsidR="00B24481" w:rsidRPr="00AF57E3">
        <w:rPr>
          <w:rStyle w:val="FootnoteReference"/>
          <w:rFonts w:ascii="Times New Roman" w:hAnsi="Times New Roman"/>
        </w:rPr>
        <w:footnoteReference w:id="145"/>
      </w:r>
      <w:r w:rsidR="00EC0C09" w:rsidRPr="005D084F">
        <w:t xml:space="preserve"> </w:t>
      </w:r>
      <w:r w:rsidR="00D622DE" w:rsidRPr="005D084F">
        <w:rPr>
          <w:rFonts w:eastAsia="Times New Roman"/>
        </w:rPr>
        <w:t>enables citizens to have their opinions</w:t>
      </w:r>
      <w:r w:rsidR="00F167BB" w:rsidRPr="005D084F">
        <w:rPr>
          <w:rFonts w:eastAsia="Times New Roman"/>
        </w:rPr>
        <w:t xml:space="preserve"> included in political decision-</w:t>
      </w:r>
      <w:r w:rsidR="00D622DE" w:rsidRPr="005D084F">
        <w:rPr>
          <w:rFonts w:eastAsia="Times New Roman"/>
        </w:rPr>
        <w:t>making processes at the local level (citizen survey, participatory budget, suggestions, questions, participation in planning processes for public buildings or streets)</w:t>
      </w:r>
      <w:r w:rsidR="009538E7" w:rsidRPr="00D24721">
        <w:rPr>
          <w:rFonts w:eastAsia="Times New Roman"/>
        </w:rPr>
        <w:t>.</w:t>
      </w:r>
      <w:r w:rsidR="00D622DE" w:rsidRPr="006B753A">
        <w:rPr>
          <w:rStyle w:val="FootnoteReference"/>
          <w:rFonts w:ascii="Times New Roman" w:eastAsia="Times New Roman" w:hAnsi="Times New Roman"/>
        </w:rPr>
        <w:footnoteReference w:id="146"/>
      </w:r>
      <w:r w:rsidR="00322283" w:rsidRPr="005D084F">
        <w:rPr>
          <w:lang w:val="en-GB"/>
        </w:rPr>
        <w:t xml:space="preserve"> </w:t>
      </w:r>
    </w:p>
    <w:p w14:paraId="559972DD" w14:textId="77777777" w:rsidR="00D91F4E" w:rsidRDefault="00D91F4E" w:rsidP="00D91F4E">
      <w:pPr>
        <w:ind w:firstLine="284"/>
        <w:rPr>
          <w:lang w:val="en-GB"/>
        </w:rPr>
      </w:pPr>
    </w:p>
    <w:p w14:paraId="7AD8693D" w14:textId="77777777" w:rsidR="00573FE8" w:rsidRPr="005D084F" w:rsidRDefault="002A1EB1" w:rsidP="00D91F4E">
      <w:pPr>
        <w:ind w:firstLine="284"/>
        <w:rPr>
          <w:lang w:val="en-GB"/>
        </w:rPr>
      </w:pPr>
      <w:r w:rsidRPr="005D084F">
        <w:rPr>
          <w:lang w:val="en-GB"/>
        </w:rPr>
        <w:t xml:space="preserve">In Israel, the city of Tel Aviv has adopted a “smart city” strategy whereby digital services enable local residents’ participation through the </w:t>
      </w:r>
      <w:proofErr w:type="spellStart"/>
      <w:r w:rsidRPr="005D084F">
        <w:rPr>
          <w:lang w:val="en-GB"/>
        </w:rPr>
        <w:t>Digitel</w:t>
      </w:r>
      <w:proofErr w:type="spellEnd"/>
      <w:r w:rsidRPr="005D084F">
        <w:rPr>
          <w:lang w:val="en-GB"/>
        </w:rPr>
        <w:t xml:space="preserve"> platform.</w:t>
      </w:r>
      <w:r w:rsidR="007D0B96" w:rsidRPr="00D24721">
        <w:rPr>
          <w:lang w:val="en-GB"/>
        </w:rPr>
        <w:t xml:space="preserve"> The </w:t>
      </w:r>
      <w:proofErr w:type="spellStart"/>
      <w:r w:rsidR="007D0B96" w:rsidRPr="00D24721">
        <w:rPr>
          <w:lang w:val="en-GB"/>
        </w:rPr>
        <w:t>Digitel</w:t>
      </w:r>
      <w:proofErr w:type="spellEnd"/>
      <w:r w:rsidR="007D0B96" w:rsidRPr="00D24721">
        <w:rPr>
          <w:lang w:val="en-GB"/>
        </w:rPr>
        <w:t xml:space="preserve"> Residents Club is open to all residents of Tel Aviv aged 13 and older.</w:t>
      </w:r>
      <w:r w:rsidRPr="006B753A">
        <w:rPr>
          <w:rStyle w:val="FootnoteReference"/>
          <w:rFonts w:ascii="Times New Roman" w:hAnsi="Times New Roman"/>
          <w:lang w:val="en-GB"/>
        </w:rPr>
        <w:footnoteReference w:id="147"/>
      </w:r>
      <w:r w:rsidRPr="005D084F">
        <w:rPr>
          <w:lang w:val="en-GB"/>
        </w:rPr>
        <w:t xml:space="preserve"> </w:t>
      </w:r>
      <w:r w:rsidR="001D1E49" w:rsidRPr="005D084F">
        <w:rPr>
          <w:lang w:val="en-GB"/>
        </w:rPr>
        <w:t>In Italy, the “</w:t>
      </w:r>
      <w:proofErr w:type="spellStart"/>
      <w:r w:rsidR="001D1E49" w:rsidRPr="005D084F">
        <w:rPr>
          <w:lang w:val="en-GB"/>
        </w:rPr>
        <w:t>Monithon</w:t>
      </w:r>
      <w:proofErr w:type="spellEnd"/>
      <w:r w:rsidR="001D1E49" w:rsidRPr="005D084F">
        <w:rPr>
          <w:lang w:val="en-GB"/>
        </w:rPr>
        <w:t>” platform provides an</w:t>
      </w:r>
      <w:r w:rsidR="00314A40" w:rsidRPr="005D084F">
        <w:rPr>
          <w:lang w:val="en-GB"/>
        </w:rPr>
        <w:t>other</w:t>
      </w:r>
      <w:r w:rsidR="001D1E49" w:rsidRPr="005D084F">
        <w:rPr>
          <w:lang w:val="en-GB"/>
        </w:rPr>
        <w:t xml:space="preserve"> example of civil society consultation.</w:t>
      </w:r>
      <w:r w:rsidR="001D1E49" w:rsidRPr="006B753A">
        <w:rPr>
          <w:rStyle w:val="FootnoteReference"/>
          <w:rFonts w:ascii="Times New Roman" w:hAnsi="Times New Roman"/>
          <w:lang w:val="en-GB"/>
        </w:rPr>
        <w:footnoteReference w:id="148"/>
      </w:r>
      <w:r w:rsidR="001D1E49" w:rsidRPr="005D084F">
        <w:rPr>
          <w:lang w:val="en-GB"/>
        </w:rPr>
        <w:t xml:space="preserve"> </w:t>
      </w:r>
      <w:r w:rsidR="00501E62" w:rsidRPr="005D084F">
        <w:rPr>
          <w:lang w:val="en-GB"/>
        </w:rPr>
        <w:t>The platform promotes monitoring of development project funded by the Italian Government and the EU</w:t>
      </w:r>
      <w:r w:rsidR="00690B11" w:rsidRPr="005D084F">
        <w:rPr>
          <w:lang w:val="en-GB"/>
        </w:rPr>
        <w:t xml:space="preserve"> by the civil society and individuals</w:t>
      </w:r>
      <w:r w:rsidR="00501E62" w:rsidRPr="005D084F">
        <w:rPr>
          <w:lang w:val="en-GB"/>
        </w:rPr>
        <w:t>.</w:t>
      </w:r>
      <w:r w:rsidR="000578AE" w:rsidRPr="006B753A">
        <w:rPr>
          <w:rStyle w:val="FootnoteReference"/>
          <w:rFonts w:ascii="Times New Roman" w:hAnsi="Times New Roman"/>
          <w:lang w:val="en-GB"/>
        </w:rPr>
        <w:footnoteReference w:id="149"/>
      </w:r>
      <w:r w:rsidR="00501E62" w:rsidRPr="005D084F">
        <w:rPr>
          <w:lang w:val="en-GB"/>
        </w:rPr>
        <w:t xml:space="preserve"> </w:t>
      </w:r>
      <w:r w:rsidR="00322283" w:rsidRPr="005D084F">
        <w:rPr>
          <w:lang w:val="en-GB"/>
        </w:rPr>
        <w:t xml:space="preserve">In </w:t>
      </w:r>
      <w:r w:rsidR="007A0A71" w:rsidRPr="005D084F">
        <w:t>Malta,</w:t>
      </w:r>
      <w:r w:rsidR="00B814A5" w:rsidRPr="005D084F">
        <w:t xml:space="preserve"> online public consultation</w:t>
      </w:r>
      <w:r w:rsidR="007A0A71" w:rsidRPr="00D24721">
        <w:t xml:space="preserve"> is also </w:t>
      </w:r>
      <w:r w:rsidR="007A0A71" w:rsidRPr="00D24721">
        <w:rPr>
          <w:lang w:val="en-GB"/>
        </w:rPr>
        <w:t>organised</w:t>
      </w:r>
      <w:r w:rsidR="00F8126C" w:rsidRPr="00904A38">
        <w:rPr>
          <w:lang w:val="en-GB"/>
        </w:rPr>
        <w:t xml:space="preserve"> through a platform</w:t>
      </w:r>
      <w:r w:rsidR="001E1003" w:rsidRPr="00904A38">
        <w:rPr>
          <w:lang w:val="en-GB"/>
        </w:rPr>
        <w:t xml:space="preserve"> set up by the </w:t>
      </w:r>
      <w:r w:rsidR="00B814A5" w:rsidRPr="00972980">
        <w:rPr>
          <w:rFonts w:eastAsia="Times New Roman"/>
          <w:shd w:val="clear" w:color="auto" w:fill="FFFFFF"/>
          <w:lang w:val="en-GB"/>
        </w:rPr>
        <w:t xml:space="preserve">Government </w:t>
      </w:r>
      <w:r w:rsidR="001E1003" w:rsidRPr="00F118DC">
        <w:rPr>
          <w:rFonts w:eastAsia="Times New Roman"/>
          <w:shd w:val="clear" w:color="auto" w:fill="FFFFFF"/>
          <w:lang w:val="en-GB"/>
        </w:rPr>
        <w:t xml:space="preserve">to encourage </w:t>
      </w:r>
      <w:r w:rsidR="00D3557E" w:rsidRPr="00F118DC">
        <w:rPr>
          <w:rFonts w:eastAsia="Times New Roman"/>
          <w:shd w:val="clear" w:color="auto" w:fill="FFFFFF"/>
          <w:lang w:val="en-GB"/>
        </w:rPr>
        <w:t>“</w:t>
      </w:r>
      <w:r w:rsidR="00B814A5" w:rsidRPr="00F118DC">
        <w:rPr>
          <w:rFonts w:eastAsia="Times New Roman"/>
          <w:shd w:val="clear" w:color="auto" w:fill="FFFFFF"/>
          <w:lang w:val="en-GB"/>
        </w:rPr>
        <w:t xml:space="preserve">the general public, civil society organisations, trade unions, </w:t>
      </w:r>
      <w:r w:rsidR="00B814A5" w:rsidRPr="00F118DC">
        <w:rPr>
          <w:rFonts w:eastAsia="Times New Roman"/>
          <w:shd w:val="clear" w:color="auto" w:fill="FFFFFF"/>
          <w:lang w:val="en-GB"/>
        </w:rPr>
        <w:lastRenderedPageBreak/>
        <w:t>business organisations, political parties, governmental institutions and all others that would like to contribute, to participate in the process of online public consultation.”</w:t>
      </w:r>
      <w:r w:rsidR="00C82C9C" w:rsidRPr="006B753A">
        <w:rPr>
          <w:rStyle w:val="FootnoteReference"/>
          <w:rFonts w:ascii="Times New Roman" w:hAnsi="Times New Roman"/>
          <w:lang w:val="en-GB"/>
        </w:rPr>
        <w:t xml:space="preserve"> </w:t>
      </w:r>
      <w:r w:rsidR="00C82C9C" w:rsidRPr="006B753A">
        <w:rPr>
          <w:rStyle w:val="FootnoteReference"/>
          <w:rFonts w:ascii="Times New Roman" w:hAnsi="Times New Roman"/>
          <w:lang w:val="en-GB"/>
        </w:rPr>
        <w:footnoteReference w:id="150"/>
      </w:r>
      <w:r w:rsidR="009108D8" w:rsidRPr="005D084F">
        <w:rPr>
          <w:lang w:val="en-GB"/>
        </w:rPr>
        <w:t xml:space="preserve"> </w:t>
      </w:r>
    </w:p>
    <w:p w14:paraId="62C4C95B" w14:textId="77777777" w:rsidR="00A117A3" w:rsidRPr="006B753A" w:rsidRDefault="00A117A3" w:rsidP="00F556B9">
      <w:pPr>
        <w:ind w:firstLine="284"/>
        <w:rPr>
          <w:lang w:val="en-GB"/>
        </w:rPr>
      </w:pPr>
    </w:p>
    <w:p w14:paraId="326DA0C5" w14:textId="7448A94D" w:rsidR="00A006D8" w:rsidRDefault="0071494D" w:rsidP="00F556B9">
      <w:pPr>
        <w:widowControl w:val="0"/>
        <w:autoSpaceDE w:val="0"/>
        <w:autoSpaceDN w:val="0"/>
        <w:adjustRightInd w:val="0"/>
        <w:ind w:firstLine="284"/>
      </w:pPr>
      <w:r w:rsidRPr="006B753A">
        <w:t xml:space="preserve">Examples of how </w:t>
      </w:r>
      <w:r w:rsidR="00D91F4E">
        <w:t>rights holders</w:t>
      </w:r>
      <w:r w:rsidR="00D91F4E" w:rsidRPr="006B753A">
        <w:t xml:space="preserve"> </w:t>
      </w:r>
      <w:r w:rsidRPr="006B753A">
        <w:t xml:space="preserve">are involved </w:t>
      </w:r>
      <w:r w:rsidR="00455079" w:rsidRPr="006B753A">
        <w:t xml:space="preserve">through consultative mechanisms have also been </w:t>
      </w:r>
      <w:r w:rsidR="00026248" w:rsidRPr="006B753A">
        <w:t>identified</w:t>
      </w:r>
      <w:r w:rsidR="00455079" w:rsidRPr="006B753A">
        <w:t xml:space="preserve"> </w:t>
      </w:r>
      <w:r w:rsidR="00431A5D" w:rsidRPr="006B753A">
        <w:t xml:space="preserve">in Greece notably, where </w:t>
      </w:r>
      <w:r w:rsidRPr="00AF57E3">
        <w:t>m</w:t>
      </w:r>
      <w:r w:rsidR="00202E46" w:rsidRPr="00AF57E3">
        <w:t>unicipalities and regions may establish committees composed of civil society representatives, which are then consulted by local government before it draws up the budget and social policy measures</w:t>
      </w:r>
      <w:r w:rsidR="00431A5D" w:rsidRPr="00AF57E3">
        <w:t>.</w:t>
      </w:r>
      <w:r w:rsidR="00202E46" w:rsidRPr="00AF57E3">
        <w:rPr>
          <w:rStyle w:val="FootnoteReference"/>
          <w:rFonts w:ascii="Times New Roman" w:hAnsi="Times New Roman"/>
        </w:rPr>
        <w:footnoteReference w:id="151"/>
      </w:r>
      <w:r w:rsidR="00431A5D" w:rsidRPr="005D084F">
        <w:t xml:space="preserve"> In </w:t>
      </w:r>
      <w:r w:rsidRPr="005D084F">
        <w:rPr>
          <w:rFonts w:eastAsia="Times New Roman"/>
          <w:shd w:val="clear" w:color="auto" w:fill="FFFFFF"/>
        </w:rPr>
        <w:t>Norway</w:t>
      </w:r>
      <w:r w:rsidR="00431A5D" w:rsidRPr="005D084F">
        <w:rPr>
          <w:rFonts w:eastAsia="Times New Roman"/>
          <w:shd w:val="clear" w:color="auto" w:fill="FFFFFF"/>
        </w:rPr>
        <w:t>, c</w:t>
      </w:r>
      <w:r w:rsidRPr="005D084F">
        <w:t>onsultative mechanisms inv</w:t>
      </w:r>
      <w:r w:rsidR="00431A5D" w:rsidRPr="005D084F">
        <w:t xml:space="preserve">olving under-represented groups have </w:t>
      </w:r>
      <w:r w:rsidR="00431A5D" w:rsidRPr="00D24721">
        <w:t>also been</w:t>
      </w:r>
      <w:r w:rsidR="00C50069" w:rsidRPr="00D24721">
        <w:t xml:space="preserve"> identified</w:t>
      </w:r>
      <w:r w:rsidR="00431A5D" w:rsidRPr="00904A38">
        <w:t>, for example</w:t>
      </w:r>
      <w:r w:rsidRPr="00904A38">
        <w:t xml:space="preserve"> a contact committee for immigrants and the authorities, which advises the Government on the views of persons with an immigrant background with regard to State policy.</w:t>
      </w:r>
      <w:r w:rsidRPr="006B753A">
        <w:rPr>
          <w:rStyle w:val="FootnoteReference"/>
          <w:rFonts w:ascii="Times New Roman" w:hAnsi="Times New Roman"/>
        </w:rPr>
        <w:footnoteReference w:id="152"/>
      </w:r>
    </w:p>
    <w:p w14:paraId="32BD70F2" w14:textId="77777777" w:rsidR="00D91F4E" w:rsidRDefault="00D91F4E" w:rsidP="00F556B9">
      <w:pPr>
        <w:widowControl w:val="0"/>
        <w:autoSpaceDE w:val="0"/>
        <w:autoSpaceDN w:val="0"/>
        <w:adjustRightInd w:val="0"/>
        <w:ind w:firstLine="284"/>
      </w:pPr>
    </w:p>
    <w:p w14:paraId="072F88A3" w14:textId="77777777" w:rsidR="00D91F4E" w:rsidRPr="005D084F" w:rsidRDefault="00D91F4E" w:rsidP="00F556B9">
      <w:pPr>
        <w:widowControl w:val="0"/>
        <w:autoSpaceDE w:val="0"/>
        <w:autoSpaceDN w:val="0"/>
        <w:adjustRightInd w:val="0"/>
        <w:ind w:firstLine="284"/>
      </w:pPr>
    </w:p>
    <w:p w14:paraId="4599817F" w14:textId="77777777" w:rsidR="00777F49" w:rsidRPr="00E05E56" w:rsidRDefault="00F27CBB" w:rsidP="00F27CBB">
      <w:pPr>
        <w:pStyle w:val="Heading3"/>
        <w:rPr>
          <w:rFonts w:ascii="Times New Roman" w:hAnsi="Times New Roman" w:cs="Times New Roman"/>
          <w:color w:val="auto"/>
          <w:lang w:val="en-GB"/>
        </w:rPr>
      </w:pPr>
      <w:bookmarkStart w:id="15" w:name="_Toc509931733"/>
      <w:r w:rsidRPr="00E05E56">
        <w:rPr>
          <w:rFonts w:ascii="Times New Roman" w:hAnsi="Times New Roman" w:cs="Times New Roman"/>
          <w:color w:val="auto"/>
          <w:lang w:val="en-GB"/>
        </w:rPr>
        <w:t xml:space="preserve">3. </w:t>
      </w:r>
      <w:r w:rsidR="00EA3E6E" w:rsidRPr="00E05E56">
        <w:rPr>
          <w:rFonts w:ascii="Times New Roman" w:hAnsi="Times New Roman" w:cs="Times New Roman"/>
          <w:color w:val="auto"/>
          <w:lang w:val="en-GB"/>
        </w:rPr>
        <w:t>A</w:t>
      </w:r>
      <w:r w:rsidR="000B36E3" w:rsidRPr="00E05E56">
        <w:rPr>
          <w:rFonts w:ascii="Times New Roman" w:hAnsi="Times New Roman" w:cs="Times New Roman"/>
          <w:color w:val="auto"/>
          <w:lang w:val="en-GB"/>
        </w:rPr>
        <w:t>ccess to the decision-making process</w:t>
      </w:r>
      <w:bookmarkEnd w:id="15"/>
    </w:p>
    <w:p w14:paraId="2D09CC64" w14:textId="77777777" w:rsidR="00157E6A" w:rsidRPr="005D084F" w:rsidRDefault="00157E6A" w:rsidP="00B0432A">
      <w:pPr>
        <w:rPr>
          <w:lang w:val="en-GB"/>
        </w:rPr>
      </w:pPr>
    </w:p>
    <w:p w14:paraId="6BF2D757" w14:textId="45148382" w:rsidR="00090510" w:rsidRDefault="00EE04FC" w:rsidP="00F27CBB">
      <w:pPr>
        <w:widowControl w:val="0"/>
        <w:autoSpaceDE w:val="0"/>
        <w:autoSpaceDN w:val="0"/>
        <w:adjustRightInd w:val="0"/>
        <w:ind w:firstLine="284"/>
        <w:rPr>
          <w:lang w:val="en-GB"/>
        </w:rPr>
      </w:pPr>
      <w:r w:rsidRPr="005D084F">
        <w:rPr>
          <w:lang w:val="en-GB"/>
        </w:rPr>
        <w:t xml:space="preserve">Beyond the consultation phase, new forms of participation have also been used to involve citizens in the decision-making itself. </w:t>
      </w:r>
      <w:r w:rsidR="005A0AB9" w:rsidRPr="00D24721">
        <w:rPr>
          <w:lang w:val="en-GB"/>
        </w:rPr>
        <w:t>O</w:t>
      </w:r>
      <w:r w:rsidR="00706A7F" w:rsidRPr="00D24721">
        <w:rPr>
          <w:lang w:val="en-GB"/>
        </w:rPr>
        <w:t>ne example</w:t>
      </w:r>
      <w:r w:rsidR="00090510" w:rsidRPr="00090510">
        <w:rPr>
          <w:lang w:val="en-GB"/>
        </w:rPr>
        <w:t xml:space="preserve"> </w:t>
      </w:r>
      <w:r w:rsidR="00090510" w:rsidRPr="00F118DC">
        <w:rPr>
          <w:lang w:val="en-GB"/>
        </w:rPr>
        <w:t>increasingly popular in Europe</w:t>
      </w:r>
      <w:r w:rsidR="00706A7F" w:rsidRPr="00D24721">
        <w:rPr>
          <w:lang w:val="en-GB"/>
        </w:rPr>
        <w:t xml:space="preserve"> is</w:t>
      </w:r>
      <w:r w:rsidR="008723DC" w:rsidRPr="00904A38">
        <w:rPr>
          <w:lang w:val="en-GB"/>
        </w:rPr>
        <w:t xml:space="preserve"> </w:t>
      </w:r>
      <w:r w:rsidR="005A0AB9" w:rsidRPr="00904A38">
        <w:rPr>
          <w:lang w:val="en-GB"/>
        </w:rPr>
        <w:t>p</w:t>
      </w:r>
      <w:r w:rsidR="00962728" w:rsidRPr="00972980">
        <w:rPr>
          <w:lang w:val="en-GB"/>
        </w:rPr>
        <w:t xml:space="preserve">articipatory </w:t>
      </w:r>
      <w:r w:rsidR="008723DC" w:rsidRPr="00F118DC">
        <w:rPr>
          <w:lang w:val="en-GB"/>
        </w:rPr>
        <w:t>budget</w:t>
      </w:r>
      <w:r w:rsidR="00706A7F" w:rsidRPr="00F118DC">
        <w:rPr>
          <w:lang w:val="en-GB"/>
        </w:rPr>
        <w:t>ing</w:t>
      </w:r>
      <w:r w:rsidR="00090510">
        <w:rPr>
          <w:lang w:val="en-GB"/>
        </w:rPr>
        <w:t>, allowing</w:t>
      </w:r>
      <w:r w:rsidR="00D91F4E">
        <w:rPr>
          <w:lang w:val="en-GB"/>
        </w:rPr>
        <w:t xml:space="preserve"> </w:t>
      </w:r>
      <w:r w:rsidR="00D91F4E">
        <w:t xml:space="preserve">community members </w:t>
      </w:r>
      <w:r w:rsidR="00090510">
        <w:t xml:space="preserve">to </w:t>
      </w:r>
      <w:r w:rsidR="00D91F4E">
        <w:t>directly decide how to</w:t>
      </w:r>
      <w:r w:rsidR="00090510">
        <w:t xml:space="preserve"> spend part of a public budget and therefore to influence</w:t>
      </w:r>
      <w:r w:rsidR="00D91F4E">
        <w:t xml:space="preserve"> the budget decisions that affect their lives</w:t>
      </w:r>
      <w:r w:rsidR="00090510">
        <w:t xml:space="preserve">. </w:t>
      </w:r>
      <w:r w:rsidR="00962728" w:rsidRPr="00F118DC">
        <w:rPr>
          <w:lang w:val="en-GB"/>
        </w:rPr>
        <w:t>.</w:t>
      </w:r>
      <w:r w:rsidR="00823C45" w:rsidRPr="006B753A">
        <w:rPr>
          <w:rStyle w:val="FootnoteReference"/>
          <w:rFonts w:ascii="Times New Roman" w:hAnsi="Times New Roman"/>
          <w:lang w:val="en-GB"/>
        </w:rPr>
        <w:footnoteReference w:id="153"/>
      </w:r>
      <w:r w:rsidR="00962728" w:rsidRPr="005D084F">
        <w:rPr>
          <w:lang w:val="en-GB"/>
        </w:rPr>
        <w:t xml:space="preserve"> </w:t>
      </w:r>
    </w:p>
    <w:p w14:paraId="5E3C1B97" w14:textId="77777777" w:rsidR="00090510" w:rsidRDefault="00090510" w:rsidP="00F27CBB">
      <w:pPr>
        <w:widowControl w:val="0"/>
        <w:autoSpaceDE w:val="0"/>
        <w:autoSpaceDN w:val="0"/>
        <w:adjustRightInd w:val="0"/>
        <w:ind w:firstLine="284"/>
        <w:rPr>
          <w:lang w:val="en-GB"/>
        </w:rPr>
      </w:pPr>
    </w:p>
    <w:p w14:paraId="42FB5AC7" w14:textId="77777777" w:rsidR="00D178B6" w:rsidRDefault="008723DC" w:rsidP="00F27CBB">
      <w:pPr>
        <w:widowControl w:val="0"/>
        <w:autoSpaceDE w:val="0"/>
        <w:autoSpaceDN w:val="0"/>
        <w:adjustRightInd w:val="0"/>
        <w:ind w:firstLine="284"/>
        <w:rPr>
          <w:lang w:val="en-GB"/>
        </w:rPr>
      </w:pPr>
      <w:r w:rsidRPr="005D084F">
        <w:rPr>
          <w:rFonts w:eastAsia="Times New Roman"/>
          <w:lang w:val="en-GB"/>
        </w:rPr>
        <w:t>Participatory budget</w:t>
      </w:r>
      <w:r w:rsidR="0027266F" w:rsidRPr="005D084F">
        <w:rPr>
          <w:rFonts w:eastAsia="Times New Roman"/>
          <w:lang w:val="en-GB"/>
        </w:rPr>
        <w:t>ing</w:t>
      </w:r>
      <w:r w:rsidR="006C23F8" w:rsidRPr="005D084F">
        <w:rPr>
          <w:rFonts w:eastAsia="Times New Roman"/>
          <w:lang w:val="en-GB"/>
        </w:rPr>
        <w:t xml:space="preserve"> in Europe was born of the need to revive democratic participation, strengthen civil society, modernise public se</w:t>
      </w:r>
      <w:r w:rsidR="0027266F" w:rsidRPr="00D24721">
        <w:rPr>
          <w:rFonts w:eastAsia="Times New Roman"/>
          <w:lang w:val="en-GB"/>
        </w:rPr>
        <w:t>rvices and combat corruption. It</w:t>
      </w:r>
      <w:r w:rsidR="006C23F8" w:rsidRPr="00904A38">
        <w:rPr>
          <w:rFonts w:eastAsia="Times New Roman"/>
          <w:lang w:val="en-GB"/>
        </w:rPr>
        <w:t xml:space="preserve"> has grown considerably over the past 10-15 years. Between 2005 and 2012, European examples increased from 55 to over 1 300. Overall, over 8 mill</w:t>
      </w:r>
      <w:r w:rsidR="006C23F8" w:rsidRPr="00F118DC">
        <w:rPr>
          <w:rFonts w:eastAsia="Times New Roman"/>
          <w:lang w:val="en-GB"/>
        </w:rPr>
        <w:t>ion European citi</w:t>
      </w:r>
      <w:r w:rsidR="0027266F" w:rsidRPr="00F118DC">
        <w:rPr>
          <w:rFonts w:eastAsia="Times New Roman"/>
          <w:lang w:val="en-GB"/>
        </w:rPr>
        <w:t>zens are actively involved in participatory budget</w:t>
      </w:r>
      <w:r w:rsidR="006C23F8" w:rsidRPr="00F118DC">
        <w:rPr>
          <w:rFonts w:eastAsia="Times New Roman"/>
          <w:lang w:val="en-GB"/>
        </w:rPr>
        <w:t>.</w:t>
      </w:r>
      <w:r w:rsidR="006C23F8" w:rsidRPr="006B753A">
        <w:rPr>
          <w:rStyle w:val="FootnoteReference"/>
          <w:rFonts w:ascii="Times New Roman" w:eastAsia="Times New Roman" w:hAnsi="Times New Roman"/>
          <w:lang w:val="en-GB"/>
        </w:rPr>
        <w:footnoteReference w:id="154"/>
      </w:r>
      <w:r w:rsidR="00DD6ED6" w:rsidRPr="005D084F">
        <w:rPr>
          <w:rFonts w:eastAsia="Times New Roman"/>
          <w:lang w:val="en-GB"/>
        </w:rPr>
        <w:t xml:space="preserve"> </w:t>
      </w:r>
      <w:r w:rsidR="009119E7" w:rsidRPr="005D084F">
        <w:rPr>
          <w:rFonts w:eastAsia="Times New Roman"/>
          <w:lang w:val="en-GB"/>
        </w:rPr>
        <w:t>It is also</w:t>
      </w:r>
      <w:r w:rsidR="000E3B9C" w:rsidRPr="005D084F">
        <w:rPr>
          <w:rFonts w:eastAsia="Times New Roman"/>
          <w:lang w:val="en-GB"/>
        </w:rPr>
        <w:t xml:space="preserve"> promoted by supranational or</w:t>
      </w:r>
      <w:r w:rsidR="00DD6ED6" w:rsidRPr="005D084F">
        <w:rPr>
          <w:rFonts w:eastAsia="Times New Roman"/>
          <w:lang w:val="en-GB"/>
        </w:rPr>
        <w:t>g</w:t>
      </w:r>
      <w:r w:rsidR="000E3B9C" w:rsidRPr="005D084F">
        <w:rPr>
          <w:rFonts w:eastAsia="Times New Roman"/>
          <w:lang w:val="en-GB"/>
        </w:rPr>
        <w:t>a</w:t>
      </w:r>
      <w:r w:rsidR="00B206A4" w:rsidRPr="00D24721">
        <w:rPr>
          <w:rFonts w:eastAsia="Times New Roman"/>
          <w:lang w:val="en-GB"/>
        </w:rPr>
        <w:t>nisations, namely</w:t>
      </w:r>
      <w:r w:rsidR="00DD6ED6" w:rsidRPr="00D24721">
        <w:rPr>
          <w:rFonts w:eastAsia="Times New Roman"/>
          <w:lang w:val="en-GB"/>
        </w:rPr>
        <w:t xml:space="preserve"> the World Bank, the UN through the UN-Habitat programme and the EU.</w:t>
      </w:r>
      <w:r w:rsidR="00905BF5" w:rsidRPr="00D24721">
        <w:rPr>
          <w:lang w:val="en-GB"/>
        </w:rPr>
        <w:t xml:space="preserve"> </w:t>
      </w:r>
      <w:r w:rsidR="00962728" w:rsidRPr="00D24721">
        <w:rPr>
          <w:lang w:val="en-GB"/>
        </w:rPr>
        <w:t xml:space="preserve">Citizen participation </w:t>
      </w:r>
      <w:r w:rsidR="00905BF5" w:rsidRPr="00904A38">
        <w:rPr>
          <w:lang w:val="en-GB"/>
        </w:rPr>
        <w:t xml:space="preserve">has been encouraged and facilitated </w:t>
      </w:r>
      <w:r w:rsidR="00962728" w:rsidRPr="00904A38">
        <w:rPr>
          <w:lang w:val="en-GB"/>
        </w:rPr>
        <w:t>a</w:t>
      </w:r>
      <w:r w:rsidR="00962728" w:rsidRPr="00972980">
        <w:rPr>
          <w:lang w:val="en-GB"/>
        </w:rPr>
        <w:t xml:space="preserve">t the various stages of the process: </w:t>
      </w:r>
      <w:r w:rsidR="00363EFD" w:rsidRPr="00F118DC">
        <w:rPr>
          <w:lang w:val="en-GB"/>
        </w:rPr>
        <w:t>submission</w:t>
      </w:r>
      <w:r w:rsidR="00962728" w:rsidRPr="00F118DC">
        <w:rPr>
          <w:lang w:val="en-GB"/>
        </w:rPr>
        <w:t xml:space="preserve"> of proposals, </w:t>
      </w:r>
      <w:r w:rsidR="00325EF4" w:rsidRPr="00F118DC">
        <w:rPr>
          <w:lang w:val="en-GB"/>
        </w:rPr>
        <w:t>deliberation,</w:t>
      </w:r>
      <w:r w:rsidR="00962728" w:rsidRPr="006B753A">
        <w:rPr>
          <w:lang w:val="en-GB"/>
        </w:rPr>
        <w:t xml:space="preserve"> </w:t>
      </w:r>
      <w:r w:rsidR="00EB1AC4" w:rsidRPr="006B753A">
        <w:rPr>
          <w:lang w:val="en-GB"/>
        </w:rPr>
        <w:t xml:space="preserve">vote, </w:t>
      </w:r>
      <w:r w:rsidR="00325EF4" w:rsidRPr="006B753A">
        <w:rPr>
          <w:lang w:val="en-GB"/>
        </w:rPr>
        <w:t xml:space="preserve">implementation and monitoring of the decision taken </w:t>
      </w:r>
      <w:r w:rsidR="00363EFD" w:rsidRPr="006B753A">
        <w:rPr>
          <w:lang w:val="en-GB"/>
        </w:rPr>
        <w:t>thanks to online platforms.</w:t>
      </w:r>
      <w:r w:rsidR="00363EFD" w:rsidRPr="006B753A">
        <w:rPr>
          <w:rStyle w:val="FootnoteReference"/>
          <w:rFonts w:ascii="Times New Roman" w:hAnsi="Times New Roman"/>
          <w:lang w:val="en-GB"/>
        </w:rPr>
        <w:footnoteReference w:id="155"/>
      </w:r>
      <w:r w:rsidR="00363EFD" w:rsidRPr="005D084F">
        <w:rPr>
          <w:lang w:val="en-GB"/>
        </w:rPr>
        <w:t xml:space="preserve"> </w:t>
      </w:r>
    </w:p>
    <w:p w14:paraId="3FD665DA" w14:textId="77777777" w:rsidR="00090510" w:rsidRPr="005D084F" w:rsidRDefault="00090510" w:rsidP="00F27CBB">
      <w:pPr>
        <w:widowControl w:val="0"/>
        <w:autoSpaceDE w:val="0"/>
        <w:autoSpaceDN w:val="0"/>
        <w:adjustRightInd w:val="0"/>
        <w:ind w:firstLine="284"/>
        <w:rPr>
          <w:lang w:val="en-GB"/>
        </w:rPr>
      </w:pPr>
    </w:p>
    <w:p w14:paraId="1F0E22B5" w14:textId="77777777" w:rsidR="005401A7" w:rsidRDefault="0081773C" w:rsidP="00F27CBB">
      <w:pPr>
        <w:ind w:firstLine="284"/>
      </w:pPr>
      <w:r w:rsidRPr="005D084F">
        <w:rPr>
          <w:lang w:val="en-GB"/>
        </w:rPr>
        <w:t>Another form of participatory democracy lies in c</w:t>
      </w:r>
      <w:r w:rsidR="005E4B75" w:rsidRPr="005D084F">
        <w:rPr>
          <w:lang w:val="en-GB"/>
        </w:rPr>
        <w:t>itizens’ initiatives that can become legisl</w:t>
      </w:r>
      <w:r w:rsidR="005E4B75" w:rsidRPr="00D24721">
        <w:rPr>
          <w:lang w:val="en-GB"/>
        </w:rPr>
        <w:t>ati</w:t>
      </w:r>
      <w:r w:rsidR="00080701" w:rsidRPr="00D24721">
        <w:rPr>
          <w:lang w:val="en-GB"/>
        </w:rPr>
        <w:t>o</w:t>
      </w:r>
      <w:r w:rsidR="00B82A9C" w:rsidRPr="00D24721">
        <w:rPr>
          <w:lang w:val="en-GB"/>
        </w:rPr>
        <w:t>n</w:t>
      </w:r>
      <w:r w:rsidR="008319E5" w:rsidRPr="00904A38">
        <w:rPr>
          <w:lang w:val="en-GB"/>
        </w:rPr>
        <w:t>, thus directly involving citizens in the law-making process</w:t>
      </w:r>
      <w:r w:rsidR="00A41EBF" w:rsidRPr="00904A38">
        <w:rPr>
          <w:lang w:val="en-GB"/>
        </w:rPr>
        <w:t xml:space="preserve">. </w:t>
      </w:r>
      <w:r w:rsidR="00D178B6" w:rsidRPr="00972980">
        <w:rPr>
          <w:lang w:val="en-GB"/>
        </w:rPr>
        <w:t>For example, in Finland,</w:t>
      </w:r>
      <w:r w:rsidR="00A41EBF" w:rsidRPr="00F118DC">
        <w:rPr>
          <w:lang w:val="en-GB"/>
        </w:rPr>
        <w:t xml:space="preserve"> </w:t>
      </w:r>
      <w:r w:rsidR="00A41EBF" w:rsidRPr="00F118DC">
        <w:t xml:space="preserve">legislation on same-sex marriage </w:t>
      </w:r>
      <w:r w:rsidR="00D178B6" w:rsidRPr="00F118DC">
        <w:t xml:space="preserve">was </w:t>
      </w:r>
      <w:r w:rsidR="00A41EBF" w:rsidRPr="00F118DC">
        <w:t>supported by signatories and subsequently</w:t>
      </w:r>
      <w:r w:rsidR="00B63648" w:rsidRPr="00F118DC">
        <w:t xml:space="preserve"> approved by Parliament in 2014</w:t>
      </w:r>
      <w:r w:rsidR="00D178B6" w:rsidRPr="006B753A">
        <w:t>.</w:t>
      </w:r>
      <w:r w:rsidR="00B63648" w:rsidRPr="006B753A">
        <w:rPr>
          <w:rStyle w:val="FootnoteReference"/>
          <w:rFonts w:ascii="Times New Roman" w:hAnsi="Times New Roman"/>
        </w:rPr>
        <w:footnoteReference w:id="156"/>
      </w:r>
      <w:r w:rsidR="00D178B6" w:rsidRPr="005D084F">
        <w:t xml:space="preserve"> </w:t>
      </w:r>
      <w:r w:rsidR="007714C0" w:rsidRPr="005D084F">
        <w:t xml:space="preserve">Ireland established a parliamentary online petitions </w:t>
      </w:r>
      <w:r w:rsidR="007714C0" w:rsidRPr="005D084F">
        <w:lastRenderedPageBreak/>
        <w:t>system, which enables members of the public to take their policy concerns directly to Parliament and influence the parliamentary agenda</w:t>
      </w:r>
      <w:r w:rsidR="00D178B6" w:rsidRPr="005D084F">
        <w:t>.</w:t>
      </w:r>
      <w:r w:rsidR="007714C0" w:rsidRPr="006B753A">
        <w:rPr>
          <w:rStyle w:val="FootnoteReference"/>
          <w:rFonts w:ascii="Times New Roman" w:hAnsi="Times New Roman"/>
        </w:rPr>
        <w:footnoteReference w:id="157"/>
      </w:r>
    </w:p>
    <w:p w14:paraId="7C562A4E" w14:textId="77777777" w:rsidR="00090510" w:rsidRPr="005D084F" w:rsidRDefault="00090510" w:rsidP="00F27CBB">
      <w:pPr>
        <w:ind w:firstLine="284"/>
        <w:rPr>
          <w:lang w:val="en-GB"/>
        </w:rPr>
      </w:pPr>
    </w:p>
    <w:p w14:paraId="10A1E727" w14:textId="77777777" w:rsidR="00262BA4" w:rsidRDefault="005401A7" w:rsidP="00806B90">
      <w:pPr>
        <w:widowControl w:val="0"/>
        <w:autoSpaceDE w:val="0"/>
        <w:autoSpaceDN w:val="0"/>
        <w:adjustRightInd w:val="0"/>
        <w:ind w:firstLine="284"/>
        <w:rPr>
          <w:lang w:val="en-GB"/>
        </w:rPr>
      </w:pPr>
      <w:r w:rsidRPr="005D084F">
        <w:rPr>
          <w:lang w:val="en-GB"/>
        </w:rPr>
        <w:t xml:space="preserve">In sum, </w:t>
      </w:r>
      <w:r w:rsidR="00734979" w:rsidRPr="005D084F">
        <w:rPr>
          <w:lang w:val="en-GB"/>
        </w:rPr>
        <w:t>new technologies and new forms of participa</w:t>
      </w:r>
      <w:r w:rsidR="00806B90" w:rsidRPr="00D24721">
        <w:rPr>
          <w:lang w:val="en-GB"/>
        </w:rPr>
        <w:t>tory and deliberative democracy</w:t>
      </w:r>
      <w:r w:rsidR="00734979" w:rsidRPr="00D24721">
        <w:rPr>
          <w:lang w:val="en-GB"/>
        </w:rPr>
        <w:t xml:space="preserve"> </w:t>
      </w:r>
      <w:r w:rsidR="00806B90" w:rsidRPr="00D24721">
        <w:rPr>
          <w:lang w:val="en-GB"/>
        </w:rPr>
        <w:t>have enabled citizens to participate more directly to public affairs, at all stages of the decision-making process.</w:t>
      </w:r>
      <w:r w:rsidR="00D716BC" w:rsidRPr="006B753A">
        <w:rPr>
          <w:rStyle w:val="FootnoteReference"/>
          <w:rFonts w:ascii="Times New Roman" w:hAnsi="Times New Roman"/>
          <w:lang w:val="en-GB"/>
        </w:rPr>
        <w:footnoteReference w:id="158"/>
      </w:r>
      <w:r w:rsidR="00AF1D83" w:rsidRPr="005D084F">
        <w:rPr>
          <w:lang w:val="en-GB"/>
        </w:rPr>
        <w:t xml:space="preserve"> </w:t>
      </w:r>
      <w:r w:rsidR="00AF1D83" w:rsidRPr="005D084F">
        <w:t>N</w:t>
      </w:r>
      <w:r w:rsidR="00E62BA5" w:rsidRPr="005D084F">
        <w:t>ew avenues promoting</w:t>
      </w:r>
      <w:r w:rsidR="00AF1D83" w:rsidRPr="005D084F">
        <w:t xml:space="preserve"> effective participation through the use of ICTs</w:t>
      </w:r>
      <w:r w:rsidR="008355A3" w:rsidRPr="005D084F">
        <w:t xml:space="preserve"> could also be explored</w:t>
      </w:r>
      <w:r w:rsidR="00AF1D83" w:rsidRPr="00D24721">
        <w:t xml:space="preserve">. </w:t>
      </w:r>
      <w:r w:rsidR="00806B90" w:rsidRPr="00904A38">
        <w:rPr>
          <w:lang w:val="en-GB"/>
        </w:rPr>
        <w:t xml:space="preserve">Good practices identified in that regard include: </w:t>
      </w:r>
    </w:p>
    <w:p w14:paraId="2E2D7D8A" w14:textId="77777777" w:rsidR="00090510" w:rsidRPr="00904A38" w:rsidRDefault="00090510" w:rsidP="00806B90">
      <w:pPr>
        <w:widowControl w:val="0"/>
        <w:autoSpaceDE w:val="0"/>
        <w:autoSpaceDN w:val="0"/>
        <w:adjustRightInd w:val="0"/>
        <w:ind w:firstLine="284"/>
        <w:rPr>
          <w:lang w:val="en-GB"/>
        </w:rPr>
      </w:pPr>
    </w:p>
    <w:p w14:paraId="2235DDB8" w14:textId="77777777" w:rsidR="00420322" w:rsidRPr="00E05E56" w:rsidRDefault="00806B90" w:rsidP="002832F7">
      <w:pPr>
        <w:pStyle w:val="ListParagraph"/>
        <w:widowControl w:val="0"/>
        <w:numPr>
          <w:ilvl w:val="0"/>
          <w:numId w:val="7"/>
        </w:numPr>
        <w:autoSpaceDE w:val="0"/>
        <w:autoSpaceDN w:val="0"/>
        <w:adjustRightInd w:val="0"/>
        <w:ind w:firstLine="284"/>
        <w:rPr>
          <w:rFonts w:ascii="Times New Roman" w:hAnsi="Times New Roman" w:cs="Times New Roman"/>
          <w:lang w:val="en-GB"/>
        </w:rPr>
      </w:pPr>
      <w:r w:rsidRPr="00E05E56">
        <w:rPr>
          <w:rFonts w:ascii="Times New Roman" w:hAnsi="Times New Roman" w:cs="Times New Roman"/>
          <w:lang w:val="en-GB"/>
        </w:rPr>
        <w:t>Making i</w:t>
      </w:r>
      <w:r w:rsidR="00A05F72" w:rsidRPr="00E05E56">
        <w:rPr>
          <w:rFonts w:ascii="Times New Roman" w:hAnsi="Times New Roman" w:cs="Times New Roman"/>
          <w:lang w:val="en-GB"/>
        </w:rPr>
        <w:t>nformation widely and easily accessible (user-friendly platforms)</w:t>
      </w:r>
      <w:r w:rsidR="007E10D9" w:rsidRPr="00E05E56">
        <w:rPr>
          <w:rFonts w:ascii="Times New Roman" w:hAnsi="Times New Roman" w:cs="Times New Roman"/>
          <w:lang w:val="en-GB"/>
        </w:rPr>
        <w:t>;</w:t>
      </w:r>
    </w:p>
    <w:p w14:paraId="0787935F" w14:textId="77777777" w:rsidR="007E10D9" w:rsidRPr="00E05E56" w:rsidRDefault="00260C00" w:rsidP="00CF3EDD">
      <w:pPr>
        <w:pStyle w:val="ListParagraph"/>
        <w:widowControl w:val="0"/>
        <w:numPr>
          <w:ilvl w:val="0"/>
          <w:numId w:val="7"/>
        </w:numPr>
        <w:autoSpaceDE w:val="0"/>
        <w:autoSpaceDN w:val="0"/>
        <w:adjustRightInd w:val="0"/>
        <w:ind w:firstLine="284"/>
        <w:rPr>
          <w:rFonts w:ascii="Times New Roman" w:hAnsi="Times New Roman" w:cs="Times New Roman"/>
          <w:lang w:val="en-GB"/>
        </w:rPr>
      </w:pPr>
      <w:r w:rsidRPr="00E05E56">
        <w:rPr>
          <w:rFonts w:ascii="Times New Roman" w:hAnsi="Times New Roman" w:cs="Times New Roman"/>
          <w:lang w:val="en-GB"/>
        </w:rPr>
        <w:t>Organising g</w:t>
      </w:r>
      <w:r w:rsidR="007E10D9" w:rsidRPr="00E05E56">
        <w:rPr>
          <w:rFonts w:ascii="Times New Roman" w:hAnsi="Times New Roman" w:cs="Times New Roman"/>
          <w:lang w:val="en-GB"/>
        </w:rPr>
        <w:t>enuine</w:t>
      </w:r>
      <w:r w:rsidR="00D03328" w:rsidRPr="00E05E56">
        <w:rPr>
          <w:rFonts w:ascii="Times New Roman" w:hAnsi="Times New Roman" w:cs="Times New Roman"/>
          <w:lang w:val="en-GB"/>
        </w:rPr>
        <w:t>ly</w:t>
      </w:r>
      <w:r w:rsidR="007E10D9" w:rsidRPr="00E05E56">
        <w:rPr>
          <w:rFonts w:ascii="Times New Roman" w:hAnsi="Times New Roman" w:cs="Times New Roman"/>
          <w:lang w:val="en-GB"/>
        </w:rPr>
        <w:t xml:space="preserve"> </w:t>
      </w:r>
      <w:r w:rsidR="002222AE" w:rsidRPr="00E05E56">
        <w:rPr>
          <w:rFonts w:ascii="Times New Roman" w:hAnsi="Times New Roman" w:cs="Times New Roman"/>
          <w:lang w:val="en-GB"/>
        </w:rPr>
        <w:t xml:space="preserve">active and direct </w:t>
      </w:r>
      <w:r w:rsidR="007E10D9" w:rsidRPr="00E05E56">
        <w:rPr>
          <w:rFonts w:ascii="Times New Roman" w:hAnsi="Times New Roman" w:cs="Times New Roman"/>
          <w:lang w:val="en-GB"/>
        </w:rPr>
        <w:t>consultation and participation in the decision-making process (binding opinion, co-drafting of policies);</w:t>
      </w:r>
      <w:r w:rsidR="002B0B81" w:rsidRPr="00E05E56">
        <w:rPr>
          <w:rStyle w:val="FootnoteReference"/>
          <w:rFonts w:ascii="Times New Roman" w:hAnsi="Times New Roman" w:cs="Times New Roman"/>
          <w:lang w:val="en-GB"/>
        </w:rPr>
        <w:t xml:space="preserve"> </w:t>
      </w:r>
      <w:r w:rsidR="002B0B81" w:rsidRPr="00E05E56">
        <w:rPr>
          <w:rStyle w:val="FootnoteReference"/>
          <w:rFonts w:ascii="Times New Roman" w:hAnsi="Times New Roman" w:cs="Times New Roman"/>
          <w:lang w:val="en-GB"/>
        </w:rPr>
        <w:footnoteReference w:id="159"/>
      </w:r>
    </w:p>
    <w:p w14:paraId="772D4779" w14:textId="77777777" w:rsidR="00090510" w:rsidRDefault="00CF3EDD" w:rsidP="00E05E56">
      <w:pPr>
        <w:pStyle w:val="ListParagraph"/>
        <w:widowControl w:val="0"/>
        <w:numPr>
          <w:ilvl w:val="0"/>
          <w:numId w:val="7"/>
        </w:numPr>
        <w:autoSpaceDE w:val="0"/>
        <w:autoSpaceDN w:val="0"/>
        <w:adjustRightInd w:val="0"/>
        <w:ind w:firstLine="284"/>
        <w:rPr>
          <w:rFonts w:ascii="Times New Roman" w:hAnsi="Times New Roman" w:cs="Times New Roman"/>
          <w:lang w:val="en-GB"/>
        </w:rPr>
      </w:pPr>
      <w:r w:rsidRPr="00E05E56">
        <w:rPr>
          <w:rFonts w:ascii="Times New Roman" w:hAnsi="Times New Roman" w:cs="Times New Roman"/>
          <w:lang w:val="en-GB"/>
        </w:rPr>
        <w:t>Enabling</w:t>
      </w:r>
      <w:r w:rsidR="00E55853" w:rsidRPr="00E05E56">
        <w:rPr>
          <w:rFonts w:ascii="Times New Roman" w:hAnsi="Times New Roman" w:cs="Times New Roman"/>
          <w:lang w:val="en-GB"/>
        </w:rPr>
        <w:t xml:space="preserve"> c</w:t>
      </w:r>
      <w:r w:rsidR="007E10D9" w:rsidRPr="00E05E56">
        <w:rPr>
          <w:rFonts w:ascii="Times New Roman" w:hAnsi="Times New Roman" w:cs="Times New Roman"/>
          <w:lang w:val="en-GB"/>
        </w:rPr>
        <w:t>itizens</w:t>
      </w:r>
      <w:r w:rsidRPr="00E05E56">
        <w:rPr>
          <w:rFonts w:ascii="Times New Roman" w:hAnsi="Times New Roman" w:cs="Times New Roman"/>
          <w:lang w:val="en-GB"/>
        </w:rPr>
        <w:t>’</w:t>
      </w:r>
      <w:r w:rsidR="007E10D9" w:rsidRPr="00E05E56">
        <w:rPr>
          <w:rFonts w:ascii="Times New Roman" w:hAnsi="Times New Roman" w:cs="Times New Roman"/>
          <w:lang w:val="en-GB"/>
        </w:rPr>
        <w:t xml:space="preserve"> participation at the various stages of the policy-making</w:t>
      </w:r>
      <w:r w:rsidRPr="00E05E56">
        <w:rPr>
          <w:rFonts w:ascii="Times New Roman" w:hAnsi="Times New Roman" w:cs="Times New Roman"/>
          <w:lang w:val="en-GB"/>
        </w:rPr>
        <w:t xml:space="preserve"> process</w:t>
      </w:r>
      <w:r w:rsidR="007E10D9" w:rsidRPr="00E05E56">
        <w:rPr>
          <w:rFonts w:ascii="Times New Roman" w:hAnsi="Times New Roman" w:cs="Times New Roman"/>
          <w:lang w:val="en-GB"/>
        </w:rPr>
        <w:t>, including mo</w:t>
      </w:r>
      <w:r w:rsidR="004527FC" w:rsidRPr="00E05E56">
        <w:rPr>
          <w:rFonts w:ascii="Times New Roman" w:hAnsi="Times New Roman" w:cs="Times New Roman"/>
          <w:lang w:val="en-GB"/>
        </w:rPr>
        <w:t>nitoring and assessment of the</w:t>
      </w:r>
      <w:r w:rsidR="007E10D9" w:rsidRPr="00E05E56">
        <w:rPr>
          <w:rFonts w:ascii="Times New Roman" w:hAnsi="Times New Roman" w:cs="Times New Roman"/>
          <w:lang w:val="en-GB"/>
        </w:rPr>
        <w:t xml:space="preserve"> implementation</w:t>
      </w:r>
      <w:r w:rsidR="004527FC" w:rsidRPr="00E05E56">
        <w:rPr>
          <w:rFonts w:ascii="Times New Roman" w:hAnsi="Times New Roman" w:cs="Times New Roman"/>
          <w:lang w:val="en-GB"/>
        </w:rPr>
        <w:t xml:space="preserve"> of the adopted policies.</w:t>
      </w:r>
    </w:p>
    <w:p w14:paraId="1F1BF45B" w14:textId="77777777" w:rsidR="00090510" w:rsidRPr="00090510" w:rsidRDefault="00090510" w:rsidP="00E05E56">
      <w:pPr>
        <w:pStyle w:val="ListParagraph"/>
        <w:widowControl w:val="0"/>
        <w:autoSpaceDE w:val="0"/>
        <w:autoSpaceDN w:val="0"/>
        <w:adjustRightInd w:val="0"/>
        <w:ind w:left="1004" w:firstLine="0"/>
        <w:rPr>
          <w:rFonts w:ascii="Times New Roman" w:hAnsi="Times New Roman" w:cs="Times New Roman"/>
          <w:lang w:val="en-GB"/>
        </w:rPr>
      </w:pPr>
    </w:p>
    <w:p w14:paraId="0E7A033B" w14:textId="77777777" w:rsidR="006402AF" w:rsidRDefault="00F27CBB" w:rsidP="00A112B3">
      <w:pPr>
        <w:pStyle w:val="Heading1"/>
        <w:rPr>
          <w:rFonts w:ascii="Times New Roman" w:hAnsi="Times New Roman" w:cs="Times New Roman"/>
          <w:color w:val="auto"/>
          <w:lang w:val="en-GB"/>
        </w:rPr>
      </w:pPr>
      <w:bookmarkStart w:id="16" w:name="_Toc509931734"/>
      <w:r w:rsidRPr="00E05E56">
        <w:rPr>
          <w:rFonts w:ascii="Times New Roman" w:hAnsi="Times New Roman" w:cs="Times New Roman"/>
          <w:color w:val="auto"/>
          <w:lang w:val="en-GB"/>
        </w:rPr>
        <w:t xml:space="preserve">III. </w:t>
      </w:r>
      <w:r w:rsidR="002E1524" w:rsidRPr="00E05E56">
        <w:rPr>
          <w:rFonts w:ascii="Times New Roman" w:hAnsi="Times New Roman" w:cs="Times New Roman"/>
          <w:color w:val="auto"/>
          <w:lang w:val="en-GB"/>
        </w:rPr>
        <w:t>Participation beyond the State level</w:t>
      </w:r>
      <w:bookmarkEnd w:id="16"/>
    </w:p>
    <w:p w14:paraId="79DA9C70" w14:textId="77777777" w:rsidR="00090510" w:rsidRPr="00090510" w:rsidRDefault="00090510" w:rsidP="00E05E56">
      <w:pPr>
        <w:rPr>
          <w:lang w:val="en-GB"/>
        </w:rPr>
      </w:pPr>
    </w:p>
    <w:p w14:paraId="52B062C2" w14:textId="17E95E6C" w:rsidR="00090510" w:rsidRDefault="00B72BDB" w:rsidP="00367077">
      <w:pPr>
        <w:ind w:firstLine="284"/>
        <w:rPr>
          <w:lang w:val="en-GB"/>
        </w:rPr>
      </w:pPr>
      <w:r w:rsidRPr="005D084F">
        <w:rPr>
          <w:lang w:val="en-GB"/>
        </w:rPr>
        <w:t xml:space="preserve">Participation </w:t>
      </w:r>
      <w:r w:rsidR="008F512B">
        <w:rPr>
          <w:lang w:val="en-GB"/>
        </w:rPr>
        <w:t>in</w:t>
      </w:r>
      <w:r w:rsidR="008F512B" w:rsidRPr="005D084F">
        <w:rPr>
          <w:lang w:val="en-GB"/>
        </w:rPr>
        <w:t xml:space="preserve"> </w:t>
      </w:r>
      <w:r w:rsidRPr="005D084F">
        <w:rPr>
          <w:lang w:val="en-GB"/>
        </w:rPr>
        <w:t>public affairs is also relevant beyond the State level, notably in international organisations.</w:t>
      </w:r>
      <w:r w:rsidR="009D4C06" w:rsidRPr="00D24721">
        <w:rPr>
          <w:lang w:val="en-GB"/>
        </w:rPr>
        <w:t xml:space="preserve"> </w:t>
      </w:r>
      <w:r w:rsidR="009D4C06" w:rsidRPr="00D24721">
        <w:t>As stated in the Human Rights Committee General Comment No. 25, the conduct of public affairs covers “</w:t>
      </w:r>
      <w:r w:rsidR="009D4C06" w:rsidRPr="00D24721">
        <w:rPr>
          <w:rFonts w:eastAsia="Times New Roman"/>
        </w:rPr>
        <w:t xml:space="preserve">the formulation and implementation of policy at </w:t>
      </w:r>
      <w:r w:rsidR="009D4C06" w:rsidRPr="00904A38">
        <w:rPr>
          <w:rFonts w:eastAsia="Times New Roman"/>
          <w:i/>
        </w:rPr>
        <w:t>international</w:t>
      </w:r>
      <w:r w:rsidR="009D4C06" w:rsidRPr="00904A38">
        <w:rPr>
          <w:rFonts w:eastAsia="Times New Roman"/>
        </w:rPr>
        <w:t>, national, regional and local levels.”</w:t>
      </w:r>
      <w:r w:rsidR="0090707D" w:rsidRPr="006B753A">
        <w:rPr>
          <w:rStyle w:val="FootnoteReference"/>
          <w:rFonts w:ascii="Times New Roman" w:hAnsi="Times New Roman"/>
          <w:lang w:val="en-GB"/>
        </w:rPr>
        <w:footnoteReference w:id="160"/>
      </w:r>
      <w:r w:rsidR="0090707D" w:rsidRPr="005D084F">
        <w:rPr>
          <w:lang w:val="en-GB"/>
        </w:rPr>
        <w:t xml:space="preserve"> </w:t>
      </w:r>
    </w:p>
    <w:p w14:paraId="0378C93F" w14:textId="77777777" w:rsidR="00DF78FD" w:rsidRDefault="00DF78FD" w:rsidP="00367077">
      <w:pPr>
        <w:ind w:firstLine="284"/>
      </w:pPr>
    </w:p>
    <w:p w14:paraId="53C97FDF" w14:textId="6ED8245B" w:rsidR="009C4028" w:rsidRDefault="007167D5" w:rsidP="00367077">
      <w:pPr>
        <w:ind w:firstLine="284"/>
      </w:pPr>
      <w:r w:rsidRPr="00D24721">
        <w:t xml:space="preserve">EU countries </w:t>
      </w:r>
      <w:r w:rsidR="0034499A" w:rsidRPr="00D24721">
        <w:t xml:space="preserve">citizens </w:t>
      </w:r>
      <w:r w:rsidRPr="00D24721">
        <w:t xml:space="preserve">participate </w:t>
      </w:r>
      <w:r w:rsidR="008F512B">
        <w:t>in</w:t>
      </w:r>
      <w:r w:rsidR="008F512B" w:rsidRPr="00D24721">
        <w:t xml:space="preserve"> </w:t>
      </w:r>
      <w:r w:rsidRPr="00D24721">
        <w:t xml:space="preserve">public affairs through the </w:t>
      </w:r>
      <w:r w:rsidR="00002CDE" w:rsidRPr="00D24721">
        <w:t xml:space="preserve">direct </w:t>
      </w:r>
      <w:r w:rsidR="00962F82" w:rsidRPr="00D24721">
        <w:t>election of their representatives</w:t>
      </w:r>
      <w:r w:rsidRPr="00904A38">
        <w:t xml:space="preserve"> to the European Parliament</w:t>
      </w:r>
      <w:r w:rsidR="0021630C" w:rsidRPr="00904A38">
        <w:t>,</w:t>
      </w:r>
      <w:r w:rsidR="00002CDE" w:rsidRPr="006B753A">
        <w:rPr>
          <w:rStyle w:val="FootnoteReference"/>
          <w:rFonts w:ascii="Times New Roman" w:hAnsi="Times New Roman"/>
        </w:rPr>
        <w:footnoteReference w:id="161"/>
      </w:r>
      <w:r w:rsidR="00DE7FFE" w:rsidRPr="005D084F">
        <w:t xml:space="preserve"> </w:t>
      </w:r>
      <w:r w:rsidR="0021630C" w:rsidRPr="00D24721">
        <w:t>which powers and political weight have increased over time.</w:t>
      </w:r>
      <w:r w:rsidR="00764804" w:rsidRPr="006B753A">
        <w:rPr>
          <w:rStyle w:val="FootnoteReference"/>
          <w:rFonts w:ascii="Times New Roman" w:hAnsi="Times New Roman"/>
        </w:rPr>
        <w:footnoteReference w:id="162"/>
      </w:r>
      <w:r w:rsidR="0021630C" w:rsidRPr="005D084F">
        <w:t xml:space="preserve"> </w:t>
      </w:r>
    </w:p>
    <w:p w14:paraId="743B6E37" w14:textId="77777777" w:rsidR="008F512B" w:rsidRPr="00D24721" w:rsidRDefault="008F512B" w:rsidP="00367077">
      <w:pPr>
        <w:ind w:firstLine="284"/>
      </w:pPr>
    </w:p>
    <w:p w14:paraId="27003CE0" w14:textId="770ECE0B" w:rsidR="008F512B" w:rsidRDefault="00324F9C" w:rsidP="00E05E56">
      <w:pPr>
        <w:ind w:firstLine="284"/>
        <w:rPr>
          <w:lang w:val="en-GB"/>
        </w:rPr>
      </w:pPr>
      <w:r w:rsidRPr="00D24721">
        <w:t xml:space="preserve">The Lisbon Treaty </w:t>
      </w:r>
      <w:r w:rsidR="003F7F30" w:rsidRPr="00904A38">
        <w:t xml:space="preserve">in particular </w:t>
      </w:r>
      <w:r w:rsidR="00C707A4" w:rsidRPr="00904A38">
        <w:t>enhance</w:t>
      </w:r>
      <w:r w:rsidR="008F512B">
        <w:t>s</w:t>
      </w:r>
      <w:r w:rsidR="00C707A4" w:rsidRPr="00904A38">
        <w:t xml:space="preserve"> </w:t>
      </w:r>
      <w:r w:rsidR="00F37B9A" w:rsidRPr="00972980">
        <w:t>representative and participatory democracy</w:t>
      </w:r>
      <w:r w:rsidR="00172027" w:rsidRPr="00F118DC">
        <w:t xml:space="preserve"> in an attempt to tackle the growing “democratic deficit”</w:t>
      </w:r>
      <w:r w:rsidR="00F37B9A" w:rsidRPr="00F118DC">
        <w:t xml:space="preserve">. </w:t>
      </w:r>
      <w:r w:rsidR="008F512B">
        <w:t xml:space="preserve">It </w:t>
      </w:r>
      <w:r w:rsidR="00C707A4" w:rsidRPr="00F118DC">
        <w:t>strengthen</w:t>
      </w:r>
      <w:r w:rsidR="008F512B">
        <w:t>s</w:t>
      </w:r>
      <w:r w:rsidR="00C707A4" w:rsidRPr="00F118DC">
        <w:t xml:space="preserve"> the </w:t>
      </w:r>
      <w:r w:rsidR="001C5AF8" w:rsidRPr="00F118DC">
        <w:t>role played by</w:t>
      </w:r>
      <w:r w:rsidR="00C707A4" w:rsidRPr="00F118DC">
        <w:t xml:space="preserve"> the European Parliament</w:t>
      </w:r>
      <w:r w:rsidR="001C5AF8" w:rsidRPr="006B753A">
        <w:t xml:space="preserve"> by extending its legis</w:t>
      </w:r>
      <w:r w:rsidR="003F7F30" w:rsidRPr="006B753A">
        <w:t>lative and budgetary powers</w:t>
      </w:r>
      <w:r w:rsidR="00C707A4" w:rsidRPr="006B753A">
        <w:t>.</w:t>
      </w:r>
      <w:r w:rsidR="00BB6ADE" w:rsidRPr="006B753A">
        <w:t xml:space="preserve"> It also </w:t>
      </w:r>
      <w:r w:rsidR="008F512B">
        <w:t>provides that</w:t>
      </w:r>
      <w:r w:rsidR="008F512B" w:rsidRPr="006B753A">
        <w:t xml:space="preserve"> </w:t>
      </w:r>
      <w:r w:rsidR="00BB6ADE" w:rsidRPr="006B753A">
        <w:lastRenderedPageBreak/>
        <w:t>t</w:t>
      </w:r>
      <w:r w:rsidR="003F7F30" w:rsidRPr="006B753A">
        <w:t xml:space="preserve">he European Parliament </w:t>
      </w:r>
      <w:r w:rsidR="00BB6ADE" w:rsidRPr="00AF57E3">
        <w:t>elect</w:t>
      </w:r>
      <w:r w:rsidR="008F512B">
        <w:t>s</w:t>
      </w:r>
      <w:r w:rsidR="003F7F30" w:rsidRPr="00AF57E3">
        <w:t xml:space="preserve"> the President of the Commission.</w:t>
      </w:r>
      <w:r w:rsidR="00FE50BD" w:rsidRPr="00AF57E3">
        <w:rPr>
          <w:rStyle w:val="FootnoteReference"/>
          <w:rFonts w:ascii="Times New Roman" w:hAnsi="Times New Roman"/>
        </w:rPr>
        <w:footnoteReference w:id="163"/>
      </w:r>
      <w:r w:rsidR="008F512B">
        <w:rPr>
          <w:lang w:val="en-GB"/>
        </w:rPr>
        <w:t>E</w:t>
      </w:r>
      <w:r w:rsidR="00462131" w:rsidRPr="00D24721">
        <w:rPr>
          <w:lang w:val="en-GB"/>
        </w:rPr>
        <w:t xml:space="preserve">fforts have been made to increase transparency and citizen participation. </w:t>
      </w:r>
    </w:p>
    <w:p w14:paraId="4F2C31D2" w14:textId="77777777" w:rsidR="008F512B" w:rsidRDefault="008F512B" w:rsidP="00E05E56">
      <w:pPr>
        <w:ind w:firstLine="284"/>
        <w:rPr>
          <w:lang w:val="en-GB"/>
        </w:rPr>
      </w:pPr>
    </w:p>
    <w:p w14:paraId="6D8013F6" w14:textId="77777777" w:rsidR="008F512B" w:rsidRDefault="001E727B" w:rsidP="00E05E56">
      <w:pPr>
        <w:ind w:firstLine="284"/>
      </w:pPr>
      <w:r w:rsidRPr="00D24721">
        <w:rPr>
          <w:lang w:val="en-GB"/>
        </w:rPr>
        <w:t xml:space="preserve">The Lisbon Treaty </w:t>
      </w:r>
      <w:r w:rsidR="00FC4E68" w:rsidRPr="00904A38">
        <w:rPr>
          <w:lang w:val="en-GB"/>
        </w:rPr>
        <w:t xml:space="preserve">thus </w:t>
      </w:r>
      <w:r w:rsidR="004F116C" w:rsidRPr="00972980">
        <w:t xml:space="preserve">guarantees the right of “every citizen” to “participate in the democratic life of the Union” and </w:t>
      </w:r>
      <w:r w:rsidRPr="00F118DC">
        <w:t>provides that “[d]</w:t>
      </w:r>
      <w:proofErr w:type="spellStart"/>
      <w:r w:rsidRPr="00F118DC">
        <w:t>ecisions</w:t>
      </w:r>
      <w:proofErr w:type="spellEnd"/>
      <w:r w:rsidRPr="00F118DC">
        <w:t xml:space="preserve"> shall be taken as openly and as closely as possible to the citizen”.</w:t>
      </w:r>
      <w:r w:rsidRPr="006B753A">
        <w:rPr>
          <w:rStyle w:val="FootnoteReference"/>
          <w:rFonts w:ascii="Times New Roman" w:hAnsi="Times New Roman"/>
        </w:rPr>
        <w:footnoteReference w:id="164"/>
      </w:r>
      <w:r w:rsidRPr="005D084F">
        <w:t xml:space="preserve"> </w:t>
      </w:r>
      <w:r w:rsidR="002E0DB4" w:rsidRPr="00D24721">
        <w:t xml:space="preserve">It </w:t>
      </w:r>
      <w:r w:rsidR="002C7E25" w:rsidRPr="00D24721">
        <w:t xml:space="preserve">also </w:t>
      </w:r>
      <w:r w:rsidR="002E0DB4" w:rsidRPr="00D24721">
        <w:t>creates the right of citizens’ initiative</w:t>
      </w:r>
      <w:r w:rsidR="00E47354" w:rsidRPr="00D24721">
        <w:t xml:space="preserve"> (ECI)</w:t>
      </w:r>
      <w:r w:rsidR="002E0DB4" w:rsidRPr="00D24721">
        <w:t xml:space="preserve"> whereby citizens </w:t>
      </w:r>
      <w:r w:rsidR="00F13BB0" w:rsidRPr="00D24721">
        <w:t xml:space="preserve">from a “significant number of Member States” </w:t>
      </w:r>
      <w:r w:rsidR="002E0DB4" w:rsidRPr="00904A38">
        <w:t>may ask the Commission to propose a draft</w:t>
      </w:r>
      <w:r w:rsidR="00F13BB0" w:rsidRPr="00972980">
        <w:t xml:space="preserve"> legislation if they gather at least one million signatures.</w:t>
      </w:r>
      <w:r w:rsidR="00F13BB0" w:rsidRPr="006B753A">
        <w:rPr>
          <w:rStyle w:val="FootnoteReference"/>
          <w:rFonts w:ascii="Times New Roman" w:hAnsi="Times New Roman"/>
        </w:rPr>
        <w:footnoteReference w:id="165"/>
      </w:r>
      <w:r w:rsidR="00413681" w:rsidRPr="006B753A">
        <w:rPr>
          <w:rStyle w:val="FootnoteReference"/>
          <w:rFonts w:ascii="Times New Roman" w:hAnsi="Times New Roman"/>
        </w:rPr>
        <w:t xml:space="preserve"> </w:t>
      </w:r>
    </w:p>
    <w:p w14:paraId="658AB9ED" w14:textId="77777777" w:rsidR="008F512B" w:rsidRDefault="008F512B" w:rsidP="00E05E56">
      <w:pPr>
        <w:ind w:firstLine="284"/>
      </w:pPr>
    </w:p>
    <w:p w14:paraId="160BB927" w14:textId="77777777" w:rsidR="00E151DE" w:rsidRDefault="00413681" w:rsidP="00E05E56">
      <w:pPr>
        <w:ind w:firstLine="284"/>
      </w:pPr>
      <w:r w:rsidRPr="005D084F">
        <w:t>In a recent case, t</w:t>
      </w:r>
      <w:r w:rsidR="00E47354" w:rsidRPr="00D24721">
        <w:t xml:space="preserve">he </w:t>
      </w:r>
      <w:r w:rsidR="00B22210" w:rsidRPr="00904A38">
        <w:t>C</w:t>
      </w:r>
      <w:r w:rsidRPr="00972980">
        <w:t xml:space="preserve">JEU, recalled that </w:t>
      </w:r>
      <w:r w:rsidR="00BB20B0" w:rsidRPr="00972980">
        <w:t>t</w:t>
      </w:r>
      <w:r w:rsidRPr="00D11988">
        <w:t xml:space="preserve">he </w:t>
      </w:r>
      <w:r w:rsidR="00BB20B0" w:rsidRPr="00D11988">
        <w:t>“</w:t>
      </w:r>
      <w:r w:rsidRPr="00D11988">
        <w:t xml:space="preserve">right to undertake an ECI </w:t>
      </w:r>
      <w:r w:rsidR="00BB20B0" w:rsidRPr="00F118DC">
        <w:t>constitutes (…)</w:t>
      </w:r>
      <w:r w:rsidRPr="00F118DC">
        <w:t xml:space="preserve"> an instrument concerning the right of citizens to participate in the democratic life of the Union”.</w:t>
      </w:r>
      <w:r w:rsidR="00BB20B0" w:rsidRPr="006B753A">
        <w:rPr>
          <w:rStyle w:val="FootnoteReference"/>
          <w:rFonts w:ascii="Times New Roman" w:hAnsi="Times New Roman"/>
        </w:rPr>
        <w:footnoteReference w:id="166"/>
      </w:r>
      <w:r w:rsidR="00B22210" w:rsidRPr="006B753A">
        <w:rPr>
          <w:rStyle w:val="FootnoteReference"/>
          <w:rFonts w:ascii="Times New Roman" w:hAnsi="Times New Roman"/>
        </w:rPr>
        <w:t xml:space="preserve"> </w:t>
      </w:r>
      <w:r w:rsidR="00BD18B9" w:rsidRPr="005D084F">
        <w:t>In May 2017, the European Commission launc</w:t>
      </w:r>
      <w:r w:rsidR="00BD18B9" w:rsidRPr="00D24721">
        <w:t>hed a consultation initiative to</w:t>
      </w:r>
      <w:r w:rsidR="0035388F" w:rsidRPr="00D24721">
        <w:t xml:space="preserve"> revise the 2011 ECI Regulation and tackle the main shortcomings identified in its 2015 report on its application</w:t>
      </w:r>
      <w:r w:rsidR="00A3739B" w:rsidRPr="00D24721">
        <w:t>.</w:t>
      </w:r>
      <w:r w:rsidR="0035388F" w:rsidRPr="006B753A">
        <w:rPr>
          <w:rStyle w:val="FootnoteReference"/>
          <w:rFonts w:ascii="Times New Roman" w:hAnsi="Times New Roman"/>
        </w:rPr>
        <w:footnoteReference w:id="167"/>
      </w:r>
    </w:p>
    <w:p w14:paraId="5ACAD0E7" w14:textId="77777777" w:rsidR="008F512B" w:rsidRPr="005D084F" w:rsidRDefault="008F512B" w:rsidP="00E05E56">
      <w:pPr>
        <w:ind w:firstLine="284"/>
      </w:pPr>
    </w:p>
    <w:p w14:paraId="31BD0F8D" w14:textId="77777777" w:rsidR="008F512B" w:rsidRDefault="000D3683" w:rsidP="003D7727">
      <w:pPr>
        <w:ind w:firstLine="284"/>
        <w:rPr>
          <w:rFonts w:eastAsia="Times New Roman"/>
        </w:rPr>
      </w:pPr>
      <w:r w:rsidRPr="00D24721">
        <w:rPr>
          <w:rFonts w:eastAsia="Times New Roman"/>
        </w:rPr>
        <w:t xml:space="preserve">In practice, </w:t>
      </w:r>
      <w:r w:rsidR="004156F5" w:rsidRPr="00904A38">
        <w:rPr>
          <w:rFonts w:eastAsia="Times New Roman"/>
        </w:rPr>
        <w:t xml:space="preserve">public </w:t>
      </w:r>
      <w:r w:rsidR="00CD5467" w:rsidRPr="00972980">
        <w:rPr>
          <w:rFonts w:eastAsia="Times New Roman"/>
        </w:rPr>
        <w:t xml:space="preserve">participation </w:t>
      </w:r>
      <w:r w:rsidR="004156F5" w:rsidRPr="00972980">
        <w:rPr>
          <w:rFonts w:eastAsia="Times New Roman"/>
        </w:rPr>
        <w:t xml:space="preserve">in </w:t>
      </w:r>
      <w:r w:rsidRPr="00D11988">
        <w:rPr>
          <w:rFonts w:eastAsia="Times New Roman"/>
        </w:rPr>
        <w:t xml:space="preserve">decision-making is </w:t>
      </w:r>
      <w:r w:rsidR="00F96ACB" w:rsidRPr="00D11988">
        <w:rPr>
          <w:rFonts w:eastAsia="Times New Roman"/>
        </w:rPr>
        <w:t xml:space="preserve">also </w:t>
      </w:r>
      <w:proofErr w:type="spellStart"/>
      <w:r w:rsidRPr="00D11988">
        <w:rPr>
          <w:rFonts w:eastAsia="Times New Roman"/>
        </w:rPr>
        <w:t>realised</w:t>
      </w:r>
      <w:proofErr w:type="spellEnd"/>
      <w:r w:rsidRPr="00D11988">
        <w:rPr>
          <w:rFonts w:eastAsia="Times New Roman"/>
        </w:rPr>
        <w:t xml:space="preserve"> through the right of the general publi</w:t>
      </w:r>
      <w:r w:rsidRPr="00F118DC">
        <w:rPr>
          <w:rFonts w:eastAsia="Times New Roman"/>
        </w:rPr>
        <w:t>c to access documents. Regulation No 1049/2001 on public access to documents held by the EU institutions (Access Regulation)</w:t>
      </w:r>
      <w:r w:rsidRPr="006B753A">
        <w:rPr>
          <w:rStyle w:val="FootnoteReference"/>
          <w:rFonts w:ascii="Times New Roman" w:eastAsia="Times New Roman" w:hAnsi="Times New Roman"/>
        </w:rPr>
        <w:footnoteReference w:id="168"/>
      </w:r>
      <w:r w:rsidRPr="005D084F">
        <w:rPr>
          <w:rFonts w:eastAsia="Times New Roman"/>
        </w:rPr>
        <w:t xml:space="preserve"> has</w:t>
      </w:r>
      <w:r w:rsidR="007C0804" w:rsidRPr="00D24721">
        <w:rPr>
          <w:rFonts w:eastAsia="Times New Roman"/>
        </w:rPr>
        <w:t>,</w:t>
      </w:r>
      <w:r w:rsidRPr="00D24721">
        <w:rPr>
          <w:rFonts w:eastAsia="Times New Roman"/>
        </w:rPr>
        <w:t xml:space="preserve"> together with case law</w:t>
      </w:r>
      <w:r w:rsidR="007C0804" w:rsidRPr="00D24721">
        <w:rPr>
          <w:rFonts w:eastAsia="Times New Roman"/>
        </w:rPr>
        <w:t>,</w:t>
      </w:r>
      <w:r w:rsidRPr="00904A38">
        <w:rPr>
          <w:rFonts w:eastAsia="Times New Roman"/>
        </w:rPr>
        <w:t xml:space="preserve"> been instrumental in </w:t>
      </w:r>
      <w:r w:rsidR="007C0804" w:rsidRPr="00972980">
        <w:rPr>
          <w:rFonts w:eastAsia="Times New Roman"/>
        </w:rPr>
        <w:t>developing</w:t>
      </w:r>
      <w:r w:rsidRPr="00972980">
        <w:rPr>
          <w:rFonts w:eastAsia="Times New Roman"/>
        </w:rPr>
        <w:t xml:space="preserve"> the right of citizen access </w:t>
      </w:r>
      <w:r w:rsidR="007C0804" w:rsidRPr="00D11988">
        <w:rPr>
          <w:rFonts w:eastAsia="Times New Roman"/>
        </w:rPr>
        <w:t>to documents</w:t>
      </w:r>
      <w:r w:rsidRPr="00D11988">
        <w:rPr>
          <w:rFonts w:eastAsia="Times New Roman"/>
        </w:rPr>
        <w:t>.</w:t>
      </w:r>
      <w:r w:rsidRPr="006B753A">
        <w:rPr>
          <w:rStyle w:val="FootnoteReference"/>
          <w:rFonts w:ascii="Times New Roman" w:eastAsia="Times New Roman" w:hAnsi="Times New Roman"/>
        </w:rPr>
        <w:footnoteReference w:id="169"/>
      </w:r>
      <w:r w:rsidR="00AD7581" w:rsidRPr="005D084F">
        <w:rPr>
          <w:rFonts w:eastAsia="Times New Roman"/>
        </w:rPr>
        <w:t xml:space="preserve"> </w:t>
      </w:r>
    </w:p>
    <w:p w14:paraId="3D0A61B3" w14:textId="77777777" w:rsidR="008F512B" w:rsidRDefault="008F512B" w:rsidP="003D7727">
      <w:pPr>
        <w:ind w:firstLine="284"/>
        <w:rPr>
          <w:rFonts w:eastAsia="Times New Roman"/>
        </w:rPr>
      </w:pPr>
    </w:p>
    <w:p w14:paraId="5252E2D3" w14:textId="77777777" w:rsidR="008F512B" w:rsidRDefault="002060AF" w:rsidP="003D7727">
      <w:pPr>
        <w:ind w:firstLine="284"/>
        <w:rPr>
          <w:lang w:val="en-GB"/>
        </w:rPr>
      </w:pPr>
      <w:r w:rsidRPr="00D24721">
        <w:t xml:space="preserve">The CJEU has played a </w:t>
      </w:r>
      <w:r w:rsidR="00CE53DE" w:rsidRPr="00D24721">
        <w:t xml:space="preserve">key </w:t>
      </w:r>
      <w:r w:rsidRPr="00904A38">
        <w:t>role in clarifying the principle of public access and its linkage with the principle of democracy.</w:t>
      </w:r>
      <w:r w:rsidRPr="006B753A">
        <w:rPr>
          <w:rStyle w:val="FootnoteReference"/>
          <w:rFonts w:ascii="Times New Roman" w:hAnsi="Times New Roman"/>
        </w:rPr>
        <w:footnoteReference w:id="170"/>
      </w:r>
      <w:r w:rsidR="00182FFA" w:rsidRPr="005D084F">
        <w:rPr>
          <w:rFonts w:eastAsia="Times New Roman"/>
        </w:rPr>
        <w:t xml:space="preserve"> In its landmark ruling</w:t>
      </w:r>
      <w:r w:rsidR="00AD7581" w:rsidRPr="00D24721">
        <w:rPr>
          <w:rFonts w:eastAsia="Times New Roman"/>
        </w:rPr>
        <w:t xml:space="preserve"> </w:t>
      </w:r>
      <w:proofErr w:type="spellStart"/>
      <w:r w:rsidR="00AD7581" w:rsidRPr="00D24721">
        <w:rPr>
          <w:rFonts w:eastAsia="Times New Roman"/>
          <w:i/>
        </w:rPr>
        <w:t>Turco</w:t>
      </w:r>
      <w:proofErr w:type="spellEnd"/>
      <w:r w:rsidR="004B2A46" w:rsidRPr="00D24721">
        <w:rPr>
          <w:rFonts w:eastAsia="Times New Roman"/>
          <w:i/>
        </w:rPr>
        <w:t xml:space="preserve"> v. Council</w:t>
      </w:r>
      <w:r w:rsidR="00182FFA" w:rsidRPr="00904A38">
        <w:rPr>
          <w:rFonts w:eastAsia="Times New Roman"/>
        </w:rPr>
        <w:t>, the CJEU has held that</w:t>
      </w:r>
      <w:r w:rsidR="00AD7581" w:rsidRPr="00972980">
        <w:rPr>
          <w:rFonts w:eastAsia="Times New Roman"/>
        </w:rPr>
        <w:t xml:space="preserve"> </w:t>
      </w:r>
      <w:r w:rsidRPr="00972980">
        <w:rPr>
          <w:rFonts w:eastAsia="Times New Roman"/>
        </w:rPr>
        <w:t>“</w:t>
      </w:r>
      <w:r w:rsidR="00AD7581" w:rsidRPr="00D11988">
        <w:rPr>
          <w:rFonts w:eastAsia="Times New Roman"/>
        </w:rPr>
        <w:t xml:space="preserve">it is for the Council to balance the particular interest to be protected by non-disclosure </w:t>
      </w:r>
      <w:r w:rsidR="00AD7581" w:rsidRPr="00F118DC">
        <w:rPr>
          <w:rFonts w:eastAsia="Times New Roman"/>
        </w:rPr>
        <w:t xml:space="preserve">of the document concerned against, inter alia, the public interest in the document being made accessible in the light of the advantages stemming […] from increased openness, in that </w:t>
      </w:r>
      <w:r w:rsidR="00AD7581" w:rsidRPr="00F118DC">
        <w:rPr>
          <w:rFonts w:eastAsia="Times New Roman"/>
          <w:i/>
        </w:rPr>
        <w:t>this enables citizens to participate more closely in the decision</w:t>
      </w:r>
      <w:r w:rsidR="00C45386" w:rsidRPr="006B753A">
        <w:rPr>
          <w:rFonts w:eastAsia="Times New Roman"/>
          <w:i/>
        </w:rPr>
        <w:t>-</w:t>
      </w:r>
      <w:r w:rsidR="00AD7581" w:rsidRPr="006B753A">
        <w:rPr>
          <w:rFonts w:eastAsia="Times New Roman"/>
          <w:i/>
        </w:rPr>
        <w:t xml:space="preserve">making process and guarantees that the administration enjoys greater legitimacy and is more effective and more </w:t>
      </w:r>
      <w:r w:rsidR="00AD7581" w:rsidRPr="006B753A">
        <w:rPr>
          <w:rFonts w:eastAsia="Times New Roman"/>
          <w:i/>
        </w:rPr>
        <w:lastRenderedPageBreak/>
        <w:t>accountable to the citizen in a democratic system</w:t>
      </w:r>
      <w:r w:rsidR="00AD7581" w:rsidRPr="006B753A">
        <w:rPr>
          <w:rFonts w:eastAsia="Times New Roman"/>
        </w:rPr>
        <w:t xml:space="preserve">. </w:t>
      </w:r>
      <w:r w:rsidR="00AD7581" w:rsidRPr="006B753A">
        <w:rPr>
          <w:rFonts w:eastAsia="Times New Roman"/>
          <w:i/>
        </w:rPr>
        <w:t>Those considerations are clearly of particular relevance where the Council is act</w:t>
      </w:r>
      <w:r w:rsidR="00DB5B84" w:rsidRPr="006B753A">
        <w:rPr>
          <w:rFonts w:eastAsia="Times New Roman"/>
          <w:i/>
        </w:rPr>
        <w:t>ing in its legislativ</w:t>
      </w:r>
      <w:r w:rsidR="00DB5B84" w:rsidRPr="00AF57E3">
        <w:rPr>
          <w:rFonts w:eastAsia="Times New Roman"/>
          <w:i/>
        </w:rPr>
        <w:t>e capacity</w:t>
      </w:r>
      <w:r w:rsidR="00DB5B84" w:rsidRPr="00AF57E3">
        <w:rPr>
          <w:rFonts w:eastAsia="Times New Roman"/>
        </w:rPr>
        <w:t>.”</w:t>
      </w:r>
      <w:r w:rsidR="00DB5B84" w:rsidRPr="00AF57E3">
        <w:rPr>
          <w:rStyle w:val="FootnoteReference"/>
          <w:rFonts w:ascii="Times New Roman" w:eastAsia="Times New Roman" w:hAnsi="Times New Roman"/>
        </w:rPr>
        <w:footnoteReference w:id="171"/>
      </w:r>
      <w:r w:rsidR="00992A82" w:rsidRPr="005D084F">
        <w:rPr>
          <w:lang w:val="en-GB"/>
        </w:rPr>
        <w:t xml:space="preserve"> </w:t>
      </w:r>
    </w:p>
    <w:p w14:paraId="50D4877A" w14:textId="77777777" w:rsidR="008F512B" w:rsidRDefault="008F512B" w:rsidP="003D7727">
      <w:pPr>
        <w:ind w:firstLine="284"/>
        <w:rPr>
          <w:lang w:val="en-GB"/>
        </w:rPr>
      </w:pPr>
    </w:p>
    <w:p w14:paraId="045E3076" w14:textId="77777777" w:rsidR="0055731A" w:rsidRDefault="00992A82" w:rsidP="003D7727">
      <w:pPr>
        <w:ind w:firstLine="284"/>
        <w:rPr>
          <w:lang w:val="en-GB"/>
        </w:rPr>
      </w:pPr>
      <w:r w:rsidRPr="005D084F">
        <w:rPr>
          <w:lang w:val="en-GB"/>
        </w:rPr>
        <w:t>More recently, in its</w:t>
      </w:r>
      <w:r w:rsidR="00462131" w:rsidRPr="00D24721">
        <w:rPr>
          <w:lang w:val="en-GB"/>
        </w:rPr>
        <w:t xml:space="preserve"> </w:t>
      </w:r>
      <w:r w:rsidR="00462131" w:rsidRPr="00D24721">
        <w:rPr>
          <w:i/>
          <w:lang w:val="en-GB"/>
        </w:rPr>
        <w:t>Access Info Europe v. Council of the EU</w:t>
      </w:r>
      <w:r w:rsidRPr="00D24721">
        <w:rPr>
          <w:lang w:val="en-GB"/>
        </w:rPr>
        <w:t xml:space="preserve"> case, </w:t>
      </w:r>
      <w:r w:rsidR="00B904C5" w:rsidRPr="00904A38">
        <w:rPr>
          <w:lang w:val="en-GB"/>
        </w:rPr>
        <w:t xml:space="preserve">the CJEU </w:t>
      </w:r>
      <w:r w:rsidR="008B3BF8" w:rsidRPr="00972980">
        <w:rPr>
          <w:lang w:val="en-GB"/>
        </w:rPr>
        <w:t xml:space="preserve">also </w:t>
      </w:r>
      <w:r w:rsidR="00B904C5" w:rsidRPr="00972980">
        <w:rPr>
          <w:lang w:val="en-GB"/>
        </w:rPr>
        <w:t xml:space="preserve">had to consider the </w:t>
      </w:r>
      <w:r w:rsidR="00B904C5" w:rsidRPr="00D11988">
        <w:rPr>
          <w:rFonts w:eastAsia="Times New Roman"/>
        </w:rPr>
        <w:t>b</w:t>
      </w:r>
      <w:proofErr w:type="spellStart"/>
      <w:r w:rsidR="00462131" w:rsidRPr="00D11988">
        <w:rPr>
          <w:lang w:val="en-GB"/>
        </w:rPr>
        <w:t>alance</w:t>
      </w:r>
      <w:proofErr w:type="spellEnd"/>
      <w:r w:rsidR="00462131" w:rsidRPr="00D11988">
        <w:rPr>
          <w:lang w:val="en-GB"/>
        </w:rPr>
        <w:t xml:space="preserve"> between the principle of transparency and the preservation of the effectiveness of the Council’s decision-making process. The Court </w:t>
      </w:r>
      <w:r w:rsidR="00462131" w:rsidRPr="00F118DC">
        <w:rPr>
          <w:lang w:val="en-GB"/>
        </w:rPr>
        <w:t xml:space="preserve">found that the Council infringed </w:t>
      </w:r>
      <w:r w:rsidR="00B904C5" w:rsidRPr="00F118DC">
        <w:rPr>
          <w:lang w:val="en-GB"/>
        </w:rPr>
        <w:t>the Access Regulation</w:t>
      </w:r>
      <w:r w:rsidR="00462131" w:rsidRPr="006B753A">
        <w:rPr>
          <w:lang w:val="en-GB"/>
        </w:rPr>
        <w:t xml:space="preserve"> by denying disclosure of information because the risk that delegations would refrain from submitting written proposals d</w:t>
      </w:r>
      <w:r w:rsidR="008B3BF8" w:rsidRPr="006B753A">
        <w:rPr>
          <w:lang w:val="en-GB"/>
        </w:rPr>
        <w:t>id</w:t>
      </w:r>
      <w:r w:rsidR="00462131" w:rsidRPr="006B753A">
        <w:rPr>
          <w:lang w:val="en-GB"/>
        </w:rPr>
        <w:t xml:space="preserve"> not sufficiently undermine the decision-making process to justify the refusal of access to the requested information.</w:t>
      </w:r>
      <w:r w:rsidR="006A2661" w:rsidRPr="00AF57E3">
        <w:rPr>
          <w:rStyle w:val="FootnoteReference"/>
          <w:rFonts w:ascii="Times New Roman" w:hAnsi="Times New Roman"/>
          <w:lang w:val="en-GB"/>
        </w:rPr>
        <w:footnoteReference w:id="172"/>
      </w:r>
    </w:p>
    <w:p w14:paraId="2C75C9E1" w14:textId="77777777" w:rsidR="008F512B" w:rsidRPr="005D084F" w:rsidRDefault="008F512B" w:rsidP="003D7727">
      <w:pPr>
        <w:ind w:firstLine="284"/>
        <w:rPr>
          <w:lang w:val="en-GB"/>
        </w:rPr>
      </w:pPr>
    </w:p>
    <w:p w14:paraId="3DCE7A41" w14:textId="77777777" w:rsidR="008F512B" w:rsidRDefault="0055731A" w:rsidP="00C90EA9">
      <w:pPr>
        <w:ind w:firstLine="284"/>
        <w:rPr>
          <w:lang w:val="en-GB"/>
        </w:rPr>
      </w:pPr>
      <w:r w:rsidRPr="00D24721">
        <w:rPr>
          <w:lang w:val="en-GB"/>
        </w:rPr>
        <w:t xml:space="preserve">Apart from the call for access to documents, the issue </w:t>
      </w:r>
      <w:r w:rsidR="00F45B03" w:rsidRPr="00904A38">
        <w:rPr>
          <w:lang w:val="en-GB"/>
        </w:rPr>
        <w:t>of transparency within the EU has also been tackled through the question of</w:t>
      </w:r>
      <w:r w:rsidRPr="00F118DC">
        <w:rPr>
          <w:lang w:val="en-GB"/>
        </w:rPr>
        <w:t xml:space="preserve"> lobbying and its regulation</w:t>
      </w:r>
      <w:r w:rsidR="003860C6" w:rsidRPr="00F118DC">
        <w:rPr>
          <w:lang w:val="en-GB"/>
        </w:rPr>
        <w:t xml:space="preserve"> to ensure transparency </w:t>
      </w:r>
      <w:r w:rsidR="000E7648" w:rsidRPr="006B753A">
        <w:rPr>
          <w:lang w:val="en-GB"/>
        </w:rPr>
        <w:t xml:space="preserve">and accountability </w:t>
      </w:r>
      <w:r w:rsidR="003860C6" w:rsidRPr="006B753A">
        <w:rPr>
          <w:lang w:val="en-GB"/>
        </w:rPr>
        <w:t>of the decision-making process</w:t>
      </w:r>
      <w:r w:rsidRPr="006B753A">
        <w:rPr>
          <w:lang w:val="en-GB"/>
        </w:rPr>
        <w:t xml:space="preserve">. </w:t>
      </w:r>
      <w:r w:rsidR="009065FA" w:rsidRPr="006B753A">
        <w:rPr>
          <w:lang w:val="en-GB"/>
        </w:rPr>
        <w:t xml:space="preserve">This question is as topical as ever regarding issues such as </w:t>
      </w:r>
      <w:r w:rsidR="009B3A77" w:rsidRPr="006B753A">
        <w:rPr>
          <w:lang w:val="en-GB"/>
        </w:rPr>
        <w:t>herbicide gly</w:t>
      </w:r>
      <w:r w:rsidR="009065FA" w:rsidRPr="006B753A">
        <w:rPr>
          <w:lang w:val="en-GB"/>
        </w:rPr>
        <w:t>ph</w:t>
      </w:r>
      <w:r w:rsidR="009B3A77" w:rsidRPr="00AF57E3">
        <w:rPr>
          <w:lang w:val="en-GB"/>
        </w:rPr>
        <w:t>os</w:t>
      </w:r>
      <w:r w:rsidR="009065FA" w:rsidRPr="00AF57E3">
        <w:rPr>
          <w:lang w:val="en-GB"/>
        </w:rPr>
        <w:t xml:space="preserve">ate and endocrine disruptors </w:t>
      </w:r>
      <w:r w:rsidR="007B4949" w:rsidRPr="00AF57E3">
        <w:rPr>
          <w:lang w:val="en-GB"/>
        </w:rPr>
        <w:t>in recent years</w:t>
      </w:r>
      <w:r w:rsidR="009065FA" w:rsidRPr="00AF57E3">
        <w:rPr>
          <w:lang w:val="en-GB"/>
        </w:rPr>
        <w:t>.</w:t>
      </w:r>
      <w:r w:rsidR="008204F1" w:rsidRPr="00AF57E3">
        <w:rPr>
          <w:lang w:val="en-GB"/>
        </w:rPr>
        <w:t xml:space="preserve"> </w:t>
      </w:r>
    </w:p>
    <w:p w14:paraId="3534EE53" w14:textId="77777777" w:rsidR="008F512B" w:rsidRDefault="008F512B" w:rsidP="00C90EA9">
      <w:pPr>
        <w:ind w:firstLine="284"/>
        <w:rPr>
          <w:lang w:val="en-GB"/>
        </w:rPr>
      </w:pPr>
    </w:p>
    <w:p w14:paraId="4AA7B068" w14:textId="77777777" w:rsidR="00AB3FE0" w:rsidRDefault="00A17562" w:rsidP="00C90EA9">
      <w:pPr>
        <w:ind w:firstLine="284"/>
        <w:rPr>
          <w:lang w:val="en-GB"/>
        </w:rPr>
      </w:pPr>
      <w:r w:rsidRPr="00AF57E3">
        <w:rPr>
          <w:lang w:val="en-GB"/>
        </w:rPr>
        <w:t xml:space="preserve">The </w:t>
      </w:r>
      <w:r w:rsidR="001E6E2E" w:rsidRPr="00AF57E3">
        <w:rPr>
          <w:lang w:val="en-GB"/>
        </w:rPr>
        <w:t xml:space="preserve">European </w:t>
      </w:r>
      <w:r w:rsidRPr="00AF57E3">
        <w:rPr>
          <w:lang w:val="en-GB"/>
        </w:rPr>
        <w:t>Parliament was the first institution to introduce t</w:t>
      </w:r>
      <w:r w:rsidR="00F646F7" w:rsidRPr="00AF57E3">
        <w:rPr>
          <w:lang w:val="en-GB"/>
        </w:rPr>
        <w:t>ransparency rules for lobbyists</w:t>
      </w:r>
      <w:r w:rsidRPr="00AF57E3">
        <w:rPr>
          <w:lang w:val="en-GB"/>
        </w:rPr>
        <w:t xml:space="preserve"> in </w:t>
      </w:r>
      <w:r w:rsidR="00F646F7" w:rsidRPr="00AF57E3">
        <w:rPr>
          <w:lang w:val="en-GB"/>
        </w:rPr>
        <w:t>1995</w:t>
      </w:r>
      <w:r w:rsidR="00835C5D" w:rsidRPr="00AF57E3">
        <w:rPr>
          <w:lang w:val="en-GB"/>
        </w:rPr>
        <w:t xml:space="preserve">, followed </w:t>
      </w:r>
      <w:r w:rsidR="00835C5D" w:rsidRPr="00D91F4E">
        <w:rPr>
          <w:lang w:val="en-GB"/>
        </w:rPr>
        <w:t>by the Commission in 2008</w:t>
      </w:r>
      <w:r w:rsidRPr="00D91F4E">
        <w:rPr>
          <w:lang w:val="en-GB"/>
        </w:rPr>
        <w:t>.</w:t>
      </w:r>
      <w:r w:rsidR="00D3213B" w:rsidRPr="00D91F4E">
        <w:rPr>
          <w:lang w:val="en-GB"/>
        </w:rPr>
        <w:t xml:space="preserve"> More recently, in</w:t>
      </w:r>
      <w:r w:rsidR="00385CCC" w:rsidRPr="00D91F4E">
        <w:rPr>
          <w:lang w:val="en-GB"/>
        </w:rPr>
        <w:t xml:space="preserve"> 2011, the </w:t>
      </w:r>
      <w:r w:rsidR="000E1A18" w:rsidRPr="00090510">
        <w:rPr>
          <w:lang w:val="en-GB"/>
        </w:rPr>
        <w:t xml:space="preserve">two institutions merged their two instruments into a joint </w:t>
      </w:r>
      <w:r w:rsidR="000B1EBA" w:rsidRPr="00090510">
        <w:rPr>
          <w:lang w:val="en-GB"/>
        </w:rPr>
        <w:t xml:space="preserve">voluntary </w:t>
      </w:r>
      <w:r w:rsidR="00446337" w:rsidRPr="00090510">
        <w:rPr>
          <w:lang w:val="en-GB"/>
        </w:rPr>
        <w:t xml:space="preserve">transparency </w:t>
      </w:r>
      <w:r w:rsidR="000B1EBA" w:rsidRPr="00090510">
        <w:rPr>
          <w:lang w:val="en-GB"/>
        </w:rPr>
        <w:t>register</w:t>
      </w:r>
      <w:r w:rsidR="00DE56E7" w:rsidRPr="00090510">
        <w:rPr>
          <w:rStyle w:val="FootnoteReference"/>
          <w:rFonts w:ascii="Times New Roman" w:hAnsi="Times New Roman"/>
          <w:lang w:val="en-GB"/>
        </w:rPr>
        <w:footnoteReference w:id="173"/>
      </w:r>
      <w:r w:rsidR="000E1A18" w:rsidRPr="005D084F">
        <w:rPr>
          <w:lang w:val="en-GB"/>
        </w:rPr>
        <w:t xml:space="preserve"> which aims</w:t>
      </w:r>
      <w:r w:rsidR="00446337" w:rsidRPr="00D24721">
        <w:rPr>
          <w:lang w:val="en-GB"/>
        </w:rPr>
        <w:t xml:space="preserve"> </w:t>
      </w:r>
      <w:r w:rsidR="00446337" w:rsidRPr="00D24721">
        <w:rPr>
          <w:rFonts w:eastAsia="Times New Roman"/>
          <w:shd w:val="clear" w:color="auto" w:fill="FFFFFF"/>
        </w:rPr>
        <w:t>to answer core questions such as what interests are being pursued, by whom and with what budgets</w:t>
      </w:r>
      <w:r w:rsidR="00446337" w:rsidRPr="00D24721">
        <w:rPr>
          <w:lang w:val="en-GB"/>
        </w:rPr>
        <w:t>.</w:t>
      </w:r>
      <w:r w:rsidR="00446337" w:rsidRPr="006B753A">
        <w:rPr>
          <w:rStyle w:val="FootnoteReference"/>
          <w:rFonts w:ascii="Times New Roman" w:hAnsi="Times New Roman"/>
          <w:lang w:val="en-GB"/>
        </w:rPr>
        <w:footnoteReference w:id="174"/>
      </w:r>
      <w:r w:rsidR="006D1B40" w:rsidRPr="005D084F">
        <w:rPr>
          <w:lang w:val="en-GB"/>
        </w:rPr>
        <w:t xml:space="preserve"> </w:t>
      </w:r>
      <w:r w:rsidR="00072F4E" w:rsidRPr="00D24721">
        <w:rPr>
          <w:rFonts w:eastAsia="Times New Roman"/>
          <w:lang w:val="en-GB"/>
        </w:rPr>
        <w:t>In 2016, a proposal aimed to make this register mandatory and extend it to the Council of the EU was introduced</w:t>
      </w:r>
      <w:r w:rsidR="00BD611D" w:rsidRPr="00D24721">
        <w:rPr>
          <w:lang w:val="en-GB"/>
        </w:rPr>
        <w:t>.</w:t>
      </w:r>
      <w:r w:rsidR="00072F4E" w:rsidRPr="006B753A">
        <w:rPr>
          <w:rStyle w:val="FootnoteReference"/>
          <w:rFonts w:ascii="Times New Roman" w:hAnsi="Times New Roman"/>
          <w:lang w:val="en-GB"/>
        </w:rPr>
        <w:footnoteReference w:id="175"/>
      </w:r>
      <w:r w:rsidR="00BD611D" w:rsidRPr="005D084F">
        <w:rPr>
          <w:lang w:val="en-GB"/>
        </w:rPr>
        <w:t xml:space="preserve"> </w:t>
      </w:r>
      <w:r w:rsidR="009314AC" w:rsidRPr="00D24721">
        <w:rPr>
          <w:lang w:val="en-GB"/>
        </w:rPr>
        <w:t>This proposal is currently being negotiated between Members of the European Parliament, the Commission and the Council.</w:t>
      </w:r>
      <w:r w:rsidR="009314AC" w:rsidRPr="006B753A">
        <w:rPr>
          <w:rStyle w:val="FootnoteReference"/>
          <w:rFonts w:ascii="Times New Roman" w:hAnsi="Times New Roman"/>
          <w:lang w:val="en-GB"/>
        </w:rPr>
        <w:footnoteReference w:id="176"/>
      </w:r>
    </w:p>
    <w:p w14:paraId="1E275FD9" w14:textId="77777777" w:rsidR="008F512B" w:rsidRPr="005D084F" w:rsidRDefault="008F512B" w:rsidP="00C90EA9">
      <w:pPr>
        <w:ind w:firstLine="284"/>
        <w:rPr>
          <w:lang w:val="en-GB"/>
        </w:rPr>
      </w:pPr>
    </w:p>
    <w:p w14:paraId="6794C80B" w14:textId="77777777" w:rsidR="00CA3687" w:rsidRPr="005D084F" w:rsidRDefault="00C74439" w:rsidP="00C90EA9">
      <w:pPr>
        <w:ind w:firstLine="284"/>
        <w:rPr>
          <w:lang w:val="en-GB"/>
        </w:rPr>
      </w:pPr>
      <w:r w:rsidRPr="00D24721">
        <w:rPr>
          <w:lang w:val="en-GB"/>
        </w:rPr>
        <w:t>These developments a</w:t>
      </w:r>
      <w:r w:rsidRPr="00904A38">
        <w:rPr>
          <w:lang w:val="en-GB"/>
        </w:rPr>
        <w:t xml:space="preserve">t the EU level </w:t>
      </w:r>
      <w:r w:rsidR="00056A4A" w:rsidRPr="00972980">
        <w:rPr>
          <w:lang w:val="en-GB"/>
        </w:rPr>
        <w:t xml:space="preserve">show a trend towards enhanced </w:t>
      </w:r>
      <w:r w:rsidR="00CC11A7" w:rsidRPr="00F118DC">
        <w:rPr>
          <w:lang w:val="en-GB"/>
        </w:rPr>
        <w:t xml:space="preserve">transparency </w:t>
      </w:r>
      <w:r w:rsidR="00056A4A" w:rsidRPr="00F118DC">
        <w:rPr>
          <w:lang w:val="en-GB"/>
        </w:rPr>
        <w:t>and more effective public participation in t</w:t>
      </w:r>
      <w:r w:rsidR="00CC11A7" w:rsidRPr="00F118DC">
        <w:rPr>
          <w:lang w:val="en-GB"/>
        </w:rPr>
        <w:t>he EU institutions.</w:t>
      </w:r>
      <w:r w:rsidR="004C1677" w:rsidRPr="006B753A">
        <w:rPr>
          <w:lang w:val="en-GB"/>
        </w:rPr>
        <w:t xml:space="preserve"> </w:t>
      </w:r>
      <w:r w:rsidR="0011137E" w:rsidRPr="006B753A">
        <w:rPr>
          <w:lang w:val="en-GB"/>
        </w:rPr>
        <w:t>The call for the EU to be</w:t>
      </w:r>
      <w:r w:rsidR="0078305C" w:rsidRPr="006B753A">
        <w:rPr>
          <w:lang w:val="en-GB"/>
        </w:rPr>
        <w:t>come</w:t>
      </w:r>
      <w:r w:rsidR="0011137E" w:rsidRPr="006B753A">
        <w:rPr>
          <w:lang w:val="en-GB"/>
        </w:rPr>
        <w:t xml:space="preserve"> more “democratic” and grant citizens</w:t>
      </w:r>
      <w:r w:rsidR="00D85B77" w:rsidRPr="006B753A">
        <w:rPr>
          <w:lang w:val="en-GB"/>
        </w:rPr>
        <w:t>’</w:t>
      </w:r>
      <w:r w:rsidR="0011137E" w:rsidRPr="006B753A">
        <w:rPr>
          <w:lang w:val="en-GB"/>
        </w:rPr>
        <w:t xml:space="preserve"> representatives more power at the institutional level </w:t>
      </w:r>
      <w:r w:rsidR="0078305C" w:rsidRPr="00AF57E3">
        <w:rPr>
          <w:lang w:val="en-GB"/>
        </w:rPr>
        <w:t xml:space="preserve">is </w:t>
      </w:r>
      <w:r w:rsidR="00A65EE8" w:rsidRPr="00AF57E3">
        <w:rPr>
          <w:lang w:val="en-GB"/>
        </w:rPr>
        <w:t>also</w:t>
      </w:r>
      <w:r w:rsidR="00121639" w:rsidRPr="00AF57E3">
        <w:rPr>
          <w:lang w:val="en-GB"/>
        </w:rPr>
        <w:t xml:space="preserve"> </w:t>
      </w:r>
      <w:r w:rsidR="0078305C" w:rsidRPr="00AF57E3">
        <w:rPr>
          <w:lang w:val="en-GB"/>
        </w:rPr>
        <w:t>at the heart of</w:t>
      </w:r>
      <w:r w:rsidR="0011137E" w:rsidRPr="00AF57E3">
        <w:rPr>
          <w:lang w:val="en-GB"/>
        </w:rPr>
        <w:t xml:space="preserve"> </w:t>
      </w:r>
      <w:r w:rsidR="0078305C" w:rsidRPr="00AF57E3">
        <w:rPr>
          <w:lang w:val="en-GB"/>
        </w:rPr>
        <w:t>the</w:t>
      </w:r>
      <w:r w:rsidR="0011137E" w:rsidRPr="00AF57E3">
        <w:rPr>
          <w:lang w:val="en-GB"/>
        </w:rPr>
        <w:t xml:space="preserve"> </w:t>
      </w:r>
      <w:r w:rsidR="00344F1C" w:rsidRPr="00AF57E3">
        <w:rPr>
          <w:lang w:val="en-GB"/>
        </w:rPr>
        <w:t xml:space="preserve">draft </w:t>
      </w:r>
      <w:r w:rsidR="0011137E" w:rsidRPr="00AF57E3">
        <w:rPr>
          <w:lang w:val="en-GB"/>
        </w:rPr>
        <w:t>Treaty for the democratisation of the Euro-Zone</w:t>
      </w:r>
      <w:r w:rsidR="0078305C" w:rsidRPr="00AF57E3">
        <w:rPr>
          <w:lang w:val="en-GB"/>
        </w:rPr>
        <w:t xml:space="preserve"> </w:t>
      </w:r>
      <w:r w:rsidR="00344F1C" w:rsidRPr="00AF57E3">
        <w:rPr>
          <w:lang w:val="en-GB"/>
        </w:rPr>
        <w:t>proposed</w:t>
      </w:r>
      <w:r w:rsidR="0078305C" w:rsidRPr="00AF57E3">
        <w:rPr>
          <w:lang w:val="en-GB"/>
        </w:rPr>
        <w:t xml:space="preserve"> by leading French scholars, including economist Thomas </w:t>
      </w:r>
      <w:proofErr w:type="spellStart"/>
      <w:r w:rsidR="0078305C" w:rsidRPr="00AF57E3">
        <w:rPr>
          <w:lang w:val="en-GB"/>
        </w:rPr>
        <w:t>Piketty</w:t>
      </w:r>
      <w:proofErr w:type="spellEnd"/>
      <w:r w:rsidR="0011137E" w:rsidRPr="00D91F4E">
        <w:rPr>
          <w:lang w:val="en-GB"/>
        </w:rPr>
        <w:t>.</w:t>
      </w:r>
      <w:r w:rsidR="0011137E" w:rsidRPr="00090510">
        <w:rPr>
          <w:rStyle w:val="FootnoteReference"/>
          <w:rFonts w:ascii="Times New Roman" w:hAnsi="Times New Roman"/>
          <w:lang w:val="en-GB"/>
        </w:rPr>
        <w:footnoteReference w:id="177"/>
      </w:r>
    </w:p>
    <w:p w14:paraId="51CB4163" w14:textId="77777777" w:rsidR="00596B0A" w:rsidRDefault="00BE074B" w:rsidP="00C90EA9">
      <w:pPr>
        <w:pStyle w:val="Heading1"/>
        <w:rPr>
          <w:rFonts w:ascii="Times New Roman" w:hAnsi="Times New Roman" w:cs="Times New Roman"/>
          <w:color w:val="auto"/>
          <w:lang w:val="en-GB"/>
        </w:rPr>
      </w:pPr>
      <w:bookmarkStart w:id="17" w:name="_Toc509931735"/>
      <w:r w:rsidRPr="00E05E56">
        <w:rPr>
          <w:rFonts w:ascii="Times New Roman" w:hAnsi="Times New Roman" w:cs="Times New Roman"/>
          <w:color w:val="auto"/>
          <w:lang w:val="en-GB"/>
        </w:rPr>
        <w:lastRenderedPageBreak/>
        <w:t>Conclusion</w:t>
      </w:r>
      <w:bookmarkEnd w:id="17"/>
    </w:p>
    <w:p w14:paraId="4BCD2218" w14:textId="77777777" w:rsidR="00DF78FD" w:rsidRPr="00DF78FD" w:rsidRDefault="00DF78FD" w:rsidP="00DF78FD">
      <w:pPr>
        <w:rPr>
          <w:lang w:val="en-GB"/>
        </w:rPr>
      </w:pPr>
    </w:p>
    <w:p w14:paraId="7D98424F" w14:textId="6105C5A7" w:rsidR="00F2609F" w:rsidRDefault="00643676" w:rsidP="00E20720">
      <w:pPr>
        <w:ind w:firstLine="284"/>
        <w:rPr>
          <w:lang w:val="en-GB"/>
        </w:rPr>
      </w:pPr>
      <w:r w:rsidRPr="005D084F">
        <w:rPr>
          <w:lang w:val="en-GB"/>
        </w:rPr>
        <w:t xml:space="preserve">This study reveals that many </w:t>
      </w:r>
      <w:r w:rsidR="00C70FEC" w:rsidRPr="005D084F">
        <w:rPr>
          <w:lang w:val="en-GB"/>
        </w:rPr>
        <w:t>positive</w:t>
      </w:r>
      <w:r w:rsidRPr="00D24721">
        <w:rPr>
          <w:lang w:val="en-GB"/>
        </w:rPr>
        <w:t xml:space="preserve"> practices </w:t>
      </w:r>
      <w:r w:rsidR="008F512B">
        <w:rPr>
          <w:lang w:val="en-GB"/>
        </w:rPr>
        <w:t>can</w:t>
      </w:r>
      <w:r w:rsidR="008F512B" w:rsidRPr="00D24721">
        <w:rPr>
          <w:lang w:val="en-GB"/>
        </w:rPr>
        <w:t xml:space="preserve"> </w:t>
      </w:r>
      <w:r w:rsidRPr="00D24721">
        <w:rPr>
          <w:lang w:val="en-GB"/>
        </w:rPr>
        <w:t xml:space="preserve">be identified </w:t>
      </w:r>
      <w:r w:rsidR="00FE4AF0" w:rsidRPr="00D24721">
        <w:rPr>
          <w:lang w:val="en-GB"/>
        </w:rPr>
        <w:t xml:space="preserve">and learned from </w:t>
      </w:r>
      <w:r w:rsidRPr="00D24721">
        <w:rPr>
          <w:lang w:val="en-GB"/>
        </w:rPr>
        <w:t>in terms of equa</w:t>
      </w:r>
      <w:r w:rsidRPr="00904A38">
        <w:rPr>
          <w:lang w:val="en-GB"/>
        </w:rPr>
        <w:t xml:space="preserve">l </w:t>
      </w:r>
      <w:r w:rsidR="003B6301" w:rsidRPr="00972980">
        <w:rPr>
          <w:lang w:val="en-GB"/>
        </w:rPr>
        <w:t>participation in</w:t>
      </w:r>
      <w:r w:rsidR="00E20720" w:rsidRPr="00F118DC">
        <w:rPr>
          <w:lang w:val="en-GB"/>
        </w:rPr>
        <w:t xml:space="preserve"> public affairs </w:t>
      </w:r>
      <w:r w:rsidRPr="00F118DC">
        <w:rPr>
          <w:lang w:val="en-GB"/>
        </w:rPr>
        <w:t xml:space="preserve">in the 25 concerned countries </w:t>
      </w:r>
      <w:r w:rsidR="00C70FEC" w:rsidRPr="00F118DC">
        <w:rPr>
          <w:lang w:val="en-GB"/>
        </w:rPr>
        <w:t>around</w:t>
      </w:r>
      <w:r w:rsidRPr="006B753A">
        <w:rPr>
          <w:lang w:val="en-GB"/>
        </w:rPr>
        <w:t xml:space="preserve"> the </w:t>
      </w:r>
      <w:r w:rsidR="00E93DE0" w:rsidRPr="006B753A">
        <w:rPr>
          <w:lang w:val="en-GB"/>
        </w:rPr>
        <w:t>three</w:t>
      </w:r>
      <w:r w:rsidRPr="006B753A">
        <w:rPr>
          <w:lang w:val="en-GB"/>
        </w:rPr>
        <w:t xml:space="preserve"> aspects highlighted: non-discrimination, new forms of participation and new technologies, and participation at the international level.</w:t>
      </w:r>
      <w:r w:rsidR="003B6301" w:rsidRPr="006B753A">
        <w:rPr>
          <w:lang w:val="en-GB"/>
        </w:rPr>
        <w:t xml:space="preserve"> It suggests an overall aspiration</w:t>
      </w:r>
      <w:r w:rsidR="00E20720" w:rsidRPr="006B753A">
        <w:rPr>
          <w:lang w:val="en-GB"/>
        </w:rPr>
        <w:t xml:space="preserve"> for g</w:t>
      </w:r>
      <w:r w:rsidR="00F2609F" w:rsidRPr="006B753A">
        <w:rPr>
          <w:lang w:val="en-GB"/>
        </w:rPr>
        <w:t>enuine and effective participation in the decision-making process.</w:t>
      </w:r>
    </w:p>
    <w:p w14:paraId="5534DE9D" w14:textId="77777777" w:rsidR="008F512B" w:rsidRPr="006B753A" w:rsidRDefault="008F512B" w:rsidP="00E20720">
      <w:pPr>
        <w:ind w:firstLine="284"/>
        <w:rPr>
          <w:lang w:val="en-GB"/>
        </w:rPr>
      </w:pPr>
    </w:p>
    <w:p w14:paraId="684D0812" w14:textId="357C915A" w:rsidR="000D5C16" w:rsidRDefault="00C54C33" w:rsidP="00643676">
      <w:pPr>
        <w:ind w:firstLine="284"/>
        <w:rPr>
          <w:lang w:val="en-GB"/>
        </w:rPr>
      </w:pPr>
      <w:r w:rsidRPr="006B753A">
        <w:rPr>
          <w:lang w:val="en-GB"/>
        </w:rPr>
        <w:t xml:space="preserve">This study also demonstrates the </w:t>
      </w:r>
      <w:r w:rsidR="00B66C86" w:rsidRPr="006B753A">
        <w:rPr>
          <w:lang w:val="en-GB"/>
        </w:rPr>
        <w:t>opportunity that</w:t>
      </w:r>
      <w:r w:rsidRPr="00AF57E3">
        <w:rPr>
          <w:lang w:val="en-GB"/>
        </w:rPr>
        <w:t xml:space="preserve"> n</w:t>
      </w:r>
      <w:r w:rsidR="00A41DD6" w:rsidRPr="00AF57E3">
        <w:rPr>
          <w:lang w:val="en-GB"/>
        </w:rPr>
        <w:t>ew technologies</w:t>
      </w:r>
      <w:r w:rsidR="009B54A8" w:rsidRPr="00AF57E3">
        <w:rPr>
          <w:lang w:val="en-GB"/>
        </w:rPr>
        <w:t xml:space="preserve"> (ICTs)</w:t>
      </w:r>
      <w:r w:rsidR="00A41DD6" w:rsidRPr="00AF57E3">
        <w:rPr>
          <w:lang w:val="en-GB"/>
        </w:rPr>
        <w:t xml:space="preserve"> </w:t>
      </w:r>
      <w:r w:rsidR="00B66C86" w:rsidRPr="00AF57E3">
        <w:rPr>
          <w:lang w:val="en-GB"/>
        </w:rPr>
        <w:t xml:space="preserve">represent </w:t>
      </w:r>
      <w:r w:rsidR="00A41DD6" w:rsidRPr="00AF57E3">
        <w:rPr>
          <w:lang w:val="en-GB"/>
        </w:rPr>
        <w:t xml:space="preserve">to enable more people to </w:t>
      </w:r>
      <w:r w:rsidR="00254FAC" w:rsidRPr="00AF57E3">
        <w:rPr>
          <w:lang w:val="en-GB"/>
        </w:rPr>
        <w:t xml:space="preserve">participate. </w:t>
      </w:r>
      <w:r w:rsidR="00EC1561" w:rsidRPr="00AF57E3">
        <w:rPr>
          <w:lang w:val="en-GB"/>
        </w:rPr>
        <w:t>Regarding discrimination faced by various g</w:t>
      </w:r>
      <w:r w:rsidR="00DF4432" w:rsidRPr="00AF57E3">
        <w:rPr>
          <w:lang w:val="en-GB"/>
        </w:rPr>
        <w:t>roup</w:t>
      </w:r>
      <w:r w:rsidR="003B6301" w:rsidRPr="00AF57E3">
        <w:rPr>
          <w:lang w:val="en-GB"/>
        </w:rPr>
        <w:t>s</w:t>
      </w:r>
      <w:r w:rsidR="00DF4432" w:rsidRPr="00AF57E3">
        <w:rPr>
          <w:lang w:val="en-GB"/>
        </w:rPr>
        <w:t xml:space="preserve"> as to their votin</w:t>
      </w:r>
      <w:r w:rsidR="00DF4432" w:rsidRPr="00D91F4E">
        <w:rPr>
          <w:lang w:val="en-GB"/>
        </w:rPr>
        <w:t>g rights</w:t>
      </w:r>
      <w:r w:rsidR="00DB2894" w:rsidRPr="00D91F4E">
        <w:rPr>
          <w:lang w:val="en-GB"/>
        </w:rPr>
        <w:t>,</w:t>
      </w:r>
      <w:r w:rsidR="00EC1561" w:rsidRPr="00D91F4E">
        <w:rPr>
          <w:lang w:val="en-GB"/>
        </w:rPr>
        <w:t xml:space="preserve"> electronic </w:t>
      </w:r>
      <w:r w:rsidR="00A41DD6" w:rsidRPr="00D91F4E">
        <w:rPr>
          <w:lang w:val="en-GB"/>
        </w:rPr>
        <w:t xml:space="preserve">voting </w:t>
      </w:r>
      <w:r w:rsidR="00EC1561" w:rsidRPr="00090510">
        <w:rPr>
          <w:lang w:val="en-GB"/>
        </w:rPr>
        <w:t xml:space="preserve">may allow practical obstacles </w:t>
      </w:r>
      <w:r w:rsidR="003B6301" w:rsidRPr="00090510">
        <w:rPr>
          <w:lang w:val="en-GB"/>
        </w:rPr>
        <w:t xml:space="preserve">to be overcome </w:t>
      </w:r>
      <w:r w:rsidR="00EC1561" w:rsidRPr="00090510">
        <w:rPr>
          <w:lang w:val="en-GB"/>
        </w:rPr>
        <w:t>and enable</w:t>
      </w:r>
      <w:r w:rsidR="00A41DD6" w:rsidRPr="00090510">
        <w:rPr>
          <w:lang w:val="en-GB"/>
        </w:rPr>
        <w:t xml:space="preserve"> </w:t>
      </w:r>
      <w:r w:rsidR="0004154E" w:rsidRPr="00090510">
        <w:rPr>
          <w:lang w:val="en-GB"/>
        </w:rPr>
        <w:t>non-residents</w:t>
      </w:r>
      <w:r w:rsidR="00EC1561" w:rsidRPr="00090510">
        <w:rPr>
          <w:lang w:val="en-GB"/>
        </w:rPr>
        <w:t xml:space="preserve"> citizens</w:t>
      </w:r>
      <w:r w:rsidR="0004154E" w:rsidRPr="00090510">
        <w:rPr>
          <w:lang w:val="en-GB"/>
        </w:rPr>
        <w:t xml:space="preserve">, </w:t>
      </w:r>
      <w:r w:rsidR="00EC1561" w:rsidRPr="00090510">
        <w:rPr>
          <w:lang w:val="en-GB"/>
        </w:rPr>
        <w:t>persons with disabilities or</w:t>
      </w:r>
      <w:r w:rsidR="00A41DD6" w:rsidRPr="00090510">
        <w:rPr>
          <w:lang w:val="en-GB"/>
        </w:rPr>
        <w:t xml:space="preserve"> prisoners</w:t>
      </w:r>
      <w:r w:rsidR="00EC1561" w:rsidRPr="00090510">
        <w:rPr>
          <w:lang w:val="en-GB"/>
        </w:rPr>
        <w:t xml:space="preserve"> to exercise their right to vote</w:t>
      </w:r>
      <w:r w:rsidR="00093F76" w:rsidRPr="00090510">
        <w:rPr>
          <w:lang w:val="en-GB"/>
        </w:rPr>
        <w:t xml:space="preserve">. ICTs have also been instrumental in the development of new forms of participation, namely deliberative and participatory democracy. </w:t>
      </w:r>
    </w:p>
    <w:p w14:paraId="6E3B8EFA" w14:textId="77777777" w:rsidR="008F512B" w:rsidRPr="00090510" w:rsidRDefault="008F512B" w:rsidP="00643676">
      <w:pPr>
        <w:ind w:firstLine="284"/>
        <w:rPr>
          <w:lang w:val="en-GB"/>
        </w:rPr>
      </w:pPr>
    </w:p>
    <w:p w14:paraId="7DE8F0FF" w14:textId="77777777" w:rsidR="00A41DD6" w:rsidRDefault="004E59FF" w:rsidP="00041E4E">
      <w:pPr>
        <w:ind w:firstLine="284"/>
        <w:rPr>
          <w:lang w:val="en-GB"/>
        </w:rPr>
      </w:pPr>
      <w:r w:rsidRPr="00090510">
        <w:rPr>
          <w:lang w:val="en-GB"/>
        </w:rPr>
        <w:t xml:space="preserve">Finally, </w:t>
      </w:r>
      <w:r w:rsidR="00186FA7" w:rsidRPr="00090510">
        <w:rPr>
          <w:lang w:val="en-GB"/>
        </w:rPr>
        <w:t>the</w:t>
      </w:r>
      <w:r w:rsidRPr="00090510">
        <w:rPr>
          <w:lang w:val="en-GB"/>
        </w:rPr>
        <w:t xml:space="preserve"> call for transparency in decision-making processes, at the national and international levels, is being tackled by various countries and the EU. </w:t>
      </w:r>
      <w:r w:rsidR="00BA04DA" w:rsidRPr="00090510">
        <w:rPr>
          <w:lang w:val="en-GB"/>
        </w:rPr>
        <w:t xml:space="preserve">These developments bode well for the future of </w:t>
      </w:r>
      <w:r w:rsidR="00BA32EF" w:rsidRPr="00090510">
        <w:rPr>
          <w:lang w:val="en-GB"/>
        </w:rPr>
        <w:t xml:space="preserve">citizens’ </w:t>
      </w:r>
      <w:r w:rsidR="00BA04DA" w:rsidRPr="00090510">
        <w:rPr>
          <w:lang w:val="en-GB"/>
        </w:rPr>
        <w:t xml:space="preserve">equal participation in public affairs. </w:t>
      </w:r>
    </w:p>
    <w:p w14:paraId="6C72614B" w14:textId="77777777" w:rsidR="008F512B" w:rsidRPr="00090510" w:rsidRDefault="008F512B" w:rsidP="00041E4E">
      <w:pPr>
        <w:ind w:firstLine="284"/>
        <w:rPr>
          <w:lang w:val="en-GB"/>
        </w:rPr>
      </w:pPr>
    </w:p>
    <w:p w14:paraId="7B0B616B" w14:textId="46BA5BF5" w:rsidR="00182AD2" w:rsidRDefault="00646397" w:rsidP="00041E4E">
      <w:pPr>
        <w:ind w:firstLine="284"/>
        <w:rPr>
          <w:lang w:val="en-GB"/>
        </w:rPr>
      </w:pPr>
      <w:r w:rsidRPr="00090510">
        <w:rPr>
          <w:lang w:val="en-GB"/>
        </w:rPr>
        <w:t xml:space="preserve">Overall, </w:t>
      </w:r>
      <w:r w:rsidR="00C81D4C" w:rsidRPr="00090510">
        <w:rPr>
          <w:lang w:val="en-GB"/>
        </w:rPr>
        <w:t>the scope of Article 25 seems to be expanding</w:t>
      </w:r>
      <w:r w:rsidR="00026153" w:rsidRPr="00090510">
        <w:rPr>
          <w:lang w:val="en-GB"/>
        </w:rPr>
        <w:t xml:space="preserve">. </w:t>
      </w:r>
      <w:r w:rsidR="00381E6D" w:rsidRPr="00090510">
        <w:rPr>
          <w:lang w:val="en-GB"/>
        </w:rPr>
        <w:t>The material scope of the</w:t>
      </w:r>
      <w:r w:rsidR="00026153" w:rsidRPr="00090510">
        <w:rPr>
          <w:lang w:val="en-GB"/>
        </w:rPr>
        <w:t xml:space="preserve"> right to participation in public affairs </w:t>
      </w:r>
      <w:r w:rsidR="00B07E93" w:rsidRPr="008F512B">
        <w:rPr>
          <w:lang w:val="en-GB"/>
        </w:rPr>
        <w:t>appears</w:t>
      </w:r>
      <w:r w:rsidR="00026153" w:rsidRPr="008F512B">
        <w:rPr>
          <w:lang w:val="en-GB"/>
        </w:rPr>
        <w:t xml:space="preserve"> to include more</w:t>
      </w:r>
      <w:r w:rsidR="00A309DE" w:rsidRPr="008F512B">
        <w:rPr>
          <w:lang w:val="en-GB"/>
        </w:rPr>
        <w:t xml:space="preserve"> and new</w:t>
      </w:r>
      <w:r w:rsidR="00026153" w:rsidRPr="008F512B">
        <w:rPr>
          <w:lang w:val="en-GB"/>
        </w:rPr>
        <w:t xml:space="preserve"> forms of participation</w:t>
      </w:r>
      <w:r w:rsidR="00CA1169" w:rsidRPr="008F512B">
        <w:rPr>
          <w:lang w:val="en-GB"/>
        </w:rPr>
        <w:t xml:space="preserve">. Its personal scope also </w:t>
      </w:r>
      <w:r w:rsidR="00FA42DD" w:rsidRPr="008F512B">
        <w:rPr>
          <w:lang w:val="en-GB"/>
        </w:rPr>
        <w:t>seems</w:t>
      </w:r>
      <w:r w:rsidR="00CA1169" w:rsidRPr="008F512B">
        <w:rPr>
          <w:lang w:val="en-GB"/>
        </w:rPr>
        <w:t xml:space="preserve"> to develop beyond </w:t>
      </w:r>
      <w:r w:rsidR="00026153" w:rsidRPr="008F512B">
        <w:rPr>
          <w:lang w:val="en-GB"/>
        </w:rPr>
        <w:t>“citizens”</w:t>
      </w:r>
      <w:r w:rsidR="00883AAB" w:rsidRPr="008F512B">
        <w:rPr>
          <w:lang w:val="en-GB"/>
        </w:rPr>
        <w:t xml:space="preserve"> as initiatives</w:t>
      </w:r>
      <w:r w:rsidR="00026153" w:rsidRPr="008F512B">
        <w:rPr>
          <w:lang w:val="en-GB"/>
        </w:rPr>
        <w:t xml:space="preserve"> to </w:t>
      </w:r>
      <w:r w:rsidR="00056A4A" w:rsidRPr="008F512B">
        <w:rPr>
          <w:lang w:val="en-GB"/>
        </w:rPr>
        <w:t>enhance</w:t>
      </w:r>
      <w:r w:rsidR="00026153" w:rsidRPr="008F512B">
        <w:rPr>
          <w:lang w:val="en-GB"/>
        </w:rPr>
        <w:t xml:space="preserve"> public participation</w:t>
      </w:r>
      <w:r w:rsidR="00FA30D9" w:rsidRPr="008F512B">
        <w:rPr>
          <w:lang w:val="en-GB"/>
        </w:rPr>
        <w:t xml:space="preserve"> increasingly </w:t>
      </w:r>
      <w:r w:rsidR="00C74A04" w:rsidRPr="008F512B">
        <w:rPr>
          <w:lang w:val="en-GB"/>
        </w:rPr>
        <w:t xml:space="preserve">aim to </w:t>
      </w:r>
      <w:r w:rsidR="00CA1169" w:rsidRPr="008F512B">
        <w:rPr>
          <w:lang w:val="en-GB"/>
        </w:rPr>
        <w:t>involve all persons affected by the de</w:t>
      </w:r>
      <w:r w:rsidR="00637D04" w:rsidRPr="008F512B">
        <w:rPr>
          <w:lang w:val="en-GB"/>
        </w:rPr>
        <w:t xml:space="preserve">cisions at stake. </w:t>
      </w:r>
    </w:p>
    <w:p w14:paraId="7666AAF7" w14:textId="77777777" w:rsidR="00182AD2" w:rsidRDefault="00182AD2">
      <w:pPr>
        <w:rPr>
          <w:lang w:val="en-GB"/>
        </w:rPr>
      </w:pPr>
      <w:r>
        <w:rPr>
          <w:lang w:val="en-GB"/>
        </w:rPr>
        <w:br w:type="page"/>
      </w:r>
    </w:p>
    <w:p w14:paraId="5B0BC253" w14:textId="394E0971" w:rsidR="009A6E00" w:rsidRPr="0043479F" w:rsidRDefault="0043479F" w:rsidP="0043479F">
      <w:pPr>
        <w:pStyle w:val="Heading1"/>
        <w:jc w:val="center"/>
        <w:rPr>
          <w:rFonts w:ascii="Times New Roman" w:hAnsi="Times New Roman" w:cs="Times New Roman"/>
          <w:color w:val="auto"/>
          <w:sz w:val="24"/>
          <w:szCs w:val="24"/>
        </w:rPr>
      </w:pPr>
      <w:bookmarkStart w:id="18" w:name="_Toc509931736"/>
      <w:r w:rsidRPr="0043479F">
        <w:rPr>
          <w:rFonts w:ascii="Times New Roman" w:hAnsi="Times New Roman" w:cs="Times New Roman"/>
          <w:color w:val="auto"/>
          <w:sz w:val="24"/>
          <w:szCs w:val="24"/>
        </w:rPr>
        <w:lastRenderedPageBreak/>
        <w:t xml:space="preserve">Annex </w:t>
      </w:r>
      <w:r w:rsidR="009A6E00" w:rsidRPr="0043479F">
        <w:rPr>
          <w:rFonts w:ascii="Times New Roman" w:hAnsi="Times New Roman" w:cs="Times New Roman"/>
          <w:color w:val="auto"/>
          <w:sz w:val="24"/>
          <w:szCs w:val="24"/>
        </w:rPr>
        <w:t>1</w:t>
      </w:r>
      <w:r>
        <w:rPr>
          <w:rFonts w:ascii="Times New Roman" w:hAnsi="Times New Roman" w:cs="Times New Roman"/>
          <w:color w:val="auto"/>
          <w:sz w:val="24"/>
          <w:szCs w:val="24"/>
        </w:rPr>
        <w:t>:</w:t>
      </w:r>
      <w:r w:rsidRPr="0043479F">
        <w:rPr>
          <w:rFonts w:ascii="Times New Roman" w:hAnsi="Times New Roman" w:cs="Times New Roman"/>
          <w:color w:val="auto"/>
          <w:sz w:val="24"/>
          <w:szCs w:val="24"/>
        </w:rPr>
        <w:t xml:space="preserve"> </w:t>
      </w:r>
      <w:r w:rsidR="009A6E00" w:rsidRPr="0043479F">
        <w:rPr>
          <w:rFonts w:ascii="Times New Roman" w:hAnsi="Times New Roman" w:cs="Times New Roman"/>
          <w:color w:val="auto"/>
          <w:sz w:val="24"/>
          <w:szCs w:val="24"/>
        </w:rPr>
        <w:t>Women in National Parliaments</w:t>
      </w:r>
      <w:bookmarkEnd w:id="18"/>
    </w:p>
    <w:p w14:paraId="0FDF0BFD" w14:textId="77777777" w:rsidR="0043479F" w:rsidRDefault="0043479F" w:rsidP="009A6E00">
      <w:pPr>
        <w:jc w:val="center"/>
        <w:rPr>
          <w:b/>
        </w:rPr>
      </w:pPr>
    </w:p>
    <w:p w14:paraId="6D2AD42C" w14:textId="77777777" w:rsidR="009A6E00" w:rsidRDefault="009A6E00" w:rsidP="009A6E00">
      <w:pPr>
        <w:jc w:val="center"/>
      </w:pPr>
      <w:r>
        <w:t>Situation as of 1</w:t>
      </w:r>
      <w:r w:rsidRPr="00900517">
        <w:rPr>
          <w:vertAlign w:val="superscript"/>
        </w:rPr>
        <w:t>st</w:t>
      </w:r>
      <w:r>
        <w:t xml:space="preserve"> October 2017</w:t>
      </w:r>
      <w:r w:rsidRPr="00900517">
        <w:rPr>
          <w:rStyle w:val="FootnoteReference"/>
        </w:rPr>
        <w:footnoteReference w:customMarkFollows="1" w:id="178"/>
        <w:sym w:font="Symbol" w:char="F02A"/>
      </w:r>
    </w:p>
    <w:p w14:paraId="1F1A9D03" w14:textId="77777777" w:rsidR="009A6E00" w:rsidRDefault="009A6E00" w:rsidP="009A6E00">
      <w:pPr>
        <w:jc w:val="center"/>
      </w:pPr>
    </w:p>
    <w:tbl>
      <w:tblPr>
        <w:tblStyle w:val="TableGrid"/>
        <w:tblW w:w="10490" w:type="dxa"/>
        <w:tblInd w:w="-714" w:type="dxa"/>
        <w:tblLook w:val="04A0" w:firstRow="1" w:lastRow="0" w:firstColumn="1" w:lastColumn="0" w:noHBand="0" w:noVBand="1"/>
      </w:tblPr>
      <w:tblGrid>
        <w:gridCol w:w="1692"/>
        <w:gridCol w:w="1311"/>
        <w:gridCol w:w="888"/>
        <w:gridCol w:w="1016"/>
        <w:gridCol w:w="994"/>
        <w:gridCol w:w="1335"/>
        <w:gridCol w:w="1089"/>
        <w:gridCol w:w="1034"/>
        <w:gridCol w:w="1131"/>
      </w:tblGrid>
      <w:tr w:rsidR="009A6E00" w14:paraId="35F85C27" w14:textId="77777777" w:rsidTr="0043479F">
        <w:tc>
          <w:tcPr>
            <w:tcW w:w="1692" w:type="dxa"/>
            <w:vMerge w:val="restart"/>
          </w:tcPr>
          <w:p w14:paraId="5B064DD6" w14:textId="77777777" w:rsidR="009A6E00" w:rsidRPr="001E0161" w:rsidRDefault="009A6E00" w:rsidP="0043479F">
            <w:pPr>
              <w:ind w:left="-535" w:firstLine="535"/>
              <w:jc w:val="center"/>
              <w:rPr>
                <w:b/>
              </w:rPr>
            </w:pPr>
          </w:p>
          <w:p w14:paraId="1BE4EB1A" w14:textId="77777777" w:rsidR="009A6E00" w:rsidRPr="001E0161" w:rsidRDefault="009A6E00" w:rsidP="0043479F">
            <w:pPr>
              <w:ind w:left="-535" w:firstLine="535"/>
              <w:jc w:val="center"/>
              <w:rPr>
                <w:b/>
              </w:rPr>
            </w:pPr>
            <w:r w:rsidRPr="001E0161">
              <w:rPr>
                <w:b/>
              </w:rPr>
              <w:t>Country</w:t>
            </w:r>
          </w:p>
        </w:tc>
        <w:tc>
          <w:tcPr>
            <w:tcW w:w="4204" w:type="dxa"/>
            <w:gridSpan w:val="4"/>
          </w:tcPr>
          <w:p w14:paraId="381C0E8D" w14:textId="77777777" w:rsidR="009A6E00" w:rsidRPr="001E0161" w:rsidRDefault="009A6E00" w:rsidP="0043479F">
            <w:pPr>
              <w:ind w:left="-535" w:firstLine="535"/>
              <w:jc w:val="center"/>
              <w:rPr>
                <w:b/>
              </w:rPr>
            </w:pPr>
            <w:r w:rsidRPr="001E0161">
              <w:rPr>
                <w:b/>
              </w:rPr>
              <w:t>Lower or single House</w:t>
            </w:r>
          </w:p>
        </w:tc>
        <w:tc>
          <w:tcPr>
            <w:tcW w:w="4594" w:type="dxa"/>
            <w:gridSpan w:val="4"/>
          </w:tcPr>
          <w:p w14:paraId="2767035A" w14:textId="77777777" w:rsidR="009A6E00" w:rsidRPr="001E0161" w:rsidRDefault="009A6E00" w:rsidP="0043479F">
            <w:pPr>
              <w:ind w:left="-535" w:firstLine="535"/>
              <w:jc w:val="center"/>
              <w:rPr>
                <w:b/>
              </w:rPr>
            </w:pPr>
            <w:r w:rsidRPr="001E0161">
              <w:rPr>
                <w:b/>
              </w:rPr>
              <w:t>Upper House or Senate</w:t>
            </w:r>
          </w:p>
        </w:tc>
      </w:tr>
      <w:tr w:rsidR="009A6E00" w14:paraId="4E924857" w14:textId="77777777" w:rsidTr="0043479F">
        <w:tc>
          <w:tcPr>
            <w:tcW w:w="1692" w:type="dxa"/>
            <w:vMerge/>
          </w:tcPr>
          <w:p w14:paraId="13F41073" w14:textId="77777777" w:rsidR="009A6E00" w:rsidRPr="001E0161" w:rsidRDefault="009A6E00" w:rsidP="0043479F">
            <w:pPr>
              <w:ind w:left="-535" w:firstLine="535"/>
              <w:jc w:val="center"/>
              <w:rPr>
                <w:b/>
              </w:rPr>
            </w:pPr>
          </w:p>
        </w:tc>
        <w:tc>
          <w:tcPr>
            <w:tcW w:w="1311" w:type="dxa"/>
          </w:tcPr>
          <w:p w14:paraId="1527BBCF" w14:textId="77777777" w:rsidR="009A6E00" w:rsidRPr="001E0161" w:rsidRDefault="009A6E00" w:rsidP="0043479F">
            <w:pPr>
              <w:ind w:left="-535" w:firstLine="535"/>
              <w:jc w:val="center"/>
              <w:rPr>
                <w:b/>
              </w:rPr>
            </w:pPr>
            <w:r w:rsidRPr="001E0161">
              <w:rPr>
                <w:b/>
              </w:rPr>
              <w:t>Elections</w:t>
            </w:r>
          </w:p>
        </w:tc>
        <w:tc>
          <w:tcPr>
            <w:tcW w:w="889" w:type="dxa"/>
          </w:tcPr>
          <w:p w14:paraId="305CB83C" w14:textId="77777777" w:rsidR="009A6E00" w:rsidRPr="001E0161" w:rsidRDefault="009A6E00" w:rsidP="0043479F">
            <w:pPr>
              <w:ind w:left="-535" w:firstLine="535"/>
              <w:jc w:val="center"/>
              <w:rPr>
                <w:b/>
              </w:rPr>
            </w:pPr>
            <w:r w:rsidRPr="001E0161">
              <w:rPr>
                <w:b/>
              </w:rPr>
              <w:t>Seats</w:t>
            </w:r>
          </w:p>
        </w:tc>
        <w:tc>
          <w:tcPr>
            <w:tcW w:w="1008" w:type="dxa"/>
          </w:tcPr>
          <w:p w14:paraId="7014ACF0" w14:textId="77777777" w:rsidR="009A6E00" w:rsidRPr="001E0161" w:rsidRDefault="009A6E00" w:rsidP="0043479F">
            <w:pPr>
              <w:ind w:left="-535" w:firstLine="535"/>
              <w:jc w:val="center"/>
              <w:rPr>
                <w:b/>
              </w:rPr>
            </w:pPr>
            <w:r w:rsidRPr="001E0161">
              <w:rPr>
                <w:b/>
              </w:rPr>
              <w:t>Women</w:t>
            </w:r>
          </w:p>
        </w:tc>
        <w:tc>
          <w:tcPr>
            <w:tcW w:w="996" w:type="dxa"/>
            <w:vAlign w:val="center"/>
          </w:tcPr>
          <w:p w14:paraId="643B568A" w14:textId="77777777" w:rsidR="009A6E00" w:rsidRPr="001E0161" w:rsidRDefault="009A6E00" w:rsidP="0043479F">
            <w:pPr>
              <w:ind w:left="-535" w:right="-72" w:firstLine="535"/>
              <w:jc w:val="center"/>
              <w:rPr>
                <w:b/>
                <w:sz w:val="20"/>
                <w:szCs w:val="20"/>
              </w:rPr>
            </w:pPr>
            <w:r>
              <w:rPr>
                <w:b/>
                <w:sz w:val="20"/>
                <w:szCs w:val="20"/>
              </w:rPr>
              <w:t>% Women</w:t>
            </w:r>
          </w:p>
        </w:tc>
        <w:tc>
          <w:tcPr>
            <w:tcW w:w="1335" w:type="dxa"/>
          </w:tcPr>
          <w:p w14:paraId="5373E6F0" w14:textId="77777777" w:rsidR="009A6E00" w:rsidRPr="001E0161" w:rsidRDefault="009A6E00" w:rsidP="0043479F">
            <w:pPr>
              <w:ind w:left="-535" w:firstLine="535"/>
              <w:jc w:val="center"/>
              <w:rPr>
                <w:b/>
              </w:rPr>
            </w:pPr>
            <w:r w:rsidRPr="001E0161">
              <w:rPr>
                <w:b/>
              </w:rPr>
              <w:t>Elections</w:t>
            </w:r>
          </w:p>
        </w:tc>
        <w:tc>
          <w:tcPr>
            <w:tcW w:w="1091" w:type="dxa"/>
          </w:tcPr>
          <w:p w14:paraId="206F7A3A" w14:textId="77777777" w:rsidR="009A6E00" w:rsidRPr="001E0161" w:rsidRDefault="009A6E00" w:rsidP="0043479F">
            <w:pPr>
              <w:ind w:left="-535" w:firstLine="535"/>
              <w:jc w:val="center"/>
              <w:rPr>
                <w:b/>
              </w:rPr>
            </w:pPr>
            <w:r w:rsidRPr="001E0161">
              <w:rPr>
                <w:b/>
              </w:rPr>
              <w:t>Seats</w:t>
            </w:r>
          </w:p>
        </w:tc>
        <w:tc>
          <w:tcPr>
            <w:tcW w:w="1034" w:type="dxa"/>
          </w:tcPr>
          <w:p w14:paraId="6FB0D244" w14:textId="77777777" w:rsidR="009A6E00" w:rsidRPr="001E0161" w:rsidRDefault="009A6E00" w:rsidP="0043479F">
            <w:pPr>
              <w:ind w:left="-535" w:firstLine="535"/>
              <w:jc w:val="center"/>
              <w:rPr>
                <w:b/>
              </w:rPr>
            </w:pPr>
            <w:r w:rsidRPr="001E0161">
              <w:rPr>
                <w:b/>
              </w:rPr>
              <w:t>Women</w:t>
            </w:r>
          </w:p>
        </w:tc>
        <w:tc>
          <w:tcPr>
            <w:tcW w:w="1134" w:type="dxa"/>
          </w:tcPr>
          <w:p w14:paraId="6D7F7AAE" w14:textId="77777777" w:rsidR="009A6E00" w:rsidRPr="001E0161" w:rsidRDefault="009A6E00" w:rsidP="0043479F">
            <w:pPr>
              <w:ind w:left="-535" w:firstLine="535"/>
              <w:jc w:val="center"/>
              <w:rPr>
                <w:b/>
                <w:sz w:val="20"/>
                <w:szCs w:val="20"/>
              </w:rPr>
            </w:pPr>
            <w:r w:rsidRPr="001E0161">
              <w:rPr>
                <w:b/>
                <w:sz w:val="20"/>
                <w:szCs w:val="20"/>
              </w:rPr>
              <w:t>% Women</w:t>
            </w:r>
          </w:p>
        </w:tc>
      </w:tr>
      <w:tr w:rsidR="009A6E00" w14:paraId="4A8C3EC6" w14:textId="77777777" w:rsidTr="0043479F">
        <w:tc>
          <w:tcPr>
            <w:tcW w:w="1692" w:type="dxa"/>
          </w:tcPr>
          <w:p w14:paraId="5CEE176E" w14:textId="77777777" w:rsidR="009A6E00" w:rsidRDefault="009A6E00" w:rsidP="0043479F">
            <w:pPr>
              <w:jc w:val="center"/>
            </w:pPr>
            <w:r>
              <w:t>Andorra</w:t>
            </w:r>
          </w:p>
        </w:tc>
        <w:tc>
          <w:tcPr>
            <w:tcW w:w="1311" w:type="dxa"/>
          </w:tcPr>
          <w:p w14:paraId="3505D165" w14:textId="77777777" w:rsidR="009A6E00" w:rsidRDefault="009A6E00" w:rsidP="0043479F">
            <w:pPr>
              <w:jc w:val="center"/>
            </w:pPr>
            <w:r>
              <w:t>01.03.2015</w:t>
            </w:r>
          </w:p>
        </w:tc>
        <w:tc>
          <w:tcPr>
            <w:tcW w:w="889" w:type="dxa"/>
          </w:tcPr>
          <w:p w14:paraId="3B3EE1E3" w14:textId="77777777" w:rsidR="009A6E00" w:rsidRDefault="009A6E00" w:rsidP="0043479F">
            <w:pPr>
              <w:jc w:val="center"/>
            </w:pPr>
            <w:r>
              <w:t>28</w:t>
            </w:r>
          </w:p>
        </w:tc>
        <w:tc>
          <w:tcPr>
            <w:tcW w:w="1008" w:type="dxa"/>
          </w:tcPr>
          <w:p w14:paraId="766CA544" w14:textId="77777777" w:rsidR="009A6E00" w:rsidRDefault="009A6E00" w:rsidP="0043479F">
            <w:pPr>
              <w:jc w:val="center"/>
            </w:pPr>
            <w:r>
              <w:t>9</w:t>
            </w:r>
          </w:p>
        </w:tc>
        <w:tc>
          <w:tcPr>
            <w:tcW w:w="996" w:type="dxa"/>
          </w:tcPr>
          <w:p w14:paraId="410D1FCF" w14:textId="77777777" w:rsidR="009A6E00" w:rsidRDefault="009A6E00" w:rsidP="0043479F">
            <w:pPr>
              <w:jc w:val="center"/>
            </w:pPr>
            <w:r>
              <w:t>32.1</w:t>
            </w:r>
          </w:p>
        </w:tc>
        <w:tc>
          <w:tcPr>
            <w:tcW w:w="1335" w:type="dxa"/>
          </w:tcPr>
          <w:p w14:paraId="2F8A16A7" w14:textId="77777777" w:rsidR="009A6E00" w:rsidRDefault="009A6E00" w:rsidP="0043479F">
            <w:pPr>
              <w:jc w:val="center"/>
            </w:pPr>
            <w:r>
              <w:t>--</w:t>
            </w:r>
          </w:p>
        </w:tc>
        <w:tc>
          <w:tcPr>
            <w:tcW w:w="1091" w:type="dxa"/>
          </w:tcPr>
          <w:p w14:paraId="5F93BEF6" w14:textId="77777777" w:rsidR="009A6E00" w:rsidRDefault="009A6E00" w:rsidP="0043479F">
            <w:pPr>
              <w:jc w:val="center"/>
            </w:pPr>
            <w:r>
              <w:t>--</w:t>
            </w:r>
          </w:p>
        </w:tc>
        <w:tc>
          <w:tcPr>
            <w:tcW w:w="1034" w:type="dxa"/>
          </w:tcPr>
          <w:p w14:paraId="4211C958" w14:textId="77777777" w:rsidR="009A6E00" w:rsidRDefault="009A6E00" w:rsidP="0043479F">
            <w:pPr>
              <w:jc w:val="center"/>
            </w:pPr>
            <w:r>
              <w:t>--</w:t>
            </w:r>
          </w:p>
        </w:tc>
        <w:tc>
          <w:tcPr>
            <w:tcW w:w="1134" w:type="dxa"/>
          </w:tcPr>
          <w:p w14:paraId="3F6616FA" w14:textId="77777777" w:rsidR="009A6E00" w:rsidRDefault="009A6E00" w:rsidP="0043479F">
            <w:pPr>
              <w:jc w:val="center"/>
            </w:pPr>
            <w:r>
              <w:t>--</w:t>
            </w:r>
          </w:p>
        </w:tc>
      </w:tr>
      <w:tr w:rsidR="009A6E00" w14:paraId="6BD7B74A" w14:textId="77777777" w:rsidTr="0043479F">
        <w:trPr>
          <w:trHeight w:val="325"/>
        </w:trPr>
        <w:tc>
          <w:tcPr>
            <w:tcW w:w="1692" w:type="dxa"/>
          </w:tcPr>
          <w:p w14:paraId="0151167D" w14:textId="77777777" w:rsidR="009A6E00" w:rsidRDefault="009A6E00" w:rsidP="0043479F">
            <w:pPr>
              <w:jc w:val="center"/>
            </w:pPr>
            <w:r>
              <w:t>Austria</w:t>
            </w:r>
          </w:p>
        </w:tc>
        <w:tc>
          <w:tcPr>
            <w:tcW w:w="1311" w:type="dxa"/>
          </w:tcPr>
          <w:p w14:paraId="1ED863BF" w14:textId="77777777" w:rsidR="009A6E00" w:rsidRDefault="009A6E00" w:rsidP="0043479F">
            <w:pPr>
              <w:jc w:val="center"/>
            </w:pPr>
            <w:r>
              <w:t>20.09.2013</w:t>
            </w:r>
          </w:p>
        </w:tc>
        <w:tc>
          <w:tcPr>
            <w:tcW w:w="889" w:type="dxa"/>
          </w:tcPr>
          <w:p w14:paraId="6E7761EA" w14:textId="77777777" w:rsidR="009A6E00" w:rsidRDefault="009A6E00" w:rsidP="0043479F">
            <w:pPr>
              <w:jc w:val="center"/>
            </w:pPr>
            <w:r>
              <w:t>183</w:t>
            </w:r>
          </w:p>
        </w:tc>
        <w:tc>
          <w:tcPr>
            <w:tcW w:w="1008" w:type="dxa"/>
          </w:tcPr>
          <w:p w14:paraId="74F436F1" w14:textId="77777777" w:rsidR="009A6E00" w:rsidRDefault="009A6E00" w:rsidP="0043479F">
            <w:pPr>
              <w:jc w:val="center"/>
            </w:pPr>
            <w:r>
              <w:t>56</w:t>
            </w:r>
          </w:p>
        </w:tc>
        <w:tc>
          <w:tcPr>
            <w:tcW w:w="996" w:type="dxa"/>
          </w:tcPr>
          <w:p w14:paraId="57ECB78E" w14:textId="77777777" w:rsidR="009A6E00" w:rsidRDefault="009A6E00" w:rsidP="0043479F">
            <w:pPr>
              <w:jc w:val="center"/>
            </w:pPr>
            <w:r>
              <w:t>30.6</w:t>
            </w:r>
          </w:p>
        </w:tc>
        <w:tc>
          <w:tcPr>
            <w:tcW w:w="1335" w:type="dxa"/>
          </w:tcPr>
          <w:p w14:paraId="2F4AB41B" w14:textId="77777777" w:rsidR="009A6E00" w:rsidRDefault="009A6E00" w:rsidP="0043479F">
            <w:pPr>
              <w:jc w:val="center"/>
            </w:pPr>
            <w:r>
              <w:t>N/A</w:t>
            </w:r>
          </w:p>
        </w:tc>
        <w:tc>
          <w:tcPr>
            <w:tcW w:w="1091" w:type="dxa"/>
          </w:tcPr>
          <w:p w14:paraId="5FEC2A67" w14:textId="77777777" w:rsidR="009A6E00" w:rsidRDefault="009A6E00" w:rsidP="0043479F">
            <w:pPr>
              <w:jc w:val="center"/>
            </w:pPr>
            <w:r>
              <w:t>61</w:t>
            </w:r>
          </w:p>
        </w:tc>
        <w:tc>
          <w:tcPr>
            <w:tcW w:w="1034" w:type="dxa"/>
          </w:tcPr>
          <w:p w14:paraId="02238CE9" w14:textId="77777777" w:rsidR="009A6E00" w:rsidRDefault="009A6E00" w:rsidP="0043479F">
            <w:pPr>
              <w:jc w:val="center"/>
            </w:pPr>
            <w:r>
              <w:t>19</w:t>
            </w:r>
          </w:p>
        </w:tc>
        <w:tc>
          <w:tcPr>
            <w:tcW w:w="1134" w:type="dxa"/>
          </w:tcPr>
          <w:p w14:paraId="28E171CE" w14:textId="77777777" w:rsidR="009A6E00" w:rsidRDefault="009A6E00" w:rsidP="0043479F">
            <w:pPr>
              <w:jc w:val="center"/>
            </w:pPr>
            <w:r>
              <w:t>31.1</w:t>
            </w:r>
          </w:p>
        </w:tc>
      </w:tr>
      <w:tr w:rsidR="009A6E00" w14:paraId="24EEF05D" w14:textId="77777777" w:rsidTr="0043479F">
        <w:tc>
          <w:tcPr>
            <w:tcW w:w="1692" w:type="dxa"/>
          </w:tcPr>
          <w:p w14:paraId="4D9F7F5A" w14:textId="77777777" w:rsidR="009A6E00" w:rsidRDefault="009A6E00" w:rsidP="0043479F">
            <w:pPr>
              <w:jc w:val="center"/>
            </w:pPr>
            <w:r>
              <w:t>Belgium</w:t>
            </w:r>
          </w:p>
        </w:tc>
        <w:tc>
          <w:tcPr>
            <w:tcW w:w="1311" w:type="dxa"/>
          </w:tcPr>
          <w:p w14:paraId="7AE58811" w14:textId="77777777" w:rsidR="009A6E00" w:rsidRDefault="009A6E00" w:rsidP="0043479F">
            <w:pPr>
              <w:jc w:val="center"/>
            </w:pPr>
            <w:r>
              <w:t>25.05.2014</w:t>
            </w:r>
          </w:p>
        </w:tc>
        <w:tc>
          <w:tcPr>
            <w:tcW w:w="889" w:type="dxa"/>
          </w:tcPr>
          <w:p w14:paraId="52A1F55A" w14:textId="77777777" w:rsidR="009A6E00" w:rsidRDefault="009A6E00" w:rsidP="0043479F">
            <w:pPr>
              <w:jc w:val="center"/>
            </w:pPr>
            <w:r>
              <w:t>150</w:t>
            </w:r>
          </w:p>
        </w:tc>
        <w:tc>
          <w:tcPr>
            <w:tcW w:w="1008" w:type="dxa"/>
          </w:tcPr>
          <w:p w14:paraId="2A4E5D3B" w14:textId="77777777" w:rsidR="009A6E00" w:rsidRDefault="009A6E00" w:rsidP="0043479F">
            <w:pPr>
              <w:jc w:val="center"/>
            </w:pPr>
            <w:r>
              <w:t>57</w:t>
            </w:r>
          </w:p>
        </w:tc>
        <w:tc>
          <w:tcPr>
            <w:tcW w:w="996" w:type="dxa"/>
          </w:tcPr>
          <w:p w14:paraId="1B5B6A9D" w14:textId="77777777" w:rsidR="009A6E00" w:rsidRDefault="009A6E00" w:rsidP="0043479F">
            <w:pPr>
              <w:jc w:val="center"/>
            </w:pPr>
            <w:r>
              <w:t>38.0</w:t>
            </w:r>
          </w:p>
        </w:tc>
        <w:tc>
          <w:tcPr>
            <w:tcW w:w="1335" w:type="dxa"/>
          </w:tcPr>
          <w:p w14:paraId="1D15DC22" w14:textId="77777777" w:rsidR="009A6E00" w:rsidRDefault="009A6E00" w:rsidP="0043479F">
            <w:pPr>
              <w:jc w:val="center"/>
            </w:pPr>
            <w:r>
              <w:t>03.07.2014</w:t>
            </w:r>
          </w:p>
        </w:tc>
        <w:tc>
          <w:tcPr>
            <w:tcW w:w="1091" w:type="dxa"/>
          </w:tcPr>
          <w:p w14:paraId="6AAAC8AF" w14:textId="77777777" w:rsidR="009A6E00" w:rsidRDefault="009A6E00" w:rsidP="0043479F">
            <w:pPr>
              <w:jc w:val="center"/>
            </w:pPr>
            <w:r>
              <w:t>60</w:t>
            </w:r>
          </w:p>
        </w:tc>
        <w:tc>
          <w:tcPr>
            <w:tcW w:w="1034" w:type="dxa"/>
          </w:tcPr>
          <w:p w14:paraId="34E1D497" w14:textId="77777777" w:rsidR="009A6E00" w:rsidRDefault="009A6E00" w:rsidP="0043479F">
            <w:pPr>
              <w:jc w:val="center"/>
            </w:pPr>
            <w:r>
              <w:t>30</w:t>
            </w:r>
          </w:p>
        </w:tc>
        <w:tc>
          <w:tcPr>
            <w:tcW w:w="1134" w:type="dxa"/>
          </w:tcPr>
          <w:p w14:paraId="56A577BA" w14:textId="77777777" w:rsidR="009A6E00" w:rsidRDefault="009A6E00" w:rsidP="0043479F">
            <w:pPr>
              <w:jc w:val="center"/>
            </w:pPr>
            <w:r>
              <w:t>50</w:t>
            </w:r>
          </w:p>
        </w:tc>
      </w:tr>
      <w:tr w:rsidR="009A6E00" w14:paraId="08381B80" w14:textId="77777777" w:rsidTr="0043479F">
        <w:tc>
          <w:tcPr>
            <w:tcW w:w="1692" w:type="dxa"/>
          </w:tcPr>
          <w:p w14:paraId="7D87F8CC" w14:textId="77777777" w:rsidR="009A6E00" w:rsidRDefault="009A6E00" w:rsidP="0043479F">
            <w:pPr>
              <w:jc w:val="center"/>
            </w:pPr>
            <w:r>
              <w:t>Denmark</w:t>
            </w:r>
          </w:p>
        </w:tc>
        <w:tc>
          <w:tcPr>
            <w:tcW w:w="1311" w:type="dxa"/>
          </w:tcPr>
          <w:p w14:paraId="6460A238" w14:textId="77777777" w:rsidR="009A6E00" w:rsidRDefault="009A6E00" w:rsidP="0043479F">
            <w:pPr>
              <w:jc w:val="center"/>
            </w:pPr>
            <w:r>
              <w:t>18.06.2015</w:t>
            </w:r>
          </w:p>
        </w:tc>
        <w:tc>
          <w:tcPr>
            <w:tcW w:w="889" w:type="dxa"/>
          </w:tcPr>
          <w:p w14:paraId="6A3C1EC6" w14:textId="77777777" w:rsidR="009A6E00" w:rsidRDefault="009A6E00" w:rsidP="0043479F">
            <w:pPr>
              <w:jc w:val="center"/>
            </w:pPr>
            <w:r>
              <w:t>179</w:t>
            </w:r>
          </w:p>
        </w:tc>
        <w:tc>
          <w:tcPr>
            <w:tcW w:w="1008" w:type="dxa"/>
          </w:tcPr>
          <w:p w14:paraId="1F75895E" w14:textId="77777777" w:rsidR="009A6E00" w:rsidRDefault="009A6E00" w:rsidP="0043479F">
            <w:pPr>
              <w:jc w:val="center"/>
            </w:pPr>
            <w:r>
              <w:t>67</w:t>
            </w:r>
          </w:p>
        </w:tc>
        <w:tc>
          <w:tcPr>
            <w:tcW w:w="996" w:type="dxa"/>
          </w:tcPr>
          <w:p w14:paraId="7B23A327" w14:textId="77777777" w:rsidR="009A6E00" w:rsidRDefault="009A6E00" w:rsidP="0043479F">
            <w:pPr>
              <w:jc w:val="center"/>
            </w:pPr>
            <w:r>
              <w:t>37.4</w:t>
            </w:r>
          </w:p>
        </w:tc>
        <w:tc>
          <w:tcPr>
            <w:tcW w:w="1335" w:type="dxa"/>
          </w:tcPr>
          <w:p w14:paraId="2136FE5D" w14:textId="77777777" w:rsidR="009A6E00" w:rsidRDefault="009A6E00" w:rsidP="0043479F">
            <w:pPr>
              <w:jc w:val="center"/>
            </w:pPr>
            <w:r>
              <w:t>--</w:t>
            </w:r>
          </w:p>
        </w:tc>
        <w:tc>
          <w:tcPr>
            <w:tcW w:w="1091" w:type="dxa"/>
          </w:tcPr>
          <w:p w14:paraId="55C8FE8A" w14:textId="77777777" w:rsidR="009A6E00" w:rsidRDefault="009A6E00" w:rsidP="0043479F">
            <w:pPr>
              <w:jc w:val="center"/>
            </w:pPr>
            <w:r>
              <w:t>--</w:t>
            </w:r>
          </w:p>
        </w:tc>
        <w:tc>
          <w:tcPr>
            <w:tcW w:w="1034" w:type="dxa"/>
          </w:tcPr>
          <w:p w14:paraId="1AD9DC49" w14:textId="77777777" w:rsidR="009A6E00" w:rsidRDefault="009A6E00" w:rsidP="0043479F">
            <w:pPr>
              <w:jc w:val="center"/>
            </w:pPr>
            <w:r>
              <w:t>--</w:t>
            </w:r>
          </w:p>
        </w:tc>
        <w:tc>
          <w:tcPr>
            <w:tcW w:w="1134" w:type="dxa"/>
          </w:tcPr>
          <w:p w14:paraId="32E4A26E" w14:textId="77777777" w:rsidR="009A6E00" w:rsidRDefault="009A6E00" w:rsidP="0043479F">
            <w:pPr>
              <w:jc w:val="center"/>
            </w:pPr>
            <w:r>
              <w:t>--</w:t>
            </w:r>
          </w:p>
        </w:tc>
      </w:tr>
      <w:tr w:rsidR="009A6E00" w14:paraId="148A9E1A" w14:textId="77777777" w:rsidTr="0043479F">
        <w:tc>
          <w:tcPr>
            <w:tcW w:w="1692" w:type="dxa"/>
          </w:tcPr>
          <w:p w14:paraId="6B83A031" w14:textId="77777777" w:rsidR="009A6E00" w:rsidRDefault="009A6E00" w:rsidP="0043479F">
            <w:pPr>
              <w:jc w:val="center"/>
            </w:pPr>
            <w:r>
              <w:t>Finland</w:t>
            </w:r>
          </w:p>
        </w:tc>
        <w:tc>
          <w:tcPr>
            <w:tcW w:w="1311" w:type="dxa"/>
          </w:tcPr>
          <w:p w14:paraId="33A55576" w14:textId="77777777" w:rsidR="009A6E00" w:rsidRDefault="009A6E00" w:rsidP="0043479F">
            <w:pPr>
              <w:jc w:val="center"/>
            </w:pPr>
            <w:r>
              <w:t>19.04.2015</w:t>
            </w:r>
          </w:p>
        </w:tc>
        <w:tc>
          <w:tcPr>
            <w:tcW w:w="889" w:type="dxa"/>
          </w:tcPr>
          <w:p w14:paraId="68CC6BCD" w14:textId="77777777" w:rsidR="009A6E00" w:rsidRDefault="009A6E00" w:rsidP="0043479F">
            <w:pPr>
              <w:jc w:val="center"/>
            </w:pPr>
            <w:r>
              <w:t>200</w:t>
            </w:r>
          </w:p>
        </w:tc>
        <w:tc>
          <w:tcPr>
            <w:tcW w:w="1008" w:type="dxa"/>
          </w:tcPr>
          <w:p w14:paraId="055092CF" w14:textId="77777777" w:rsidR="009A6E00" w:rsidRDefault="009A6E00" w:rsidP="0043479F">
            <w:pPr>
              <w:jc w:val="center"/>
            </w:pPr>
            <w:r>
              <w:t>84</w:t>
            </w:r>
          </w:p>
        </w:tc>
        <w:tc>
          <w:tcPr>
            <w:tcW w:w="996" w:type="dxa"/>
          </w:tcPr>
          <w:p w14:paraId="7F1CC1EC" w14:textId="77777777" w:rsidR="009A6E00" w:rsidRDefault="009A6E00" w:rsidP="0043479F">
            <w:pPr>
              <w:jc w:val="center"/>
            </w:pPr>
            <w:r>
              <w:t>42.0</w:t>
            </w:r>
          </w:p>
        </w:tc>
        <w:tc>
          <w:tcPr>
            <w:tcW w:w="1335" w:type="dxa"/>
          </w:tcPr>
          <w:p w14:paraId="0D4879D1" w14:textId="77777777" w:rsidR="009A6E00" w:rsidRDefault="009A6E00" w:rsidP="0043479F">
            <w:pPr>
              <w:jc w:val="center"/>
            </w:pPr>
            <w:r>
              <w:t>--</w:t>
            </w:r>
          </w:p>
        </w:tc>
        <w:tc>
          <w:tcPr>
            <w:tcW w:w="1091" w:type="dxa"/>
          </w:tcPr>
          <w:p w14:paraId="3075FCCD" w14:textId="77777777" w:rsidR="009A6E00" w:rsidRDefault="009A6E00" w:rsidP="0043479F">
            <w:pPr>
              <w:jc w:val="center"/>
            </w:pPr>
            <w:r>
              <w:t>--</w:t>
            </w:r>
          </w:p>
        </w:tc>
        <w:tc>
          <w:tcPr>
            <w:tcW w:w="1034" w:type="dxa"/>
          </w:tcPr>
          <w:p w14:paraId="39700EF4" w14:textId="77777777" w:rsidR="009A6E00" w:rsidRDefault="009A6E00" w:rsidP="0043479F">
            <w:pPr>
              <w:jc w:val="center"/>
            </w:pPr>
            <w:r>
              <w:t>--</w:t>
            </w:r>
          </w:p>
        </w:tc>
        <w:tc>
          <w:tcPr>
            <w:tcW w:w="1134" w:type="dxa"/>
          </w:tcPr>
          <w:p w14:paraId="1AFA6F40" w14:textId="77777777" w:rsidR="009A6E00" w:rsidRDefault="009A6E00" w:rsidP="0043479F">
            <w:pPr>
              <w:jc w:val="center"/>
            </w:pPr>
            <w:r>
              <w:t>--</w:t>
            </w:r>
          </w:p>
        </w:tc>
      </w:tr>
      <w:tr w:rsidR="009A6E00" w14:paraId="3DA64728" w14:textId="77777777" w:rsidTr="0043479F">
        <w:tc>
          <w:tcPr>
            <w:tcW w:w="1692" w:type="dxa"/>
          </w:tcPr>
          <w:p w14:paraId="24E01999" w14:textId="77777777" w:rsidR="009A6E00" w:rsidRDefault="009A6E00" w:rsidP="0043479F">
            <w:pPr>
              <w:jc w:val="center"/>
            </w:pPr>
            <w:r>
              <w:t>France</w:t>
            </w:r>
          </w:p>
        </w:tc>
        <w:tc>
          <w:tcPr>
            <w:tcW w:w="1311" w:type="dxa"/>
          </w:tcPr>
          <w:p w14:paraId="4442C75E" w14:textId="77777777" w:rsidR="009A6E00" w:rsidRDefault="009A6E00" w:rsidP="0043479F">
            <w:pPr>
              <w:jc w:val="center"/>
            </w:pPr>
            <w:r>
              <w:t>11.06.2017</w:t>
            </w:r>
          </w:p>
        </w:tc>
        <w:tc>
          <w:tcPr>
            <w:tcW w:w="889" w:type="dxa"/>
          </w:tcPr>
          <w:p w14:paraId="50E7313F" w14:textId="77777777" w:rsidR="009A6E00" w:rsidRDefault="009A6E00" w:rsidP="0043479F">
            <w:pPr>
              <w:jc w:val="center"/>
            </w:pPr>
            <w:r>
              <w:t>577</w:t>
            </w:r>
          </w:p>
        </w:tc>
        <w:tc>
          <w:tcPr>
            <w:tcW w:w="1008" w:type="dxa"/>
          </w:tcPr>
          <w:p w14:paraId="50591E65" w14:textId="77777777" w:rsidR="009A6E00" w:rsidRDefault="009A6E00" w:rsidP="0043479F">
            <w:pPr>
              <w:jc w:val="center"/>
            </w:pPr>
            <w:r>
              <w:t>225</w:t>
            </w:r>
          </w:p>
        </w:tc>
        <w:tc>
          <w:tcPr>
            <w:tcW w:w="996" w:type="dxa"/>
          </w:tcPr>
          <w:p w14:paraId="05EFE0BC" w14:textId="77777777" w:rsidR="009A6E00" w:rsidRDefault="009A6E00" w:rsidP="0043479F">
            <w:pPr>
              <w:jc w:val="center"/>
            </w:pPr>
            <w:r>
              <w:t>39.0</w:t>
            </w:r>
          </w:p>
        </w:tc>
        <w:tc>
          <w:tcPr>
            <w:tcW w:w="1335" w:type="dxa"/>
          </w:tcPr>
          <w:p w14:paraId="5E8D502E" w14:textId="77777777" w:rsidR="009A6E00" w:rsidRDefault="009A6E00" w:rsidP="0043479F">
            <w:pPr>
              <w:jc w:val="center"/>
            </w:pPr>
            <w:r>
              <w:t>24.09.2017</w:t>
            </w:r>
          </w:p>
        </w:tc>
        <w:tc>
          <w:tcPr>
            <w:tcW w:w="1091" w:type="dxa"/>
          </w:tcPr>
          <w:p w14:paraId="6E49E447" w14:textId="77777777" w:rsidR="009A6E00" w:rsidRDefault="009A6E00" w:rsidP="0043479F">
            <w:pPr>
              <w:jc w:val="center"/>
            </w:pPr>
            <w:r>
              <w:t>348</w:t>
            </w:r>
          </w:p>
        </w:tc>
        <w:tc>
          <w:tcPr>
            <w:tcW w:w="1034" w:type="dxa"/>
          </w:tcPr>
          <w:p w14:paraId="23C76364" w14:textId="77777777" w:rsidR="009A6E00" w:rsidRDefault="009A6E00" w:rsidP="0043479F">
            <w:pPr>
              <w:jc w:val="center"/>
            </w:pPr>
            <w:r>
              <w:t>102</w:t>
            </w:r>
          </w:p>
        </w:tc>
        <w:tc>
          <w:tcPr>
            <w:tcW w:w="1134" w:type="dxa"/>
          </w:tcPr>
          <w:p w14:paraId="333CC6E0" w14:textId="77777777" w:rsidR="009A6E00" w:rsidRDefault="009A6E00" w:rsidP="0043479F">
            <w:pPr>
              <w:jc w:val="center"/>
            </w:pPr>
            <w:r>
              <w:t>29.3</w:t>
            </w:r>
          </w:p>
        </w:tc>
      </w:tr>
      <w:tr w:rsidR="009A6E00" w14:paraId="684F7B8E" w14:textId="77777777" w:rsidTr="0043479F">
        <w:tc>
          <w:tcPr>
            <w:tcW w:w="1692" w:type="dxa"/>
          </w:tcPr>
          <w:p w14:paraId="2F04A3D2" w14:textId="77777777" w:rsidR="009A6E00" w:rsidRDefault="009A6E00" w:rsidP="0043479F">
            <w:pPr>
              <w:jc w:val="center"/>
            </w:pPr>
            <w:r>
              <w:t>Germany</w:t>
            </w:r>
          </w:p>
        </w:tc>
        <w:tc>
          <w:tcPr>
            <w:tcW w:w="1311" w:type="dxa"/>
          </w:tcPr>
          <w:p w14:paraId="600D8468" w14:textId="77777777" w:rsidR="009A6E00" w:rsidRDefault="009A6E00" w:rsidP="0043479F">
            <w:pPr>
              <w:jc w:val="center"/>
            </w:pPr>
            <w:r>
              <w:t>24.09.2017</w:t>
            </w:r>
          </w:p>
        </w:tc>
        <w:tc>
          <w:tcPr>
            <w:tcW w:w="889" w:type="dxa"/>
          </w:tcPr>
          <w:p w14:paraId="019D70D0" w14:textId="77777777" w:rsidR="009A6E00" w:rsidRDefault="009A6E00" w:rsidP="0043479F">
            <w:pPr>
              <w:jc w:val="center"/>
            </w:pPr>
            <w:r>
              <w:t>709</w:t>
            </w:r>
          </w:p>
        </w:tc>
        <w:tc>
          <w:tcPr>
            <w:tcW w:w="1008" w:type="dxa"/>
          </w:tcPr>
          <w:p w14:paraId="0FFD85AD" w14:textId="77777777" w:rsidR="009A6E00" w:rsidRDefault="009A6E00" w:rsidP="0043479F">
            <w:pPr>
              <w:jc w:val="center"/>
            </w:pPr>
            <w:r>
              <w:t>218</w:t>
            </w:r>
          </w:p>
        </w:tc>
        <w:tc>
          <w:tcPr>
            <w:tcW w:w="996" w:type="dxa"/>
          </w:tcPr>
          <w:p w14:paraId="0BFDF47A" w14:textId="77777777" w:rsidR="009A6E00" w:rsidRDefault="009A6E00" w:rsidP="0043479F">
            <w:pPr>
              <w:jc w:val="center"/>
            </w:pPr>
            <w:r>
              <w:t>30.7</w:t>
            </w:r>
          </w:p>
        </w:tc>
        <w:tc>
          <w:tcPr>
            <w:tcW w:w="1335" w:type="dxa"/>
          </w:tcPr>
          <w:p w14:paraId="289894E5" w14:textId="77777777" w:rsidR="009A6E00" w:rsidRDefault="009A6E00" w:rsidP="0043479F">
            <w:pPr>
              <w:jc w:val="center"/>
            </w:pPr>
            <w:r>
              <w:t>N/A</w:t>
            </w:r>
          </w:p>
        </w:tc>
        <w:tc>
          <w:tcPr>
            <w:tcW w:w="1091" w:type="dxa"/>
          </w:tcPr>
          <w:p w14:paraId="0094E99A" w14:textId="77777777" w:rsidR="009A6E00" w:rsidRDefault="009A6E00" w:rsidP="0043479F">
            <w:pPr>
              <w:jc w:val="center"/>
            </w:pPr>
            <w:r>
              <w:t>69</w:t>
            </w:r>
          </w:p>
        </w:tc>
        <w:tc>
          <w:tcPr>
            <w:tcW w:w="1034" w:type="dxa"/>
          </w:tcPr>
          <w:p w14:paraId="6BD270F4" w14:textId="77777777" w:rsidR="009A6E00" w:rsidRDefault="009A6E00" w:rsidP="0043479F">
            <w:pPr>
              <w:jc w:val="center"/>
            </w:pPr>
            <w:r>
              <w:t>27</w:t>
            </w:r>
          </w:p>
        </w:tc>
        <w:tc>
          <w:tcPr>
            <w:tcW w:w="1134" w:type="dxa"/>
          </w:tcPr>
          <w:p w14:paraId="03442516" w14:textId="77777777" w:rsidR="009A6E00" w:rsidRDefault="009A6E00" w:rsidP="0043479F">
            <w:pPr>
              <w:jc w:val="center"/>
            </w:pPr>
            <w:r>
              <w:t>39.1</w:t>
            </w:r>
          </w:p>
        </w:tc>
      </w:tr>
      <w:tr w:rsidR="009A6E00" w14:paraId="7D515CE5" w14:textId="77777777" w:rsidTr="0043479F">
        <w:tc>
          <w:tcPr>
            <w:tcW w:w="1692" w:type="dxa"/>
          </w:tcPr>
          <w:p w14:paraId="4C43EA21" w14:textId="77777777" w:rsidR="009A6E00" w:rsidRDefault="009A6E00" w:rsidP="0043479F">
            <w:pPr>
              <w:jc w:val="center"/>
            </w:pPr>
            <w:r>
              <w:t>Greece</w:t>
            </w:r>
          </w:p>
        </w:tc>
        <w:tc>
          <w:tcPr>
            <w:tcW w:w="1311" w:type="dxa"/>
          </w:tcPr>
          <w:p w14:paraId="6479C1E9" w14:textId="77777777" w:rsidR="009A6E00" w:rsidRDefault="009A6E00" w:rsidP="0043479F">
            <w:pPr>
              <w:jc w:val="center"/>
            </w:pPr>
            <w:r>
              <w:t>20.09.2015</w:t>
            </w:r>
          </w:p>
        </w:tc>
        <w:tc>
          <w:tcPr>
            <w:tcW w:w="889" w:type="dxa"/>
          </w:tcPr>
          <w:p w14:paraId="2E110440" w14:textId="77777777" w:rsidR="009A6E00" w:rsidRDefault="009A6E00" w:rsidP="0043479F">
            <w:pPr>
              <w:jc w:val="center"/>
            </w:pPr>
            <w:r>
              <w:t>300</w:t>
            </w:r>
          </w:p>
        </w:tc>
        <w:tc>
          <w:tcPr>
            <w:tcW w:w="1008" w:type="dxa"/>
          </w:tcPr>
          <w:p w14:paraId="5DDCE7B6" w14:textId="77777777" w:rsidR="009A6E00" w:rsidRDefault="009A6E00" w:rsidP="0043479F">
            <w:pPr>
              <w:jc w:val="center"/>
            </w:pPr>
            <w:r>
              <w:t>55</w:t>
            </w:r>
          </w:p>
        </w:tc>
        <w:tc>
          <w:tcPr>
            <w:tcW w:w="996" w:type="dxa"/>
          </w:tcPr>
          <w:p w14:paraId="7EB2107F" w14:textId="77777777" w:rsidR="009A6E00" w:rsidRDefault="009A6E00" w:rsidP="0043479F">
            <w:pPr>
              <w:jc w:val="center"/>
            </w:pPr>
            <w:r>
              <w:t>18.3</w:t>
            </w:r>
          </w:p>
        </w:tc>
        <w:tc>
          <w:tcPr>
            <w:tcW w:w="1335" w:type="dxa"/>
          </w:tcPr>
          <w:p w14:paraId="102FE11C" w14:textId="77777777" w:rsidR="009A6E00" w:rsidRDefault="009A6E00" w:rsidP="0043479F">
            <w:pPr>
              <w:jc w:val="center"/>
            </w:pPr>
            <w:r>
              <w:t>--</w:t>
            </w:r>
          </w:p>
        </w:tc>
        <w:tc>
          <w:tcPr>
            <w:tcW w:w="1091" w:type="dxa"/>
          </w:tcPr>
          <w:p w14:paraId="17DBA426" w14:textId="77777777" w:rsidR="009A6E00" w:rsidRDefault="009A6E00" w:rsidP="0043479F">
            <w:pPr>
              <w:jc w:val="center"/>
            </w:pPr>
            <w:r>
              <w:t>--</w:t>
            </w:r>
          </w:p>
        </w:tc>
        <w:tc>
          <w:tcPr>
            <w:tcW w:w="1034" w:type="dxa"/>
          </w:tcPr>
          <w:p w14:paraId="60350963" w14:textId="77777777" w:rsidR="009A6E00" w:rsidRDefault="009A6E00" w:rsidP="0043479F">
            <w:pPr>
              <w:jc w:val="center"/>
            </w:pPr>
            <w:r>
              <w:t>--</w:t>
            </w:r>
          </w:p>
        </w:tc>
        <w:tc>
          <w:tcPr>
            <w:tcW w:w="1134" w:type="dxa"/>
          </w:tcPr>
          <w:p w14:paraId="6DB61505" w14:textId="77777777" w:rsidR="009A6E00" w:rsidRDefault="009A6E00" w:rsidP="0043479F">
            <w:pPr>
              <w:jc w:val="center"/>
            </w:pPr>
            <w:r>
              <w:t>--</w:t>
            </w:r>
          </w:p>
        </w:tc>
      </w:tr>
      <w:tr w:rsidR="009A6E00" w14:paraId="5E908284" w14:textId="77777777" w:rsidTr="0043479F">
        <w:tc>
          <w:tcPr>
            <w:tcW w:w="1692" w:type="dxa"/>
          </w:tcPr>
          <w:p w14:paraId="3565B59A" w14:textId="77777777" w:rsidR="009A6E00" w:rsidRDefault="009A6E00" w:rsidP="0043479F">
            <w:pPr>
              <w:jc w:val="center"/>
            </w:pPr>
            <w:r>
              <w:t>Iceland</w:t>
            </w:r>
          </w:p>
        </w:tc>
        <w:tc>
          <w:tcPr>
            <w:tcW w:w="1311" w:type="dxa"/>
          </w:tcPr>
          <w:p w14:paraId="19F4AAE4" w14:textId="77777777" w:rsidR="009A6E00" w:rsidRDefault="009A6E00" w:rsidP="0043479F">
            <w:pPr>
              <w:jc w:val="center"/>
            </w:pPr>
            <w:r>
              <w:t>29.10.2016</w:t>
            </w:r>
          </w:p>
        </w:tc>
        <w:tc>
          <w:tcPr>
            <w:tcW w:w="889" w:type="dxa"/>
          </w:tcPr>
          <w:p w14:paraId="5A4CAD6A" w14:textId="77777777" w:rsidR="009A6E00" w:rsidRDefault="009A6E00" w:rsidP="0043479F">
            <w:pPr>
              <w:jc w:val="center"/>
            </w:pPr>
            <w:r>
              <w:t>63</w:t>
            </w:r>
          </w:p>
        </w:tc>
        <w:tc>
          <w:tcPr>
            <w:tcW w:w="1008" w:type="dxa"/>
          </w:tcPr>
          <w:p w14:paraId="4AA5AB60" w14:textId="77777777" w:rsidR="009A6E00" w:rsidRDefault="009A6E00" w:rsidP="0043479F">
            <w:pPr>
              <w:jc w:val="center"/>
            </w:pPr>
            <w:r>
              <w:t>30</w:t>
            </w:r>
          </w:p>
        </w:tc>
        <w:tc>
          <w:tcPr>
            <w:tcW w:w="996" w:type="dxa"/>
          </w:tcPr>
          <w:p w14:paraId="50AC62FB" w14:textId="77777777" w:rsidR="009A6E00" w:rsidRDefault="009A6E00" w:rsidP="0043479F">
            <w:pPr>
              <w:jc w:val="center"/>
            </w:pPr>
            <w:r>
              <w:t>47.6</w:t>
            </w:r>
          </w:p>
        </w:tc>
        <w:tc>
          <w:tcPr>
            <w:tcW w:w="1335" w:type="dxa"/>
          </w:tcPr>
          <w:p w14:paraId="005E209D" w14:textId="77777777" w:rsidR="009A6E00" w:rsidRDefault="009A6E00" w:rsidP="0043479F">
            <w:pPr>
              <w:jc w:val="center"/>
            </w:pPr>
            <w:r>
              <w:t>--</w:t>
            </w:r>
          </w:p>
        </w:tc>
        <w:tc>
          <w:tcPr>
            <w:tcW w:w="1091" w:type="dxa"/>
          </w:tcPr>
          <w:p w14:paraId="3615C9F4" w14:textId="77777777" w:rsidR="009A6E00" w:rsidRDefault="009A6E00" w:rsidP="0043479F">
            <w:pPr>
              <w:jc w:val="center"/>
            </w:pPr>
            <w:r>
              <w:t>--</w:t>
            </w:r>
          </w:p>
        </w:tc>
        <w:tc>
          <w:tcPr>
            <w:tcW w:w="1034" w:type="dxa"/>
          </w:tcPr>
          <w:p w14:paraId="7CF161D7" w14:textId="77777777" w:rsidR="009A6E00" w:rsidRDefault="009A6E00" w:rsidP="0043479F">
            <w:pPr>
              <w:jc w:val="center"/>
            </w:pPr>
            <w:r>
              <w:t>--</w:t>
            </w:r>
          </w:p>
        </w:tc>
        <w:tc>
          <w:tcPr>
            <w:tcW w:w="1134" w:type="dxa"/>
          </w:tcPr>
          <w:p w14:paraId="53437947" w14:textId="77777777" w:rsidR="009A6E00" w:rsidRDefault="009A6E00" w:rsidP="0043479F">
            <w:pPr>
              <w:jc w:val="center"/>
            </w:pPr>
            <w:r>
              <w:t>--</w:t>
            </w:r>
          </w:p>
        </w:tc>
      </w:tr>
      <w:tr w:rsidR="009A6E00" w14:paraId="1AB41ADD" w14:textId="77777777" w:rsidTr="0043479F">
        <w:tc>
          <w:tcPr>
            <w:tcW w:w="1692" w:type="dxa"/>
          </w:tcPr>
          <w:p w14:paraId="68EBE71B" w14:textId="77777777" w:rsidR="009A6E00" w:rsidRDefault="009A6E00" w:rsidP="0043479F">
            <w:pPr>
              <w:jc w:val="center"/>
            </w:pPr>
            <w:r>
              <w:t>Ireland</w:t>
            </w:r>
          </w:p>
        </w:tc>
        <w:tc>
          <w:tcPr>
            <w:tcW w:w="1311" w:type="dxa"/>
          </w:tcPr>
          <w:p w14:paraId="3D0DD8E4" w14:textId="77777777" w:rsidR="009A6E00" w:rsidRDefault="009A6E00" w:rsidP="0043479F">
            <w:pPr>
              <w:jc w:val="center"/>
            </w:pPr>
            <w:r>
              <w:t>26.02.2016</w:t>
            </w:r>
          </w:p>
        </w:tc>
        <w:tc>
          <w:tcPr>
            <w:tcW w:w="889" w:type="dxa"/>
          </w:tcPr>
          <w:p w14:paraId="574673C0" w14:textId="77777777" w:rsidR="009A6E00" w:rsidRDefault="009A6E00" w:rsidP="0043479F">
            <w:pPr>
              <w:jc w:val="center"/>
            </w:pPr>
            <w:r>
              <w:t>158</w:t>
            </w:r>
          </w:p>
        </w:tc>
        <w:tc>
          <w:tcPr>
            <w:tcW w:w="1008" w:type="dxa"/>
          </w:tcPr>
          <w:p w14:paraId="44D36D2F" w14:textId="77777777" w:rsidR="009A6E00" w:rsidRDefault="009A6E00" w:rsidP="0043479F">
            <w:pPr>
              <w:jc w:val="center"/>
            </w:pPr>
            <w:r>
              <w:t>35</w:t>
            </w:r>
          </w:p>
        </w:tc>
        <w:tc>
          <w:tcPr>
            <w:tcW w:w="996" w:type="dxa"/>
          </w:tcPr>
          <w:p w14:paraId="7E107525" w14:textId="77777777" w:rsidR="009A6E00" w:rsidRDefault="009A6E00" w:rsidP="0043479F">
            <w:pPr>
              <w:jc w:val="center"/>
            </w:pPr>
            <w:r>
              <w:t>22.2</w:t>
            </w:r>
          </w:p>
        </w:tc>
        <w:tc>
          <w:tcPr>
            <w:tcW w:w="1335" w:type="dxa"/>
          </w:tcPr>
          <w:p w14:paraId="586AFACF" w14:textId="77777777" w:rsidR="009A6E00" w:rsidRDefault="009A6E00" w:rsidP="0043479F">
            <w:pPr>
              <w:jc w:val="center"/>
            </w:pPr>
            <w:r>
              <w:t>25.04.2016</w:t>
            </w:r>
          </w:p>
        </w:tc>
        <w:tc>
          <w:tcPr>
            <w:tcW w:w="1091" w:type="dxa"/>
          </w:tcPr>
          <w:p w14:paraId="1B24C678" w14:textId="77777777" w:rsidR="009A6E00" w:rsidRDefault="009A6E00" w:rsidP="0043479F">
            <w:pPr>
              <w:jc w:val="center"/>
            </w:pPr>
            <w:r>
              <w:t>60</w:t>
            </w:r>
          </w:p>
        </w:tc>
        <w:tc>
          <w:tcPr>
            <w:tcW w:w="1034" w:type="dxa"/>
          </w:tcPr>
          <w:p w14:paraId="6CDEB951" w14:textId="77777777" w:rsidR="009A6E00" w:rsidRDefault="009A6E00" w:rsidP="0043479F">
            <w:pPr>
              <w:jc w:val="center"/>
            </w:pPr>
            <w:r>
              <w:t>18</w:t>
            </w:r>
          </w:p>
        </w:tc>
        <w:tc>
          <w:tcPr>
            <w:tcW w:w="1134" w:type="dxa"/>
          </w:tcPr>
          <w:p w14:paraId="37783C75" w14:textId="77777777" w:rsidR="009A6E00" w:rsidRDefault="009A6E00" w:rsidP="0043479F">
            <w:pPr>
              <w:jc w:val="center"/>
            </w:pPr>
            <w:r>
              <w:t>30.0</w:t>
            </w:r>
          </w:p>
        </w:tc>
      </w:tr>
      <w:tr w:rsidR="009A6E00" w14:paraId="74A16F55" w14:textId="77777777" w:rsidTr="0043479F">
        <w:tc>
          <w:tcPr>
            <w:tcW w:w="1692" w:type="dxa"/>
          </w:tcPr>
          <w:p w14:paraId="0A775945" w14:textId="77777777" w:rsidR="009A6E00" w:rsidRDefault="009A6E00" w:rsidP="0043479F">
            <w:pPr>
              <w:jc w:val="center"/>
            </w:pPr>
            <w:r>
              <w:t>Israel</w:t>
            </w:r>
          </w:p>
        </w:tc>
        <w:tc>
          <w:tcPr>
            <w:tcW w:w="1311" w:type="dxa"/>
          </w:tcPr>
          <w:p w14:paraId="1FA85C66" w14:textId="77777777" w:rsidR="009A6E00" w:rsidRDefault="009A6E00" w:rsidP="0043479F">
            <w:pPr>
              <w:jc w:val="center"/>
            </w:pPr>
            <w:r>
              <w:t>17.03.2015</w:t>
            </w:r>
          </w:p>
        </w:tc>
        <w:tc>
          <w:tcPr>
            <w:tcW w:w="889" w:type="dxa"/>
          </w:tcPr>
          <w:p w14:paraId="18ED6E9A" w14:textId="77777777" w:rsidR="009A6E00" w:rsidRDefault="009A6E00" w:rsidP="0043479F">
            <w:pPr>
              <w:jc w:val="center"/>
            </w:pPr>
            <w:r>
              <w:t>120</w:t>
            </w:r>
          </w:p>
        </w:tc>
        <w:tc>
          <w:tcPr>
            <w:tcW w:w="1008" w:type="dxa"/>
          </w:tcPr>
          <w:p w14:paraId="67B8D09A" w14:textId="77777777" w:rsidR="009A6E00" w:rsidRDefault="009A6E00" w:rsidP="0043479F">
            <w:pPr>
              <w:jc w:val="center"/>
            </w:pPr>
            <w:r>
              <w:t>33</w:t>
            </w:r>
          </w:p>
        </w:tc>
        <w:tc>
          <w:tcPr>
            <w:tcW w:w="996" w:type="dxa"/>
          </w:tcPr>
          <w:p w14:paraId="382788CD" w14:textId="77777777" w:rsidR="009A6E00" w:rsidRDefault="009A6E00" w:rsidP="0043479F">
            <w:pPr>
              <w:jc w:val="center"/>
            </w:pPr>
            <w:r>
              <w:t>27.5</w:t>
            </w:r>
          </w:p>
        </w:tc>
        <w:tc>
          <w:tcPr>
            <w:tcW w:w="1335" w:type="dxa"/>
          </w:tcPr>
          <w:p w14:paraId="5FB7E6AE" w14:textId="77777777" w:rsidR="009A6E00" w:rsidRDefault="009A6E00" w:rsidP="0043479F">
            <w:pPr>
              <w:jc w:val="center"/>
            </w:pPr>
            <w:r>
              <w:t>--</w:t>
            </w:r>
          </w:p>
        </w:tc>
        <w:tc>
          <w:tcPr>
            <w:tcW w:w="1091" w:type="dxa"/>
          </w:tcPr>
          <w:p w14:paraId="2D19829F" w14:textId="77777777" w:rsidR="009A6E00" w:rsidRDefault="009A6E00" w:rsidP="0043479F">
            <w:pPr>
              <w:jc w:val="center"/>
            </w:pPr>
            <w:r>
              <w:t>--</w:t>
            </w:r>
          </w:p>
        </w:tc>
        <w:tc>
          <w:tcPr>
            <w:tcW w:w="1034" w:type="dxa"/>
          </w:tcPr>
          <w:p w14:paraId="46B4C655" w14:textId="77777777" w:rsidR="009A6E00" w:rsidRDefault="009A6E00" w:rsidP="0043479F">
            <w:pPr>
              <w:jc w:val="center"/>
            </w:pPr>
            <w:r>
              <w:t>--</w:t>
            </w:r>
          </w:p>
        </w:tc>
        <w:tc>
          <w:tcPr>
            <w:tcW w:w="1134" w:type="dxa"/>
          </w:tcPr>
          <w:p w14:paraId="20298A0A" w14:textId="77777777" w:rsidR="009A6E00" w:rsidRDefault="009A6E00" w:rsidP="0043479F">
            <w:pPr>
              <w:jc w:val="center"/>
            </w:pPr>
            <w:r>
              <w:t>--</w:t>
            </w:r>
          </w:p>
        </w:tc>
      </w:tr>
      <w:tr w:rsidR="009A6E00" w14:paraId="34C28E6F" w14:textId="77777777" w:rsidTr="0043479F">
        <w:tc>
          <w:tcPr>
            <w:tcW w:w="1692" w:type="dxa"/>
          </w:tcPr>
          <w:p w14:paraId="7038F794" w14:textId="77777777" w:rsidR="009A6E00" w:rsidRDefault="009A6E00" w:rsidP="0043479F">
            <w:pPr>
              <w:jc w:val="center"/>
            </w:pPr>
            <w:r>
              <w:t>Italy</w:t>
            </w:r>
          </w:p>
        </w:tc>
        <w:tc>
          <w:tcPr>
            <w:tcW w:w="1311" w:type="dxa"/>
          </w:tcPr>
          <w:p w14:paraId="547ED197" w14:textId="77777777" w:rsidR="009A6E00" w:rsidRDefault="009A6E00" w:rsidP="0043479F">
            <w:pPr>
              <w:jc w:val="center"/>
            </w:pPr>
            <w:r>
              <w:t>24.02.2013</w:t>
            </w:r>
          </w:p>
        </w:tc>
        <w:tc>
          <w:tcPr>
            <w:tcW w:w="889" w:type="dxa"/>
          </w:tcPr>
          <w:p w14:paraId="203B6C31" w14:textId="77777777" w:rsidR="009A6E00" w:rsidRDefault="009A6E00" w:rsidP="0043479F">
            <w:pPr>
              <w:jc w:val="center"/>
            </w:pPr>
            <w:r>
              <w:t>630</w:t>
            </w:r>
          </w:p>
        </w:tc>
        <w:tc>
          <w:tcPr>
            <w:tcW w:w="1008" w:type="dxa"/>
          </w:tcPr>
          <w:p w14:paraId="22B26194" w14:textId="77777777" w:rsidR="009A6E00" w:rsidRDefault="009A6E00" w:rsidP="0043479F">
            <w:pPr>
              <w:jc w:val="center"/>
            </w:pPr>
            <w:r>
              <w:t>195</w:t>
            </w:r>
          </w:p>
        </w:tc>
        <w:tc>
          <w:tcPr>
            <w:tcW w:w="996" w:type="dxa"/>
          </w:tcPr>
          <w:p w14:paraId="30563313" w14:textId="77777777" w:rsidR="009A6E00" w:rsidRDefault="009A6E00" w:rsidP="0043479F">
            <w:pPr>
              <w:jc w:val="center"/>
            </w:pPr>
            <w:r>
              <w:t>31.0</w:t>
            </w:r>
          </w:p>
        </w:tc>
        <w:tc>
          <w:tcPr>
            <w:tcW w:w="1335" w:type="dxa"/>
          </w:tcPr>
          <w:p w14:paraId="75F21E3D" w14:textId="77777777" w:rsidR="009A6E00" w:rsidRDefault="009A6E00" w:rsidP="0043479F">
            <w:pPr>
              <w:jc w:val="center"/>
            </w:pPr>
            <w:r>
              <w:t>24.02.2013</w:t>
            </w:r>
          </w:p>
        </w:tc>
        <w:tc>
          <w:tcPr>
            <w:tcW w:w="1091" w:type="dxa"/>
          </w:tcPr>
          <w:p w14:paraId="647F0F28" w14:textId="77777777" w:rsidR="009A6E00" w:rsidRDefault="009A6E00" w:rsidP="0043479F">
            <w:pPr>
              <w:jc w:val="center"/>
            </w:pPr>
            <w:r>
              <w:t>320</w:t>
            </w:r>
          </w:p>
        </w:tc>
        <w:tc>
          <w:tcPr>
            <w:tcW w:w="1034" w:type="dxa"/>
          </w:tcPr>
          <w:p w14:paraId="79755B40" w14:textId="77777777" w:rsidR="009A6E00" w:rsidRDefault="009A6E00" w:rsidP="0043479F">
            <w:pPr>
              <w:jc w:val="center"/>
            </w:pPr>
            <w:r>
              <w:t>91</w:t>
            </w:r>
          </w:p>
        </w:tc>
        <w:tc>
          <w:tcPr>
            <w:tcW w:w="1134" w:type="dxa"/>
          </w:tcPr>
          <w:p w14:paraId="263AB1C5" w14:textId="77777777" w:rsidR="009A6E00" w:rsidRDefault="009A6E00" w:rsidP="0043479F">
            <w:pPr>
              <w:jc w:val="center"/>
            </w:pPr>
            <w:r>
              <w:t>28.4</w:t>
            </w:r>
          </w:p>
        </w:tc>
      </w:tr>
      <w:tr w:rsidR="009A6E00" w14:paraId="3FA7A709" w14:textId="77777777" w:rsidTr="0043479F">
        <w:tc>
          <w:tcPr>
            <w:tcW w:w="1692" w:type="dxa"/>
          </w:tcPr>
          <w:p w14:paraId="26DF172F" w14:textId="77777777" w:rsidR="009A6E00" w:rsidRDefault="009A6E00" w:rsidP="0043479F">
            <w:pPr>
              <w:jc w:val="center"/>
            </w:pPr>
            <w:r>
              <w:t>Liechtenstein</w:t>
            </w:r>
          </w:p>
        </w:tc>
        <w:tc>
          <w:tcPr>
            <w:tcW w:w="1311" w:type="dxa"/>
          </w:tcPr>
          <w:p w14:paraId="57893E44" w14:textId="77777777" w:rsidR="009A6E00" w:rsidRDefault="009A6E00" w:rsidP="0043479F">
            <w:pPr>
              <w:jc w:val="center"/>
            </w:pPr>
            <w:r>
              <w:t>05.02.2017</w:t>
            </w:r>
          </w:p>
        </w:tc>
        <w:tc>
          <w:tcPr>
            <w:tcW w:w="889" w:type="dxa"/>
          </w:tcPr>
          <w:p w14:paraId="47268886" w14:textId="77777777" w:rsidR="009A6E00" w:rsidRDefault="009A6E00" w:rsidP="0043479F">
            <w:pPr>
              <w:jc w:val="center"/>
            </w:pPr>
            <w:r>
              <w:t>25</w:t>
            </w:r>
          </w:p>
        </w:tc>
        <w:tc>
          <w:tcPr>
            <w:tcW w:w="1008" w:type="dxa"/>
          </w:tcPr>
          <w:p w14:paraId="2C506402" w14:textId="77777777" w:rsidR="009A6E00" w:rsidRDefault="009A6E00" w:rsidP="0043479F">
            <w:pPr>
              <w:jc w:val="center"/>
            </w:pPr>
            <w:r>
              <w:t>3</w:t>
            </w:r>
          </w:p>
        </w:tc>
        <w:tc>
          <w:tcPr>
            <w:tcW w:w="996" w:type="dxa"/>
          </w:tcPr>
          <w:p w14:paraId="231966B6" w14:textId="77777777" w:rsidR="009A6E00" w:rsidRDefault="009A6E00" w:rsidP="0043479F">
            <w:pPr>
              <w:jc w:val="center"/>
            </w:pPr>
            <w:r>
              <w:t>12.0</w:t>
            </w:r>
          </w:p>
        </w:tc>
        <w:tc>
          <w:tcPr>
            <w:tcW w:w="1335" w:type="dxa"/>
          </w:tcPr>
          <w:p w14:paraId="2086209F" w14:textId="77777777" w:rsidR="009A6E00" w:rsidRDefault="009A6E00" w:rsidP="0043479F">
            <w:pPr>
              <w:jc w:val="center"/>
            </w:pPr>
            <w:r>
              <w:t>--</w:t>
            </w:r>
          </w:p>
        </w:tc>
        <w:tc>
          <w:tcPr>
            <w:tcW w:w="1091" w:type="dxa"/>
          </w:tcPr>
          <w:p w14:paraId="549E38B2" w14:textId="77777777" w:rsidR="009A6E00" w:rsidRDefault="009A6E00" w:rsidP="0043479F">
            <w:pPr>
              <w:jc w:val="center"/>
            </w:pPr>
            <w:r>
              <w:t>--</w:t>
            </w:r>
          </w:p>
        </w:tc>
        <w:tc>
          <w:tcPr>
            <w:tcW w:w="1034" w:type="dxa"/>
          </w:tcPr>
          <w:p w14:paraId="54F1E2B3" w14:textId="77777777" w:rsidR="009A6E00" w:rsidRDefault="009A6E00" w:rsidP="0043479F">
            <w:pPr>
              <w:jc w:val="center"/>
            </w:pPr>
            <w:r>
              <w:t>--</w:t>
            </w:r>
          </w:p>
        </w:tc>
        <w:tc>
          <w:tcPr>
            <w:tcW w:w="1134" w:type="dxa"/>
          </w:tcPr>
          <w:p w14:paraId="5E92C54B" w14:textId="77777777" w:rsidR="009A6E00" w:rsidRDefault="009A6E00" w:rsidP="0043479F">
            <w:pPr>
              <w:jc w:val="center"/>
            </w:pPr>
            <w:r>
              <w:t>--</w:t>
            </w:r>
          </w:p>
        </w:tc>
      </w:tr>
      <w:tr w:rsidR="009A6E00" w14:paraId="479B82AE" w14:textId="77777777" w:rsidTr="0043479F">
        <w:tc>
          <w:tcPr>
            <w:tcW w:w="1692" w:type="dxa"/>
          </w:tcPr>
          <w:p w14:paraId="1DBFE77A" w14:textId="77777777" w:rsidR="009A6E00" w:rsidRDefault="009A6E00" w:rsidP="0043479F">
            <w:pPr>
              <w:jc w:val="center"/>
            </w:pPr>
            <w:r>
              <w:t>Luxembourg</w:t>
            </w:r>
          </w:p>
        </w:tc>
        <w:tc>
          <w:tcPr>
            <w:tcW w:w="1311" w:type="dxa"/>
          </w:tcPr>
          <w:p w14:paraId="661FF9AD" w14:textId="77777777" w:rsidR="009A6E00" w:rsidRDefault="009A6E00" w:rsidP="0043479F">
            <w:pPr>
              <w:jc w:val="center"/>
            </w:pPr>
            <w:r>
              <w:t>20.10.2013</w:t>
            </w:r>
          </w:p>
        </w:tc>
        <w:tc>
          <w:tcPr>
            <w:tcW w:w="889" w:type="dxa"/>
          </w:tcPr>
          <w:p w14:paraId="73BA5130" w14:textId="77777777" w:rsidR="009A6E00" w:rsidRDefault="009A6E00" w:rsidP="0043479F">
            <w:pPr>
              <w:jc w:val="center"/>
            </w:pPr>
            <w:r>
              <w:t>60</w:t>
            </w:r>
          </w:p>
        </w:tc>
        <w:tc>
          <w:tcPr>
            <w:tcW w:w="1008" w:type="dxa"/>
          </w:tcPr>
          <w:p w14:paraId="4DC99B7E" w14:textId="77777777" w:rsidR="009A6E00" w:rsidRDefault="009A6E00" w:rsidP="0043479F">
            <w:pPr>
              <w:jc w:val="center"/>
            </w:pPr>
            <w:r>
              <w:t>17</w:t>
            </w:r>
          </w:p>
        </w:tc>
        <w:tc>
          <w:tcPr>
            <w:tcW w:w="996" w:type="dxa"/>
          </w:tcPr>
          <w:p w14:paraId="4A5F10C2" w14:textId="77777777" w:rsidR="009A6E00" w:rsidRDefault="009A6E00" w:rsidP="0043479F">
            <w:pPr>
              <w:jc w:val="center"/>
            </w:pPr>
            <w:r>
              <w:t>28.3</w:t>
            </w:r>
          </w:p>
        </w:tc>
        <w:tc>
          <w:tcPr>
            <w:tcW w:w="1335" w:type="dxa"/>
          </w:tcPr>
          <w:p w14:paraId="3C12B01A" w14:textId="77777777" w:rsidR="009A6E00" w:rsidRDefault="009A6E00" w:rsidP="0043479F">
            <w:pPr>
              <w:jc w:val="center"/>
            </w:pPr>
            <w:r>
              <w:t>--</w:t>
            </w:r>
          </w:p>
        </w:tc>
        <w:tc>
          <w:tcPr>
            <w:tcW w:w="1091" w:type="dxa"/>
          </w:tcPr>
          <w:p w14:paraId="33FAB62E" w14:textId="77777777" w:rsidR="009A6E00" w:rsidRDefault="009A6E00" w:rsidP="0043479F">
            <w:pPr>
              <w:jc w:val="center"/>
            </w:pPr>
            <w:r>
              <w:t>--</w:t>
            </w:r>
          </w:p>
        </w:tc>
        <w:tc>
          <w:tcPr>
            <w:tcW w:w="1034" w:type="dxa"/>
          </w:tcPr>
          <w:p w14:paraId="342BC94B" w14:textId="77777777" w:rsidR="009A6E00" w:rsidRDefault="009A6E00" w:rsidP="0043479F">
            <w:pPr>
              <w:jc w:val="center"/>
            </w:pPr>
            <w:r>
              <w:t>--</w:t>
            </w:r>
          </w:p>
        </w:tc>
        <w:tc>
          <w:tcPr>
            <w:tcW w:w="1134" w:type="dxa"/>
          </w:tcPr>
          <w:p w14:paraId="0ED62022" w14:textId="77777777" w:rsidR="009A6E00" w:rsidRDefault="009A6E00" w:rsidP="0043479F">
            <w:pPr>
              <w:jc w:val="center"/>
            </w:pPr>
            <w:r>
              <w:t>--</w:t>
            </w:r>
          </w:p>
        </w:tc>
      </w:tr>
      <w:tr w:rsidR="009A6E00" w14:paraId="08C9CBAB" w14:textId="77777777" w:rsidTr="0043479F">
        <w:tc>
          <w:tcPr>
            <w:tcW w:w="1692" w:type="dxa"/>
          </w:tcPr>
          <w:p w14:paraId="33F12E3E" w14:textId="77777777" w:rsidR="009A6E00" w:rsidRDefault="009A6E00" w:rsidP="0043479F">
            <w:pPr>
              <w:jc w:val="center"/>
            </w:pPr>
            <w:r>
              <w:t>Malta</w:t>
            </w:r>
          </w:p>
        </w:tc>
        <w:tc>
          <w:tcPr>
            <w:tcW w:w="1311" w:type="dxa"/>
          </w:tcPr>
          <w:p w14:paraId="4687E2FB" w14:textId="77777777" w:rsidR="009A6E00" w:rsidRDefault="009A6E00" w:rsidP="0043479F">
            <w:pPr>
              <w:jc w:val="center"/>
            </w:pPr>
            <w:r>
              <w:t>03.06.2017</w:t>
            </w:r>
          </w:p>
        </w:tc>
        <w:tc>
          <w:tcPr>
            <w:tcW w:w="889" w:type="dxa"/>
          </w:tcPr>
          <w:p w14:paraId="661B8495" w14:textId="77777777" w:rsidR="009A6E00" w:rsidRDefault="009A6E00" w:rsidP="0043479F">
            <w:pPr>
              <w:jc w:val="center"/>
            </w:pPr>
            <w:r>
              <w:t>67</w:t>
            </w:r>
          </w:p>
        </w:tc>
        <w:tc>
          <w:tcPr>
            <w:tcW w:w="1008" w:type="dxa"/>
          </w:tcPr>
          <w:p w14:paraId="48BA3A52" w14:textId="77777777" w:rsidR="009A6E00" w:rsidRDefault="009A6E00" w:rsidP="0043479F">
            <w:pPr>
              <w:jc w:val="center"/>
            </w:pPr>
            <w:r>
              <w:t>8</w:t>
            </w:r>
          </w:p>
        </w:tc>
        <w:tc>
          <w:tcPr>
            <w:tcW w:w="996" w:type="dxa"/>
          </w:tcPr>
          <w:p w14:paraId="2B5C2EBC" w14:textId="77777777" w:rsidR="009A6E00" w:rsidRDefault="009A6E00" w:rsidP="0043479F">
            <w:pPr>
              <w:jc w:val="center"/>
            </w:pPr>
            <w:r>
              <w:t>11.9</w:t>
            </w:r>
          </w:p>
        </w:tc>
        <w:tc>
          <w:tcPr>
            <w:tcW w:w="1335" w:type="dxa"/>
          </w:tcPr>
          <w:p w14:paraId="0A79BF10" w14:textId="77777777" w:rsidR="009A6E00" w:rsidRDefault="009A6E00" w:rsidP="0043479F">
            <w:pPr>
              <w:jc w:val="center"/>
            </w:pPr>
            <w:r>
              <w:t>--</w:t>
            </w:r>
          </w:p>
        </w:tc>
        <w:tc>
          <w:tcPr>
            <w:tcW w:w="1091" w:type="dxa"/>
          </w:tcPr>
          <w:p w14:paraId="7BA37757" w14:textId="77777777" w:rsidR="009A6E00" w:rsidRDefault="009A6E00" w:rsidP="0043479F">
            <w:pPr>
              <w:jc w:val="center"/>
            </w:pPr>
            <w:r>
              <w:t>--</w:t>
            </w:r>
          </w:p>
        </w:tc>
        <w:tc>
          <w:tcPr>
            <w:tcW w:w="1034" w:type="dxa"/>
          </w:tcPr>
          <w:p w14:paraId="49263D17" w14:textId="77777777" w:rsidR="009A6E00" w:rsidRDefault="009A6E00" w:rsidP="0043479F">
            <w:pPr>
              <w:jc w:val="center"/>
            </w:pPr>
            <w:r>
              <w:t>--</w:t>
            </w:r>
          </w:p>
        </w:tc>
        <w:tc>
          <w:tcPr>
            <w:tcW w:w="1134" w:type="dxa"/>
          </w:tcPr>
          <w:p w14:paraId="5B027831" w14:textId="77777777" w:rsidR="009A6E00" w:rsidRDefault="009A6E00" w:rsidP="0043479F">
            <w:pPr>
              <w:jc w:val="center"/>
            </w:pPr>
            <w:r>
              <w:t>--</w:t>
            </w:r>
          </w:p>
        </w:tc>
      </w:tr>
      <w:tr w:rsidR="009A6E00" w14:paraId="14ACCE6D" w14:textId="77777777" w:rsidTr="0043479F">
        <w:tc>
          <w:tcPr>
            <w:tcW w:w="1692" w:type="dxa"/>
          </w:tcPr>
          <w:p w14:paraId="409706C2" w14:textId="77777777" w:rsidR="009A6E00" w:rsidRDefault="009A6E00" w:rsidP="0043479F">
            <w:pPr>
              <w:jc w:val="center"/>
            </w:pPr>
            <w:r>
              <w:t>Monaco</w:t>
            </w:r>
          </w:p>
        </w:tc>
        <w:tc>
          <w:tcPr>
            <w:tcW w:w="1311" w:type="dxa"/>
          </w:tcPr>
          <w:p w14:paraId="7CEB1DAF" w14:textId="77777777" w:rsidR="009A6E00" w:rsidRDefault="009A6E00" w:rsidP="0043479F">
            <w:pPr>
              <w:jc w:val="center"/>
            </w:pPr>
            <w:r>
              <w:t>10.02.2013</w:t>
            </w:r>
          </w:p>
        </w:tc>
        <w:tc>
          <w:tcPr>
            <w:tcW w:w="889" w:type="dxa"/>
          </w:tcPr>
          <w:p w14:paraId="62DEC147" w14:textId="77777777" w:rsidR="009A6E00" w:rsidRDefault="009A6E00" w:rsidP="0043479F">
            <w:pPr>
              <w:jc w:val="center"/>
            </w:pPr>
            <w:r>
              <w:t>24</w:t>
            </w:r>
          </w:p>
        </w:tc>
        <w:tc>
          <w:tcPr>
            <w:tcW w:w="1008" w:type="dxa"/>
          </w:tcPr>
          <w:p w14:paraId="16A9A0A1" w14:textId="77777777" w:rsidR="009A6E00" w:rsidRDefault="009A6E00" w:rsidP="0043479F">
            <w:pPr>
              <w:jc w:val="center"/>
            </w:pPr>
            <w:r>
              <w:t>5</w:t>
            </w:r>
          </w:p>
        </w:tc>
        <w:tc>
          <w:tcPr>
            <w:tcW w:w="996" w:type="dxa"/>
          </w:tcPr>
          <w:p w14:paraId="0484002E" w14:textId="77777777" w:rsidR="009A6E00" w:rsidRDefault="009A6E00" w:rsidP="0043479F">
            <w:pPr>
              <w:jc w:val="center"/>
            </w:pPr>
            <w:r>
              <w:t>20.8</w:t>
            </w:r>
          </w:p>
        </w:tc>
        <w:tc>
          <w:tcPr>
            <w:tcW w:w="1335" w:type="dxa"/>
          </w:tcPr>
          <w:p w14:paraId="5707A752" w14:textId="77777777" w:rsidR="009A6E00" w:rsidRDefault="009A6E00" w:rsidP="0043479F">
            <w:pPr>
              <w:jc w:val="center"/>
            </w:pPr>
            <w:r>
              <w:t>--</w:t>
            </w:r>
          </w:p>
        </w:tc>
        <w:tc>
          <w:tcPr>
            <w:tcW w:w="1091" w:type="dxa"/>
          </w:tcPr>
          <w:p w14:paraId="5BAAE0FC" w14:textId="77777777" w:rsidR="009A6E00" w:rsidRDefault="009A6E00" w:rsidP="0043479F">
            <w:pPr>
              <w:jc w:val="center"/>
            </w:pPr>
            <w:r>
              <w:t>--</w:t>
            </w:r>
          </w:p>
        </w:tc>
        <w:tc>
          <w:tcPr>
            <w:tcW w:w="1034" w:type="dxa"/>
          </w:tcPr>
          <w:p w14:paraId="4586087A" w14:textId="77777777" w:rsidR="009A6E00" w:rsidRDefault="009A6E00" w:rsidP="0043479F">
            <w:pPr>
              <w:jc w:val="center"/>
            </w:pPr>
            <w:r>
              <w:t>--</w:t>
            </w:r>
          </w:p>
        </w:tc>
        <w:tc>
          <w:tcPr>
            <w:tcW w:w="1134" w:type="dxa"/>
          </w:tcPr>
          <w:p w14:paraId="41FFFD7F" w14:textId="77777777" w:rsidR="009A6E00" w:rsidRDefault="009A6E00" w:rsidP="0043479F">
            <w:pPr>
              <w:jc w:val="center"/>
            </w:pPr>
            <w:r>
              <w:t>--</w:t>
            </w:r>
          </w:p>
        </w:tc>
      </w:tr>
      <w:tr w:rsidR="009A6E00" w14:paraId="21D7D7A9" w14:textId="77777777" w:rsidTr="0043479F">
        <w:tc>
          <w:tcPr>
            <w:tcW w:w="1692" w:type="dxa"/>
          </w:tcPr>
          <w:p w14:paraId="4477E48B" w14:textId="77777777" w:rsidR="009A6E00" w:rsidRDefault="009A6E00" w:rsidP="0043479F">
            <w:pPr>
              <w:jc w:val="center"/>
            </w:pPr>
            <w:r>
              <w:t>Netherlands</w:t>
            </w:r>
          </w:p>
        </w:tc>
        <w:tc>
          <w:tcPr>
            <w:tcW w:w="1311" w:type="dxa"/>
          </w:tcPr>
          <w:p w14:paraId="46878422" w14:textId="77777777" w:rsidR="009A6E00" w:rsidRDefault="009A6E00" w:rsidP="0043479F">
            <w:pPr>
              <w:jc w:val="center"/>
            </w:pPr>
            <w:r>
              <w:t>15.03.2017</w:t>
            </w:r>
          </w:p>
        </w:tc>
        <w:tc>
          <w:tcPr>
            <w:tcW w:w="889" w:type="dxa"/>
          </w:tcPr>
          <w:p w14:paraId="57E4EBCF" w14:textId="77777777" w:rsidR="009A6E00" w:rsidRDefault="009A6E00" w:rsidP="0043479F">
            <w:pPr>
              <w:jc w:val="center"/>
            </w:pPr>
            <w:r>
              <w:t>150</w:t>
            </w:r>
          </w:p>
        </w:tc>
        <w:tc>
          <w:tcPr>
            <w:tcW w:w="1008" w:type="dxa"/>
          </w:tcPr>
          <w:p w14:paraId="04374DC7" w14:textId="77777777" w:rsidR="009A6E00" w:rsidRDefault="009A6E00" w:rsidP="0043479F">
            <w:pPr>
              <w:jc w:val="center"/>
            </w:pPr>
            <w:r>
              <w:t>54</w:t>
            </w:r>
          </w:p>
        </w:tc>
        <w:tc>
          <w:tcPr>
            <w:tcW w:w="996" w:type="dxa"/>
          </w:tcPr>
          <w:p w14:paraId="58AF7C25" w14:textId="77777777" w:rsidR="009A6E00" w:rsidRDefault="009A6E00" w:rsidP="0043479F">
            <w:pPr>
              <w:jc w:val="center"/>
            </w:pPr>
            <w:r>
              <w:t>36.0</w:t>
            </w:r>
          </w:p>
        </w:tc>
        <w:tc>
          <w:tcPr>
            <w:tcW w:w="1335" w:type="dxa"/>
          </w:tcPr>
          <w:p w14:paraId="5F3A81C3" w14:textId="77777777" w:rsidR="009A6E00" w:rsidRDefault="009A6E00" w:rsidP="0043479F">
            <w:pPr>
              <w:jc w:val="center"/>
            </w:pPr>
            <w:r>
              <w:t>26.05.2015</w:t>
            </w:r>
          </w:p>
        </w:tc>
        <w:tc>
          <w:tcPr>
            <w:tcW w:w="1091" w:type="dxa"/>
          </w:tcPr>
          <w:p w14:paraId="62910C60" w14:textId="77777777" w:rsidR="009A6E00" w:rsidRDefault="009A6E00" w:rsidP="0043479F">
            <w:pPr>
              <w:jc w:val="center"/>
            </w:pPr>
            <w:r>
              <w:t>75</w:t>
            </w:r>
          </w:p>
        </w:tc>
        <w:tc>
          <w:tcPr>
            <w:tcW w:w="1034" w:type="dxa"/>
          </w:tcPr>
          <w:p w14:paraId="7194A659" w14:textId="77777777" w:rsidR="009A6E00" w:rsidRDefault="009A6E00" w:rsidP="0043479F">
            <w:pPr>
              <w:jc w:val="center"/>
            </w:pPr>
            <w:r>
              <w:t>26</w:t>
            </w:r>
          </w:p>
        </w:tc>
        <w:tc>
          <w:tcPr>
            <w:tcW w:w="1134" w:type="dxa"/>
          </w:tcPr>
          <w:p w14:paraId="6EBE9E9D" w14:textId="77777777" w:rsidR="009A6E00" w:rsidRDefault="009A6E00" w:rsidP="0043479F">
            <w:pPr>
              <w:jc w:val="center"/>
            </w:pPr>
            <w:r>
              <w:t>34.7</w:t>
            </w:r>
          </w:p>
        </w:tc>
      </w:tr>
      <w:tr w:rsidR="009A6E00" w14:paraId="4A3494C4" w14:textId="77777777" w:rsidTr="0043479F">
        <w:tc>
          <w:tcPr>
            <w:tcW w:w="1692" w:type="dxa"/>
          </w:tcPr>
          <w:p w14:paraId="70793426" w14:textId="77777777" w:rsidR="009A6E00" w:rsidRDefault="009A6E00" w:rsidP="0043479F">
            <w:pPr>
              <w:jc w:val="center"/>
            </w:pPr>
            <w:r>
              <w:t>Norway</w:t>
            </w:r>
          </w:p>
        </w:tc>
        <w:tc>
          <w:tcPr>
            <w:tcW w:w="1311" w:type="dxa"/>
          </w:tcPr>
          <w:p w14:paraId="74D29A20" w14:textId="77777777" w:rsidR="009A6E00" w:rsidRDefault="009A6E00" w:rsidP="0043479F">
            <w:pPr>
              <w:jc w:val="center"/>
            </w:pPr>
            <w:r>
              <w:t>11.09.2017</w:t>
            </w:r>
          </w:p>
        </w:tc>
        <w:tc>
          <w:tcPr>
            <w:tcW w:w="889" w:type="dxa"/>
          </w:tcPr>
          <w:p w14:paraId="4E6FB56F" w14:textId="77777777" w:rsidR="009A6E00" w:rsidRDefault="009A6E00" w:rsidP="0043479F">
            <w:pPr>
              <w:jc w:val="center"/>
            </w:pPr>
            <w:r>
              <w:t>169</w:t>
            </w:r>
          </w:p>
        </w:tc>
        <w:tc>
          <w:tcPr>
            <w:tcW w:w="1008" w:type="dxa"/>
          </w:tcPr>
          <w:p w14:paraId="2E904E40" w14:textId="77777777" w:rsidR="009A6E00" w:rsidRDefault="009A6E00" w:rsidP="0043479F">
            <w:pPr>
              <w:jc w:val="center"/>
            </w:pPr>
            <w:r>
              <w:t>70</w:t>
            </w:r>
          </w:p>
        </w:tc>
        <w:tc>
          <w:tcPr>
            <w:tcW w:w="996" w:type="dxa"/>
          </w:tcPr>
          <w:p w14:paraId="7116A871" w14:textId="77777777" w:rsidR="009A6E00" w:rsidRDefault="009A6E00" w:rsidP="0043479F">
            <w:pPr>
              <w:jc w:val="center"/>
            </w:pPr>
            <w:r>
              <w:t>41.4</w:t>
            </w:r>
          </w:p>
        </w:tc>
        <w:tc>
          <w:tcPr>
            <w:tcW w:w="1335" w:type="dxa"/>
          </w:tcPr>
          <w:p w14:paraId="0D48E3ED" w14:textId="77777777" w:rsidR="009A6E00" w:rsidRDefault="009A6E00" w:rsidP="0043479F">
            <w:pPr>
              <w:jc w:val="center"/>
            </w:pPr>
            <w:r>
              <w:t>--</w:t>
            </w:r>
          </w:p>
        </w:tc>
        <w:tc>
          <w:tcPr>
            <w:tcW w:w="1091" w:type="dxa"/>
          </w:tcPr>
          <w:p w14:paraId="405CABBA" w14:textId="77777777" w:rsidR="009A6E00" w:rsidRDefault="009A6E00" w:rsidP="0043479F">
            <w:pPr>
              <w:jc w:val="center"/>
            </w:pPr>
            <w:r>
              <w:t>--</w:t>
            </w:r>
          </w:p>
        </w:tc>
        <w:tc>
          <w:tcPr>
            <w:tcW w:w="1034" w:type="dxa"/>
          </w:tcPr>
          <w:p w14:paraId="3E34D3FD" w14:textId="77777777" w:rsidR="009A6E00" w:rsidRDefault="009A6E00" w:rsidP="0043479F">
            <w:pPr>
              <w:jc w:val="center"/>
            </w:pPr>
            <w:r>
              <w:t>--</w:t>
            </w:r>
          </w:p>
        </w:tc>
        <w:tc>
          <w:tcPr>
            <w:tcW w:w="1134" w:type="dxa"/>
          </w:tcPr>
          <w:p w14:paraId="0BB56D73" w14:textId="77777777" w:rsidR="009A6E00" w:rsidRDefault="009A6E00" w:rsidP="0043479F">
            <w:pPr>
              <w:jc w:val="center"/>
            </w:pPr>
            <w:r>
              <w:t>--</w:t>
            </w:r>
          </w:p>
        </w:tc>
      </w:tr>
      <w:tr w:rsidR="009A6E00" w14:paraId="11CF81FD" w14:textId="77777777" w:rsidTr="0043479F">
        <w:tc>
          <w:tcPr>
            <w:tcW w:w="1692" w:type="dxa"/>
          </w:tcPr>
          <w:p w14:paraId="5E3C01B0" w14:textId="77777777" w:rsidR="009A6E00" w:rsidRDefault="009A6E00" w:rsidP="0043479F">
            <w:pPr>
              <w:jc w:val="center"/>
            </w:pPr>
            <w:r>
              <w:t>Portugal</w:t>
            </w:r>
          </w:p>
        </w:tc>
        <w:tc>
          <w:tcPr>
            <w:tcW w:w="1311" w:type="dxa"/>
          </w:tcPr>
          <w:p w14:paraId="3F1998A6" w14:textId="77777777" w:rsidR="009A6E00" w:rsidRDefault="009A6E00" w:rsidP="0043479F">
            <w:pPr>
              <w:jc w:val="center"/>
            </w:pPr>
            <w:r>
              <w:t>04.10.2015</w:t>
            </w:r>
          </w:p>
        </w:tc>
        <w:tc>
          <w:tcPr>
            <w:tcW w:w="889" w:type="dxa"/>
          </w:tcPr>
          <w:p w14:paraId="5401FEBB" w14:textId="77777777" w:rsidR="009A6E00" w:rsidRDefault="009A6E00" w:rsidP="0043479F">
            <w:pPr>
              <w:jc w:val="center"/>
            </w:pPr>
            <w:r>
              <w:t>230</w:t>
            </w:r>
          </w:p>
        </w:tc>
        <w:tc>
          <w:tcPr>
            <w:tcW w:w="1008" w:type="dxa"/>
          </w:tcPr>
          <w:p w14:paraId="6B963162" w14:textId="77777777" w:rsidR="009A6E00" w:rsidRDefault="009A6E00" w:rsidP="0043479F">
            <w:pPr>
              <w:jc w:val="center"/>
            </w:pPr>
            <w:r>
              <w:t>80</w:t>
            </w:r>
          </w:p>
        </w:tc>
        <w:tc>
          <w:tcPr>
            <w:tcW w:w="996" w:type="dxa"/>
          </w:tcPr>
          <w:p w14:paraId="7BF17A8D" w14:textId="77777777" w:rsidR="009A6E00" w:rsidRDefault="009A6E00" w:rsidP="0043479F">
            <w:pPr>
              <w:jc w:val="center"/>
            </w:pPr>
            <w:r>
              <w:t>34.8</w:t>
            </w:r>
          </w:p>
        </w:tc>
        <w:tc>
          <w:tcPr>
            <w:tcW w:w="1335" w:type="dxa"/>
          </w:tcPr>
          <w:p w14:paraId="79F78076" w14:textId="77777777" w:rsidR="009A6E00" w:rsidRDefault="009A6E00" w:rsidP="0043479F">
            <w:pPr>
              <w:jc w:val="center"/>
            </w:pPr>
            <w:r>
              <w:t>--</w:t>
            </w:r>
          </w:p>
        </w:tc>
        <w:tc>
          <w:tcPr>
            <w:tcW w:w="1091" w:type="dxa"/>
          </w:tcPr>
          <w:p w14:paraId="270817D8" w14:textId="77777777" w:rsidR="009A6E00" w:rsidRDefault="009A6E00" w:rsidP="0043479F">
            <w:pPr>
              <w:jc w:val="center"/>
            </w:pPr>
            <w:r>
              <w:t>--</w:t>
            </w:r>
          </w:p>
        </w:tc>
        <w:tc>
          <w:tcPr>
            <w:tcW w:w="1034" w:type="dxa"/>
          </w:tcPr>
          <w:p w14:paraId="7C877F60" w14:textId="77777777" w:rsidR="009A6E00" w:rsidRDefault="009A6E00" w:rsidP="0043479F">
            <w:pPr>
              <w:jc w:val="center"/>
            </w:pPr>
            <w:r>
              <w:t>--</w:t>
            </w:r>
          </w:p>
        </w:tc>
        <w:tc>
          <w:tcPr>
            <w:tcW w:w="1134" w:type="dxa"/>
          </w:tcPr>
          <w:p w14:paraId="752E71C5" w14:textId="77777777" w:rsidR="009A6E00" w:rsidRDefault="009A6E00" w:rsidP="0043479F">
            <w:pPr>
              <w:jc w:val="center"/>
            </w:pPr>
            <w:r>
              <w:t>--</w:t>
            </w:r>
          </w:p>
        </w:tc>
      </w:tr>
      <w:tr w:rsidR="009A6E00" w14:paraId="7D1227E3" w14:textId="77777777" w:rsidTr="0043479F">
        <w:tc>
          <w:tcPr>
            <w:tcW w:w="1692" w:type="dxa"/>
          </w:tcPr>
          <w:p w14:paraId="60BA7E48" w14:textId="77777777" w:rsidR="009A6E00" w:rsidRDefault="009A6E00" w:rsidP="0043479F">
            <w:pPr>
              <w:jc w:val="center"/>
            </w:pPr>
            <w:r>
              <w:t>San Marino</w:t>
            </w:r>
          </w:p>
        </w:tc>
        <w:tc>
          <w:tcPr>
            <w:tcW w:w="1311" w:type="dxa"/>
          </w:tcPr>
          <w:p w14:paraId="6D8B72E9" w14:textId="77777777" w:rsidR="009A6E00" w:rsidRDefault="009A6E00" w:rsidP="0043479F">
            <w:pPr>
              <w:jc w:val="center"/>
            </w:pPr>
            <w:r>
              <w:t>20.11.2016</w:t>
            </w:r>
          </w:p>
        </w:tc>
        <w:tc>
          <w:tcPr>
            <w:tcW w:w="889" w:type="dxa"/>
          </w:tcPr>
          <w:p w14:paraId="19C43DEC" w14:textId="77777777" w:rsidR="009A6E00" w:rsidRDefault="009A6E00" w:rsidP="0043479F">
            <w:pPr>
              <w:jc w:val="center"/>
            </w:pPr>
            <w:r>
              <w:t>60</w:t>
            </w:r>
          </w:p>
        </w:tc>
        <w:tc>
          <w:tcPr>
            <w:tcW w:w="1008" w:type="dxa"/>
          </w:tcPr>
          <w:p w14:paraId="18884228" w14:textId="77777777" w:rsidR="009A6E00" w:rsidRDefault="009A6E00" w:rsidP="0043479F">
            <w:pPr>
              <w:jc w:val="center"/>
            </w:pPr>
            <w:r>
              <w:t>16</w:t>
            </w:r>
          </w:p>
        </w:tc>
        <w:tc>
          <w:tcPr>
            <w:tcW w:w="996" w:type="dxa"/>
          </w:tcPr>
          <w:p w14:paraId="3E5EAD95" w14:textId="77777777" w:rsidR="009A6E00" w:rsidRDefault="009A6E00" w:rsidP="0043479F">
            <w:pPr>
              <w:jc w:val="center"/>
            </w:pPr>
            <w:r>
              <w:t>26.7</w:t>
            </w:r>
          </w:p>
        </w:tc>
        <w:tc>
          <w:tcPr>
            <w:tcW w:w="1335" w:type="dxa"/>
          </w:tcPr>
          <w:p w14:paraId="5135F7AF" w14:textId="77777777" w:rsidR="009A6E00" w:rsidRDefault="009A6E00" w:rsidP="0043479F">
            <w:pPr>
              <w:jc w:val="center"/>
            </w:pPr>
            <w:r>
              <w:t>--</w:t>
            </w:r>
          </w:p>
        </w:tc>
        <w:tc>
          <w:tcPr>
            <w:tcW w:w="1091" w:type="dxa"/>
          </w:tcPr>
          <w:p w14:paraId="1E6BC427" w14:textId="77777777" w:rsidR="009A6E00" w:rsidRDefault="009A6E00" w:rsidP="0043479F">
            <w:pPr>
              <w:jc w:val="center"/>
            </w:pPr>
            <w:r>
              <w:t>--</w:t>
            </w:r>
          </w:p>
        </w:tc>
        <w:tc>
          <w:tcPr>
            <w:tcW w:w="1034" w:type="dxa"/>
          </w:tcPr>
          <w:p w14:paraId="2750BBE6" w14:textId="77777777" w:rsidR="009A6E00" w:rsidRDefault="009A6E00" w:rsidP="0043479F">
            <w:pPr>
              <w:jc w:val="center"/>
            </w:pPr>
            <w:r>
              <w:t>--</w:t>
            </w:r>
          </w:p>
        </w:tc>
        <w:tc>
          <w:tcPr>
            <w:tcW w:w="1134" w:type="dxa"/>
          </w:tcPr>
          <w:p w14:paraId="5F453514" w14:textId="77777777" w:rsidR="009A6E00" w:rsidRDefault="009A6E00" w:rsidP="0043479F">
            <w:pPr>
              <w:jc w:val="center"/>
            </w:pPr>
            <w:r>
              <w:t>--</w:t>
            </w:r>
          </w:p>
        </w:tc>
      </w:tr>
      <w:tr w:rsidR="009A6E00" w14:paraId="028165A4" w14:textId="77777777" w:rsidTr="0043479F">
        <w:tc>
          <w:tcPr>
            <w:tcW w:w="1692" w:type="dxa"/>
          </w:tcPr>
          <w:p w14:paraId="3C9137AF" w14:textId="77777777" w:rsidR="009A6E00" w:rsidRDefault="009A6E00" w:rsidP="0043479F">
            <w:pPr>
              <w:jc w:val="center"/>
            </w:pPr>
            <w:r>
              <w:t>Spain</w:t>
            </w:r>
          </w:p>
        </w:tc>
        <w:tc>
          <w:tcPr>
            <w:tcW w:w="1311" w:type="dxa"/>
          </w:tcPr>
          <w:p w14:paraId="2A12171B" w14:textId="77777777" w:rsidR="009A6E00" w:rsidRDefault="009A6E00" w:rsidP="0043479F">
            <w:pPr>
              <w:jc w:val="center"/>
            </w:pPr>
            <w:r>
              <w:t>26.06.2016</w:t>
            </w:r>
          </w:p>
        </w:tc>
        <w:tc>
          <w:tcPr>
            <w:tcW w:w="889" w:type="dxa"/>
          </w:tcPr>
          <w:p w14:paraId="130D3B2E" w14:textId="77777777" w:rsidR="009A6E00" w:rsidRDefault="009A6E00" w:rsidP="0043479F">
            <w:pPr>
              <w:jc w:val="center"/>
            </w:pPr>
            <w:r>
              <w:t>350</w:t>
            </w:r>
          </w:p>
        </w:tc>
        <w:tc>
          <w:tcPr>
            <w:tcW w:w="1008" w:type="dxa"/>
          </w:tcPr>
          <w:p w14:paraId="7DA41B6A" w14:textId="77777777" w:rsidR="009A6E00" w:rsidRDefault="009A6E00" w:rsidP="0043479F">
            <w:pPr>
              <w:jc w:val="center"/>
            </w:pPr>
            <w:r>
              <w:t>137</w:t>
            </w:r>
          </w:p>
        </w:tc>
        <w:tc>
          <w:tcPr>
            <w:tcW w:w="996" w:type="dxa"/>
          </w:tcPr>
          <w:p w14:paraId="1BBCAB32" w14:textId="77777777" w:rsidR="009A6E00" w:rsidRDefault="009A6E00" w:rsidP="0043479F">
            <w:pPr>
              <w:jc w:val="center"/>
            </w:pPr>
            <w:r>
              <w:t>39.1</w:t>
            </w:r>
          </w:p>
        </w:tc>
        <w:tc>
          <w:tcPr>
            <w:tcW w:w="1335" w:type="dxa"/>
          </w:tcPr>
          <w:p w14:paraId="3000500B" w14:textId="77777777" w:rsidR="009A6E00" w:rsidRDefault="009A6E00" w:rsidP="0043479F">
            <w:pPr>
              <w:jc w:val="center"/>
            </w:pPr>
            <w:r>
              <w:t>26.06.2016</w:t>
            </w:r>
          </w:p>
        </w:tc>
        <w:tc>
          <w:tcPr>
            <w:tcW w:w="1091" w:type="dxa"/>
          </w:tcPr>
          <w:p w14:paraId="170B764A" w14:textId="77777777" w:rsidR="009A6E00" w:rsidRDefault="009A6E00" w:rsidP="0043479F">
            <w:pPr>
              <w:jc w:val="center"/>
            </w:pPr>
            <w:r>
              <w:t>266</w:t>
            </w:r>
          </w:p>
        </w:tc>
        <w:tc>
          <w:tcPr>
            <w:tcW w:w="1034" w:type="dxa"/>
          </w:tcPr>
          <w:p w14:paraId="2DC5A284" w14:textId="77777777" w:rsidR="009A6E00" w:rsidRDefault="009A6E00" w:rsidP="0043479F">
            <w:pPr>
              <w:jc w:val="center"/>
            </w:pPr>
            <w:r>
              <w:t>101</w:t>
            </w:r>
          </w:p>
        </w:tc>
        <w:tc>
          <w:tcPr>
            <w:tcW w:w="1134" w:type="dxa"/>
          </w:tcPr>
          <w:p w14:paraId="11F86D2F" w14:textId="77777777" w:rsidR="009A6E00" w:rsidRDefault="009A6E00" w:rsidP="0043479F">
            <w:pPr>
              <w:jc w:val="center"/>
            </w:pPr>
            <w:r>
              <w:t>38.0</w:t>
            </w:r>
          </w:p>
        </w:tc>
      </w:tr>
      <w:tr w:rsidR="009A6E00" w14:paraId="3E04C737" w14:textId="77777777" w:rsidTr="0043479F">
        <w:tc>
          <w:tcPr>
            <w:tcW w:w="1692" w:type="dxa"/>
          </w:tcPr>
          <w:p w14:paraId="3924F595" w14:textId="77777777" w:rsidR="009A6E00" w:rsidRDefault="009A6E00" w:rsidP="0043479F">
            <w:pPr>
              <w:jc w:val="center"/>
            </w:pPr>
            <w:r>
              <w:t>Sweden</w:t>
            </w:r>
          </w:p>
        </w:tc>
        <w:tc>
          <w:tcPr>
            <w:tcW w:w="1311" w:type="dxa"/>
          </w:tcPr>
          <w:p w14:paraId="59EE2707" w14:textId="77777777" w:rsidR="009A6E00" w:rsidRDefault="009A6E00" w:rsidP="0043479F">
            <w:pPr>
              <w:jc w:val="center"/>
            </w:pPr>
            <w:r>
              <w:t>14.09.2014</w:t>
            </w:r>
          </w:p>
        </w:tc>
        <w:tc>
          <w:tcPr>
            <w:tcW w:w="889" w:type="dxa"/>
          </w:tcPr>
          <w:p w14:paraId="205C167B" w14:textId="77777777" w:rsidR="009A6E00" w:rsidRDefault="009A6E00" w:rsidP="0043479F">
            <w:pPr>
              <w:jc w:val="center"/>
            </w:pPr>
            <w:r>
              <w:t>349</w:t>
            </w:r>
          </w:p>
        </w:tc>
        <w:tc>
          <w:tcPr>
            <w:tcW w:w="1008" w:type="dxa"/>
          </w:tcPr>
          <w:p w14:paraId="07D7257C" w14:textId="77777777" w:rsidR="009A6E00" w:rsidRDefault="009A6E00" w:rsidP="0043479F">
            <w:pPr>
              <w:jc w:val="center"/>
            </w:pPr>
            <w:r>
              <w:t>152</w:t>
            </w:r>
          </w:p>
        </w:tc>
        <w:tc>
          <w:tcPr>
            <w:tcW w:w="996" w:type="dxa"/>
          </w:tcPr>
          <w:p w14:paraId="63C5AD62" w14:textId="77777777" w:rsidR="009A6E00" w:rsidRDefault="009A6E00" w:rsidP="0043479F">
            <w:pPr>
              <w:jc w:val="center"/>
            </w:pPr>
            <w:r>
              <w:t>43.6</w:t>
            </w:r>
          </w:p>
        </w:tc>
        <w:tc>
          <w:tcPr>
            <w:tcW w:w="1335" w:type="dxa"/>
          </w:tcPr>
          <w:p w14:paraId="3199704E" w14:textId="77777777" w:rsidR="009A6E00" w:rsidRDefault="009A6E00" w:rsidP="0043479F">
            <w:pPr>
              <w:jc w:val="center"/>
            </w:pPr>
            <w:r>
              <w:t>--</w:t>
            </w:r>
          </w:p>
        </w:tc>
        <w:tc>
          <w:tcPr>
            <w:tcW w:w="1091" w:type="dxa"/>
          </w:tcPr>
          <w:p w14:paraId="667622CC" w14:textId="77777777" w:rsidR="009A6E00" w:rsidRDefault="009A6E00" w:rsidP="0043479F">
            <w:pPr>
              <w:jc w:val="center"/>
            </w:pPr>
            <w:r>
              <w:t>--</w:t>
            </w:r>
          </w:p>
        </w:tc>
        <w:tc>
          <w:tcPr>
            <w:tcW w:w="1034" w:type="dxa"/>
          </w:tcPr>
          <w:p w14:paraId="5D21CA5E" w14:textId="77777777" w:rsidR="009A6E00" w:rsidRDefault="009A6E00" w:rsidP="0043479F">
            <w:pPr>
              <w:jc w:val="center"/>
            </w:pPr>
            <w:r>
              <w:t>--</w:t>
            </w:r>
          </w:p>
        </w:tc>
        <w:tc>
          <w:tcPr>
            <w:tcW w:w="1134" w:type="dxa"/>
          </w:tcPr>
          <w:p w14:paraId="745D6551" w14:textId="77777777" w:rsidR="009A6E00" w:rsidRDefault="009A6E00" w:rsidP="0043479F">
            <w:pPr>
              <w:jc w:val="center"/>
            </w:pPr>
            <w:r>
              <w:t>--</w:t>
            </w:r>
          </w:p>
        </w:tc>
      </w:tr>
      <w:tr w:rsidR="009A6E00" w14:paraId="502417C6" w14:textId="77777777" w:rsidTr="0043479F">
        <w:tc>
          <w:tcPr>
            <w:tcW w:w="1692" w:type="dxa"/>
          </w:tcPr>
          <w:p w14:paraId="585B6D4F" w14:textId="77777777" w:rsidR="009A6E00" w:rsidRDefault="009A6E00" w:rsidP="0043479F">
            <w:pPr>
              <w:jc w:val="center"/>
            </w:pPr>
            <w:r>
              <w:t>Switzerland</w:t>
            </w:r>
          </w:p>
        </w:tc>
        <w:tc>
          <w:tcPr>
            <w:tcW w:w="1311" w:type="dxa"/>
          </w:tcPr>
          <w:p w14:paraId="467D51DB" w14:textId="77777777" w:rsidR="009A6E00" w:rsidRDefault="009A6E00" w:rsidP="0043479F">
            <w:pPr>
              <w:jc w:val="center"/>
            </w:pPr>
            <w:r>
              <w:t>18.10.2015</w:t>
            </w:r>
          </w:p>
        </w:tc>
        <w:tc>
          <w:tcPr>
            <w:tcW w:w="889" w:type="dxa"/>
          </w:tcPr>
          <w:p w14:paraId="50BA1673" w14:textId="77777777" w:rsidR="009A6E00" w:rsidRDefault="009A6E00" w:rsidP="0043479F">
            <w:pPr>
              <w:jc w:val="center"/>
            </w:pPr>
            <w:r>
              <w:t>200</w:t>
            </w:r>
          </w:p>
        </w:tc>
        <w:tc>
          <w:tcPr>
            <w:tcW w:w="1008" w:type="dxa"/>
          </w:tcPr>
          <w:p w14:paraId="0DFC1618" w14:textId="77777777" w:rsidR="009A6E00" w:rsidRDefault="009A6E00" w:rsidP="0043479F">
            <w:pPr>
              <w:jc w:val="center"/>
            </w:pPr>
            <w:r>
              <w:t>65</w:t>
            </w:r>
          </w:p>
        </w:tc>
        <w:tc>
          <w:tcPr>
            <w:tcW w:w="996" w:type="dxa"/>
          </w:tcPr>
          <w:p w14:paraId="1AE841CE" w14:textId="77777777" w:rsidR="009A6E00" w:rsidRDefault="009A6E00" w:rsidP="0043479F">
            <w:pPr>
              <w:jc w:val="center"/>
            </w:pPr>
            <w:r>
              <w:t>32.5</w:t>
            </w:r>
          </w:p>
        </w:tc>
        <w:tc>
          <w:tcPr>
            <w:tcW w:w="1335" w:type="dxa"/>
          </w:tcPr>
          <w:p w14:paraId="5B314052" w14:textId="77777777" w:rsidR="009A6E00" w:rsidRDefault="009A6E00" w:rsidP="0043479F">
            <w:pPr>
              <w:jc w:val="center"/>
            </w:pPr>
            <w:r>
              <w:t>23.10.2011</w:t>
            </w:r>
          </w:p>
        </w:tc>
        <w:tc>
          <w:tcPr>
            <w:tcW w:w="1091" w:type="dxa"/>
          </w:tcPr>
          <w:p w14:paraId="0B7D6462" w14:textId="77777777" w:rsidR="009A6E00" w:rsidRDefault="009A6E00" w:rsidP="0043479F">
            <w:pPr>
              <w:jc w:val="center"/>
            </w:pPr>
            <w:r>
              <w:t>46</w:t>
            </w:r>
          </w:p>
        </w:tc>
        <w:tc>
          <w:tcPr>
            <w:tcW w:w="1034" w:type="dxa"/>
          </w:tcPr>
          <w:p w14:paraId="6480A7DD" w14:textId="77777777" w:rsidR="009A6E00" w:rsidRDefault="009A6E00" w:rsidP="0043479F">
            <w:pPr>
              <w:jc w:val="center"/>
            </w:pPr>
            <w:r>
              <w:t>7</w:t>
            </w:r>
          </w:p>
        </w:tc>
        <w:tc>
          <w:tcPr>
            <w:tcW w:w="1134" w:type="dxa"/>
          </w:tcPr>
          <w:p w14:paraId="36B4C631" w14:textId="77777777" w:rsidR="009A6E00" w:rsidRDefault="009A6E00" w:rsidP="0043479F">
            <w:pPr>
              <w:jc w:val="center"/>
            </w:pPr>
            <w:r>
              <w:t>15.2</w:t>
            </w:r>
          </w:p>
        </w:tc>
      </w:tr>
      <w:tr w:rsidR="009A6E00" w14:paraId="221BC385" w14:textId="77777777" w:rsidTr="0043479F">
        <w:tc>
          <w:tcPr>
            <w:tcW w:w="1692" w:type="dxa"/>
          </w:tcPr>
          <w:p w14:paraId="13B0D5D5" w14:textId="77777777" w:rsidR="009A6E00" w:rsidRDefault="009A6E00" w:rsidP="0043479F">
            <w:pPr>
              <w:jc w:val="center"/>
            </w:pPr>
            <w:r>
              <w:t>Turkey</w:t>
            </w:r>
          </w:p>
        </w:tc>
        <w:tc>
          <w:tcPr>
            <w:tcW w:w="1311" w:type="dxa"/>
          </w:tcPr>
          <w:p w14:paraId="02080A20" w14:textId="77777777" w:rsidR="009A6E00" w:rsidRDefault="009A6E00" w:rsidP="0043479F">
            <w:pPr>
              <w:jc w:val="center"/>
            </w:pPr>
            <w:r>
              <w:t>01.11.2015</w:t>
            </w:r>
          </w:p>
        </w:tc>
        <w:tc>
          <w:tcPr>
            <w:tcW w:w="889" w:type="dxa"/>
          </w:tcPr>
          <w:p w14:paraId="09791484" w14:textId="77777777" w:rsidR="009A6E00" w:rsidRDefault="009A6E00" w:rsidP="0043479F">
            <w:pPr>
              <w:jc w:val="center"/>
            </w:pPr>
            <w:r>
              <w:t>549</w:t>
            </w:r>
          </w:p>
        </w:tc>
        <w:tc>
          <w:tcPr>
            <w:tcW w:w="1008" w:type="dxa"/>
          </w:tcPr>
          <w:p w14:paraId="0514C9DA" w14:textId="77777777" w:rsidR="009A6E00" w:rsidRDefault="009A6E00" w:rsidP="0043479F">
            <w:pPr>
              <w:jc w:val="center"/>
            </w:pPr>
            <w:r>
              <w:t>80</w:t>
            </w:r>
          </w:p>
        </w:tc>
        <w:tc>
          <w:tcPr>
            <w:tcW w:w="996" w:type="dxa"/>
          </w:tcPr>
          <w:p w14:paraId="099055A7" w14:textId="77777777" w:rsidR="009A6E00" w:rsidRDefault="009A6E00" w:rsidP="0043479F">
            <w:pPr>
              <w:jc w:val="center"/>
            </w:pPr>
            <w:r>
              <w:t>14.6</w:t>
            </w:r>
          </w:p>
        </w:tc>
        <w:tc>
          <w:tcPr>
            <w:tcW w:w="1335" w:type="dxa"/>
          </w:tcPr>
          <w:p w14:paraId="0132AB5C" w14:textId="77777777" w:rsidR="009A6E00" w:rsidRDefault="009A6E00" w:rsidP="0043479F">
            <w:pPr>
              <w:jc w:val="center"/>
            </w:pPr>
            <w:r>
              <w:t>--</w:t>
            </w:r>
          </w:p>
        </w:tc>
        <w:tc>
          <w:tcPr>
            <w:tcW w:w="1091" w:type="dxa"/>
          </w:tcPr>
          <w:p w14:paraId="0FE4A422" w14:textId="77777777" w:rsidR="009A6E00" w:rsidRDefault="009A6E00" w:rsidP="0043479F">
            <w:pPr>
              <w:jc w:val="center"/>
            </w:pPr>
            <w:r>
              <w:t>--</w:t>
            </w:r>
          </w:p>
        </w:tc>
        <w:tc>
          <w:tcPr>
            <w:tcW w:w="1034" w:type="dxa"/>
          </w:tcPr>
          <w:p w14:paraId="51796E04" w14:textId="77777777" w:rsidR="009A6E00" w:rsidRDefault="009A6E00" w:rsidP="0043479F">
            <w:pPr>
              <w:jc w:val="center"/>
            </w:pPr>
            <w:r>
              <w:t>--</w:t>
            </w:r>
          </w:p>
        </w:tc>
        <w:tc>
          <w:tcPr>
            <w:tcW w:w="1134" w:type="dxa"/>
          </w:tcPr>
          <w:p w14:paraId="3A7E80B0" w14:textId="77777777" w:rsidR="009A6E00" w:rsidRDefault="009A6E00" w:rsidP="0043479F">
            <w:pPr>
              <w:jc w:val="center"/>
            </w:pPr>
            <w:r>
              <w:t>--</w:t>
            </w:r>
          </w:p>
        </w:tc>
      </w:tr>
      <w:tr w:rsidR="009A6E00" w14:paraId="22959542" w14:textId="77777777" w:rsidTr="0043479F">
        <w:trPr>
          <w:trHeight w:val="255"/>
        </w:trPr>
        <w:tc>
          <w:tcPr>
            <w:tcW w:w="1692" w:type="dxa"/>
          </w:tcPr>
          <w:p w14:paraId="1E288828" w14:textId="77777777" w:rsidR="009A6E00" w:rsidRPr="00C84B84" w:rsidRDefault="009A6E00" w:rsidP="0043479F">
            <w:pPr>
              <w:jc w:val="center"/>
              <w:rPr>
                <w:sz w:val="22"/>
                <w:szCs w:val="22"/>
              </w:rPr>
            </w:pPr>
            <w:r w:rsidRPr="00C84B84">
              <w:rPr>
                <w:sz w:val="22"/>
                <w:szCs w:val="22"/>
              </w:rPr>
              <w:t>United Kingdom</w:t>
            </w:r>
          </w:p>
        </w:tc>
        <w:tc>
          <w:tcPr>
            <w:tcW w:w="1311" w:type="dxa"/>
          </w:tcPr>
          <w:p w14:paraId="13FC1AE9" w14:textId="77777777" w:rsidR="009A6E00" w:rsidRDefault="009A6E00" w:rsidP="0043479F">
            <w:pPr>
              <w:jc w:val="center"/>
            </w:pPr>
            <w:r>
              <w:t>08.06.2017</w:t>
            </w:r>
          </w:p>
        </w:tc>
        <w:tc>
          <w:tcPr>
            <w:tcW w:w="889" w:type="dxa"/>
          </w:tcPr>
          <w:p w14:paraId="49A10ED9" w14:textId="77777777" w:rsidR="009A6E00" w:rsidRDefault="009A6E00" w:rsidP="0043479F">
            <w:pPr>
              <w:jc w:val="center"/>
            </w:pPr>
            <w:r>
              <w:t>650</w:t>
            </w:r>
          </w:p>
        </w:tc>
        <w:tc>
          <w:tcPr>
            <w:tcW w:w="1008" w:type="dxa"/>
          </w:tcPr>
          <w:p w14:paraId="42C36922" w14:textId="77777777" w:rsidR="009A6E00" w:rsidRDefault="009A6E00" w:rsidP="0043479F">
            <w:pPr>
              <w:jc w:val="center"/>
            </w:pPr>
            <w:r>
              <w:t>208</w:t>
            </w:r>
          </w:p>
        </w:tc>
        <w:tc>
          <w:tcPr>
            <w:tcW w:w="996" w:type="dxa"/>
          </w:tcPr>
          <w:p w14:paraId="5DA51012" w14:textId="77777777" w:rsidR="009A6E00" w:rsidRDefault="009A6E00" w:rsidP="0043479F">
            <w:pPr>
              <w:jc w:val="center"/>
            </w:pPr>
            <w:r>
              <w:t>32.0</w:t>
            </w:r>
          </w:p>
        </w:tc>
        <w:tc>
          <w:tcPr>
            <w:tcW w:w="1335" w:type="dxa"/>
          </w:tcPr>
          <w:p w14:paraId="206670C3" w14:textId="77777777" w:rsidR="009A6E00" w:rsidRDefault="009A6E00" w:rsidP="0043479F">
            <w:pPr>
              <w:jc w:val="center"/>
            </w:pPr>
            <w:r>
              <w:t>N/A</w:t>
            </w:r>
          </w:p>
        </w:tc>
        <w:tc>
          <w:tcPr>
            <w:tcW w:w="1091" w:type="dxa"/>
          </w:tcPr>
          <w:p w14:paraId="1500A3BD" w14:textId="77777777" w:rsidR="009A6E00" w:rsidRDefault="009A6E00" w:rsidP="0043479F">
            <w:pPr>
              <w:jc w:val="center"/>
            </w:pPr>
            <w:r>
              <w:t>805</w:t>
            </w:r>
          </w:p>
        </w:tc>
        <w:tc>
          <w:tcPr>
            <w:tcW w:w="1034" w:type="dxa"/>
          </w:tcPr>
          <w:p w14:paraId="5496344B" w14:textId="77777777" w:rsidR="009A6E00" w:rsidRDefault="009A6E00" w:rsidP="0043479F">
            <w:pPr>
              <w:jc w:val="center"/>
            </w:pPr>
            <w:r>
              <w:t>207</w:t>
            </w:r>
          </w:p>
        </w:tc>
        <w:tc>
          <w:tcPr>
            <w:tcW w:w="1134" w:type="dxa"/>
          </w:tcPr>
          <w:p w14:paraId="216108A6" w14:textId="77777777" w:rsidR="009A6E00" w:rsidRDefault="009A6E00" w:rsidP="0043479F">
            <w:pPr>
              <w:jc w:val="center"/>
            </w:pPr>
            <w:r>
              <w:t>25.7</w:t>
            </w:r>
          </w:p>
        </w:tc>
      </w:tr>
    </w:tbl>
    <w:p w14:paraId="5F8BCD5B" w14:textId="77777777" w:rsidR="009A6E00" w:rsidRPr="00900517" w:rsidRDefault="009A6E00" w:rsidP="009A6E00">
      <w:pPr>
        <w:jc w:val="center"/>
      </w:pPr>
    </w:p>
    <w:p w14:paraId="0B6F4518" w14:textId="73AD7B2C" w:rsidR="002A265E" w:rsidRDefault="002A265E">
      <w:pPr>
        <w:rPr>
          <w:lang w:val="fr-FR"/>
        </w:rPr>
      </w:pPr>
      <w:r>
        <w:rPr>
          <w:lang w:val="fr-FR"/>
        </w:rPr>
        <w:br w:type="page"/>
      </w:r>
    </w:p>
    <w:p w14:paraId="213A4617" w14:textId="2C649836" w:rsidR="002A265E" w:rsidRDefault="0043479F" w:rsidP="002A265E">
      <w:pPr>
        <w:jc w:val="center"/>
        <w:rPr>
          <w:b/>
        </w:rPr>
      </w:pPr>
      <w:bookmarkStart w:id="19" w:name="_Toc509931737"/>
      <w:r w:rsidRPr="0043479F">
        <w:rPr>
          <w:rStyle w:val="Heading1Char"/>
          <w:rFonts w:ascii="Times New Roman" w:hAnsi="Times New Roman" w:cs="Times New Roman"/>
          <w:color w:val="auto"/>
          <w:sz w:val="24"/>
          <w:szCs w:val="24"/>
        </w:rPr>
        <w:lastRenderedPageBreak/>
        <w:t xml:space="preserve">Annex </w:t>
      </w:r>
      <w:r w:rsidR="002A265E" w:rsidRPr="0043479F">
        <w:rPr>
          <w:rStyle w:val="Heading1Char"/>
          <w:rFonts w:ascii="Times New Roman" w:hAnsi="Times New Roman" w:cs="Times New Roman"/>
          <w:color w:val="auto"/>
          <w:sz w:val="24"/>
          <w:szCs w:val="24"/>
        </w:rPr>
        <w:t>2</w:t>
      </w:r>
      <w:r>
        <w:rPr>
          <w:rStyle w:val="Heading1Char"/>
          <w:rFonts w:ascii="Times New Roman" w:hAnsi="Times New Roman" w:cs="Times New Roman"/>
          <w:color w:val="auto"/>
          <w:sz w:val="24"/>
          <w:szCs w:val="24"/>
        </w:rPr>
        <w:t>:</w:t>
      </w:r>
      <w:r w:rsidRPr="0043479F">
        <w:rPr>
          <w:rStyle w:val="Heading1Char"/>
          <w:rFonts w:ascii="Times New Roman" w:hAnsi="Times New Roman" w:cs="Times New Roman"/>
          <w:color w:val="auto"/>
          <w:sz w:val="24"/>
          <w:szCs w:val="24"/>
        </w:rPr>
        <w:t xml:space="preserve"> </w:t>
      </w:r>
      <w:r w:rsidR="002A265E" w:rsidRPr="0043479F">
        <w:rPr>
          <w:rStyle w:val="Heading1Char"/>
          <w:rFonts w:ascii="Times New Roman" w:hAnsi="Times New Roman" w:cs="Times New Roman"/>
          <w:color w:val="auto"/>
          <w:sz w:val="24"/>
          <w:szCs w:val="24"/>
        </w:rPr>
        <w:t>Gender Quotas</w:t>
      </w:r>
      <w:bookmarkEnd w:id="19"/>
      <w:r w:rsidR="002A265E" w:rsidRPr="009E3FA8">
        <w:rPr>
          <w:rStyle w:val="FootnoteReference"/>
          <w:b/>
        </w:rPr>
        <w:footnoteReference w:customMarkFollows="1" w:id="179"/>
        <w:sym w:font="Symbol" w:char="F02A"/>
      </w:r>
    </w:p>
    <w:p w14:paraId="539FA836" w14:textId="77777777" w:rsidR="002A265E" w:rsidRDefault="002A265E" w:rsidP="002A265E">
      <w:pPr>
        <w:jc w:val="center"/>
      </w:pPr>
    </w:p>
    <w:tbl>
      <w:tblPr>
        <w:tblStyle w:val="TableGrid"/>
        <w:tblW w:w="9540" w:type="dxa"/>
        <w:tblInd w:w="-431" w:type="dxa"/>
        <w:tblLook w:val="04A0" w:firstRow="1" w:lastRow="0" w:firstColumn="1" w:lastColumn="0" w:noHBand="0" w:noVBand="1"/>
      </w:tblPr>
      <w:tblGrid>
        <w:gridCol w:w="1844"/>
        <w:gridCol w:w="3485"/>
        <w:gridCol w:w="4211"/>
      </w:tblGrid>
      <w:tr w:rsidR="002A265E" w14:paraId="021B86F7" w14:textId="77777777" w:rsidTr="0043479F">
        <w:trPr>
          <w:trHeight w:val="535"/>
        </w:trPr>
        <w:tc>
          <w:tcPr>
            <w:tcW w:w="1844" w:type="dxa"/>
          </w:tcPr>
          <w:p w14:paraId="2F0500E0" w14:textId="77777777" w:rsidR="002A265E" w:rsidRPr="001E0161" w:rsidRDefault="002A265E" w:rsidP="0043479F">
            <w:pPr>
              <w:jc w:val="center"/>
              <w:rPr>
                <w:b/>
              </w:rPr>
            </w:pPr>
            <w:r w:rsidRPr="001E0161">
              <w:rPr>
                <w:b/>
              </w:rPr>
              <w:t>Country</w:t>
            </w:r>
          </w:p>
        </w:tc>
        <w:tc>
          <w:tcPr>
            <w:tcW w:w="3485" w:type="dxa"/>
          </w:tcPr>
          <w:p w14:paraId="6DFF625F" w14:textId="77777777" w:rsidR="002A265E" w:rsidRPr="001E0161" w:rsidRDefault="002A265E" w:rsidP="0043479F">
            <w:pPr>
              <w:ind w:left="-535" w:firstLine="535"/>
              <w:jc w:val="center"/>
              <w:rPr>
                <w:b/>
              </w:rPr>
            </w:pPr>
            <w:r>
              <w:rPr>
                <w:b/>
              </w:rPr>
              <w:t>Legislated quotas</w:t>
            </w:r>
          </w:p>
        </w:tc>
        <w:tc>
          <w:tcPr>
            <w:tcW w:w="4211" w:type="dxa"/>
          </w:tcPr>
          <w:p w14:paraId="796DBDE9" w14:textId="77777777" w:rsidR="002A265E" w:rsidRPr="001E0161" w:rsidRDefault="002A265E" w:rsidP="0043479F">
            <w:pPr>
              <w:ind w:left="-535" w:firstLine="535"/>
              <w:jc w:val="center"/>
              <w:rPr>
                <w:b/>
              </w:rPr>
            </w:pPr>
            <w:r w:rsidRPr="001972BA">
              <w:rPr>
                <w:b/>
                <w:i/>
              </w:rPr>
              <w:t>Voluntary</w:t>
            </w:r>
            <w:r>
              <w:rPr>
                <w:b/>
              </w:rPr>
              <w:t xml:space="preserve"> political parties quotas</w:t>
            </w:r>
          </w:p>
        </w:tc>
      </w:tr>
      <w:tr w:rsidR="002A265E" w14:paraId="43A546C3" w14:textId="77777777" w:rsidTr="0043479F">
        <w:tc>
          <w:tcPr>
            <w:tcW w:w="1844" w:type="dxa"/>
            <w:shd w:val="clear" w:color="auto" w:fill="D0CECE" w:themeFill="background2" w:themeFillShade="E6"/>
          </w:tcPr>
          <w:p w14:paraId="751553D2" w14:textId="77777777" w:rsidR="002A265E" w:rsidRDefault="002A265E" w:rsidP="0043479F">
            <w:pPr>
              <w:jc w:val="center"/>
            </w:pPr>
            <w:r>
              <w:t>Andorra</w:t>
            </w:r>
            <w:r w:rsidRPr="007359D8">
              <w:rPr>
                <w:rStyle w:val="FootnoteReference"/>
              </w:rPr>
              <w:footnoteReference w:customMarkFollows="1" w:id="180"/>
              <w:sym w:font="Symbol" w:char="F02A"/>
            </w:r>
            <w:r w:rsidRPr="007359D8">
              <w:rPr>
                <w:rStyle w:val="FootnoteReference"/>
              </w:rPr>
              <w:sym w:font="Symbol" w:char="F02A"/>
            </w:r>
          </w:p>
        </w:tc>
        <w:tc>
          <w:tcPr>
            <w:tcW w:w="3485" w:type="dxa"/>
            <w:shd w:val="clear" w:color="auto" w:fill="auto"/>
          </w:tcPr>
          <w:p w14:paraId="4E3D91EE" w14:textId="77777777" w:rsidR="002A265E" w:rsidRDefault="002A265E" w:rsidP="0043479F">
            <w:pPr>
              <w:jc w:val="center"/>
            </w:pPr>
          </w:p>
        </w:tc>
        <w:tc>
          <w:tcPr>
            <w:tcW w:w="4211" w:type="dxa"/>
            <w:shd w:val="clear" w:color="auto" w:fill="auto"/>
          </w:tcPr>
          <w:p w14:paraId="2B1444EF" w14:textId="77777777" w:rsidR="002A265E" w:rsidRDefault="002A265E" w:rsidP="0043479F">
            <w:pPr>
              <w:jc w:val="center"/>
            </w:pPr>
          </w:p>
        </w:tc>
      </w:tr>
      <w:tr w:rsidR="002A265E" w14:paraId="3B409EC7" w14:textId="77777777" w:rsidTr="0043479F">
        <w:trPr>
          <w:trHeight w:val="325"/>
        </w:trPr>
        <w:tc>
          <w:tcPr>
            <w:tcW w:w="1844" w:type="dxa"/>
            <w:shd w:val="clear" w:color="auto" w:fill="auto"/>
          </w:tcPr>
          <w:p w14:paraId="36987AAF" w14:textId="77777777" w:rsidR="002A265E" w:rsidRDefault="002A265E" w:rsidP="0043479F">
            <w:pPr>
              <w:jc w:val="center"/>
            </w:pPr>
            <w:r>
              <w:t>Austria</w:t>
            </w:r>
          </w:p>
        </w:tc>
        <w:tc>
          <w:tcPr>
            <w:tcW w:w="3485" w:type="dxa"/>
            <w:shd w:val="clear" w:color="auto" w:fill="auto"/>
          </w:tcPr>
          <w:p w14:paraId="12A76F3B" w14:textId="77777777" w:rsidR="002A265E" w:rsidRDefault="002A265E" w:rsidP="0043479F">
            <w:pPr>
              <w:jc w:val="center"/>
            </w:pPr>
          </w:p>
        </w:tc>
        <w:tc>
          <w:tcPr>
            <w:tcW w:w="4211" w:type="dxa"/>
            <w:shd w:val="clear" w:color="auto" w:fill="auto"/>
          </w:tcPr>
          <w:p w14:paraId="3C62F43D" w14:textId="77777777" w:rsidR="002A265E" w:rsidRDefault="002A265E" w:rsidP="0043479F">
            <w:pPr>
              <w:jc w:val="center"/>
            </w:pPr>
            <w:r>
              <w:t>X</w:t>
            </w:r>
          </w:p>
        </w:tc>
      </w:tr>
      <w:tr w:rsidR="002A265E" w14:paraId="244263E8" w14:textId="77777777" w:rsidTr="0043479F">
        <w:tc>
          <w:tcPr>
            <w:tcW w:w="1844" w:type="dxa"/>
            <w:shd w:val="clear" w:color="auto" w:fill="auto"/>
          </w:tcPr>
          <w:p w14:paraId="3918113C" w14:textId="77777777" w:rsidR="002A265E" w:rsidRDefault="002A265E" w:rsidP="0043479F">
            <w:pPr>
              <w:jc w:val="center"/>
            </w:pPr>
            <w:r>
              <w:t>Belgium</w:t>
            </w:r>
          </w:p>
        </w:tc>
        <w:tc>
          <w:tcPr>
            <w:tcW w:w="3485" w:type="dxa"/>
            <w:shd w:val="clear" w:color="auto" w:fill="auto"/>
          </w:tcPr>
          <w:p w14:paraId="6B59F593" w14:textId="77777777" w:rsidR="002A265E" w:rsidRDefault="002A265E" w:rsidP="0043479F">
            <w:pPr>
              <w:jc w:val="center"/>
            </w:pPr>
            <w:r>
              <w:t>X</w:t>
            </w:r>
          </w:p>
        </w:tc>
        <w:tc>
          <w:tcPr>
            <w:tcW w:w="4211" w:type="dxa"/>
            <w:shd w:val="clear" w:color="auto" w:fill="auto"/>
          </w:tcPr>
          <w:p w14:paraId="752EECE1" w14:textId="77777777" w:rsidR="002A265E" w:rsidRDefault="002A265E" w:rsidP="0043479F">
            <w:pPr>
              <w:jc w:val="center"/>
            </w:pPr>
          </w:p>
        </w:tc>
      </w:tr>
      <w:tr w:rsidR="002A265E" w14:paraId="7EB334B0" w14:textId="77777777" w:rsidTr="0043479F">
        <w:trPr>
          <w:trHeight w:val="352"/>
        </w:trPr>
        <w:tc>
          <w:tcPr>
            <w:tcW w:w="1844" w:type="dxa"/>
            <w:shd w:val="clear" w:color="auto" w:fill="auto"/>
          </w:tcPr>
          <w:p w14:paraId="21FF91FA" w14:textId="77777777" w:rsidR="002A265E" w:rsidRDefault="002A265E" w:rsidP="0043479F">
            <w:pPr>
              <w:jc w:val="center"/>
            </w:pPr>
            <w:r>
              <w:t>Denmark</w:t>
            </w:r>
          </w:p>
        </w:tc>
        <w:tc>
          <w:tcPr>
            <w:tcW w:w="3485" w:type="dxa"/>
            <w:shd w:val="clear" w:color="auto" w:fill="auto"/>
          </w:tcPr>
          <w:p w14:paraId="648FDD5D" w14:textId="77777777" w:rsidR="002A265E" w:rsidRDefault="002A265E" w:rsidP="0043479F">
            <w:pPr>
              <w:jc w:val="center"/>
            </w:pPr>
          </w:p>
        </w:tc>
        <w:tc>
          <w:tcPr>
            <w:tcW w:w="4211" w:type="dxa"/>
            <w:shd w:val="clear" w:color="auto" w:fill="auto"/>
          </w:tcPr>
          <w:p w14:paraId="7E2C25CD" w14:textId="77777777" w:rsidR="002A265E" w:rsidRDefault="002A265E" w:rsidP="0043479F">
            <w:pPr>
              <w:jc w:val="center"/>
            </w:pPr>
          </w:p>
        </w:tc>
      </w:tr>
      <w:tr w:rsidR="002A265E" w14:paraId="2DB8A57A" w14:textId="77777777" w:rsidTr="0043479F">
        <w:tc>
          <w:tcPr>
            <w:tcW w:w="1844" w:type="dxa"/>
            <w:shd w:val="clear" w:color="auto" w:fill="D0CECE" w:themeFill="background2" w:themeFillShade="E6"/>
          </w:tcPr>
          <w:p w14:paraId="3BF930A9" w14:textId="77777777" w:rsidR="002A265E" w:rsidRDefault="002A265E" w:rsidP="0043479F">
            <w:pPr>
              <w:jc w:val="center"/>
            </w:pPr>
            <w:r>
              <w:t>Finland</w:t>
            </w:r>
            <w:r w:rsidRPr="007359D8">
              <w:rPr>
                <w:rStyle w:val="FootnoteReference"/>
              </w:rPr>
              <w:footnoteReference w:customMarkFollows="1" w:id="181"/>
              <w:sym w:font="Symbol" w:char="F02A"/>
            </w:r>
            <w:r w:rsidRPr="007359D8">
              <w:rPr>
                <w:rStyle w:val="FootnoteReference"/>
              </w:rPr>
              <w:sym w:font="Symbol" w:char="F02A"/>
            </w:r>
          </w:p>
        </w:tc>
        <w:tc>
          <w:tcPr>
            <w:tcW w:w="3485" w:type="dxa"/>
            <w:shd w:val="clear" w:color="auto" w:fill="auto"/>
          </w:tcPr>
          <w:p w14:paraId="61CC8C73" w14:textId="77777777" w:rsidR="002A265E" w:rsidRDefault="002A265E" w:rsidP="0043479F">
            <w:pPr>
              <w:jc w:val="center"/>
            </w:pPr>
          </w:p>
        </w:tc>
        <w:tc>
          <w:tcPr>
            <w:tcW w:w="4211" w:type="dxa"/>
            <w:shd w:val="clear" w:color="auto" w:fill="auto"/>
          </w:tcPr>
          <w:p w14:paraId="7F34F56F" w14:textId="77777777" w:rsidR="002A265E" w:rsidRDefault="002A265E" w:rsidP="0043479F">
            <w:pPr>
              <w:jc w:val="center"/>
            </w:pPr>
          </w:p>
        </w:tc>
      </w:tr>
      <w:tr w:rsidR="002A265E" w14:paraId="49DF50B6" w14:textId="77777777" w:rsidTr="0043479F">
        <w:tc>
          <w:tcPr>
            <w:tcW w:w="1844" w:type="dxa"/>
            <w:shd w:val="clear" w:color="auto" w:fill="auto"/>
          </w:tcPr>
          <w:p w14:paraId="1FB1006E" w14:textId="77777777" w:rsidR="002A265E" w:rsidRDefault="002A265E" w:rsidP="0043479F">
            <w:pPr>
              <w:jc w:val="center"/>
            </w:pPr>
            <w:r>
              <w:t>France</w:t>
            </w:r>
          </w:p>
        </w:tc>
        <w:tc>
          <w:tcPr>
            <w:tcW w:w="3485" w:type="dxa"/>
            <w:shd w:val="clear" w:color="auto" w:fill="auto"/>
          </w:tcPr>
          <w:p w14:paraId="646A3DE5" w14:textId="77777777" w:rsidR="002A265E" w:rsidRDefault="002A265E" w:rsidP="0043479F">
            <w:pPr>
              <w:jc w:val="center"/>
            </w:pPr>
          </w:p>
        </w:tc>
        <w:tc>
          <w:tcPr>
            <w:tcW w:w="4211" w:type="dxa"/>
            <w:shd w:val="clear" w:color="auto" w:fill="auto"/>
          </w:tcPr>
          <w:p w14:paraId="5AD57466" w14:textId="77777777" w:rsidR="002A265E" w:rsidRDefault="002A265E" w:rsidP="0043479F">
            <w:pPr>
              <w:jc w:val="center"/>
            </w:pPr>
            <w:r>
              <w:t>X</w:t>
            </w:r>
          </w:p>
        </w:tc>
      </w:tr>
      <w:tr w:rsidR="002A265E" w14:paraId="70918811" w14:textId="77777777" w:rsidTr="0043479F">
        <w:trPr>
          <w:trHeight w:val="325"/>
        </w:trPr>
        <w:tc>
          <w:tcPr>
            <w:tcW w:w="1844" w:type="dxa"/>
            <w:shd w:val="clear" w:color="auto" w:fill="auto"/>
          </w:tcPr>
          <w:p w14:paraId="17281FED" w14:textId="77777777" w:rsidR="002A265E" w:rsidRDefault="002A265E" w:rsidP="0043479F">
            <w:pPr>
              <w:jc w:val="center"/>
            </w:pPr>
            <w:r>
              <w:t>Germany</w:t>
            </w:r>
          </w:p>
        </w:tc>
        <w:tc>
          <w:tcPr>
            <w:tcW w:w="3485" w:type="dxa"/>
            <w:shd w:val="clear" w:color="auto" w:fill="auto"/>
          </w:tcPr>
          <w:p w14:paraId="795D7759" w14:textId="77777777" w:rsidR="002A265E" w:rsidRDefault="002A265E" w:rsidP="0043479F">
            <w:pPr>
              <w:jc w:val="center"/>
            </w:pPr>
          </w:p>
        </w:tc>
        <w:tc>
          <w:tcPr>
            <w:tcW w:w="4211" w:type="dxa"/>
            <w:shd w:val="clear" w:color="auto" w:fill="auto"/>
          </w:tcPr>
          <w:p w14:paraId="11B890A3" w14:textId="77777777" w:rsidR="002A265E" w:rsidRDefault="002A265E" w:rsidP="0043479F">
            <w:pPr>
              <w:jc w:val="center"/>
            </w:pPr>
            <w:r>
              <w:t>X</w:t>
            </w:r>
          </w:p>
        </w:tc>
      </w:tr>
      <w:tr w:rsidR="002A265E" w14:paraId="029BD51D" w14:textId="77777777" w:rsidTr="0043479F">
        <w:tc>
          <w:tcPr>
            <w:tcW w:w="1844" w:type="dxa"/>
            <w:shd w:val="clear" w:color="auto" w:fill="auto"/>
          </w:tcPr>
          <w:p w14:paraId="1A1DDFA0" w14:textId="77777777" w:rsidR="002A265E" w:rsidRDefault="002A265E" w:rsidP="0043479F">
            <w:pPr>
              <w:jc w:val="center"/>
            </w:pPr>
            <w:r>
              <w:t>Greece</w:t>
            </w:r>
          </w:p>
        </w:tc>
        <w:tc>
          <w:tcPr>
            <w:tcW w:w="3485" w:type="dxa"/>
            <w:shd w:val="clear" w:color="auto" w:fill="auto"/>
          </w:tcPr>
          <w:p w14:paraId="0718C2E3" w14:textId="77777777" w:rsidR="002A265E" w:rsidRDefault="002A265E" w:rsidP="0043479F">
            <w:pPr>
              <w:jc w:val="center"/>
            </w:pPr>
            <w:r>
              <w:t>X</w:t>
            </w:r>
          </w:p>
        </w:tc>
        <w:tc>
          <w:tcPr>
            <w:tcW w:w="4211" w:type="dxa"/>
            <w:shd w:val="clear" w:color="auto" w:fill="auto"/>
          </w:tcPr>
          <w:p w14:paraId="5BF9360F" w14:textId="77777777" w:rsidR="002A265E" w:rsidRDefault="002A265E" w:rsidP="0043479F">
            <w:pPr>
              <w:jc w:val="center"/>
            </w:pPr>
            <w:r>
              <w:t>X</w:t>
            </w:r>
          </w:p>
        </w:tc>
      </w:tr>
      <w:tr w:rsidR="002A265E" w14:paraId="37F50558" w14:textId="77777777" w:rsidTr="0043479F">
        <w:tc>
          <w:tcPr>
            <w:tcW w:w="1844" w:type="dxa"/>
            <w:shd w:val="clear" w:color="auto" w:fill="auto"/>
          </w:tcPr>
          <w:p w14:paraId="2F4B7016" w14:textId="77777777" w:rsidR="002A265E" w:rsidRDefault="002A265E" w:rsidP="0043479F">
            <w:pPr>
              <w:jc w:val="center"/>
            </w:pPr>
            <w:r>
              <w:t>Iceland</w:t>
            </w:r>
          </w:p>
        </w:tc>
        <w:tc>
          <w:tcPr>
            <w:tcW w:w="3485" w:type="dxa"/>
            <w:shd w:val="clear" w:color="auto" w:fill="auto"/>
          </w:tcPr>
          <w:p w14:paraId="7C17B875" w14:textId="77777777" w:rsidR="002A265E" w:rsidRDefault="002A265E" w:rsidP="0043479F">
            <w:pPr>
              <w:jc w:val="center"/>
            </w:pPr>
          </w:p>
        </w:tc>
        <w:tc>
          <w:tcPr>
            <w:tcW w:w="4211" w:type="dxa"/>
            <w:shd w:val="clear" w:color="auto" w:fill="auto"/>
          </w:tcPr>
          <w:p w14:paraId="350C67C0" w14:textId="77777777" w:rsidR="002A265E" w:rsidRDefault="002A265E" w:rsidP="0043479F">
            <w:pPr>
              <w:jc w:val="center"/>
            </w:pPr>
            <w:r>
              <w:t>X</w:t>
            </w:r>
          </w:p>
        </w:tc>
      </w:tr>
      <w:tr w:rsidR="002A265E" w14:paraId="5D09D125" w14:textId="77777777" w:rsidTr="0043479F">
        <w:tc>
          <w:tcPr>
            <w:tcW w:w="1844" w:type="dxa"/>
            <w:shd w:val="clear" w:color="auto" w:fill="auto"/>
          </w:tcPr>
          <w:p w14:paraId="4DDADD94" w14:textId="77777777" w:rsidR="002A265E" w:rsidRDefault="002A265E" w:rsidP="0043479F">
            <w:pPr>
              <w:jc w:val="center"/>
            </w:pPr>
            <w:r>
              <w:t>Ireland</w:t>
            </w:r>
          </w:p>
        </w:tc>
        <w:tc>
          <w:tcPr>
            <w:tcW w:w="3485" w:type="dxa"/>
            <w:shd w:val="clear" w:color="auto" w:fill="auto"/>
          </w:tcPr>
          <w:p w14:paraId="60736416" w14:textId="77777777" w:rsidR="002A265E" w:rsidRDefault="002A265E" w:rsidP="0043479F">
            <w:pPr>
              <w:jc w:val="center"/>
            </w:pPr>
            <w:r>
              <w:t>X</w:t>
            </w:r>
          </w:p>
        </w:tc>
        <w:tc>
          <w:tcPr>
            <w:tcW w:w="4211" w:type="dxa"/>
            <w:shd w:val="clear" w:color="auto" w:fill="auto"/>
          </w:tcPr>
          <w:p w14:paraId="45D37A5B" w14:textId="77777777" w:rsidR="002A265E" w:rsidRDefault="002A265E" w:rsidP="0043479F">
            <w:pPr>
              <w:jc w:val="center"/>
            </w:pPr>
          </w:p>
        </w:tc>
      </w:tr>
      <w:tr w:rsidR="002A265E" w14:paraId="2E2DFF8B" w14:textId="77777777" w:rsidTr="0043479F">
        <w:tc>
          <w:tcPr>
            <w:tcW w:w="1844" w:type="dxa"/>
            <w:shd w:val="clear" w:color="auto" w:fill="auto"/>
          </w:tcPr>
          <w:p w14:paraId="5CA95B58" w14:textId="77777777" w:rsidR="002A265E" w:rsidRDefault="002A265E" w:rsidP="0043479F">
            <w:pPr>
              <w:jc w:val="center"/>
            </w:pPr>
            <w:r>
              <w:t>Israel</w:t>
            </w:r>
          </w:p>
        </w:tc>
        <w:tc>
          <w:tcPr>
            <w:tcW w:w="3485" w:type="dxa"/>
            <w:shd w:val="clear" w:color="auto" w:fill="auto"/>
          </w:tcPr>
          <w:p w14:paraId="6822362D" w14:textId="77777777" w:rsidR="002A265E" w:rsidRDefault="002A265E" w:rsidP="0043479F">
            <w:pPr>
              <w:jc w:val="center"/>
            </w:pPr>
          </w:p>
        </w:tc>
        <w:tc>
          <w:tcPr>
            <w:tcW w:w="4211" w:type="dxa"/>
            <w:shd w:val="clear" w:color="auto" w:fill="auto"/>
          </w:tcPr>
          <w:p w14:paraId="03855C2E" w14:textId="77777777" w:rsidR="002A265E" w:rsidRDefault="002A265E" w:rsidP="0043479F">
            <w:pPr>
              <w:jc w:val="center"/>
            </w:pPr>
            <w:r>
              <w:t>X</w:t>
            </w:r>
          </w:p>
        </w:tc>
      </w:tr>
      <w:tr w:rsidR="002A265E" w14:paraId="5AA0E128" w14:textId="77777777" w:rsidTr="0043479F">
        <w:tc>
          <w:tcPr>
            <w:tcW w:w="1844" w:type="dxa"/>
            <w:shd w:val="clear" w:color="auto" w:fill="auto"/>
          </w:tcPr>
          <w:p w14:paraId="35B13F21" w14:textId="77777777" w:rsidR="002A265E" w:rsidRDefault="002A265E" w:rsidP="0043479F">
            <w:pPr>
              <w:jc w:val="center"/>
            </w:pPr>
            <w:r>
              <w:t>Italy</w:t>
            </w:r>
          </w:p>
        </w:tc>
        <w:tc>
          <w:tcPr>
            <w:tcW w:w="3485" w:type="dxa"/>
            <w:shd w:val="clear" w:color="auto" w:fill="auto"/>
          </w:tcPr>
          <w:p w14:paraId="6BCFA156" w14:textId="77777777" w:rsidR="002A265E" w:rsidRDefault="002A265E" w:rsidP="0043479F">
            <w:pPr>
              <w:jc w:val="center"/>
            </w:pPr>
          </w:p>
        </w:tc>
        <w:tc>
          <w:tcPr>
            <w:tcW w:w="4211" w:type="dxa"/>
            <w:shd w:val="clear" w:color="auto" w:fill="auto"/>
          </w:tcPr>
          <w:p w14:paraId="176D63F8" w14:textId="77777777" w:rsidR="002A265E" w:rsidRDefault="002A265E" w:rsidP="0043479F">
            <w:pPr>
              <w:jc w:val="center"/>
            </w:pPr>
            <w:r>
              <w:t>X</w:t>
            </w:r>
          </w:p>
        </w:tc>
      </w:tr>
      <w:tr w:rsidR="002A265E" w14:paraId="37F5EDE3" w14:textId="77777777" w:rsidTr="0043479F">
        <w:tc>
          <w:tcPr>
            <w:tcW w:w="1844" w:type="dxa"/>
            <w:shd w:val="clear" w:color="auto" w:fill="D0CECE" w:themeFill="background2" w:themeFillShade="E6"/>
          </w:tcPr>
          <w:p w14:paraId="68EAA0FB" w14:textId="77777777" w:rsidR="002A265E" w:rsidRDefault="002A265E" w:rsidP="0043479F">
            <w:pPr>
              <w:jc w:val="center"/>
            </w:pPr>
            <w:r>
              <w:t>Liechtenstein</w:t>
            </w:r>
            <w:r w:rsidRPr="007359D8">
              <w:rPr>
                <w:rStyle w:val="FootnoteReference"/>
              </w:rPr>
              <w:footnoteReference w:customMarkFollows="1" w:id="182"/>
              <w:sym w:font="Symbol" w:char="F02A"/>
            </w:r>
            <w:r w:rsidRPr="007359D8">
              <w:rPr>
                <w:rStyle w:val="FootnoteReference"/>
              </w:rPr>
              <w:sym w:font="Symbol" w:char="F02A"/>
            </w:r>
          </w:p>
        </w:tc>
        <w:tc>
          <w:tcPr>
            <w:tcW w:w="3485" w:type="dxa"/>
            <w:shd w:val="clear" w:color="auto" w:fill="auto"/>
          </w:tcPr>
          <w:p w14:paraId="0C2EBB24" w14:textId="77777777" w:rsidR="002A265E" w:rsidRDefault="002A265E" w:rsidP="0043479F">
            <w:pPr>
              <w:jc w:val="center"/>
            </w:pPr>
          </w:p>
        </w:tc>
        <w:tc>
          <w:tcPr>
            <w:tcW w:w="4211" w:type="dxa"/>
            <w:shd w:val="clear" w:color="auto" w:fill="auto"/>
          </w:tcPr>
          <w:p w14:paraId="77CE1483" w14:textId="77777777" w:rsidR="002A265E" w:rsidRDefault="002A265E" w:rsidP="0043479F">
            <w:pPr>
              <w:jc w:val="center"/>
            </w:pPr>
          </w:p>
        </w:tc>
      </w:tr>
      <w:tr w:rsidR="002A265E" w14:paraId="3596823A" w14:textId="77777777" w:rsidTr="0043479F">
        <w:tc>
          <w:tcPr>
            <w:tcW w:w="1844" w:type="dxa"/>
            <w:shd w:val="clear" w:color="auto" w:fill="auto"/>
          </w:tcPr>
          <w:p w14:paraId="70B3E086" w14:textId="77777777" w:rsidR="002A265E" w:rsidRDefault="002A265E" w:rsidP="0043479F">
            <w:pPr>
              <w:jc w:val="center"/>
            </w:pPr>
            <w:r>
              <w:t>Luxembourg</w:t>
            </w:r>
          </w:p>
        </w:tc>
        <w:tc>
          <w:tcPr>
            <w:tcW w:w="3485" w:type="dxa"/>
            <w:shd w:val="clear" w:color="auto" w:fill="auto"/>
          </w:tcPr>
          <w:p w14:paraId="3FB96453" w14:textId="77777777" w:rsidR="002A265E" w:rsidRDefault="002A265E" w:rsidP="0043479F">
            <w:pPr>
              <w:jc w:val="center"/>
            </w:pPr>
          </w:p>
        </w:tc>
        <w:tc>
          <w:tcPr>
            <w:tcW w:w="4211" w:type="dxa"/>
            <w:shd w:val="clear" w:color="auto" w:fill="auto"/>
          </w:tcPr>
          <w:p w14:paraId="464A9081" w14:textId="77777777" w:rsidR="002A265E" w:rsidRDefault="002A265E" w:rsidP="0043479F">
            <w:pPr>
              <w:jc w:val="center"/>
            </w:pPr>
            <w:r>
              <w:t>X</w:t>
            </w:r>
          </w:p>
        </w:tc>
      </w:tr>
      <w:tr w:rsidR="002A265E" w14:paraId="3533B5FF" w14:textId="77777777" w:rsidTr="0043479F">
        <w:tc>
          <w:tcPr>
            <w:tcW w:w="1844" w:type="dxa"/>
            <w:shd w:val="clear" w:color="auto" w:fill="auto"/>
          </w:tcPr>
          <w:p w14:paraId="6A0EAAFB" w14:textId="77777777" w:rsidR="002A265E" w:rsidRDefault="002A265E" w:rsidP="0043479F">
            <w:pPr>
              <w:jc w:val="center"/>
            </w:pPr>
            <w:r>
              <w:t>Malta</w:t>
            </w:r>
          </w:p>
        </w:tc>
        <w:tc>
          <w:tcPr>
            <w:tcW w:w="3485" w:type="dxa"/>
            <w:shd w:val="clear" w:color="auto" w:fill="auto"/>
          </w:tcPr>
          <w:p w14:paraId="4FC25D10" w14:textId="77777777" w:rsidR="002A265E" w:rsidRDefault="002A265E" w:rsidP="0043479F">
            <w:pPr>
              <w:jc w:val="center"/>
            </w:pPr>
          </w:p>
        </w:tc>
        <w:tc>
          <w:tcPr>
            <w:tcW w:w="4211" w:type="dxa"/>
            <w:shd w:val="clear" w:color="auto" w:fill="auto"/>
          </w:tcPr>
          <w:p w14:paraId="6E790EA5" w14:textId="77777777" w:rsidR="002A265E" w:rsidRDefault="002A265E" w:rsidP="0043479F">
            <w:pPr>
              <w:jc w:val="center"/>
            </w:pPr>
            <w:r>
              <w:t>X</w:t>
            </w:r>
          </w:p>
        </w:tc>
      </w:tr>
      <w:tr w:rsidR="002A265E" w14:paraId="74D32487" w14:textId="77777777" w:rsidTr="0043479F">
        <w:tc>
          <w:tcPr>
            <w:tcW w:w="1844" w:type="dxa"/>
            <w:shd w:val="clear" w:color="auto" w:fill="D0CECE" w:themeFill="background2" w:themeFillShade="E6"/>
          </w:tcPr>
          <w:p w14:paraId="1BD9BA66" w14:textId="77777777" w:rsidR="002A265E" w:rsidRDefault="002A265E" w:rsidP="0043479F">
            <w:pPr>
              <w:jc w:val="center"/>
            </w:pPr>
            <w:r>
              <w:t>Monaco</w:t>
            </w:r>
            <w:r w:rsidRPr="007359D8">
              <w:rPr>
                <w:rStyle w:val="FootnoteReference"/>
              </w:rPr>
              <w:footnoteReference w:customMarkFollows="1" w:id="183"/>
              <w:sym w:font="Symbol" w:char="F02A"/>
            </w:r>
            <w:r w:rsidRPr="007359D8">
              <w:rPr>
                <w:rStyle w:val="FootnoteReference"/>
              </w:rPr>
              <w:sym w:font="Symbol" w:char="F02A"/>
            </w:r>
          </w:p>
        </w:tc>
        <w:tc>
          <w:tcPr>
            <w:tcW w:w="3485" w:type="dxa"/>
            <w:shd w:val="clear" w:color="auto" w:fill="auto"/>
          </w:tcPr>
          <w:p w14:paraId="0AD0AED4" w14:textId="77777777" w:rsidR="002A265E" w:rsidRDefault="002A265E" w:rsidP="0043479F">
            <w:pPr>
              <w:jc w:val="center"/>
            </w:pPr>
          </w:p>
        </w:tc>
        <w:tc>
          <w:tcPr>
            <w:tcW w:w="4211" w:type="dxa"/>
            <w:shd w:val="clear" w:color="auto" w:fill="auto"/>
          </w:tcPr>
          <w:p w14:paraId="02CFB158" w14:textId="77777777" w:rsidR="002A265E" w:rsidRDefault="002A265E" w:rsidP="0043479F">
            <w:pPr>
              <w:jc w:val="center"/>
            </w:pPr>
          </w:p>
        </w:tc>
      </w:tr>
      <w:tr w:rsidR="002A265E" w14:paraId="1107F289" w14:textId="77777777" w:rsidTr="0043479F">
        <w:tc>
          <w:tcPr>
            <w:tcW w:w="1844" w:type="dxa"/>
            <w:shd w:val="clear" w:color="auto" w:fill="auto"/>
          </w:tcPr>
          <w:p w14:paraId="632D4BA6" w14:textId="77777777" w:rsidR="002A265E" w:rsidRDefault="002A265E" w:rsidP="0043479F">
            <w:pPr>
              <w:jc w:val="center"/>
            </w:pPr>
            <w:r>
              <w:t>Netherlands</w:t>
            </w:r>
          </w:p>
        </w:tc>
        <w:tc>
          <w:tcPr>
            <w:tcW w:w="3485" w:type="dxa"/>
            <w:shd w:val="clear" w:color="auto" w:fill="auto"/>
          </w:tcPr>
          <w:p w14:paraId="5BBC12C5" w14:textId="77777777" w:rsidR="002A265E" w:rsidRDefault="002A265E" w:rsidP="0043479F">
            <w:pPr>
              <w:jc w:val="center"/>
            </w:pPr>
          </w:p>
        </w:tc>
        <w:tc>
          <w:tcPr>
            <w:tcW w:w="4211" w:type="dxa"/>
            <w:shd w:val="clear" w:color="auto" w:fill="auto"/>
          </w:tcPr>
          <w:p w14:paraId="5928E5E2" w14:textId="77777777" w:rsidR="002A265E" w:rsidRDefault="002A265E" w:rsidP="0043479F">
            <w:pPr>
              <w:jc w:val="center"/>
            </w:pPr>
            <w:r>
              <w:t>X</w:t>
            </w:r>
          </w:p>
        </w:tc>
      </w:tr>
      <w:tr w:rsidR="002A265E" w14:paraId="3591018E" w14:textId="77777777" w:rsidTr="0043479F">
        <w:tc>
          <w:tcPr>
            <w:tcW w:w="1844" w:type="dxa"/>
            <w:shd w:val="clear" w:color="auto" w:fill="auto"/>
          </w:tcPr>
          <w:p w14:paraId="78F026AA" w14:textId="77777777" w:rsidR="002A265E" w:rsidRDefault="002A265E" w:rsidP="0043479F">
            <w:pPr>
              <w:jc w:val="center"/>
            </w:pPr>
            <w:r>
              <w:t>Norway</w:t>
            </w:r>
          </w:p>
        </w:tc>
        <w:tc>
          <w:tcPr>
            <w:tcW w:w="3485" w:type="dxa"/>
            <w:shd w:val="clear" w:color="auto" w:fill="auto"/>
          </w:tcPr>
          <w:p w14:paraId="3008511A" w14:textId="77777777" w:rsidR="002A265E" w:rsidRDefault="002A265E" w:rsidP="0043479F">
            <w:pPr>
              <w:jc w:val="center"/>
            </w:pPr>
          </w:p>
        </w:tc>
        <w:tc>
          <w:tcPr>
            <w:tcW w:w="4211" w:type="dxa"/>
            <w:shd w:val="clear" w:color="auto" w:fill="auto"/>
          </w:tcPr>
          <w:p w14:paraId="4A1C2A56" w14:textId="77777777" w:rsidR="002A265E" w:rsidRDefault="002A265E" w:rsidP="0043479F">
            <w:pPr>
              <w:jc w:val="center"/>
            </w:pPr>
            <w:r>
              <w:t>X</w:t>
            </w:r>
          </w:p>
        </w:tc>
      </w:tr>
      <w:tr w:rsidR="002A265E" w14:paraId="7231C504" w14:textId="77777777" w:rsidTr="0043479F">
        <w:tc>
          <w:tcPr>
            <w:tcW w:w="1844" w:type="dxa"/>
            <w:shd w:val="clear" w:color="auto" w:fill="auto"/>
          </w:tcPr>
          <w:p w14:paraId="16F57609" w14:textId="77777777" w:rsidR="002A265E" w:rsidRDefault="002A265E" w:rsidP="0043479F">
            <w:pPr>
              <w:jc w:val="center"/>
            </w:pPr>
            <w:r>
              <w:t>Portugal</w:t>
            </w:r>
          </w:p>
        </w:tc>
        <w:tc>
          <w:tcPr>
            <w:tcW w:w="3485" w:type="dxa"/>
            <w:shd w:val="clear" w:color="auto" w:fill="auto"/>
          </w:tcPr>
          <w:p w14:paraId="61BDFBC1" w14:textId="77777777" w:rsidR="002A265E" w:rsidRDefault="002A265E" w:rsidP="0043479F">
            <w:pPr>
              <w:jc w:val="center"/>
            </w:pPr>
          </w:p>
        </w:tc>
        <w:tc>
          <w:tcPr>
            <w:tcW w:w="4211" w:type="dxa"/>
            <w:shd w:val="clear" w:color="auto" w:fill="auto"/>
          </w:tcPr>
          <w:p w14:paraId="506FF5B3" w14:textId="77777777" w:rsidR="002A265E" w:rsidRDefault="002A265E" w:rsidP="0043479F">
            <w:pPr>
              <w:jc w:val="center"/>
            </w:pPr>
          </w:p>
        </w:tc>
      </w:tr>
      <w:tr w:rsidR="002A265E" w14:paraId="4104D1B9" w14:textId="77777777" w:rsidTr="0043479F">
        <w:tc>
          <w:tcPr>
            <w:tcW w:w="1844" w:type="dxa"/>
            <w:shd w:val="clear" w:color="auto" w:fill="D0CECE" w:themeFill="background2" w:themeFillShade="E6"/>
          </w:tcPr>
          <w:p w14:paraId="7A60275B" w14:textId="77777777" w:rsidR="002A265E" w:rsidRDefault="002A265E" w:rsidP="0043479F">
            <w:pPr>
              <w:jc w:val="center"/>
            </w:pPr>
            <w:r>
              <w:t>San Marino</w:t>
            </w:r>
            <w:r w:rsidRPr="007359D8">
              <w:rPr>
                <w:rStyle w:val="FootnoteReference"/>
              </w:rPr>
              <w:footnoteReference w:customMarkFollows="1" w:id="184"/>
              <w:sym w:font="Symbol" w:char="F02A"/>
            </w:r>
            <w:r w:rsidRPr="007359D8">
              <w:rPr>
                <w:rStyle w:val="FootnoteReference"/>
              </w:rPr>
              <w:sym w:font="Symbol" w:char="F02A"/>
            </w:r>
          </w:p>
        </w:tc>
        <w:tc>
          <w:tcPr>
            <w:tcW w:w="3485" w:type="dxa"/>
            <w:shd w:val="clear" w:color="auto" w:fill="auto"/>
          </w:tcPr>
          <w:p w14:paraId="55D2C678" w14:textId="77777777" w:rsidR="002A265E" w:rsidRDefault="002A265E" w:rsidP="0043479F">
            <w:pPr>
              <w:jc w:val="center"/>
            </w:pPr>
          </w:p>
        </w:tc>
        <w:tc>
          <w:tcPr>
            <w:tcW w:w="4211" w:type="dxa"/>
            <w:shd w:val="clear" w:color="auto" w:fill="auto"/>
          </w:tcPr>
          <w:p w14:paraId="1214BF8A" w14:textId="77777777" w:rsidR="002A265E" w:rsidRDefault="002A265E" w:rsidP="0043479F">
            <w:pPr>
              <w:jc w:val="center"/>
            </w:pPr>
          </w:p>
        </w:tc>
      </w:tr>
      <w:tr w:rsidR="002A265E" w14:paraId="29C6CFA2" w14:textId="77777777" w:rsidTr="0043479F">
        <w:tc>
          <w:tcPr>
            <w:tcW w:w="1844" w:type="dxa"/>
            <w:shd w:val="clear" w:color="auto" w:fill="auto"/>
          </w:tcPr>
          <w:p w14:paraId="70EE6FB6" w14:textId="77777777" w:rsidR="002A265E" w:rsidRDefault="002A265E" w:rsidP="0043479F">
            <w:pPr>
              <w:jc w:val="center"/>
            </w:pPr>
            <w:r>
              <w:t>Spain</w:t>
            </w:r>
          </w:p>
        </w:tc>
        <w:tc>
          <w:tcPr>
            <w:tcW w:w="3485" w:type="dxa"/>
            <w:shd w:val="clear" w:color="auto" w:fill="auto"/>
          </w:tcPr>
          <w:p w14:paraId="06407A3A" w14:textId="77777777" w:rsidR="002A265E" w:rsidRDefault="002A265E" w:rsidP="0043479F">
            <w:pPr>
              <w:jc w:val="center"/>
            </w:pPr>
          </w:p>
        </w:tc>
        <w:tc>
          <w:tcPr>
            <w:tcW w:w="4211" w:type="dxa"/>
            <w:shd w:val="clear" w:color="auto" w:fill="auto"/>
          </w:tcPr>
          <w:p w14:paraId="729DC621" w14:textId="77777777" w:rsidR="002A265E" w:rsidRDefault="002A265E" w:rsidP="0043479F">
            <w:pPr>
              <w:jc w:val="center"/>
            </w:pPr>
            <w:r>
              <w:t>X</w:t>
            </w:r>
          </w:p>
        </w:tc>
      </w:tr>
      <w:tr w:rsidR="002A265E" w14:paraId="4443C1A2" w14:textId="77777777" w:rsidTr="0043479F">
        <w:tc>
          <w:tcPr>
            <w:tcW w:w="1844" w:type="dxa"/>
            <w:shd w:val="clear" w:color="auto" w:fill="auto"/>
          </w:tcPr>
          <w:p w14:paraId="4B184634" w14:textId="77777777" w:rsidR="002A265E" w:rsidRDefault="002A265E" w:rsidP="0043479F">
            <w:pPr>
              <w:jc w:val="center"/>
            </w:pPr>
            <w:r>
              <w:t>Sweden</w:t>
            </w:r>
          </w:p>
        </w:tc>
        <w:tc>
          <w:tcPr>
            <w:tcW w:w="3485" w:type="dxa"/>
            <w:shd w:val="clear" w:color="auto" w:fill="auto"/>
          </w:tcPr>
          <w:p w14:paraId="7D4A163F" w14:textId="77777777" w:rsidR="002A265E" w:rsidRDefault="002A265E" w:rsidP="0043479F">
            <w:pPr>
              <w:jc w:val="center"/>
            </w:pPr>
          </w:p>
        </w:tc>
        <w:tc>
          <w:tcPr>
            <w:tcW w:w="4211" w:type="dxa"/>
            <w:shd w:val="clear" w:color="auto" w:fill="auto"/>
          </w:tcPr>
          <w:p w14:paraId="1E447B88" w14:textId="77777777" w:rsidR="002A265E" w:rsidRDefault="002A265E" w:rsidP="0043479F">
            <w:pPr>
              <w:jc w:val="center"/>
            </w:pPr>
            <w:r>
              <w:t>X</w:t>
            </w:r>
          </w:p>
        </w:tc>
      </w:tr>
      <w:tr w:rsidR="002A265E" w14:paraId="75E0CB01" w14:textId="77777777" w:rsidTr="0043479F">
        <w:tc>
          <w:tcPr>
            <w:tcW w:w="1844" w:type="dxa"/>
            <w:shd w:val="clear" w:color="auto" w:fill="auto"/>
          </w:tcPr>
          <w:p w14:paraId="76684AA6" w14:textId="77777777" w:rsidR="002A265E" w:rsidRDefault="002A265E" w:rsidP="0043479F">
            <w:pPr>
              <w:jc w:val="center"/>
            </w:pPr>
            <w:r>
              <w:t>Switzerland</w:t>
            </w:r>
          </w:p>
        </w:tc>
        <w:tc>
          <w:tcPr>
            <w:tcW w:w="3485" w:type="dxa"/>
            <w:shd w:val="clear" w:color="auto" w:fill="auto"/>
          </w:tcPr>
          <w:p w14:paraId="1A04CA9A" w14:textId="77777777" w:rsidR="002A265E" w:rsidRDefault="002A265E" w:rsidP="0043479F">
            <w:pPr>
              <w:jc w:val="center"/>
            </w:pPr>
          </w:p>
        </w:tc>
        <w:tc>
          <w:tcPr>
            <w:tcW w:w="4211" w:type="dxa"/>
            <w:shd w:val="clear" w:color="auto" w:fill="auto"/>
          </w:tcPr>
          <w:p w14:paraId="44DD3902" w14:textId="77777777" w:rsidR="002A265E" w:rsidRDefault="002A265E" w:rsidP="0043479F">
            <w:pPr>
              <w:jc w:val="center"/>
            </w:pPr>
            <w:r>
              <w:t>X</w:t>
            </w:r>
          </w:p>
        </w:tc>
      </w:tr>
      <w:tr w:rsidR="002A265E" w14:paraId="5D4B646B" w14:textId="77777777" w:rsidTr="0043479F">
        <w:tc>
          <w:tcPr>
            <w:tcW w:w="1844" w:type="dxa"/>
            <w:shd w:val="clear" w:color="auto" w:fill="auto"/>
          </w:tcPr>
          <w:p w14:paraId="4BD8D7EE" w14:textId="77777777" w:rsidR="002A265E" w:rsidRDefault="002A265E" w:rsidP="0043479F">
            <w:pPr>
              <w:jc w:val="center"/>
            </w:pPr>
            <w:r>
              <w:t>Turkey</w:t>
            </w:r>
          </w:p>
        </w:tc>
        <w:tc>
          <w:tcPr>
            <w:tcW w:w="3485" w:type="dxa"/>
            <w:shd w:val="clear" w:color="auto" w:fill="auto"/>
          </w:tcPr>
          <w:p w14:paraId="58E094F5" w14:textId="77777777" w:rsidR="002A265E" w:rsidRDefault="002A265E" w:rsidP="0043479F">
            <w:pPr>
              <w:jc w:val="center"/>
            </w:pPr>
          </w:p>
        </w:tc>
        <w:tc>
          <w:tcPr>
            <w:tcW w:w="4211" w:type="dxa"/>
            <w:shd w:val="clear" w:color="auto" w:fill="auto"/>
          </w:tcPr>
          <w:p w14:paraId="3ABF707E" w14:textId="77777777" w:rsidR="002A265E" w:rsidRDefault="002A265E" w:rsidP="0043479F">
            <w:pPr>
              <w:jc w:val="center"/>
            </w:pPr>
            <w:r>
              <w:t>X</w:t>
            </w:r>
          </w:p>
        </w:tc>
      </w:tr>
      <w:tr w:rsidR="002A265E" w14:paraId="21029174" w14:textId="77777777" w:rsidTr="0043479F">
        <w:trPr>
          <w:trHeight w:val="255"/>
        </w:trPr>
        <w:tc>
          <w:tcPr>
            <w:tcW w:w="1844" w:type="dxa"/>
            <w:shd w:val="clear" w:color="auto" w:fill="auto"/>
          </w:tcPr>
          <w:p w14:paraId="30584420" w14:textId="77777777" w:rsidR="002A265E" w:rsidRPr="00C84B84" w:rsidRDefault="002A265E" w:rsidP="0043479F">
            <w:pPr>
              <w:jc w:val="center"/>
              <w:rPr>
                <w:sz w:val="22"/>
                <w:szCs w:val="22"/>
              </w:rPr>
            </w:pPr>
            <w:r w:rsidRPr="00C84B84">
              <w:rPr>
                <w:sz w:val="22"/>
                <w:szCs w:val="22"/>
              </w:rPr>
              <w:t>United Kingdom</w:t>
            </w:r>
          </w:p>
        </w:tc>
        <w:tc>
          <w:tcPr>
            <w:tcW w:w="3485" w:type="dxa"/>
            <w:shd w:val="clear" w:color="auto" w:fill="auto"/>
          </w:tcPr>
          <w:p w14:paraId="453A3EA4" w14:textId="77777777" w:rsidR="002A265E" w:rsidRPr="00C84B84" w:rsidRDefault="002A265E" w:rsidP="0043479F">
            <w:pPr>
              <w:jc w:val="center"/>
              <w:rPr>
                <w:sz w:val="22"/>
                <w:szCs w:val="22"/>
              </w:rPr>
            </w:pPr>
          </w:p>
        </w:tc>
        <w:tc>
          <w:tcPr>
            <w:tcW w:w="4211" w:type="dxa"/>
            <w:shd w:val="clear" w:color="auto" w:fill="auto"/>
          </w:tcPr>
          <w:p w14:paraId="6681EA33" w14:textId="77777777" w:rsidR="002A265E" w:rsidRPr="00C84B84" w:rsidRDefault="002A265E" w:rsidP="0043479F">
            <w:pPr>
              <w:jc w:val="center"/>
              <w:rPr>
                <w:sz w:val="22"/>
                <w:szCs w:val="22"/>
              </w:rPr>
            </w:pPr>
            <w:r>
              <w:rPr>
                <w:sz w:val="22"/>
                <w:szCs w:val="22"/>
              </w:rPr>
              <w:t>X</w:t>
            </w:r>
          </w:p>
        </w:tc>
      </w:tr>
    </w:tbl>
    <w:p w14:paraId="7A92CA55" w14:textId="77777777" w:rsidR="002A265E" w:rsidRPr="00900517" w:rsidRDefault="002A265E" w:rsidP="002A265E">
      <w:pPr>
        <w:jc w:val="center"/>
      </w:pPr>
    </w:p>
    <w:p w14:paraId="6C690BBF" w14:textId="77777777" w:rsidR="002A265E" w:rsidRDefault="002A265E" w:rsidP="002A265E"/>
    <w:p w14:paraId="615B46BC" w14:textId="10061B68" w:rsidR="00060AA9" w:rsidRDefault="00060AA9">
      <w:pPr>
        <w:rPr>
          <w:lang w:val="fr-FR"/>
        </w:rPr>
      </w:pPr>
      <w:r>
        <w:rPr>
          <w:lang w:val="fr-FR"/>
        </w:rPr>
        <w:br w:type="page"/>
      </w:r>
    </w:p>
    <w:p w14:paraId="764BB904" w14:textId="632E3331" w:rsidR="00060AA9" w:rsidRPr="0043479F" w:rsidRDefault="0043479F" w:rsidP="0043479F">
      <w:pPr>
        <w:pStyle w:val="Heading1"/>
        <w:tabs>
          <w:tab w:val="left" w:pos="5925"/>
        </w:tabs>
        <w:jc w:val="left"/>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lastRenderedPageBreak/>
        <w:tab/>
      </w:r>
    </w:p>
    <w:p w14:paraId="5205C357" w14:textId="3F21733E" w:rsidR="00060AA9" w:rsidRPr="0043479F" w:rsidRDefault="0043479F" w:rsidP="0043479F">
      <w:pPr>
        <w:pStyle w:val="Heading1"/>
        <w:jc w:val="center"/>
        <w:rPr>
          <w:rFonts w:ascii="Times New Roman" w:hAnsi="Times New Roman" w:cs="Times New Roman"/>
          <w:color w:val="auto"/>
          <w:sz w:val="24"/>
          <w:szCs w:val="24"/>
          <w:lang w:val="en-GB"/>
        </w:rPr>
      </w:pPr>
      <w:bookmarkStart w:id="20" w:name="_Toc509931738"/>
      <w:r w:rsidRPr="0043479F">
        <w:rPr>
          <w:rFonts w:ascii="Times New Roman" w:hAnsi="Times New Roman" w:cs="Times New Roman"/>
          <w:color w:val="auto"/>
          <w:sz w:val="24"/>
          <w:szCs w:val="24"/>
          <w:lang w:val="en-GB"/>
        </w:rPr>
        <w:t xml:space="preserve">Annex </w:t>
      </w:r>
      <w:r w:rsidR="00060AA9" w:rsidRPr="0043479F">
        <w:rPr>
          <w:rFonts w:ascii="Times New Roman" w:hAnsi="Times New Roman" w:cs="Times New Roman"/>
          <w:color w:val="auto"/>
          <w:sz w:val="24"/>
          <w:szCs w:val="24"/>
          <w:lang w:val="en-GB"/>
        </w:rPr>
        <w:t>3</w:t>
      </w:r>
      <w:r w:rsidRPr="0043479F">
        <w:rPr>
          <w:rFonts w:ascii="Times New Roman" w:hAnsi="Times New Roman" w:cs="Times New Roman"/>
          <w:color w:val="auto"/>
          <w:sz w:val="24"/>
          <w:szCs w:val="24"/>
          <w:lang w:val="en-GB"/>
        </w:rPr>
        <w:t xml:space="preserve">: </w:t>
      </w:r>
      <w:r w:rsidR="00060AA9" w:rsidRPr="0043479F">
        <w:rPr>
          <w:rFonts w:ascii="Times New Roman" w:hAnsi="Times New Roman" w:cs="Times New Roman"/>
          <w:color w:val="auto"/>
          <w:sz w:val="24"/>
          <w:szCs w:val="24"/>
          <w:lang w:val="en-GB"/>
        </w:rPr>
        <w:t>Relevant Applicable Standards</w:t>
      </w:r>
      <w:bookmarkEnd w:id="20"/>
    </w:p>
    <w:p w14:paraId="4223C83B" w14:textId="77777777" w:rsidR="00060AA9" w:rsidRPr="00554D8F" w:rsidRDefault="00060AA9" w:rsidP="00060AA9">
      <w:pPr>
        <w:jc w:val="center"/>
        <w:rPr>
          <w:b/>
          <w:lang w:val="en-GB"/>
        </w:rPr>
      </w:pPr>
    </w:p>
    <w:tbl>
      <w:tblPr>
        <w:tblStyle w:val="PlainTable1"/>
        <w:tblW w:w="0" w:type="auto"/>
        <w:tblLook w:val="04A0" w:firstRow="1" w:lastRow="0" w:firstColumn="1" w:lastColumn="0" w:noHBand="0" w:noVBand="1"/>
      </w:tblPr>
      <w:tblGrid>
        <w:gridCol w:w="1802"/>
        <w:gridCol w:w="1802"/>
        <w:gridCol w:w="1802"/>
        <w:gridCol w:w="1802"/>
        <w:gridCol w:w="1802"/>
      </w:tblGrid>
      <w:tr w:rsidR="00060AA9" w:rsidRPr="00554D8F" w14:paraId="583D4A13" w14:textId="77777777" w:rsidTr="00434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1C5614A" w14:textId="77777777" w:rsidR="00060AA9" w:rsidRPr="00554D8F" w:rsidRDefault="00060AA9" w:rsidP="0043479F">
            <w:pPr>
              <w:jc w:val="center"/>
              <w:rPr>
                <w:b w:val="0"/>
                <w:lang w:val="en-GB"/>
              </w:rPr>
            </w:pPr>
            <w:r w:rsidRPr="00554D8F">
              <w:rPr>
                <w:b w:val="0"/>
                <w:lang w:val="en-GB"/>
              </w:rPr>
              <w:t>Countries</w:t>
            </w:r>
          </w:p>
        </w:tc>
        <w:tc>
          <w:tcPr>
            <w:tcW w:w="1802" w:type="dxa"/>
          </w:tcPr>
          <w:p w14:paraId="3C323644" w14:textId="77777777" w:rsidR="00060AA9" w:rsidRPr="00554D8F" w:rsidRDefault="00060AA9" w:rsidP="0043479F">
            <w:pPr>
              <w:jc w:val="center"/>
              <w:cnfStyle w:val="100000000000" w:firstRow="1" w:lastRow="0" w:firstColumn="0" w:lastColumn="0" w:oddVBand="0" w:evenVBand="0" w:oddHBand="0" w:evenHBand="0" w:firstRowFirstColumn="0" w:firstRowLastColumn="0" w:lastRowFirstColumn="0" w:lastRowLastColumn="0"/>
              <w:rPr>
                <w:b w:val="0"/>
                <w:lang w:val="en-GB"/>
              </w:rPr>
            </w:pPr>
            <w:r w:rsidRPr="00554D8F">
              <w:rPr>
                <w:b w:val="0"/>
                <w:lang w:val="en-GB"/>
              </w:rPr>
              <w:t>UN</w:t>
            </w:r>
          </w:p>
        </w:tc>
        <w:tc>
          <w:tcPr>
            <w:tcW w:w="1802" w:type="dxa"/>
          </w:tcPr>
          <w:p w14:paraId="6D589535" w14:textId="77777777" w:rsidR="00060AA9" w:rsidRPr="00554D8F" w:rsidRDefault="00060AA9" w:rsidP="0043479F">
            <w:pPr>
              <w:jc w:val="center"/>
              <w:cnfStyle w:val="100000000000" w:firstRow="1" w:lastRow="0" w:firstColumn="0" w:lastColumn="0" w:oddVBand="0" w:evenVBand="0" w:oddHBand="0" w:evenHBand="0" w:firstRowFirstColumn="0" w:firstRowLastColumn="0" w:lastRowFirstColumn="0" w:lastRowLastColumn="0"/>
              <w:rPr>
                <w:b w:val="0"/>
                <w:lang w:val="en-GB"/>
              </w:rPr>
            </w:pPr>
            <w:proofErr w:type="spellStart"/>
            <w:r w:rsidRPr="00554D8F">
              <w:rPr>
                <w:b w:val="0"/>
                <w:lang w:val="en-GB"/>
              </w:rPr>
              <w:t>CoE</w:t>
            </w:r>
            <w:proofErr w:type="spellEnd"/>
          </w:p>
        </w:tc>
        <w:tc>
          <w:tcPr>
            <w:tcW w:w="1802" w:type="dxa"/>
          </w:tcPr>
          <w:p w14:paraId="7A610F88" w14:textId="77777777" w:rsidR="00060AA9" w:rsidRPr="00554D8F" w:rsidRDefault="00060AA9" w:rsidP="0043479F">
            <w:pPr>
              <w:jc w:val="center"/>
              <w:cnfStyle w:val="100000000000" w:firstRow="1" w:lastRow="0" w:firstColumn="0" w:lastColumn="0" w:oddVBand="0" w:evenVBand="0" w:oddHBand="0" w:evenHBand="0" w:firstRowFirstColumn="0" w:firstRowLastColumn="0" w:lastRowFirstColumn="0" w:lastRowLastColumn="0"/>
              <w:rPr>
                <w:b w:val="0"/>
                <w:lang w:val="en-GB"/>
              </w:rPr>
            </w:pPr>
            <w:r w:rsidRPr="00554D8F">
              <w:rPr>
                <w:b w:val="0"/>
                <w:lang w:val="en-GB"/>
              </w:rPr>
              <w:t>EU</w:t>
            </w:r>
          </w:p>
        </w:tc>
        <w:tc>
          <w:tcPr>
            <w:tcW w:w="1802" w:type="dxa"/>
          </w:tcPr>
          <w:p w14:paraId="789DC937" w14:textId="77777777" w:rsidR="00060AA9" w:rsidRPr="00554D8F" w:rsidRDefault="00060AA9" w:rsidP="0043479F">
            <w:pPr>
              <w:jc w:val="center"/>
              <w:cnfStyle w:val="100000000000" w:firstRow="1" w:lastRow="0" w:firstColumn="0" w:lastColumn="0" w:oddVBand="0" w:evenVBand="0" w:oddHBand="0" w:evenHBand="0" w:firstRowFirstColumn="0" w:firstRowLastColumn="0" w:lastRowFirstColumn="0" w:lastRowLastColumn="0"/>
              <w:rPr>
                <w:lang w:val="en-GB"/>
              </w:rPr>
            </w:pPr>
            <w:r w:rsidRPr="00554D8F">
              <w:rPr>
                <w:b w:val="0"/>
                <w:lang w:val="en-GB"/>
              </w:rPr>
              <w:t>OSCE</w:t>
            </w:r>
          </w:p>
        </w:tc>
      </w:tr>
      <w:tr w:rsidR="00060AA9" w:rsidRPr="00554D8F" w14:paraId="6FAB18F3"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24FA7EC" w14:textId="77777777" w:rsidR="00060AA9" w:rsidRPr="00554D8F" w:rsidRDefault="00060AA9" w:rsidP="0043479F">
            <w:pPr>
              <w:rPr>
                <w:b w:val="0"/>
                <w:lang w:val="en-GB"/>
              </w:rPr>
            </w:pPr>
            <w:r w:rsidRPr="00554D8F">
              <w:rPr>
                <w:b w:val="0"/>
                <w:lang w:val="en-GB"/>
              </w:rPr>
              <w:t>Andorra</w:t>
            </w:r>
          </w:p>
        </w:tc>
        <w:tc>
          <w:tcPr>
            <w:tcW w:w="1802" w:type="dxa"/>
          </w:tcPr>
          <w:p w14:paraId="04E9ED97"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D4C8011"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AD9C739"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802" w:type="dxa"/>
          </w:tcPr>
          <w:p w14:paraId="2FBC8E47"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0807B568"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11E91658" w14:textId="77777777" w:rsidR="00060AA9" w:rsidRPr="00554D8F" w:rsidRDefault="00060AA9" w:rsidP="0043479F">
            <w:pPr>
              <w:rPr>
                <w:b w:val="0"/>
                <w:lang w:val="en-GB"/>
              </w:rPr>
            </w:pPr>
            <w:r>
              <w:rPr>
                <w:b w:val="0"/>
                <w:lang w:val="en-GB"/>
              </w:rPr>
              <w:t>Austria</w:t>
            </w:r>
          </w:p>
        </w:tc>
        <w:tc>
          <w:tcPr>
            <w:tcW w:w="1802" w:type="dxa"/>
          </w:tcPr>
          <w:p w14:paraId="360AEF62"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C8E4C0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A07A90B"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72ECF88A"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787DE6B7"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AC70038" w14:textId="77777777" w:rsidR="00060AA9" w:rsidRPr="00554D8F" w:rsidRDefault="00060AA9" w:rsidP="0043479F">
            <w:pPr>
              <w:rPr>
                <w:b w:val="0"/>
                <w:lang w:val="en-GB"/>
              </w:rPr>
            </w:pPr>
            <w:r>
              <w:rPr>
                <w:b w:val="0"/>
                <w:lang w:val="en-GB"/>
              </w:rPr>
              <w:t>Belgium</w:t>
            </w:r>
          </w:p>
        </w:tc>
        <w:tc>
          <w:tcPr>
            <w:tcW w:w="1802" w:type="dxa"/>
          </w:tcPr>
          <w:p w14:paraId="2F6028FB"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710E759"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7E8803B7"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43038123"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505CC488"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1108F3DE" w14:textId="77777777" w:rsidR="00060AA9" w:rsidRPr="00554D8F" w:rsidRDefault="00060AA9" w:rsidP="0043479F">
            <w:pPr>
              <w:rPr>
                <w:b w:val="0"/>
                <w:lang w:val="en-GB"/>
              </w:rPr>
            </w:pPr>
            <w:r>
              <w:rPr>
                <w:b w:val="0"/>
                <w:lang w:val="en-GB"/>
              </w:rPr>
              <w:t>Denmark</w:t>
            </w:r>
          </w:p>
        </w:tc>
        <w:tc>
          <w:tcPr>
            <w:tcW w:w="1802" w:type="dxa"/>
          </w:tcPr>
          <w:p w14:paraId="1F804904"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177DEF3B"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54F5691"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FB8D1FD"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15A273C6"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1EC6548" w14:textId="77777777" w:rsidR="00060AA9" w:rsidRPr="00554D8F" w:rsidRDefault="00060AA9" w:rsidP="0043479F">
            <w:pPr>
              <w:rPr>
                <w:b w:val="0"/>
                <w:lang w:val="en-GB"/>
              </w:rPr>
            </w:pPr>
            <w:r>
              <w:rPr>
                <w:b w:val="0"/>
                <w:lang w:val="en-GB"/>
              </w:rPr>
              <w:t>Finland</w:t>
            </w:r>
          </w:p>
        </w:tc>
        <w:tc>
          <w:tcPr>
            <w:tcW w:w="1802" w:type="dxa"/>
          </w:tcPr>
          <w:p w14:paraId="34F646C3"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70564E1"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4FBF4DD"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0ED960E"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12B9ED6A"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144040DC" w14:textId="77777777" w:rsidR="00060AA9" w:rsidRPr="00554D8F" w:rsidRDefault="00060AA9" w:rsidP="0043479F">
            <w:pPr>
              <w:rPr>
                <w:b w:val="0"/>
                <w:lang w:val="en-GB"/>
              </w:rPr>
            </w:pPr>
            <w:r>
              <w:rPr>
                <w:b w:val="0"/>
                <w:lang w:val="en-GB"/>
              </w:rPr>
              <w:t>France</w:t>
            </w:r>
          </w:p>
        </w:tc>
        <w:tc>
          <w:tcPr>
            <w:tcW w:w="1802" w:type="dxa"/>
          </w:tcPr>
          <w:p w14:paraId="0004E7CE"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73D7FEF"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D61D335"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CF088B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452916A1"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1D5A493" w14:textId="77777777" w:rsidR="00060AA9" w:rsidRPr="00554D8F" w:rsidRDefault="00060AA9" w:rsidP="0043479F">
            <w:pPr>
              <w:rPr>
                <w:b w:val="0"/>
                <w:lang w:val="en-GB"/>
              </w:rPr>
            </w:pPr>
            <w:r>
              <w:rPr>
                <w:b w:val="0"/>
                <w:lang w:val="en-GB"/>
              </w:rPr>
              <w:t>Germany</w:t>
            </w:r>
          </w:p>
        </w:tc>
        <w:tc>
          <w:tcPr>
            <w:tcW w:w="1802" w:type="dxa"/>
          </w:tcPr>
          <w:p w14:paraId="7C173D31"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22937DEF"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0F53116B"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00CFF650"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31395BDC"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545607D6" w14:textId="77777777" w:rsidR="00060AA9" w:rsidRPr="00554D8F" w:rsidRDefault="00060AA9" w:rsidP="0043479F">
            <w:pPr>
              <w:rPr>
                <w:b w:val="0"/>
                <w:lang w:val="en-GB"/>
              </w:rPr>
            </w:pPr>
            <w:r>
              <w:rPr>
                <w:b w:val="0"/>
                <w:lang w:val="en-GB"/>
              </w:rPr>
              <w:t>Greece</w:t>
            </w:r>
          </w:p>
        </w:tc>
        <w:tc>
          <w:tcPr>
            <w:tcW w:w="1802" w:type="dxa"/>
          </w:tcPr>
          <w:p w14:paraId="037790E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1CFDF669"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55E2D87C"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7A97EBAE"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0917DA13"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085E543" w14:textId="77777777" w:rsidR="00060AA9" w:rsidRPr="00554D8F" w:rsidRDefault="00060AA9" w:rsidP="0043479F">
            <w:pPr>
              <w:rPr>
                <w:b w:val="0"/>
                <w:lang w:val="en-GB"/>
              </w:rPr>
            </w:pPr>
            <w:r>
              <w:rPr>
                <w:b w:val="0"/>
                <w:lang w:val="en-GB"/>
              </w:rPr>
              <w:t>Iceland</w:t>
            </w:r>
          </w:p>
        </w:tc>
        <w:tc>
          <w:tcPr>
            <w:tcW w:w="1802" w:type="dxa"/>
          </w:tcPr>
          <w:p w14:paraId="2BB8E2C1"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EDFCE6B"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AFECF14"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802" w:type="dxa"/>
          </w:tcPr>
          <w:p w14:paraId="3C5AF939"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63364812"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7315C0A0" w14:textId="77777777" w:rsidR="00060AA9" w:rsidRPr="00554D8F" w:rsidRDefault="00060AA9" w:rsidP="0043479F">
            <w:pPr>
              <w:rPr>
                <w:b w:val="0"/>
                <w:lang w:val="en-GB"/>
              </w:rPr>
            </w:pPr>
            <w:r>
              <w:rPr>
                <w:b w:val="0"/>
                <w:lang w:val="en-GB"/>
              </w:rPr>
              <w:t>Ireland</w:t>
            </w:r>
          </w:p>
        </w:tc>
        <w:tc>
          <w:tcPr>
            <w:tcW w:w="1802" w:type="dxa"/>
          </w:tcPr>
          <w:p w14:paraId="248B9D0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1B140CC2"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B3A219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3026FFF6"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21E7F5B2"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3477D439" w14:textId="77777777" w:rsidR="00060AA9" w:rsidRPr="00554D8F" w:rsidRDefault="00060AA9" w:rsidP="0043479F">
            <w:pPr>
              <w:rPr>
                <w:b w:val="0"/>
                <w:lang w:val="en-GB"/>
              </w:rPr>
            </w:pPr>
            <w:r>
              <w:rPr>
                <w:b w:val="0"/>
                <w:lang w:val="en-GB"/>
              </w:rPr>
              <w:t>Israel</w:t>
            </w:r>
          </w:p>
        </w:tc>
        <w:tc>
          <w:tcPr>
            <w:tcW w:w="1802" w:type="dxa"/>
          </w:tcPr>
          <w:p w14:paraId="741567F2"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74419590" w14:textId="77777777" w:rsidR="00060AA9" w:rsidRPr="00EE4350" w:rsidRDefault="00060AA9" w:rsidP="0043479F">
            <w:pPr>
              <w:jc w:val="center"/>
              <w:cnfStyle w:val="000000100000" w:firstRow="0" w:lastRow="0" w:firstColumn="0" w:lastColumn="0" w:oddVBand="0" w:evenVBand="0" w:oddHBand="1" w:evenHBand="0" w:firstRowFirstColumn="0" w:firstRowLastColumn="0" w:lastRowFirstColumn="0" w:lastRowLastColumn="0"/>
              <w:rPr>
                <w:i/>
                <w:lang w:val="en-GB"/>
              </w:rPr>
            </w:pPr>
            <w:r>
              <w:rPr>
                <w:i/>
                <w:lang w:val="en-GB"/>
              </w:rPr>
              <w:t>X</w:t>
            </w:r>
            <w:r w:rsidRPr="00F06872">
              <w:rPr>
                <w:rStyle w:val="FootnoteReference"/>
                <w:i/>
                <w:lang w:val="en-GB"/>
              </w:rPr>
              <w:footnoteReference w:customMarkFollows="1" w:id="185"/>
              <w:sym w:font="Symbol" w:char="F02A"/>
            </w:r>
          </w:p>
        </w:tc>
        <w:tc>
          <w:tcPr>
            <w:tcW w:w="1802" w:type="dxa"/>
          </w:tcPr>
          <w:p w14:paraId="1313AFD3"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802" w:type="dxa"/>
          </w:tcPr>
          <w:p w14:paraId="754CE487" w14:textId="77777777" w:rsidR="00060AA9" w:rsidRPr="00F06872"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i/>
                <w:lang w:val="en-GB"/>
              </w:rPr>
              <w:t>X</w:t>
            </w:r>
            <w:r w:rsidRPr="00EE4350">
              <w:rPr>
                <w:rStyle w:val="FootnoteReference"/>
                <w:i/>
                <w:lang w:val="en-GB"/>
              </w:rPr>
              <w:footnoteReference w:customMarkFollows="1" w:id="186"/>
              <w:sym w:font="Symbol" w:char="F02A"/>
            </w:r>
            <w:r w:rsidRPr="00EE4350">
              <w:rPr>
                <w:rStyle w:val="FootnoteReference"/>
                <w:i/>
                <w:lang w:val="en-GB"/>
              </w:rPr>
              <w:sym w:font="Symbol" w:char="F02A"/>
            </w:r>
          </w:p>
        </w:tc>
      </w:tr>
      <w:tr w:rsidR="00060AA9" w:rsidRPr="00554D8F" w14:paraId="3409B06F"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5AC981CF" w14:textId="77777777" w:rsidR="00060AA9" w:rsidRPr="00554D8F" w:rsidRDefault="00060AA9" w:rsidP="0043479F">
            <w:pPr>
              <w:rPr>
                <w:b w:val="0"/>
                <w:lang w:val="en-GB"/>
              </w:rPr>
            </w:pPr>
            <w:r>
              <w:rPr>
                <w:b w:val="0"/>
                <w:lang w:val="en-GB"/>
              </w:rPr>
              <w:t>Italy</w:t>
            </w:r>
          </w:p>
        </w:tc>
        <w:tc>
          <w:tcPr>
            <w:tcW w:w="1802" w:type="dxa"/>
          </w:tcPr>
          <w:p w14:paraId="7F85BB5C"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4871BE7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4EA4D9C9"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2543C5D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22C5FDE3"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2C2584E" w14:textId="77777777" w:rsidR="00060AA9" w:rsidRPr="00554D8F" w:rsidRDefault="00060AA9" w:rsidP="0043479F">
            <w:pPr>
              <w:rPr>
                <w:b w:val="0"/>
                <w:lang w:val="en-GB"/>
              </w:rPr>
            </w:pPr>
            <w:r>
              <w:rPr>
                <w:b w:val="0"/>
                <w:lang w:val="en-GB"/>
              </w:rPr>
              <w:t>Liechtenstein</w:t>
            </w:r>
          </w:p>
        </w:tc>
        <w:tc>
          <w:tcPr>
            <w:tcW w:w="1802" w:type="dxa"/>
          </w:tcPr>
          <w:p w14:paraId="24C29B34"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8C8DEE6"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2D1C028F"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802" w:type="dxa"/>
          </w:tcPr>
          <w:p w14:paraId="269AFC18"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508D52E5"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20A9A6CA" w14:textId="77777777" w:rsidR="00060AA9" w:rsidRPr="00554D8F" w:rsidRDefault="00060AA9" w:rsidP="0043479F">
            <w:pPr>
              <w:rPr>
                <w:b w:val="0"/>
                <w:lang w:val="en-GB"/>
              </w:rPr>
            </w:pPr>
            <w:r>
              <w:rPr>
                <w:b w:val="0"/>
                <w:lang w:val="en-GB"/>
              </w:rPr>
              <w:t>Luxembourg</w:t>
            </w:r>
          </w:p>
        </w:tc>
        <w:tc>
          <w:tcPr>
            <w:tcW w:w="1802" w:type="dxa"/>
          </w:tcPr>
          <w:p w14:paraId="2770452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19191A92"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731D181F"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3E33493C"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690AF015"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8B1FBB3" w14:textId="77777777" w:rsidR="00060AA9" w:rsidRPr="00554D8F" w:rsidRDefault="00060AA9" w:rsidP="0043479F">
            <w:pPr>
              <w:rPr>
                <w:b w:val="0"/>
                <w:lang w:val="en-GB"/>
              </w:rPr>
            </w:pPr>
            <w:r>
              <w:rPr>
                <w:b w:val="0"/>
                <w:lang w:val="en-GB"/>
              </w:rPr>
              <w:t>Malta</w:t>
            </w:r>
          </w:p>
        </w:tc>
        <w:tc>
          <w:tcPr>
            <w:tcW w:w="1802" w:type="dxa"/>
          </w:tcPr>
          <w:p w14:paraId="3F11DA12"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2AE7A86D"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43526CE"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61E7212"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3FACBA9D"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63A943C6" w14:textId="77777777" w:rsidR="00060AA9" w:rsidRPr="00554D8F" w:rsidRDefault="00060AA9" w:rsidP="0043479F">
            <w:pPr>
              <w:rPr>
                <w:b w:val="0"/>
                <w:lang w:val="en-GB"/>
              </w:rPr>
            </w:pPr>
            <w:r>
              <w:rPr>
                <w:b w:val="0"/>
                <w:lang w:val="en-GB"/>
              </w:rPr>
              <w:t>Monaco</w:t>
            </w:r>
          </w:p>
        </w:tc>
        <w:tc>
          <w:tcPr>
            <w:tcW w:w="1802" w:type="dxa"/>
          </w:tcPr>
          <w:p w14:paraId="6F99DD37"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7CC88275"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3341CFE5"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1802" w:type="dxa"/>
          </w:tcPr>
          <w:p w14:paraId="7ED154BC"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5E561F7C"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07FFEDC" w14:textId="77777777" w:rsidR="00060AA9" w:rsidRPr="00554D8F" w:rsidRDefault="00060AA9" w:rsidP="0043479F">
            <w:pPr>
              <w:rPr>
                <w:b w:val="0"/>
                <w:lang w:val="en-GB"/>
              </w:rPr>
            </w:pPr>
            <w:r>
              <w:rPr>
                <w:b w:val="0"/>
                <w:lang w:val="en-GB"/>
              </w:rPr>
              <w:t>Netherlands</w:t>
            </w:r>
          </w:p>
        </w:tc>
        <w:tc>
          <w:tcPr>
            <w:tcW w:w="1802" w:type="dxa"/>
          </w:tcPr>
          <w:p w14:paraId="2961385B"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1BBCD42"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CBE1A6A"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408529C"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172120A5"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2902B8B5" w14:textId="77777777" w:rsidR="00060AA9" w:rsidRPr="00554D8F" w:rsidRDefault="00060AA9" w:rsidP="0043479F">
            <w:pPr>
              <w:rPr>
                <w:b w:val="0"/>
                <w:lang w:val="en-GB"/>
              </w:rPr>
            </w:pPr>
            <w:r>
              <w:rPr>
                <w:b w:val="0"/>
                <w:lang w:val="en-GB"/>
              </w:rPr>
              <w:t>Norway</w:t>
            </w:r>
          </w:p>
        </w:tc>
        <w:tc>
          <w:tcPr>
            <w:tcW w:w="1802" w:type="dxa"/>
          </w:tcPr>
          <w:p w14:paraId="6874B75E"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0AB7327"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2C6D8F7D"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1802" w:type="dxa"/>
          </w:tcPr>
          <w:p w14:paraId="02266C9B"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1307CF1B"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CEE2578" w14:textId="77777777" w:rsidR="00060AA9" w:rsidRPr="00554D8F" w:rsidRDefault="00060AA9" w:rsidP="0043479F">
            <w:pPr>
              <w:rPr>
                <w:b w:val="0"/>
                <w:lang w:val="en-GB"/>
              </w:rPr>
            </w:pPr>
            <w:r>
              <w:rPr>
                <w:b w:val="0"/>
                <w:lang w:val="en-GB"/>
              </w:rPr>
              <w:t>Portugal</w:t>
            </w:r>
          </w:p>
        </w:tc>
        <w:tc>
          <w:tcPr>
            <w:tcW w:w="1802" w:type="dxa"/>
          </w:tcPr>
          <w:p w14:paraId="07206109"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0037543D"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5A763F3"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61B25F88"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0A1FAF28"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2DA10B76" w14:textId="77777777" w:rsidR="00060AA9" w:rsidRPr="00554D8F" w:rsidRDefault="00060AA9" w:rsidP="0043479F">
            <w:pPr>
              <w:rPr>
                <w:b w:val="0"/>
                <w:lang w:val="en-GB"/>
              </w:rPr>
            </w:pPr>
            <w:r>
              <w:rPr>
                <w:b w:val="0"/>
                <w:lang w:val="en-GB"/>
              </w:rPr>
              <w:t>San Marino</w:t>
            </w:r>
          </w:p>
        </w:tc>
        <w:tc>
          <w:tcPr>
            <w:tcW w:w="1802" w:type="dxa"/>
          </w:tcPr>
          <w:p w14:paraId="164180BE"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9F4A87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9EF4327"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1802" w:type="dxa"/>
          </w:tcPr>
          <w:p w14:paraId="1AF0274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6A2B2D51"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C8F3545" w14:textId="77777777" w:rsidR="00060AA9" w:rsidRPr="00554D8F" w:rsidRDefault="00060AA9" w:rsidP="0043479F">
            <w:pPr>
              <w:rPr>
                <w:b w:val="0"/>
                <w:lang w:val="en-GB"/>
              </w:rPr>
            </w:pPr>
            <w:r>
              <w:rPr>
                <w:b w:val="0"/>
                <w:lang w:val="en-GB"/>
              </w:rPr>
              <w:t>Spain</w:t>
            </w:r>
          </w:p>
        </w:tc>
        <w:tc>
          <w:tcPr>
            <w:tcW w:w="1802" w:type="dxa"/>
          </w:tcPr>
          <w:p w14:paraId="1CFB8A8F"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78FF5867"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76EF5A0E"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75EC7FE"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58D897E2"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157678A9" w14:textId="77777777" w:rsidR="00060AA9" w:rsidRPr="00554D8F" w:rsidRDefault="00060AA9" w:rsidP="0043479F">
            <w:pPr>
              <w:rPr>
                <w:b w:val="0"/>
                <w:lang w:val="en-GB"/>
              </w:rPr>
            </w:pPr>
            <w:r>
              <w:rPr>
                <w:b w:val="0"/>
                <w:lang w:val="en-GB"/>
              </w:rPr>
              <w:t>Sweden</w:t>
            </w:r>
          </w:p>
        </w:tc>
        <w:tc>
          <w:tcPr>
            <w:tcW w:w="1802" w:type="dxa"/>
          </w:tcPr>
          <w:p w14:paraId="7CFFA50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766A5813"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8C1D7FF"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6F883EA8"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6CFFD68A"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847A5D4" w14:textId="77777777" w:rsidR="00060AA9" w:rsidRPr="00554D8F" w:rsidRDefault="00060AA9" w:rsidP="0043479F">
            <w:pPr>
              <w:rPr>
                <w:b w:val="0"/>
                <w:lang w:val="en-GB"/>
              </w:rPr>
            </w:pPr>
            <w:r>
              <w:rPr>
                <w:b w:val="0"/>
                <w:lang w:val="en-GB"/>
              </w:rPr>
              <w:t>Switzerland</w:t>
            </w:r>
          </w:p>
        </w:tc>
        <w:tc>
          <w:tcPr>
            <w:tcW w:w="1802" w:type="dxa"/>
          </w:tcPr>
          <w:p w14:paraId="3FB158A2"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1A2158C"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2215568"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802" w:type="dxa"/>
          </w:tcPr>
          <w:p w14:paraId="23D63D71"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r w:rsidR="00060AA9" w:rsidRPr="00554D8F" w14:paraId="2AD9C681" w14:textId="77777777" w:rsidTr="0043479F">
        <w:tc>
          <w:tcPr>
            <w:cnfStyle w:val="001000000000" w:firstRow="0" w:lastRow="0" w:firstColumn="1" w:lastColumn="0" w:oddVBand="0" w:evenVBand="0" w:oddHBand="0" w:evenHBand="0" w:firstRowFirstColumn="0" w:firstRowLastColumn="0" w:lastRowFirstColumn="0" w:lastRowLastColumn="0"/>
            <w:tcW w:w="1802" w:type="dxa"/>
          </w:tcPr>
          <w:p w14:paraId="2DD658B5" w14:textId="77777777" w:rsidR="00060AA9" w:rsidRPr="00554D8F" w:rsidRDefault="00060AA9" w:rsidP="0043479F">
            <w:pPr>
              <w:rPr>
                <w:b w:val="0"/>
                <w:lang w:val="en-GB"/>
              </w:rPr>
            </w:pPr>
            <w:r>
              <w:rPr>
                <w:b w:val="0"/>
                <w:lang w:val="en-GB"/>
              </w:rPr>
              <w:t>Turkey</w:t>
            </w:r>
          </w:p>
        </w:tc>
        <w:tc>
          <w:tcPr>
            <w:tcW w:w="1802" w:type="dxa"/>
          </w:tcPr>
          <w:p w14:paraId="1315D2E0"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47479AEA"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c>
          <w:tcPr>
            <w:tcW w:w="1802" w:type="dxa"/>
          </w:tcPr>
          <w:p w14:paraId="210EDE0C"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1802" w:type="dxa"/>
          </w:tcPr>
          <w:p w14:paraId="5269406F" w14:textId="77777777" w:rsidR="00060AA9" w:rsidRPr="004D1A1B" w:rsidRDefault="00060AA9" w:rsidP="0043479F">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w:t>
            </w:r>
          </w:p>
        </w:tc>
      </w:tr>
      <w:tr w:rsidR="00060AA9" w:rsidRPr="00554D8F" w14:paraId="5A466DDD" w14:textId="77777777" w:rsidTr="0043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FA11714" w14:textId="77777777" w:rsidR="00060AA9" w:rsidRPr="00554D8F" w:rsidRDefault="00060AA9" w:rsidP="0043479F">
            <w:pPr>
              <w:rPr>
                <w:b w:val="0"/>
                <w:lang w:val="en-GB"/>
              </w:rPr>
            </w:pPr>
            <w:r>
              <w:rPr>
                <w:b w:val="0"/>
                <w:lang w:val="en-GB"/>
              </w:rPr>
              <w:t>UK</w:t>
            </w:r>
          </w:p>
        </w:tc>
        <w:tc>
          <w:tcPr>
            <w:tcW w:w="1802" w:type="dxa"/>
          </w:tcPr>
          <w:p w14:paraId="61FF60C3"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1D2FF47B"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53C2CBC7"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c>
          <w:tcPr>
            <w:tcW w:w="1802" w:type="dxa"/>
          </w:tcPr>
          <w:p w14:paraId="73107ADD" w14:textId="77777777" w:rsidR="00060AA9" w:rsidRPr="004D1A1B" w:rsidRDefault="00060AA9" w:rsidP="0043479F">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X</w:t>
            </w:r>
          </w:p>
        </w:tc>
      </w:tr>
    </w:tbl>
    <w:p w14:paraId="5AF1A19B" w14:textId="77777777" w:rsidR="00060AA9" w:rsidRPr="00554D8F" w:rsidRDefault="00060AA9" w:rsidP="00060AA9">
      <w:pPr>
        <w:jc w:val="both"/>
        <w:rPr>
          <w:b/>
          <w:lang w:val="en-GB"/>
        </w:rPr>
      </w:pPr>
    </w:p>
    <w:p w14:paraId="55562F55" w14:textId="77777777" w:rsidR="00646397" w:rsidRPr="00F437F8" w:rsidRDefault="00646397" w:rsidP="00041E4E">
      <w:pPr>
        <w:ind w:firstLine="284"/>
        <w:rPr>
          <w:lang w:val="fr-FR"/>
        </w:rPr>
      </w:pPr>
    </w:p>
    <w:sectPr w:rsidR="00646397" w:rsidRPr="00F437F8" w:rsidSect="003518B3">
      <w:footerReference w:type="even" r:id="rId8"/>
      <w:footerReference w:type="default" r:id="rId9"/>
      <w:headerReference w:type="first" r:id="rId10"/>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D5967" w14:textId="77777777" w:rsidR="0043479F" w:rsidRDefault="0043479F" w:rsidP="00DF35E9">
      <w:r>
        <w:separator/>
      </w:r>
    </w:p>
    <w:p w14:paraId="31AB8336" w14:textId="77777777" w:rsidR="0043479F" w:rsidRDefault="0043479F"/>
  </w:endnote>
  <w:endnote w:type="continuationSeparator" w:id="0">
    <w:p w14:paraId="655D362A" w14:textId="77777777" w:rsidR="0043479F" w:rsidRDefault="0043479F" w:rsidP="00DF35E9">
      <w:r>
        <w:continuationSeparator/>
      </w:r>
    </w:p>
    <w:p w14:paraId="43F3C9B1" w14:textId="77777777" w:rsidR="0043479F" w:rsidRDefault="00434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80"/>
    <w:family w:val="swiss"/>
    <w:notTrueType/>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96E2" w14:textId="77777777" w:rsidR="0043479F" w:rsidRDefault="0043479F" w:rsidP="008562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6322502" w14:textId="77777777" w:rsidR="0043479F" w:rsidRDefault="0043479F" w:rsidP="00671DA7">
    <w:pPr>
      <w:pStyle w:val="Footer"/>
      <w:ind w:right="360"/>
    </w:pPr>
  </w:p>
  <w:p w14:paraId="3CC28D73" w14:textId="77777777" w:rsidR="0043479F" w:rsidRDefault="004347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C37B" w14:textId="77777777" w:rsidR="0043479F" w:rsidRDefault="0043479F" w:rsidP="008562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E2D">
      <w:rPr>
        <w:rStyle w:val="PageNumber"/>
        <w:noProof/>
      </w:rPr>
      <w:t>21</w:t>
    </w:r>
    <w:r>
      <w:rPr>
        <w:rStyle w:val="PageNumber"/>
      </w:rPr>
      <w:fldChar w:fldCharType="end"/>
    </w:r>
  </w:p>
  <w:p w14:paraId="07A82E10" w14:textId="77777777" w:rsidR="0043479F" w:rsidRDefault="0043479F" w:rsidP="00671DA7">
    <w:pPr>
      <w:pStyle w:val="Footer"/>
      <w:ind w:right="360"/>
    </w:pPr>
  </w:p>
  <w:p w14:paraId="59FBD056" w14:textId="77777777" w:rsidR="0043479F" w:rsidRDefault="00434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DC8B" w14:textId="77777777" w:rsidR="0043479F" w:rsidRDefault="0043479F">
      <w:r>
        <w:separator/>
      </w:r>
    </w:p>
  </w:footnote>
  <w:footnote w:type="continuationSeparator" w:id="0">
    <w:p w14:paraId="6C7F4AA9" w14:textId="77777777" w:rsidR="0043479F" w:rsidRDefault="0043479F">
      <w:r>
        <w:continuationSeparator/>
      </w:r>
    </w:p>
  </w:footnote>
  <w:footnote w:id="1">
    <w:p w14:paraId="1B7B63A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t>*</w:t>
      </w:r>
      <w:r w:rsidRPr="00E05E56">
        <w:rPr>
          <w:rFonts w:ascii="Times New Roman" w:hAnsi="Times New Roman" w:cs="Times New Roman"/>
          <w:szCs w:val="20"/>
        </w:rPr>
        <w:t xml:space="preserve"> Professor at University Paris II </w:t>
      </w:r>
      <w:proofErr w:type="spellStart"/>
      <w:r w:rsidRPr="00E05E56">
        <w:rPr>
          <w:rFonts w:ascii="Times New Roman" w:hAnsi="Times New Roman" w:cs="Times New Roman"/>
          <w:szCs w:val="20"/>
        </w:rPr>
        <w:t>Panthéon-Assas</w:t>
      </w:r>
      <w:proofErr w:type="spellEnd"/>
      <w:r w:rsidRPr="00E05E56">
        <w:rPr>
          <w:rFonts w:ascii="Times New Roman" w:hAnsi="Times New Roman" w:cs="Times New Roman"/>
          <w:szCs w:val="20"/>
        </w:rPr>
        <w:t>. Director of the Paris Human Rights Center. Member of the United Nations Human Rights Committee.</w:t>
      </w:r>
    </w:p>
  </w:footnote>
  <w:footnote w:id="2">
    <w:p w14:paraId="67ABD549"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t>**</w:t>
      </w:r>
      <w:r w:rsidRPr="00E05E56">
        <w:rPr>
          <w:rFonts w:ascii="Times New Roman" w:hAnsi="Times New Roman" w:cs="Times New Roman"/>
          <w:szCs w:val="20"/>
        </w:rPr>
        <w:t xml:space="preserve"> Law</w:t>
      </w:r>
      <w:r w:rsidRPr="00E05E56" w:rsidDel="00393A89">
        <w:rPr>
          <w:rFonts w:ascii="Times New Roman" w:hAnsi="Times New Roman" w:cs="Times New Roman"/>
          <w:szCs w:val="20"/>
        </w:rPr>
        <w:t xml:space="preserve"> </w:t>
      </w:r>
      <w:r w:rsidRPr="00E05E56">
        <w:rPr>
          <w:rFonts w:ascii="Times New Roman" w:hAnsi="Times New Roman" w:cs="Times New Roman"/>
          <w:szCs w:val="20"/>
        </w:rPr>
        <w:t>PhD, Senior Researcher, Paris Human Rights Center.</w:t>
      </w:r>
    </w:p>
  </w:footnote>
  <w:footnote w:id="3">
    <w:p w14:paraId="462251D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Human Rights Committee General Comment No 25, para. 5. The Committee further considers that the means by which individual citizens exercise this right “should be established by the constitution and other laws”. </w:t>
      </w:r>
      <w:r w:rsidRPr="00E05E56">
        <w:rPr>
          <w:rFonts w:ascii="Times New Roman" w:hAnsi="Times New Roman" w:cs="Times New Roman"/>
          <w:i/>
          <w:szCs w:val="20"/>
        </w:rPr>
        <w:t>Ibid</w:t>
      </w:r>
      <w:r w:rsidRPr="00E05E56">
        <w:rPr>
          <w:rFonts w:ascii="Times New Roman" w:hAnsi="Times New Roman" w:cs="Times New Roman"/>
          <w:szCs w:val="20"/>
        </w:rPr>
        <w:t xml:space="preserve">. </w:t>
      </w:r>
    </w:p>
  </w:footnote>
  <w:footnote w:id="4">
    <w:p w14:paraId="2DABB79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hAnsi="Times New Roman" w:cs="Times New Roman"/>
          <w:i/>
          <w:szCs w:val="20"/>
        </w:rPr>
        <w:t>Id</w:t>
      </w:r>
      <w:r w:rsidRPr="00E05E56">
        <w:rPr>
          <w:rFonts w:ascii="Times New Roman" w:hAnsi="Times New Roman" w:cs="Times New Roman"/>
          <w:szCs w:val="20"/>
        </w:rPr>
        <w:t>., paras. 6-9.</w:t>
      </w:r>
    </w:p>
  </w:footnote>
  <w:footnote w:id="5">
    <w:p w14:paraId="2FB01FE9"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OHCHR, Factors that impede equal political participation and steps to overcome those challenges, A/HRC/27/29, paras. 17-21.</w:t>
      </w:r>
    </w:p>
  </w:footnote>
  <w:footnote w:id="6">
    <w:p w14:paraId="14AFFF1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the studies on the right to equal participation in the Americas, Africa, Asia, Central Asia and Eastern Europe on the OHCHR website: </w:t>
      </w:r>
      <w:hyperlink r:id="rId1" w:history="1">
        <w:r w:rsidRPr="00E05E56">
          <w:rPr>
            <w:rStyle w:val="Hyperlink"/>
            <w:rFonts w:ascii="Times New Roman" w:hAnsi="Times New Roman" w:cs="Times New Roman"/>
            <w:szCs w:val="20"/>
          </w:rPr>
          <w:t>http://www.ohchr.org/EN/Issues/Pages/DraftGuidelinesRighttoParticipationPublicAffairs.aspx</w:t>
        </w:r>
      </w:hyperlink>
      <w:r w:rsidRPr="00E05E56">
        <w:rPr>
          <w:rFonts w:ascii="Times New Roman" w:hAnsi="Times New Roman" w:cs="Times New Roman"/>
          <w:szCs w:val="20"/>
        </w:rPr>
        <w:t>.</w:t>
      </w:r>
    </w:p>
  </w:footnote>
  <w:footnote w:id="7">
    <w:p w14:paraId="3ED9D39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table of relevant applicable standards, Annex 5.</w:t>
      </w:r>
    </w:p>
  </w:footnote>
  <w:footnote w:id="8">
    <w:p w14:paraId="4598526E" w14:textId="77777777" w:rsidR="0043479F" w:rsidRPr="00E05E56" w:rsidRDefault="0043479F" w:rsidP="00E05E56">
      <w:pPr>
        <w:pStyle w:val="FootnoteText"/>
        <w:rPr>
          <w:rFonts w:ascii="Times New Roman" w:eastAsia="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w:t>
      </w:r>
      <w:r w:rsidRPr="00E05E56">
        <w:rPr>
          <w:rFonts w:ascii="Times New Roman" w:eastAsia="Times New Roman" w:hAnsi="Times New Roman" w:cs="Times New Roman"/>
          <w:i/>
          <w:szCs w:val="20"/>
        </w:rPr>
        <w:t>Mathieu-</w:t>
      </w:r>
      <w:proofErr w:type="spellStart"/>
      <w:r w:rsidRPr="00E05E56">
        <w:rPr>
          <w:rFonts w:ascii="Times New Roman" w:eastAsia="Times New Roman" w:hAnsi="Times New Roman" w:cs="Times New Roman"/>
          <w:i/>
          <w:szCs w:val="20"/>
        </w:rPr>
        <w:t>Mohin</w:t>
      </w:r>
      <w:proofErr w:type="spellEnd"/>
      <w:r w:rsidRPr="00E05E56">
        <w:rPr>
          <w:rFonts w:ascii="Times New Roman" w:eastAsia="Times New Roman" w:hAnsi="Times New Roman" w:cs="Times New Roman"/>
          <w:i/>
          <w:szCs w:val="20"/>
        </w:rPr>
        <w:t xml:space="preserve"> and </w:t>
      </w:r>
      <w:proofErr w:type="spellStart"/>
      <w:r w:rsidRPr="00E05E56">
        <w:rPr>
          <w:rFonts w:ascii="Times New Roman" w:eastAsia="Times New Roman" w:hAnsi="Times New Roman" w:cs="Times New Roman"/>
          <w:i/>
          <w:szCs w:val="20"/>
        </w:rPr>
        <w:t>Clerfayt</w:t>
      </w:r>
      <w:proofErr w:type="spellEnd"/>
      <w:r w:rsidRPr="00E05E56">
        <w:rPr>
          <w:rFonts w:ascii="Times New Roman" w:eastAsia="Times New Roman" w:hAnsi="Times New Roman" w:cs="Times New Roman"/>
          <w:i/>
          <w:szCs w:val="20"/>
        </w:rPr>
        <w:t xml:space="preserve"> v. Belgium</w:t>
      </w:r>
      <w:r w:rsidRPr="00E05E56">
        <w:rPr>
          <w:rFonts w:ascii="Times New Roman" w:eastAsia="Times New Roman" w:hAnsi="Times New Roman" w:cs="Times New Roman"/>
          <w:szCs w:val="20"/>
        </w:rPr>
        <w:t xml:space="preserve">, application No. 9267/81, </w:t>
      </w:r>
      <w:proofErr w:type="spellStart"/>
      <w:r w:rsidRPr="00E05E56">
        <w:rPr>
          <w:rFonts w:ascii="Times New Roman" w:eastAsia="Times New Roman" w:hAnsi="Times New Roman" w:cs="Times New Roman"/>
          <w:szCs w:val="20"/>
        </w:rPr>
        <w:t>judgement</w:t>
      </w:r>
      <w:proofErr w:type="spellEnd"/>
      <w:r w:rsidRPr="00E05E56">
        <w:rPr>
          <w:rFonts w:ascii="Times New Roman" w:eastAsia="Times New Roman" w:hAnsi="Times New Roman" w:cs="Times New Roman"/>
          <w:szCs w:val="20"/>
        </w:rPr>
        <w:t xml:space="preserve"> of 2 March 1987, para. 47.</w:t>
      </w:r>
    </w:p>
  </w:footnote>
  <w:footnote w:id="9">
    <w:p w14:paraId="7F9F0D5D" w14:textId="77777777" w:rsidR="0043479F" w:rsidRPr="00E05E56" w:rsidRDefault="0043479F" w:rsidP="00E05E56">
      <w:pPr>
        <w:pStyle w:val="FootnoteText"/>
        <w:rPr>
          <w:rFonts w:ascii="Times New Roman" w:eastAsia="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As recalled recently by the Court in a case regarding the referendum on Scottish independence.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w:t>
      </w:r>
      <w:proofErr w:type="spellStart"/>
      <w:r w:rsidRPr="00E05E56">
        <w:rPr>
          <w:rFonts w:ascii="Times New Roman" w:eastAsia="Times New Roman" w:hAnsi="Times New Roman" w:cs="Times New Roman"/>
          <w:i/>
          <w:szCs w:val="20"/>
          <w:lang w:val="en-GB"/>
        </w:rPr>
        <w:t>Moohan</w:t>
      </w:r>
      <w:proofErr w:type="spellEnd"/>
      <w:r w:rsidRPr="00E05E56">
        <w:rPr>
          <w:rFonts w:ascii="Times New Roman" w:eastAsia="Times New Roman" w:hAnsi="Times New Roman" w:cs="Times New Roman"/>
          <w:i/>
          <w:szCs w:val="20"/>
          <w:lang w:val="en-GB"/>
        </w:rPr>
        <w:t xml:space="preserve"> and </w:t>
      </w:r>
      <w:proofErr w:type="spellStart"/>
      <w:r w:rsidRPr="00E05E56">
        <w:rPr>
          <w:rFonts w:ascii="Times New Roman" w:eastAsia="Times New Roman" w:hAnsi="Times New Roman" w:cs="Times New Roman"/>
          <w:i/>
          <w:szCs w:val="20"/>
          <w:lang w:val="en-GB"/>
        </w:rPr>
        <w:t>Gillon</w:t>
      </w:r>
      <w:proofErr w:type="spellEnd"/>
      <w:r w:rsidRPr="00E05E56">
        <w:rPr>
          <w:rFonts w:ascii="Times New Roman" w:eastAsia="Times New Roman" w:hAnsi="Times New Roman" w:cs="Times New Roman"/>
          <w:i/>
          <w:szCs w:val="20"/>
          <w:lang w:val="en-GB"/>
        </w:rPr>
        <w:t xml:space="preserve"> v. the United Kingdom</w:t>
      </w:r>
      <w:r w:rsidRPr="00E05E56">
        <w:rPr>
          <w:rFonts w:ascii="Times New Roman" w:eastAsia="Times New Roman" w:hAnsi="Times New Roman" w:cs="Times New Roman"/>
          <w:szCs w:val="20"/>
          <w:lang w:val="en-GB"/>
        </w:rPr>
        <w:t xml:space="preserve"> (</w:t>
      </w:r>
      <w:proofErr w:type="spellStart"/>
      <w:r w:rsidRPr="00E05E56">
        <w:rPr>
          <w:rFonts w:ascii="Times New Roman" w:eastAsia="Times New Roman" w:hAnsi="Times New Roman" w:cs="Times New Roman"/>
          <w:szCs w:val="20"/>
          <w:lang w:val="en-GB"/>
        </w:rPr>
        <w:t>dec.</w:t>
      </w:r>
      <w:proofErr w:type="spellEnd"/>
      <w:r w:rsidRPr="00E05E56">
        <w:rPr>
          <w:rFonts w:ascii="Times New Roman" w:eastAsia="Times New Roman" w:hAnsi="Times New Roman" w:cs="Times New Roman"/>
          <w:szCs w:val="20"/>
          <w:lang w:val="en-GB"/>
        </w:rPr>
        <w:t xml:space="preserve">), Nos. 22962/15 and 23345/15, 13 June 2017. See also </w:t>
      </w:r>
      <w:r w:rsidRPr="00E05E56">
        <w:rPr>
          <w:rFonts w:ascii="Times New Roman" w:eastAsia="Times New Roman" w:hAnsi="Times New Roman" w:cs="Times New Roman"/>
          <w:i/>
          <w:iCs/>
          <w:color w:val="000000"/>
          <w:szCs w:val="20"/>
          <w:shd w:val="clear" w:color="auto" w:fill="FFFFFF"/>
          <w:lang w:val="en-GB"/>
        </w:rPr>
        <w:t>X v. the United Kingdom</w:t>
      </w:r>
      <w:r w:rsidRPr="00E05E56">
        <w:rPr>
          <w:rFonts w:ascii="Times New Roman" w:eastAsia="Times New Roman" w:hAnsi="Times New Roman" w:cs="Times New Roman"/>
          <w:color w:val="000000"/>
          <w:szCs w:val="20"/>
          <w:shd w:val="clear" w:color="auto" w:fill="FFFFFF"/>
          <w:lang w:val="en-GB"/>
        </w:rPr>
        <w:t> (</w:t>
      </w:r>
      <w:proofErr w:type="spellStart"/>
      <w:r w:rsidRPr="00E05E56">
        <w:rPr>
          <w:rFonts w:ascii="Times New Roman" w:eastAsia="Times New Roman" w:hAnsi="Times New Roman" w:cs="Times New Roman"/>
          <w:color w:val="000000"/>
          <w:szCs w:val="20"/>
          <w:shd w:val="clear" w:color="auto" w:fill="FFFFFF"/>
          <w:lang w:val="en-GB"/>
        </w:rPr>
        <w:t>dec.</w:t>
      </w:r>
      <w:proofErr w:type="spellEnd"/>
      <w:r w:rsidRPr="00E05E56">
        <w:rPr>
          <w:rFonts w:ascii="Times New Roman" w:eastAsia="Times New Roman" w:hAnsi="Times New Roman" w:cs="Times New Roman"/>
          <w:color w:val="000000"/>
          <w:szCs w:val="20"/>
          <w:shd w:val="clear" w:color="auto" w:fill="FFFFFF"/>
          <w:lang w:val="en-GB"/>
        </w:rPr>
        <w:t>), No. </w:t>
      </w:r>
      <w:hyperlink r:id="rId2" w:anchor="{&quot;appno&quot;:[&quot;7096/75&quot;]}" w:tgtFrame="_blank" w:history="1">
        <w:r w:rsidRPr="00E05E56">
          <w:rPr>
            <w:rFonts w:ascii="Times New Roman" w:hAnsi="Times New Roman" w:cs="Times New Roman"/>
            <w:color w:val="000000"/>
            <w:szCs w:val="20"/>
            <w:shd w:val="clear" w:color="auto" w:fill="FFFFFF"/>
            <w:lang w:val="en-GB"/>
          </w:rPr>
          <w:t>7096/75</w:t>
        </w:r>
      </w:hyperlink>
      <w:r w:rsidRPr="00E05E56">
        <w:rPr>
          <w:rFonts w:ascii="Times New Roman" w:eastAsia="Times New Roman" w:hAnsi="Times New Roman" w:cs="Times New Roman"/>
          <w:color w:val="000000"/>
          <w:szCs w:val="20"/>
          <w:shd w:val="clear" w:color="auto" w:fill="FFFFFF"/>
          <w:lang w:val="en-GB"/>
        </w:rPr>
        <w:t xml:space="preserve">, 3 October 1975; </w:t>
      </w:r>
      <w:r w:rsidRPr="00E05E56">
        <w:rPr>
          <w:rFonts w:ascii="Times New Roman" w:hAnsi="Times New Roman" w:cs="Times New Roman"/>
          <w:i/>
          <w:szCs w:val="20"/>
          <w:lang w:val="en-GB"/>
        </w:rPr>
        <w:t>McLean and Cole v. the United Kingdom</w:t>
      </w:r>
      <w:r w:rsidRPr="00E05E56">
        <w:rPr>
          <w:rFonts w:ascii="Times New Roman" w:eastAsia="Times New Roman" w:hAnsi="Times New Roman" w:cs="Times New Roman"/>
          <w:i/>
          <w:color w:val="000000"/>
          <w:szCs w:val="20"/>
          <w:shd w:val="clear" w:color="auto" w:fill="FFFFFF"/>
          <w:lang w:val="en-GB"/>
        </w:rPr>
        <w:t> </w:t>
      </w:r>
      <w:r w:rsidRPr="00E05E56">
        <w:rPr>
          <w:rFonts w:ascii="Times New Roman" w:eastAsia="Times New Roman" w:hAnsi="Times New Roman" w:cs="Times New Roman"/>
          <w:color w:val="000000"/>
          <w:szCs w:val="20"/>
          <w:shd w:val="clear" w:color="auto" w:fill="FFFFFF"/>
          <w:lang w:val="en-GB"/>
        </w:rPr>
        <w:t>(</w:t>
      </w:r>
      <w:proofErr w:type="spellStart"/>
      <w:r w:rsidRPr="00E05E56">
        <w:rPr>
          <w:rFonts w:ascii="Times New Roman" w:eastAsia="Times New Roman" w:hAnsi="Times New Roman" w:cs="Times New Roman"/>
          <w:color w:val="000000"/>
          <w:szCs w:val="20"/>
          <w:shd w:val="clear" w:color="auto" w:fill="FFFFFF"/>
          <w:lang w:val="en-GB"/>
        </w:rPr>
        <w:t>dec.</w:t>
      </w:r>
      <w:proofErr w:type="spellEnd"/>
      <w:r w:rsidRPr="00E05E56">
        <w:rPr>
          <w:rFonts w:ascii="Times New Roman" w:eastAsia="Times New Roman" w:hAnsi="Times New Roman" w:cs="Times New Roman"/>
          <w:color w:val="000000"/>
          <w:szCs w:val="20"/>
          <w:shd w:val="clear" w:color="auto" w:fill="FFFFFF"/>
          <w:lang w:val="en-GB"/>
        </w:rPr>
        <w:t>), Nos. </w:t>
      </w:r>
      <w:hyperlink r:id="rId3" w:anchor="{&quot;appno&quot;:[&quot;12626/13&quot;]}" w:tgtFrame="_blank" w:history="1">
        <w:r w:rsidRPr="00E05E56">
          <w:rPr>
            <w:rFonts w:ascii="Times New Roman" w:hAnsi="Times New Roman" w:cs="Times New Roman"/>
            <w:color w:val="000000"/>
            <w:szCs w:val="20"/>
            <w:shd w:val="clear" w:color="auto" w:fill="FFFFFF"/>
            <w:lang w:val="en-GB"/>
          </w:rPr>
          <w:t>12626/13</w:t>
        </w:r>
      </w:hyperlink>
      <w:r w:rsidRPr="00E05E56">
        <w:rPr>
          <w:rFonts w:ascii="Times New Roman" w:eastAsia="Times New Roman" w:hAnsi="Times New Roman" w:cs="Times New Roman"/>
          <w:color w:val="000000"/>
          <w:szCs w:val="20"/>
          <w:shd w:val="clear" w:color="auto" w:fill="FFFFFF"/>
          <w:lang w:val="en-GB"/>
        </w:rPr>
        <w:t> and </w:t>
      </w:r>
      <w:hyperlink r:id="rId4" w:anchor="{&quot;appno&quot;:[&quot;2522/12&quot;]}" w:tgtFrame="_blank" w:history="1">
        <w:r w:rsidRPr="00E05E56">
          <w:rPr>
            <w:rFonts w:ascii="Times New Roman" w:hAnsi="Times New Roman" w:cs="Times New Roman"/>
            <w:color w:val="000000"/>
            <w:szCs w:val="20"/>
            <w:shd w:val="clear" w:color="auto" w:fill="FFFFFF"/>
            <w:lang w:val="en-GB"/>
          </w:rPr>
          <w:t>2522/12</w:t>
        </w:r>
      </w:hyperlink>
      <w:r w:rsidRPr="00E05E56">
        <w:rPr>
          <w:rFonts w:ascii="Times New Roman" w:eastAsia="Times New Roman" w:hAnsi="Times New Roman" w:cs="Times New Roman"/>
          <w:color w:val="000000"/>
          <w:szCs w:val="20"/>
          <w:shd w:val="clear" w:color="auto" w:fill="FFFFFF"/>
          <w:lang w:val="en-GB"/>
        </w:rPr>
        <w:t>, 11 June 2013</w:t>
      </w:r>
      <w:r w:rsidRPr="00E05E56">
        <w:rPr>
          <w:rFonts w:ascii="Times New Roman" w:eastAsia="Times New Roman" w:hAnsi="Times New Roman" w:cs="Times New Roman"/>
          <w:szCs w:val="20"/>
          <w:lang w:val="en-GB"/>
        </w:rPr>
        <w:t xml:space="preserve">. </w:t>
      </w:r>
    </w:p>
  </w:footnote>
  <w:footnote w:id="10">
    <w:p w14:paraId="13D0ACF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lang w:val="en-GB"/>
        </w:rPr>
        <w:t xml:space="preserve">The Court makes a distinction between “active” and “passive” electoral rights, namely between the right to participate in an election as a voter and the right to stand as a candidate for election. Such “passive” electoral rights enjoy a lesser degree of protection than the “active” rights. </w:t>
      </w:r>
      <w:r w:rsidRPr="00E05E56">
        <w:rPr>
          <w:rFonts w:ascii="Times New Roman" w:hAnsi="Times New Roman" w:cs="Times New Roman"/>
          <w:szCs w:val="20"/>
          <w:lang w:val="en-GB"/>
        </w:rPr>
        <w:t xml:space="preserve">See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Guide on Article 3 of Protocol No. 1 – Right to free elections, 31 August 2017, </w:t>
      </w:r>
      <w:hyperlink r:id="rId5" w:history="1">
        <w:r w:rsidRPr="00E05E56">
          <w:rPr>
            <w:rStyle w:val="Hyperlink"/>
            <w:rFonts w:ascii="Times New Roman" w:hAnsi="Times New Roman" w:cs="Times New Roman"/>
            <w:szCs w:val="20"/>
            <w:lang w:val="en-GB"/>
          </w:rPr>
          <w:t>http://www.echr.coe.int/Documents/Guide_Art_3_Protocol_1_ENG.pdf</w:t>
        </w:r>
      </w:hyperlink>
      <w:r w:rsidRPr="00E05E56">
        <w:rPr>
          <w:rFonts w:ascii="Times New Roman" w:hAnsi="Times New Roman" w:cs="Times New Roman"/>
          <w:szCs w:val="20"/>
          <w:lang w:val="en-GB"/>
        </w:rPr>
        <w:t xml:space="preserve">. See also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Factsheet, </w:t>
      </w:r>
      <w:r w:rsidRPr="00E05E56">
        <w:rPr>
          <w:rFonts w:ascii="Times New Roman" w:hAnsi="Times New Roman" w:cs="Times New Roman"/>
          <w:i/>
          <w:szCs w:val="20"/>
          <w:lang w:val="en-GB"/>
        </w:rPr>
        <w:t>Right to free elections</w:t>
      </w:r>
      <w:r w:rsidRPr="00E05E56">
        <w:rPr>
          <w:rFonts w:ascii="Times New Roman" w:hAnsi="Times New Roman" w:cs="Times New Roman"/>
          <w:szCs w:val="20"/>
          <w:lang w:val="en-GB"/>
        </w:rPr>
        <w:t xml:space="preserve">, May 2013, </w:t>
      </w:r>
      <w:hyperlink r:id="rId6" w:history="1">
        <w:r w:rsidRPr="00E05E56">
          <w:rPr>
            <w:rStyle w:val="Hyperlink"/>
            <w:rFonts w:ascii="Times New Roman" w:hAnsi="Times New Roman" w:cs="Times New Roman"/>
            <w:szCs w:val="20"/>
            <w:lang w:val="en-GB"/>
          </w:rPr>
          <w:t>http://</w:t>
        </w:r>
        <w:proofErr w:type="spellStart"/>
        <w:r w:rsidRPr="00E05E56">
          <w:rPr>
            <w:rStyle w:val="Hyperlink"/>
            <w:rFonts w:ascii="Times New Roman" w:hAnsi="Times New Roman" w:cs="Times New Roman"/>
            <w:szCs w:val="20"/>
            <w:lang w:val="en-GB"/>
          </w:rPr>
          <w:t>www.echr.coe.int</w:t>
        </w:r>
        <w:proofErr w:type="spellEnd"/>
        <w:r w:rsidRPr="00E05E56">
          <w:rPr>
            <w:rStyle w:val="Hyperlink"/>
            <w:rFonts w:ascii="Times New Roman" w:hAnsi="Times New Roman" w:cs="Times New Roman"/>
            <w:szCs w:val="20"/>
            <w:lang w:val="en-GB"/>
          </w:rPr>
          <w:t>/Documents/</w:t>
        </w:r>
        <w:proofErr w:type="spellStart"/>
        <w:r w:rsidRPr="00E05E56">
          <w:rPr>
            <w:rStyle w:val="Hyperlink"/>
            <w:rFonts w:ascii="Times New Roman" w:hAnsi="Times New Roman" w:cs="Times New Roman"/>
            <w:szCs w:val="20"/>
            <w:lang w:val="en-GB"/>
          </w:rPr>
          <w:t>FS_Free_elections_ENG.pdf</w:t>
        </w:r>
        <w:proofErr w:type="spellEnd"/>
      </w:hyperlink>
      <w:r w:rsidRPr="00E05E56">
        <w:rPr>
          <w:rFonts w:ascii="Times New Roman" w:hAnsi="Times New Roman" w:cs="Times New Roman"/>
          <w:szCs w:val="20"/>
          <w:lang w:val="en-GB"/>
        </w:rPr>
        <w:t xml:space="preserve"> and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Factsheet, </w:t>
      </w:r>
      <w:r w:rsidRPr="00E05E56">
        <w:rPr>
          <w:rFonts w:ascii="Times New Roman" w:hAnsi="Times New Roman" w:cs="Times New Roman"/>
          <w:i/>
          <w:szCs w:val="20"/>
          <w:lang w:val="en-GB"/>
        </w:rPr>
        <w:t>Right to vote</w:t>
      </w:r>
      <w:r w:rsidRPr="00E05E56">
        <w:rPr>
          <w:rFonts w:ascii="Times New Roman" w:hAnsi="Times New Roman" w:cs="Times New Roman"/>
          <w:szCs w:val="20"/>
          <w:lang w:val="en-GB"/>
        </w:rPr>
        <w:t xml:space="preserve">, October 2016, </w:t>
      </w:r>
      <w:hyperlink r:id="rId7" w:history="1">
        <w:r w:rsidRPr="00E05E56">
          <w:rPr>
            <w:rStyle w:val="Hyperlink"/>
            <w:rFonts w:ascii="Times New Roman" w:hAnsi="Times New Roman" w:cs="Times New Roman"/>
            <w:szCs w:val="20"/>
            <w:lang w:val="en-GB"/>
          </w:rPr>
          <w:t>http://</w:t>
        </w:r>
        <w:proofErr w:type="spellStart"/>
        <w:r w:rsidRPr="00E05E56">
          <w:rPr>
            <w:rStyle w:val="Hyperlink"/>
            <w:rFonts w:ascii="Times New Roman" w:hAnsi="Times New Roman" w:cs="Times New Roman"/>
            <w:szCs w:val="20"/>
            <w:lang w:val="en-GB"/>
          </w:rPr>
          <w:t>www.echr.coe.int</w:t>
        </w:r>
        <w:proofErr w:type="spellEnd"/>
        <w:r w:rsidRPr="00E05E56">
          <w:rPr>
            <w:rStyle w:val="Hyperlink"/>
            <w:rFonts w:ascii="Times New Roman" w:hAnsi="Times New Roman" w:cs="Times New Roman"/>
            <w:szCs w:val="20"/>
            <w:lang w:val="en-GB"/>
          </w:rPr>
          <w:t>/Documents/</w:t>
        </w:r>
        <w:proofErr w:type="spellStart"/>
        <w:r w:rsidRPr="00E05E56">
          <w:rPr>
            <w:rStyle w:val="Hyperlink"/>
            <w:rFonts w:ascii="Times New Roman" w:hAnsi="Times New Roman" w:cs="Times New Roman"/>
            <w:szCs w:val="20"/>
            <w:lang w:val="en-GB"/>
          </w:rPr>
          <w:t>FS_Vote_ENG.pdf</w:t>
        </w:r>
        <w:proofErr w:type="spellEnd"/>
      </w:hyperlink>
    </w:p>
  </w:footnote>
  <w:footnote w:id="11">
    <w:p w14:paraId="47881CBA"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Guide on Article 3 of Protocol No. 1 – Right to free elections, </w:t>
      </w:r>
      <w:r w:rsidRPr="00E05E56">
        <w:rPr>
          <w:rFonts w:ascii="Times New Roman" w:hAnsi="Times New Roman" w:cs="Times New Roman"/>
          <w:i/>
          <w:szCs w:val="20"/>
          <w:lang w:val="en-GB"/>
        </w:rPr>
        <w:t>op. cit.</w:t>
      </w:r>
      <w:r w:rsidRPr="00E05E56">
        <w:rPr>
          <w:rFonts w:ascii="Times New Roman" w:hAnsi="Times New Roman" w:cs="Times New Roman"/>
          <w:szCs w:val="20"/>
          <w:lang w:val="en-GB"/>
        </w:rPr>
        <w:t>, from para. 79.</w:t>
      </w:r>
    </w:p>
  </w:footnote>
  <w:footnote w:id="12">
    <w:p w14:paraId="4BC2F0B9"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Framework Convention for the Protection of National Minorities (Article 15) and </w:t>
      </w:r>
      <w:r w:rsidRPr="00E05E56">
        <w:rPr>
          <w:rFonts w:ascii="Times New Roman" w:eastAsia="Times New Roman" w:hAnsi="Times New Roman" w:cs="Times New Roman"/>
          <w:szCs w:val="20"/>
        </w:rPr>
        <w:t>Advisory Committee on the Framework Convention on national minorities (ACFC) Thematic Commentary No. 2 on the effective participation of persons belonging to national minorities in cultural, social and economic life and in public affairs.</w:t>
      </w:r>
    </w:p>
  </w:footnote>
  <w:footnote w:id="13">
    <w:p w14:paraId="1099CB4B"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Committee of Ministers Recommendation </w:t>
      </w:r>
      <w:proofErr w:type="gramStart"/>
      <w:r w:rsidRPr="00E05E56">
        <w:rPr>
          <w:rFonts w:ascii="Times New Roman" w:eastAsia="Times New Roman" w:hAnsi="Times New Roman" w:cs="Times New Roman"/>
          <w:szCs w:val="20"/>
        </w:rPr>
        <w:t>Rec(</w:t>
      </w:r>
      <w:proofErr w:type="gramEnd"/>
      <w:r w:rsidRPr="00E05E56">
        <w:rPr>
          <w:rFonts w:ascii="Times New Roman" w:eastAsia="Times New Roman" w:hAnsi="Times New Roman" w:cs="Times New Roman"/>
          <w:szCs w:val="20"/>
        </w:rPr>
        <w:t>2003)3 on balanced participation of women and men in political and public decision making.</w:t>
      </w:r>
    </w:p>
  </w:footnote>
  <w:footnote w:id="14">
    <w:p w14:paraId="7718A6CD"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Committee of Ministers Recommendation CM/</w:t>
      </w:r>
      <w:proofErr w:type="gramStart"/>
      <w:r w:rsidRPr="00E05E56">
        <w:rPr>
          <w:rFonts w:ascii="Times New Roman" w:eastAsia="Times New Roman" w:hAnsi="Times New Roman" w:cs="Times New Roman"/>
          <w:szCs w:val="20"/>
        </w:rPr>
        <w:t>Rec(</w:t>
      </w:r>
      <w:proofErr w:type="gramEnd"/>
      <w:r w:rsidRPr="00E05E56">
        <w:rPr>
          <w:rFonts w:ascii="Times New Roman" w:eastAsia="Times New Roman" w:hAnsi="Times New Roman" w:cs="Times New Roman"/>
          <w:szCs w:val="20"/>
        </w:rPr>
        <w:t>2011)14 on the participation of persons with disabilities in political and public life.</w:t>
      </w:r>
    </w:p>
  </w:footnote>
  <w:footnote w:id="15">
    <w:p w14:paraId="07C40D4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Convention on the Participation of Foreigners in Public Life at Local Level adopted in 1992.</w:t>
      </w:r>
    </w:p>
  </w:footnote>
  <w:footnote w:id="16">
    <w:p w14:paraId="073DE138"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According to the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European Committee on Social Rights, </w:t>
      </w:r>
      <w:r w:rsidRPr="00E05E56">
        <w:rPr>
          <w:rFonts w:ascii="Times New Roman" w:eastAsia="Times New Roman" w:hAnsi="Times New Roman" w:cs="Times New Roman"/>
          <w:szCs w:val="20"/>
        </w:rPr>
        <w:t xml:space="preserve">the reference to social rights in Article 30 should not be understood too narrowly and the fight against social exclusion is one area where the notion of the indivisibility of fundamental rights takes on special importance and, in this regard, </w:t>
      </w:r>
      <w:r w:rsidRPr="00E05E56">
        <w:rPr>
          <w:rFonts w:ascii="Times New Roman" w:eastAsia="Times New Roman" w:hAnsi="Times New Roman" w:cs="Times New Roman"/>
          <w:i/>
          <w:szCs w:val="20"/>
        </w:rPr>
        <w:t>the right to vote, like other rights relating to civic and citizens' participation</w:t>
      </w:r>
      <w:r w:rsidRPr="00E05E56">
        <w:rPr>
          <w:rFonts w:ascii="Times New Roman" w:eastAsia="Times New Roman" w:hAnsi="Times New Roman" w:cs="Times New Roman"/>
          <w:szCs w:val="20"/>
        </w:rPr>
        <w:t xml:space="preserve">, constitutes a necessary dimension in achieving social integration and inclusion and </w:t>
      </w:r>
      <w:r w:rsidRPr="00E05E56">
        <w:rPr>
          <w:rFonts w:ascii="Times New Roman" w:eastAsia="Times New Roman" w:hAnsi="Times New Roman" w:cs="Times New Roman"/>
          <w:i/>
          <w:szCs w:val="20"/>
        </w:rPr>
        <w:t>is thus covered by Article 30</w:t>
      </w:r>
      <w:r w:rsidRPr="00E05E56">
        <w:rPr>
          <w:rFonts w:ascii="Times New Roman" w:eastAsia="Times New Roman" w:hAnsi="Times New Roman" w:cs="Times New Roman"/>
          <w:szCs w:val="20"/>
        </w:rPr>
        <w:t xml:space="preserve">. ECSR, </w:t>
      </w:r>
      <w:r w:rsidRPr="00E05E56">
        <w:rPr>
          <w:rFonts w:ascii="Times New Roman" w:eastAsia="Times New Roman" w:hAnsi="Times New Roman" w:cs="Times New Roman"/>
          <w:i/>
          <w:szCs w:val="20"/>
        </w:rPr>
        <w:t>European Roma Rights Centre (ERRC) v. France</w:t>
      </w:r>
      <w:r w:rsidRPr="00E05E56">
        <w:rPr>
          <w:rFonts w:ascii="Times New Roman" w:eastAsia="Times New Roman" w:hAnsi="Times New Roman" w:cs="Times New Roman"/>
          <w:szCs w:val="20"/>
        </w:rPr>
        <w:t xml:space="preserve">, Complaint No. 51/2008, decision on the merits of 19 October 2009, para. 99, (emphasis added). </w:t>
      </w:r>
    </w:p>
  </w:footnote>
  <w:footnote w:id="17">
    <w:p w14:paraId="6BF5C9F4"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Article 6 of the Lisbon Treaty provides that the Union recognizes the rights, freedoms and principles set out in the Charter of Fundamental Rights of the EU (para. 1), that it shall accede to the ECHR (para. 2) and that fundamental rights shall constitute principles of the Union’s law (para. 3). Besides, the CJEU has been instrumental in enforcing respect for human rights in the EU. See European Parliament, </w:t>
      </w:r>
      <w:r w:rsidRPr="00E05E56">
        <w:rPr>
          <w:rFonts w:ascii="Times New Roman" w:hAnsi="Times New Roman" w:cs="Times New Roman"/>
          <w:i/>
          <w:szCs w:val="20"/>
        </w:rPr>
        <w:t>Respect for Fundamental Rights in the European Union</w:t>
      </w:r>
      <w:r w:rsidRPr="00E05E56">
        <w:rPr>
          <w:rFonts w:ascii="Times New Roman" w:hAnsi="Times New Roman" w:cs="Times New Roman"/>
          <w:szCs w:val="20"/>
        </w:rPr>
        <w:t xml:space="preserve">, Fact Sheet, European Union, June 2017. </w:t>
      </w:r>
    </w:p>
  </w:footnote>
  <w:footnote w:id="18">
    <w:p w14:paraId="4F5180B6" w14:textId="77777777" w:rsidR="0043479F" w:rsidRPr="00E05E56" w:rsidRDefault="0043479F" w:rsidP="00E05E56">
      <w:pPr>
        <w:rPr>
          <w:rFonts w:eastAsia="Times New Roman"/>
          <w:sz w:val="20"/>
          <w:szCs w:val="20"/>
        </w:rPr>
      </w:pPr>
      <w:r w:rsidRPr="00E05E56">
        <w:rPr>
          <w:rStyle w:val="FootnoteReference"/>
          <w:rFonts w:ascii="Times New Roman" w:hAnsi="Times New Roman"/>
          <w:sz w:val="20"/>
          <w:szCs w:val="20"/>
        </w:rPr>
        <w:footnoteRef/>
      </w:r>
      <w:r w:rsidRPr="00E05E56">
        <w:rPr>
          <w:sz w:val="20"/>
          <w:szCs w:val="20"/>
        </w:rPr>
        <w:t xml:space="preserve"> </w:t>
      </w:r>
      <w:r w:rsidRPr="00E05E56">
        <w:rPr>
          <w:rFonts w:eastAsia="Times New Roman"/>
          <w:sz w:val="20"/>
          <w:szCs w:val="20"/>
        </w:rPr>
        <w:t>Article 9 of the Lisbon Treaty: “Every national of a Member State shall be a citizen of the Union. Citizenship of the Union shall be additional to national citizenship and shall not replace it.”</w:t>
      </w:r>
    </w:p>
  </w:footnote>
  <w:footnote w:id="19">
    <w:p w14:paraId="04C3B5B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hAnsi="Times New Roman" w:cs="Times New Roman"/>
          <w:szCs w:val="20"/>
          <w:lang w:val="en-GB"/>
        </w:rPr>
        <w:t xml:space="preserve">Copenhagen document of 1990: </w:t>
      </w:r>
      <w:r w:rsidRPr="00E05E56">
        <w:rPr>
          <w:rFonts w:ascii="Times New Roman" w:hAnsi="Times New Roman" w:cs="Times New Roman"/>
          <w:szCs w:val="20"/>
        </w:rPr>
        <w:t>(35) “</w:t>
      </w:r>
      <w:r w:rsidRPr="00E05E56">
        <w:rPr>
          <w:rFonts w:ascii="Times New Roman" w:eastAsia="Times New Roman" w:hAnsi="Times New Roman" w:cs="Times New Roman"/>
          <w:szCs w:val="20"/>
        </w:rPr>
        <w:t xml:space="preserve">The participating States will respect the right of persons belonging to national minorities to effective participation in public affairs, including participation in the affairs relating to the protection and promotion of the identity of such minorities”; </w:t>
      </w:r>
      <w:r w:rsidRPr="00E05E56">
        <w:rPr>
          <w:rFonts w:ascii="Times New Roman" w:hAnsi="Times New Roman" w:cs="Times New Roman"/>
          <w:szCs w:val="20"/>
        </w:rPr>
        <w:t>Helsinki document of 1992: “</w:t>
      </w:r>
      <w:r w:rsidRPr="00E05E56">
        <w:rPr>
          <w:rFonts w:ascii="Times New Roman" w:eastAsia="Times New Roman" w:hAnsi="Times New Roman" w:cs="Times New Roman"/>
          <w:szCs w:val="20"/>
        </w:rPr>
        <w:t xml:space="preserve">(24) Will intensify (…) efforts to ensure the free exercise by persons belonging to national minorities, (…) of their human rights and fundamental freedoms, including the right to participate fully, in accordance with the democratic decision-making procedures of each State, in the political, economic, social and cultural life of their countries including through democratic participation in decision-making and consultative bodies at the national, regional and local level”. </w:t>
      </w:r>
      <w:r w:rsidRPr="00E05E56">
        <w:rPr>
          <w:rFonts w:ascii="Times New Roman" w:hAnsi="Times New Roman" w:cs="Times New Roman"/>
          <w:szCs w:val="20"/>
        </w:rPr>
        <w:t xml:space="preserve">See also </w:t>
      </w:r>
      <w:r w:rsidRPr="00E05E56">
        <w:rPr>
          <w:rFonts w:ascii="Times New Roman" w:hAnsi="Times New Roman" w:cs="Times New Roman"/>
          <w:szCs w:val="20"/>
          <w:lang w:val="en-GB"/>
        </w:rPr>
        <w:t xml:space="preserve">the Lund Recommendations on the Effective Participation of Minorities in Public Life of 1999. </w:t>
      </w:r>
    </w:p>
  </w:footnote>
  <w:footnote w:id="20">
    <w:p w14:paraId="631DE62B"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Moscow document of 1991: (40.8) “</w:t>
      </w:r>
      <w:r w:rsidRPr="00E05E56">
        <w:rPr>
          <w:rFonts w:ascii="Times New Roman" w:eastAsia="Times New Roman" w:hAnsi="Times New Roman" w:cs="Times New Roman"/>
          <w:szCs w:val="20"/>
        </w:rPr>
        <w:t xml:space="preserve">encourage and promote equal opportunity for full participation by women in all aspects of political and public life”. </w:t>
      </w:r>
    </w:p>
  </w:footnote>
  <w:footnote w:id="21">
    <w:p w14:paraId="0D13F98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Moscow document of 1991: </w:t>
      </w:r>
      <w:r w:rsidRPr="00E05E56">
        <w:rPr>
          <w:rFonts w:ascii="Times New Roman" w:eastAsia="Times New Roman" w:hAnsi="Times New Roman" w:cs="Times New Roman"/>
          <w:szCs w:val="20"/>
        </w:rPr>
        <w:t xml:space="preserve">(41.3) “promote the appropriate participation of (…) persons </w:t>
      </w:r>
      <w:r w:rsidRPr="00E05E56">
        <w:rPr>
          <w:rFonts w:ascii="Times New Roman" w:eastAsia="Times New Roman" w:hAnsi="Times New Roman" w:cs="Times New Roman"/>
          <w:szCs w:val="20"/>
        </w:rPr>
        <w:sym w:font="Symbol" w:char="F05B"/>
      </w:r>
      <w:r w:rsidRPr="00E05E56">
        <w:rPr>
          <w:rFonts w:ascii="Times New Roman" w:eastAsia="Times New Roman" w:hAnsi="Times New Roman" w:cs="Times New Roman"/>
          <w:szCs w:val="20"/>
        </w:rPr>
        <w:t>with disabilities</w:t>
      </w:r>
      <w:r w:rsidRPr="00E05E56">
        <w:rPr>
          <w:rFonts w:ascii="Times New Roman" w:eastAsia="Times New Roman" w:hAnsi="Times New Roman" w:cs="Times New Roman"/>
          <w:szCs w:val="20"/>
        </w:rPr>
        <w:sym w:font="Symbol" w:char="F05D"/>
      </w:r>
      <w:r w:rsidRPr="00E05E56">
        <w:rPr>
          <w:rFonts w:ascii="Times New Roman" w:eastAsia="Times New Roman" w:hAnsi="Times New Roman" w:cs="Times New Roman"/>
          <w:szCs w:val="20"/>
        </w:rPr>
        <w:t xml:space="preserve"> in decision-making in fields concerning them”.</w:t>
      </w:r>
    </w:p>
  </w:footnote>
  <w:footnote w:id="22">
    <w:p w14:paraId="52589E3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the </w:t>
      </w:r>
      <w:r w:rsidRPr="00E05E56">
        <w:rPr>
          <w:rFonts w:ascii="Times New Roman" w:eastAsia="Times New Roman" w:hAnsi="Times New Roman" w:cs="Times New Roman"/>
          <w:szCs w:val="20"/>
        </w:rPr>
        <w:t xml:space="preserve">OSCE Guidelines to Assist National Minority Participation in the Electoral Process (2001); </w:t>
      </w:r>
      <w:r w:rsidRPr="00E05E56">
        <w:rPr>
          <w:rFonts w:ascii="Times New Roman" w:hAnsi="Times New Roman" w:cs="Times New Roman"/>
          <w:szCs w:val="20"/>
          <w:lang w:val="en-GB"/>
        </w:rPr>
        <w:t>Recommendations on Enhancing the Participation of Associations in Public Decision-Making Processes from the Participants to the Civil Society Forum Organized on the Margins of the 2015 Supplementary Human Dimension Meeting on Freedoms of Peaceful Assembly and Association, April 2015.</w:t>
      </w:r>
    </w:p>
  </w:footnote>
  <w:footnote w:id="23">
    <w:p w14:paraId="2CB971B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OSCE/ODIHR – Venice Commission Guidelines on Political Party Regulation (2010); OSCE/ODIHR – Venice Commission Guidelines on Freedom of Association (2015). </w:t>
      </w:r>
    </w:p>
  </w:footnote>
  <w:footnote w:id="24">
    <w:p w14:paraId="614CC1B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the list of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conventions signed and ratified by Israel as </w:t>
      </w:r>
      <w:proofErr w:type="spellStart"/>
      <w:r w:rsidRPr="00E05E56">
        <w:rPr>
          <w:rFonts w:ascii="Times New Roman" w:hAnsi="Times New Roman" w:cs="Times New Roman"/>
          <w:szCs w:val="20"/>
        </w:rPr>
        <w:t>non European</w:t>
      </w:r>
      <w:proofErr w:type="spellEnd"/>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non member</w:t>
      </w:r>
      <w:proofErr w:type="spellEnd"/>
      <w:r w:rsidRPr="00E05E56">
        <w:rPr>
          <w:rFonts w:ascii="Times New Roman" w:hAnsi="Times New Roman" w:cs="Times New Roman"/>
          <w:szCs w:val="20"/>
        </w:rPr>
        <w:t xml:space="preserve"> State as of 15 January 2018: </w:t>
      </w:r>
      <w:hyperlink r:id="rId8" w:history="1">
        <w:r w:rsidRPr="00E05E56">
          <w:rPr>
            <w:rStyle w:val="Hyperlink"/>
            <w:rFonts w:ascii="Times New Roman" w:hAnsi="Times New Roman" w:cs="Times New Roman"/>
            <w:szCs w:val="20"/>
          </w:rPr>
          <w:t>https://www.coe.int/en/web/conventions/search-on-states/-/conventions/treaty/country/ISR</w:t>
        </w:r>
      </w:hyperlink>
      <w:r w:rsidRPr="00E05E56">
        <w:rPr>
          <w:rFonts w:ascii="Times New Roman" w:hAnsi="Times New Roman" w:cs="Times New Roman"/>
          <w:szCs w:val="20"/>
        </w:rPr>
        <w:t xml:space="preserve">. </w:t>
      </w:r>
    </w:p>
  </w:footnote>
  <w:footnote w:id="25">
    <w:p w14:paraId="58AF63F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For more information on these meetings, see: </w:t>
      </w:r>
      <w:hyperlink r:id="rId9"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www.osce.org</w:t>
        </w:r>
        <w:proofErr w:type="spellEnd"/>
        <w:r w:rsidRPr="00E05E56">
          <w:rPr>
            <w:rStyle w:val="Hyperlink"/>
            <w:rFonts w:ascii="Times New Roman" w:hAnsi="Times New Roman" w:cs="Times New Roman"/>
            <w:szCs w:val="20"/>
          </w:rPr>
          <w:t>/</w:t>
        </w:r>
        <w:proofErr w:type="spellStart"/>
        <w:r w:rsidRPr="00E05E56">
          <w:rPr>
            <w:rStyle w:val="Hyperlink"/>
            <w:rFonts w:ascii="Times New Roman" w:hAnsi="Times New Roman" w:cs="Times New Roman"/>
            <w:szCs w:val="20"/>
          </w:rPr>
          <w:t>odihr</w:t>
        </w:r>
        <w:proofErr w:type="spellEnd"/>
        <w:r w:rsidRPr="00E05E56">
          <w:rPr>
            <w:rStyle w:val="Hyperlink"/>
            <w:rFonts w:ascii="Times New Roman" w:hAnsi="Times New Roman" w:cs="Times New Roman"/>
            <w:szCs w:val="20"/>
          </w:rPr>
          <w:t>/</w:t>
        </w:r>
        <w:proofErr w:type="spellStart"/>
        <w:r w:rsidRPr="00E05E56">
          <w:rPr>
            <w:rStyle w:val="Hyperlink"/>
            <w:rFonts w:ascii="Times New Roman" w:hAnsi="Times New Roman" w:cs="Times New Roman"/>
            <w:szCs w:val="20"/>
          </w:rPr>
          <w:t>hdim</w:t>
        </w:r>
        <w:proofErr w:type="spellEnd"/>
      </w:hyperlink>
      <w:r w:rsidRPr="00E05E56">
        <w:rPr>
          <w:rFonts w:ascii="Times New Roman" w:hAnsi="Times New Roman" w:cs="Times New Roman"/>
          <w:szCs w:val="20"/>
        </w:rPr>
        <w:t xml:space="preserve">. </w:t>
      </w:r>
    </w:p>
  </w:footnote>
  <w:footnote w:id="26">
    <w:p w14:paraId="5B9ACB34"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the compilations of the UN Human Rights bodies and the European jurisprudence in relation to all countries covered by the study, see Annexes 1 and 2.</w:t>
      </w:r>
    </w:p>
  </w:footnote>
  <w:footnote w:id="27">
    <w:p w14:paraId="5C7266E0"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Human Rights Council Resolution 33/22, 30 September 2016, </w:t>
      </w:r>
      <w:r w:rsidRPr="00E05E56">
        <w:rPr>
          <w:rFonts w:ascii="Times New Roman" w:hAnsi="Times New Roman" w:cs="Times New Roman"/>
          <w:i/>
          <w:szCs w:val="20"/>
          <w:lang w:val="en-GB"/>
        </w:rPr>
        <w:t>Equal participation in political and public affairs</w:t>
      </w:r>
      <w:r w:rsidRPr="00E05E56">
        <w:rPr>
          <w:rFonts w:ascii="Times New Roman" w:hAnsi="Times New Roman" w:cs="Times New Roman"/>
          <w:szCs w:val="20"/>
          <w:lang w:val="en-GB"/>
        </w:rPr>
        <w:t xml:space="preserve">. The Council has also </w:t>
      </w:r>
      <w:r w:rsidRPr="00E05E56">
        <w:rPr>
          <w:rFonts w:ascii="Times New Roman" w:eastAsia="Times New Roman" w:hAnsi="Times New Roman" w:cs="Times New Roman"/>
          <w:color w:val="000000"/>
          <w:szCs w:val="20"/>
          <w:shd w:val="clear" w:color="auto" w:fill="FFFFFF"/>
        </w:rPr>
        <w:t>decided separately to establish a forum on human rights, democracy and rule of law, which purpose is “to provide a platform for promoting dialogue and cooperation on issues pertaining to the relationship between these areas” and to “identify and analyze best practices, challenges and opportunities for States in their efforts to secure respect for human rights, democracy and the rule of law”. The theme of the first session of the forum was ““</w:t>
      </w:r>
      <w:r w:rsidRPr="00E05E56">
        <w:rPr>
          <w:rFonts w:ascii="Times New Roman" w:hAnsi="Times New Roman" w:cs="Times New Roman"/>
          <w:bCs/>
          <w:szCs w:val="20"/>
        </w:rPr>
        <w:t>Widening the Democratic Space: the role of youth in public decision-making</w:t>
      </w:r>
      <w:r w:rsidRPr="00E05E56">
        <w:rPr>
          <w:rFonts w:ascii="Times New Roman" w:eastAsia="Times New Roman" w:hAnsi="Times New Roman" w:cs="Times New Roman"/>
          <w:color w:val="000000"/>
          <w:szCs w:val="20"/>
          <w:shd w:val="clear" w:color="auto" w:fill="FFFFFF"/>
        </w:rPr>
        <w:t xml:space="preserve">”. See Resolution 28/14, 26 March 2015, </w:t>
      </w:r>
      <w:r w:rsidRPr="00E05E56">
        <w:rPr>
          <w:rFonts w:ascii="Times New Roman" w:eastAsia="Times New Roman" w:hAnsi="Times New Roman" w:cs="Times New Roman"/>
          <w:i/>
          <w:color w:val="000000"/>
          <w:szCs w:val="20"/>
          <w:shd w:val="clear" w:color="auto" w:fill="FFFFFF"/>
        </w:rPr>
        <w:t>Human rights, democracy and the rule of law</w:t>
      </w:r>
      <w:r w:rsidRPr="00E05E56">
        <w:rPr>
          <w:rFonts w:ascii="Times New Roman" w:eastAsia="Times New Roman" w:hAnsi="Times New Roman" w:cs="Times New Roman"/>
          <w:color w:val="000000"/>
          <w:szCs w:val="20"/>
          <w:shd w:val="clear" w:color="auto" w:fill="FFFFFF"/>
        </w:rPr>
        <w:t>.</w:t>
      </w:r>
    </w:p>
  </w:footnote>
  <w:footnote w:id="28">
    <w:p w14:paraId="2BE1892D"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Human Rights Council Resolution 33/22 of 30 September 2016: “many people continue to face obstacles, such as discrimination (…) in the enjoyment of their right to participate in public affairs of their countries” (OP1), “women, persons belonging to marginalized groups or minorities, and persons in vulnerable situations are among those who are most affected by discrimination in participation in political and public affairs” (OP2).</w:t>
      </w:r>
    </w:p>
  </w:footnote>
  <w:footnote w:id="29">
    <w:p w14:paraId="0658491C"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Human Rights Committee, </w:t>
      </w:r>
      <w:proofErr w:type="spellStart"/>
      <w:r w:rsidRPr="00E05E56">
        <w:rPr>
          <w:rFonts w:ascii="Times New Roman" w:hAnsi="Times New Roman" w:cs="Times New Roman"/>
          <w:i/>
          <w:szCs w:val="20"/>
          <w:lang w:val="en-GB"/>
        </w:rPr>
        <w:t>Gillot</w:t>
      </w:r>
      <w:proofErr w:type="spellEnd"/>
      <w:r w:rsidRPr="00E05E56">
        <w:rPr>
          <w:rFonts w:ascii="Times New Roman" w:hAnsi="Times New Roman" w:cs="Times New Roman"/>
          <w:i/>
          <w:szCs w:val="20"/>
          <w:lang w:val="en-GB"/>
        </w:rPr>
        <w:t xml:space="preserve"> et al v. France</w:t>
      </w:r>
      <w:r w:rsidRPr="00E05E56">
        <w:rPr>
          <w:rFonts w:ascii="Times New Roman" w:hAnsi="Times New Roman" w:cs="Times New Roman"/>
          <w:szCs w:val="20"/>
          <w:lang w:val="en-GB"/>
        </w:rPr>
        <w:t>, CCPR/C/75/D/932/2000, 21 July 2002, para. 13.5.</w:t>
      </w:r>
    </w:p>
  </w:footnote>
  <w:footnote w:id="30">
    <w:p w14:paraId="03F96EC6"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European Parliament Directorate-General for Internal Policies, Policy Department Citizens’ Rights and Constitutional Affairs, </w:t>
      </w:r>
      <w:r w:rsidRPr="00E05E56">
        <w:rPr>
          <w:rFonts w:ascii="Times New Roman" w:hAnsi="Times New Roman" w:cs="Times New Roman"/>
          <w:i/>
          <w:szCs w:val="20"/>
          <w:lang w:val="en-GB"/>
        </w:rPr>
        <w:t>Franchise and Electoral Participation of Third Country Citizens Residing in the European Union and of European Union Citizens Residing in Third Countries</w:t>
      </w:r>
      <w:r w:rsidRPr="00E05E56">
        <w:rPr>
          <w:rFonts w:ascii="Times New Roman" w:hAnsi="Times New Roman" w:cs="Times New Roman"/>
          <w:szCs w:val="20"/>
          <w:lang w:val="en-GB"/>
        </w:rPr>
        <w:t>, 2013.</w:t>
      </w:r>
    </w:p>
  </w:footnote>
  <w:footnote w:id="31">
    <w:p w14:paraId="131B4CDE"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Article 8(b</w:t>
      </w:r>
      <w:proofErr w:type="gramStart"/>
      <w:r w:rsidRPr="00E05E56">
        <w:rPr>
          <w:rFonts w:ascii="Times New Roman" w:hAnsi="Times New Roman" w:cs="Times New Roman"/>
          <w:szCs w:val="20"/>
        </w:rPr>
        <w:t>)(</w:t>
      </w:r>
      <w:proofErr w:type="gramEnd"/>
      <w:r w:rsidRPr="00E05E56">
        <w:rPr>
          <w:rFonts w:ascii="Times New Roman" w:hAnsi="Times New Roman" w:cs="Times New Roman"/>
          <w:szCs w:val="20"/>
        </w:rPr>
        <w:t>1) and (2) of the Maastricht Treaty on European Union</w:t>
      </w:r>
      <w:r w:rsidRPr="00E05E56">
        <w:rPr>
          <w:rFonts w:ascii="Times New Roman" w:eastAsia="Times New Roman" w:hAnsi="Times New Roman" w:cs="Times New Roman"/>
          <w:szCs w:val="20"/>
        </w:rPr>
        <w:t xml:space="preserve">. </w:t>
      </w:r>
    </w:p>
  </w:footnote>
  <w:footnote w:id="32">
    <w:p w14:paraId="19609733"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rPr>
        <w:t xml:space="preserve"> CJEU, </w:t>
      </w:r>
      <w:r w:rsidRPr="00E05E56">
        <w:rPr>
          <w:rFonts w:ascii="Times New Roman" w:eastAsia="Times New Roman" w:hAnsi="Times New Roman" w:cs="Times New Roman"/>
          <w:i/>
          <w:iCs/>
          <w:color w:val="000000"/>
          <w:szCs w:val="20"/>
        </w:rPr>
        <w:t>Spain</w:t>
      </w:r>
      <w:r w:rsidRPr="00E05E56">
        <w:rPr>
          <w:rFonts w:ascii="Times New Roman" w:eastAsia="Times New Roman" w:hAnsi="Times New Roman" w:cs="Times New Roman"/>
          <w:color w:val="000000"/>
          <w:szCs w:val="20"/>
        </w:rPr>
        <w:t> v. </w:t>
      </w:r>
      <w:r w:rsidRPr="00E05E56">
        <w:rPr>
          <w:rFonts w:ascii="Times New Roman" w:eastAsia="Times New Roman" w:hAnsi="Times New Roman" w:cs="Times New Roman"/>
          <w:i/>
          <w:iCs/>
          <w:color w:val="000000"/>
          <w:szCs w:val="20"/>
        </w:rPr>
        <w:t xml:space="preserve">United </w:t>
      </w:r>
      <w:proofErr w:type="gramStart"/>
      <w:r w:rsidRPr="00E05E56">
        <w:rPr>
          <w:rFonts w:ascii="Times New Roman" w:eastAsia="Times New Roman" w:hAnsi="Times New Roman" w:cs="Times New Roman"/>
          <w:i/>
          <w:iCs/>
          <w:color w:val="000000"/>
          <w:szCs w:val="20"/>
        </w:rPr>
        <w:t>Kingdom</w:t>
      </w:r>
      <w:r w:rsidRPr="00E05E56">
        <w:rPr>
          <w:rFonts w:ascii="Times New Roman" w:eastAsia="Times New Roman" w:hAnsi="Times New Roman" w:cs="Times New Roman"/>
          <w:color w:val="000000"/>
          <w:szCs w:val="20"/>
        </w:rPr>
        <w:t xml:space="preserve"> ,</w:t>
      </w:r>
      <w:proofErr w:type="gramEnd"/>
      <w:r w:rsidRPr="00E05E56">
        <w:rPr>
          <w:rFonts w:ascii="Times New Roman" w:eastAsia="Times New Roman" w:hAnsi="Times New Roman" w:cs="Times New Roman"/>
          <w:color w:val="000000"/>
          <w:szCs w:val="20"/>
        </w:rPr>
        <w:t xml:space="preserve"> C</w:t>
      </w:r>
      <w:r w:rsidRPr="00E05E56">
        <w:rPr>
          <w:rFonts w:ascii="Times New Roman" w:eastAsia="Times New Roman" w:hAnsi="Times New Roman" w:cs="Times New Roman"/>
          <w:color w:val="000000"/>
          <w:szCs w:val="20"/>
        </w:rPr>
        <w:noBreakHyphen/>
        <w:t>145/04, </w:t>
      </w:r>
      <w:r w:rsidRPr="00E05E56">
        <w:rPr>
          <w:rFonts w:ascii="Times New Roman" w:eastAsia="Times New Roman" w:hAnsi="Times New Roman" w:cs="Times New Roman"/>
          <w:szCs w:val="20"/>
        </w:rPr>
        <w:t>EU:C:2006:543</w:t>
      </w:r>
      <w:r w:rsidRPr="00E05E56">
        <w:rPr>
          <w:rFonts w:ascii="Times New Roman" w:eastAsia="Times New Roman" w:hAnsi="Times New Roman" w:cs="Times New Roman"/>
          <w:color w:val="000000"/>
          <w:szCs w:val="20"/>
        </w:rPr>
        <w:t>, paras 70 and 78.</w:t>
      </w:r>
    </w:p>
  </w:footnote>
  <w:footnote w:id="33">
    <w:p w14:paraId="29953BF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rPr>
        <w:t xml:space="preserve"> CJEU, </w:t>
      </w:r>
      <w:proofErr w:type="spellStart"/>
      <w:r w:rsidRPr="00E05E56">
        <w:rPr>
          <w:rFonts w:ascii="Times New Roman" w:eastAsia="Times New Roman" w:hAnsi="Times New Roman" w:cs="Times New Roman"/>
          <w:i/>
          <w:iCs/>
          <w:color w:val="000000"/>
          <w:szCs w:val="20"/>
        </w:rPr>
        <w:t>Eman</w:t>
      </w:r>
      <w:proofErr w:type="spellEnd"/>
      <w:r w:rsidRPr="00E05E56">
        <w:rPr>
          <w:rFonts w:ascii="Times New Roman" w:eastAsia="Times New Roman" w:hAnsi="Times New Roman" w:cs="Times New Roman"/>
          <w:i/>
          <w:iCs/>
          <w:color w:val="000000"/>
          <w:szCs w:val="20"/>
        </w:rPr>
        <w:t xml:space="preserve"> and </w:t>
      </w:r>
      <w:proofErr w:type="spellStart"/>
      <w:r w:rsidRPr="00E05E56">
        <w:rPr>
          <w:rFonts w:ascii="Times New Roman" w:eastAsia="Times New Roman" w:hAnsi="Times New Roman" w:cs="Times New Roman"/>
          <w:i/>
          <w:iCs/>
          <w:color w:val="000000"/>
          <w:szCs w:val="20"/>
        </w:rPr>
        <w:t>Sevinger</w:t>
      </w:r>
      <w:proofErr w:type="spellEnd"/>
      <w:r w:rsidRPr="00E05E56">
        <w:rPr>
          <w:rFonts w:ascii="Times New Roman" w:eastAsia="Times New Roman" w:hAnsi="Times New Roman" w:cs="Times New Roman"/>
          <w:color w:val="000000"/>
          <w:szCs w:val="20"/>
        </w:rPr>
        <w:t>, C</w:t>
      </w:r>
      <w:r w:rsidRPr="00E05E56">
        <w:rPr>
          <w:rFonts w:ascii="Times New Roman" w:eastAsia="Times New Roman" w:hAnsi="Times New Roman" w:cs="Times New Roman"/>
          <w:color w:val="000000"/>
          <w:szCs w:val="20"/>
        </w:rPr>
        <w:noBreakHyphen/>
        <w:t>300/04, </w:t>
      </w:r>
      <w:r w:rsidRPr="00E05E56">
        <w:rPr>
          <w:rFonts w:ascii="Times New Roman" w:eastAsia="Times New Roman" w:hAnsi="Times New Roman" w:cs="Times New Roman"/>
          <w:szCs w:val="20"/>
        </w:rPr>
        <w:t>EU</w:t>
      </w:r>
      <w:proofErr w:type="gramStart"/>
      <w:r w:rsidRPr="00E05E56">
        <w:rPr>
          <w:rFonts w:ascii="Times New Roman" w:eastAsia="Times New Roman" w:hAnsi="Times New Roman" w:cs="Times New Roman"/>
          <w:szCs w:val="20"/>
        </w:rPr>
        <w:t>:C:2006:545</w:t>
      </w:r>
      <w:proofErr w:type="gramEnd"/>
      <w:r w:rsidRPr="00E05E56">
        <w:rPr>
          <w:rFonts w:ascii="Times New Roman" w:eastAsia="Times New Roman" w:hAnsi="Times New Roman" w:cs="Times New Roman"/>
          <w:color w:val="000000"/>
          <w:szCs w:val="20"/>
        </w:rPr>
        <w:t>, paras 43 and 45.</w:t>
      </w:r>
    </w:p>
  </w:footnote>
  <w:footnote w:id="34">
    <w:p w14:paraId="5D2B6F84"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As of 25 January 2018, the 7 States parties covered by this study are Denmark, Finland, Iceland, Italy, the Netherlands, Norway and Sweden. The other two States parties to the Convention are Albania and the Czech Republic. See </w:t>
      </w:r>
      <w:hyperlink r:id="rId10" w:history="1">
        <w:r w:rsidRPr="00E05E56">
          <w:rPr>
            <w:rStyle w:val="Hyperlink"/>
            <w:rFonts w:ascii="Times New Roman" w:hAnsi="Times New Roman" w:cs="Times New Roman"/>
            <w:szCs w:val="20"/>
          </w:rPr>
          <w:t>https://www.coe.int/en/web/conventions/full-list/-/conventions/treaty/144/signatures?p_auth=shZQQ7s2</w:t>
        </w:r>
      </w:hyperlink>
      <w:r w:rsidRPr="00E05E56">
        <w:rPr>
          <w:rFonts w:ascii="Times New Roman" w:hAnsi="Times New Roman" w:cs="Times New Roman"/>
          <w:szCs w:val="20"/>
        </w:rPr>
        <w:t xml:space="preserve">. </w:t>
      </w:r>
    </w:p>
  </w:footnote>
  <w:footnote w:id="35">
    <w:p w14:paraId="6661F889"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lang w:val="fr-FR"/>
        </w:rPr>
        <w:t xml:space="preserve"> ECRI 2015 report on Portugal, para. 148. </w:t>
      </w:r>
    </w:p>
  </w:footnote>
  <w:footnote w:id="36">
    <w:p w14:paraId="57889AF3"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lang w:val="fr-FR"/>
        </w:rPr>
        <w:t xml:space="preserve"> ECRI 2012 report on Ireland, para. 7.</w:t>
      </w:r>
    </w:p>
  </w:footnote>
  <w:footnote w:id="37">
    <w:p w14:paraId="2EAD4DCC"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lang w:val="fr-FR"/>
        </w:rPr>
        <w:t xml:space="preserve"> ECRI 2011 report on Spain, para. 159.</w:t>
      </w:r>
    </w:p>
  </w:footnote>
  <w:footnote w:id="38">
    <w:p w14:paraId="498E45B4"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fr-FR"/>
        </w:rPr>
        <w:t xml:space="preserve"> ECRI 2013 report on Portugal, para. 147. </w:t>
      </w:r>
    </w:p>
  </w:footnote>
  <w:footnote w:id="39">
    <w:p w14:paraId="7214E5E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042A8C">
        <w:rPr>
          <w:rFonts w:ascii="Times New Roman" w:hAnsi="Times New Roman" w:cs="Times New Roman"/>
          <w:szCs w:val="20"/>
          <w:lang w:val="fr-FR"/>
        </w:rPr>
        <w:t xml:space="preserve"> ECRI 2011 report on Spain, para. </w:t>
      </w:r>
      <w:r w:rsidRPr="00E05E56">
        <w:rPr>
          <w:rFonts w:ascii="Times New Roman" w:hAnsi="Times New Roman" w:cs="Times New Roman"/>
          <w:szCs w:val="20"/>
        </w:rPr>
        <w:t>158.</w:t>
      </w:r>
    </w:p>
  </w:footnote>
  <w:footnote w:id="40">
    <w:p w14:paraId="26C3BA43"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FRA, </w:t>
      </w:r>
      <w:r w:rsidRPr="00E05E56">
        <w:rPr>
          <w:rFonts w:ascii="Times New Roman" w:hAnsi="Times New Roman" w:cs="Times New Roman"/>
          <w:szCs w:val="20"/>
        </w:rPr>
        <w:t>Second EU Minorities Survey, Muslims, Selected Findings, 2017, pp. 18-19.</w:t>
      </w:r>
    </w:p>
  </w:footnote>
  <w:footnote w:id="41">
    <w:p w14:paraId="3DCD67CB"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As of 25 January 2018, the 10 States parties covered by this study are Austria, Denmark, Finland, Germany, Iceland, Luxembourg, the Netherlands, Norway, Portugal and Sweden. For the full list of States Parties, see </w:t>
      </w:r>
      <w:hyperlink r:id="rId11" w:history="1">
        <w:r w:rsidRPr="00E05E56">
          <w:rPr>
            <w:rStyle w:val="Hyperlink"/>
            <w:rFonts w:ascii="Times New Roman" w:hAnsi="Times New Roman" w:cs="Times New Roman"/>
            <w:szCs w:val="20"/>
          </w:rPr>
          <w:t>https://www.coe.int/en/web/conventions/full-list/-/conventions/treaty/166/signatures?p_auth=shZQQ7s2</w:t>
        </w:r>
      </w:hyperlink>
      <w:r w:rsidRPr="00E05E56">
        <w:rPr>
          <w:rFonts w:ascii="Times New Roman" w:hAnsi="Times New Roman" w:cs="Times New Roman"/>
          <w:szCs w:val="20"/>
        </w:rPr>
        <w:t xml:space="preserve">. </w:t>
      </w:r>
    </w:p>
  </w:footnote>
  <w:footnote w:id="42">
    <w:p w14:paraId="0C13AD38"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Some “small” States constitute exceptions. In Liechtenstein, the law provides a </w:t>
      </w:r>
      <w:r w:rsidRPr="00E05E56">
        <w:rPr>
          <w:rFonts w:ascii="Times New Roman" w:eastAsia="Times New Roman" w:hAnsi="Times New Roman" w:cs="Times New Roman"/>
          <w:szCs w:val="20"/>
        </w:rPr>
        <w:t xml:space="preserve">30-year residence requirement with the years spent in Liechtenstein before the age of 20 counting double - a very long period compared to the 10-year requirement provided for under the European Convention on Nationality of the Council of Europe. The other possibility in order to obtain citizenship is the system of voting by local residents whereby a </w:t>
      </w:r>
      <w:proofErr w:type="spellStart"/>
      <w:r w:rsidRPr="00E05E56">
        <w:rPr>
          <w:rFonts w:ascii="Times New Roman" w:eastAsia="Times New Roman" w:hAnsi="Times New Roman" w:cs="Times New Roman"/>
          <w:szCs w:val="20"/>
        </w:rPr>
        <w:t>favourable</w:t>
      </w:r>
      <w:proofErr w:type="spellEnd"/>
      <w:r w:rsidRPr="00E05E56">
        <w:rPr>
          <w:rFonts w:ascii="Times New Roman" w:eastAsia="Times New Roman" w:hAnsi="Times New Roman" w:cs="Times New Roman"/>
          <w:szCs w:val="20"/>
        </w:rPr>
        <w:t xml:space="preserve"> vote by the local residents of the municipality in which the applicant resides is necessary. Both the </w:t>
      </w:r>
      <w:proofErr w:type="spellStart"/>
      <w:r w:rsidRPr="00E05E56">
        <w:rPr>
          <w:rFonts w:ascii="Times New Roman" w:eastAsia="Times New Roman" w:hAnsi="Times New Roman" w:cs="Times New Roman"/>
          <w:szCs w:val="20"/>
        </w:rPr>
        <w:t>CoE</w:t>
      </w:r>
      <w:proofErr w:type="spellEnd"/>
      <w:r w:rsidRPr="00E05E56">
        <w:rPr>
          <w:rFonts w:ascii="Times New Roman" w:eastAsia="Times New Roman" w:hAnsi="Times New Roman" w:cs="Times New Roman"/>
          <w:szCs w:val="20"/>
        </w:rPr>
        <w:t xml:space="preserve"> Commissioner for Human Rights and ECRI have recommended reviewing these “excessively restricted” requirements </w:t>
      </w:r>
      <w:r w:rsidRPr="00E05E56">
        <w:rPr>
          <w:rFonts w:ascii="Times New Roman" w:eastAsia="Times New Roman" w:hAnsi="Times New Roman" w:cs="Times New Roman"/>
          <w:color w:val="161616"/>
          <w:szCs w:val="20"/>
          <w:shd w:val="clear" w:color="auto" w:fill="FFFFFF"/>
        </w:rPr>
        <w:t>in line with the principles of the European Convention on Nationality</w:t>
      </w:r>
      <w:r w:rsidRPr="00E05E56">
        <w:rPr>
          <w:rFonts w:ascii="Times New Roman" w:eastAsia="Times New Roman" w:hAnsi="Times New Roman" w:cs="Times New Roman"/>
          <w:szCs w:val="20"/>
        </w:rPr>
        <w:t>. Commissioner for Human Rights press release following his visit, 2012; ECRI 2013 country report, paras 10-12. In San Marino, a law of 21 March 2012 reduces from 30 to 25 years the period of continued residence required for acquiring citizenship. It reduces this period to 18 years for those who have lived continuously in the territory since birth and to 10 years for those who are stateless. The requirement for the spouses of citizens of San Marino of a minimum period of 15 years of residence remains as in the previous law (ECRI 2013 report, from para. 20).</w:t>
      </w:r>
    </w:p>
  </w:footnote>
  <w:footnote w:id="43">
    <w:p w14:paraId="69E8E1FB" w14:textId="77777777" w:rsidR="0043479F" w:rsidRPr="00E05E56" w:rsidRDefault="0043479F" w:rsidP="00E05E56">
      <w:pPr>
        <w:pStyle w:val="FootnoteText"/>
        <w:rPr>
          <w:rFonts w:ascii="Times New Roman" w:eastAsia="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In Belgium, a new law entered into force on 1 January 2013. </w:t>
      </w:r>
      <w:r w:rsidRPr="00E05E56">
        <w:rPr>
          <w:rFonts w:ascii="Times New Roman" w:eastAsia="Times New Roman" w:hAnsi="Times New Roman" w:cs="Times New Roman"/>
          <w:szCs w:val="20"/>
          <w:lang w:val="en-GB"/>
        </w:rPr>
        <w:t>Through the fast track procedure, foreigners can acquire Belgian nationality after five years of legal residence if they are already “linguistically, socially and economically integrated before they apply”. The normal procedure also requires ten years of legal residence, proof of knowledge of one of the national languages and that the candidate “participates in the welcoming Community”, ECRI 2013 report on Belgium. In Norway, the CERD has considered that the language programme “</w:t>
      </w:r>
      <w:r w:rsidRPr="00E05E56">
        <w:rPr>
          <w:rFonts w:ascii="Times New Roman" w:hAnsi="Times New Roman" w:cs="Times New Roman"/>
          <w:color w:val="000000"/>
          <w:szCs w:val="20"/>
        </w:rPr>
        <w:t xml:space="preserve">may be a barrier for access to citizenship and naturalization for certain groups”, </w:t>
      </w:r>
      <w:r w:rsidRPr="00E05E56">
        <w:rPr>
          <w:rFonts w:ascii="Times New Roman" w:hAnsi="Times New Roman" w:cs="Times New Roman"/>
          <w:bCs/>
          <w:color w:val="000000"/>
          <w:szCs w:val="20"/>
        </w:rPr>
        <w:t>CERD/C/NOR/CO/19-20, para. 11.</w:t>
      </w:r>
    </w:p>
  </w:footnote>
  <w:footnote w:id="44">
    <w:p w14:paraId="26325392"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The CJEU considered the lawfulness of integration measures in Germany and the Netherlands in three cases, although the legal basis to rule on these measures was not the right to participation or even fundamental rights more generally. </w:t>
      </w:r>
      <w:r w:rsidRPr="00E05E56">
        <w:rPr>
          <w:rFonts w:ascii="Times New Roman" w:hAnsi="Times New Roman" w:cs="Times New Roman"/>
          <w:color w:val="000000" w:themeColor="text1"/>
          <w:szCs w:val="20"/>
        </w:rPr>
        <w:t xml:space="preserve">CJEU, </w:t>
      </w:r>
      <w:proofErr w:type="spellStart"/>
      <w:r w:rsidRPr="00E05E56">
        <w:rPr>
          <w:rFonts w:ascii="Times New Roman" w:eastAsia="Times New Roman" w:hAnsi="Times New Roman" w:cs="Times New Roman"/>
          <w:bCs/>
          <w:i/>
          <w:color w:val="000000" w:themeColor="text1"/>
          <w:szCs w:val="20"/>
          <w:shd w:val="clear" w:color="auto" w:fill="FFFFFF"/>
        </w:rPr>
        <w:t>Dogan</w:t>
      </w:r>
      <w:proofErr w:type="spellEnd"/>
      <w:r w:rsidRPr="00E05E56">
        <w:rPr>
          <w:rFonts w:ascii="Times New Roman" w:eastAsia="Times New Roman" w:hAnsi="Times New Roman" w:cs="Times New Roman"/>
          <w:bCs/>
          <w:color w:val="000000" w:themeColor="text1"/>
          <w:szCs w:val="20"/>
          <w:shd w:val="clear" w:color="auto" w:fill="FFFFFF"/>
        </w:rPr>
        <w:t xml:space="preserve">, judgment of 10 July 2014, Case C-138/13; </w:t>
      </w:r>
      <w:r w:rsidRPr="00E05E56">
        <w:rPr>
          <w:rFonts w:ascii="Times New Roman" w:eastAsia="Times New Roman" w:hAnsi="Times New Roman" w:cs="Times New Roman"/>
          <w:bCs/>
          <w:i/>
          <w:color w:val="000000" w:themeColor="text1"/>
          <w:szCs w:val="20"/>
          <w:shd w:val="clear" w:color="auto" w:fill="FFFFFF"/>
        </w:rPr>
        <w:t>K and A</w:t>
      </w:r>
      <w:r w:rsidRPr="00E05E56">
        <w:rPr>
          <w:rFonts w:ascii="Times New Roman" w:eastAsia="Times New Roman" w:hAnsi="Times New Roman" w:cs="Times New Roman"/>
          <w:bCs/>
          <w:color w:val="000000" w:themeColor="text1"/>
          <w:szCs w:val="20"/>
          <w:shd w:val="clear" w:color="auto" w:fill="FFFFFF"/>
        </w:rPr>
        <w:t xml:space="preserve">, </w:t>
      </w:r>
      <w:proofErr w:type="spellStart"/>
      <w:r w:rsidRPr="00E05E56">
        <w:rPr>
          <w:rFonts w:ascii="Times New Roman" w:eastAsia="Times New Roman" w:hAnsi="Times New Roman" w:cs="Times New Roman"/>
          <w:bCs/>
          <w:color w:val="000000" w:themeColor="text1"/>
          <w:szCs w:val="20"/>
          <w:shd w:val="clear" w:color="auto" w:fill="FFFFFF"/>
        </w:rPr>
        <w:t>judgement</w:t>
      </w:r>
      <w:proofErr w:type="spellEnd"/>
      <w:r w:rsidRPr="00E05E56">
        <w:rPr>
          <w:rFonts w:ascii="Times New Roman" w:eastAsia="Times New Roman" w:hAnsi="Times New Roman" w:cs="Times New Roman"/>
          <w:bCs/>
          <w:color w:val="000000" w:themeColor="text1"/>
          <w:szCs w:val="20"/>
          <w:shd w:val="clear" w:color="auto" w:fill="FFFFFF"/>
        </w:rPr>
        <w:t xml:space="preserve"> of 9 July 2015, Case C-153/14; P and S, judgment of 4 June 2015, Case C-579/13. For an analysis of these three cases, </w:t>
      </w:r>
      <w:r w:rsidRPr="00E05E56">
        <w:rPr>
          <w:rFonts w:ascii="Times New Roman" w:hAnsi="Times New Roman" w:cs="Times New Roman"/>
          <w:color w:val="000000" w:themeColor="text1"/>
          <w:szCs w:val="20"/>
        </w:rPr>
        <w:t xml:space="preserve">see </w:t>
      </w:r>
      <w:r w:rsidRPr="00E05E56">
        <w:rPr>
          <w:rFonts w:ascii="Times New Roman" w:hAnsi="Times New Roman" w:cs="Times New Roman"/>
          <w:color w:val="000000" w:themeColor="text1"/>
          <w:szCs w:val="20"/>
          <w:lang w:val="en-GB"/>
        </w:rPr>
        <w:t xml:space="preserve">Sarah </w:t>
      </w:r>
      <w:proofErr w:type="spellStart"/>
      <w:r w:rsidRPr="00E05E56">
        <w:rPr>
          <w:rFonts w:ascii="Times New Roman" w:hAnsi="Times New Roman" w:cs="Times New Roman"/>
          <w:color w:val="000000" w:themeColor="text1"/>
          <w:szCs w:val="20"/>
          <w:lang w:val="en-GB"/>
        </w:rPr>
        <w:t>Ganty</w:t>
      </w:r>
      <w:proofErr w:type="spellEnd"/>
      <w:r w:rsidRPr="00E05E56">
        <w:rPr>
          <w:rFonts w:ascii="Times New Roman" w:hAnsi="Times New Roman" w:cs="Times New Roman"/>
          <w:color w:val="000000" w:themeColor="text1"/>
          <w:szCs w:val="20"/>
          <w:lang w:val="en-GB"/>
        </w:rPr>
        <w:t xml:space="preserve">, “Civic Integration Tests Under the Control of the European Court of Justice: a Perilous Tightrope Walk between Margin of Appreciation of the Member States </w:t>
      </w:r>
      <w:r w:rsidRPr="00E05E56">
        <w:rPr>
          <w:rFonts w:ascii="Times New Roman" w:hAnsi="Times New Roman" w:cs="Times New Roman"/>
          <w:szCs w:val="20"/>
          <w:lang w:val="en-GB"/>
        </w:rPr>
        <w:t xml:space="preserve">and Protection of Third Country Nationals”, </w:t>
      </w:r>
      <w:r w:rsidRPr="00E05E56">
        <w:rPr>
          <w:rFonts w:ascii="Times New Roman" w:hAnsi="Times New Roman" w:cs="Times New Roman"/>
          <w:i/>
          <w:szCs w:val="20"/>
          <w:lang w:val="en-GB"/>
        </w:rPr>
        <w:t>European Journal of Human Rights</w:t>
      </w:r>
      <w:r w:rsidRPr="00E05E56">
        <w:rPr>
          <w:rFonts w:ascii="Times New Roman" w:hAnsi="Times New Roman" w:cs="Times New Roman"/>
          <w:szCs w:val="20"/>
          <w:lang w:val="en-GB"/>
        </w:rPr>
        <w:t>, 2016/1, pp. 32-56</w:t>
      </w:r>
      <w:r w:rsidRPr="00E05E56">
        <w:rPr>
          <w:rFonts w:ascii="Times New Roman" w:hAnsi="Times New Roman" w:cs="Times New Roman"/>
          <w:szCs w:val="20"/>
        </w:rPr>
        <w:t>.</w:t>
      </w:r>
    </w:p>
  </w:footnote>
  <w:footnote w:id="45">
    <w:p w14:paraId="73BCC567"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2013 report on Belgium, para. 110; 2013 report on Germany, para. 75. ECRI has also strongly criticised the Netherlands’ civic integration programme in its </w:t>
      </w:r>
      <w:r w:rsidRPr="00E05E56">
        <w:rPr>
          <w:rFonts w:ascii="Times New Roman" w:eastAsia="Times New Roman" w:hAnsi="Times New Roman" w:cs="Times New Roman"/>
          <w:szCs w:val="20"/>
        </w:rPr>
        <w:t>2013 report, paras 196, 197 and 200.</w:t>
      </w:r>
    </w:p>
  </w:footnote>
  <w:footnote w:id="46">
    <w:p w14:paraId="2BEDF78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The 1954 Convention relating to the Status of Stateless Persons defined the term “stateless person” as a person who is not considered as a national by any State under the operation of its law (Article 1). By the end of 2013, according to UNHCR statistics, 49587 persons were under the UNHCR statelessness mandate in the 25 countries covered by this study, including 20450 in Sweden and 11709 in Germany. No data is available for Andorra and San Marino. Statistics available at </w:t>
      </w:r>
      <w:hyperlink r:id="rId12" w:history="1">
        <w:r w:rsidRPr="00E05E56">
          <w:rPr>
            <w:rStyle w:val="Hyperlink"/>
            <w:rFonts w:ascii="Times New Roman" w:hAnsi="Times New Roman" w:cs="Times New Roman"/>
            <w:szCs w:val="20"/>
          </w:rPr>
          <w:t>http://www.unhcr.org/protection/statelessness/546e01319/statistics-stateless-persons.html</w:t>
        </w:r>
      </w:hyperlink>
      <w:r w:rsidRPr="00E05E56">
        <w:rPr>
          <w:rFonts w:ascii="Times New Roman" w:hAnsi="Times New Roman" w:cs="Times New Roman"/>
          <w:szCs w:val="20"/>
        </w:rPr>
        <w:t xml:space="preserve">.  </w:t>
      </w:r>
    </w:p>
  </w:footnote>
  <w:footnote w:id="47">
    <w:p w14:paraId="633ED53B"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w:t>
      </w:r>
      <w:proofErr w:type="spellStart"/>
      <w:r w:rsidRPr="00E05E56">
        <w:rPr>
          <w:rFonts w:ascii="Times New Roman" w:hAnsi="Times New Roman" w:cs="Times New Roman"/>
          <w:bCs/>
          <w:i/>
          <w:iCs/>
          <w:color w:val="000000"/>
          <w:szCs w:val="20"/>
        </w:rPr>
        <w:t>Shindler</w:t>
      </w:r>
      <w:proofErr w:type="spellEnd"/>
      <w:r w:rsidRPr="00E05E56">
        <w:rPr>
          <w:rFonts w:ascii="Times New Roman" w:hAnsi="Times New Roman" w:cs="Times New Roman"/>
          <w:bCs/>
          <w:i/>
          <w:iCs/>
          <w:color w:val="000000"/>
          <w:szCs w:val="20"/>
        </w:rPr>
        <w:t xml:space="preserve"> v. the United Kingdom</w:t>
      </w:r>
      <w:r w:rsidRPr="00E05E56">
        <w:rPr>
          <w:rFonts w:ascii="Times New Roman" w:hAnsi="Times New Roman" w:cs="Times New Roman"/>
          <w:bCs/>
          <w:iCs/>
          <w:color w:val="000000"/>
          <w:szCs w:val="20"/>
        </w:rPr>
        <w:t>, 7 May 2013,</w:t>
      </w:r>
      <w:r w:rsidRPr="00E05E56">
        <w:rPr>
          <w:rFonts w:ascii="Times New Roman" w:hAnsi="Times New Roman" w:cs="Times New Roman"/>
          <w:bCs/>
          <w:color w:val="000000"/>
          <w:szCs w:val="20"/>
        </w:rPr>
        <w:t xml:space="preserve"> application No. </w:t>
      </w:r>
      <w:r w:rsidRPr="00E05E56">
        <w:rPr>
          <w:rFonts w:ascii="Times New Roman" w:hAnsi="Times New Roman" w:cs="Times New Roman"/>
          <w:bCs/>
          <w:szCs w:val="20"/>
        </w:rPr>
        <w:t xml:space="preserve">19840/09, </w:t>
      </w:r>
      <w:r w:rsidRPr="00E05E56">
        <w:rPr>
          <w:rFonts w:ascii="Times New Roman" w:eastAsia="Times New Roman" w:hAnsi="Times New Roman" w:cs="Times New Roman"/>
          <w:color w:val="000000"/>
          <w:szCs w:val="20"/>
          <w:shd w:val="clear" w:color="auto" w:fill="FFFFFF"/>
        </w:rPr>
        <w:t>para. 118.</w:t>
      </w:r>
    </w:p>
  </w:footnote>
  <w:footnote w:id="48">
    <w:p w14:paraId="7C871FA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As recalled by </w:t>
      </w:r>
      <w:r w:rsidRPr="00E05E56">
        <w:rPr>
          <w:rFonts w:ascii="Times New Roman" w:hAnsi="Times New Roman" w:cs="Times New Roman"/>
          <w:szCs w:val="20"/>
          <w:lang w:val="en-GB"/>
        </w:rPr>
        <w:t xml:space="preserve">Richard </w:t>
      </w:r>
      <w:proofErr w:type="spellStart"/>
      <w:r w:rsidRPr="00E05E56">
        <w:rPr>
          <w:rFonts w:ascii="Times New Roman" w:hAnsi="Times New Roman" w:cs="Times New Roman"/>
          <w:szCs w:val="20"/>
          <w:lang w:val="en-GB"/>
        </w:rPr>
        <w:t>Lappin</w:t>
      </w:r>
      <w:proofErr w:type="spellEnd"/>
      <w:r w:rsidRPr="00E05E56">
        <w:rPr>
          <w:rFonts w:ascii="Times New Roman" w:hAnsi="Times New Roman" w:cs="Times New Roman"/>
          <w:szCs w:val="20"/>
          <w:lang w:val="en-GB"/>
        </w:rPr>
        <w:t xml:space="preserve">, “The Right to Vote for Non-Resident Citizens in Europe”, </w:t>
      </w:r>
      <w:r w:rsidRPr="00E05E56">
        <w:rPr>
          <w:rFonts w:ascii="Times New Roman" w:hAnsi="Times New Roman" w:cs="Times New Roman"/>
          <w:i/>
          <w:szCs w:val="20"/>
          <w:lang w:val="en-GB"/>
        </w:rPr>
        <w:t>International &amp; Comparative Law Quarterly</w:t>
      </w:r>
      <w:r w:rsidRPr="00E05E56">
        <w:rPr>
          <w:rFonts w:ascii="Times New Roman" w:hAnsi="Times New Roman" w:cs="Times New Roman"/>
          <w:szCs w:val="20"/>
          <w:lang w:val="en-GB"/>
        </w:rPr>
        <w:t xml:space="preserve">, 65(4), October 2016, pp. 859-894, p. 873. See also </w:t>
      </w:r>
      <w:r w:rsidRPr="00E05E56">
        <w:rPr>
          <w:rFonts w:ascii="Times New Roman" w:hAnsi="Times New Roman" w:cs="Times New Roman"/>
          <w:szCs w:val="20"/>
        </w:rPr>
        <w:t xml:space="preserve">Julie Fraser (2017). “Inclusive Democracy: Franchise Limitations on Non-Resident Citizens as an Unjust Restriction of Rights under the European Convention on Human Rights”, </w:t>
      </w:r>
      <w:r w:rsidRPr="00E05E56">
        <w:rPr>
          <w:rFonts w:ascii="Times New Roman" w:hAnsi="Times New Roman" w:cs="Times New Roman"/>
          <w:i/>
          <w:szCs w:val="20"/>
        </w:rPr>
        <w:t>Utrecht Journal of International and European Law</w:t>
      </w:r>
      <w:r w:rsidRPr="00E05E56">
        <w:rPr>
          <w:rFonts w:ascii="Times New Roman" w:hAnsi="Times New Roman" w:cs="Times New Roman"/>
          <w:szCs w:val="20"/>
        </w:rPr>
        <w:t>, 33(84), pp.23–43.</w:t>
      </w:r>
    </w:p>
  </w:footnote>
  <w:footnote w:id="49">
    <w:p w14:paraId="66D761F3" w14:textId="77777777" w:rsidR="0043479F" w:rsidRPr="00E05E56" w:rsidRDefault="0043479F" w:rsidP="00E05E56">
      <w:pPr>
        <w:pStyle w:val="FootnoteText"/>
        <w:rPr>
          <w:rFonts w:ascii="Times New Roman" w:eastAsia="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r w:rsidRPr="00E05E56">
        <w:rPr>
          <w:rFonts w:ascii="Times New Roman" w:eastAsia="Times New Roman" w:hAnsi="Times New Roman" w:cs="Times New Roman"/>
          <w:szCs w:val="20"/>
          <w:lang w:val="en-GB"/>
        </w:rPr>
        <w:t>This is the case in the following states: Austria, Belgium, Finland, France, Iceland, Italy, Luxembourg, Monaco, Norway, Netherlands, Portugal, Romania, Spain, Sweden and Switzerland. The principle of the right to vote from abroad of citizens who are permanently resident abroad or temporarily out of the country is therefore recognised in a broad majority of the states considered, para. 25.</w:t>
      </w:r>
    </w:p>
  </w:footnote>
  <w:footnote w:id="50">
    <w:p w14:paraId="6FD59E56"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“Overall, to deal with voters on electoral lists who de facto reside abroad seems particularly important in times of globalisation and increased mobility of individuals. Cross-border migration is a growing phenomenon. Since the latter is likely to increase in the future, the need to address related problems – such as voters on electoral lists who de facto reside abroad – likewise becomes more pressing”, Christina Binder, </w:t>
      </w:r>
      <w:r w:rsidRPr="00E05E56">
        <w:rPr>
          <w:rFonts w:ascii="Times New Roman" w:eastAsia="Times New Roman" w:hAnsi="Times New Roman" w:cs="Times New Roman"/>
          <w:color w:val="616161"/>
          <w:szCs w:val="20"/>
          <w:shd w:val="clear" w:color="auto" w:fill="FFFFFF"/>
          <w:lang w:val="en-GB"/>
        </w:rPr>
        <w:t>‘</w:t>
      </w:r>
      <w:r w:rsidRPr="00E05E56">
        <w:rPr>
          <w:rFonts w:ascii="Times New Roman" w:hAnsi="Times New Roman" w:cs="Times New Roman"/>
          <w:szCs w:val="20"/>
          <w:lang w:val="en-GB"/>
        </w:rPr>
        <w:t>Comments on Electoral Lists and Voters Residing De Facto Abroad’ (27 January 2015) Study No 748/2013 (CDL-EL (2015003),</w:t>
      </w:r>
      <w:r w:rsidRPr="00E05E56">
        <w:rPr>
          <w:rFonts w:ascii="Times New Roman" w:eastAsia="Times New Roman" w:hAnsi="Times New Roman" w:cs="Times New Roman"/>
          <w:color w:val="616161"/>
          <w:szCs w:val="20"/>
          <w:shd w:val="clear" w:color="auto" w:fill="FFFFFF"/>
          <w:lang w:val="en-GB"/>
        </w:rPr>
        <w:t xml:space="preserve"> </w:t>
      </w:r>
      <w:hyperlink r:id="rId13" w:history="1">
        <w:r w:rsidRPr="00E05E56">
          <w:rPr>
            <w:rStyle w:val="Hyperlink"/>
            <w:rFonts w:ascii="Times New Roman" w:eastAsia="Times New Roman" w:hAnsi="Times New Roman" w:cs="Times New Roman"/>
            <w:szCs w:val="20"/>
            <w:shd w:val="clear" w:color="auto" w:fill="FFFFFF"/>
            <w:lang w:val="en-GB"/>
          </w:rPr>
          <w:t>http://www.venice.coe.int/webforms/documents/default.aspx?pdffile=CDL-EL(2015)003-e</w:t>
        </w:r>
      </w:hyperlink>
      <w:r w:rsidRPr="00E05E56">
        <w:rPr>
          <w:rFonts w:ascii="Times New Roman" w:eastAsia="Times New Roman" w:hAnsi="Times New Roman" w:cs="Times New Roman"/>
          <w:color w:val="616161"/>
          <w:szCs w:val="20"/>
          <w:shd w:val="clear" w:color="auto" w:fill="FFFFFF"/>
          <w:lang w:val="en-GB"/>
        </w:rPr>
        <w:t xml:space="preserve">. </w:t>
      </w:r>
      <w:r w:rsidRPr="00E05E56">
        <w:rPr>
          <w:rFonts w:ascii="Times New Roman" w:hAnsi="Times New Roman" w:cs="Times New Roman"/>
          <w:szCs w:val="20"/>
          <w:lang w:val="en-GB"/>
        </w:rPr>
        <w:t xml:space="preserve">See also </w:t>
      </w:r>
      <w:proofErr w:type="spellStart"/>
      <w:r w:rsidRPr="00E05E56">
        <w:rPr>
          <w:rFonts w:ascii="Times New Roman" w:hAnsi="Times New Roman" w:cs="Times New Roman"/>
          <w:szCs w:val="20"/>
          <w:lang w:val="en-GB"/>
        </w:rPr>
        <w:t>László</w:t>
      </w:r>
      <w:proofErr w:type="spellEnd"/>
      <w:r w:rsidRPr="00E05E56">
        <w:rPr>
          <w:rFonts w:ascii="Times New Roman" w:hAnsi="Times New Roman" w:cs="Times New Roman"/>
          <w:szCs w:val="20"/>
          <w:lang w:val="en-GB"/>
        </w:rPr>
        <w:t xml:space="preserve"> </w:t>
      </w:r>
      <w:proofErr w:type="spellStart"/>
      <w:r w:rsidRPr="00E05E56">
        <w:rPr>
          <w:rFonts w:ascii="Times New Roman" w:hAnsi="Times New Roman" w:cs="Times New Roman"/>
          <w:szCs w:val="20"/>
          <w:lang w:val="en-GB"/>
        </w:rPr>
        <w:t>Trócsányi</w:t>
      </w:r>
      <w:proofErr w:type="spellEnd"/>
      <w:r w:rsidRPr="00E05E56">
        <w:rPr>
          <w:rFonts w:ascii="Times New Roman" w:hAnsi="Times New Roman" w:cs="Times New Roman"/>
          <w:szCs w:val="20"/>
          <w:lang w:val="en-GB"/>
        </w:rPr>
        <w:t xml:space="preserve">, “The Regulation of External Voting at National and International Level”, </w:t>
      </w:r>
      <w:r w:rsidRPr="00E05E56">
        <w:rPr>
          <w:rFonts w:ascii="Times New Roman" w:hAnsi="Times New Roman" w:cs="Times New Roman"/>
          <w:i/>
          <w:szCs w:val="20"/>
          <w:lang w:val="en-GB"/>
        </w:rPr>
        <w:t>Minority Studies</w:t>
      </w:r>
      <w:r w:rsidRPr="00E05E56">
        <w:rPr>
          <w:rFonts w:ascii="Times New Roman" w:hAnsi="Times New Roman" w:cs="Times New Roman"/>
          <w:szCs w:val="20"/>
          <w:lang w:val="en-GB"/>
        </w:rPr>
        <w:t xml:space="preserve">, 16: </w:t>
      </w:r>
      <w:proofErr w:type="gramStart"/>
      <w:r w:rsidRPr="00E05E56">
        <w:rPr>
          <w:rFonts w:ascii="Times New Roman" w:hAnsi="Times New Roman" w:cs="Times New Roman"/>
          <w:szCs w:val="20"/>
          <w:lang w:val="en-GB"/>
        </w:rPr>
        <w:t>13.,</w:t>
      </w:r>
      <w:proofErr w:type="gramEnd"/>
      <w:r w:rsidRPr="00E05E56">
        <w:rPr>
          <w:rFonts w:ascii="Times New Roman" w:hAnsi="Times New Roman" w:cs="Times New Roman"/>
          <w:szCs w:val="20"/>
          <w:lang w:val="en-GB"/>
        </w:rPr>
        <w:t xml:space="preserve"> pp. 13-24.</w:t>
      </w:r>
    </w:p>
  </w:footnote>
  <w:footnote w:id="51">
    <w:p w14:paraId="71283B21"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Venice Commission, </w:t>
      </w:r>
      <w:r w:rsidRPr="00E05E56">
        <w:rPr>
          <w:rFonts w:ascii="Times New Roman" w:hAnsi="Times New Roman" w:cs="Times New Roman"/>
          <w:i/>
          <w:szCs w:val="20"/>
          <w:lang w:val="en-GB"/>
        </w:rPr>
        <w:t>Report on out-of-country voting</w:t>
      </w:r>
      <w:r w:rsidRPr="00E05E56">
        <w:rPr>
          <w:rFonts w:ascii="Times New Roman" w:hAnsi="Times New Roman" w:cs="Times New Roman"/>
          <w:szCs w:val="20"/>
          <w:lang w:val="en-GB"/>
        </w:rPr>
        <w:t>, 24 June 2011, CDL-</w:t>
      </w:r>
      <w:proofErr w:type="gramStart"/>
      <w:r w:rsidRPr="00E05E56">
        <w:rPr>
          <w:rFonts w:ascii="Times New Roman" w:hAnsi="Times New Roman" w:cs="Times New Roman"/>
          <w:szCs w:val="20"/>
          <w:lang w:val="en-GB"/>
        </w:rPr>
        <w:t>AD(</w:t>
      </w:r>
      <w:proofErr w:type="gramEnd"/>
      <w:r w:rsidRPr="00E05E56">
        <w:rPr>
          <w:rFonts w:ascii="Times New Roman" w:hAnsi="Times New Roman" w:cs="Times New Roman"/>
          <w:szCs w:val="20"/>
          <w:lang w:val="en-GB"/>
        </w:rPr>
        <w:t>2011)022. The report concludes: “</w:t>
      </w:r>
      <w:r w:rsidRPr="00E05E56">
        <w:rPr>
          <w:rFonts w:ascii="Times New Roman" w:eastAsia="Times New Roman" w:hAnsi="Times New Roman" w:cs="Times New Roman"/>
          <w:szCs w:val="20"/>
        </w:rPr>
        <w:t xml:space="preserve">Although the introduction of the right to vote for citizens who live abroad is not required by the principles of the European electoral heritage, the European Commission for Democracy through Law suggests that states, in view of citizens' European mobility, and in accordance with the particular situation of certain states, adopt a positive approach to the right to vote of citizens living abroad, since this right fosters the development of national and European citizenship”, para. 99. </w:t>
      </w:r>
    </w:p>
  </w:footnote>
  <w:footnote w:id="52">
    <w:p w14:paraId="2F7164CA"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r w:rsidRPr="00E05E56">
        <w:rPr>
          <w:rFonts w:ascii="Times New Roman" w:hAnsi="Times New Roman" w:cs="Times New Roman"/>
          <w:i/>
          <w:szCs w:val="20"/>
          <w:lang w:val="en-GB"/>
        </w:rPr>
        <w:t>Idem</w:t>
      </w:r>
      <w:r w:rsidRPr="00E05E56">
        <w:rPr>
          <w:rFonts w:ascii="Times New Roman" w:hAnsi="Times New Roman" w:cs="Times New Roman"/>
          <w:szCs w:val="20"/>
          <w:lang w:val="en-GB"/>
        </w:rPr>
        <w:t>, paras 55 and 22.</w:t>
      </w:r>
      <w:r w:rsidRPr="00E05E56">
        <w:rPr>
          <w:rFonts w:ascii="Times New Roman" w:eastAsia="Times New Roman" w:hAnsi="Times New Roman" w:cs="Times New Roman"/>
          <w:szCs w:val="20"/>
        </w:rPr>
        <w:t xml:space="preserve"> For a table presenting the countries and the elections in which their non-resident citizens are allowed to vote, see para. 55.</w:t>
      </w:r>
    </w:p>
  </w:footnote>
  <w:footnote w:id="53">
    <w:p w14:paraId="2C34605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In </w:t>
      </w:r>
      <w:proofErr w:type="spellStart"/>
      <w:r w:rsidRPr="00E05E56">
        <w:rPr>
          <w:rFonts w:ascii="Times New Roman" w:hAnsi="Times New Roman" w:cs="Times New Roman"/>
          <w:i/>
          <w:szCs w:val="20"/>
        </w:rPr>
        <w:t>Gillot</w:t>
      </w:r>
      <w:proofErr w:type="spellEnd"/>
      <w:r w:rsidRPr="00E05E56">
        <w:rPr>
          <w:rFonts w:ascii="Times New Roman" w:hAnsi="Times New Roman" w:cs="Times New Roman"/>
          <w:i/>
          <w:szCs w:val="20"/>
        </w:rPr>
        <w:t xml:space="preserve"> v. France</w:t>
      </w:r>
      <w:r w:rsidRPr="00E05E56">
        <w:rPr>
          <w:rFonts w:ascii="Times New Roman" w:hAnsi="Times New Roman" w:cs="Times New Roman"/>
          <w:szCs w:val="20"/>
        </w:rPr>
        <w:t xml:space="preserve">, the Committee considered the nature and purpose of a specific election </w:t>
      </w:r>
      <w:r w:rsidRPr="00E05E56">
        <w:rPr>
          <w:rFonts w:ascii="Times New Roman" w:hAnsi="Times New Roman" w:cs="Times New Roman"/>
          <w:color w:val="000000"/>
          <w:szCs w:val="20"/>
          <w:lang w:val="en-GB"/>
        </w:rPr>
        <w:t xml:space="preserve">strictly limited </w:t>
      </w:r>
      <w:proofErr w:type="spellStart"/>
      <w:r w:rsidRPr="00E05E56">
        <w:rPr>
          <w:rFonts w:ascii="Times New Roman" w:hAnsi="Times New Roman" w:cs="Times New Roman"/>
          <w:i/>
          <w:color w:val="000000"/>
          <w:szCs w:val="20"/>
          <w:lang w:val="en-GB"/>
        </w:rPr>
        <w:t>ratione</w:t>
      </w:r>
      <w:proofErr w:type="spellEnd"/>
      <w:r w:rsidRPr="00E05E56">
        <w:rPr>
          <w:rFonts w:ascii="Times New Roman" w:hAnsi="Times New Roman" w:cs="Times New Roman"/>
          <w:i/>
          <w:color w:val="000000"/>
          <w:szCs w:val="20"/>
          <w:lang w:val="en-GB"/>
        </w:rPr>
        <w:t xml:space="preserve"> loci</w:t>
      </w:r>
      <w:r w:rsidRPr="00E05E56">
        <w:rPr>
          <w:rFonts w:ascii="Times New Roman" w:hAnsi="Times New Roman" w:cs="Times New Roman"/>
          <w:color w:val="000000"/>
          <w:szCs w:val="20"/>
          <w:lang w:val="en-GB"/>
        </w:rPr>
        <w:t xml:space="preserve"> to local ballots on self</w:t>
      </w:r>
      <w:r w:rsidRPr="00E05E56">
        <w:rPr>
          <w:rFonts w:ascii="Times New Roman" w:hAnsi="Times New Roman" w:cs="Times New Roman"/>
          <w:color w:val="000000"/>
          <w:szCs w:val="20"/>
          <w:lang w:val="en-GB"/>
        </w:rPr>
        <w:noBreakHyphen/>
        <w:t>determination and observed that the restrictions had no consequences for participation in general elections, whether legislative, presidential, European or municipal, or other referendums</w:t>
      </w:r>
      <w:r w:rsidRPr="00E05E56">
        <w:rPr>
          <w:rFonts w:ascii="Times New Roman" w:hAnsi="Times New Roman" w:cs="Times New Roman"/>
          <w:szCs w:val="20"/>
        </w:rPr>
        <w:t xml:space="preserve">. </w:t>
      </w:r>
      <w:proofErr w:type="spellStart"/>
      <w:r w:rsidRPr="00E05E56">
        <w:rPr>
          <w:rFonts w:ascii="Times New Roman" w:eastAsia="Times New Roman" w:hAnsi="Times New Roman" w:cs="Times New Roman"/>
          <w:i/>
          <w:color w:val="000000" w:themeColor="text1"/>
          <w:szCs w:val="20"/>
          <w:lang w:val="en-GB" w:eastAsia="en-GB"/>
        </w:rPr>
        <w:t>Gillot</w:t>
      </w:r>
      <w:proofErr w:type="spellEnd"/>
      <w:r w:rsidRPr="00E05E56">
        <w:rPr>
          <w:rFonts w:ascii="Times New Roman" w:eastAsia="Times New Roman" w:hAnsi="Times New Roman" w:cs="Times New Roman"/>
          <w:i/>
          <w:color w:val="000000" w:themeColor="text1"/>
          <w:szCs w:val="20"/>
          <w:lang w:val="en-GB" w:eastAsia="en-GB"/>
        </w:rPr>
        <w:t xml:space="preserve"> et al v. France</w:t>
      </w:r>
      <w:r w:rsidRPr="00E05E56">
        <w:rPr>
          <w:rFonts w:ascii="Times New Roman" w:eastAsia="Times New Roman" w:hAnsi="Times New Roman" w:cs="Times New Roman"/>
          <w:color w:val="000000" w:themeColor="text1"/>
          <w:szCs w:val="20"/>
          <w:lang w:val="en-GB" w:eastAsia="en-GB"/>
        </w:rPr>
        <w:t xml:space="preserve">, </w:t>
      </w:r>
      <w:r w:rsidRPr="00E05E56">
        <w:rPr>
          <w:rFonts w:ascii="Times New Roman" w:hAnsi="Times New Roman" w:cs="Times New Roman"/>
          <w:szCs w:val="20"/>
          <w:lang w:val="en-GB"/>
        </w:rPr>
        <w:t>CCPR/C/75/D/932/2000, 21 July 2002, para. 13.17.</w:t>
      </w:r>
    </w:p>
  </w:footnote>
  <w:footnote w:id="54">
    <w:p w14:paraId="7060C3F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For more details, see OSCE/ODIHR Meeting Report, Civic and Political Participation of Migrants: Challenges and Good Practices in Line with OSCE Commitments and International Standards, Concluding Recommendations, November 2017. </w:t>
      </w:r>
    </w:p>
  </w:footnote>
  <w:footnote w:id="55">
    <w:p w14:paraId="4B4ADD2E"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an overview of women’s representation in national parliaments, see Annex 3.</w:t>
      </w:r>
    </w:p>
  </w:footnote>
  <w:footnote w:id="56">
    <w:p w14:paraId="121410B2"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Gender Equality Commission, Implementation of the Council of Europe Gender Equality Strategy 2014-2017, Annual Report 2016 </w:t>
      </w:r>
      <w:hyperlink r:id="rId14"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rm.coe.int</w:t>
        </w:r>
        <w:proofErr w:type="spellEnd"/>
        <w:r w:rsidRPr="00E05E56">
          <w:rPr>
            <w:rStyle w:val="Hyperlink"/>
            <w:rFonts w:ascii="Times New Roman" w:hAnsi="Times New Roman" w:cs="Times New Roman"/>
            <w:szCs w:val="20"/>
          </w:rPr>
          <w:t>/16806eeb7b</w:t>
        </w:r>
      </w:hyperlink>
      <w:r w:rsidRPr="00E05E56">
        <w:rPr>
          <w:rFonts w:ascii="Times New Roman" w:hAnsi="Times New Roman" w:cs="Times New Roman"/>
          <w:szCs w:val="20"/>
        </w:rPr>
        <w:t>, p. 15.</w:t>
      </w:r>
    </w:p>
  </w:footnote>
  <w:footnote w:id="57">
    <w:p w14:paraId="26D12E1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Recommendation Rec(2003)3 of the Committee of Ministers  and explanatory memorandum on </w:t>
      </w:r>
      <w:r w:rsidRPr="00E05E56">
        <w:rPr>
          <w:rFonts w:ascii="Times New Roman" w:hAnsi="Times New Roman" w:cs="Times New Roman"/>
          <w:i/>
          <w:szCs w:val="20"/>
        </w:rPr>
        <w:t>Balanced participation of women and men in political and public decision-making</w:t>
      </w:r>
      <w:r w:rsidRPr="00E05E56">
        <w:rPr>
          <w:rFonts w:ascii="Times New Roman" w:hAnsi="Times New Roman" w:cs="Times New Roman"/>
          <w:szCs w:val="20"/>
        </w:rPr>
        <w:t xml:space="preserve">, Appendix; Recommendation CM/REC (2007)17 of the Committee of Ministers on gender equality standards and mechanisms, paras 31-33. </w:t>
      </w:r>
    </w:p>
  </w:footnote>
  <w:footnote w:id="58">
    <w:p w14:paraId="41E30A3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European Parliament report on Women in Political Decision-Making – Quality and Equality (2011/2295(INI)), para. 8.</w:t>
      </w:r>
    </w:p>
  </w:footnote>
  <w:footnote w:id="59">
    <w:p w14:paraId="3E0CC21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European Commission Strategic Engagement for Gender Equality 2016-2019, Annex 3.</w:t>
      </w:r>
    </w:p>
  </w:footnote>
  <w:footnote w:id="60">
    <w:p w14:paraId="0A7ED6D5"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Similarly, in accordance with OSCE Decision No. 7/09 on Women’s Participation in Political and Public Life, the Ministerial Council calls on the participating States to “consider possible legislative measures, which would facilitate a more balanced participation of women and men in political and public life and especially in decision-making”, and to “encourage all political actors to promote equal participation of women and men in political parties, with a view to achieving better gender-balance representation in elected public offices at all levels of decision-making.” All such steps are considered good practice. Guidelines on political party regulation, by OSCE/ODIHR and Venice Commission - adopted by the Venice Commission at its 84th Plenary Session, 15- 16 October 2010, para. 102. </w:t>
      </w:r>
    </w:p>
  </w:footnote>
  <w:footnote w:id="61">
    <w:p w14:paraId="3F046120"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the compilation of UN human rights </w:t>
      </w:r>
      <w:proofErr w:type="gramStart"/>
      <w:r w:rsidRPr="00E05E56">
        <w:rPr>
          <w:rFonts w:ascii="Times New Roman" w:hAnsi="Times New Roman" w:cs="Times New Roman"/>
          <w:szCs w:val="20"/>
          <w:lang w:val="en-GB"/>
        </w:rPr>
        <w:t>bodies</w:t>
      </w:r>
      <w:proofErr w:type="gramEnd"/>
      <w:r w:rsidRPr="00E05E56">
        <w:rPr>
          <w:rFonts w:ascii="Times New Roman" w:hAnsi="Times New Roman" w:cs="Times New Roman"/>
          <w:szCs w:val="20"/>
          <w:lang w:val="en-GB"/>
        </w:rPr>
        <w:t xml:space="preserve"> jurisprudence, Annex 1.</w:t>
      </w:r>
    </w:p>
  </w:footnote>
  <w:footnote w:id="62">
    <w:p w14:paraId="260EE7DC"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CEDAW Concluding Observations on Greece, </w:t>
      </w:r>
      <w:r w:rsidRPr="00E05E56">
        <w:rPr>
          <w:rFonts w:ascii="Times New Roman" w:eastAsia="Times New Roman" w:hAnsi="Times New Roman" w:cs="Times New Roman"/>
          <w:szCs w:val="20"/>
          <w:lang w:val="en-GB"/>
        </w:rPr>
        <w:t xml:space="preserve">CEDAW/C/GRC/CO/7, 2013, </w:t>
      </w:r>
      <w:r w:rsidRPr="00E05E56">
        <w:rPr>
          <w:rFonts w:ascii="Times New Roman" w:hAnsi="Times New Roman" w:cs="Times New Roman"/>
          <w:szCs w:val="20"/>
        </w:rPr>
        <w:t>para. 24.</w:t>
      </w:r>
    </w:p>
  </w:footnote>
  <w:footnote w:id="63">
    <w:p w14:paraId="24E1B79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CEDAW Concluding Observations on Portugal in which the Committee criticizes the “leniency of the sanctions” </w:t>
      </w:r>
      <w:r w:rsidRPr="00E05E56">
        <w:rPr>
          <w:rFonts w:ascii="Times New Roman" w:hAnsi="Times New Roman" w:cs="Times New Roman"/>
          <w:bCs/>
          <w:color w:val="000000"/>
          <w:szCs w:val="20"/>
        </w:rPr>
        <w:t>applied in the event of failure to comply with the quota</w:t>
      </w:r>
      <w:r w:rsidRPr="00E05E56">
        <w:rPr>
          <w:rFonts w:ascii="Times New Roman" w:hAnsi="Times New Roman" w:cs="Times New Roman"/>
          <w:szCs w:val="20"/>
        </w:rPr>
        <w:t xml:space="preserve">, </w:t>
      </w:r>
      <w:r w:rsidRPr="00E05E56">
        <w:rPr>
          <w:rFonts w:ascii="Times New Roman" w:hAnsi="Times New Roman" w:cs="Times New Roman"/>
          <w:color w:val="000000"/>
          <w:szCs w:val="20"/>
        </w:rPr>
        <w:t>CEDAW/C/PRT/CO/8-9, 2015, para. 30.</w:t>
      </w:r>
    </w:p>
  </w:footnote>
  <w:footnote w:id="64">
    <w:p w14:paraId="024CFF7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CEDAW Concluding Observations on France, </w:t>
      </w:r>
      <w:r w:rsidRPr="00E05E56">
        <w:rPr>
          <w:rFonts w:ascii="Times New Roman" w:hAnsi="Times New Roman" w:cs="Times New Roman"/>
          <w:bCs/>
          <w:szCs w:val="20"/>
          <w:lang w:val="en-GB"/>
        </w:rPr>
        <w:t>CEDAW/C/FRA/CO/7-8, 2016, para. 28.</w:t>
      </w:r>
    </w:p>
  </w:footnote>
  <w:footnote w:id="65">
    <w:p w14:paraId="5EF02E86"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Annex 4 based on the Gender Quotas Database.</w:t>
      </w:r>
      <w:r w:rsidRPr="00E05E56">
        <w:rPr>
          <w:rFonts w:ascii="Times New Roman" w:hAnsi="Times New Roman" w:cs="Times New Roman"/>
          <w:szCs w:val="20"/>
        </w:rPr>
        <w:t xml:space="preserve"> </w:t>
      </w:r>
      <w:hyperlink r:id="rId15" w:history="1">
        <w:r w:rsidRPr="00E05E56">
          <w:rPr>
            <w:rStyle w:val="Hyperlink"/>
            <w:rFonts w:ascii="Times New Roman" w:hAnsi="Times New Roman" w:cs="Times New Roman"/>
            <w:szCs w:val="20"/>
            <w:lang w:val="en-GB"/>
          </w:rPr>
          <w:t>https://</w:t>
        </w:r>
        <w:proofErr w:type="spellStart"/>
        <w:r w:rsidRPr="00E05E56">
          <w:rPr>
            <w:rStyle w:val="Hyperlink"/>
            <w:rFonts w:ascii="Times New Roman" w:hAnsi="Times New Roman" w:cs="Times New Roman"/>
            <w:szCs w:val="20"/>
            <w:lang w:val="en-GB"/>
          </w:rPr>
          <w:t>www.idea.int</w:t>
        </w:r>
        <w:proofErr w:type="spellEnd"/>
        <w:r w:rsidRPr="00E05E56">
          <w:rPr>
            <w:rStyle w:val="Hyperlink"/>
            <w:rFonts w:ascii="Times New Roman" w:hAnsi="Times New Roman" w:cs="Times New Roman"/>
            <w:szCs w:val="20"/>
            <w:lang w:val="en-GB"/>
          </w:rPr>
          <w:t>/data-tools/data/gender-quotas</w:t>
        </w:r>
      </w:hyperlink>
      <w:r w:rsidRPr="00E05E56">
        <w:rPr>
          <w:rFonts w:ascii="Times New Roman" w:hAnsi="Times New Roman" w:cs="Times New Roman"/>
          <w:szCs w:val="20"/>
          <w:lang w:val="en-GB"/>
        </w:rPr>
        <w:t xml:space="preserve">. </w:t>
      </w:r>
    </w:p>
  </w:footnote>
  <w:footnote w:id="66">
    <w:p w14:paraId="3F35A56C"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Venice Commission </w:t>
      </w:r>
      <w:r w:rsidRPr="00E05E56">
        <w:rPr>
          <w:rFonts w:ascii="Times New Roman" w:hAnsi="Times New Roman" w:cs="Times New Roman"/>
          <w:szCs w:val="20"/>
          <w:lang w:val="en-GB"/>
        </w:rPr>
        <w:t>R</w:t>
      </w:r>
      <w:proofErr w:type="spellStart"/>
      <w:r w:rsidRPr="00E05E56">
        <w:rPr>
          <w:rFonts w:ascii="Times New Roman" w:hAnsi="Times New Roman" w:cs="Times New Roman"/>
          <w:szCs w:val="20"/>
        </w:rPr>
        <w:t>eport</w:t>
      </w:r>
      <w:proofErr w:type="spellEnd"/>
      <w:r w:rsidRPr="00E05E56">
        <w:rPr>
          <w:rFonts w:ascii="Times New Roman" w:hAnsi="Times New Roman" w:cs="Times New Roman"/>
          <w:szCs w:val="20"/>
        </w:rPr>
        <w:t xml:space="preserve"> on the Impact of Electoral Systems on Women's Representation in Politics, 2009, para. 115. </w:t>
      </w:r>
      <w:hyperlink r:id="rId16" w:history="1">
        <w:r w:rsidRPr="00E05E56">
          <w:rPr>
            <w:rStyle w:val="Hyperlink"/>
            <w:rFonts w:ascii="Times New Roman" w:hAnsi="Times New Roman" w:cs="Times New Roman"/>
            <w:szCs w:val="20"/>
            <w:lang w:val="en-GB"/>
          </w:rPr>
          <w:t>http://www.venice.coe.int/webforms/documents/CDL-</w:t>
        </w:r>
        <w:proofErr w:type="gramStart"/>
        <w:r w:rsidRPr="00E05E56">
          <w:rPr>
            <w:rStyle w:val="Hyperlink"/>
            <w:rFonts w:ascii="Times New Roman" w:hAnsi="Times New Roman" w:cs="Times New Roman"/>
            <w:szCs w:val="20"/>
            <w:lang w:val="en-GB"/>
          </w:rPr>
          <w:t>AD(</w:t>
        </w:r>
        <w:proofErr w:type="gramEnd"/>
        <w:r w:rsidRPr="00E05E56">
          <w:rPr>
            <w:rStyle w:val="Hyperlink"/>
            <w:rFonts w:ascii="Times New Roman" w:hAnsi="Times New Roman" w:cs="Times New Roman"/>
            <w:szCs w:val="20"/>
            <w:lang w:val="en-GB"/>
          </w:rPr>
          <w:t>2009)029.aspx</w:t>
        </w:r>
      </w:hyperlink>
      <w:r w:rsidRPr="00E05E56">
        <w:rPr>
          <w:rFonts w:ascii="Times New Roman" w:hAnsi="Times New Roman" w:cs="Times New Roman"/>
          <w:szCs w:val="20"/>
          <w:lang w:val="en-GB"/>
        </w:rPr>
        <w:t xml:space="preserve">. See also Compilation of Venice Commission Opinions and Reports Concerning Gender Equality, 2016, from p. 19. </w:t>
      </w:r>
      <w:hyperlink r:id="rId17" w:history="1">
        <w:r w:rsidRPr="00E05E56">
          <w:rPr>
            <w:rStyle w:val="Hyperlink"/>
            <w:rFonts w:ascii="Times New Roman" w:hAnsi="Times New Roman" w:cs="Times New Roman"/>
            <w:szCs w:val="20"/>
            <w:lang w:val="en-GB"/>
          </w:rPr>
          <w:t>http://www.venice.coe.int/webforms/documents/?pdf=CDL-</w:t>
        </w:r>
        <w:proofErr w:type="gramStart"/>
        <w:r w:rsidRPr="00E05E56">
          <w:rPr>
            <w:rStyle w:val="Hyperlink"/>
            <w:rFonts w:ascii="Times New Roman" w:hAnsi="Times New Roman" w:cs="Times New Roman"/>
            <w:szCs w:val="20"/>
            <w:lang w:val="en-GB"/>
          </w:rPr>
          <w:t>PI(</w:t>
        </w:r>
        <w:proofErr w:type="gramEnd"/>
        <w:r w:rsidRPr="00E05E56">
          <w:rPr>
            <w:rStyle w:val="Hyperlink"/>
            <w:rFonts w:ascii="Times New Roman" w:hAnsi="Times New Roman" w:cs="Times New Roman"/>
            <w:szCs w:val="20"/>
            <w:lang w:val="en-GB"/>
          </w:rPr>
          <w:t>2016)007-e</w:t>
        </w:r>
      </w:hyperlink>
      <w:r w:rsidRPr="00E05E56">
        <w:rPr>
          <w:rFonts w:ascii="Times New Roman" w:hAnsi="Times New Roman" w:cs="Times New Roman"/>
          <w:szCs w:val="20"/>
          <w:lang w:val="en-GB"/>
        </w:rPr>
        <w:t xml:space="preserve">. </w:t>
      </w:r>
    </w:p>
  </w:footnote>
  <w:footnote w:id="67">
    <w:p w14:paraId="0817E97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Venice Commission </w:t>
      </w:r>
      <w:r w:rsidRPr="00E05E56">
        <w:rPr>
          <w:rFonts w:ascii="Times New Roman" w:hAnsi="Times New Roman" w:cs="Times New Roman"/>
          <w:szCs w:val="20"/>
          <w:lang w:val="en-GB"/>
        </w:rPr>
        <w:t>R</w:t>
      </w:r>
      <w:proofErr w:type="spellStart"/>
      <w:r w:rsidRPr="00E05E56">
        <w:rPr>
          <w:rFonts w:ascii="Times New Roman" w:hAnsi="Times New Roman" w:cs="Times New Roman"/>
          <w:szCs w:val="20"/>
        </w:rPr>
        <w:t>eport</w:t>
      </w:r>
      <w:proofErr w:type="spellEnd"/>
      <w:r w:rsidRPr="00E05E56">
        <w:rPr>
          <w:rFonts w:ascii="Times New Roman" w:hAnsi="Times New Roman" w:cs="Times New Roman"/>
          <w:szCs w:val="20"/>
        </w:rPr>
        <w:t xml:space="preserve"> on the Impact of Electoral Systems on Women's Representation in Politics, </w:t>
      </w:r>
      <w:proofErr w:type="spellStart"/>
      <w:proofErr w:type="gramStart"/>
      <w:r w:rsidRPr="00E05E56">
        <w:rPr>
          <w:rFonts w:ascii="Times New Roman" w:hAnsi="Times New Roman" w:cs="Times New Roman"/>
          <w:i/>
          <w:szCs w:val="20"/>
        </w:rPr>
        <w:t>op.cit</w:t>
      </w:r>
      <w:proofErr w:type="spellEnd"/>
      <w:r w:rsidRPr="00E05E56">
        <w:rPr>
          <w:rFonts w:ascii="Times New Roman" w:hAnsi="Times New Roman" w:cs="Times New Roman"/>
          <w:szCs w:val="20"/>
        </w:rPr>
        <w:t>.,</w:t>
      </w:r>
      <w:proofErr w:type="gramEnd"/>
      <w:r w:rsidRPr="00E05E56">
        <w:rPr>
          <w:rFonts w:ascii="Times New Roman" w:hAnsi="Times New Roman" w:cs="Times New Roman"/>
          <w:szCs w:val="20"/>
        </w:rPr>
        <w:t xml:space="preserve"> para. 117.</w:t>
      </w:r>
    </w:p>
  </w:footnote>
  <w:footnote w:id="68">
    <w:p w14:paraId="1863594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for example, CEDAW Concluding observations on Andorra, 2013, </w:t>
      </w:r>
      <w:r w:rsidRPr="00E05E56">
        <w:rPr>
          <w:rFonts w:ascii="Times New Roman" w:eastAsia="Times New Roman" w:hAnsi="Times New Roman" w:cs="Times New Roman"/>
          <w:szCs w:val="20"/>
          <w:lang w:val="en-GB"/>
        </w:rPr>
        <w:t xml:space="preserve">CEDAW/C/AND/CO/2-3; Belgium (“gender test”), 2014, </w:t>
      </w:r>
      <w:r w:rsidRPr="00E05E56">
        <w:rPr>
          <w:rFonts w:ascii="Times New Roman" w:eastAsia="Times New Roman" w:hAnsi="Times New Roman" w:cs="Times New Roman"/>
          <w:bCs/>
          <w:color w:val="000000"/>
          <w:szCs w:val="20"/>
          <w:lang w:val="en-GB"/>
        </w:rPr>
        <w:t xml:space="preserve">CEDAW/C/BEL/CO/7; Denmark, 2015, </w:t>
      </w:r>
      <w:r w:rsidRPr="00E05E56">
        <w:rPr>
          <w:rFonts w:ascii="Times New Roman" w:eastAsia="Times New Roman" w:hAnsi="Times New Roman" w:cs="Times New Roman"/>
          <w:color w:val="000000" w:themeColor="text1"/>
          <w:szCs w:val="20"/>
          <w:lang w:val="en-GB" w:eastAsia="en-GB"/>
        </w:rPr>
        <w:t xml:space="preserve">CEDAW/C/DNK/CO/8. </w:t>
      </w:r>
    </w:p>
  </w:footnote>
  <w:footnote w:id="69">
    <w:p w14:paraId="3665191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hAnsi="Times New Roman" w:cs="Times New Roman"/>
          <w:szCs w:val="20"/>
          <w:lang w:val="en-GB"/>
        </w:rPr>
        <w:t xml:space="preserve">See </w:t>
      </w:r>
      <w:proofErr w:type="spellStart"/>
      <w:r w:rsidRPr="00E05E56">
        <w:rPr>
          <w:rFonts w:ascii="Times New Roman" w:hAnsi="Times New Roman" w:cs="Times New Roman"/>
          <w:szCs w:val="20"/>
          <w:lang w:val="en-GB"/>
        </w:rPr>
        <w:t>CommDH</w:t>
      </w:r>
      <w:proofErr w:type="spellEnd"/>
      <w:r w:rsidRPr="00E05E56">
        <w:rPr>
          <w:rFonts w:ascii="Times New Roman" w:hAnsi="Times New Roman" w:cs="Times New Roman"/>
          <w:szCs w:val="20"/>
          <w:lang w:val="en-GB"/>
        </w:rPr>
        <w:t xml:space="preserve"> 2017 report on Ireland: quotas effective to improve women’s representation.</w:t>
      </w:r>
    </w:p>
  </w:footnote>
  <w:footnote w:id="70">
    <w:p w14:paraId="5F7F68F5"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color w:val="3A3535"/>
          <w:szCs w:val="20"/>
          <w:shd w:val="clear" w:color="auto" w:fill="FFFFFF"/>
        </w:rPr>
        <w:t>2013 Amendments to the electoral code, related to the election of the departmental and regional councils, (</w:t>
      </w:r>
      <w:r w:rsidRPr="00E05E56">
        <w:rPr>
          <w:rFonts w:ascii="Times New Roman" w:eastAsia="Times New Roman" w:hAnsi="Times New Roman" w:cs="Times New Roman"/>
          <w:szCs w:val="20"/>
        </w:rPr>
        <w:t>Article L 191 of the Electoral Code</w:t>
      </w:r>
      <w:r w:rsidRPr="00E05E56">
        <w:rPr>
          <w:rFonts w:ascii="Times New Roman" w:eastAsia="Times New Roman" w:hAnsi="Times New Roman" w:cs="Times New Roman"/>
          <w:color w:val="3A3535"/>
          <w:szCs w:val="20"/>
          <w:shd w:val="clear" w:color="auto" w:fill="FFFFFF"/>
        </w:rPr>
        <w:t>) providing for a new system of nomination of both female and male candidates (‘</w:t>
      </w:r>
      <w:proofErr w:type="spellStart"/>
      <w:r w:rsidRPr="00E05E56">
        <w:rPr>
          <w:rFonts w:ascii="Times New Roman" w:eastAsia="Times New Roman" w:hAnsi="Times New Roman" w:cs="Times New Roman"/>
          <w:color w:val="3A3535"/>
          <w:szCs w:val="20"/>
          <w:shd w:val="clear" w:color="auto" w:fill="FFFFFF"/>
        </w:rPr>
        <w:t>binôme</w:t>
      </w:r>
      <w:proofErr w:type="spellEnd"/>
      <w:r w:rsidRPr="00E05E56">
        <w:rPr>
          <w:rFonts w:ascii="Times New Roman" w:eastAsia="Times New Roman" w:hAnsi="Times New Roman" w:cs="Times New Roman"/>
          <w:color w:val="3A3535"/>
          <w:szCs w:val="20"/>
          <w:shd w:val="clear" w:color="auto" w:fill="FFFFFF"/>
        </w:rPr>
        <w:t xml:space="preserve">’). This resulted in 48% of women elected regional councilors and 50% departmental councilors. It should be noted however that only 3 out of 18 regions and 10% of </w:t>
      </w:r>
      <w:proofErr w:type="spellStart"/>
      <w:r w:rsidRPr="00E05E56">
        <w:rPr>
          <w:rFonts w:ascii="Times New Roman" w:eastAsia="Times New Roman" w:hAnsi="Times New Roman" w:cs="Times New Roman"/>
          <w:i/>
          <w:color w:val="3A3535"/>
          <w:szCs w:val="20"/>
          <w:shd w:val="clear" w:color="auto" w:fill="FFFFFF"/>
        </w:rPr>
        <w:t>départements</w:t>
      </w:r>
      <w:proofErr w:type="spellEnd"/>
      <w:r w:rsidRPr="00E05E56">
        <w:rPr>
          <w:rFonts w:ascii="Times New Roman" w:eastAsia="Times New Roman" w:hAnsi="Times New Roman" w:cs="Times New Roman"/>
          <w:color w:val="3A3535"/>
          <w:szCs w:val="20"/>
          <w:shd w:val="clear" w:color="auto" w:fill="FFFFFF"/>
        </w:rPr>
        <w:t xml:space="preserve"> are presided by a woman.</w:t>
      </w:r>
    </w:p>
  </w:footnote>
  <w:footnote w:id="71">
    <w:p w14:paraId="7A70675D"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examples of good practices regarding indigenous peoples’ participation in decision making, notably the Sami Parliaments in Norway, Sweden and Finland and the Customary Senate consisting of </w:t>
      </w:r>
      <w:proofErr w:type="spellStart"/>
      <w:r w:rsidRPr="00E05E56">
        <w:rPr>
          <w:rFonts w:ascii="Times New Roman" w:hAnsi="Times New Roman" w:cs="Times New Roman"/>
          <w:szCs w:val="20"/>
          <w:lang w:val="en-GB"/>
        </w:rPr>
        <w:t>Kanak</w:t>
      </w:r>
      <w:proofErr w:type="spellEnd"/>
      <w:r w:rsidRPr="00E05E56">
        <w:rPr>
          <w:rFonts w:ascii="Times New Roman" w:hAnsi="Times New Roman" w:cs="Times New Roman"/>
          <w:szCs w:val="20"/>
          <w:lang w:val="en-GB"/>
        </w:rPr>
        <w:t xml:space="preserve"> Senators in New Caledonia (France), see </w:t>
      </w:r>
      <w:r w:rsidRPr="00E05E56">
        <w:rPr>
          <w:rFonts w:ascii="Times New Roman" w:eastAsia="Times New Roman" w:hAnsi="Times New Roman" w:cs="Times New Roman"/>
          <w:szCs w:val="20"/>
        </w:rPr>
        <w:t>Final report of the study on indigenous peoples and the right to participate in decision-making, A/HRC/18/42, 17 August 2011,</w:t>
      </w:r>
      <w:r w:rsidRPr="00E05E56">
        <w:rPr>
          <w:rFonts w:ascii="Times New Roman" w:hAnsi="Times New Roman" w:cs="Times New Roman"/>
          <w:szCs w:val="20"/>
          <w:lang w:val="en-GB"/>
        </w:rPr>
        <w:t xml:space="preserve"> paras 24-29.</w:t>
      </w:r>
    </w:p>
  </w:footnote>
  <w:footnote w:id="72">
    <w:p w14:paraId="453A41D0"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Annex 2.</w:t>
      </w:r>
    </w:p>
  </w:footnote>
  <w:footnote w:id="73">
    <w:p w14:paraId="66FB991C" w14:textId="77777777" w:rsidR="0043479F" w:rsidRPr="00E05E56" w:rsidRDefault="0043479F" w:rsidP="00E05E56">
      <w:pPr>
        <w:pStyle w:val="FootnoteText"/>
        <w:rPr>
          <w:rFonts w:ascii="Times New Roman" w:hAnsi="Times New Roman" w:cs="Times New Roman"/>
          <w:szCs w:val="20"/>
          <w:highlight w:val="yellow"/>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Government comments to the ACFC 4</w:t>
      </w:r>
      <w:r w:rsidRPr="00E05E56">
        <w:rPr>
          <w:rFonts w:ascii="Times New Roman" w:hAnsi="Times New Roman" w:cs="Times New Roman"/>
          <w:szCs w:val="20"/>
          <w:vertAlign w:val="superscript"/>
          <w:lang w:val="en-GB"/>
        </w:rPr>
        <w:t>th</w:t>
      </w:r>
      <w:r w:rsidRPr="00E05E56">
        <w:rPr>
          <w:rFonts w:ascii="Times New Roman" w:hAnsi="Times New Roman" w:cs="Times New Roman"/>
          <w:szCs w:val="20"/>
          <w:lang w:val="en-GB"/>
        </w:rPr>
        <w:t xml:space="preserve"> Opinion on Denmark of 2014: “</w:t>
      </w:r>
      <w:r w:rsidRPr="00E05E56">
        <w:rPr>
          <w:rFonts w:ascii="Times New Roman" w:eastAsia="Times New Roman" w:hAnsi="Times New Roman" w:cs="Times New Roman"/>
          <w:szCs w:val="20"/>
        </w:rPr>
        <w:t>As the German minority in South Jutland has been identified as the only existing national minority in Denmark, there are no grounds for reviewing the articles of the Convention in consultation with other groups as these groups do not constitute or represent a national minority within the meaning of the Framework Convention”. Other ethnic groups are nonetheless present in Denmark. The ACFC considers that the provision of the Framework Convention should be extended to other groups, namely the Roma, the Faroese and Greenlanders living in mainland Denmark. See ACFC 4</w:t>
      </w:r>
      <w:r w:rsidRPr="00E05E56">
        <w:rPr>
          <w:rFonts w:ascii="Times New Roman" w:eastAsia="Times New Roman" w:hAnsi="Times New Roman" w:cs="Times New Roman"/>
          <w:szCs w:val="20"/>
          <w:vertAlign w:val="superscript"/>
        </w:rPr>
        <w:t>th</w:t>
      </w:r>
      <w:r w:rsidRPr="00E05E56">
        <w:rPr>
          <w:rFonts w:ascii="Times New Roman" w:eastAsia="Times New Roman" w:hAnsi="Times New Roman" w:cs="Times New Roman"/>
          <w:szCs w:val="20"/>
        </w:rPr>
        <w:t xml:space="preserve"> Opinion on Denmark adopted on 20 May 2014, paras. 19-20.</w:t>
      </w:r>
    </w:p>
  </w:footnote>
  <w:footnote w:id="74">
    <w:p w14:paraId="5D2DAB20"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Article 1 of the French Constitution. France has also made a reservation to Article 27 of the ICCPR protecting minority rights.</w:t>
      </w:r>
    </w:p>
  </w:footnote>
  <w:footnote w:id="75">
    <w:p w14:paraId="3C0AD04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ACFC Fourth Opinion on Italy, 19 November 2015, paras 25-26. </w:t>
      </w:r>
    </w:p>
  </w:footnote>
  <w:footnote w:id="76">
    <w:p w14:paraId="05E60679"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On measures taken by the EU Member States to improve Roma inclusion, see FRA, Fundamental Rights Report, 2017, p. 114.</w:t>
      </w:r>
    </w:p>
  </w:footnote>
  <w:footnote w:id="77">
    <w:p w14:paraId="64930408"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the Commission’s Communication to EU Parliament, Council, the European Economic and Social Committee and the Committee of the Regions, </w:t>
      </w:r>
      <w:proofErr w:type="gramStart"/>
      <w:r w:rsidRPr="00E05E56">
        <w:rPr>
          <w:rFonts w:ascii="Times New Roman" w:hAnsi="Times New Roman" w:cs="Times New Roman"/>
          <w:szCs w:val="20"/>
          <w:lang w:val="en-GB"/>
        </w:rPr>
        <w:t>COM(</w:t>
      </w:r>
      <w:proofErr w:type="gramEnd"/>
      <w:r w:rsidRPr="00E05E56">
        <w:rPr>
          <w:rFonts w:ascii="Times New Roman" w:hAnsi="Times New Roman" w:cs="Times New Roman"/>
          <w:szCs w:val="20"/>
          <w:lang w:val="en-GB"/>
        </w:rPr>
        <w:t xml:space="preserve">2011)173, 5 April 2011, </w:t>
      </w:r>
      <w:r w:rsidRPr="00E05E56">
        <w:rPr>
          <w:rFonts w:ascii="Times New Roman" w:eastAsia="Times New Roman" w:hAnsi="Times New Roman" w:cs="Times New Roman"/>
          <w:color w:val="000000"/>
          <w:szCs w:val="20"/>
          <w:shd w:val="clear" w:color="auto" w:fill="FFFFFF"/>
        </w:rPr>
        <w:t>final, endorsed by the Heads of State and Governments on 23-24 June 2011</w:t>
      </w:r>
      <w:r w:rsidRPr="00E05E56">
        <w:rPr>
          <w:rFonts w:ascii="Times New Roman" w:hAnsi="Times New Roman" w:cs="Times New Roman"/>
          <w:szCs w:val="20"/>
          <w:lang w:val="en-GB"/>
        </w:rPr>
        <w:t xml:space="preserve">. </w:t>
      </w:r>
      <w:hyperlink r:id="rId18" w:history="1">
        <w:r w:rsidRPr="00E05E56">
          <w:rPr>
            <w:rStyle w:val="Hyperlink"/>
            <w:rFonts w:ascii="Times New Roman" w:hAnsi="Times New Roman" w:cs="Times New Roman"/>
            <w:szCs w:val="20"/>
            <w:lang w:val="en-GB"/>
          </w:rPr>
          <w:t>http://eur-lex.europa.eu/legal-content/EN/TXT/PDF/?uri=CELEX:52011DC0173&amp;from=en</w:t>
        </w:r>
      </w:hyperlink>
      <w:r w:rsidRPr="00E05E56">
        <w:rPr>
          <w:rFonts w:ascii="Times New Roman" w:hAnsi="Times New Roman" w:cs="Times New Roman"/>
          <w:szCs w:val="20"/>
          <w:lang w:val="en-GB"/>
        </w:rPr>
        <w:t xml:space="preserve">. </w:t>
      </w:r>
    </w:p>
  </w:footnote>
  <w:footnote w:id="78">
    <w:p w14:paraId="770E89F5"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the dedicated webpage at: </w:t>
      </w:r>
      <w:hyperlink r:id="rId19" w:history="1">
        <w:r w:rsidRPr="00E05E56">
          <w:rPr>
            <w:rStyle w:val="Hyperlink"/>
            <w:rFonts w:ascii="Times New Roman" w:hAnsi="Times New Roman" w:cs="Times New Roman"/>
            <w:szCs w:val="20"/>
            <w:lang w:val="en-GB"/>
          </w:rPr>
          <w:t>http://fra.europa.eu/en/project/2015/local-engagement-roma-inclusion-leri-multi-annual-roma-programme</w:t>
        </w:r>
      </w:hyperlink>
      <w:r w:rsidRPr="00E05E56">
        <w:rPr>
          <w:rFonts w:ascii="Times New Roman" w:hAnsi="Times New Roman" w:cs="Times New Roman"/>
          <w:szCs w:val="20"/>
          <w:lang w:val="en-GB"/>
        </w:rPr>
        <w:t xml:space="preserve">. </w:t>
      </w:r>
    </w:p>
  </w:footnote>
  <w:footnote w:id="79">
    <w:p w14:paraId="03CF8128"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the annual reports on assessing the implementation of the various national strategies, see the dedicated webpage at: </w:t>
      </w:r>
      <w:hyperlink r:id="rId20" w:history="1">
        <w:r w:rsidRPr="00E05E56">
          <w:rPr>
            <w:rStyle w:val="Hyperlink"/>
            <w:rFonts w:ascii="Times New Roman" w:hAnsi="Times New Roman" w:cs="Times New Roman"/>
            <w:szCs w:val="20"/>
            <w:lang w:val="en-GB"/>
          </w:rPr>
          <w:t>https://ec.europa.eu/info/publications/national-roma-integration-strategies-annual-reports_en</w:t>
        </w:r>
      </w:hyperlink>
      <w:r w:rsidRPr="00E05E56">
        <w:rPr>
          <w:rFonts w:ascii="Times New Roman" w:hAnsi="Times New Roman" w:cs="Times New Roman"/>
          <w:szCs w:val="20"/>
          <w:lang w:val="en-GB"/>
        </w:rPr>
        <w:t xml:space="preserve">. </w:t>
      </w:r>
    </w:p>
  </w:footnote>
  <w:footnote w:id="80">
    <w:p w14:paraId="4A9A867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Lund recommendation 9.</w:t>
      </w:r>
    </w:p>
  </w:footnote>
  <w:footnote w:id="81">
    <w:p w14:paraId="25256025"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European Commission on Human Rights, </w:t>
      </w:r>
      <w:r w:rsidRPr="00E05E56">
        <w:rPr>
          <w:rFonts w:ascii="Times New Roman" w:eastAsia="Times New Roman" w:hAnsi="Times New Roman" w:cs="Times New Roman"/>
          <w:i/>
          <w:szCs w:val="20"/>
        </w:rPr>
        <w:t>Lindsey and others v. the United Kingdom</w:t>
      </w:r>
      <w:r w:rsidRPr="00E05E56">
        <w:rPr>
          <w:rFonts w:ascii="Times New Roman" w:eastAsia="Times New Roman" w:hAnsi="Times New Roman" w:cs="Times New Roman"/>
          <w:szCs w:val="20"/>
        </w:rPr>
        <w:t xml:space="preserve">, application No. 8364/78, </w:t>
      </w:r>
      <w:proofErr w:type="spellStart"/>
      <w:r w:rsidRPr="00E05E56">
        <w:rPr>
          <w:rFonts w:ascii="Times New Roman" w:eastAsia="Times New Roman" w:hAnsi="Times New Roman" w:cs="Times New Roman"/>
          <w:szCs w:val="20"/>
        </w:rPr>
        <w:t>judgement</w:t>
      </w:r>
      <w:proofErr w:type="spellEnd"/>
      <w:r w:rsidRPr="00E05E56">
        <w:rPr>
          <w:rFonts w:ascii="Times New Roman" w:eastAsia="Times New Roman" w:hAnsi="Times New Roman" w:cs="Times New Roman"/>
          <w:szCs w:val="20"/>
        </w:rPr>
        <w:t xml:space="preserve"> of 8 March 1979.</w:t>
      </w:r>
    </w:p>
  </w:footnote>
  <w:footnote w:id="82">
    <w:p w14:paraId="25E627E9"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i/>
          <w:szCs w:val="20"/>
        </w:rPr>
        <w:t>Mathieu-</w:t>
      </w:r>
      <w:proofErr w:type="spellStart"/>
      <w:r w:rsidRPr="00E05E56">
        <w:rPr>
          <w:rFonts w:ascii="Times New Roman" w:eastAsia="Times New Roman" w:hAnsi="Times New Roman" w:cs="Times New Roman"/>
          <w:i/>
          <w:szCs w:val="20"/>
        </w:rPr>
        <w:t>Mohin</w:t>
      </w:r>
      <w:proofErr w:type="spellEnd"/>
      <w:r w:rsidRPr="00E05E56">
        <w:rPr>
          <w:rFonts w:ascii="Times New Roman" w:eastAsia="Times New Roman" w:hAnsi="Times New Roman" w:cs="Times New Roman"/>
          <w:i/>
          <w:szCs w:val="20"/>
        </w:rPr>
        <w:t xml:space="preserve"> and </w:t>
      </w:r>
      <w:proofErr w:type="spellStart"/>
      <w:r w:rsidRPr="00E05E56">
        <w:rPr>
          <w:rFonts w:ascii="Times New Roman" w:eastAsia="Times New Roman" w:hAnsi="Times New Roman" w:cs="Times New Roman"/>
          <w:i/>
          <w:szCs w:val="20"/>
        </w:rPr>
        <w:t>Clerfayt</w:t>
      </w:r>
      <w:proofErr w:type="spellEnd"/>
      <w:r w:rsidRPr="00E05E56">
        <w:rPr>
          <w:rFonts w:ascii="Times New Roman" w:eastAsia="Times New Roman" w:hAnsi="Times New Roman" w:cs="Times New Roman"/>
          <w:i/>
          <w:szCs w:val="20"/>
        </w:rPr>
        <w:t xml:space="preserve"> v. Belgium</w:t>
      </w:r>
      <w:r w:rsidRPr="00E05E56">
        <w:rPr>
          <w:rFonts w:ascii="Times New Roman" w:eastAsia="Times New Roman" w:hAnsi="Times New Roman" w:cs="Times New Roman"/>
          <w:szCs w:val="20"/>
        </w:rPr>
        <w:t xml:space="preserve">, application No. 9267/81, </w:t>
      </w:r>
      <w:proofErr w:type="spellStart"/>
      <w:r w:rsidRPr="00E05E56">
        <w:rPr>
          <w:rFonts w:ascii="Times New Roman" w:eastAsia="Times New Roman" w:hAnsi="Times New Roman" w:cs="Times New Roman"/>
          <w:szCs w:val="20"/>
        </w:rPr>
        <w:t>judgement</w:t>
      </w:r>
      <w:proofErr w:type="spellEnd"/>
      <w:r w:rsidRPr="00E05E56">
        <w:rPr>
          <w:rFonts w:ascii="Times New Roman" w:eastAsia="Times New Roman" w:hAnsi="Times New Roman" w:cs="Times New Roman"/>
          <w:szCs w:val="20"/>
        </w:rPr>
        <w:t xml:space="preserve"> of 2 March 1987. On the issue of thresholds and their impact on minority participation, dissenting opinion in another European Court case warned that high thresholds virtually eliminate the possibility of regional or minority parties entering parliament and distort the essential purpose of a proportional system, thus suppressing parliamentary criticism and debate, which are the essence of representative democracy. </w:t>
      </w:r>
      <w:proofErr w:type="spellStart"/>
      <w:r w:rsidRPr="00E05E56">
        <w:rPr>
          <w:rFonts w:ascii="Times New Roman" w:eastAsia="Times New Roman" w:hAnsi="Times New Roman" w:cs="Times New Roman"/>
          <w:i/>
          <w:szCs w:val="20"/>
        </w:rPr>
        <w:t>Yumak</w:t>
      </w:r>
      <w:proofErr w:type="spellEnd"/>
      <w:r w:rsidRPr="00E05E56">
        <w:rPr>
          <w:rFonts w:ascii="Times New Roman" w:eastAsia="Times New Roman" w:hAnsi="Times New Roman" w:cs="Times New Roman"/>
          <w:i/>
          <w:szCs w:val="20"/>
        </w:rPr>
        <w:t xml:space="preserve"> and </w:t>
      </w:r>
      <w:proofErr w:type="spellStart"/>
      <w:r w:rsidRPr="00E05E56">
        <w:rPr>
          <w:rFonts w:ascii="Times New Roman" w:eastAsia="Times New Roman" w:hAnsi="Times New Roman" w:cs="Times New Roman"/>
          <w:i/>
          <w:szCs w:val="20"/>
        </w:rPr>
        <w:t>Sadak</w:t>
      </w:r>
      <w:proofErr w:type="spellEnd"/>
      <w:r w:rsidRPr="00E05E56">
        <w:rPr>
          <w:rFonts w:ascii="Times New Roman" w:eastAsia="Times New Roman" w:hAnsi="Times New Roman" w:cs="Times New Roman"/>
          <w:i/>
          <w:szCs w:val="20"/>
        </w:rPr>
        <w:t xml:space="preserve"> v. Turkey</w:t>
      </w:r>
      <w:r w:rsidRPr="00E05E56">
        <w:rPr>
          <w:rFonts w:ascii="Times New Roman" w:eastAsia="Times New Roman" w:hAnsi="Times New Roman" w:cs="Times New Roman"/>
          <w:szCs w:val="20"/>
        </w:rPr>
        <w:t xml:space="preserve">, application No. 10226/03, </w:t>
      </w:r>
      <w:proofErr w:type="spellStart"/>
      <w:r w:rsidRPr="00E05E56">
        <w:rPr>
          <w:rFonts w:ascii="Times New Roman" w:eastAsia="Times New Roman" w:hAnsi="Times New Roman" w:cs="Times New Roman"/>
          <w:szCs w:val="20"/>
        </w:rPr>
        <w:t>judgement</w:t>
      </w:r>
      <w:proofErr w:type="spellEnd"/>
      <w:r w:rsidRPr="00E05E56">
        <w:rPr>
          <w:rFonts w:ascii="Times New Roman" w:eastAsia="Times New Roman" w:hAnsi="Times New Roman" w:cs="Times New Roman"/>
          <w:szCs w:val="20"/>
        </w:rPr>
        <w:t xml:space="preserve"> of 8 July 2008.</w:t>
      </w:r>
    </w:p>
  </w:footnote>
  <w:footnote w:id="83">
    <w:p w14:paraId="0995DF87"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OSCE Guidelines to Assist National Minority Participation in the Electoral Process, OSCE/ ODIHR, Warsaw, 2001, pp. 26-8. See also Venice Commission, </w:t>
      </w:r>
      <w:r w:rsidRPr="00E05E56">
        <w:rPr>
          <w:rFonts w:ascii="Times New Roman" w:hAnsi="Times New Roman" w:cs="Times New Roman"/>
          <w:i/>
          <w:szCs w:val="20"/>
          <w:lang w:val="en-GB"/>
        </w:rPr>
        <w:t>The participation of minorities in public life</w:t>
      </w:r>
      <w:r w:rsidRPr="00E05E56">
        <w:rPr>
          <w:rFonts w:ascii="Times New Roman" w:hAnsi="Times New Roman" w:cs="Times New Roman"/>
          <w:szCs w:val="20"/>
          <w:lang w:val="en-GB"/>
        </w:rPr>
        <w:t xml:space="preserve">, April 2011, </w:t>
      </w:r>
      <w:hyperlink r:id="rId21" w:history="1">
        <w:r w:rsidRPr="00E05E56">
          <w:rPr>
            <w:rStyle w:val="Hyperlink"/>
            <w:rFonts w:ascii="Times New Roman" w:hAnsi="Times New Roman" w:cs="Times New Roman"/>
            <w:szCs w:val="20"/>
            <w:lang w:val="en-GB"/>
          </w:rPr>
          <w:t>http://www.venice.coe.int/webforms/documents/?pdf=CDL-</w:t>
        </w:r>
        <w:proofErr w:type="gramStart"/>
        <w:r w:rsidRPr="00E05E56">
          <w:rPr>
            <w:rStyle w:val="Hyperlink"/>
            <w:rFonts w:ascii="Times New Roman" w:hAnsi="Times New Roman" w:cs="Times New Roman"/>
            <w:szCs w:val="20"/>
            <w:lang w:val="en-GB"/>
          </w:rPr>
          <w:t>STD(</w:t>
        </w:r>
        <w:proofErr w:type="gramEnd"/>
        <w:r w:rsidRPr="00E05E56">
          <w:rPr>
            <w:rStyle w:val="Hyperlink"/>
            <w:rFonts w:ascii="Times New Roman" w:hAnsi="Times New Roman" w:cs="Times New Roman"/>
            <w:szCs w:val="20"/>
            <w:lang w:val="en-GB"/>
          </w:rPr>
          <w:t>2011)045-e</w:t>
        </w:r>
      </w:hyperlink>
      <w:r w:rsidRPr="00E05E56">
        <w:rPr>
          <w:rFonts w:ascii="Times New Roman" w:hAnsi="Times New Roman" w:cs="Times New Roman"/>
          <w:szCs w:val="20"/>
          <w:lang w:val="en-GB"/>
        </w:rPr>
        <w:t>, p. 63.</w:t>
      </w:r>
    </w:p>
  </w:footnote>
  <w:footnote w:id="84">
    <w:p w14:paraId="55ACF544"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In its </w:t>
      </w:r>
      <w:proofErr w:type="spellStart"/>
      <w:r w:rsidRPr="00E05E56">
        <w:rPr>
          <w:rFonts w:ascii="Times New Roman" w:eastAsia="Times New Roman" w:hAnsi="Times New Roman" w:cs="Times New Roman"/>
          <w:bCs/>
          <w:i/>
          <w:iCs/>
          <w:color w:val="000000"/>
          <w:szCs w:val="20"/>
          <w:shd w:val="clear" w:color="auto" w:fill="FFFFFF"/>
        </w:rPr>
        <w:t>Partei</w:t>
      </w:r>
      <w:proofErr w:type="spellEnd"/>
      <w:r w:rsidRPr="00E05E56">
        <w:rPr>
          <w:rFonts w:ascii="Times New Roman" w:eastAsia="Times New Roman" w:hAnsi="Times New Roman" w:cs="Times New Roman"/>
          <w:bCs/>
          <w:i/>
          <w:iCs/>
          <w:color w:val="000000"/>
          <w:szCs w:val="20"/>
          <w:shd w:val="clear" w:color="auto" w:fill="FFFFFF"/>
        </w:rPr>
        <w:t xml:space="preserve"> Die Friesen v. Germany</w:t>
      </w:r>
      <w:r w:rsidRPr="00E05E56">
        <w:rPr>
          <w:rFonts w:ascii="Times New Roman" w:hAnsi="Times New Roman" w:cs="Times New Roman"/>
          <w:szCs w:val="20"/>
          <w:lang w:val="en-GB"/>
        </w:rPr>
        <w:t xml:space="preserve"> (2016), the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acknowledged that the 5% threshold could have a “chilling effect” on potential voters </w:t>
      </w:r>
      <w:r w:rsidRPr="00E05E56">
        <w:rPr>
          <w:rFonts w:ascii="Times New Roman" w:eastAsia="Times New Roman" w:hAnsi="Times New Roman" w:cs="Times New Roman"/>
          <w:color w:val="000000"/>
          <w:szCs w:val="20"/>
          <w:shd w:val="clear" w:color="auto" w:fill="FFFFFF"/>
        </w:rPr>
        <w:t xml:space="preserve">not wishing to “waste” their votes on a political party that was unable to achieve that score (para. 34). However, the Court considered that </w:t>
      </w:r>
      <w:r w:rsidRPr="00E05E56">
        <w:rPr>
          <w:rFonts w:ascii="Times New Roman" w:hAnsi="Times New Roman" w:cs="Times New Roman"/>
          <w:color w:val="000000"/>
          <w:szCs w:val="20"/>
        </w:rPr>
        <w:t>the possibility of exemption from the minimum threshold was “merely” presented as one of many options and that no clear and binding obligation derived from the Framework Convention to exempt national minority parties from electoral thresholds (para. 43).</w:t>
      </w:r>
    </w:p>
  </w:footnote>
  <w:footnote w:id="85">
    <w:p w14:paraId="1DE90DD6"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UN &amp; European compilations, Annexes 1 and 2: Italy, ACFC Fourth Opinion on Italy, paras 37, 44; Spain, Special Rapporteur on racism report, paras 32, 70, ECRI 2011 Report on the National Roma Council, paras 126-127; Sweden, ACFC Fourth Opinion on Sweden, paras 101, 105.</w:t>
      </w:r>
    </w:p>
  </w:footnote>
  <w:footnote w:id="86">
    <w:p w14:paraId="10C48557"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proofErr w:type="spellStart"/>
      <w:r w:rsidRPr="00E05E56">
        <w:rPr>
          <w:rFonts w:ascii="Times New Roman" w:eastAsia="Times New Roman" w:hAnsi="Times New Roman" w:cs="Times New Roman"/>
          <w:szCs w:val="20"/>
          <w:lang w:val="en-GB"/>
        </w:rPr>
        <w:t>CoE</w:t>
      </w:r>
      <w:proofErr w:type="spellEnd"/>
      <w:r w:rsidRPr="00E05E56">
        <w:rPr>
          <w:rFonts w:ascii="Times New Roman" w:eastAsia="Times New Roman" w:hAnsi="Times New Roman" w:cs="Times New Roman"/>
          <w:szCs w:val="20"/>
          <w:lang w:val="en-GB"/>
        </w:rPr>
        <w:t xml:space="preserve"> ACFC Commentary on the effective participation of persons belonging to national minorities in cultural, social</w:t>
      </w:r>
      <w:r w:rsidRPr="00E05E56">
        <w:rPr>
          <w:rFonts w:ascii="Times New Roman" w:eastAsia="Times New Roman" w:hAnsi="Times New Roman" w:cs="Times New Roman"/>
          <w:szCs w:val="20"/>
        </w:rPr>
        <w:t xml:space="preserve"> and economic life and public affairs, adopted on 27 February 2008 (ACFC/31DOC(2008)001), para. 19.</w:t>
      </w:r>
    </w:p>
  </w:footnote>
  <w:footnote w:id="87">
    <w:p w14:paraId="5E3C0FB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CommDH</w:t>
      </w:r>
      <w:proofErr w:type="spellEnd"/>
      <w:r w:rsidRPr="00E05E56">
        <w:rPr>
          <w:rFonts w:ascii="Times New Roman" w:hAnsi="Times New Roman" w:cs="Times New Roman"/>
          <w:szCs w:val="20"/>
        </w:rPr>
        <w:t xml:space="preserve">, 8 March 2017, </w:t>
      </w:r>
      <w:hyperlink r:id="rId22" w:history="1">
        <w:r w:rsidRPr="00E05E56">
          <w:rPr>
            <w:rStyle w:val="Hyperlink"/>
            <w:rFonts w:ascii="Times New Roman" w:hAnsi="Times New Roman" w:cs="Times New Roman"/>
            <w:szCs w:val="20"/>
          </w:rPr>
          <w:t>https://www.coe.int/en/web/commissioner/-/portugal-progress-in-participation-of-roma-in-local-decision-making-should-be-sustained</w:t>
        </w:r>
      </w:hyperlink>
      <w:r w:rsidRPr="00E05E56">
        <w:rPr>
          <w:rStyle w:val="Hyperlink"/>
          <w:rFonts w:ascii="Times New Roman" w:hAnsi="Times New Roman" w:cs="Times New Roman"/>
          <w:szCs w:val="20"/>
        </w:rPr>
        <w:t xml:space="preserve">, </w:t>
      </w:r>
      <w:r w:rsidRPr="00E05E56">
        <w:rPr>
          <w:rFonts w:ascii="Times New Roman" w:hAnsi="Times New Roman" w:cs="Times New Roman"/>
          <w:szCs w:val="20"/>
        </w:rPr>
        <w:t xml:space="preserve">ECRI Report 2013, para. 119. </w:t>
      </w:r>
      <w:hyperlink r:id="rId23" w:history="1">
        <w:r w:rsidRPr="00E05E56">
          <w:rPr>
            <w:rStyle w:val="Hyperlink"/>
            <w:rFonts w:ascii="Times New Roman" w:hAnsi="Times New Roman" w:cs="Times New Roman"/>
            <w:szCs w:val="20"/>
          </w:rPr>
          <w:t>https://www.coe.int/t/dghl/monitoring/ecri/Country-by-country/Portugal/PRT-CbC-IV-2013-020-ENG.pdf</w:t>
        </w:r>
      </w:hyperlink>
      <w:r w:rsidRPr="00E05E56">
        <w:rPr>
          <w:rStyle w:val="Hyperlink"/>
          <w:rFonts w:ascii="Times New Roman" w:hAnsi="Times New Roman" w:cs="Times New Roman"/>
          <w:szCs w:val="20"/>
        </w:rPr>
        <w:t xml:space="preserve">. </w:t>
      </w:r>
    </w:p>
  </w:footnote>
  <w:footnote w:id="88">
    <w:p w14:paraId="41344A75"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ACFC Fourth Opinion, 22 June 2017, para. 35.</w:t>
      </w:r>
    </w:p>
  </w:footnote>
  <w:footnote w:id="89">
    <w:p w14:paraId="0E1935F6"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See, for example, OSCE HCNM letter to H.E. Mr Anatoly </w:t>
      </w:r>
      <w:proofErr w:type="spellStart"/>
      <w:r w:rsidRPr="00E05E56">
        <w:rPr>
          <w:rFonts w:ascii="Times New Roman" w:eastAsia="Times New Roman" w:hAnsi="Times New Roman" w:cs="Times New Roman"/>
          <w:szCs w:val="20"/>
        </w:rPr>
        <w:t>Zlenko</w:t>
      </w:r>
      <w:proofErr w:type="spellEnd"/>
      <w:r w:rsidRPr="00E05E56">
        <w:rPr>
          <w:rFonts w:ascii="Times New Roman" w:eastAsia="Times New Roman" w:hAnsi="Times New Roman" w:cs="Times New Roman"/>
          <w:szCs w:val="20"/>
        </w:rPr>
        <w:t xml:space="preserve">, Minister for Foreign Affairs of Ukraine, 4 December 2001. Quoted in “Special measures to promote minority representation in elected bodies: the experience of the OSCE High Commissioner on National Minorities”, in </w:t>
      </w:r>
      <w:r w:rsidRPr="00E05E56">
        <w:rPr>
          <w:rFonts w:ascii="Times New Roman" w:eastAsia="Times New Roman" w:hAnsi="Times New Roman" w:cs="Times New Roman"/>
          <w:i/>
          <w:szCs w:val="20"/>
        </w:rPr>
        <w:t>The participation of minorities in public life</w:t>
      </w:r>
      <w:r w:rsidRPr="00E05E56">
        <w:rPr>
          <w:rFonts w:ascii="Times New Roman" w:eastAsia="Times New Roman" w:hAnsi="Times New Roman" w:cs="Times New Roman"/>
          <w:szCs w:val="20"/>
        </w:rPr>
        <w:t>, Venice Commission, Council of Europe, April 2011.</w:t>
      </w:r>
    </w:p>
  </w:footnote>
  <w:footnote w:id="90">
    <w:p w14:paraId="7837CE7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ECRI conclusions on implementation of previous recommendations, 2015. </w:t>
      </w:r>
      <w:hyperlink r:id="rId24" w:history="1">
        <w:r w:rsidRPr="00E05E56">
          <w:rPr>
            <w:rStyle w:val="Hyperlink"/>
            <w:rFonts w:ascii="Times New Roman" w:hAnsi="Times New Roman" w:cs="Times New Roman"/>
            <w:szCs w:val="20"/>
          </w:rPr>
          <w:t>https://www.coe.int/t/dghl/monitoring/ecri/country-by-country/denmark/DNK-IFU-IV-2015-23-ENG.pdf</w:t>
        </w:r>
      </w:hyperlink>
    </w:p>
  </w:footnote>
  <w:footnote w:id="91">
    <w:p w14:paraId="0FF8C2F7"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their website: </w:t>
      </w:r>
      <w:hyperlink r:id="rId25" w:history="1">
        <w:r w:rsidRPr="00E05E56">
          <w:rPr>
            <w:rStyle w:val="Hyperlink"/>
            <w:rFonts w:ascii="Times New Roman" w:hAnsi="Times New Roman" w:cs="Times New Roman"/>
            <w:szCs w:val="20"/>
            <w:lang w:val="en-GB"/>
          </w:rPr>
          <w:t>http://</w:t>
        </w:r>
        <w:proofErr w:type="spellStart"/>
        <w:r w:rsidRPr="00E05E56">
          <w:rPr>
            <w:rStyle w:val="Hyperlink"/>
            <w:rFonts w:ascii="Times New Roman" w:hAnsi="Times New Roman" w:cs="Times New Roman"/>
            <w:szCs w:val="20"/>
            <w:lang w:val="en-GB"/>
          </w:rPr>
          <w:t>www.grtpa.com</w:t>
        </w:r>
        <w:proofErr w:type="spellEnd"/>
        <w:r w:rsidRPr="00E05E56">
          <w:rPr>
            <w:rStyle w:val="Hyperlink"/>
            <w:rFonts w:ascii="Times New Roman" w:hAnsi="Times New Roman" w:cs="Times New Roman"/>
            <w:szCs w:val="20"/>
            <w:lang w:val="en-GB"/>
          </w:rPr>
          <w:t>/</w:t>
        </w:r>
      </w:hyperlink>
      <w:r w:rsidRPr="00E05E56">
        <w:rPr>
          <w:rFonts w:ascii="Times New Roman" w:hAnsi="Times New Roman" w:cs="Times New Roman"/>
          <w:szCs w:val="20"/>
          <w:lang w:val="en-GB"/>
        </w:rPr>
        <w:t xml:space="preserve">. </w:t>
      </w:r>
    </w:p>
  </w:footnote>
  <w:footnote w:id="92">
    <w:p w14:paraId="555C2A7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CoE</w:t>
      </w:r>
      <w:proofErr w:type="spellEnd"/>
      <w:r w:rsidRPr="00E05E56">
        <w:rPr>
          <w:rFonts w:ascii="Times New Roman" w:hAnsi="Times New Roman" w:cs="Times New Roman"/>
          <w:szCs w:val="20"/>
        </w:rPr>
        <w:t xml:space="preserve"> ACFC Fourth Opinion, 25 May 2016, para 132. </w:t>
      </w:r>
    </w:p>
  </w:footnote>
  <w:footnote w:id="93">
    <w:p w14:paraId="4BD5DB9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Lund recommendation 9.</w:t>
      </w:r>
    </w:p>
  </w:footnote>
  <w:footnote w:id="94">
    <w:p w14:paraId="69466762"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an overview of the situation in EU Member States, see FRA, The right to political participation for persons with disabilities: human rights indicators, 2014.</w:t>
      </w:r>
    </w:p>
  </w:footnote>
  <w:footnote w:id="95">
    <w:p w14:paraId="4CF916C2"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hAnsi="Times New Roman" w:cs="Times New Roman"/>
          <w:szCs w:val="20"/>
          <w:lang w:val="en-GB"/>
        </w:rPr>
        <w:t xml:space="preserve">See criticism by </w:t>
      </w:r>
      <w:proofErr w:type="spellStart"/>
      <w:r w:rsidRPr="00E05E56">
        <w:rPr>
          <w:rFonts w:ascii="Times New Roman" w:hAnsi="Times New Roman" w:cs="Times New Roman"/>
          <w:szCs w:val="20"/>
          <w:lang w:val="en-GB"/>
        </w:rPr>
        <w:t>János</w:t>
      </w:r>
      <w:proofErr w:type="spellEnd"/>
      <w:r w:rsidRPr="00E05E56">
        <w:rPr>
          <w:rFonts w:ascii="Times New Roman" w:hAnsi="Times New Roman" w:cs="Times New Roman"/>
          <w:szCs w:val="20"/>
          <w:lang w:val="en-GB"/>
        </w:rPr>
        <w:t xml:space="preserve"> </w:t>
      </w:r>
      <w:proofErr w:type="spellStart"/>
      <w:r w:rsidRPr="00E05E56">
        <w:rPr>
          <w:rFonts w:ascii="Times New Roman" w:hAnsi="Times New Roman" w:cs="Times New Roman"/>
          <w:szCs w:val="20"/>
          <w:lang w:val="en-GB"/>
        </w:rPr>
        <w:t>Fiala-Butora</w:t>
      </w:r>
      <w:proofErr w:type="spellEnd"/>
      <w:r w:rsidRPr="00E05E56">
        <w:rPr>
          <w:rFonts w:ascii="Times New Roman" w:hAnsi="Times New Roman" w:cs="Times New Roman"/>
          <w:szCs w:val="20"/>
          <w:lang w:val="en-GB"/>
        </w:rPr>
        <w:t xml:space="preserve"> et al., “The Democratic Life of the Union: Toward Equal Voting Participation for Europeans with Disabilities”, </w:t>
      </w:r>
      <w:r w:rsidRPr="00E05E56">
        <w:rPr>
          <w:rFonts w:ascii="Times New Roman" w:hAnsi="Times New Roman" w:cs="Times New Roman"/>
          <w:i/>
          <w:szCs w:val="20"/>
          <w:lang w:val="en-GB"/>
        </w:rPr>
        <w:t>Harvard Journal of International Law</w:t>
      </w:r>
      <w:r w:rsidRPr="00E05E56">
        <w:rPr>
          <w:rFonts w:ascii="Times New Roman" w:hAnsi="Times New Roman" w:cs="Times New Roman"/>
          <w:szCs w:val="20"/>
          <w:lang w:val="en-GB"/>
        </w:rPr>
        <w:t xml:space="preserve">, 55:1, Winter 2014, pp. 71-104 in which the authors argue that “the fundamental right to vote cannot be curtailed on the basis of an alleged lack of capacity. Disenfranchisement based on individual assessment unjustly excludes a certain number of voting-capable individuals. Since all those affected are persons with disabilities, this violates the requirement of equality expressed in general international human rights law that recently was explicitly extended to cover disability”. See also, by the same authors, “Facilitating an Equal Right to Vote for Persons with Disabilities”, </w:t>
      </w:r>
      <w:r w:rsidRPr="00E05E56">
        <w:rPr>
          <w:rFonts w:ascii="Times New Roman" w:hAnsi="Times New Roman" w:cs="Times New Roman"/>
          <w:i/>
          <w:szCs w:val="20"/>
          <w:lang w:val="en-GB"/>
        </w:rPr>
        <w:t>Journal of Human Rights Practice</w:t>
      </w:r>
      <w:r w:rsidRPr="00E05E56">
        <w:rPr>
          <w:rFonts w:ascii="Times New Roman" w:hAnsi="Times New Roman" w:cs="Times New Roman"/>
          <w:szCs w:val="20"/>
          <w:lang w:val="en-GB"/>
        </w:rPr>
        <w:t>, 6:1, 2014, pp. 115-139.</w:t>
      </w:r>
    </w:p>
  </w:footnote>
  <w:footnote w:id="96">
    <w:p w14:paraId="0AEAE97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Human Rights Committee General Comment No 25, para. 4. See also </w:t>
      </w:r>
      <w:r w:rsidRPr="00E05E56">
        <w:rPr>
          <w:rFonts w:ascii="Times New Roman" w:hAnsi="Times New Roman" w:cs="Times New Roman"/>
          <w:i/>
          <w:szCs w:val="20"/>
        </w:rPr>
        <w:t>Human Rights and Disability, The current use and future potential of United Nations human rights instruments in the context of disability</w:t>
      </w:r>
      <w:r w:rsidRPr="00E05E56">
        <w:rPr>
          <w:rFonts w:ascii="Times New Roman" w:hAnsi="Times New Roman" w:cs="Times New Roman"/>
          <w:szCs w:val="20"/>
        </w:rPr>
        <w:t>, United Nations, New York and Geneva, 2002, from p. 63.</w:t>
      </w:r>
    </w:p>
  </w:footnote>
  <w:footnote w:id="97">
    <w:p w14:paraId="710C5884"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hAnsi="Times New Roman" w:cs="Times New Roman"/>
          <w:szCs w:val="20"/>
          <w:lang w:val="en-GB"/>
        </w:rPr>
        <w:t xml:space="preserve">The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concluded in its landmark </w:t>
      </w:r>
      <w:proofErr w:type="spellStart"/>
      <w:r w:rsidRPr="00E05E56">
        <w:rPr>
          <w:rFonts w:ascii="Times New Roman" w:hAnsi="Times New Roman" w:cs="Times New Roman"/>
          <w:i/>
          <w:szCs w:val="20"/>
          <w:lang w:val="en-GB"/>
        </w:rPr>
        <w:t>Alajos</w:t>
      </w:r>
      <w:proofErr w:type="spellEnd"/>
      <w:r w:rsidRPr="00E05E56">
        <w:rPr>
          <w:rFonts w:ascii="Times New Roman" w:hAnsi="Times New Roman" w:cs="Times New Roman"/>
          <w:i/>
          <w:szCs w:val="20"/>
          <w:lang w:val="en-GB"/>
        </w:rPr>
        <w:t xml:space="preserve"> Kiss v. Hungary</w:t>
      </w:r>
      <w:r w:rsidRPr="00E05E56">
        <w:rPr>
          <w:rFonts w:ascii="Times New Roman" w:hAnsi="Times New Roman" w:cs="Times New Roman"/>
          <w:szCs w:val="20"/>
          <w:lang w:val="en-GB"/>
        </w:rPr>
        <w:t xml:space="preserve"> ruling “</w:t>
      </w:r>
      <w:r w:rsidRPr="00E05E56">
        <w:rPr>
          <w:rFonts w:ascii="Times New Roman" w:eastAsia="Times New Roman" w:hAnsi="Times New Roman" w:cs="Times New Roman"/>
          <w:szCs w:val="20"/>
        </w:rPr>
        <w:t xml:space="preserve">that an indiscriminate removal of voting rights, without an </w:t>
      </w:r>
      <w:proofErr w:type="spellStart"/>
      <w:r w:rsidRPr="00E05E56">
        <w:rPr>
          <w:rFonts w:ascii="Times New Roman" w:eastAsia="Times New Roman" w:hAnsi="Times New Roman" w:cs="Times New Roman"/>
          <w:szCs w:val="20"/>
        </w:rPr>
        <w:t>individualised</w:t>
      </w:r>
      <w:proofErr w:type="spellEnd"/>
      <w:r w:rsidRPr="00E05E56">
        <w:rPr>
          <w:rFonts w:ascii="Times New Roman" w:eastAsia="Times New Roman" w:hAnsi="Times New Roman" w:cs="Times New Roman"/>
          <w:szCs w:val="20"/>
        </w:rPr>
        <w:t xml:space="preserve"> judicial evaluation and solely based on a mental disability necessitating partial guardianship, cannot be considered compatible with the legitimate grounds for restricting the right to vote.” Judgment No. No. 38832/06, judgment of 20 May 2010. </w:t>
      </w:r>
      <w:r w:rsidRPr="00E05E56">
        <w:rPr>
          <w:rFonts w:ascii="Times New Roman" w:hAnsi="Times New Roman" w:cs="Times New Roman"/>
          <w:szCs w:val="20"/>
        </w:rPr>
        <w:t xml:space="preserve">See also FRA, </w:t>
      </w:r>
      <w:r w:rsidRPr="00E05E56">
        <w:rPr>
          <w:rFonts w:ascii="Times New Roman" w:hAnsi="Times New Roman" w:cs="Times New Roman"/>
          <w:szCs w:val="20"/>
          <w:lang w:val="en-GB"/>
        </w:rPr>
        <w:t xml:space="preserve">The right to political participation of persons with mental health problems and persons with intellectual disabilities, 2010, </w:t>
      </w:r>
      <w:r w:rsidRPr="00E05E56">
        <w:rPr>
          <w:rFonts w:ascii="Times New Roman" w:hAnsi="Times New Roman" w:cs="Times New Roman"/>
          <w:szCs w:val="20"/>
        </w:rPr>
        <w:t>from p. 9.</w:t>
      </w:r>
    </w:p>
  </w:footnote>
  <w:footnote w:id="98">
    <w:p w14:paraId="01ACC6A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w:t>
      </w:r>
      <w:r w:rsidRPr="00E05E56">
        <w:rPr>
          <w:rFonts w:ascii="Times New Roman" w:hAnsi="Times New Roman" w:cs="Times New Roman"/>
          <w:i/>
          <w:szCs w:val="20"/>
        </w:rPr>
        <w:t>inter alia</w:t>
      </w:r>
      <w:r w:rsidRPr="00E05E56">
        <w:rPr>
          <w:rFonts w:ascii="Times New Roman" w:hAnsi="Times New Roman" w:cs="Times New Roman"/>
          <w:szCs w:val="20"/>
        </w:rPr>
        <w:t xml:space="preserve">, Human Rights Committee Concluding Observations on Czech Republic 2013, CCPR/C/CZE/CO/3, </w:t>
      </w:r>
      <w:proofErr w:type="gramStart"/>
      <w:r w:rsidRPr="00E05E56">
        <w:rPr>
          <w:rFonts w:ascii="Times New Roman" w:hAnsi="Times New Roman" w:cs="Times New Roman"/>
          <w:szCs w:val="20"/>
        </w:rPr>
        <w:t>para</w:t>
      </w:r>
      <w:proofErr w:type="gramEnd"/>
      <w:r w:rsidRPr="00E05E56">
        <w:rPr>
          <w:rFonts w:ascii="Times New Roman" w:hAnsi="Times New Roman" w:cs="Times New Roman"/>
          <w:szCs w:val="20"/>
        </w:rPr>
        <w:t>. 12; San Marino 2015, CCPR/C/SMR/CO/3, para. 23; Cambodia 2015, CCPR/C/KHM/CO/2, para. 26; Poland 2016, CCPR/C/POL/CO/7, para. 42.</w:t>
      </w:r>
    </w:p>
  </w:footnote>
  <w:footnote w:id="99">
    <w:p w14:paraId="5C4EA51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b/>
          <w:szCs w:val="20"/>
        </w:rPr>
        <w:footnoteRef/>
      </w:r>
      <w:r w:rsidRPr="00E05E56">
        <w:rPr>
          <w:rFonts w:ascii="Times New Roman" w:hAnsi="Times New Roman" w:cs="Times New Roman"/>
          <w:szCs w:val="20"/>
        </w:rPr>
        <w:t xml:space="preserve"> CRPD, </w:t>
      </w:r>
      <w:proofErr w:type="spellStart"/>
      <w:r w:rsidRPr="00E05E56">
        <w:rPr>
          <w:rFonts w:ascii="Times New Roman" w:eastAsia="Times New Roman" w:hAnsi="Times New Roman" w:cs="Times New Roman"/>
          <w:i/>
          <w:color w:val="000000"/>
          <w:szCs w:val="20"/>
        </w:rPr>
        <w:t>Zsolt</w:t>
      </w:r>
      <w:proofErr w:type="spellEnd"/>
      <w:r w:rsidRPr="00E05E56">
        <w:rPr>
          <w:rFonts w:ascii="Times New Roman" w:eastAsia="Times New Roman" w:hAnsi="Times New Roman" w:cs="Times New Roman"/>
          <w:i/>
          <w:color w:val="000000"/>
          <w:szCs w:val="20"/>
        </w:rPr>
        <w:t xml:space="preserve"> </w:t>
      </w:r>
      <w:proofErr w:type="spellStart"/>
      <w:r w:rsidRPr="00E05E56">
        <w:rPr>
          <w:rFonts w:ascii="Times New Roman" w:eastAsia="Times New Roman" w:hAnsi="Times New Roman" w:cs="Times New Roman"/>
          <w:i/>
          <w:color w:val="000000"/>
          <w:szCs w:val="20"/>
        </w:rPr>
        <w:t>Bujdosó</w:t>
      </w:r>
      <w:proofErr w:type="spellEnd"/>
      <w:r w:rsidRPr="00E05E56">
        <w:rPr>
          <w:rFonts w:ascii="Times New Roman" w:eastAsia="Times New Roman" w:hAnsi="Times New Roman" w:cs="Times New Roman"/>
          <w:i/>
          <w:color w:val="000000"/>
          <w:szCs w:val="20"/>
        </w:rPr>
        <w:t xml:space="preserve"> and al. v. Hungary</w:t>
      </w:r>
      <w:r w:rsidRPr="00E05E56">
        <w:rPr>
          <w:rFonts w:ascii="Times New Roman" w:eastAsia="Times New Roman" w:hAnsi="Times New Roman" w:cs="Times New Roman"/>
          <w:color w:val="000000"/>
          <w:szCs w:val="20"/>
        </w:rPr>
        <w:t>,</w:t>
      </w:r>
      <w:r w:rsidRPr="00E05E56">
        <w:rPr>
          <w:rFonts w:ascii="Times New Roman" w:hAnsi="Times New Roman" w:cs="Times New Roman"/>
          <w:szCs w:val="20"/>
        </w:rPr>
        <w:t xml:space="preserve"> 16 October 2013, CRPD/C/10/D/4/2011, para. 9.4. (</w:t>
      </w:r>
      <w:proofErr w:type="gramStart"/>
      <w:r w:rsidRPr="00E05E56">
        <w:rPr>
          <w:rFonts w:ascii="Times New Roman" w:hAnsi="Times New Roman" w:cs="Times New Roman"/>
          <w:szCs w:val="20"/>
        </w:rPr>
        <w:t>emphasis</w:t>
      </w:r>
      <w:proofErr w:type="gramEnd"/>
      <w:r w:rsidRPr="00E05E56">
        <w:rPr>
          <w:rFonts w:ascii="Times New Roman" w:hAnsi="Times New Roman" w:cs="Times New Roman"/>
          <w:szCs w:val="20"/>
        </w:rPr>
        <w:t xml:space="preserve"> added). The UN Special Rapporteur on the rights of persons with disabilities also considers that “</w:t>
      </w:r>
      <w:r w:rsidRPr="00E05E56">
        <w:rPr>
          <w:rFonts w:ascii="Times New Roman" w:hAnsi="Times New Roman" w:cs="Times New Roman"/>
          <w:szCs w:val="20"/>
        </w:rPr>
        <w:sym w:font="Symbol" w:char="F05B"/>
      </w:r>
      <w:proofErr w:type="spellStart"/>
      <w:r w:rsidRPr="00E05E56">
        <w:rPr>
          <w:rFonts w:ascii="Times New Roman" w:hAnsi="Times New Roman" w:cs="Times New Roman"/>
          <w:szCs w:val="20"/>
        </w:rPr>
        <w:t>n</w:t>
      </w:r>
      <w:r w:rsidRPr="00E05E56">
        <w:rPr>
          <w:rFonts w:ascii="Times New Roman" w:hAnsi="Times New Roman" w:cs="Times New Roman"/>
          <w:szCs w:val="20"/>
        </w:rPr>
        <w:sym w:font="Symbol" w:char="F05D"/>
      </w:r>
      <w:r w:rsidRPr="00E05E56">
        <w:rPr>
          <w:rFonts w:ascii="Times New Roman" w:hAnsi="Times New Roman" w:cs="Times New Roman"/>
          <w:szCs w:val="20"/>
        </w:rPr>
        <w:t>o</w:t>
      </w:r>
      <w:proofErr w:type="spellEnd"/>
      <w:r w:rsidRPr="00E05E56">
        <w:rPr>
          <w:rFonts w:ascii="Times New Roman" w:hAnsi="Times New Roman" w:cs="Times New Roman"/>
          <w:szCs w:val="20"/>
        </w:rPr>
        <w:t xml:space="preserve"> one should be restricted, either in law or in practice, in the enjoyment of political rights on the grounds of disability”, A/HRC/31/62, 12 January 2016, para. 19.</w:t>
      </w:r>
    </w:p>
  </w:footnote>
  <w:footnote w:id="100">
    <w:p w14:paraId="5020B083"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an overview of the legal status of the right of persons with disabilities to vote in the EU, see FRA, The right to political participation for persons with disabilities: human rights indicators, </w:t>
      </w:r>
      <w:r w:rsidRPr="00E05E56">
        <w:rPr>
          <w:rFonts w:ascii="Times New Roman" w:hAnsi="Times New Roman" w:cs="Times New Roman"/>
          <w:i/>
          <w:szCs w:val="20"/>
          <w:lang w:val="en-GB"/>
        </w:rPr>
        <w:t>op. cit.</w:t>
      </w:r>
      <w:r w:rsidRPr="00E05E56">
        <w:rPr>
          <w:rFonts w:ascii="Times New Roman" w:hAnsi="Times New Roman" w:cs="Times New Roman"/>
          <w:szCs w:val="20"/>
          <w:lang w:val="en-GB"/>
        </w:rPr>
        <w:t xml:space="preserve">, from p. 39. </w:t>
      </w:r>
    </w:p>
  </w:footnote>
  <w:footnote w:id="101">
    <w:p w14:paraId="112068CF"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color w:val="000000" w:themeColor="text1"/>
          <w:szCs w:val="20"/>
          <w:lang w:val="en-GB"/>
        </w:rPr>
        <w:footnoteRef/>
      </w:r>
      <w:r w:rsidRPr="00E05E56">
        <w:rPr>
          <w:rFonts w:ascii="Times New Roman" w:hAnsi="Times New Roman" w:cs="Times New Roman"/>
          <w:color w:val="000000" w:themeColor="text1"/>
          <w:szCs w:val="20"/>
          <w:lang w:val="en-GB"/>
        </w:rPr>
        <w:t xml:space="preserve"> As is the case in some places in Malta. See </w:t>
      </w:r>
      <w:r w:rsidRPr="00E05E56">
        <w:rPr>
          <w:rFonts w:ascii="Times New Roman" w:eastAsia="Times New Roman" w:hAnsi="Times New Roman" w:cs="Times New Roman"/>
          <w:color w:val="000000" w:themeColor="text1"/>
          <w:szCs w:val="20"/>
          <w:lang w:val="en-GB" w:eastAsia="en-GB"/>
        </w:rPr>
        <w:t>Human Rights Committee Concluding Observations 2014</w:t>
      </w:r>
      <w:r w:rsidRPr="00E05E56">
        <w:rPr>
          <w:rFonts w:ascii="Times New Roman" w:eastAsia="Times New Roman" w:hAnsi="Times New Roman" w:cs="Times New Roman"/>
          <w:b/>
          <w:color w:val="000000" w:themeColor="text1"/>
          <w:szCs w:val="20"/>
          <w:lang w:val="en-GB" w:eastAsia="en-GB"/>
        </w:rPr>
        <w:t xml:space="preserve"> </w:t>
      </w:r>
      <w:r w:rsidRPr="00E05E56">
        <w:rPr>
          <w:rFonts w:ascii="Times New Roman" w:eastAsia="Times New Roman" w:hAnsi="Times New Roman" w:cs="Times New Roman"/>
          <w:color w:val="000000" w:themeColor="text1"/>
          <w:szCs w:val="20"/>
          <w:lang w:val="en-GB" w:eastAsia="en-GB"/>
        </w:rPr>
        <w:t>CCPR/C/MLT/CO/2, para. 21.</w:t>
      </w:r>
    </w:p>
  </w:footnote>
  <w:footnote w:id="102">
    <w:p w14:paraId="23619129"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CRDP Concluding observations on the United Kingdom, 2017, CRDP/C/GBR/CO/1, para. 60.</w:t>
      </w:r>
    </w:p>
  </w:footnote>
  <w:footnote w:id="103">
    <w:p w14:paraId="710AA211"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r w:rsidRPr="00E05E56">
        <w:rPr>
          <w:rFonts w:ascii="Times New Roman" w:hAnsi="Times New Roman" w:cs="Times New Roman"/>
          <w:szCs w:val="20"/>
        </w:rPr>
        <w:t>Recommendation CM/</w:t>
      </w:r>
      <w:proofErr w:type="gramStart"/>
      <w:r w:rsidRPr="00E05E56">
        <w:rPr>
          <w:rFonts w:ascii="Times New Roman" w:hAnsi="Times New Roman" w:cs="Times New Roman"/>
          <w:szCs w:val="20"/>
        </w:rPr>
        <w:t>Rec(</w:t>
      </w:r>
      <w:proofErr w:type="gramEnd"/>
      <w:r w:rsidRPr="00E05E56">
        <w:rPr>
          <w:rFonts w:ascii="Times New Roman" w:hAnsi="Times New Roman" w:cs="Times New Roman"/>
          <w:szCs w:val="20"/>
        </w:rPr>
        <w:t xml:space="preserve">2011)14 to Member States on the participation of persons with disabilities in political and public life. </w:t>
      </w:r>
    </w:p>
  </w:footnote>
  <w:footnote w:id="104">
    <w:p w14:paraId="3FF84DA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Unless stated otherwise, the source of the information is The Academic Network of European Disability Experts (ANED) country reports on political participation. </w:t>
      </w:r>
      <w:hyperlink r:id="rId26" w:history="1">
        <w:r w:rsidRPr="00E05E56">
          <w:rPr>
            <w:rStyle w:val="Hyperlink"/>
            <w:rFonts w:ascii="Times New Roman" w:hAnsi="Times New Roman" w:cs="Times New Roman"/>
            <w:szCs w:val="20"/>
          </w:rPr>
          <w:t>http://www.disability-europe.net/theme/political-participation?page=2</w:t>
        </w:r>
      </w:hyperlink>
      <w:r w:rsidRPr="00E05E56">
        <w:rPr>
          <w:rFonts w:ascii="Times New Roman" w:hAnsi="Times New Roman" w:cs="Times New Roman"/>
          <w:szCs w:val="20"/>
        </w:rPr>
        <w:t xml:space="preserve">. </w:t>
      </w:r>
    </w:p>
  </w:footnote>
  <w:footnote w:id="105">
    <w:p w14:paraId="438A0D52"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See A/HRC/19/36, Thematic study by the Office of the United Nations High Commissioner for Human Rights on participation in political and public life by persons with disabilities, 21 December 2011, para. 64.</w:t>
      </w:r>
    </w:p>
    <w:p w14:paraId="222DE6AC"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Persons with mental health conditions are eligible to vote, including those in psychiatric</w:t>
      </w:r>
    </w:p>
  </w:footnote>
  <w:footnote w:id="106">
    <w:p w14:paraId="55F70CD4"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 Agency for Fundamental Rights (FRA), </w:t>
      </w:r>
      <w:proofErr w:type="gramStart"/>
      <w:r w:rsidRPr="00E05E56">
        <w:rPr>
          <w:rFonts w:ascii="Times New Roman" w:hAnsi="Times New Roman" w:cs="Times New Roman"/>
          <w:szCs w:val="20"/>
        </w:rPr>
        <w:t>The</w:t>
      </w:r>
      <w:proofErr w:type="gramEnd"/>
      <w:r w:rsidRPr="00E05E56">
        <w:rPr>
          <w:rFonts w:ascii="Times New Roman" w:hAnsi="Times New Roman" w:cs="Times New Roman"/>
          <w:szCs w:val="20"/>
        </w:rPr>
        <w:t xml:space="preserve"> right to political participation for persons with disabilities: human rights indicators, 2014, p. 72. </w:t>
      </w:r>
    </w:p>
  </w:footnote>
  <w:footnote w:id="107">
    <w:p w14:paraId="01B411A3"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The Academic Network of European Disability Experts (ANED) country reports on political participation. </w:t>
      </w:r>
      <w:hyperlink r:id="rId27" w:history="1">
        <w:r w:rsidRPr="00E05E56">
          <w:rPr>
            <w:rStyle w:val="Hyperlink"/>
            <w:rFonts w:ascii="Times New Roman" w:hAnsi="Times New Roman" w:cs="Times New Roman"/>
            <w:szCs w:val="20"/>
            <w:lang w:val="fr-FR"/>
          </w:rPr>
          <w:t>http://www.disability-europe.net/theme/political-participation?page=2</w:t>
        </w:r>
      </w:hyperlink>
      <w:r w:rsidRPr="00E05E56">
        <w:rPr>
          <w:rStyle w:val="Hyperlink"/>
          <w:rFonts w:ascii="Times New Roman" w:hAnsi="Times New Roman" w:cs="Times New Roman"/>
          <w:szCs w:val="20"/>
          <w:lang w:val="fr-FR"/>
        </w:rPr>
        <w:t xml:space="preserve">. </w:t>
      </w:r>
    </w:p>
  </w:footnote>
  <w:footnote w:id="108">
    <w:p w14:paraId="74154DEA"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lang w:val="fr-FR"/>
        </w:rPr>
        <w:t xml:space="preserve"> </w:t>
      </w:r>
      <w:r w:rsidRPr="00E05E56">
        <w:rPr>
          <w:rFonts w:ascii="Times New Roman" w:hAnsi="Times New Roman" w:cs="Times New Roman"/>
          <w:i/>
          <w:szCs w:val="20"/>
          <w:lang w:val="fr-FR"/>
        </w:rPr>
        <w:t>Idem</w:t>
      </w:r>
      <w:r w:rsidRPr="00E05E56">
        <w:rPr>
          <w:rFonts w:ascii="Times New Roman" w:hAnsi="Times New Roman" w:cs="Times New Roman"/>
          <w:szCs w:val="20"/>
          <w:lang w:val="fr-FR"/>
        </w:rPr>
        <w:t xml:space="preserve">. </w:t>
      </w:r>
    </w:p>
  </w:footnote>
  <w:footnote w:id="109">
    <w:p w14:paraId="705AF09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Style w:val="FootnoteReference"/>
          <w:rFonts w:ascii="Times New Roman" w:hAnsi="Times New Roman" w:cs="Times New Roman"/>
          <w:szCs w:val="20"/>
        </w:rPr>
        <w:t xml:space="preserve"> </w:t>
      </w:r>
      <w:r w:rsidRPr="00E05E56">
        <w:rPr>
          <w:rFonts w:ascii="Times New Roman" w:hAnsi="Times New Roman" w:cs="Times New Roman"/>
          <w:bCs/>
          <w:szCs w:val="20"/>
          <w:lang w:eastAsia="de-DE"/>
        </w:rPr>
        <w:t>CRPD/C/SWE/CO/1, para. 4.</w:t>
      </w:r>
    </w:p>
  </w:footnote>
  <w:footnote w:id="110">
    <w:p w14:paraId="6BCC8E85"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The Academic Network of European Disability Experts (ANED) country reports on political participation. </w:t>
      </w:r>
      <w:hyperlink r:id="rId28" w:history="1">
        <w:r w:rsidRPr="00E05E56">
          <w:rPr>
            <w:rStyle w:val="Hyperlink"/>
            <w:rFonts w:ascii="Times New Roman" w:hAnsi="Times New Roman" w:cs="Times New Roman"/>
            <w:szCs w:val="20"/>
          </w:rPr>
          <w:t>http://www.disability-europe.net/theme/political-participation?page=2</w:t>
        </w:r>
      </w:hyperlink>
      <w:r w:rsidRPr="00E05E56">
        <w:rPr>
          <w:rStyle w:val="Hyperlink"/>
          <w:rFonts w:ascii="Times New Roman" w:hAnsi="Times New Roman" w:cs="Times New Roman"/>
          <w:szCs w:val="20"/>
        </w:rPr>
        <w:t xml:space="preserve">. </w:t>
      </w:r>
    </w:p>
  </w:footnote>
  <w:footnote w:id="111">
    <w:p w14:paraId="2184710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 Agency for Fundamental Rights (FRA), </w:t>
      </w:r>
      <w:proofErr w:type="gramStart"/>
      <w:r w:rsidRPr="00E05E56">
        <w:rPr>
          <w:rFonts w:ascii="Times New Roman" w:hAnsi="Times New Roman" w:cs="Times New Roman"/>
          <w:szCs w:val="20"/>
        </w:rPr>
        <w:t>The</w:t>
      </w:r>
      <w:proofErr w:type="gramEnd"/>
      <w:r w:rsidRPr="00E05E56">
        <w:rPr>
          <w:rFonts w:ascii="Times New Roman" w:hAnsi="Times New Roman" w:cs="Times New Roman"/>
          <w:szCs w:val="20"/>
        </w:rPr>
        <w:t xml:space="preserve"> right to political participation for persons with disabilities: human rights indicators, 2014, p. 25.</w:t>
      </w:r>
    </w:p>
  </w:footnote>
  <w:footnote w:id="112">
    <w:p w14:paraId="70F155A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spellStart"/>
      <w:r w:rsidRPr="00E05E56">
        <w:rPr>
          <w:rFonts w:ascii="Times New Roman" w:hAnsi="Times New Roman" w:cs="Times New Roman"/>
          <w:szCs w:val="20"/>
          <w:lang w:eastAsia="de-DE"/>
        </w:rPr>
        <w:t>RECHTleicht.at</w:t>
      </w:r>
      <w:proofErr w:type="spellEnd"/>
      <w:r w:rsidRPr="00E05E56">
        <w:rPr>
          <w:rFonts w:ascii="Times New Roman" w:hAnsi="Times New Roman" w:cs="Times New Roman"/>
          <w:szCs w:val="20"/>
          <w:lang w:eastAsia="de-DE"/>
        </w:rPr>
        <w:t xml:space="preserve"> </w:t>
      </w:r>
      <w:r w:rsidRPr="00E05E56">
        <w:rPr>
          <w:rFonts w:ascii="Times New Roman" w:hAnsi="Times New Roman" w:cs="Times New Roman"/>
          <w:bCs/>
          <w:szCs w:val="20"/>
          <w:lang w:eastAsia="de-DE"/>
        </w:rPr>
        <w:t xml:space="preserve">provides information on political participation with regard to persons with disabilities and is also available in Austrian Sign Language. </w:t>
      </w:r>
    </w:p>
  </w:footnote>
  <w:footnote w:id="113">
    <w:p w14:paraId="75711E9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29" w:history="1">
        <w:r w:rsidRPr="00E05E56">
          <w:rPr>
            <w:rStyle w:val="Hyperlink"/>
            <w:rFonts w:ascii="Times New Roman" w:hAnsi="Times New Roman" w:cs="Times New Roman"/>
            <w:szCs w:val="20"/>
          </w:rPr>
          <w:t>https://www.gov.uk/government/publications/access-to-elected-office-for-disabled-people-a-response-to-the-consultation</w:t>
        </w:r>
      </w:hyperlink>
      <w:r w:rsidRPr="00E05E56">
        <w:rPr>
          <w:rFonts w:ascii="Times New Roman" w:hAnsi="Times New Roman" w:cs="Times New Roman"/>
          <w:szCs w:val="20"/>
        </w:rPr>
        <w:t xml:space="preserve">. </w:t>
      </w:r>
    </w:p>
  </w:footnote>
  <w:footnote w:id="114">
    <w:p w14:paraId="0FAFAF8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Several examples in Parliament or the regional assembly in the Campania region amongst many others where office holders receive support though personal assistants, technological tools and transport. ANED Country reports on citizenship and political participation, Italy, 2 May 2014. </w:t>
      </w:r>
    </w:p>
  </w:footnote>
  <w:footnote w:id="115">
    <w:p w14:paraId="33C7D3A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color w:val="333333"/>
          <w:szCs w:val="20"/>
          <w:shd w:val="clear" w:color="auto" w:fill="FFFFFF"/>
        </w:rPr>
        <w:t>With only Armenia, Bulgaria, Estonia, Georgia, Hungary, Liechtenstein and Russia in the Council of </w:t>
      </w:r>
      <w:r w:rsidRPr="00E05E56">
        <w:rPr>
          <w:rFonts w:ascii="Times New Roman" w:eastAsia="Times New Roman" w:hAnsi="Times New Roman" w:cs="Times New Roman"/>
          <w:szCs w:val="20"/>
          <w:shd w:val="clear" w:color="auto" w:fill="FFFFFF"/>
        </w:rPr>
        <w:t>Europe</w:t>
      </w:r>
      <w:r w:rsidRPr="00E05E56">
        <w:rPr>
          <w:rFonts w:ascii="Times New Roman" w:eastAsia="Times New Roman" w:hAnsi="Times New Roman" w:cs="Times New Roman"/>
          <w:color w:val="333333"/>
          <w:szCs w:val="20"/>
          <w:shd w:val="clear" w:color="auto" w:fill="FFFFFF"/>
        </w:rPr>
        <w:t> imposing similar restrictions.</w:t>
      </w:r>
      <w:r w:rsidRPr="00E05E56">
        <w:rPr>
          <w:rFonts w:ascii="Times New Roman" w:hAnsi="Times New Roman" w:cs="Times New Roman"/>
          <w:szCs w:val="20"/>
        </w:rPr>
        <w:t xml:space="preserve"> As of November 2017, the domestic law still had not changed even though there were </w:t>
      </w:r>
      <w:proofErr w:type="spellStart"/>
      <w:r w:rsidRPr="00E05E56">
        <w:rPr>
          <w:rFonts w:ascii="Times New Roman" w:hAnsi="Times New Roman" w:cs="Times New Roman"/>
          <w:szCs w:val="20"/>
        </w:rPr>
        <w:t>rumours</w:t>
      </w:r>
      <w:proofErr w:type="spellEnd"/>
      <w:r w:rsidRPr="00E05E56">
        <w:rPr>
          <w:rFonts w:ascii="Times New Roman" w:hAnsi="Times New Roman" w:cs="Times New Roman"/>
          <w:szCs w:val="20"/>
        </w:rPr>
        <w:t xml:space="preserve"> regarding an end to the blanket ban repeatedly condemned by the </w:t>
      </w:r>
      <w:proofErr w:type="spellStart"/>
      <w:r w:rsidRPr="00E05E56">
        <w:rPr>
          <w:rFonts w:ascii="Times New Roman" w:hAnsi="Times New Roman" w:cs="Times New Roman"/>
          <w:szCs w:val="20"/>
        </w:rPr>
        <w:t>ECtHR</w:t>
      </w:r>
      <w:proofErr w:type="spellEnd"/>
      <w:r w:rsidRPr="00E05E56">
        <w:rPr>
          <w:rFonts w:ascii="Times New Roman" w:hAnsi="Times New Roman" w:cs="Times New Roman"/>
          <w:szCs w:val="20"/>
        </w:rPr>
        <w:t xml:space="preserve">. See </w:t>
      </w:r>
      <w:r w:rsidRPr="00E05E56">
        <w:rPr>
          <w:rFonts w:ascii="Times New Roman" w:hAnsi="Times New Roman" w:cs="Times New Roman"/>
          <w:i/>
          <w:szCs w:val="20"/>
        </w:rPr>
        <w:t>The Guardian</w:t>
      </w:r>
      <w:r w:rsidRPr="00E05E56">
        <w:rPr>
          <w:rFonts w:ascii="Times New Roman" w:hAnsi="Times New Roman" w:cs="Times New Roman"/>
          <w:szCs w:val="20"/>
        </w:rPr>
        <w:t xml:space="preserve">, 29 October 2017, “Government reportedly planning to allow some UK prisoners to vote”. </w:t>
      </w:r>
      <w:hyperlink r:id="rId30" w:history="1">
        <w:r w:rsidRPr="00E05E56">
          <w:rPr>
            <w:rStyle w:val="Hyperlink"/>
            <w:rFonts w:ascii="Times New Roman" w:hAnsi="Times New Roman" w:cs="Times New Roman"/>
            <w:szCs w:val="20"/>
          </w:rPr>
          <w:t>https://www.theguardian.com/society/2017/oct/29/government-planning-to-allow-some-prisoners-to-vote-european-court-human-rights</w:t>
        </w:r>
      </w:hyperlink>
      <w:r w:rsidRPr="00E05E56">
        <w:rPr>
          <w:rFonts w:ascii="Times New Roman" w:hAnsi="Times New Roman" w:cs="Times New Roman"/>
          <w:szCs w:val="20"/>
        </w:rPr>
        <w:t xml:space="preserve">. See also “Prisoners’ voting rights: developments since May 2015”, Briefing Paper No. CBP 7461, 15 February 2016, House of Commons Library. </w:t>
      </w:r>
    </w:p>
  </w:footnote>
  <w:footnote w:id="116">
    <w:p w14:paraId="140FEBFD"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w:t>
      </w:r>
      <w:proofErr w:type="spellStart"/>
      <w:r w:rsidRPr="00E05E56">
        <w:rPr>
          <w:rFonts w:ascii="Times New Roman" w:hAnsi="Times New Roman" w:cs="Times New Roman"/>
          <w:szCs w:val="20"/>
          <w:lang w:val="en-GB"/>
        </w:rPr>
        <w:t>ECtHR</w:t>
      </w:r>
      <w:proofErr w:type="spellEnd"/>
      <w:r w:rsidRPr="00E05E56">
        <w:rPr>
          <w:rFonts w:ascii="Times New Roman" w:hAnsi="Times New Roman" w:cs="Times New Roman"/>
          <w:szCs w:val="20"/>
          <w:lang w:val="en-GB"/>
        </w:rPr>
        <w:t xml:space="preserve"> </w:t>
      </w:r>
      <w:proofErr w:type="spellStart"/>
      <w:r w:rsidRPr="00E05E56">
        <w:rPr>
          <w:rFonts w:ascii="Times New Roman" w:hAnsi="Times New Roman" w:cs="Times New Roman"/>
          <w:szCs w:val="20"/>
          <w:lang w:val="en-GB"/>
        </w:rPr>
        <w:t>Facsheet</w:t>
      </w:r>
      <w:proofErr w:type="spellEnd"/>
      <w:r w:rsidRPr="00E05E56">
        <w:rPr>
          <w:rFonts w:ascii="Times New Roman" w:hAnsi="Times New Roman" w:cs="Times New Roman"/>
          <w:szCs w:val="20"/>
          <w:lang w:val="en-GB"/>
        </w:rPr>
        <w:t xml:space="preserve">, </w:t>
      </w:r>
      <w:r w:rsidRPr="00E05E56">
        <w:rPr>
          <w:rFonts w:ascii="Times New Roman" w:hAnsi="Times New Roman" w:cs="Times New Roman"/>
          <w:i/>
          <w:szCs w:val="20"/>
          <w:lang w:val="en-GB"/>
        </w:rPr>
        <w:t>Prisoners’ right to vote</w:t>
      </w:r>
      <w:r w:rsidRPr="00E05E56">
        <w:rPr>
          <w:rFonts w:ascii="Times New Roman" w:hAnsi="Times New Roman" w:cs="Times New Roman"/>
          <w:szCs w:val="20"/>
          <w:lang w:val="en-GB"/>
        </w:rPr>
        <w:t xml:space="preserve">, July 2017. </w:t>
      </w:r>
    </w:p>
  </w:footnote>
  <w:footnote w:id="117">
    <w:p w14:paraId="41DD0A79"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rPr>
        <w:t xml:space="preserve"> CJEU, Grand Chamber, </w:t>
      </w:r>
      <w:proofErr w:type="spellStart"/>
      <w:r w:rsidRPr="00E05E56">
        <w:rPr>
          <w:rFonts w:ascii="Times New Roman" w:hAnsi="Times New Roman" w:cs="Times New Roman"/>
          <w:i/>
          <w:szCs w:val="20"/>
        </w:rPr>
        <w:t>Delvigne</w:t>
      </w:r>
      <w:proofErr w:type="spellEnd"/>
      <w:r w:rsidRPr="00E05E56">
        <w:rPr>
          <w:rFonts w:ascii="Times New Roman" w:hAnsi="Times New Roman" w:cs="Times New Roman"/>
          <w:szCs w:val="20"/>
        </w:rPr>
        <w:t>, 6 October 2015, C-650/13, para. 49.</w:t>
      </w:r>
    </w:p>
  </w:footnote>
  <w:footnote w:id="118">
    <w:p w14:paraId="57E79B53"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If prisoners have cut ties with the place where they lived before being incarcerated, they have to register to vote in the municipality where the prison is and find someone to vote by proxy who is also registered in that same municipality, which can prove challenging. </w:t>
      </w:r>
    </w:p>
  </w:footnote>
  <w:footnote w:id="119">
    <w:p w14:paraId="6B3E910C"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lang w:val="fr-FR"/>
        </w:rPr>
        <w:t xml:space="preserve"> Observatoire international des prisons, “Les détenus ont-ils le droit de voter ?”, </w:t>
      </w:r>
      <w:hyperlink r:id="rId31" w:history="1">
        <w:proofErr w:type="spellStart"/>
        <w:r w:rsidRPr="00E05E56">
          <w:rPr>
            <w:rStyle w:val="Hyperlink"/>
            <w:rFonts w:ascii="Times New Roman" w:hAnsi="Times New Roman" w:cs="Times New Roman"/>
            <w:szCs w:val="20"/>
            <w:lang w:val="fr-FR"/>
          </w:rPr>
          <w:t>https</w:t>
        </w:r>
        <w:proofErr w:type="spellEnd"/>
        <w:r w:rsidRPr="00E05E56">
          <w:rPr>
            <w:rStyle w:val="Hyperlink"/>
            <w:rFonts w:ascii="Times New Roman" w:hAnsi="Times New Roman" w:cs="Times New Roman"/>
            <w:szCs w:val="20"/>
            <w:lang w:val="fr-FR"/>
          </w:rPr>
          <w:t>://</w:t>
        </w:r>
        <w:proofErr w:type="spellStart"/>
        <w:r w:rsidRPr="00E05E56">
          <w:rPr>
            <w:rStyle w:val="Hyperlink"/>
            <w:rFonts w:ascii="Times New Roman" w:hAnsi="Times New Roman" w:cs="Times New Roman"/>
            <w:szCs w:val="20"/>
            <w:lang w:val="fr-FR"/>
          </w:rPr>
          <w:t>oip.org</w:t>
        </w:r>
        <w:proofErr w:type="spellEnd"/>
        <w:r w:rsidRPr="00E05E56">
          <w:rPr>
            <w:rStyle w:val="Hyperlink"/>
            <w:rFonts w:ascii="Times New Roman" w:hAnsi="Times New Roman" w:cs="Times New Roman"/>
            <w:szCs w:val="20"/>
            <w:lang w:val="fr-FR"/>
          </w:rPr>
          <w:t>/en-bref/les-</w:t>
        </w:r>
        <w:proofErr w:type="spellStart"/>
        <w:r w:rsidRPr="00E05E56">
          <w:rPr>
            <w:rStyle w:val="Hyperlink"/>
            <w:rFonts w:ascii="Times New Roman" w:hAnsi="Times New Roman" w:cs="Times New Roman"/>
            <w:szCs w:val="20"/>
            <w:lang w:val="fr-FR"/>
          </w:rPr>
          <w:t>detenus</w:t>
        </w:r>
        <w:proofErr w:type="spellEnd"/>
        <w:r w:rsidRPr="00E05E56">
          <w:rPr>
            <w:rStyle w:val="Hyperlink"/>
            <w:rFonts w:ascii="Times New Roman" w:hAnsi="Times New Roman" w:cs="Times New Roman"/>
            <w:szCs w:val="20"/>
            <w:lang w:val="fr-FR"/>
          </w:rPr>
          <w:t>-ont-ils-le-droit-de-voter/</w:t>
        </w:r>
      </w:hyperlink>
      <w:r w:rsidRPr="00E05E56">
        <w:rPr>
          <w:rFonts w:ascii="Times New Roman" w:hAnsi="Times New Roman" w:cs="Times New Roman"/>
          <w:szCs w:val="20"/>
          <w:lang w:val="fr-FR"/>
        </w:rPr>
        <w:t xml:space="preserve">. </w:t>
      </w:r>
    </w:p>
  </w:footnote>
  <w:footnote w:id="120">
    <w:p w14:paraId="5A4F67A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Liberty, “Liberty’s Briefing on Prisoners’ Voting Rights”, October 2016, para. 23. </w:t>
      </w:r>
    </w:p>
  </w:footnote>
  <w:footnote w:id="121">
    <w:p w14:paraId="334859E5"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the ICTs in elections database hosted by the International Institute for Democracy and Election Assistance (IDEA</w:t>
      </w:r>
      <w:proofErr w:type="gramStart"/>
      <w:r w:rsidRPr="00E05E56">
        <w:rPr>
          <w:rFonts w:ascii="Times New Roman" w:hAnsi="Times New Roman" w:cs="Times New Roman"/>
          <w:szCs w:val="20"/>
          <w:lang w:val="en-GB"/>
        </w:rPr>
        <w:t>) :</w:t>
      </w:r>
      <w:proofErr w:type="gramEnd"/>
      <w:r w:rsidRPr="00E05E56">
        <w:rPr>
          <w:rFonts w:ascii="Times New Roman" w:hAnsi="Times New Roman" w:cs="Times New Roman"/>
          <w:szCs w:val="20"/>
          <w:lang w:val="en-GB"/>
        </w:rPr>
        <w:t xml:space="preserve"> </w:t>
      </w:r>
      <w:hyperlink r:id="rId32" w:history="1">
        <w:r w:rsidRPr="00E05E56">
          <w:rPr>
            <w:rStyle w:val="Hyperlink"/>
            <w:rFonts w:ascii="Times New Roman" w:hAnsi="Times New Roman" w:cs="Times New Roman"/>
            <w:szCs w:val="20"/>
            <w:lang w:val="en-GB"/>
          </w:rPr>
          <w:t>https://</w:t>
        </w:r>
        <w:proofErr w:type="spellStart"/>
        <w:r w:rsidRPr="00E05E56">
          <w:rPr>
            <w:rStyle w:val="Hyperlink"/>
            <w:rFonts w:ascii="Times New Roman" w:hAnsi="Times New Roman" w:cs="Times New Roman"/>
            <w:szCs w:val="20"/>
            <w:lang w:val="en-GB"/>
          </w:rPr>
          <w:t>www.idea.int</w:t>
        </w:r>
        <w:proofErr w:type="spellEnd"/>
        <w:r w:rsidRPr="00E05E56">
          <w:rPr>
            <w:rStyle w:val="Hyperlink"/>
            <w:rFonts w:ascii="Times New Roman" w:hAnsi="Times New Roman" w:cs="Times New Roman"/>
            <w:szCs w:val="20"/>
            <w:lang w:val="en-GB"/>
          </w:rPr>
          <w:t>/data-tools/data/</w:t>
        </w:r>
        <w:proofErr w:type="spellStart"/>
        <w:r w:rsidRPr="00E05E56">
          <w:rPr>
            <w:rStyle w:val="Hyperlink"/>
            <w:rFonts w:ascii="Times New Roman" w:hAnsi="Times New Roman" w:cs="Times New Roman"/>
            <w:szCs w:val="20"/>
            <w:lang w:val="en-GB"/>
          </w:rPr>
          <w:t>icts</w:t>
        </w:r>
        <w:proofErr w:type="spellEnd"/>
        <w:r w:rsidRPr="00E05E56">
          <w:rPr>
            <w:rStyle w:val="Hyperlink"/>
            <w:rFonts w:ascii="Times New Roman" w:hAnsi="Times New Roman" w:cs="Times New Roman"/>
            <w:szCs w:val="20"/>
            <w:lang w:val="en-GB"/>
          </w:rPr>
          <w:t>-elections</w:t>
        </w:r>
      </w:hyperlink>
      <w:r w:rsidRPr="00E05E56">
        <w:rPr>
          <w:rFonts w:ascii="Times New Roman" w:hAnsi="Times New Roman" w:cs="Times New Roman"/>
          <w:szCs w:val="20"/>
          <w:lang w:val="en-GB"/>
        </w:rPr>
        <w:t>.</w:t>
      </w:r>
    </w:p>
  </w:footnote>
  <w:footnote w:id="122">
    <w:p w14:paraId="79AD7311"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CRDP </w:t>
      </w:r>
      <w:r w:rsidRPr="00E05E56">
        <w:rPr>
          <w:rFonts w:ascii="Times New Roman" w:hAnsi="Times New Roman" w:cs="Times New Roman"/>
          <w:szCs w:val="20"/>
          <w:lang w:val="en-GB"/>
        </w:rPr>
        <w:t xml:space="preserve">Concluding Observations on Sweden, </w:t>
      </w:r>
      <w:r w:rsidRPr="00E05E56">
        <w:rPr>
          <w:rFonts w:ascii="Times New Roman" w:hAnsi="Times New Roman" w:cs="Times New Roman"/>
          <w:bCs/>
          <w:szCs w:val="20"/>
          <w:lang w:val="en-GB" w:eastAsia="de-DE"/>
        </w:rPr>
        <w:t>CRPD/C/SWE/CO/1, 2014, para. 4.</w:t>
      </w:r>
    </w:p>
  </w:footnote>
  <w:footnote w:id="123">
    <w:p w14:paraId="0E243AF4"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Reuters, “France drops electronic voting for citizens abroad over cybersecurity fears”, 6 March 2017, </w:t>
      </w:r>
      <w:hyperlink r:id="rId33" w:history="1">
        <w:r w:rsidRPr="00E05E56">
          <w:rPr>
            <w:rStyle w:val="Hyperlink"/>
            <w:rFonts w:ascii="Times New Roman" w:hAnsi="Times New Roman" w:cs="Times New Roman"/>
            <w:szCs w:val="20"/>
            <w:lang w:val="en-GB"/>
          </w:rPr>
          <w:t>https://www.reuters.com/article/us-france-election-cyber/france-drops-electronic-voting-for-citizens-abroad-over-cybersecurity-fears-idUSKBN16D233</w:t>
        </w:r>
      </w:hyperlink>
      <w:r w:rsidRPr="00E05E56">
        <w:rPr>
          <w:rFonts w:ascii="Times New Roman" w:hAnsi="Times New Roman" w:cs="Times New Roman"/>
          <w:szCs w:val="20"/>
          <w:lang w:val="en-GB"/>
        </w:rPr>
        <w:t xml:space="preserve">. </w:t>
      </w:r>
    </w:p>
  </w:footnote>
  <w:footnote w:id="124">
    <w:p w14:paraId="1EF66C26"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r w:rsidRPr="00E05E56">
        <w:rPr>
          <w:rFonts w:ascii="Times New Roman" w:hAnsi="Times New Roman" w:cs="Times New Roman"/>
          <w:i/>
          <w:szCs w:val="20"/>
          <w:lang w:val="en-GB"/>
        </w:rPr>
        <w:t>The Guardian</w:t>
      </w:r>
      <w:r w:rsidRPr="00E05E56">
        <w:rPr>
          <w:rFonts w:ascii="Times New Roman" w:hAnsi="Times New Roman" w:cs="Times New Roman"/>
          <w:szCs w:val="20"/>
          <w:lang w:val="en-GB"/>
        </w:rPr>
        <w:t xml:space="preserve">, “Dutch will count all election ballots by hand to thwart hacking”, 2 February 2017, </w:t>
      </w:r>
      <w:hyperlink r:id="rId34" w:history="1">
        <w:r w:rsidRPr="00E05E56">
          <w:rPr>
            <w:rStyle w:val="Hyperlink"/>
            <w:rFonts w:ascii="Times New Roman" w:hAnsi="Times New Roman" w:cs="Times New Roman"/>
            <w:szCs w:val="20"/>
            <w:lang w:val="en-GB"/>
          </w:rPr>
          <w:t>https://www.theguardian.com/world/2017/feb/02/dutch-will-count-all-election-ballots-by-hand-to-thwart-cyber-hacking</w:t>
        </w:r>
      </w:hyperlink>
      <w:r w:rsidRPr="00E05E56">
        <w:rPr>
          <w:rFonts w:ascii="Times New Roman" w:hAnsi="Times New Roman" w:cs="Times New Roman"/>
          <w:szCs w:val="20"/>
          <w:lang w:val="en-GB"/>
        </w:rPr>
        <w:t xml:space="preserve">. </w:t>
      </w:r>
    </w:p>
  </w:footnote>
  <w:footnote w:id="125">
    <w:p w14:paraId="6E9FA88C"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hyperlink r:id="rId35" w:history="1">
        <w:r w:rsidRPr="00E05E56">
          <w:rPr>
            <w:rStyle w:val="Hyperlink"/>
            <w:rFonts w:ascii="Times New Roman" w:hAnsi="Times New Roman" w:cs="Times New Roman"/>
            <w:szCs w:val="20"/>
            <w:lang w:val="en-GB"/>
          </w:rPr>
          <w:t>https://www.ndi.org/e-voting-guide/examples/constitutionality-of-electronic-voting-germany</w:t>
        </w:r>
      </w:hyperlink>
      <w:r w:rsidRPr="00E05E56">
        <w:rPr>
          <w:rFonts w:ascii="Times New Roman" w:hAnsi="Times New Roman" w:cs="Times New Roman"/>
          <w:szCs w:val="20"/>
          <w:lang w:val="en-GB"/>
        </w:rPr>
        <w:t xml:space="preserve">. </w:t>
      </w:r>
    </w:p>
  </w:footnote>
  <w:footnote w:id="126">
    <w:p w14:paraId="7E11EC48"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Iceland, Italy, Finland, Portugal, Spain, Turkey, UK. See ICTs in elections database.</w:t>
      </w:r>
    </w:p>
  </w:footnote>
  <w:footnote w:id="127">
    <w:p w14:paraId="10A275E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the Joint Declaration on freedom of expression and “fake news” by the UN Special Rapporteur on freedom of opinion and expression, the OSCE Representative on freedom of the media, the OAS Special Rapporteur on freedom of expression and the ACHPR Special Rapporteur on freedom of expression and access to information, 3 March 2017.</w:t>
      </w:r>
    </w:p>
  </w:footnote>
  <w:footnote w:id="128">
    <w:p w14:paraId="4390E59F" w14:textId="77777777" w:rsidR="0043479F" w:rsidRPr="00E05E56" w:rsidRDefault="0043479F" w:rsidP="00E05E56">
      <w:pPr>
        <w:pStyle w:val="FootnoteText"/>
        <w:rPr>
          <w:rFonts w:ascii="Times New Roman" w:eastAsia="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As noted by the OHCHR, see OHCHR Best Practices and Challenges, A/HRC/30/26, para. 18. See also IIDEA, </w:t>
      </w:r>
      <w:r w:rsidRPr="00E05E56">
        <w:rPr>
          <w:rFonts w:ascii="Times New Roman" w:hAnsi="Times New Roman" w:cs="Times New Roman"/>
          <w:i/>
          <w:szCs w:val="20"/>
          <w:lang w:val="en-GB"/>
        </w:rPr>
        <w:t>Voter Turnout in Western Europe since 1945</w:t>
      </w:r>
      <w:r w:rsidRPr="00E05E56">
        <w:rPr>
          <w:rFonts w:ascii="Times New Roman" w:hAnsi="Times New Roman" w:cs="Times New Roman"/>
          <w:szCs w:val="20"/>
          <w:lang w:val="en-GB"/>
        </w:rPr>
        <w:t xml:space="preserve">, 2004 and Pascal </w:t>
      </w:r>
      <w:proofErr w:type="spellStart"/>
      <w:r w:rsidRPr="00E05E56">
        <w:rPr>
          <w:rFonts w:ascii="Times New Roman" w:eastAsia="Times New Roman" w:hAnsi="Times New Roman" w:cs="Times New Roman"/>
          <w:color w:val="000000"/>
          <w:szCs w:val="20"/>
          <w:shd w:val="clear" w:color="auto" w:fill="FFFFFF"/>
          <w:lang w:val="en-GB"/>
        </w:rPr>
        <w:t>Delwit</w:t>
      </w:r>
      <w:proofErr w:type="spellEnd"/>
      <w:r w:rsidRPr="00E05E56">
        <w:rPr>
          <w:rFonts w:ascii="Times New Roman" w:eastAsia="Times New Roman" w:hAnsi="Times New Roman" w:cs="Times New Roman"/>
          <w:color w:val="000000"/>
          <w:szCs w:val="20"/>
          <w:shd w:val="clear" w:color="auto" w:fill="FFFFFF"/>
          <w:lang w:val="en-GB"/>
        </w:rPr>
        <w:t>, “The End of Voters in Europe? Electoral Turnout in Europe since WWII”, </w:t>
      </w:r>
      <w:r w:rsidRPr="00E05E56">
        <w:rPr>
          <w:rFonts w:ascii="Times New Roman" w:eastAsia="Times New Roman" w:hAnsi="Times New Roman" w:cs="Times New Roman"/>
          <w:i/>
          <w:iCs/>
          <w:color w:val="000000"/>
          <w:szCs w:val="20"/>
          <w:shd w:val="clear" w:color="auto" w:fill="FFFFFF"/>
          <w:lang w:val="en-GB"/>
        </w:rPr>
        <w:t>Open Journal of Political Science</w:t>
      </w:r>
      <w:r w:rsidRPr="00E05E56">
        <w:rPr>
          <w:rFonts w:ascii="Times New Roman" w:eastAsia="Times New Roman" w:hAnsi="Times New Roman" w:cs="Times New Roman"/>
          <w:color w:val="000000"/>
          <w:szCs w:val="20"/>
          <w:shd w:val="clear" w:color="auto" w:fill="FFFFFF"/>
          <w:lang w:val="en-GB"/>
        </w:rPr>
        <w:t>, </w:t>
      </w:r>
      <w:r w:rsidRPr="00E05E56">
        <w:rPr>
          <w:rFonts w:ascii="Times New Roman" w:eastAsia="Times New Roman" w:hAnsi="Times New Roman" w:cs="Times New Roman"/>
          <w:bCs/>
          <w:color w:val="000000"/>
          <w:szCs w:val="20"/>
          <w:shd w:val="clear" w:color="auto" w:fill="FFFFFF"/>
          <w:lang w:val="en-GB"/>
        </w:rPr>
        <w:t>3</w:t>
      </w:r>
      <w:r w:rsidRPr="00E05E56">
        <w:rPr>
          <w:rFonts w:ascii="Times New Roman" w:eastAsia="Times New Roman" w:hAnsi="Times New Roman" w:cs="Times New Roman"/>
          <w:color w:val="000000"/>
          <w:szCs w:val="20"/>
          <w:shd w:val="clear" w:color="auto" w:fill="FFFFFF"/>
          <w:lang w:val="en-GB"/>
        </w:rPr>
        <w:t>, 2013, pp. 44-52</w:t>
      </w:r>
      <w:r w:rsidRPr="00E05E56">
        <w:rPr>
          <w:rFonts w:ascii="Times New Roman" w:eastAsia="Times New Roman" w:hAnsi="Times New Roman" w:cs="Times New Roman"/>
          <w:szCs w:val="20"/>
          <w:lang w:val="en-GB"/>
        </w:rPr>
        <w:t xml:space="preserve">. </w:t>
      </w:r>
    </w:p>
  </w:footnote>
  <w:footnote w:id="129">
    <w:p w14:paraId="28C5D709"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For a historical presentation of these two concepts, see Antonio </w:t>
      </w:r>
      <w:proofErr w:type="spellStart"/>
      <w:r w:rsidRPr="00E05E56">
        <w:rPr>
          <w:rFonts w:ascii="Times New Roman" w:hAnsi="Times New Roman" w:cs="Times New Roman"/>
          <w:szCs w:val="20"/>
          <w:lang w:val="en-GB"/>
        </w:rPr>
        <w:t>Floridia</w:t>
      </w:r>
      <w:proofErr w:type="spellEnd"/>
      <w:r w:rsidRPr="00E05E56">
        <w:rPr>
          <w:rFonts w:ascii="Times New Roman" w:hAnsi="Times New Roman" w:cs="Times New Roman"/>
          <w:szCs w:val="20"/>
          <w:lang w:val="en-GB"/>
        </w:rPr>
        <w:t xml:space="preserve">, “Participatory Democracy </w:t>
      </w:r>
      <w:r w:rsidRPr="00E05E56">
        <w:rPr>
          <w:rFonts w:ascii="Times New Roman" w:hAnsi="Times New Roman" w:cs="Times New Roman"/>
          <w:i/>
          <w:szCs w:val="20"/>
          <w:lang w:val="en-GB"/>
        </w:rPr>
        <w:t>versus</w:t>
      </w:r>
      <w:r w:rsidRPr="00E05E56">
        <w:rPr>
          <w:rFonts w:ascii="Times New Roman" w:hAnsi="Times New Roman" w:cs="Times New Roman"/>
          <w:szCs w:val="20"/>
          <w:lang w:val="en-GB"/>
        </w:rPr>
        <w:t xml:space="preserve"> Deliberative Democracy: Elements for a Possible Theoretical Genealogy. Two Histories, some intersections”, available at </w:t>
      </w:r>
      <w:hyperlink r:id="rId36" w:history="1">
        <w:r w:rsidRPr="00E05E56">
          <w:rPr>
            <w:rStyle w:val="Hyperlink"/>
            <w:rFonts w:ascii="Times New Roman" w:hAnsi="Times New Roman" w:cs="Times New Roman"/>
            <w:szCs w:val="20"/>
            <w:lang w:val="en-GB"/>
          </w:rPr>
          <w:t>https://ecpr.eu/Filestore/PaperProposal/71d7f83c-3fe4-4b11-82a2-c151cd3769f4.pdf</w:t>
        </w:r>
      </w:hyperlink>
      <w:r w:rsidRPr="00E05E56">
        <w:rPr>
          <w:rFonts w:ascii="Times New Roman" w:hAnsi="Times New Roman" w:cs="Times New Roman"/>
          <w:szCs w:val="20"/>
          <w:lang w:val="en-GB"/>
        </w:rPr>
        <w:t>.</w:t>
      </w:r>
    </w:p>
  </w:footnote>
  <w:footnote w:id="130">
    <w:p w14:paraId="48D738A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OHCHR Best Practices and Challenges, A/HRC/30/26, para. 41.</w:t>
      </w:r>
    </w:p>
  </w:footnote>
  <w:footnote w:id="131">
    <w:p w14:paraId="03A63ED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European Commission, </w:t>
      </w:r>
      <w:proofErr w:type="spellStart"/>
      <w:r w:rsidRPr="00E05E56">
        <w:rPr>
          <w:rFonts w:ascii="Times New Roman" w:hAnsi="Times New Roman" w:cs="Times New Roman"/>
          <w:szCs w:val="20"/>
        </w:rPr>
        <w:t>eGovernment</w:t>
      </w:r>
      <w:proofErr w:type="spellEnd"/>
      <w:r w:rsidRPr="00E05E56">
        <w:rPr>
          <w:rFonts w:ascii="Times New Roman" w:hAnsi="Times New Roman" w:cs="Times New Roman"/>
          <w:szCs w:val="20"/>
        </w:rPr>
        <w:t xml:space="preserve"> Benchmark 2016, </w:t>
      </w:r>
      <w:proofErr w:type="gramStart"/>
      <w:r w:rsidRPr="00E05E56">
        <w:rPr>
          <w:rFonts w:ascii="Times New Roman" w:hAnsi="Times New Roman" w:cs="Times New Roman"/>
          <w:szCs w:val="20"/>
        </w:rPr>
        <w:t>A</w:t>
      </w:r>
      <w:proofErr w:type="gramEnd"/>
      <w:r w:rsidRPr="00E05E56">
        <w:rPr>
          <w:rFonts w:ascii="Times New Roman" w:hAnsi="Times New Roman" w:cs="Times New Roman"/>
          <w:szCs w:val="20"/>
        </w:rPr>
        <w:t xml:space="preserve"> turning point for </w:t>
      </w:r>
      <w:proofErr w:type="spellStart"/>
      <w:r w:rsidRPr="00E05E56">
        <w:rPr>
          <w:rFonts w:ascii="Times New Roman" w:hAnsi="Times New Roman" w:cs="Times New Roman"/>
          <w:szCs w:val="20"/>
        </w:rPr>
        <w:t>eGovernment</w:t>
      </w:r>
      <w:proofErr w:type="spellEnd"/>
      <w:r w:rsidRPr="00E05E56">
        <w:rPr>
          <w:rFonts w:ascii="Times New Roman" w:hAnsi="Times New Roman" w:cs="Times New Roman"/>
          <w:szCs w:val="20"/>
        </w:rPr>
        <w:t xml:space="preserve"> development in Europe? 2016, p.10. </w:t>
      </w:r>
      <w:hyperlink r:id="rId37" w:history="1">
        <w:r w:rsidRPr="00E05E56">
          <w:rPr>
            <w:rStyle w:val="Hyperlink"/>
            <w:rFonts w:ascii="Times New Roman" w:hAnsi="Times New Roman" w:cs="Times New Roman"/>
            <w:szCs w:val="20"/>
          </w:rPr>
          <w:t>https://ec.europa.eu/digital-single-market/en/news/eu-egovernment-report-2016-shows-online-public-services-improved-unevenly</w:t>
        </w:r>
      </w:hyperlink>
      <w:r w:rsidRPr="00E05E56">
        <w:rPr>
          <w:rFonts w:ascii="Times New Roman" w:hAnsi="Times New Roman" w:cs="Times New Roman"/>
          <w:szCs w:val="20"/>
        </w:rPr>
        <w:t xml:space="preserve">. </w:t>
      </w:r>
    </w:p>
  </w:footnote>
  <w:footnote w:id="132">
    <w:p w14:paraId="1BC54022"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hyperlink r:id="rId38"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data.assemblee-nationale.fr</w:t>
        </w:r>
        <w:proofErr w:type="spellEnd"/>
        <w:r w:rsidRPr="00E05E56">
          <w:rPr>
            <w:rStyle w:val="Hyperlink"/>
            <w:rFonts w:ascii="Times New Roman" w:hAnsi="Times New Roman" w:cs="Times New Roman"/>
            <w:szCs w:val="20"/>
          </w:rPr>
          <w:t>/</w:t>
        </w:r>
      </w:hyperlink>
      <w:r w:rsidRPr="00E05E56">
        <w:rPr>
          <w:rFonts w:ascii="Times New Roman" w:hAnsi="Times New Roman" w:cs="Times New Roman"/>
          <w:color w:val="000000" w:themeColor="text1"/>
          <w:szCs w:val="20"/>
        </w:rPr>
        <w:t xml:space="preserve">. </w:t>
      </w:r>
    </w:p>
  </w:footnote>
  <w:footnote w:id="133">
    <w:p w14:paraId="793A082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39" w:history="1">
        <w:r w:rsidRPr="00E05E56">
          <w:rPr>
            <w:rStyle w:val="Hyperlink"/>
            <w:rFonts w:ascii="Times New Roman" w:hAnsi="Times New Roman" w:cs="Times New Roman"/>
            <w:szCs w:val="20"/>
          </w:rPr>
          <w:t>http://www.bpb.de/die-bpb/138852/federal-agency-for-civic-education</w:t>
        </w:r>
      </w:hyperlink>
      <w:r w:rsidRPr="00E05E56">
        <w:rPr>
          <w:rFonts w:ascii="Times New Roman" w:hAnsi="Times New Roman" w:cs="Times New Roman"/>
          <w:szCs w:val="20"/>
        </w:rPr>
        <w:t xml:space="preserve">. </w:t>
      </w:r>
    </w:p>
  </w:footnote>
  <w:footnote w:id="134">
    <w:p w14:paraId="4257BC0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41.</w:t>
      </w:r>
    </w:p>
  </w:footnote>
  <w:footnote w:id="135">
    <w:p w14:paraId="3AD515C3"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0"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data.gov.il</w:t>
        </w:r>
        <w:proofErr w:type="spellEnd"/>
      </w:hyperlink>
      <w:r w:rsidRPr="00E05E56">
        <w:rPr>
          <w:rFonts w:ascii="Times New Roman" w:hAnsi="Times New Roman" w:cs="Times New Roman"/>
          <w:szCs w:val="20"/>
        </w:rPr>
        <w:t xml:space="preserve">. </w:t>
      </w:r>
    </w:p>
  </w:footnote>
  <w:footnote w:id="136">
    <w:p w14:paraId="1BB09CAE"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1" w:anchor="/"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zoek.openraadsinformatie.nl</w:t>
        </w:r>
        <w:proofErr w:type="spellEnd"/>
        <w:r w:rsidRPr="00E05E56">
          <w:rPr>
            <w:rStyle w:val="Hyperlink"/>
            <w:rFonts w:ascii="Times New Roman" w:hAnsi="Times New Roman" w:cs="Times New Roman"/>
            <w:szCs w:val="20"/>
          </w:rPr>
          <w:t>/#/</w:t>
        </w:r>
      </w:hyperlink>
      <w:r w:rsidRPr="00E05E56">
        <w:rPr>
          <w:rFonts w:ascii="Times New Roman" w:hAnsi="Times New Roman" w:cs="Times New Roman"/>
          <w:szCs w:val="20"/>
        </w:rPr>
        <w:t xml:space="preserve">. </w:t>
      </w:r>
    </w:p>
  </w:footnote>
  <w:footnote w:id="137">
    <w:p w14:paraId="6177739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2" w:history="1">
        <w:r w:rsidRPr="00E05E56">
          <w:rPr>
            <w:rStyle w:val="Hyperlink"/>
            <w:rFonts w:ascii="Times New Roman" w:hAnsi="Times New Roman" w:cs="Times New Roman"/>
            <w:szCs w:val="20"/>
          </w:rPr>
          <w:t>https://openstate.eu/en/projects/political-transparency/open-municipal-information/</w:t>
        </w:r>
      </w:hyperlink>
      <w:r w:rsidRPr="00E05E56">
        <w:rPr>
          <w:rFonts w:ascii="Times New Roman" w:hAnsi="Times New Roman" w:cs="Times New Roman"/>
          <w:szCs w:val="20"/>
        </w:rPr>
        <w:t xml:space="preserve">. </w:t>
      </w:r>
    </w:p>
  </w:footnote>
  <w:footnote w:id="138">
    <w:p w14:paraId="3E9A1A0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41.</w:t>
      </w:r>
    </w:p>
  </w:footnote>
  <w:footnote w:id="139">
    <w:p w14:paraId="38E67FC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For more examples, see </w:t>
      </w:r>
      <w:r w:rsidRPr="00E05E56">
        <w:rPr>
          <w:rFonts w:ascii="Times New Roman" w:eastAsia="Times New Roman" w:hAnsi="Times New Roman" w:cs="Times New Roman"/>
          <w:szCs w:val="20"/>
          <w:lang w:val="en-GB"/>
        </w:rPr>
        <w:t xml:space="preserve">European Commission, Europe for Citizens Programme, </w:t>
      </w:r>
      <w:proofErr w:type="spellStart"/>
      <w:r w:rsidRPr="00E05E56">
        <w:rPr>
          <w:rFonts w:ascii="Times New Roman" w:eastAsia="Times New Roman" w:hAnsi="Times New Roman" w:cs="Times New Roman"/>
          <w:szCs w:val="20"/>
        </w:rPr>
        <w:t>Janez</w:t>
      </w:r>
      <w:proofErr w:type="spellEnd"/>
      <w:r w:rsidRPr="00E05E56">
        <w:rPr>
          <w:rFonts w:ascii="Times New Roman" w:eastAsia="Times New Roman" w:hAnsi="Times New Roman" w:cs="Times New Roman"/>
          <w:szCs w:val="20"/>
        </w:rPr>
        <w:t xml:space="preserve"> </w:t>
      </w:r>
      <w:proofErr w:type="spellStart"/>
      <w:r w:rsidRPr="00E05E56">
        <w:rPr>
          <w:rFonts w:ascii="Times New Roman" w:eastAsia="Times New Roman" w:hAnsi="Times New Roman" w:cs="Times New Roman"/>
          <w:szCs w:val="20"/>
        </w:rPr>
        <w:t>Krek</w:t>
      </w:r>
      <w:proofErr w:type="spellEnd"/>
      <w:r w:rsidRPr="00E05E56">
        <w:rPr>
          <w:rFonts w:ascii="Times New Roman" w:eastAsia="Times New Roman" w:hAnsi="Times New Roman" w:cs="Times New Roman"/>
          <w:szCs w:val="20"/>
        </w:rPr>
        <w:t xml:space="preserve">, Bruno </w:t>
      </w:r>
      <w:proofErr w:type="spellStart"/>
      <w:r w:rsidRPr="00E05E56">
        <w:rPr>
          <w:rFonts w:ascii="Times New Roman" w:eastAsia="Times New Roman" w:hAnsi="Times New Roman" w:cs="Times New Roman"/>
          <w:szCs w:val="20"/>
        </w:rPr>
        <w:t>Losito</w:t>
      </w:r>
      <w:proofErr w:type="spellEnd"/>
      <w:r w:rsidRPr="00E05E56">
        <w:rPr>
          <w:rFonts w:ascii="Times New Roman" w:eastAsia="Times New Roman" w:hAnsi="Times New Roman" w:cs="Times New Roman"/>
          <w:szCs w:val="20"/>
        </w:rPr>
        <w:t xml:space="preserve">, Rebecca Ridley and Bryony Hoskins, </w:t>
      </w:r>
      <w:r w:rsidRPr="00E05E56">
        <w:rPr>
          <w:rFonts w:ascii="Times New Roman" w:eastAsia="Times New Roman" w:hAnsi="Times New Roman" w:cs="Times New Roman"/>
          <w:szCs w:val="20"/>
          <w:lang w:val="en-GB"/>
        </w:rPr>
        <w:t xml:space="preserve">“Good practices report – Participatory Citizenship in the European Union”, 2012, Appendix </w:t>
      </w:r>
      <w:proofErr w:type="gramStart"/>
      <w:r w:rsidRPr="00E05E56">
        <w:rPr>
          <w:rFonts w:ascii="Times New Roman" w:eastAsia="Times New Roman" w:hAnsi="Times New Roman" w:cs="Times New Roman"/>
          <w:szCs w:val="20"/>
          <w:lang w:val="en-GB"/>
        </w:rPr>
        <w:t>A</w:t>
      </w:r>
      <w:proofErr w:type="gramEnd"/>
      <w:r w:rsidRPr="00E05E56">
        <w:rPr>
          <w:rFonts w:ascii="Times New Roman" w:eastAsia="Times New Roman" w:hAnsi="Times New Roman" w:cs="Times New Roman"/>
          <w:szCs w:val="20"/>
          <w:lang w:val="en-GB"/>
        </w:rPr>
        <w:t xml:space="preserve"> (table by country) from p. 35.</w:t>
      </w:r>
    </w:p>
  </w:footnote>
  <w:footnote w:id="140">
    <w:p w14:paraId="7DBFBB7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lang w:val="en-GB"/>
        </w:rPr>
        <w:t xml:space="preserve">European Commission, Europe for Citizens Programme, </w:t>
      </w:r>
      <w:proofErr w:type="spellStart"/>
      <w:r w:rsidRPr="00E05E56">
        <w:rPr>
          <w:rFonts w:ascii="Times New Roman" w:eastAsia="Times New Roman" w:hAnsi="Times New Roman" w:cs="Times New Roman"/>
          <w:szCs w:val="20"/>
        </w:rPr>
        <w:t>Janez</w:t>
      </w:r>
      <w:proofErr w:type="spellEnd"/>
      <w:r w:rsidRPr="00E05E56">
        <w:rPr>
          <w:rFonts w:ascii="Times New Roman" w:eastAsia="Times New Roman" w:hAnsi="Times New Roman" w:cs="Times New Roman"/>
          <w:szCs w:val="20"/>
        </w:rPr>
        <w:t xml:space="preserve"> </w:t>
      </w:r>
      <w:proofErr w:type="spellStart"/>
      <w:r w:rsidRPr="00E05E56">
        <w:rPr>
          <w:rFonts w:ascii="Times New Roman" w:eastAsia="Times New Roman" w:hAnsi="Times New Roman" w:cs="Times New Roman"/>
          <w:szCs w:val="20"/>
        </w:rPr>
        <w:t>Krek</w:t>
      </w:r>
      <w:proofErr w:type="spellEnd"/>
      <w:r w:rsidRPr="00E05E56">
        <w:rPr>
          <w:rFonts w:ascii="Times New Roman" w:eastAsia="Times New Roman" w:hAnsi="Times New Roman" w:cs="Times New Roman"/>
          <w:szCs w:val="20"/>
        </w:rPr>
        <w:t xml:space="preserve">, Bruno </w:t>
      </w:r>
      <w:proofErr w:type="spellStart"/>
      <w:r w:rsidRPr="00E05E56">
        <w:rPr>
          <w:rFonts w:ascii="Times New Roman" w:eastAsia="Times New Roman" w:hAnsi="Times New Roman" w:cs="Times New Roman"/>
          <w:szCs w:val="20"/>
        </w:rPr>
        <w:t>Losito</w:t>
      </w:r>
      <w:proofErr w:type="spellEnd"/>
      <w:r w:rsidRPr="00E05E56">
        <w:rPr>
          <w:rFonts w:ascii="Times New Roman" w:eastAsia="Times New Roman" w:hAnsi="Times New Roman" w:cs="Times New Roman"/>
          <w:szCs w:val="20"/>
        </w:rPr>
        <w:t xml:space="preserve">, Rebecca Ridley and Bryony Hoskins, </w:t>
      </w:r>
      <w:r w:rsidRPr="00E05E56">
        <w:rPr>
          <w:rFonts w:ascii="Times New Roman" w:eastAsia="Times New Roman" w:hAnsi="Times New Roman" w:cs="Times New Roman"/>
          <w:szCs w:val="20"/>
          <w:lang w:val="en-GB"/>
        </w:rPr>
        <w:t xml:space="preserve">“Good practices report – Participatory Citizenship in the European Union”, </w:t>
      </w:r>
      <w:r w:rsidRPr="00E05E56">
        <w:rPr>
          <w:rFonts w:ascii="Times New Roman" w:eastAsia="Times New Roman" w:hAnsi="Times New Roman" w:cs="Times New Roman"/>
          <w:i/>
          <w:szCs w:val="20"/>
          <w:lang w:val="en-GB"/>
        </w:rPr>
        <w:t>op. cit.</w:t>
      </w:r>
      <w:r w:rsidRPr="00E05E56">
        <w:rPr>
          <w:rFonts w:ascii="Times New Roman" w:hAnsi="Times New Roman" w:cs="Times New Roman"/>
          <w:szCs w:val="20"/>
        </w:rPr>
        <w:t>, p. 31. Several layers/forms of participation, both on national (Smart City, Open Data Innovation Strategy, Inclusion...) and local level (Digital Citizen Panels, Statutory Elected Senior Citizens’ Council...). Use diverse ICT tools to involve all citizens, including through inclusion programs for persons with disabilities and social media involvement</w:t>
      </w:r>
      <w:proofErr w:type="gramStart"/>
      <w:r w:rsidRPr="00E05E56">
        <w:rPr>
          <w:rFonts w:ascii="Times New Roman" w:hAnsi="Times New Roman" w:cs="Times New Roman"/>
          <w:szCs w:val="20"/>
        </w:rPr>
        <w:t>;</w:t>
      </w:r>
      <w:r w:rsidRPr="00E05E56">
        <w:rPr>
          <w:rFonts w:ascii="MS Mincho" w:eastAsia="MS Mincho" w:hAnsi="MS Mincho" w:cs="MS Mincho"/>
          <w:szCs w:val="20"/>
        </w:rPr>
        <w:t> </w:t>
      </w:r>
      <w:proofErr w:type="gramEnd"/>
      <w:r w:rsidRPr="00E05E56">
        <w:rPr>
          <w:rFonts w:ascii="Times New Roman" w:hAnsi="Times New Roman" w:cs="Times New Roman"/>
          <w:szCs w:val="20"/>
        </w:rPr>
        <w:t xml:space="preserve">Winner of the Open Government Partnership Awards for the Statutory Elected Senior Citizens’ Council. </w:t>
      </w:r>
      <w:hyperlink r:id="rId43" w:history="1">
        <w:r w:rsidRPr="00E05E56">
          <w:rPr>
            <w:rStyle w:val="Hyperlink"/>
            <w:rFonts w:ascii="Times New Roman" w:hAnsi="Times New Roman" w:cs="Times New Roman"/>
            <w:szCs w:val="20"/>
          </w:rPr>
          <w:t>http://danske-aeldreraad.dk/wordPress/wp-content/uploads/2014/09/v2_SeniorCitizensCouncils_DENMARK_OnePageSummary.pdf</w:t>
        </w:r>
      </w:hyperlink>
      <w:r w:rsidRPr="00E05E56">
        <w:rPr>
          <w:rFonts w:ascii="Times New Roman" w:hAnsi="Times New Roman" w:cs="Times New Roman"/>
          <w:szCs w:val="20"/>
        </w:rPr>
        <w:t xml:space="preserve">. </w:t>
      </w:r>
      <w:r w:rsidRPr="00E05E56">
        <w:rPr>
          <w:rFonts w:ascii="Times New Roman" w:hAnsi="Times New Roman" w:cs="Times New Roman"/>
          <w:color w:val="000000" w:themeColor="text1"/>
          <w:szCs w:val="20"/>
          <w:lang w:val="en-GB"/>
        </w:rPr>
        <w:t>The “Good Basic Data for Everyone” explicitly refers to data being made freely available to “individuals”, p. 7. http://www.eurogeographics.org/sites/default/files/BasicData_UK_web_2012%2010%2008.pdf.</w:t>
      </w:r>
    </w:p>
  </w:footnote>
  <w:footnote w:id="141">
    <w:p w14:paraId="3F87D8D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4"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www.kansalaisaloite.fi</w:t>
        </w:r>
        <w:proofErr w:type="spellEnd"/>
        <w:r w:rsidRPr="00E05E56">
          <w:rPr>
            <w:rStyle w:val="Hyperlink"/>
            <w:rFonts w:ascii="Times New Roman" w:hAnsi="Times New Roman" w:cs="Times New Roman"/>
            <w:szCs w:val="20"/>
          </w:rPr>
          <w:t>/fi</w:t>
        </w:r>
      </w:hyperlink>
      <w:r w:rsidRPr="00E05E56">
        <w:rPr>
          <w:rFonts w:ascii="Times New Roman" w:hAnsi="Times New Roman" w:cs="Times New Roman"/>
          <w:szCs w:val="20"/>
        </w:rPr>
        <w:t>. As of 18 February 2018, 703 initiatives were launched, 18 of which were submitted to Parliament.</w:t>
      </w:r>
    </w:p>
  </w:footnote>
  <w:footnote w:id="142">
    <w:p w14:paraId="599584E5"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5"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www.kuntalaisaloite.fi</w:t>
        </w:r>
        <w:proofErr w:type="spellEnd"/>
        <w:r w:rsidRPr="00E05E56">
          <w:rPr>
            <w:rStyle w:val="Hyperlink"/>
            <w:rFonts w:ascii="Times New Roman" w:hAnsi="Times New Roman" w:cs="Times New Roman"/>
            <w:szCs w:val="20"/>
          </w:rPr>
          <w:t>/fi</w:t>
        </w:r>
      </w:hyperlink>
      <w:r w:rsidRPr="00E05E56">
        <w:rPr>
          <w:rFonts w:ascii="Times New Roman" w:hAnsi="Times New Roman" w:cs="Times New Roman"/>
          <w:szCs w:val="20"/>
        </w:rPr>
        <w:t xml:space="preserve">. </w:t>
      </w:r>
    </w:p>
  </w:footnote>
  <w:footnote w:id="143">
    <w:p w14:paraId="58181D2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6"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www.otakantaa.fi</w:t>
        </w:r>
        <w:proofErr w:type="spellEnd"/>
        <w:r w:rsidRPr="00E05E56">
          <w:rPr>
            <w:rStyle w:val="Hyperlink"/>
            <w:rFonts w:ascii="Times New Roman" w:hAnsi="Times New Roman" w:cs="Times New Roman"/>
            <w:szCs w:val="20"/>
          </w:rPr>
          <w:t>/fi/</w:t>
        </w:r>
      </w:hyperlink>
      <w:r w:rsidRPr="00E05E56">
        <w:rPr>
          <w:rFonts w:ascii="Times New Roman" w:hAnsi="Times New Roman" w:cs="Times New Roman"/>
          <w:szCs w:val="20"/>
        </w:rPr>
        <w:t xml:space="preserve">. </w:t>
      </w:r>
    </w:p>
  </w:footnote>
  <w:footnote w:id="144">
    <w:p w14:paraId="30236AD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Available at:  </w:t>
      </w:r>
      <w:hyperlink r:id="rId47"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data.assemblee-nationale.fr</w:t>
        </w:r>
        <w:proofErr w:type="spellEnd"/>
        <w:r w:rsidRPr="00E05E56">
          <w:rPr>
            <w:rStyle w:val="Hyperlink"/>
            <w:rFonts w:ascii="Times New Roman" w:hAnsi="Times New Roman" w:cs="Times New Roman"/>
            <w:szCs w:val="20"/>
          </w:rPr>
          <w:t>/</w:t>
        </w:r>
      </w:hyperlink>
      <w:r w:rsidRPr="00E05E56">
        <w:rPr>
          <w:rStyle w:val="Hyperlink"/>
          <w:rFonts w:ascii="Times New Roman" w:hAnsi="Times New Roman" w:cs="Times New Roman"/>
          <w:szCs w:val="20"/>
        </w:rPr>
        <w:t>.</w:t>
      </w:r>
    </w:p>
  </w:footnote>
  <w:footnote w:id="145">
    <w:p w14:paraId="59C57AE3"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Available at:  </w:t>
      </w:r>
      <w:hyperlink r:id="rId48" w:history="1">
        <w:r w:rsidRPr="00E05E56">
          <w:rPr>
            <w:rStyle w:val="Hyperlink"/>
            <w:rFonts w:ascii="Times New Roman" w:hAnsi="Times New Roman" w:cs="Times New Roman"/>
            <w:szCs w:val="20"/>
          </w:rPr>
          <w:t>https://</w:t>
        </w:r>
        <w:proofErr w:type="spellStart"/>
        <w:r w:rsidRPr="00E05E56">
          <w:rPr>
            <w:rStyle w:val="Hyperlink"/>
            <w:rFonts w:ascii="Times New Roman" w:hAnsi="Times New Roman" w:cs="Times New Roman"/>
            <w:szCs w:val="20"/>
          </w:rPr>
          <w:t>www.eopinio.de</w:t>
        </w:r>
        <w:proofErr w:type="spellEnd"/>
        <w:r w:rsidRPr="00E05E56">
          <w:rPr>
            <w:rStyle w:val="Hyperlink"/>
            <w:rFonts w:ascii="Times New Roman" w:hAnsi="Times New Roman" w:cs="Times New Roman"/>
            <w:szCs w:val="20"/>
          </w:rPr>
          <w:t>/</w:t>
        </w:r>
      </w:hyperlink>
      <w:r w:rsidRPr="00E05E56">
        <w:rPr>
          <w:rFonts w:ascii="Times New Roman" w:hAnsi="Times New Roman" w:cs="Times New Roman"/>
          <w:szCs w:val="20"/>
        </w:rPr>
        <w:t xml:space="preserve">. </w:t>
      </w:r>
    </w:p>
  </w:footnote>
  <w:footnote w:id="146">
    <w:p w14:paraId="080841B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proofErr w:type="gramStart"/>
      <w:r w:rsidRPr="00E05E56">
        <w:rPr>
          <w:rFonts w:ascii="Times New Roman" w:hAnsi="Times New Roman" w:cs="Times New Roman"/>
          <w:szCs w:val="20"/>
        </w:rPr>
        <w:t>see</w:t>
      </w:r>
      <w:proofErr w:type="gramEnd"/>
      <w:r w:rsidRPr="00E05E56">
        <w:rPr>
          <w:rFonts w:ascii="Times New Roman" w:hAnsi="Times New Roman" w:cs="Times New Roman"/>
          <w:szCs w:val="20"/>
        </w:rPr>
        <w:t xml:space="preserve"> </w:t>
      </w:r>
      <w:r w:rsidRPr="00E05E56">
        <w:rPr>
          <w:rFonts w:ascii="Times New Roman" w:eastAsia="Times New Roman" w:hAnsi="Times New Roman" w:cs="Times New Roman"/>
          <w:szCs w:val="20"/>
          <w:lang w:val="en-GB"/>
        </w:rPr>
        <w:t xml:space="preserve">European Commission, Europe for Citizens Programme, </w:t>
      </w:r>
      <w:proofErr w:type="spellStart"/>
      <w:r w:rsidRPr="00E05E56">
        <w:rPr>
          <w:rFonts w:ascii="Times New Roman" w:eastAsia="Times New Roman" w:hAnsi="Times New Roman" w:cs="Times New Roman"/>
          <w:szCs w:val="20"/>
        </w:rPr>
        <w:t>Janez</w:t>
      </w:r>
      <w:proofErr w:type="spellEnd"/>
      <w:r w:rsidRPr="00E05E56">
        <w:rPr>
          <w:rFonts w:ascii="Times New Roman" w:eastAsia="Times New Roman" w:hAnsi="Times New Roman" w:cs="Times New Roman"/>
          <w:szCs w:val="20"/>
        </w:rPr>
        <w:t xml:space="preserve"> </w:t>
      </w:r>
      <w:proofErr w:type="spellStart"/>
      <w:r w:rsidRPr="00E05E56">
        <w:rPr>
          <w:rFonts w:ascii="Times New Roman" w:eastAsia="Times New Roman" w:hAnsi="Times New Roman" w:cs="Times New Roman"/>
          <w:szCs w:val="20"/>
        </w:rPr>
        <w:t>Krek</w:t>
      </w:r>
      <w:proofErr w:type="spellEnd"/>
      <w:r w:rsidRPr="00E05E56">
        <w:rPr>
          <w:rFonts w:ascii="Times New Roman" w:eastAsia="Times New Roman" w:hAnsi="Times New Roman" w:cs="Times New Roman"/>
          <w:szCs w:val="20"/>
        </w:rPr>
        <w:t xml:space="preserve">, Bruno </w:t>
      </w:r>
      <w:proofErr w:type="spellStart"/>
      <w:r w:rsidRPr="00E05E56">
        <w:rPr>
          <w:rFonts w:ascii="Times New Roman" w:eastAsia="Times New Roman" w:hAnsi="Times New Roman" w:cs="Times New Roman"/>
          <w:szCs w:val="20"/>
        </w:rPr>
        <w:t>Losito</w:t>
      </w:r>
      <w:proofErr w:type="spellEnd"/>
      <w:r w:rsidRPr="00E05E56">
        <w:rPr>
          <w:rFonts w:ascii="Times New Roman" w:eastAsia="Times New Roman" w:hAnsi="Times New Roman" w:cs="Times New Roman"/>
          <w:szCs w:val="20"/>
        </w:rPr>
        <w:t xml:space="preserve">, Rebecca Ridley and Bryony Hoskins, </w:t>
      </w:r>
      <w:r w:rsidRPr="00E05E56">
        <w:rPr>
          <w:rFonts w:ascii="Times New Roman" w:eastAsia="Times New Roman" w:hAnsi="Times New Roman" w:cs="Times New Roman"/>
          <w:szCs w:val="20"/>
          <w:lang w:val="en-GB"/>
        </w:rPr>
        <w:t>“Good practices report – Participatory Citizenship in the European Union”, 2012, p. 12.</w:t>
      </w:r>
    </w:p>
  </w:footnote>
  <w:footnote w:id="147">
    <w:p w14:paraId="3FCCD401"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49" w:history="1">
        <w:r w:rsidRPr="00E05E56">
          <w:rPr>
            <w:rStyle w:val="Hyperlink"/>
            <w:rFonts w:ascii="Times New Roman" w:hAnsi="Times New Roman" w:cs="Times New Roman"/>
            <w:szCs w:val="20"/>
          </w:rPr>
          <w:t>https://customers.microsoft.com/en-gb/story/tel-aviv-government-azure</w:t>
        </w:r>
      </w:hyperlink>
      <w:r w:rsidRPr="00E05E56">
        <w:rPr>
          <w:rFonts w:ascii="Times New Roman" w:hAnsi="Times New Roman" w:cs="Times New Roman"/>
          <w:szCs w:val="20"/>
        </w:rPr>
        <w:t xml:space="preserve">. </w:t>
      </w:r>
    </w:p>
  </w:footnote>
  <w:footnote w:id="148">
    <w:p w14:paraId="2FEE06C0"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50"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www.monithon.it</w:t>
        </w:r>
        <w:proofErr w:type="spellEnd"/>
        <w:r w:rsidRPr="00E05E56">
          <w:rPr>
            <w:rStyle w:val="Hyperlink"/>
            <w:rFonts w:ascii="Times New Roman" w:hAnsi="Times New Roman" w:cs="Times New Roman"/>
            <w:szCs w:val="20"/>
          </w:rPr>
          <w:t>/about-</w:t>
        </w:r>
        <w:proofErr w:type="spellStart"/>
        <w:r w:rsidRPr="00E05E56">
          <w:rPr>
            <w:rStyle w:val="Hyperlink"/>
            <w:rFonts w:ascii="Times New Roman" w:hAnsi="Times New Roman" w:cs="Times New Roman"/>
            <w:szCs w:val="20"/>
          </w:rPr>
          <w:t>english</w:t>
        </w:r>
        <w:proofErr w:type="spellEnd"/>
        <w:r w:rsidRPr="00E05E56">
          <w:rPr>
            <w:rStyle w:val="Hyperlink"/>
            <w:rFonts w:ascii="Times New Roman" w:hAnsi="Times New Roman" w:cs="Times New Roman"/>
            <w:szCs w:val="20"/>
          </w:rPr>
          <w:t>/</w:t>
        </w:r>
      </w:hyperlink>
      <w:r w:rsidRPr="00E05E56">
        <w:rPr>
          <w:rFonts w:ascii="Times New Roman" w:hAnsi="Times New Roman" w:cs="Times New Roman"/>
          <w:szCs w:val="20"/>
        </w:rPr>
        <w:t xml:space="preserve">. </w:t>
      </w:r>
    </w:p>
  </w:footnote>
  <w:footnote w:id="149">
    <w:p w14:paraId="5985CC2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51"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www.monithon.it</w:t>
        </w:r>
        <w:proofErr w:type="spellEnd"/>
        <w:r w:rsidRPr="00E05E56">
          <w:rPr>
            <w:rStyle w:val="Hyperlink"/>
            <w:rFonts w:ascii="Times New Roman" w:hAnsi="Times New Roman" w:cs="Times New Roman"/>
            <w:szCs w:val="20"/>
          </w:rPr>
          <w:t>/media/</w:t>
        </w:r>
        <w:proofErr w:type="spellStart"/>
        <w:r w:rsidRPr="00E05E56">
          <w:rPr>
            <w:rStyle w:val="Hyperlink"/>
            <w:rFonts w:ascii="Times New Roman" w:hAnsi="Times New Roman" w:cs="Times New Roman"/>
            <w:szCs w:val="20"/>
          </w:rPr>
          <w:t>css</w:t>
        </w:r>
        <w:proofErr w:type="spellEnd"/>
        <w:r w:rsidRPr="00E05E56">
          <w:rPr>
            <w:rStyle w:val="Hyperlink"/>
            <w:rFonts w:ascii="Times New Roman" w:hAnsi="Times New Roman" w:cs="Times New Roman"/>
            <w:szCs w:val="20"/>
          </w:rPr>
          <w:t>/Toolkit%20Monithon.pdf</w:t>
        </w:r>
      </w:hyperlink>
      <w:r w:rsidRPr="00E05E56">
        <w:rPr>
          <w:rFonts w:ascii="Times New Roman" w:hAnsi="Times New Roman" w:cs="Times New Roman"/>
          <w:szCs w:val="20"/>
        </w:rPr>
        <w:t xml:space="preserve">. </w:t>
      </w:r>
    </w:p>
  </w:footnote>
  <w:footnote w:id="150">
    <w:p w14:paraId="7CF64DFB"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hyperlink r:id="rId52" w:history="1">
        <w:r w:rsidRPr="00E05E56">
          <w:rPr>
            <w:rStyle w:val="Hyperlink"/>
            <w:rFonts w:ascii="Times New Roman" w:hAnsi="Times New Roman" w:cs="Times New Roman"/>
            <w:szCs w:val="20"/>
          </w:rPr>
          <w:t>http://</w:t>
        </w:r>
        <w:proofErr w:type="spellStart"/>
        <w:r w:rsidRPr="00E05E56">
          <w:rPr>
            <w:rStyle w:val="Hyperlink"/>
            <w:rFonts w:ascii="Times New Roman" w:hAnsi="Times New Roman" w:cs="Times New Roman"/>
            <w:szCs w:val="20"/>
          </w:rPr>
          <w:t>meae.gov.mt</w:t>
        </w:r>
        <w:proofErr w:type="spellEnd"/>
        <w:r w:rsidRPr="00E05E56">
          <w:rPr>
            <w:rStyle w:val="Hyperlink"/>
            <w:rFonts w:ascii="Times New Roman" w:hAnsi="Times New Roman" w:cs="Times New Roman"/>
            <w:szCs w:val="20"/>
          </w:rPr>
          <w:t>/en/</w:t>
        </w:r>
        <w:proofErr w:type="spellStart"/>
        <w:r w:rsidRPr="00E05E56">
          <w:rPr>
            <w:rStyle w:val="Hyperlink"/>
            <w:rFonts w:ascii="Times New Roman" w:hAnsi="Times New Roman" w:cs="Times New Roman"/>
            <w:szCs w:val="20"/>
          </w:rPr>
          <w:t>Public_Consultations</w:t>
        </w:r>
        <w:proofErr w:type="spellEnd"/>
        <w:r w:rsidRPr="00E05E56">
          <w:rPr>
            <w:rStyle w:val="Hyperlink"/>
            <w:rFonts w:ascii="Times New Roman" w:hAnsi="Times New Roman" w:cs="Times New Roman"/>
            <w:szCs w:val="20"/>
          </w:rPr>
          <w:t>/Pages/</w:t>
        </w:r>
        <w:proofErr w:type="spellStart"/>
        <w:r w:rsidRPr="00E05E56">
          <w:rPr>
            <w:rStyle w:val="Hyperlink"/>
            <w:rFonts w:ascii="Times New Roman" w:hAnsi="Times New Roman" w:cs="Times New Roman"/>
            <w:szCs w:val="20"/>
          </w:rPr>
          <w:t>Home.aspx</w:t>
        </w:r>
        <w:proofErr w:type="spellEnd"/>
      </w:hyperlink>
      <w:r w:rsidRPr="00E05E56">
        <w:rPr>
          <w:rFonts w:ascii="Times New Roman" w:hAnsi="Times New Roman" w:cs="Times New Roman"/>
          <w:szCs w:val="20"/>
        </w:rPr>
        <w:t xml:space="preserve">. </w:t>
      </w:r>
    </w:p>
  </w:footnote>
  <w:footnote w:id="151">
    <w:p w14:paraId="101A9783"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43.</w:t>
      </w:r>
    </w:p>
  </w:footnote>
  <w:footnote w:id="152">
    <w:p w14:paraId="673343D8"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42.</w:t>
      </w:r>
    </w:p>
  </w:footnote>
  <w:footnote w:id="153">
    <w:p w14:paraId="34BEABB5"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In France alone, 46 cities have adopted it, a number that has doubled in one year</w:t>
      </w:r>
      <w:r w:rsidRPr="00E05E56">
        <w:rPr>
          <w:rFonts w:ascii="Times New Roman" w:hAnsi="Times New Roman" w:cs="Times New Roman"/>
          <w:szCs w:val="20"/>
        </w:rPr>
        <w:t xml:space="preserve">. </w:t>
      </w:r>
      <w:r w:rsidRPr="00E05E56">
        <w:rPr>
          <w:rFonts w:ascii="Times New Roman" w:hAnsi="Times New Roman" w:cs="Times New Roman"/>
          <w:i/>
          <w:szCs w:val="20"/>
          <w:lang w:val="fr-FR"/>
        </w:rPr>
        <w:t>Le Monde</w:t>
      </w:r>
      <w:r w:rsidRPr="00E05E56">
        <w:rPr>
          <w:rFonts w:ascii="Times New Roman" w:hAnsi="Times New Roman" w:cs="Times New Roman"/>
          <w:szCs w:val="20"/>
          <w:lang w:val="fr-FR"/>
        </w:rPr>
        <w:t xml:space="preserve">, “Outre Paris, 45 villes françaises ont adopté le budget participatif”, 6 octobre 2017. </w:t>
      </w:r>
      <w:hyperlink r:id="rId53" w:history="1">
        <w:r w:rsidRPr="00E05E56">
          <w:rPr>
            <w:rStyle w:val="Hyperlink"/>
            <w:rFonts w:ascii="Times New Roman" w:hAnsi="Times New Roman" w:cs="Times New Roman"/>
            <w:szCs w:val="20"/>
          </w:rPr>
          <w:t>http://www.lemonde.fr/les-decodeurs/article/2017/10/06/outre-paris-45-villes-francaises-ont-adopte-le-budget-participatif_5197506_4355770.html</w:t>
        </w:r>
      </w:hyperlink>
      <w:r w:rsidRPr="00E05E56">
        <w:rPr>
          <w:rFonts w:ascii="Times New Roman" w:hAnsi="Times New Roman" w:cs="Times New Roman"/>
          <w:szCs w:val="20"/>
        </w:rPr>
        <w:t>.</w:t>
      </w:r>
    </w:p>
  </w:footnote>
  <w:footnote w:id="154">
    <w:p w14:paraId="11CE0A5C"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“Participatory budgeting, </w:t>
      </w:r>
      <w:proofErr w:type="gramStart"/>
      <w:r w:rsidRPr="00E05E56">
        <w:rPr>
          <w:rFonts w:ascii="Times New Roman" w:hAnsi="Times New Roman" w:cs="Times New Roman"/>
          <w:szCs w:val="20"/>
        </w:rPr>
        <w:t>An</w:t>
      </w:r>
      <w:proofErr w:type="gramEnd"/>
      <w:r w:rsidRPr="00E05E56">
        <w:rPr>
          <w:rFonts w:ascii="Times New Roman" w:hAnsi="Times New Roman" w:cs="Times New Roman"/>
          <w:szCs w:val="20"/>
        </w:rPr>
        <w:t xml:space="preserve"> innovative approach”, Briefing, European Parliament, January 2016, </w:t>
      </w:r>
      <w:hyperlink r:id="rId54" w:history="1">
        <w:r w:rsidRPr="00E05E56">
          <w:rPr>
            <w:rStyle w:val="Hyperlink"/>
            <w:rFonts w:ascii="Times New Roman" w:hAnsi="Times New Roman" w:cs="Times New Roman"/>
            <w:szCs w:val="20"/>
          </w:rPr>
          <w:t>http://www.europarl.europa.eu/RegData/etudes/BRIE/2016/573894/EPRS_BRI%282016%29573894_EN.pdf</w:t>
        </w:r>
      </w:hyperlink>
      <w:r w:rsidRPr="00E05E56">
        <w:rPr>
          <w:rFonts w:ascii="Times New Roman" w:hAnsi="Times New Roman" w:cs="Times New Roman"/>
          <w:szCs w:val="20"/>
        </w:rPr>
        <w:t>. Lisbon was the first European city to introduce online participatory budget in 2008. In 2014, Paris became home to the largest participatory budget in Europe.</w:t>
      </w:r>
    </w:p>
  </w:footnote>
  <w:footnote w:id="155">
    <w:p w14:paraId="28702977"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“Hope for Democracy, 25 years of participatory budgeting worldwide”, Nelson Dias, April 2014, </w:t>
      </w:r>
      <w:hyperlink r:id="rId55" w:history="1">
        <w:r w:rsidRPr="00E05E56">
          <w:rPr>
            <w:rStyle w:val="Hyperlink"/>
            <w:rFonts w:ascii="Times New Roman" w:hAnsi="Times New Roman" w:cs="Times New Roman"/>
            <w:szCs w:val="20"/>
          </w:rPr>
          <w:t>https://www.buergerhaushalt.org/sites/default/files/downloads/Studie_Hope_for_democracy_-_25_years_of_participatory_budgeting_worldwide.pdf</w:t>
        </w:r>
      </w:hyperlink>
      <w:r w:rsidRPr="00E05E56">
        <w:rPr>
          <w:rFonts w:ascii="Times New Roman" w:hAnsi="Times New Roman" w:cs="Times New Roman"/>
          <w:szCs w:val="20"/>
        </w:rPr>
        <w:t xml:space="preserve">. See also </w:t>
      </w:r>
      <w:hyperlink r:id="rId56" w:history="1">
        <w:r w:rsidRPr="00E05E56">
          <w:rPr>
            <w:rFonts w:ascii="Times New Roman" w:hAnsi="Times New Roman" w:cs="Times New Roman"/>
            <w:szCs w:val="20"/>
          </w:rPr>
          <w:t xml:space="preserve">Yves </w:t>
        </w:r>
        <w:proofErr w:type="spellStart"/>
        <w:r w:rsidRPr="00E05E56">
          <w:rPr>
            <w:rFonts w:ascii="Times New Roman" w:hAnsi="Times New Roman" w:cs="Times New Roman"/>
            <w:szCs w:val="20"/>
          </w:rPr>
          <w:t>Sintomer</w:t>
        </w:r>
        <w:proofErr w:type="spellEnd"/>
      </w:hyperlink>
      <w:r w:rsidRPr="00E05E56">
        <w:rPr>
          <w:rFonts w:ascii="Times New Roman" w:hAnsi="Times New Roman" w:cs="Times New Roman"/>
          <w:szCs w:val="20"/>
        </w:rPr>
        <w:t>, </w:t>
      </w:r>
      <w:proofErr w:type="spellStart"/>
      <w:r>
        <w:fldChar w:fldCharType="begin"/>
      </w:r>
      <w:r>
        <w:instrText xml:space="preserve"> HYPERLINK "https://www.amazon.co.uk/s/ref=dp_byline_sr_book_2?ie=UTF8&amp;text=Anja+R%C3%B6cke&amp;search-alias=books-uk&amp;field-author=Anja+R%C3%B6cke&amp;sort=relevancerank" </w:instrText>
      </w:r>
      <w:r>
        <w:fldChar w:fldCharType="separate"/>
      </w:r>
      <w:r w:rsidRPr="00E05E56">
        <w:rPr>
          <w:rFonts w:ascii="Times New Roman" w:hAnsi="Times New Roman" w:cs="Times New Roman"/>
          <w:szCs w:val="20"/>
        </w:rPr>
        <w:t>Anja</w:t>
      </w:r>
      <w:proofErr w:type="spellEnd"/>
      <w:r w:rsidRPr="00E05E56">
        <w:rPr>
          <w:rFonts w:ascii="Times New Roman" w:hAnsi="Times New Roman" w:cs="Times New Roman"/>
          <w:szCs w:val="20"/>
        </w:rPr>
        <w:t xml:space="preserve"> </w:t>
      </w:r>
      <w:proofErr w:type="spellStart"/>
      <w:r w:rsidRPr="00E05E56">
        <w:rPr>
          <w:rFonts w:ascii="Times New Roman" w:hAnsi="Times New Roman" w:cs="Times New Roman"/>
          <w:szCs w:val="20"/>
        </w:rPr>
        <w:t>Röcke</w:t>
      </w:r>
      <w:proofErr w:type="spellEnd"/>
      <w:r>
        <w:rPr>
          <w:rFonts w:ascii="Times New Roman" w:hAnsi="Times New Roman" w:cs="Times New Roman"/>
          <w:szCs w:val="20"/>
        </w:rPr>
        <w:fldChar w:fldCharType="end"/>
      </w:r>
      <w:r w:rsidRPr="00E05E56">
        <w:rPr>
          <w:rFonts w:ascii="Times New Roman" w:hAnsi="Times New Roman" w:cs="Times New Roman"/>
          <w:szCs w:val="20"/>
        </w:rPr>
        <w:t> and </w:t>
      </w:r>
      <w:hyperlink r:id="rId57" w:history="1">
        <w:proofErr w:type="spellStart"/>
        <w:r w:rsidRPr="00E05E56">
          <w:rPr>
            <w:rFonts w:ascii="Times New Roman" w:hAnsi="Times New Roman" w:cs="Times New Roman"/>
            <w:szCs w:val="20"/>
          </w:rPr>
          <w:t>Carsten</w:t>
        </w:r>
        <w:proofErr w:type="spellEnd"/>
        <w:r w:rsidRPr="00E05E56">
          <w:rPr>
            <w:rFonts w:ascii="Times New Roman" w:hAnsi="Times New Roman" w:cs="Times New Roman"/>
            <w:szCs w:val="20"/>
          </w:rPr>
          <w:t xml:space="preserve"> Herzberg</w:t>
        </w:r>
      </w:hyperlink>
      <w:r w:rsidRPr="00E05E56">
        <w:rPr>
          <w:rFonts w:ascii="Times New Roman" w:hAnsi="Times New Roman" w:cs="Times New Roman"/>
          <w:szCs w:val="20"/>
        </w:rPr>
        <w:t xml:space="preserve">, </w:t>
      </w:r>
      <w:r w:rsidRPr="00E05E56">
        <w:rPr>
          <w:rFonts w:ascii="Times New Roman" w:hAnsi="Times New Roman" w:cs="Times New Roman"/>
          <w:i/>
          <w:szCs w:val="20"/>
        </w:rPr>
        <w:t>Participatory Budgeting in Europe: Democracy and public governance</w:t>
      </w:r>
      <w:r w:rsidRPr="00E05E56">
        <w:rPr>
          <w:rFonts w:ascii="Times New Roman" w:hAnsi="Times New Roman" w:cs="Times New Roman"/>
          <w:szCs w:val="20"/>
        </w:rPr>
        <w:t xml:space="preserve">, Routledge, 2016, 268 p. </w:t>
      </w:r>
    </w:p>
  </w:footnote>
  <w:footnote w:id="156">
    <w:p w14:paraId="71F37CFD"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48.</w:t>
      </w:r>
    </w:p>
  </w:footnote>
  <w:footnote w:id="157">
    <w:p w14:paraId="250EF00C"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OHCHR Best Practices and Challenges, A/HRC/30/26, para. 48.</w:t>
      </w:r>
    </w:p>
  </w:footnote>
  <w:footnote w:id="158">
    <w:p w14:paraId="491BB2D5"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For more examples, see </w:t>
      </w:r>
      <w:r w:rsidRPr="00E05E56">
        <w:rPr>
          <w:rFonts w:ascii="Times New Roman" w:hAnsi="Times New Roman" w:cs="Times New Roman"/>
          <w:szCs w:val="20"/>
          <w:lang w:val="en-GB"/>
        </w:rPr>
        <w:t xml:space="preserve">European </w:t>
      </w:r>
      <w:proofErr w:type="spellStart"/>
      <w:r w:rsidRPr="00E05E56">
        <w:rPr>
          <w:rFonts w:ascii="Times New Roman" w:hAnsi="Times New Roman" w:cs="Times New Roman"/>
          <w:szCs w:val="20"/>
          <w:lang w:val="en-GB"/>
        </w:rPr>
        <w:t>Center</w:t>
      </w:r>
      <w:proofErr w:type="spellEnd"/>
      <w:r w:rsidRPr="00E05E56">
        <w:rPr>
          <w:rFonts w:ascii="Times New Roman" w:hAnsi="Times New Roman" w:cs="Times New Roman"/>
          <w:szCs w:val="20"/>
          <w:lang w:val="en-GB"/>
        </w:rPr>
        <w:t xml:space="preserve"> for Not-for-profit Law, Civil Participation in Decision-Making Processes, An Overview of Standards and Practices in Council of Europe Member States, May 2016.</w:t>
      </w:r>
    </w:p>
  </w:footnote>
  <w:footnote w:id="159">
    <w:p w14:paraId="46A8713E"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See FRA Director </w:t>
      </w:r>
      <w:r w:rsidRPr="00E05E56">
        <w:rPr>
          <w:rFonts w:ascii="Times New Roman" w:hAnsi="Times New Roman" w:cs="Times New Roman"/>
          <w:szCs w:val="20"/>
          <w:lang w:val="en-GB"/>
        </w:rPr>
        <w:t xml:space="preserve">Michael O’Flaherty’s speech on access to decision-making processes: “Our research has furthermore showed us that in a number of EU countries, the authorities seem to be confusing consultation and participation. This gives rise to a situation in which the state claims that an invitation to civil society organisations to participate in initial consultations before a project begins is proof of their participation in those projects. But of course, these are two very different things”. “Towards a stronger civil society in Europe”, 6 June 2017.  </w:t>
      </w:r>
      <w:hyperlink r:id="rId58" w:history="1">
        <w:r w:rsidRPr="00E05E56">
          <w:rPr>
            <w:rFonts w:ascii="Times New Roman" w:hAnsi="Times New Roman" w:cs="Times New Roman"/>
            <w:szCs w:val="20"/>
          </w:rPr>
          <w:t>http://fra.europa.eu/en/speech/2017/future-role-civil-society-safeguarding-and-promoting-fundamental-rights-europe</w:t>
        </w:r>
      </w:hyperlink>
      <w:r w:rsidRPr="00E05E56">
        <w:rPr>
          <w:rFonts w:ascii="Times New Roman" w:hAnsi="Times New Roman" w:cs="Times New Roman"/>
          <w:szCs w:val="20"/>
        </w:rPr>
        <w:t xml:space="preserve">. </w:t>
      </w:r>
    </w:p>
  </w:footnote>
  <w:footnote w:id="160">
    <w:p w14:paraId="470D2586"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eastAsia="Times New Roman" w:hAnsi="Times New Roman" w:cs="Times New Roman"/>
          <w:szCs w:val="20"/>
        </w:rPr>
        <w:t xml:space="preserve"> Para. 5. (</w:t>
      </w:r>
      <w:proofErr w:type="gramStart"/>
      <w:r w:rsidRPr="00E05E56">
        <w:rPr>
          <w:rFonts w:ascii="Times New Roman" w:eastAsia="Times New Roman" w:hAnsi="Times New Roman" w:cs="Times New Roman"/>
          <w:szCs w:val="20"/>
        </w:rPr>
        <w:t>emphasis</w:t>
      </w:r>
      <w:proofErr w:type="gramEnd"/>
      <w:r w:rsidRPr="00E05E56">
        <w:rPr>
          <w:rFonts w:ascii="Times New Roman" w:eastAsia="Times New Roman" w:hAnsi="Times New Roman" w:cs="Times New Roman"/>
          <w:szCs w:val="20"/>
        </w:rPr>
        <w:t xml:space="preserve"> added).</w:t>
      </w:r>
    </w:p>
  </w:footnote>
  <w:footnote w:id="161">
    <w:p w14:paraId="5E6562E4"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Decision and Act concerning the election of the representatives of the European Parliament by direct universal suffrage of 20 September 1976, as amended by the Council Decisions of 25 June and 23 September 2002. </w:t>
      </w:r>
      <w:r w:rsidRPr="00E05E56">
        <w:rPr>
          <w:rFonts w:ascii="Times New Roman" w:hAnsi="Times New Roman" w:cs="Times New Roman"/>
          <w:szCs w:val="20"/>
        </w:rPr>
        <w:t>The first direct elections to the European Parliament took place in June 1979.</w:t>
      </w:r>
    </w:p>
  </w:footnote>
  <w:footnote w:id="162">
    <w:p w14:paraId="728F9D2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The Maastricht Treaty (1992) introduced the </w:t>
      </w:r>
      <w:proofErr w:type="spellStart"/>
      <w:r w:rsidRPr="00E05E56">
        <w:rPr>
          <w:rFonts w:ascii="Times New Roman" w:hAnsi="Times New Roman" w:cs="Times New Roman"/>
          <w:szCs w:val="20"/>
        </w:rPr>
        <w:t>codecision</w:t>
      </w:r>
      <w:proofErr w:type="spellEnd"/>
      <w:r w:rsidRPr="00E05E56">
        <w:rPr>
          <w:rFonts w:ascii="Times New Roman" w:hAnsi="Times New Roman" w:cs="Times New Roman"/>
          <w:szCs w:val="20"/>
        </w:rPr>
        <w:t xml:space="preserve"> procedure in some legislation areas through which the European Parliament became co-legislator with the Council. The Treaties of Amsterdam (1997) and Nice (2001) extended the scope of the </w:t>
      </w:r>
      <w:proofErr w:type="spellStart"/>
      <w:r w:rsidRPr="00E05E56">
        <w:rPr>
          <w:rFonts w:ascii="Times New Roman" w:hAnsi="Times New Roman" w:cs="Times New Roman"/>
          <w:szCs w:val="20"/>
        </w:rPr>
        <w:t>codecision</w:t>
      </w:r>
      <w:proofErr w:type="spellEnd"/>
      <w:r w:rsidRPr="00E05E56">
        <w:rPr>
          <w:rFonts w:ascii="Times New Roman" w:hAnsi="Times New Roman" w:cs="Times New Roman"/>
          <w:szCs w:val="20"/>
        </w:rPr>
        <w:t xml:space="preserve"> procedure to most areas of legislation and reformed the procedure to place the Parliament as co-legislator on an equal footing with the Council.</w:t>
      </w:r>
    </w:p>
  </w:footnote>
  <w:footnote w:id="163">
    <w:p w14:paraId="0A8D5A62"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Article 14(1) TEU: “</w:t>
      </w:r>
      <w:r w:rsidRPr="00E05E56">
        <w:rPr>
          <w:rFonts w:ascii="Times New Roman" w:eastAsia="Times New Roman" w:hAnsi="Times New Roman" w:cs="Times New Roman"/>
          <w:color w:val="000000"/>
          <w:szCs w:val="20"/>
          <w:shd w:val="clear" w:color="auto" w:fill="FFFFFF"/>
        </w:rPr>
        <w:t>1. The European Parliament shall, jointly with the Council, exercise legislative and budgetary functions. It shall exercise functions of political control and consultation as laid down in the Treaties. It shall elect the President of the Commission</w:t>
      </w:r>
      <w:r w:rsidRPr="00E05E56">
        <w:rPr>
          <w:rFonts w:ascii="Times New Roman" w:hAnsi="Times New Roman" w:cs="Times New Roman"/>
          <w:szCs w:val="20"/>
        </w:rPr>
        <w:t>.”</w:t>
      </w:r>
    </w:p>
  </w:footnote>
  <w:footnote w:id="164">
    <w:p w14:paraId="6BD11A78"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color w:val="373737"/>
          <w:szCs w:val="20"/>
          <w:shd w:val="clear" w:color="auto" w:fill="FFFFFF"/>
        </w:rPr>
        <w:t>Article 10(3) TEU: “</w:t>
      </w:r>
      <w:r w:rsidRPr="00E05E56">
        <w:rPr>
          <w:rFonts w:ascii="Times New Roman" w:eastAsia="Times New Roman" w:hAnsi="Times New Roman" w:cs="Times New Roman"/>
          <w:color w:val="000000"/>
          <w:szCs w:val="20"/>
          <w:shd w:val="clear" w:color="auto" w:fill="FFFFFF"/>
        </w:rPr>
        <w:t xml:space="preserve">3. </w:t>
      </w:r>
      <w:proofErr w:type="gramStart"/>
      <w:r w:rsidRPr="00E05E56">
        <w:rPr>
          <w:rFonts w:ascii="Times New Roman" w:eastAsia="Times New Roman" w:hAnsi="Times New Roman" w:cs="Times New Roman"/>
          <w:color w:val="000000"/>
          <w:szCs w:val="20"/>
          <w:shd w:val="clear" w:color="auto" w:fill="FFFFFF"/>
        </w:rPr>
        <w:t>Every</w:t>
      </w:r>
      <w:proofErr w:type="gramEnd"/>
      <w:r w:rsidRPr="00E05E56">
        <w:rPr>
          <w:rFonts w:ascii="Times New Roman" w:eastAsia="Times New Roman" w:hAnsi="Times New Roman" w:cs="Times New Roman"/>
          <w:color w:val="000000"/>
          <w:szCs w:val="20"/>
          <w:shd w:val="clear" w:color="auto" w:fill="FFFFFF"/>
        </w:rPr>
        <w:t xml:space="preserve"> citizen shall have the right to participate in the democratic life of the Union. Decisions shall be taken as openly and as closely as possible to the citizen</w:t>
      </w:r>
      <w:r w:rsidRPr="00E05E56">
        <w:rPr>
          <w:rFonts w:ascii="Times New Roman" w:eastAsia="Times New Roman" w:hAnsi="Times New Roman" w:cs="Times New Roman"/>
          <w:color w:val="373737"/>
          <w:szCs w:val="20"/>
          <w:shd w:val="clear" w:color="auto" w:fill="FFFFFF"/>
        </w:rPr>
        <w:t>.”</w:t>
      </w:r>
    </w:p>
  </w:footnote>
  <w:footnote w:id="165">
    <w:p w14:paraId="4FF168A0"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Article 11(4) TEU: “</w:t>
      </w:r>
      <w:r w:rsidRPr="00E05E56">
        <w:rPr>
          <w:rFonts w:ascii="Times New Roman" w:eastAsia="Times New Roman" w:hAnsi="Times New Roman" w:cs="Times New Roman"/>
          <w:color w:val="000000"/>
          <w:szCs w:val="20"/>
          <w:shd w:val="clear" w:color="auto" w:fill="FFFFFF"/>
        </w:rPr>
        <w:t xml:space="preserve">Not less than one million citizens who are nationals of a significant number of Member States may take the initiative of inviting the European Commission, within the framework of its powers, to submit any appropriate proposal on matters where citizens consider that a legal act of the Union is required for the purpose of implementing the Treaties.” </w:t>
      </w:r>
      <w:r w:rsidRPr="00E05E56">
        <w:rPr>
          <w:rFonts w:ascii="Times New Roman" w:eastAsia="Times New Roman" w:hAnsi="Times New Roman" w:cs="Times New Roman"/>
          <w:color w:val="333333"/>
          <w:szCs w:val="20"/>
          <w:shd w:val="clear" w:color="auto" w:fill="FFFFFF"/>
        </w:rPr>
        <w:t>The procedures and conditions for submitting an ECI have been specified in Regulation No 211/2011 of 26 February 2011</w:t>
      </w:r>
      <w:r w:rsidRPr="00E05E56">
        <w:rPr>
          <w:rFonts w:ascii="Times New Roman" w:eastAsia="Times New Roman" w:hAnsi="Times New Roman" w:cs="Times New Roman"/>
          <w:szCs w:val="20"/>
        </w:rPr>
        <w:t>. This Regulation notably clarified that “</w:t>
      </w:r>
      <w:r w:rsidRPr="00E05E56">
        <w:rPr>
          <w:rFonts w:ascii="Times New Roman" w:eastAsia="Times New Roman" w:hAnsi="Times New Roman" w:cs="Times New Roman"/>
          <w:szCs w:val="20"/>
        </w:rPr>
        <w:sym w:font="Symbol" w:char="F05B"/>
      </w:r>
      <w:proofErr w:type="spellStart"/>
      <w:r w:rsidRPr="00E05E56">
        <w:rPr>
          <w:rFonts w:ascii="Times New Roman" w:eastAsia="Times New Roman" w:hAnsi="Times New Roman" w:cs="Times New Roman"/>
          <w:szCs w:val="20"/>
        </w:rPr>
        <w:t>t</w:t>
      </w:r>
      <w:r w:rsidRPr="00E05E56">
        <w:rPr>
          <w:rFonts w:ascii="Times New Roman" w:eastAsia="Times New Roman" w:hAnsi="Times New Roman" w:cs="Times New Roman"/>
          <w:szCs w:val="20"/>
        </w:rPr>
        <w:sym w:font="Symbol" w:char="F05D"/>
      </w:r>
      <w:r w:rsidRPr="00E05E56">
        <w:rPr>
          <w:rFonts w:ascii="Times New Roman" w:eastAsia="Times New Roman" w:hAnsi="Times New Roman" w:cs="Times New Roman"/>
          <w:szCs w:val="20"/>
        </w:rPr>
        <w:t>he</w:t>
      </w:r>
      <w:proofErr w:type="spellEnd"/>
      <w:r w:rsidRPr="00E05E56">
        <w:rPr>
          <w:rFonts w:ascii="Times New Roman" w:eastAsia="Times New Roman" w:hAnsi="Times New Roman" w:cs="Times New Roman"/>
          <w:szCs w:val="20"/>
        </w:rPr>
        <w:t xml:space="preserve"> signatories of a citizens’ initiative shall come from at least one quarter of Member States”, Article 7(1).</w:t>
      </w:r>
    </w:p>
  </w:footnote>
  <w:footnote w:id="166">
    <w:p w14:paraId="7B47A5DA"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color w:val="000000"/>
          <w:szCs w:val="20"/>
          <w:shd w:val="clear" w:color="auto" w:fill="FFFFFF"/>
        </w:rPr>
        <w:t>In this case regarding a</w:t>
      </w:r>
      <w:r w:rsidRPr="00E05E56">
        <w:rPr>
          <w:rFonts w:ascii="Times New Roman" w:eastAsia="Times New Roman" w:hAnsi="Times New Roman" w:cs="Times New Roman"/>
          <w:szCs w:val="20"/>
        </w:rPr>
        <w:t>n ECI submitted by a Greek national in order to allow the cancellation of the public debt of countries in a state of necessity, the CJEU clarified the legal regime and object of the ECI instrument</w:t>
      </w:r>
      <w:r w:rsidRPr="00E05E56">
        <w:rPr>
          <w:rFonts w:ascii="Times New Roman" w:eastAsia="Times New Roman" w:hAnsi="Times New Roman" w:cs="Times New Roman"/>
          <w:color w:val="000000"/>
          <w:szCs w:val="20"/>
          <w:shd w:val="clear" w:color="auto" w:fill="FFFFFF"/>
        </w:rPr>
        <w:t xml:space="preserve">. CJEU, Grand Chamber, </w:t>
      </w:r>
      <w:proofErr w:type="spellStart"/>
      <w:r w:rsidRPr="00E05E56">
        <w:rPr>
          <w:rFonts w:ascii="Times New Roman" w:eastAsia="Times New Roman" w:hAnsi="Times New Roman" w:cs="Times New Roman"/>
          <w:i/>
          <w:szCs w:val="20"/>
        </w:rPr>
        <w:t>Alexios</w:t>
      </w:r>
      <w:proofErr w:type="spellEnd"/>
      <w:r w:rsidRPr="00E05E56">
        <w:rPr>
          <w:rFonts w:ascii="Times New Roman" w:eastAsia="Times New Roman" w:hAnsi="Times New Roman" w:cs="Times New Roman"/>
          <w:i/>
          <w:szCs w:val="20"/>
        </w:rPr>
        <w:t xml:space="preserve"> </w:t>
      </w:r>
      <w:proofErr w:type="spellStart"/>
      <w:r w:rsidRPr="00E05E56">
        <w:rPr>
          <w:rFonts w:ascii="Times New Roman" w:eastAsia="Times New Roman" w:hAnsi="Times New Roman" w:cs="Times New Roman"/>
          <w:i/>
          <w:szCs w:val="20"/>
        </w:rPr>
        <w:t>Anagnostakis</w:t>
      </w:r>
      <w:proofErr w:type="spellEnd"/>
      <w:r w:rsidRPr="00E05E56">
        <w:rPr>
          <w:rFonts w:ascii="Times New Roman" w:eastAsia="Times New Roman" w:hAnsi="Times New Roman" w:cs="Times New Roman"/>
          <w:i/>
          <w:szCs w:val="20"/>
        </w:rPr>
        <w:t xml:space="preserve"> v. Commission</w:t>
      </w:r>
      <w:r w:rsidRPr="00E05E56">
        <w:rPr>
          <w:rFonts w:ascii="Times New Roman" w:eastAsia="Times New Roman" w:hAnsi="Times New Roman" w:cs="Times New Roman"/>
          <w:szCs w:val="20"/>
        </w:rPr>
        <w:t xml:space="preserve">, 12 September 2017, Case C-589/15 P, para. 24. See also Denys Simon, “Initiative </w:t>
      </w:r>
      <w:proofErr w:type="spellStart"/>
      <w:r w:rsidRPr="00E05E56">
        <w:rPr>
          <w:rFonts w:ascii="Times New Roman" w:eastAsia="Times New Roman" w:hAnsi="Times New Roman" w:cs="Times New Roman"/>
          <w:szCs w:val="20"/>
        </w:rPr>
        <w:t>citoyenne</w:t>
      </w:r>
      <w:proofErr w:type="spellEnd"/>
      <w:r w:rsidRPr="00E05E56">
        <w:rPr>
          <w:rFonts w:ascii="Times New Roman" w:eastAsia="Times New Roman" w:hAnsi="Times New Roman" w:cs="Times New Roman"/>
          <w:szCs w:val="20"/>
        </w:rPr>
        <w:t xml:space="preserve">, </w:t>
      </w:r>
      <w:proofErr w:type="spellStart"/>
      <w:r w:rsidRPr="00E05E56">
        <w:rPr>
          <w:rFonts w:ascii="Times New Roman" w:eastAsia="Times New Roman" w:hAnsi="Times New Roman" w:cs="Times New Roman"/>
          <w:szCs w:val="20"/>
        </w:rPr>
        <w:t>Commentaire</w:t>
      </w:r>
      <w:proofErr w:type="spellEnd"/>
      <w:r w:rsidRPr="00E05E56">
        <w:rPr>
          <w:rFonts w:ascii="Times New Roman" w:eastAsia="Times New Roman" w:hAnsi="Times New Roman" w:cs="Times New Roman"/>
          <w:szCs w:val="20"/>
        </w:rPr>
        <w:t xml:space="preserve">”, </w:t>
      </w:r>
      <w:r w:rsidRPr="00E05E56">
        <w:rPr>
          <w:rFonts w:ascii="Times New Roman" w:eastAsia="Times New Roman" w:hAnsi="Times New Roman" w:cs="Times New Roman"/>
          <w:i/>
          <w:szCs w:val="20"/>
        </w:rPr>
        <w:t xml:space="preserve">Europe </w:t>
      </w:r>
      <w:r w:rsidRPr="00E05E56">
        <w:rPr>
          <w:rFonts w:ascii="Times New Roman" w:eastAsia="Times New Roman" w:hAnsi="Times New Roman" w:cs="Times New Roman"/>
          <w:szCs w:val="20"/>
        </w:rPr>
        <w:t>No. 11, November 2017, Comm.399.</w:t>
      </w:r>
    </w:p>
  </w:footnote>
  <w:footnote w:id="167">
    <w:p w14:paraId="06B2935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Report on the application of Regulation (EU) No 211/2011 on the citizens’ initiative, 31 May 2015, </w:t>
      </w:r>
      <w:proofErr w:type="gramStart"/>
      <w:r w:rsidRPr="00E05E56">
        <w:rPr>
          <w:rFonts w:ascii="Times New Roman" w:hAnsi="Times New Roman" w:cs="Times New Roman"/>
          <w:szCs w:val="20"/>
        </w:rPr>
        <w:t>COM(</w:t>
      </w:r>
      <w:proofErr w:type="gramEnd"/>
      <w:r w:rsidRPr="00E05E56">
        <w:rPr>
          <w:rFonts w:ascii="Times New Roman" w:hAnsi="Times New Roman" w:cs="Times New Roman"/>
          <w:szCs w:val="20"/>
        </w:rPr>
        <w:t xml:space="preserve">2015) 145 final. See also the Commission’ roadmap on the revision of the ECI: </w:t>
      </w:r>
      <w:hyperlink r:id="rId59" w:history="1">
        <w:r w:rsidRPr="00E05E56">
          <w:rPr>
            <w:rStyle w:val="Hyperlink"/>
            <w:rFonts w:ascii="Times New Roman" w:hAnsi="Times New Roman" w:cs="Times New Roman"/>
            <w:szCs w:val="20"/>
          </w:rPr>
          <w:t>https://ec.europa.eu/info/law/better-regulation/initiatives/ares-2017-2537702_en</w:t>
        </w:r>
      </w:hyperlink>
      <w:r w:rsidRPr="00E05E56">
        <w:rPr>
          <w:rFonts w:ascii="Times New Roman" w:hAnsi="Times New Roman" w:cs="Times New Roman"/>
          <w:szCs w:val="20"/>
        </w:rPr>
        <w:t xml:space="preserve">. </w:t>
      </w:r>
    </w:p>
  </w:footnote>
  <w:footnote w:id="168">
    <w:p w14:paraId="0BCAF687"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Regulation (EC) No 1049/2001 of the European Parliament and of the Council of 30 May 2001 regarding public access to European Parliament, Council and Commission documents, OJ L 145/43. </w:t>
      </w:r>
    </w:p>
  </w:footnote>
  <w:footnote w:id="169">
    <w:p w14:paraId="046059EF"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European Parliament Directorate-General for International Policies, Policy Department C, Citizens’ Rights and Constitutional Affairs, </w:t>
      </w:r>
      <w:r w:rsidRPr="00E05E56">
        <w:rPr>
          <w:rFonts w:ascii="Times New Roman" w:hAnsi="Times New Roman" w:cs="Times New Roman"/>
          <w:i/>
          <w:szCs w:val="20"/>
        </w:rPr>
        <w:t>Openness, Transparency and the Right of Access to Documents in the EU</w:t>
      </w:r>
      <w:r w:rsidRPr="00E05E56">
        <w:rPr>
          <w:rFonts w:ascii="Times New Roman" w:hAnsi="Times New Roman" w:cs="Times New Roman"/>
          <w:szCs w:val="20"/>
        </w:rPr>
        <w:t>, 2016, p. 4.</w:t>
      </w:r>
    </w:p>
  </w:footnote>
  <w:footnote w:id="170">
    <w:p w14:paraId="7F66E4D6" w14:textId="77777777" w:rsidR="0043479F" w:rsidRPr="00E05E56" w:rsidRDefault="0043479F" w:rsidP="00E05E56">
      <w:pPr>
        <w:pStyle w:val="FootnoteText"/>
        <w:rPr>
          <w:rFonts w:ascii="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w:t>
      </w:r>
      <w:r w:rsidRPr="00E05E56">
        <w:rPr>
          <w:rFonts w:ascii="Times New Roman" w:eastAsia="Times New Roman" w:hAnsi="Times New Roman" w:cs="Times New Roman"/>
          <w:szCs w:val="20"/>
        </w:rPr>
        <w:t xml:space="preserve">On transparency and the “democratic deficit” of the EU, see Irma </w:t>
      </w:r>
      <w:proofErr w:type="spellStart"/>
      <w:r w:rsidRPr="00E05E56">
        <w:rPr>
          <w:rFonts w:ascii="Times New Roman" w:eastAsia="Times New Roman" w:hAnsi="Times New Roman" w:cs="Times New Roman"/>
          <w:szCs w:val="20"/>
        </w:rPr>
        <w:t>Spahiu</w:t>
      </w:r>
      <w:proofErr w:type="spellEnd"/>
      <w:r w:rsidRPr="00E05E56">
        <w:rPr>
          <w:rFonts w:ascii="Times New Roman" w:eastAsia="Times New Roman" w:hAnsi="Times New Roman" w:cs="Times New Roman"/>
          <w:szCs w:val="20"/>
        </w:rPr>
        <w:t xml:space="preserve">, “Courts: An Effective Venue to Promote Government Transparency? The Case of the Court of Justice of the European Union”, </w:t>
      </w:r>
      <w:r w:rsidRPr="00E05E56">
        <w:rPr>
          <w:rFonts w:ascii="Times New Roman" w:eastAsia="Times New Roman" w:hAnsi="Times New Roman" w:cs="Times New Roman"/>
          <w:i/>
          <w:szCs w:val="20"/>
        </w:rPr>
        <w:t>Utrecht Journal of International and European Law</w:t>
      </w:r>
      <w:r w:rsidRPr="00E05E56">
        <w:rPr>
          <w:rFonts w:ascii="Times New Roman" w:eastAsia="Times New Roman" w:hAnsi="Times New Roman" w:cs="Times New Roman"/>
          <w:szCs w:val="20"/>
        </w:rPr>
        <w:t>, 31(80), 2015, pp. 5-24.</w:t>
      </w:r>
    </w:p>
  </w:footnote>
  <w:footnote w:id="171">
    <w:p w14:paraId="2965DCBB"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rPr>
        <w:footnoteRef/>
      </w:r>
      <w:r w:rsidRPr="00E05E56">
        <w:rPr>
          <w:rFonts w:ascii="Times New Roman" w:hAnsi="Times New Roman" w:cs="Times New Roman"/>
          <w:szCs w:val="20"/>
        </w:rPr>
        <w:t xml:space="preserve"> CJEU, </w:t>
      </w:r>
      <w:r w:rsidRPr="00E05E56">
        <w:rPr>
          <w:rFonts w:ascii="Times New Roman" w:eastAsia="Times New Roman" w:hAnsi="Times New Roman" w:cs="Times New Roman"/>
          <w:szCs w:val="20"/>
        </w:rPr>
        <w:t xml:space="preserve">Joined Cases </w:t>
      </w:r>
      <w:r w:rsidRPr="00E05E56">
        <w:rPr>
          <w:rFonts w:ascii="Times New Roman" w:eastAsia="Times New Roman" w:hAnsi="Times New Roman" w:cs="Times New Roman"/>
          <w:i/>
          <w:szCs w:val="20"/>
        </w:rPr>
        <w:t xml:space="preserve">P Kingdom of Sweden and Maurizio </w:t>
      </w:r>
      <w:proofErr w:type="spellStart"/>
      <w:r w:rsidRPr="00E05E56">
        <w:rPr>
          <w:rFonts w:ascii="Times New Roman" w:eastAsia="Times New Roman" w:hAnsi="Times New Roman" w:cs="Times New Roman"/>
          <w:i/>
          <w:szCs w:val="20"/>
        </w:rPr>
        <w:t>Turco</w:t>
      </w:r>
      <w:proofErr w:type="spellEnd"/>
      <w:r w:rsidRPr="00E05E56">
        <w:rPr>
          <w:rFonts w:ascii="Times New Roman" w:eastAsia="Times New Roman" w:hAnsi="Times New Roman" w:cs="Times New Roman"/>
          <w:i/>
          <w:szCs w:val="20"/>
        </w:rPr>
        <w:t xml:space="preserve"> v. the Council</w:t>
      </w:r>
      <w:r w:rsidRPr="00E05E56">
        <w:rPr>
          <w:rFonts w:ascii="Times New Roman" w:eastAsia="Times New Roman" w:hAnsi="Times New Roman" w:cs="Times New Roman"/>
          <w:szCs w:val="20"/>
        </w:rPr>
        <w:t>, 1</w:t>
      </w:r>
      <w:r w:rsidRPr="00E05E56">
        <w:rPr>
          <w:rFonts w:ascii="Times New Roman" w:eastAsia="Times New Roman" w:hAnsi="Times New Roman" w:cs="Times New Roman"/>
          <w:szCs w:val="20"/>
          <w:vertAlign w:val="superscript"/>
        </w:rPr>
        <w:t>st</w:t>
      </w:r>
      <w:r w:rsidRPr="00E05E56">
        <w:rPr>
          <w:rFonts w:ascii="Times New Roman" w:eastAsia="Times New Roman" w:hAnsi="Times New Roman" w:cs="Times New Roman"/>
          <w:szCs w:val="20"/>
        </w:rPr>
        <w:t xml:space="preserve"> July 2008, C-39/05 P and C-52/05 paras 45-46. (</w:t>
      </w:r>
      <w:proofErr w:type="gramStart"/>
      <w:r w:rsidRPr="00E05E56">
        <w:rPr>
          <w:rFonts w:ascii="Times New Roman" w:eastAsia="Times New Roman" w:hAnsi="Times New Roman" w:cs="Times New Roman"/>
          <w:szCs w:val="20"/>
        </w:rPr>
        <w:t>emphasis</w:t>
      </w:r>
      <w:proofErr w:type="gramEnd"/>
      <w:r w:rsidRPr="00E05E56">
        <w:rPr>
          <w:rFonts w:ascii="Times New Roman" w:eastAsia="Times New Roman" w:hAnsi="Times New Roman" w:cs="Times New Roman"/>
          <w:szCs w:val="20"/>
        </w:rPr>
        <w:t xml:space="preserve"> added).</w:t>
      </w:r>
    </w:p>
  </w:footnote>
  <w:footnote w:id="172">
    <w:p w14:paraId="43D1B67E"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The information concerned the identity of delegations of European Member States making policy proposals under an Article 4(3) exemption to the Regulation. CJEU, </w:t>
      </w:r>
      <w:r w:rsidRPr="00E05E56">
        <w:rPr>
          <w:rFonts w:ascii="Times New Roman" w:hAnsi="Times New Roman" w:cs="Times New Roman"/>
          <w:i/>
          <w:szCs w:val="20"/>
          <w:lang w:val="en-GB"/>
        </w:rPr>
        <w:t>Access Info Europe v. Council of the EU</w:t>
      </w:r>
      <w:r w:rsidRPr="00E05E56">
        <w:rPr>
          <w:rFonts w:ascii="Times New Roman" w:hAnsi="Times New Roman" w:cs="Times New Roman"/>
          <w:szCs w:val="20"/>
          <w:lang w:val="en-GB"/>
        </w:rPr>
        <w:t>, 17 October 2013, C-280/11P, paras 59-60.</w:t>
      </w:r>
    </w:p>
  </w:footnote>
  <w:footnote w:id="173">
    <w:p w14:paraId="5F52E154"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European Parliament, EU Transparency Register Briefing, December 2014. </w:t>
      </w:r>
      <w:hyperlink r:id="rId60" w:history="1">
        <w:r w:rsidRPr="00E05E56">
          <w:rPr>
            <w:rStyle w:val="Hyperlink"/>
            <w:rFonts w:ascii="Times New Roman" w:hAnsi="Times New Roman" w:cs="Times New Roman"/>
            <w:szCs w:val="20"/>
            <w:lang w:val="en-GB"/>
          </w:rPr>
          <w:t>http://www.europarl.europa.eu/EPRS/EPRS-Briefing-542170-European-Transparency-Register-FINAL.pdf</w:t>
        </w:r>
      </w:hyperlink>
      <w:r w:rsidRPr="00E05E56">
        <w:rPr>
          <w:rFonts w:ascii="Times New Roman" w:hAnsi="Times New Roman" w:cs="Times New Roman"/>
          <w:szCs w:val="20"/>
          <w:lang w:val="en-GB"/>
        </w:rPr>
        <w:t xml:space="preserve">. </w:t>
      </w:r>
    </w:p>
  </w:footnote>
  <w:footnote w:id="174">
    <w:p w14:paraId="099B4064"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w:t>
      </w:r>
      <w:hyperlink r:id="rId61" w:history="1">
        <w:r w:rsidRPr="00E05E56">
          <w:rPr>
            <w:rStyle w:val="Hyperlink"/>
            <w:rFonts w:ascii="Times New Roman" w:hAnsi="Times New Roman" w:cs="Times New Roman"/>
            <w:szCs w:val="20"/>
            <w:lang w:val="en-GB"/>
          </w:rPr>
          <w:t>http://</w:t>
        </w:r>
        <w:proofErr w:type="spellStart"/>
        <w:r w:rsidRPr="00E05E56">
          <w:rPr>
            <w:rStyle w:val="Hyperlink"/>
            <w:rFonts w:ascii="Times New Roman" w:hAnsi="Times New Roman" w:cs="Times New Roman"/>
            <w:szCs w:val="20"/>
            <w:lang w:val="en-GB"/>
          </w:rPr>
          <w:t>ec.europa.eu</w:t>
        </w:r>
        <w:proofErr w:type="spellEnd"/>
        <w:r w:rsidRPr="00E05E56">
          <w:rPr>
            <w:rStyle w:val="Hyperlink"/>
            <w:rFonts w:ascii="Times New Roman" w:hAnsi="Times New Roman" w:cs="Times New Roman"/>
            <w:szCs w:val="20"/>
            <w:lang w:val="en-GB"/>
          </w:rPr>
          <w:t>/</w:t>
        </w:r>
        <w:proofErr w:type="spellStart"/>
        <w:r w:rsidRPr="00E05E56">
          <w:rPr>
            <w:rStyle w:val="Hyperlink"/>
            <w:rFonts w:ascii="Times New Roman" w:hAnsi="Times New Roman" w:cs="Times New Roman"/>
            <w:szCs w:val="20"/>
            <w:lang w:val="en-GB"/>
          </w:rPr>
          <w:t>transparencyregister</w:t>
        </w:r>
        <w:proofErr w:type="spellEnd"/>
        <w:r w:rsidRPr="00E05E56">
          <w:rPr>
            <w:rStyle w:val="Hyperlink"/>
            <w:rFonts w:ascii="Times New Roman" w:hAnsi="Times New Roman" w:cs="Times New Roman"/>
            <w:szCs w:val="20"/>
            <w:lang w:val="en-GB"/>
          </w:rPr>
          <w:t>/public/</w:t>
        </w:r>
        <w:proofErr w:type="spellStart"/>
        <w:r w:rsidRPr="00E05E56">
          <w:rPr>
            <w:rStyle w:val="Hyperlink"/>
            <w:rFonts w:ascii="Times New Roman" w:hAnsi="Times New Roman" w:cs="Times New Roman"/>
            <w:szCs w:val="20"/>
            <w:lang w:val="en-GB"/>
          </w:rPr>
          <w:t>homePage.do</w:t>
        </w:r>
        <w:proofErr w:type="spellEnd"/>
      </w:hyperlink>
      <w:r w:rsidRPr="00E05E56">
        <w:rPr>
          <w:rFonts w:ascii="Times New Roman" w:hAnsi="Times New Roman" w:cs="Times New Roman"/>
          <w:szCs w:val="20"/>
          <w:lang w:val="en-GB"/>
        </w:rPr>
        <w:t>. As of 29 January 2018, 11692 registrants were in the register.</w:t>
      </w:r>
    </w:p>
  </w:footnote>
  <w:footnote w:id="175">
    <w:p w14:paraId="2401ECE2" w14:textId="77777777" w:rsidR="0043479F" w:rsidRPr="00E05E56" w:rsidRDefault="0043479F" w:rsidP="00E05E56">
      <w:pPr>
        <w:pStyle w:val="FootnoteText"/>
        <w:rPr>
          <w:rFonts w:ascii="Times New Roman" w:eastAsia="Times New Roman" w:hAnsi="Times New Roman" w:cs="Times New Roman"/>
          <w:szCs w:val="20"/>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Proposal for a </w:t>
      </w:r>
      <w:proofErr w:type="spellStart"/>
      <w:r w:rsidRPr="00E05E56">
        <w:rPr>
          <w:rFonts w:ascii="Times New Roman" w:hAnsi="Times New Roman" w:cs="Times New Roman"/>
          <w:szCs w:val="20"/>
          <w:lang w:val="en-GB"/>
        </w:rPr>
        <w:t>Interinstitutional</w:t>
      </w:r>
      <w:proofErr w:type="spellEnd"/>
      <w:r w:rsidRPr="00E05E56">
        <w:rPr>
          <w:rFonts w:ascii="Times New Roman" w:hAnsi="Times New Roman" w:cs="Times New Roman"/>
          <w:szCs w:val="20"/>
          <w:lang w:val="en-GB"/>
        </w:rPr>
        <w:t xml:space="preserve"> Agreement on a mandatory Transparency Register, 28 September 2016, </w:t>
      </w:r>
      <w:proofErr w:type="gramStart"/>
      <w:r w:rsidRPr="00E05E56">
        <w:rPr>
          <w:rFonts w:ascii="Times New Roman" w:hAnsi="Times New Roman" w:cs="Times New Roman"/>
          <w:szCs w:val="20"/>
          <w:lang w:val="en-GB"/>
        </w:rPr>
        <w:t>COM(</w:t>
      </w:r>
      <w:proofErr w:type="gramEnd"/>
      <w:r w:rsidRPr="00E05E56">
        <w:rPr>
          <w:rFonts w:ascii="Times New Roman" w:hAnsi="Times New Roman" w:cs="Times New Roman"/>
          <w:szCs w:val="20"/>
          <w:lang w:val="en-GB"/>
        </w:rPr>
        <w:t>2016)627 final. (6): “</w:t>
      </w:r>
      <w:r w:rsidRPr="00E05E56">
        <w:rPr>
          <w:rFonts w:ascii="Times New Roman" w:eastAsia="Times New Roman" w:hAnsi="Times New Roman" w:cs="Times New Roman"/>
          <w:color w:val="000000"/>
          <w:szCs w:val="20"/>
          <w:shd w:val="clear" w:color="auto" w:fill="FFFFFF"/>
          <w:lang w:val="en-GB"/>
        </w:rPr>
        <w:t>The three institutions recognise the necessity to establish a mandatory Transparency Register”.</w:t>
      </w:r>
    </w:p>
  </w:footnote>
  <w:footnote w:id="176">
    <w:p w14:paraId="78E9688C" w14:textId="77777777" w:rsidR="0043479F" w:rsidRPr="00E05E56" w:rsidRDefault="0043479F" w:rsidP="00E05E56">
      <w:pPr>
        <w:pStyle w:val="FootnoteText"/>
        <w:rPr>
          <w:rFonts w:ascii="Times New Roman" w:hAnsi="Times New Roman" w:cs="Times New Roman"/>
          <w:szCs w:val="20"/>
          <w:lang w:val="en-GB"/>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lang w:val="en-GB"/>
        </w:rPr>
        <w:t xml:space="preserve"> See European Parliament press release, “More lobby transparency to foster public trust in EU institutions”, 15 June 2017, </w:t>
      </w:r>
      <w:hyperlink r:id="rId62" w:history="1">
        <w:r w:rsidRPr="00E05E56">
          <w:rPr>
            <w:rStyle w:val="Hyperlink"/>
            <w:rFonts w:ascii="Times New Roman" w:hAnsi="Times New Roman" w:cs="Times New Roman"/>
            <w:szCs w:val="20"/>
            <w:lang w:val="en-GB"/>
          </w:rPr>
          <w:t>http://www.europarl.europa.eu/news/en/press-room/20170615IPR77523/more-lobby-transparency-to-foster-public-trust-in-eu-institutions</w:t>
        </w:r>
      </w:hyperlink>
      <w:r w:rsidRPr="00E05E56">
        <w:rPr>
          <w:rFonts w:ascii="Times New Roman" w:hAnsi="Times New Roman" w:cs="Times New Roman"/>
          <w:szCs w:val="20"/>
          <w:lang w:val="en-GB"/>
        </w:rPr>
        <w:t xml:space="preserve">. </w:t>
      </w:r>
    </w:p>
  </w:footnote>
  <w:footnote w:id="177">
    <w:p w14:paraId="2D5CC9E2" w14:textId="77777777" w:rsidR="0043479F" w:rsidRPr="00E05E56" w:rsidRDefault="0043479F" w:rsidP="00E05E56">
      <w:pPr>
        <w:pStyle w:val="FootnoteText"/>
        <w:rPr>
          <w:rFonts w:ascii="Times New Roman" w:hAnsi="Times New Roman" w:cs="Times New Roman"/>
          <w:szCs w:val="20"/>
          <w:lang w:val="fr-FR"/>
        </w:rPr>
      </w:pPr>
      <w:r w:rsidRPr="00E05E56">
        <w:rPr>
          <w:rStyle w:val="FootnoteReference"/>
          <w:rFonts w:ascii="Times New Roman" w:hAnsi="Times New Roman" w:cs="Times New Roman"/>
          <w:szCs w:val="20"/>
          <w:lang w:val="en-GB"/>
        </w:rPr>
        <w:footnoteRef/>
      </w:r>
      <w:r w:rsidRPr="00E05E56">
        <w:rPr>
          <w:rFonts w:ascii="Times New Roman" w:hAnsi="Times New Roman" w:cs="Times New Roman"/>
          <w:szCs w:val="20"/>
        </w:rPr>
        <w:t xml:space="preserve"> </w:t>
      </w:r>
      <w:r w:rsidRPr="00E05E56">
        <w:rPr>
          <w:rFonts w:ascii="Times New Roman" w:hAnsi="Times New Roman" w:cs="Times New Roman"/>
          <w:szCs w:val="20"/>
          <w:lang w:val="en-GB"/>
        </w:rPr>
        <w:t xml:space="preserve">Taking into account the imbalance in terms of powers granted to the Executive and the “deficit of democratic legitimacy”, the idea is to re-place representative democracy at the centre of European economic policies. The draft Treaty aims to create a Parliamentary Assembly of the Euro Zone for the representatives of national parliaments to be directly and fully involved in the governance of the area. </w:t>
      </w:r>
      <w:r w:rsidRPr="00E05E56">
        <w:rPr>
          <w:rFonts w:ascii="Times New Roman" w:hAnsi="Times New Roman" w:cs="Times New Roman"/>
          <w:szCs w:val="20"/>
        </w:rPr>
        <w:t xml:space="preserve">For the English version of the draft Treaty, see </w:t>
      </w:r>
      <w:hyperlink r:id="rId63" w:history="1">
        <w:r w:rsidRPr="00E05E56">
          <w:rPr>
            <w:rStyle w:val="Hyperlink"/>
            <w:rFonts w:ascii="Times New Roman" w:hAnsi="Times New Roman" w:cs="Times New Roman"/>
            <w:szCs w:val="20"/>
          </w:rPr>
          <w:t>http://piketty.pse.ens.fr/files/T-DEM%20-%20Final%20english%20version%209march2017.pdf</w:t>
        </w:r>
      </w:hyperlink>
      <w:r w:rsidRPr="00E05E56">
        <w:rPr>
          <w:rFonts w:ascii="Times New Roman" w:hAnsi="Times New Roman" w:cs="Times New Roman"/>
          <w:szCs w:val="20"/>
        </w:rPr>
        <w:t xml:space="preserve">. </w:t>
      </w:r>
      <w:r w:rsidRPr="00E05E56">
        <w:rPr>
          <w:rFonts w:ascii="Times New Roman" w:hAnsi="Times New Roman" w:cs="Times New Roman"/>
          <w:szCs w:val="20"/>
          <w:lang w:val="fr-FR"/>
        </w:rPr>
        <w:t xml:space="preserve">Stéphanie </w:t>
      </w:r>
      <w:proofErr w:type="spellStart"/>
      <w:r w:rsidRPr="00E05E56">
        <w:rPr>
          <w:rFonts w:ascii="Times New Roman" w:hAnsi="Times New Roman" w:cs="Times New Roman"/>
          <w:szCs w:val="20"/>
          <w:lang w:val="fr-FR"/>
        </w:rPr>
        <w:t>Hennette</w:t>
      </w:r>
      <w:proofErr w:type="spellEnd"/>
      <w:r w:rsidRPr="00E05E56">
        <w:rPr>
          <w:rFonts w:ascii="Times New Roman" w:hAnsi="Times New Roman" w:cs="Times New Roman"/>
          <w:szCs w:val="20"/>
          <w:lang w:val="fr-FR"/>
        </w:rPr>
        <w:t xml:space="preserve">, Thomas Piketty, Guillaume </w:t>
      </w:r>
      <w:proofErr w:type="spellStart"/>
      <w:r w:rsidRPr="00E05E56">
        <w:rPr>
          <w:rFonts w:ascii="Times New Roman" w:hAnsi="Times New Roman" w:cs="Times New Roman"/>
          <w:szCs w:val="20"/>
          <w:lang w:val="fr-FR"/>
        </w:rPr>
        <w:t>Sacriste</w:t>
      </w:r>
      <w:proofErr w:type="spellEnd"/>
      <w:r w:rsidRPr="00E05E56">
        <w:rPr>
          <w:rFonts w:ascii="Times New Roman" w:hAnsi="Times New Roman" w:cs="Times New Roman"/>
          <w:szCs w:val="20"/>
          <w:lang w:val="fr-FR"/>
        </w:rPr>
        <w:t xml:space="preserve">, Antoine Vauchez, </w:t>
      </w:r>
      <w:r w:rsidRPr="00E05E56">
        <w:rPr>
          <w:rFonts w:ascii="Times New Roman" w:hAnsi="Times New Roman" w:cs="Times New Roman"/>
          <w:i/>
          <w:szCs w:val="20"/>
          <w:lang w:val="fr-FR"/>
        </w:rPr>
        <w:t>Pour un traité de démocratisation de l’Europe</w:t>
      </w:r>
      <w:r w:rsidRPr="00E05E56">
        <w:rPr>
          <w:rFonts w:ascii="Times New Roman" w:hAnsi="Times New Roman" w:cs="Times New Roman"/>
          <w:szCs w:val="20"/>
          <w:lang w:val="fr-FR"/>
        </w:rPr>
        <w:t xml:space="preserve">, Seuil, 2017, 93 p. </w:t>
      </w:r>
      <w:proofErr w:type="spellStart"/>
      <w:r w:rsidRPr="00E05E56">
        <w:rPr>
          <w:rFonts w:ascii="Times New Roman" w:hAnsi="Times New Roman" w:cs="Times New Roman"/>
          <w:szCs w:val="20"/>
          <w:lang w:val="fr-FR"/>
        </w:rPr>
        <w:t>See</w:t>
      </w:r>
      <w:proofErr w:type="spellEnd"/>
      <w:r w:rsidRPr="00E05E56">
        <w:rPr>
          <w:rFonts w:ascii="Times New Roman" w:hAnsi="Times New Roman" w:cs="Times New Roman"/>
          <w:szCs w:val="20"/>
          <w:lang w:val="fr-FR"/>
        </w:rPr>
        <w:t xml:space="preserve"> </w:t>
      </w:r>
      <w:proofErr w:type="spellStart"/>
      <w:r w:rsidRPr="00E05E56">
        <w:rPr>
          <w:rFonts w:ascii="Times New Roman" w:hAnsi="Times New Roman" w:cs="Times New Roman"/>
          <w:szCs w:val="20"/>
          <w:lang w:val="fr-FR"/>
        </w:rPr>
        <w:t>also</w:t>
      </w:r>
      <w:proofErr w:type="spellEnd"/>
      <w:r w:rsidRPr="00E05E56">
        <w:rPr>
          <w:rFonts w:ascii="Times New Roman" w:hAnsi="Times New Roman" w:cs="Times New Roman"/>
          <w:szCs w:val="20"/>
          <w:lang w:val="fr-FR"/>
        </w:rPr>
        <w:t xml:space="preserve"> Thomas </w:t>
      </w:r>
      <w:proofErr w:type="spellStart"/>
      <w:r w:rsidRPr="00E05E56">
        <w:rPr>
          <w:rFonts w:ascii="Times New Roman" w:hAnsi="Times New Roman" w:cs="Times New Roman"/>
          <w:szCs w:val="20"/>
          <w:lang w:val="fr-FR"/>
        </w:rPr>
        <w:t>Piketty’s</w:t>
      </w:r>
      <w:proofErr w:type="spellEnd"/>
      <w:r w:rsidRPr="00E05E56">
        <w:rPr>
          <w:rFonts w:ascii="Times New Roman" w:hAnsi="Times New Roman" w:cs="Times New Roman"/>
          <w:szCs w:val="20"/>
          <w:lang w:val="fr-FR"/>
        </w:rPr>
        <w:t xml:space="preserve"> interview on the </w:t>
      </w:r>
      <w:proofErr w:type="spellStart"/>
      <w:r w:rsidRPr="00E05E56">
        <w:rPr>
          <w:rFonts w:ascii="Times New Roman" w:hAnsi="Times New Roman" w:cs="Times New Roman"/>
          <w:szCs w:val="20"/>
          <w:lang w:val="fr-FR"/>
        </w:rPr>
        <w:t>proposed</w:t>
      </w:r>
      <w:proofErr w:type="spellEnd"/>
      <w:r w:rsidRPr="00E05E56">
        <w:rPr>
          <w:rFonts w:ascii="Times New Roman" w:hAnsi="Times New Roman" w:cs="Times New Roman"/>
          <w:szCs w:val="20"/>
          <w:lang w:val="fr-FR"/>
        </w:rPr>
        <w:t xml:space="preserve"> </w:t>
      </w:r>
      <w:proofErr w:type="spellStart"/>
      <w:r w:rsidRPr="00E05E56">
        <w:rPr>
          <w:rFonts w:ascii="Times New Roman" w:hAnsi="Times New Roman" w:cs="Times New Roman"/>
          <w:szCs w:val="20"/>
          <w:lang w:val="fr-FR"/>
        </w:rPr>
        <w:t>draft</w:t>
      </w:r>
      <w:proofErr w:type="spellEnd"/>
      <w:r w:rsidRPr="00E05E56">
        <w:rPr>
          <w:rFonts w:ascii="Times New Roman" w:hAnsi="Times New Roman" w:cs="Times New Roman"/>
          <w:szCs w:val="20"/>
          <w:lang w:val="fr-FR"/>
        </w:rPr>
        <w:t xml:space="preserve"> </w:t>
      </w:r>
      <w:proofErr w:type="spellStart"/>
      <w:r w:rsidRPr="00E05E56">
        <w:rPr>
          <w:rFonts w:ascii="Times New Roman" w:hAnsi="Times New Roman" w:cs="Times New Roman"/>
          <w:szCs w:val="20"/>
          <w:lang w:val="fr-FR"/>
        </w:rPr>
        <w:t>Treaty</w:t>
      </w:r>
      <w:proofErr w:type="spellEnd"/>
      <w:r w:rsidRPr="00E05E56">
        <w:rPr>
          <w:rFonts w:ascii="Times New Roman" w:hAnsi="Times New Roman" w:cs="Times New Roman"/>
          <w:szCs w:val="20"/>
          <w:lang w:val="fr-FR"/>
        </w:rPr>
        <w:t xml:space="preserve">, </w:t>
      </w:r>
      <w:r w:rsidRPr="00E05E56">
        <w:rPr>
          <w:rFonts w:ascii="Times New Roman" w:hAnsi="Times New Roman" w:cs="Times New Roman"/>
          <w:i/>
          <w:szCs w:val="20"/>
          <w:lang w:val="fr-FR"/>
        </w:rPr>
        <w:t>Le Monde</w:t>
      </w:r>
      <w:r w:rsidRPr="00E05E56">
        <w:rPr>
          <w:rFonts w:ascii="Times New Roman" w:hAnsi="Times New Roman" w:cs="Times New Roman"/>
          <w:szCs w:val="20"/>
          <w:lang w:val="fr-FR"/>
        </w:rPr>
        <w:t xml:space="preserve">, 14 avril 2017, </w:t>
      </w:r>
      <w:hyperlink r:id="rId64" w:history="1">
        <w:r w:rsidRPr="00E05E56">
          <w:rPr>
            <w:rStyle w:val="Hyperlink"/>
            <w:rFonts w:ascii="Times New Roman" w:hAnsi="Times New Roman" w:cs="Times New Roman"/>
            <w:szCs w:val="20"/>
            <w:lang w:val="fr-FR"/>
          </w:rPr>
          <w:t>http://piketty.blog.lemonde.fr/2017/04/14/pour-un-traite-de-democratisation-de-leurope-pourquoi-comment/</w:t>
        </w:r>
      </w:hyperlink>
      <w:r w:rsidRPr="00E05E56">
        <w:rPr>
          <w:rFonts w:ascii="Times New Roman" w:hAnsi="Times New Roman" w:cs="Times New Roman"/>
          <w:szCs w:val="20"/>
          <w:lang w:val="fr-FR"/>
        </w:rPr>
        <w:t xml:space="preserve">. </w:t>
      </w:r>
    </w:p>
  </w:footnote>
  <w:footnote w:id="178">
    <w:p w14:paraId="115207BC" w14:textId="77777777" w:rsidR="0043479F" w:rsidRPr="00900517" w:rsidRDefault="0043479F" w:rsidP="009A6E00">
      <w:pPr>
        <w:rPr>
          <w:rFonts w:eastAsia="Times New Roman"/>
          <w:sz w:val="20"/>
          <w:szCs w:val="20"/>
        </w:rPr>
      </w:pPr>
      <w:r w:rsidRPr="00900517">
        <w:rPr>
          <w:rStyle w:val="FootnoteReference"/>
          <w:sz w:val="20"/>
          <w:szCs w:val="20"/>
        </w:rPr>
        <w:sym w:font="Symbol" w:char="F02A"/>
      </w:r>
      <w:r w:rsidRPr="00900517">
        <w:rPr>
          <w:sz w:val="20"/>
          <w:szCs w:val="20"/>
        </w:rPr>
        <w:t xml:space="preserve"> </w:t>
      </w:r>
      <w:proofErr w:type="gramStart"/>
      <w:r w:rsidRPr="00900517">
        <w:rPr>
          <w:sz w:val="20"/>
          <w:szCs w:val="20"/>
        </w:rPr>
        <w:t>Source :</w:t>
      </w:r>
      <w:proofErr w:type="gramEnd"/>
      <w:r w:rsidRPr="00900517">
        <w:rPr>
          <w:sz w:val="20"/>
          <w:szCs w:val="20"/>
        </w:rPr>
        <w:t xml:space="preserve"> Inter-Parliamentary Union, </w:t>
      </w:r>
      <w:hyperlink r:id="rId65" w:history="1">
        <w:r w:rsidRPr="00900517">
          <w:rPr>
            <w:rStyle w:val="Hyperlink"/>
            <w:szCs w:val="20"/>
          </w:rPr>
          <w:t>http://</w:t>
        </w:r>
        <w:proofErr w:type="spellStart"/>
        <w:r w:rsidRPr="00900517">
          <w:rPr>
            <w:rStyle w:val="Hyperlink"/>
            <w:szCs w:val="20"/>
          </w:rPr>
          <w:t>archive.ipu.org</w:t>
        </w:r>
        <w:proofErr w:type="spellEnd"/>
        <w:r w:rsidRPr="00900517">
          <w:rPr>
            <w:rStyle w:val="Hyperlink"/>
            <w:szCs w:val="20"/>
          </w:rPr>
          <w:t>/</w:t>
        </w:r>
        <w:proofErr w:type="spellStart"/>
        <w:r w:rsidRPr="00900517">
          <w:rPr>
            <w:rStyle w:val="Hyperlink"/>
            <w:szCs w:val="20"/>
          </w:rPr>
          <w:t>wmn</w:t>
        </w:r>
        <w:proofErr w:type="spellEnd"/>
        <w:r w:rsidRPr="00900517">
          <w:rPr>
            <w:rStyle w:val="Hyperlink"/>
            <w:szCs w:val="20"/>
          </w:rPr>
          <w:t>-e/</w:t>
        </w:r>
        <w:proofErr w:type="spellStart"/>
        <w:r w:rsidRPr="00900517">
          <w:rPr>
            <w:rStyle w:val="Hyperlink"/>
            <w:szCs w:val="20"/>
          </w:rPr>
          <w:t>classif.htm</w:t>
        </w:r>
        <w:proofErr w:type="spellEnd"/>
      </w:hyperlink>
      <w:r w:rsidRPr="00900517">
        <w:rPr>
          <w:sz w:val="20"/>
          <w:szCs w:val="20"/>
        </w:rPr>
        <w:t xml:space="preserve">. </w:t>
      </w:r>
      <w:r w:rsidRPr="00900517">
        <w:rPr>
          <w:rFonts w:eastAsia="Times New Roman"/>
          <w:color w:val="000000"/>
          <w:sz w:val="20"/>
          <w:szCs w:val="20"/>
          <w:shd w:val="clear" w:color="auto" w:fill="FFFFFF"/>
        </w:rPr>
        <w:t>The data in the table above has been compiled by the </w:t>
      </w:r>
      <w:r w:rsidRPr="00900517">
        <w:rPr>
          <w:rFonts w:eastAsia="Times New Roman"/>
          <w:sz w:val="20"/>
          <w:szCs w:val="20"/>
          <w:shd w:val="clear" w:color="auto" w:fill="FFFFFF"/>
        </w:rPr>
        <w:t>Inter-Parliamentary Union</w:t>
      </w:r>
      <w:r w:rsidRPr="00900517">
        <w:rPr>
          <w:rFonts w:eastAsia="Times New Roman"/>
          <w:sz w:val="20"/>
          <w:szCs w:val="20"/>
        </w:rPr>
        <w:t xml:space="preserve"> </w:t>
      </w:r>
      <w:r w:rsidRPr="00900517">
        <w:rPr>
          <w:rFonts w:eastAsia="Times New Roman"/>
          <w:color w:val="000000"/>
          <w:sz w:val="20"/>
          <w:szCs w:val="20"/>
          <w:shd w:val="clear" w:color="auto" w:fill="FFFFFF"/>
        </w:rPr>
        <w:t>on the basis of information provided by National Parliaments by 1st October 2017.</w:t>
      </w:r>
    </w:p>
    <w:p w14:paraId="12FF6B73" w14:textId="77777777" w:rsidR="0043479F" w:rsidRPr="00900517" w:rsidRDefault="0043479F" w:rsidP="009A6E00">
      <w:pPr>
        <w:pStyle w:val="FootnoteText"/>
      </w:pPr>
    </w:p>
  </w:footnote>
  <w:footnote w:id="179">
    <w:p w14:paraId="14F49BBF" w14:textId="77777777" w:rsidR="0043479F" w:rsidRPr="007359D8" w:rsidRDefault="0043479F" w:rsidP="002A265E">
      <w:pPr>
        <w:rPr>
          <w:sz w:val="20"/>
          <w:szCs w:val="20"/>
        </w:rPr>
      </w:pPr>
      <w:r w:rsidRPr="009E3FA8">
        <w:rPr>
          <w:rStyle w:val="FootnoteReference"/>
          <w:sz w:val="20"/>
          <w:szCs w:val="20"/>
        </w:rPr>
        <w:sym w:font="Symbol" w:char="F02A"/>
      </w:r>
      <w:r w:rsidRPr="009E3FA8">
        <w:rPr>
          <w:sz w:val="20"/>
          <w:szCs w:val="20"/>
        </w:rPr>
        <w:t xml:space="preserve"> </w:t>
      </w:r>
      <w:proofErr w:type="gramStart"/>
      <w:r w:rsidRPr="009E3FA8">
        <w:rPr>
          <w:sz w:val="20"/>
          <w:szCs w:val="20"/>
        </w:rPr>
        <w:t>Source :</w:t>
      </w:r>
      <w:proofErr w:type="gramEnd"/>
      <w:r w:rsidRPr="009E3FA8">
        <w:rPr>
          <w:sz w:val="20"/>
          <w:szCs w:val="20"/>
        </w:rPr>
        <w:t xml:space="preserve"> Gender quotas database, a project of International IDEA, Inter-Parliamentary Union and Stockholm University, the Global Database of Gender Quotas in parliaments worldwide. </w:t>
      </w:r>
      <w:hyperlink r:id="rId66" w:history="1">
        <w:r w:rsidRPr="007359D8">
          <w:rPr>
            <w:rStyle w:val="Hyperlink"/>
            <w:szCs w:val="20"/>
          </w:rPr>
          <w:t>https://</w:t>
        </w:r>
        <w:proofErr w:type="spellStart"/>
        <w:r w:rsidRPr="007359D8">
          <w:rPr>
            <w:rStyle w:val="Hyperlink"/>
            <w:szCs w:val="20"/>
          </w:rPr>
          <w:t>www.idea.int</w:t>
        </w:r>
        <w:proofErr w:type="spellEnd"/>
        <w:r w:rsidRPr="007359D8">
          <w:rPr>
            <w:rStyle w:val="Hyperlink"/>
            <w:szCs w:val="20"/>
          </w:rPr>
          <w:t>/data-tools/data/gender-quotas</w:t>
        </w:r>
      </w:hyperlink>
      <w:r w:rsidRPr="007359D8">
        <w:rPr>
          <w:sz w:val="20"/>
          <w:szCs w:val="20"/>
        </w:rPr>
        <w:t xml:space="preserve">. </w:t>
      </w:r>
    </w:p>
  </w:footnote>
  <w:footnote w:id="180">
    <w:p w14:paraId="07079D85" w14:textId="77777777" w:rsidR="0043479F" w:rsidRPr="007359D8" w:rsidRDefault="0043479F" w:rsidP="002A265E">
      <w:pPr>
        <w:pStyle w:val="FootnoteText"/>
      </w:pPr>
      <w:r w:rsidRPr="007359D8">
        <w:rPr>
          <w:rStyle w:val="FootnoteReference"/>
          <w:szCs w:val="20"/>
        </w:rPr>
        <w:sym w:font="Symbol" w:char="F02A"/>
      </w:r>
      <w:r w:rsidRPr="007359D8">
        <w:rPr>
          <w:rStyle w:val="FootnoteReference"/>
          <w:szCs w:val="20"/>
        </w:rPr>
        <w:sym w:font="Symbol" w:char="F02A"/>
      </w:r>
      <w:r w:rsidRPr="007359D8">
        <w:rPr>
          <w:szCs w:val="20"/>
        </w:rPr>
        <w:t xml:space="preserve"> No data available on the database.</w:t>
      </w:r>
    </w:p>
  </w:footnote>
  <w:footnote w:id="181">
    <w:p w14:paraId="4A32B475" w14:textId="77777777" w:rsidR="0043479F" w:rsidRPr="007359D8" w:rsidRDefault="0043479F" w:rsidP="002A265E">
      <w:pPr>
        <w:pStyle w:val="FootnoteText"/>
      </w:pPr>
      <w:r w:rsidRPr="007359D8">
        <w:rPr>
          <w:rStyle w:val="FootnoteReference"/>
          <w:szCs w:val="20"/>
        </w:rPr>
        <w:sym w:font="Symbol" w:char="F02A"/>
      </w:r>
      <w:r w:rsidRPr="007359D8">
        <w:rPr>
          <w:rStyle w:val="FootnoteReference"/>
          <w:szCs w:val="20"/>
        </w:rPr>
        <w:sym w:font="Symbol" w:char="F02A"/>
      </w:r>
      <w:r w:rsidRPr="007359D8">
        <w:rPr>
          <w:szCs w:val="20"/>
        </w:rPr>
        <w:t xml:space="preserve"> No data available on the database.</w:t>
      </w:r>
    </w:p>
  </w:footnote>
  <w:footnote w:id="182">
    <w:p w14:paraId="1641CEBD" w14:textId="77777777" w:rsidR="0043479F" w:rsidRPr="007359D8" w:rsidRDefault="0043479F" w:rsidP="002A265E">
      <w:pPr>
        <w:pStyle w:val="FootnoteText"/>
      </w:pPr>
      <w:r w:rsidRPr="007359D8">
        <w:rPr>
          <w:rStyle w:val="FootnoteReference"/>
          <w:szCs w:val="20"/>
        </w:rPr>
        <w:sym w:font="Symbol" w:char="F02A"/>
      </w:r>
      <w:r w:rsidRPr="007359D8">
        <w:rPr>
          <w:rStyle w:val="FootnoteReference"/>
          <w:szCs w:val="20"/>
        </w:rPr>
        <w:sym w:font="Symbol" w:char="F02A"/>
      </w:r>
      <w:r w:rsidRPr="007359D8">
        <w:rPr>
          <w:szCs w:val="20"/>
        </w:rPr>
        <w:t xml:space="preserve"> No data available on the database.</w:t>
      </w:r>
    </w:p>
  </w:footnote>
  <w:footnote w:id="183">
    <w:p w14:paraId="75A4E127" w14:textId="77777777" w:rsidR="0043479F" w:rsidRPr="007359D8" w:rsidRDefault="0043479F" w:rsidP="002A265E">
      <w:pPr>
        <w:pStyle w:val="FootnoteText"/>
      </w:pPr>
      <w:r w:rsidRPr="007359D8">
        <w:rPr>
          <w:rStyle w:val="FootnoteReference"/>
          <w:szCs w:val="20"/>
        </w:rPr>
        <w:sym w:font="Symbol" w:char="F02A"/>
      </w:r>
      <w:r w:rsidRPr="007359D8">
        <w:rPr>
          <w:rStyle w:val="FootnoteReference"/>
          <w:szCs w:val="20"/>
        </w:rPr>
        <w:sym w:font="Symbol" w:char="F02A"/>
      </w:r>
      <w:r w:rsidRPr="007359D8">
        <w:rPr>
          <w:szCs w:val="20"/>
        </w:rPr>
        <w:t xml:space="preserve"> No data available on the database.</w:t>
      </w:r>
    </w:p>
  </w:footnote>
  <w:footnote w:id="184">
    <w:p w14:paraId="515E93B9" w14:textId="77777777" w:rsidR="0043479F" w:rsidRPr="007359D8" w:rsidRDefault="0043479F" w:rsidP="002A265E">
      <w:pPr>
        <w:pStyle w:val="FootnoteText"/>
      </w:pPr>
      <w:r w:rsidRPr="007359D8">
        <w:rPr>
          <w:rStyle w:val="FootnoteReference"/>
          <w:szCs w:val="20"/>
        </w:rPr>
        <w:sym w:font="Symbol" w:char="F02A"/>
      </w:r>
      <w:r w:rsidRPr="007359D8">
        <w:rPr>
          <w:rStyle w:val="FootnoteReference"/>
          <w:szCs w:val="20"/>
        </w:rPr>
        <w:sym w:font="Symbol" w:char="F02A"/>
      </w:r>
      <w:r w:rsidRPr="007359D8">
        <w:rPr>
          <w:szCs w:val="20"/>
        </w:rPr>
        <w:t xml:space="preserve"> No data available on the database.</w:t>
      </w:r>
    </w:p>
  </w:footnote>
  <w:footnote w:id="185">
    <w:p w14:paraId="02D1ADD9" w14:textId="77777777" w:rsidR="0043479F" w:rsidRPr="00685595" w:rsidRDefault="0043479F" w:rsidP="00060AA9">
      <w:pPr>
        <w:pStyle w:val="FootnoteText"/>
        <w:rPr>
          <w:szCs w:val="20"/>
        </w:rPr>
      </w:pPr>
      <w:r w:rsidRPr="00685595">
        <w:rPr>
          <w:rStyle w:val="FootnoteReference"/>
          <w:szCs w:val="20"/>
        </w:rPr>
        <w:sym w:font="Symbol" w:char="F02A"/>
      </w:r>
      <w:r w:rsidRPr="00685595">
        <w:rPr>
          <w:szCs w:val="20"/>
        </w:rPr>
        <w:t xml:space="preserve"> Israel is not a Member State of the Council of Europe but has the observer status to the Parliamentary Assembly and </w:t>
      </w:r>
      <w:r>
        <w:rPr>
          <w:szCs w:val="20"/>
        </w:rPr>
        <w:t xml:space="preserve">is </w:t>
      </w:r>
      <w:r w:rsidRPr="00685595">
        <w:rPr>
          <w:szCs w:val="20"/>
        </w:rPr>
        <w:t xml:space="preserve">a party to several </w:t>
      </w:r>
      <w:proofErr w:type="spellStart"/>
      <w:r w:rsidRPr="00685595">
        <w:rPr>
          <w:szCs w:val="20"/>
        </w:rPr>
        <w:t>CoE</w:t>
      </w:r>
      <w:proofErr w:type="spellEnd"/>
      <w:r w:rsidRPr="00685595">
        <w:rPr>
          <w:szCs w:val="20"/>
        </w:rPr>
        <w:t xml:space="preserve"> conventions, none of which are relevant to this study. See: </w:t>
      </w:r>
      <w:hyperlink r:id="rId67" w:history="1">
        <w:r w:rsidRPr="00685595">
          <w:rPr>
            <w:rStyle w:val="Hyperlink"/>
            <w:szCs w:val="20"/>
          </w:rPr>
          <w:t>https://www.coe.int/en/web/conventions/search-on-states/-/conventions/treaty/country/ISR</w:t>
        </w:r>
      </w:hyperlink>
      <w:r w:rsidRPr="00685595">
        <w:rPr>
          <w:szCs w:val="20"/>
        </w:rPr>
        <w:t xml:space="preserve">. </w:t>
      </w:r>
    </w:p>
  </w:footnote>
  <w:footnote w:id="186">
    <w:p w14:paraId="41071EF2" w14:textId="77777777" w:rsidR="0043479F" w:rsidRPr="00EE4350" w:rsidRDefault="0043479F" w:rsidP="00060AA9">
      <w:pPr>
        <w:pStyle w:val="FootnoteText"/>
      </w:pPr>
      <w:r w:rsidRPr="00685595">
        <w:rPr>
          <w:rStyle w:val="FootnoteReference"/>
          <w:szCs w:val="20"/>
        </w:rPr>
        <w:sym w:font="Symbol" w:char="F02A"/>
      </w:r>
      <w:r w:rsidRPr="00685595">
        <w:rPr>
          <w:rStyle w:val="FootnoteReference"/>
          <w:szCs w:val="20"/>
        </w:rPr>
        <w:sym w:font="Symbol" w:char="F02A"/>
      </w:r>
      <w:r w:rsidRPr="00685595">
        <w:rPr>
          <w:szCs w:val="20"/>
        </w:rPr>
        <w:t xml:space="preserve"> Israel is not one of the 47 participating States but a partner for co-operation and as such is welcome to participate in the OSCE yearly human dimension meetings.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187"/>
      <w:gridCol w:w="5877"/>
    </w:tblGrid>
    <w:tr w:rsidR="0043479F" w:rsidRPr="00EE49E7" w14:paraId="3B98DD34" w14:textId="77777777" w:rsidTr="00786EA2">
      <w:trPr>
        <w:trHeight w:val="2417"/>
      </w:trPr>
      <w:tc>
        <w:tcPr>
          <w:tcW w:w="4219" w:type="dxa"/>
          <w:shd w:val="clear" w:color="auto" w:fill="auto"/>
        </w:tcPr>
        <w:p w14:paraId="06A3BA73" w14:textId="77777777" w:rsidR="0043479F" w:rsidRPr="00E75F90" w:rsidRDefault="0043479F" w:rsidP="00786EA2">
          <w:pPr>
            <w:pStyle w:val="Header"/>
            <w:tabs>
              <w:tab w:val="clear" w:pos="9072"/>
            </w:tabs>
            <w:ind w:right="-108"/>
            <w:rPr>
              <w:lang w:bidi="x-none"/>
            </w:rPr>
          </w:pPr>
          <w:r>
            <w:rPr>
              <w:noProof/>
              <w:lang w:val="en-GB" w:eastAsia="en-GB"/>
            </w:rPr>
            <w:drawing>
              <wp:inline distT="0" distB="0" distL="0" distR="0" wp14:anchorId="70DF6A34" wp14:editId="45FA400E">
                <wp:extent cx="1797685" cy="1219200"/>
                <wp:effectExtent l="0" t="0" r="5715" b="0"/>
                <wp:docPr id="5" name="Image 5" descr="Description : LOGO_PantheonAssas_Noi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PantheonAssas_Noir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1219200"/>
                        </a:xfrm>
                        <a:prstGeom prst="rect">
                          <a:avLst/>
                        </a:prstGeom>
                        <a:noFill/>
                        <a:ln>
                          <a:noFill/>
                        </a:ln>
                      </pic:spPr>
                    </pic:pic>
                  </a:graphicData>
                </a:graphic>
              </wp:inline>
            </w:drawing>
          </w:r>
          <w:r>
            <w:rPr>
              <w:lang w:bidi="x-none"/>
            </w:rPr>
            <w:t xml:space="preserve"> </w:t>
          </w:r>
        </w:p>
      </w:tc>
      <w:tc>
        <w:tcPr>
          <w:tcW w:w="5325" w:type="dxa"/>
          <w:shd w:val="clear" w:color="auto" w:fill="auto"/>
        </w:tcPr>
        <w:p w14:paraId="52347AE2" w14:textId="77777777" w:rsidR="0043479F" w:rsidRDefault="0043479F" w:rsidP="00786EA2">
          <w:pPr>
            <w:pStyle w:val="Header"/>
            <w:tabs>
              <w:tab w:val="clear" w:pos="4536"/>
              <w:tab w:val="center" w:pos="2268"/>
            </w:tabs>
            <w:ind w:right="1292"/>
            <w:rPr>
              <w:lang w:bidi="x-none"/>
            </w:rPr>
          </w:pPr>
        </w:p>
        <w:p w14:paraId="425B1747" w14:textId="77777777" w:rsidR="0043479F" w:rsidRPr="00E31122" w:rsidRDefault="0043479F" w:rsidP="00786EA2">
          <w:pPr>
            <w:pStyle w:val="Header"/>
            <w:tabs>
              <w:tab w:val="clear" w:pos="4536"/>
              <w:tab w:val="center" w:pos="2268"/>
            </w:tabs>
            <w:ind w:left="2306" w:right="1292"/>
            <w:jc w:val="center"/>
            <w:rPr>
              <w:lang w:bidi="x-none"/>
            </w:rPr>
          </w:pPr>
          <w:r>
            <w:rPr>
              <w:noProof/>
              <w:lang w:val="en-GB" w:eastAsia="en-GB"/>
            </w:rPr>
            <w:drawing>
              <wp:inline distT="0" distB="0" distL="0" distR="0" wp14:anchorId="2C7839F8" wp14:editId="1B54B39E">
                <wp:extent cx="1343660" cy="876935"/>
                <wp:effectExtent l="0" t="0" r="2540" b="12065"/>
                <wp:docPr id="6" name="Image 6" descr="Description : crdh_3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rdh_32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876935"/>
                        </a:xfrm>
                        <a:prstGeom prst="rect">
                          <a:avLst/>
                        </a:prstGeom>
                        <a:noFill/>
                        <a:ln>
                          <a:noFill/>
                        </a:ln>
                      </pic:spPr>
                    </pic:pic>
                  </a:graphicData>
                </a:graphic>
              </wp:inline>
            </w:drawing>
          </w:r>
        </w:p>
      </w:tc>
    </w:tr>
  </w:tbl>
  <w:p w14:paraId="726AE8A2" w14:textId="77777777" w:rsidR="0043479F" w:rsidRDefault="00434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A4824"/>
    <w:multiLevelType w:val="hybridMultilevel"/>
    <w:tmpl w:val="18C2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7039"/>
    <w:multiLevelType w:val="hybridMultilevel"/>
    <w:tmpl w:val="F51A98F6"/>
    <w:lvl w:ilvl="0" w:tplc="E97A9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31B6B"/>
    <w:multiLevelType w:val="hybridMultilevel"/>
    <w:tmpl w:val="7BB074C8"/>
    <w:lvl w:ilvl="0" w:tplc="9C0858FE">
      <w:start w:val="5"/>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574D3"/>
    <w:multiLevelType w:val="hybridMultilevel"/>
    <w:tmpl w:val="26B43122"/>
    <w:lvl w:ilvl="0" w:tplc="907A3F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963C5"/>
    <w:multiLevelType w:val="hybridMultilevel"/>
    <w:tmpl w:val="1B0C1236"/>
    <w:lvl w:ilvl="0" w:tplc="76D2D9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6795A"/>
    <w:multiLevelType w:val="hybridMultilevel"/>
    <w:tmpl w:val="06740A82"/>
    <w:lvl w:ilvl="0" w:tplc="00006B40">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047EC"/>
    <w:multiLevelType w:val="hybridMultilevel"/>
    <w:tmpl w:val="8EBE9EDA"/>
    <w:lvl w:ilvl="0" w:tplc="6EC0494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23747"/>
    <w:multiLevelType w:val="hybridMultilevel"/>
    <w:tmpl w:val="3A6C9DF6"/>
    <w:lvl w:ilvl="0" w:tplc="CE9A9A18">
      <w:numFmt w:val="bullet"/>
      <w:lvlText w:val="-"/>
      <w:lvlJc w:val="left"/>
      <w:pPr>
        <w:ind w:left="720" w:hanging="360"/>
      </w:pPr>
      <w:rPr>
        <w:rFonts w:ascii="Calibri" w:eastAsiaTheme="minorHAnsi" w:hAnsi="Calibri"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952BC"/>
    <w:multiLevelType w:val="hybridMultilevel"/>
    <w:tmpl w:val="C8C83EC8"/>
    <w:lvl w:ilvl="0" w:tplc="064609E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9AB6356"/>
    <w:multiLevelType w:val="multilevel"/>
    <w:tmpl w:val="3250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3A0259"/>
    <w:multiLevelType w:val="hybridMultilevel"/>
    <w:tmpl w:val="54407B92"/>
    <w:lvl w:ilvl="0" w:tplc="26062134">
      <w:start w:val="1"/>
      <w:numFmt w:val="decimal"/>
      <w:lvlText w:val="%1."/>
      <w:lvlJc w:val="left"/>
      <w:pPr>
        <w:ind w:left="1154" w:hanging="36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2">
    <w:nsid w:val="597B7A71"/>
    <w:multiLevelType w:val="hybridMultilevel"/>
    <w:tmpl w:val="60C8313C"/>
    <w:lvl w:ilvl="0" w:tplc="DE865708">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06AB9"/>
    <w:multiLevelType w:val="hybridMultilevel"/>
    <w:tmpl w:val="7E7E284A"/>
    <w:lvl w:ilvl="0" w:tplc="FE8CD33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4">
    <w:nsid w:val="6A434A63"/>
    <w:multiLevelType w:val="hybridMultilevel"/>
    <w:tmpl w:val="2B56CB3A"/>
    <w:lvl w:ilvl="0" w:tplc="F860F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E2285"/>
    <w:multiLevelType w:val="hybridMultilevel"/>
    <w:tmpl w:val="9730870E"/>
    <w:lvl w:ilvl="0" w:tplc="E25A3D42">
      <w:start w:val="1"/>
      <w:numFmt w:val="decimal"/>
      <w:lvlText w:val="%1."/>
      <w:lvlJc w:val="left"/>
      <w:pPr>
        <w:ind w:left="1154" w:hanging="36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6">
    <w:nsid w:val="71A04FE9"/>
    <w:multiLevelType w:val="hybridMultilevel"/>
    <w:tmpl w:val="888E51A8"/>
    <w:lvl w:ilvl="0" w:tplc="B33A272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796705"/>
    <w:multiLevelType w:val="hybridMultilevel"/>
    <w:tmpl w:val="B082EB94"/>
    <w:lvl w:ilvl="0" w:tplc="CB26F320">
      <w:start w:val="5"/>
      <w:numFmt w:val="bullet"/>
      <w:lvlText w:val="-"/>
      <w:lvlJc w:val="left"/>
      <w:pPr>
        <w:ind w:left="720" w:hanging="360"/>
      </w:pPr>
      <w:rPr>
        <w:rFonts w:ascii="Calibri" w:eastAsia="Times New Roman" w:hAnsi="Calibri" w:cs="Times New Roman"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33989"/>
    <w:multiLevelType w:val="hybridMultilevel"/>
    <w:tmpl w:val="009CB938"/>
    <w:lvl w:ilvl="0" w:tplc="121863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512423"/>
    <w:multiLevelType w:val="multilevel"/>
    <w:tmpl w:val="3F3C44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5"/>
  </w:num>
  <w:num w:numId="5">
    <w:abstractNumId w:val="19"/>
  </w:num>
  <w:num w:numId="6">
    <w:abstractNumId w:val="10"/>
  </w:num>
  <w:num w:numId="7">
    <w:abstractNumId w:val="6"/>
  </w:num>
  <w:num w:numId="8">
    <w:abstractNumId w:val="17"/>
  </w:num>
  <w:num w:numId="9">
    <w:abstractNumId w:val="3"/>
  </w:num>
  <w:num w:numId="10">
    <w:abstractNumId w:val="16"/>
  </w:num>
  <w:num w:numId="11">
    <w:abstractNumId w:val="7"/>
  </w:num>
  <w:num w:numId="12">
    <w:abstractNumId w:val="4"/>
  </w:num>
  <w:num w:numId="13">
    <w:abstractNumId w:val="1"/>
  </w:num>
  <w:num w:numId="14">
    <w:abstractNumId w:val="12"/>
  </w:num>
  <w:num w:numId="15">
    <w:abstractNumId w:val="14"/>
  </w:num>
  <w:num w:numId="16">
    <w:abstractNumId w:val="18"/>
  </w:num>
  <w:num w:numId="17">
    <w:abstractNumId w:val="9"/>
  </w:num>
  <w:num w:numId="18">
    <w:abstractNumId w:val="1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B4"/>
    <w:rsid w:val="00000109"/>
    <w:rsid w:val="00002CDE"/>
    <w:rsid w:val="00004356"/>
    <w:rsid w:val="00004DE2"/>
    <w:rsid w:val="00005DA3"/>
    <w:rsid w:val="000069F5"/>
    <w:rsid w:val="00006A86"/>
    <w:rsid w:val="00006ED2"/>
    <w:rsid w:val="00006FE6"/>
    <w:rsid w:val="00013B3B"/>
    <w:rsid w:val="00015E7A"/>
    <w:rsid w:val="0001676C"/>
    <w:rsid w:val="00016B90"/>
    <w:rsid w:val="00016F2D"/>
    <w:rsid w:val="00021EE7"/>
    <w:rsid w:val="00022561"/>
    <w:rsid w:val="00022B81"/>
    <w:rsid w:val="000254AB"/>
    <w:rsid w:val="00026153"/>
    <w:rsid w:val="00026248"/>
    <w:rsid w:val="0002645D"/>
    <w:rsid w:val="00026C5A"/>
    <w:rsid w:val="00026F53"/>
    <w:rsid w:val="00027F47"/>
    <w:rsid w:val="000309AB"/>
    <w:rsid w:val="00032428"/>
    <w:rsid w:val="000332FA"/>
    <w:rsid w:val="0003522B"/>
    <w:rsid w:val="00035275"/>
    <w:rsid w:val="000362A6"/>
    <w:rsid w:val="00037B82"/>
    <w:rsid w:val="000403A0"/>
    <w:rsid w:val="00041032"/>
    <w:rsid w:val="0004105A"/>
    <w:rsid w:val="00041193"/>
    <w:rsid w:val="0004154E"/>
    <w:rsid w:val="00041E4E"/>
    <w:rsid w:val="00042880"/>
    <w:rsid w:val="00042A8C"/>
    <w:rsid w:val="00042D64"/>
    <w:rsid w:val="000440F5"/>
    <w:rsid w:val="00044D36"/>
    <w:rsid w:val="000456FD"/>
    <w:rsid w:val="0004570E"/>
    <w:rsid w:val="00046142"/>
    <w:rsid w:val="000466CE"/>
    <w:rsid w:val="00046A63"/>
    <w:rsid w:val="00047005"/>
    <w:rsid w:val="00047CD8"/>
    <w:rsid w:val="00047EBA"/>
    <w:rsid w:val="00047FE6"/>
    <w:rsid w:val="000503D4"/>
    <w:rsid w:val="00050D5B"/>
    <w:rsid w:val="00051289"/>
    <w:rsid w:val="00052B00"/>
    <w:rsid w:val="00053A3E"/>
    <w:rsid w:val="00053C91"/>
    <w:rsid w:val="00054674"/>
    <w:rsid w:val="00054A4C"/>
    <w:rsid w:val="00056782"/>
    <w:rsid w:val="00056A4A"/>
    <w:rsid w:val="00056F78"/>
    <w:rsid w:val="000578AE"/>
    <w:rsid w:val="00060AA9"/>
    <w:rsid w:val="0006146B"/>
    <w:rsid w:val="00061FB6"/>
    <w:rsid w:val="00064E64"/>
    <w:rsid w:val="00067BA3"/>
    <w:rsid w:val="000728BF"/>
    <w:rsid w:val="00072F4E"/>
    <w:rsid w:val="00072FED"/>
    <w:rsid w:val="00073449"/>
    <w:rsid w:val="00073A73"/>
    <w:rsid w:val="00073D72"/>
    <w:rsid w:val="0007429F"/>
    <w:rsid w:val="00076E46"/>
    <w:rsid w:val="000774AD"/>
    <w:rsid w:val="00080701"/>
    <w:rsid w:val="00080BEB"/>
    <w:rsid w:val="00081524"/>
    <w:rsid w:val="00081E81"/>
    <w:rsid w:val="00082873"/>
    <w:rsid w:val="00082CB5"/>
    <w:rsid w:val="0008432C"/>
    <w:rsid w:val="000862BC"/>
    <w:rsid w:val="00086C1F"/>
    <w:rsid w:val="00086D3C"/>
    <w:rsid w:val="00087A69"/>
    <w:rsid w:val="00087A85"/>
    <w:rsid w:val="000902E0"/>
    <w:rsid w:val="00090305"/>
    <w:rsid w:val="00090510"/>
    <w:rsid w:val="000937CD"/>
    <w:rsid w:val="00093F76"/>
    <w:rsid w:val="000941E3"/>
    <w:rsid w:val="00095A7F"/>
    <w:rsid w:val="0009661E"/>
    <w:rsid w:val="00096A6D"/>
    <w:rsid w:val="00097AAB"/>
    <w:rsid w:val="000A01AF"/>
    <w:rsid w:val="000A217A"/>
    <w:rsid w:val="000A349E"/>
    <w:rsid w:val="000A5011"/>
    <w:rsid w:val="000A509E"/>
    <w:rsid w:val="000A5F4F"/>
    <w:rsid w:val="000A5F92"/>
    <w:rsid w:val="000A6CC0"/>
    <w:rsid w:val="000A77F4"/>
    <w:rsid w:val="000A7807"/>
    <w:rsid w:val="000A7D8F"/>
    <w:rsid w:val="000B1175"/>
    <w:rsid w:val="000B11CA"/>
    <w:rsid w:val="000B1CB0"/>
    <w:rsid w:val="000B1EBA"/>
    <w:rsid w:val="000B2D5B"/>
    <w:rsid w:val="000B31C7"/>
    <w:rsid w:val="000B359C"/>
    <w:rsid w:val="000B36E3"/>
    <w:rsid w:val="000B38B5"/>
    <w:rsid w:val="000B4415"/>
    <w:rsid w:val="000B4BAC"/>
    <w:rsid w:val="000B5F60"/>
    <w:rsid w:val="000B633A"/>
    <w:rsid w:val="000C04DB"/>
    <w:rsid w:val="000C1055"/>
    <w:rsid w:val="000C1981"/>
    <w:rsid w:val="000C2255"/>
    <w:rsid w:val="000C28D3"/>
    <w:rsid w:val="000C28EF"/>
    <w:rsid w:val="000C3428"/>
    <w:rsid w:val="000C39D9"/>
    <w:rsid w:val="000C41F1"/>
    <w:rsid w:val="000C5550"/>
    <w:rsid w:val="000C5A4B"/>
    <w:rsid w:val="000C652E"/>
    <w:rsid w:val="000D08CA"/>
    <w:rsid w:val="000D1030"/>
    <w:rsid w:val="000D1EA3"/>
    <w:rsid w:val="000D1F52"/>
    <w:rsid w:val="000D23DE"/>
    <w:rsid w:val="000D3683"/>
    <w:rsid w:val="000D40E7"/>
    <w:rsid w:val="000D45A5"/>
    <w:rsid w:val="000D5C16"/>
    <w:rsid w:val="000D6593"/>
    <w:rsid w:val="000D6A55"/>
    <w:rsid w:val="000D750A"/>
    <w:rsid w:val="000D7721"/>
    <w:rsid w:val="000E042A"/>
    <w:rsid w:val="000E1185"/>
    <w:rsid w:val="000E124C"/>
    <w:rsid w:val="000E13E9"/>
    <w:rsid w:val="000E1A18"/>
    <w:rsid w:val="000E203B"/>
    <w:rsid w:val="000E34CE"/>
    <w:rsid w:val="000E3A2A"/>
    <w:rsid w:val="000E3B9C"/>
    <w:rsid w:val="000E6BC6"/>
    <w:rsid w:val="000E758B"/>
    <w:rsid w:val="000E7648"/>
    <w:rsid w:val="000E7F41"/>
    <w:rsid w:val="000F2CC3"/>
    <w:rsid w:val="000F2D0B"/>
    <w:rsid w:val="000F3A44"/>
    <w:rsid w:val="000F4EA4"/>
    <w:rsid w:val="000F53BC"/>
    <w:rsid w:val="000F568D"/>
    <w:rsid w:val="000F5D39"/>
    <w:rsid w:val="000F7365"/>
    <w:rsid w:val="00100097"/>
    <w:rsid w:val="001003C2"/>
    <w:rsid w:val="00100AD9"/>
    <w:rsid w:val="00101E34"/>
    <w:rsid w:val="00102149"/>
    <w:rsid w:val="001042DA"/>
    <w:rsid w:val="001062CD"/>
    <w:rsid w:val="001069D9"/>
    <w:rsid w:val="001075EE"/>
    <w:rsid w:val="00110676"/>
    <w:rsid w:val="001107BF"/>
    <w:rsid w:val="00110FEB"/>
    <w:rsid w:val="0011137E"/>
    <w:rsid w:val="00113339"/>
    <w:rsid w:val="00113D2D"/>
    <w:rsid w:val="00113D86"/>
    <w:rsid w:val="00114208"/>
    <w:rsid w:val="00114F5F"/>
    <w:rsid w:val="001153D5"/>
    <w:rsid w:val="0011697A"/>
    <w:rsid w:val="00116EF8"/>
    <w:rsid w:val="00117A05"/>
    <w:rsid w:val="00120257"/>
    <w:rsid w:val="00120E8B"/>
    <w:rsid w:val="00121639"/>
    <w:rsid w:val="00122C31"/>
    <w:rsid w:val="0012399F"/>
    <w:rsid w:val="00123B9C"/>
    <w:rsid w:val="001245B0"/>
    <w:rsid w:val="001253EE"/>
    <w:rsid w:val="00126152"/>
    <w:rsid w:val="00127C5B"/>
    <w:rsid w:val="001300C0"/>
    <w:rsid w:val="00131E7B"/>
    <w:rsid w:val="001327DE"/>
    <w:rsid w:val="0013284D"/>
    <w:rsid w:val="0013300A"/>
    <w:rsid w:val="00133AE5"/>
    <w:rsid w:val="00134055"/>
    <w:rsid w:val="001341A4"/>
    <w:rsid w:val="001341BB"/>
    <w:rsid w:val="00135136"/>
    <w:rsid w:val="0013576B"/>
    <w:rsid w:val="0013576E"/>
    <w:rsid w:val="00135F03"/>
    <w:rsid w:val="00136FAA"/>
    <w:rsid w:val="00137CB9"/>
    <w:rsid w:val="00140EC8"/>
    <w:rsid w:val="00142900"/>
    <w:rsid w:val="00142EBB"/>
    <w:rsid w:val="00144AFB"/>
    <w:rsid w:val="00144CDD"/>
    <w:rsid w:val="00146AD1"/>
    <w:rsid w:val="0014748C"/>
    <w:rsid w:val="00147D19"/>
    <w:rsid w:val="00151EBD"/>
    <w:rsid w:val="00152054"/>
    <w:rsid w:val="001537A1"/>
    <w:rsid w:val="00154274"/>
    <w:rsid w:val="00156616"/>
    <w:rsid w:val="001575F1"/>
    <w:rsid w:val="001578D9"/>
    <w:rsid w:val="00157CBD"/>
    <w:rsid w:val="00157E6A"/>
    <w:rsid w:val="00161DF8"/>
    <w:rsid w:val="0016361E"/>
    <w:rsid w:val="00163D7A"/>
    <w:rsid w:val="00163EBB"/>
    <w:rsid w:val="001644E7"/>
    <w:rsid w:val="00165A06"/>
    <w:rsid w:val="00165E69"/>
    <w:rsid w:val="001666F9"/>
    <w:rsid w:val="001672FD"/>
    <w:rsid w:val="00167F54"/>
    <w:rsid w:val="001701A0"/>
    <w:rsid w:val="0017031F"/>
    <w:rsid w:val="00171499"/>
    <w:rsid w:val="00171797"/>
    <w:rsid w:val="00172027"/>
    <w:rsid w:val="001735BC"/>
    <w:rsid w:val="00174301"/>
    <w:rsid w:val="00174E82"/>
    <w:rsid w:val="00174F40"/>
    <w:rsid w:val="00175B0B"/>
    <w:rsid w:val="00177F02"/>
    <w:rsid w:val="00180D75"/>
    <w:rsid w:val="00180D7D"/>
    <w:rsid w:val="00180DBF"/>
    <w:rsid w:val="00181DEC"/>
    <w:rsid w:val="00182A99"/>
    <w:rsid w:val="00182AD2"/>
    <w:rsid w:val="00182CE9"/>
    <w:rsid w:val="00182FFA"/>
    <w:rsid w:val="00184CAB"/>
    <w:rsid w:val="00186FA7"/>
    <w:rsid w:val="00187647"/>
    <w:rsid w:val="00192567"/>
    <w:rsid w:val="00192955"/>
    <w:rsid w:val="001930EA"/>
    <w:rsid w:val="001943E2"/>
    <w:rsid w:val="001A0C4F"/>
    <w:rsid w:val="001A161D"/>
    <w:rsid w:val="001A1C62"/>
    <w:rsid w:val="001A340E"/>
    <w:rsid w:val="001A3E3F"/>
    <w:rsid w:val="001A404D"/>
    <w:rsid w:val="001A55DD"/>
    <w:rsid w:val="001A597A"/>
    <w:rsid w:val="001A6197"/>
    <w:rsid w:val="001A73EC"/>
    <w:rsid w:val="001B0F3C"/>
    <w:rsid w:val="001B179E"/>
    <w:rsid w:val="001B1C32"/>
    <w:rsid w:val="001B1FD6"/>
    <w:rsid w:val="001B2C26"/>
    <w:rsid w:val="001B3F13"/>
    <w:rsid w:val="001B5CA1"/>
    <w:rsid w:val="001B64E5"/>
    <w:rsid w:val="001C1CAC"/>
    <w:rsid w:val="001C205C"/>
    <w:rsid w:val="001C21FB"/>
    <w:rsid w:val="001C2D6D"/>
    <w:rsid w:val="001C33DB"/>
    <w:rsid w:val="001C3643"/>
    <w:rsid w:val="001C3C0B"/>
    <w:rsid w:val="001C44D2"/>
    <w:rsid w:val="001C4C7C"/>
    <w:rsid w:val="001C5AF8"/>
    <w:rsid w:val="001C72B5"/>
    <w:rsid w:val="001D0128"/>
    <w:rsid w:val="001D0371"/>
    <w:rsid w:val="001D162B"/>
    <w:rsid w:val="001D1886"/>
    <w:rsid w:val="001D1CD4"/>
    <w:rsid w:val="001D1E49"/>
    <w:rsid w:val="001D4A59"/>
    <w:rsid w:val="001D597B"/>
    <w:rsid w:val="001D6BFB"/>
    <w:rsid w:val="001D7027"/>
    <w:rsid w:val="001D7297"/>
    <w:rsid w:val="001D7809"/>
    <w:rsid w:val="001E032A"/>
    <w:rsid w:val="001E076F"/>
    <w:rsid w:val="001E1003"/>
    <w:rsid w:val="001E1884"/>
    <w:rsid w:val="001E24CF"/>
    <w:rsid w:val="001E2739"/>
    <w:rsid w:val="001E31D7"/>
    <w:rsid w:val="001E49F9"/>
    <w:rsid w:val="001E6C94"/>
    <w:rsid w:val="001E6E2E"/>
    <w:rsid w:val="001E727B"/>
    <w:rsid w:val="001E7FA1"/>
    <w:rsid w:val="001F0914"/>
    <w:rsid w:val="001F0969"/>
    <w:rsid w:val="001F1AE5"/>
    <w:rsid w:val="001F21D1"/>
    <w:rsid w:val="001F403A"/>
    <w:rsid w:val="001F5492"/>
    <w:rsid w:val="001F5E9C"/>
    <w:rsid w:val="001F794C"/>
    <w:rsid w:val="001F7A09"/>
    <w:rsid w:val="001F7A7F"/>
    <w:rsid w:val="002007DE"/>
    <w:rsid w:val="00202E46"/>
    <w:rsid w:val="00202F99"/>
    <w:rsid w:val="00203001"/>
    <w:rsid w:val="002032B1"/>
    <w:rsid w:val="00203BC9"/>
    <w:rsid w:val="00203FB8"/>
    <w:rsid w:val="00204AD2"/>
    <w:rsid w:val="00204CE3"/>
    <w:rsid w:val="00204FA3"/>
    <w:rsid w:val="00205193"/>
    <w:rsid w:val="002053D4"/>
    <w:rsid w:val="002060AF"/>
    <w:rsid w:val="0020738C"/>
    <w:rsid w:val="00207D34"/>
    <w:rsid w:val="00207FF0"/>
    <w:rsid w:val="00210F28"/>
    <w:rsid w:val="002133F0"/>
    <w:rsid w:val="0021420C"/>
    <w:rsid w:val="002147B8"/>
    <w:rsid w:val="002158C1"/>
    <w:rsid w:val="00215F93"/>
    <w:rsid w:val="00216235"/>
    <w:rsid w:val="0021630C"/>
    <w:rsid w:val="0021750B"/>
    <w:rsid w:val="00217639"/>
    <w:rsid w:val="00217B53"/>
    <w:rsid w:val="00217FEC"/>
    <w:rsid w:val="00220600"/>
    <w:rsid w:val="00221546"/>
    <w:rsid w:val="002218D1"/>
    <w:rsid w:val="002222AE"/>
    <w:rsid w:val="00223664"/>
    <w:rsid w:val="00223F1E"/>
    <w:rsid w:val="00224FF7"/>
    <w:rsid w:val="002259CA"/>
    <w:rsid w:val="00230919"/>
    <w:rsid w:val="00236221"/>
    <w:rsid w:val="00237E02"/>
    <w:rsid w:val="002402AD"/>
    <w:rsid w:val="00241DAB"/>
    <w:rsid w:val="00243040"/>
    <w:rsid w:val="002433F0"/>
    <w:rsid w:val="002434AE"/>
    <w:rsid w:val="002443B9"/>
    <w:rsid w:val="00244C70"/>
    <w:rsid w:val="002458D4"/>
    <w:rsid w:val="0025020E"/>
    <w:rsid w:val="00252FB4"/>
    <w:rsid w:val="00253465"/>
    <w:rsid w:val="002535A0"/>
    <w:rsid w:val="00254FAC"/>
    <w:rsid w:val="00256B43"/>
    <w:rsid w:val="00257236"/>
    <w:rsid w:val="00257702"/>
    <w:rsid w:val="00257E69"/>
    <w:rsid w:val="00260C00"/>
    <w:rsid w:val="0026221A"/>
    <w:rsid w:val="00262B0D"/>
    <w:rsid w:val="00262BA4"/>
    <w:rsid w:val="0026484D"/>
    <w:rsid w:val="00265DD9"/>
    <w:rsid w:val="0026716F"/>
    <w:rsid w:val="002673F3"/>
    <w:rsid w:val="0026766F"/>
    <w:rsid w:val="00267E9C"/>
    <w:rsid w:val="00270B4F"/>
    <w:rsid w:val="002710DC"/>
    <w:rsid w:val="002717D5"/>
    <w:rsid w:val="00271C74"/>
    <w:rsid w:val="002720EF"/>
    <w:rsid w:val="0027266F"/>
    <w:rsid w:val="00272B13"/>
    <w:rsid w:val="00274045"/>
    <w:rsid w:val="0027466D"/>
    <w:rsid w:val="0027600D"/>
    <w:rsid w:val="0027677C"/>
    <w:rsid w:val="0027680D"/>
    <w:rsid w:val="00280994"/>
    <w:rsid w:val="00281928"/>
    <w:rsid w:val="00281DCE"/>
    <w:rsid w:val="00281DD4"/>
    <w:rsid w:val="00282431"/>
    <w:rsid w:val="00282F61"/>
    <w:rsid w:val="002832F7"/>
    <w:rsid w:val="0028374C"/>
    <w:rsid w:val="0028396B"/>
    <w:rsid w:val="00284075"/>
    <w:rsid w:val="00284BB9"/>
    <w:rsid w:val="00284D51"/>
    <w:rsid w:val="00284E0F"/>
    <w:rsid w:val="002862D3"/>
    <w:rsid w:val="00286550"/>
    <w:rsid w:val="00290138"/>
    <w:rsid w:val="002910EA"/>
    <w:rsid w:val="002912C8"/>
    <w:rsid w:val="00291AEB"/>
    <w:rsid w:val="00292860"/>
    <w:rsid w:val="0029365B"/>
    <w:rsid w:val="00295C5D"/>
    <w:rsid w:val="00296522"/>
    <w:rsid w:val="00297110"/>
    <w:rsid w:val="00297128"/>
    <w:rsid w:val="002A0073"/>
    <w:rsid w:val="002A1A52"/>
    <w:rsid w:val="002A1EB1"/>
    <w:rsid w:val="002A24EE"/>
    <w:rsid w:val="002A265E"/>
    <w:rsid w:val="002A2782"/>
    <w:rsid w:val="002A3353"/>
    <w:rsid w:val="002A410F"/>
    <w:rsid w:val="002A61D7"/>
    <w:rsid w:val="002A63CA"/>
    <w:rsid w:val="002A6A0A"/>
    <w:rsid w:val="002B0617"/>
    <w:rsid w:val="002B0B81"/>
    <w:rsid w:val="002B373E"/>
    <w:rsid w:val="002B379C"/>
    <w:rsid w:val="002B44F9"/>
    <w:rsid w:val="002C01A8"/>
    <w:rsid w:val="002C01F3"/>
    <w:rsid w:val="002C0507"/>
    <w:rsid w:val="002C075B"/>
    <w:rsid w:val="002C204A"/>
    <w:rsid w:val="002C30B1"/>
    <w:rsid w:val="002C60DC"/>
    <w:rsid w:val="002C6234"/>
    <w:rsid w:val="002C6C21"/>
    <w:rsid w:val="002C6DB8"/>
    <w:rsid w:val="002C7AF6"/>
    <w:rsid w:val="002C7E0A"/>
    <w:rsid w:val="002C7E25"/>
    <w:rsid w:val="002D0A62"/>
    <w:rsid w:val="002D17BF"/>
    <w:rsid w:val="002D1D84"/>
    <w:rsid w:val="002D21CF"/>
    <w:rsid w:val="002D2B57"/>
    <w:rsid w:val="002D3FEA"/>
    <w:rsid w:val="002D420A"/>
    <w:rsid w:val="002D506D"/>
    <w:rsid w:val="002D5BE7"/>
    <w:rsid w:val="002D605D"/>
    <w:rsid w:val="002D6B93"/>
    <w:rsid w:val="002D6E80"/>
    <w:rsid w:val="002D77D2"/>
    <w:rsid w:val="002D7A72"/>
    <w:rsid w:val="002E02F8"/>
    <w:rsid w:val="002E0DB4"/>
    <w:rsid w:val="002E1003"/>
    <w:rsid w:val="002E1448"/>
    <w:rsid w:val="002E1524"/>
    <w:rsid w:val="002E1A77"/>
    <w:rsid w:val="002E20AE"/>
    <w:rsid w:val="002E2234"/>
    <w:rsid w:val="002E25E3"/>
    <w:rsid w:val="002E61EB"/>
    <w:rsid w:val="002E66C6"/>
    <w:rsid w:val="002E68E7"/>
    <w:rsid w:val="002E6ABF"/>
    <w:rsid w:val="002E7303"/>
    <w:rsid w:val="002E76E2"/>
    <w:rsid w:val="002E7734"/>
    <w:rsid w:val="002F0322"/>
    <w:rsid w:val="002F08FC"/>
    <w:rsid w:val="002F0D66"/>
    <w:rsid w:val="002F1DF5"/>
    <w:rsid w:val="002F29DB"/>
    <w:rsid w:val="002F30BB"/>
    <w:rsid w:val="002F3517"/>
    <w:rsid w:val="002F5D35"/>
    <w:rsid w:val="002F5D5D"/>
    <w:rsid w:val="002F698A"/>
    <w:rsid w:val="002F7A26"/>
    <w:rsid w:val="002F7BD6"/>
    <w:rsid w:val="00300A94"/>
    <w:rsid w:val="00302465"/>
    <w:rsid w:val="0030372E"/>
    <w:rsid w:val="00303755"/>
    <w:rsid w:val="003046E2"/>
    <w:rsid w:val="00305135"/>
    <w:rsid w:val="00306839"/>
    <w:rsid w:val="0030758D"/>
    <w:rsid w:val="003112D1"/>
    <w:rsid w:val="003140D5"/>
    <w:rsid w:val="00314A40"/>
    <w:rsid w:val="00316DC6"/>
    <w:rsid w:val="00316F47"/>
    <w:rsid w:val="00317964"/>
    <w:rsid w:val="00317988"/>
    <w:rsid w:val="00320889"/>
    <w:rsid w:val="00320A77"/>
    <w:rsid w:val="00321458"/>
    <w:rsid w:val="00321599"/>
    <w:rsid w:val="00321C2E"/>
    <w:rsid w:val="00321EB1"/>
    <w:rsid w:val="0032207C"/>
    <w:rsid w:val="00322283"/>
    <w:rsid w:val="003234C8"/>
    <w:rsid w:val="00323E57"/>
    <w:rsid w:val="00324F9C"/>
    <w:rsid w:val="00325349"/>
    <w:rsid w:val="00325EF4"/>
    <w:rsid w:val="0032645A"/>
    <w:rsid w:val="00327EBF"/>
    <w:rsid w:val="0033130D"/>
    <w:rsid w:val="003321A8"/>
    <w:rsid w:val="003329CC"/>
    <w:rsid w:val="0033315C"/>
    <w:rsid w:val="003334E2"/>
    <w:rsid w:val="00334556"/>
    <w:rsid w:val="00334775"/>
    <w:rsid w:val="00336AC3"/>
    <w:rsid w:val="00340CF2"/>
    <w:rsid w:val="003412EB"/>
    <w:rsid w:val="00342838"/>
    <w:rsid w:val="003434E6"/>
    <w:rsid w:val="00343A7B"/>
    <w:rsid w:val="003442DE"/>
    <w:rsid w:val="0034499A"/>
    <w:rsid w:val="00344BF6"/>
    <w:rsid w:val="00344F1C"/>
    <w:rsid w:val="00346196"/>
    <w:rsid w:val="0034669C"/>
    <w:rsid w:val="00346ACD"/>
    <w:rsid w:val="003472E1"/>
    <w:rsid w:val="00347842"/>
    <w:rsid w:val="0035025C"/>
    <w:rsid w:val="0035058A"/>
    <w:rsid w:val="00350950"/>
    <w:rsid w:val="003518B3"/>
    <w:rsid w:val="00352F92"/>
    <w:rsid w:val="003535ED"/>
    <w:rsid w:val="0035388F"/>
    <w:rsid w:val="003538F5"/>
    <w:rsid w:val="003540EB"/>
    <w:rsid w:val="0035524E"/>
    <w:rsid w:val="00355B7B"/>
    <w:rsid w:val="00356631"/>
    <w:rsid w:val="0035704D"/>
    <w:rsid w:val="00357385"/>
    <w:rsid w:val="0035766B"/>
    <w:rsid w:val="00361C6D"/>
    <w:rsid w:val="003620A0"/>
    <w:rsid w:val="00363316"/>
    <w:rsid w:val="00363444"/>
    <w:rsid w:val="00363EFD"/>
    <w:rsid w:val="003660A0"/>
    <w:rsid w:val="003669B9"/>
    <w:rsid w:val="00367077"/>
    <w:rsid w:val="003708EC"/>
    <w:rsid w:val="00370C54"/>
    <w:rsid w:val="00371926"/>
    <w:rsid w:val="00372666"/>
    <w:rsid w:val="00372DE6"/>
    <w:rsid w:val="0037352E"/>
    <w:rsid w:val="00374BE5"/>
    <w:rsid w:val="00374E43"/>
    <w:rsid w:val="003764BF"/>
    <w:rsid w:val="0037664C"/>
    <w:rsid w:val="00377360"/>
    <w:rsid w:val="00377604"/>
    <w:rsid w:val="00381E6D"/>
    <w:rsid w:val="00382731"/>
    <w:rsid w:val="00382EF4"/>
    <w:rsid w:val="00383FCE"/>
    <w:rsid w:val="003842ED"/>
    <w:rsid w:val="0038490A"/>
    <w:rsid w:val="00384AFA"/>
    <w:rsid w:val="00385CCC"/>
    <w:rsid w:val="003860C6"/>
    <w:rsid w:val="0038671A"/>
    <w:rsid w:val="00386846"/>
    <w:rsid w:val="0038727F"/>
    <w:rsid w:val="00390358"/>
    <w:rsid w:val="003906A1"/>
    <w:rsid w:val="00391D48"/>
    <w:rsid w:val="00391D6C"/>
    <w:rsid w:val="00392ED0"/>
    <w:rsid w:val="00393016"/>
    <w:rsid w:val="00393A89"/>
    <w:rsid w:val="003948B3"/>
    <w:rsid w:val="00394E7F"/>
    <w:rsid w:val="00395761"/>
    <w:rsid w:val="003961EF"/>
    <w:rsid w:val="003961F6"/>
    <w:rsid w:val="00396455"/>
    <w:rsid w:val="003973A6"/>
    <w:rsid w:val="00397767"/>
    <w:rsid w:val="00397D27"/>
    <w:rsid w:val="003A171C"/>
    <w:rsid w:val="003A224A"/>
    <w:rsid w:val="003A3642"/>
    <w:rsid w:val="003A456B"/>
    <w:rsid w:val="003A4DE4"/>
    <w:rsid w:val="003A6095"/>
    <w:rsid w:val="003A615A"/>
    <w:rsid w:val="003A61B0"/>
    <w:rsid w:val="003A7981"/>
    <w:rsid w:val="003B1941"/>
    <w:rsid w:val="003B3758"/>
    <w:rsid w:val="003B3B7C"/>
    <w:rsid w:val="003B3DB2"/>
    <w:rsid w:val="003B3E29"/>
    <w:rsid w:val="003B6301"/>
    <w:rsid w:val="003B677E"/>
    <w:rsid w:val="003B78DB"/>
    <w:rsid w:val="003B7F2A"/>
    <w:rsid w:val="003C059E"/>
    <w:rsid w:val="003C20A8"/>
    <w:rsid w:val="003C3EAB"/>
    <w:rsid w:val="003C7648"/>
    <w:rsid w:val="003C7C7B"/>
    <w:rsid w:val="003D01B6"/>
    <w:rsid w:val="003D128F"/>
    <w:rsid w:val="003D135F"/>
    <w:rsid w:val="003D2178"/>
    <w:rsid w:val="003D2DE3"/>
    <w:rsid w:val="003D38F4"/>
    <w:rsid w:val="003D398C"/>
    <w:rsid w:val="003D3A5E"/>
    <w:rsid w:val="003D528C"/>
    <w:rsid w:val="003D5E48"/>
    <w:rsid w:val="003D651A"/>
    <w:rsid w:val="003D66DE"/>
    <w:rsid w:val="003D677C"/>
    <w:rsid w:val="003D6F00"/>
    <w:rsid w:val="003D73E5"/>
    <w:rsid w:val="003D7727"/>
    <w:rsid w:val="003E10C2"/>
    <w:rsid w:val="003E39F5"/>
    <w:rsid w:val="003E4469"/>
    <w:rsid w:val="003E5DE7"/>
    <w:rsid w:val="003E633E"/>
    <w:rsid w:val="003F0F8B"/>
    <w:rsid w:val="003F1CCE"/>
    <w:rsid w:val="003F24FE"/>
    <w:rsid w:val="003F6D36"/>
    <w:rsid w:val="003F78EC"/>
    <w:rsid w:val="003F7F30"/>
    <w:rsid w:val="004039A0"/>
    <w:rsid w:val="00403C0D"/>
    <w:rsid w:val="00404260"/>
    <w:rsid w:val="00405836"/>
    <w:rsid w:val="00405A4B"/>
    <w:rsid w:val="00405D10"/>
    <w:rsid w:val="00406981"/>
    <w:rsid w:val="004071C9"/>
    <w:rsid w:val="00407472"/>
    <w:rsid w:val="0041073C"/>
    <w:rsid w:val="00411840"/>
    <w:rsid w:val="004129BF"/>
    <w:rsid w:val="00413681"/>
    <w:rsid w:val="004141A2"/>
    <w:rsid w:val="004156F5"/>
    <w:rsid w:val="00416EFF"/>
    <w:rsid w:val="00417480"/>
    <w:rsid w:val="00417802"/>
    <w:rsid w:val="00420114"/>
    <w:rsid w:val="00420322"/>
    <w:rsid w:val="004212F8"/>
    <w:rsid w:val="004217C6"/>
    <w:rsid w:val="004237C7"/>
    <w:rsid w:val="0042404C"/>
    <w:rsid w:val="00424BFD"/>
    <w:rsid w:val="00424EAD"/>
    <w:rsid w:val="00426F99"/>
    <w:rsid w:val="004274B0"/>
    <w:rsid w:val="004275EA"/>
    <w:rsid w:val="00430BB6"/>
    <w:rsid w:val="00430EC8"/>
    <w:rsid w:val="00431A5D"/>
    <w:rsid w:val="00432862"/>
    <w:rsid w:val="00432972"/>
    <w:rsid w:val="004329C8"/>
    <w:rsid w:val="0043479F"/>
    <w:rsid w:val="004363BD"/>
    <w:rsid w:val="0043688B"/>
    <w:rsid w:val="004376F6"/>
    <w:rsid w:val="00440815"/>
    <w:rsid w:val="00440D2E"/>
    <w:rsid w:val="00442385"/>
    <w:rsid w:val="004429BA"/>
    <w:rsid w:val="004445FF"/>
    <w:rsid w:val="00445ED4"/>
    <w:rsid w:val="00446337"/>
    <w:rsid w:val="004473C6"/>
    <w:rsid w:val="00450072"/>
    <w:rsid w:val="0045265D"/>
    <w:rsid w:val="004527FC"/>
    <w:rsid w:val="00455079"/>
    <w:rsid w:val="0045584D"/>
    <w:rsid w:val="0045594F"/>
    <w:rsid w:val="004560E7"/>
    <w:rsid w:val="00456272"/>
    <w:rsid w:val="00461B7A"/>
    <w:rsid w:val="00462131"/>
    <w:rsid w:val="00462385"/>
    <w:rsid w:val="00464014"/>
    <w:rsid w:val="0046432A"/>
    <w:rsid w:val="00464C8D"/>
    <w:rsid w:val="004667E9"/>
    <w:rsid w:val="00466971"/>
    <w:rsid w:val="00466C01"/>
    <w:rsid w:val="00466CA3"/>
    <w:rsid w:val="004671C3"/>
    <w:rsid w:val="004701FD"/>
    <w:rsid w:val="00470D48"/>
    <w:rsid w:val="004723A9"/>
    <w:rsid w:val="00472839"/>
    <w:rsid w:val="00473A5B"/>
    <w:rsid w:val="00474E5A"/>
    <w:rsid w:val="00475FD1"/>
    <w:rsid w:val="00476715"/>
    <w:rsid w:val="004807CD"/>
    <w:rsid w:val="0048129F"/>
    <w:rsid w:val="00481DF5"/>
    <w:rsid w:val="00482A12"/>
    <w:rsid w:val="00482EC8"/>
    <w:rsid w:val="00483495"/>
    <w:rsid w:val="00483873"/>
    <w:rsid w:val="00483BBF"/>
    <w:rsid w:val="00485F31"/>
    <w:rsid w:val="00487305"/>
    <w:rsid w:val="00487FBA"/>
    <w:rsid w:val="00490A81"/>
    <w:rsid w:val="00492CA9"/>
    <w:rsid w:val="00494E68"/>
    <w:rsid w:val="00496465"/>
    <w:rsid w:val="004966DE"/>
    <w:rsid w:val="00497E85"/>
    <w:rsid w:val="004A0E45"/>
    <w:rsid w:val="004A11F7"/>
    <w:rsid w:val="004A1599"/>
    <w:rsid w:val="004A3A56"/>
    <w:rsid w:val="004A3E10"/>
    <w:rsid w:val="004A404D"/>
    <w:rsid w:val="004A4420"/>
    <w:rsid w:val="004A5492"/>
    <w:rsid w:val="004A57CF"/>
    <w:rsid w:val="004A59FE"/>
    <w:rsid w:val="004A643F"/>
    <w:rsid w:val="004A6781"/>
    <w:rsid w:val="004A75B6"/>
    <w:rsid w:val="004A7826"/>
    <w:rsid w:val="004B0E0F"/>
    <w:rsid w:val="004B1DC5"/>
    <w:rsid w:val="004B1E2E"/>
    <w:rsid w:val="004B2A46"/>
    <w:rsid w:val="004B34B9"/>
    <w:rsid w:val="004B5EE6"/>
    <w:rsid w:val="004B64F8"/>
    <w:rsid w:val="004B69BB"/>
    <w:rsid w:val="004B7CD7"/>
    <w:rsid w:val="004C04FD"/>
    <w:rsid w:val="004C0743"/>
    <w:rsid w:val="004C1677"/>
    <w:rsid w:val="004C1783"/>
    <w:rsid w:val="004C19B0"/>
    <w:rsid w:val="004C23DF"/>
    <w:rsid w:val="004C2723"/>
    <w:rsid w:val="004C37B6"/>
    <w:rsid w:val="004C4DCC"/>
    <w:rsid w:val="004C4F9A"/>
    <w:rsid w:val="004C6893"/>
    <w:rsid w:val="004C6C79"/>
    <w:rsid w:val="004C7E27"/>
    <w:rsid w:val="004D1A8E"/>
    <w:rsid w:val="004D1C3F"/>
    <w:rsid w:val="004D2383"/>
    <w:rsid w:val="004D3E8D"/>
    <w:rsid w:val="004D4B7E"/>
    <w:rsid w:val="004D76C2"/>
    <w:rsid w:val="004D793C"/>
    <w:rsid w:val="004E08B9"/>
    <w:rsid w:val="004E237C"/>
    <w:rsid w:val="004E2E49"/>
    <w:rsid w:val="004E3DEC"/>
    <w:rsid w:val="004E410E"/>
    <w:rsid w:val="004E4E8E"/>
    <w:rsid w:val="004E59FF"/>
    <w:rsid w:val="004E617A"/>
    <w:rsid w:val="004E68BB"/>
    <w:rsid w:val="004E6C54"/>
    <w:rsid w:val="004E7B9A"/>
    <w:rsid w:val="004F116C"/>
    <w:rsid w:val="004F3E5C"/>
    <w:rsid w:val="004F4035"/>
    <w:rsid w:val="004F4AE0"/>
    <w:rsid w:val="004F5D31"/>
    <w:rsid w:val="004F7054"/>
    <w:rsid w:val="004F76F7"/>
    <w:rsid w:val="00500090"/>
    <w:rsid w:val="005006FF"/>
    <w:rsid w:val="00501A76"/>
    <w:rsid w:val="00501C97"/>
    <w:rsid w:val="00501E62"/>
    <w:rsid w:val="005024EA"/>
    <w:rsid w:val="00503972"/>
    <w:rsid w:val="005040EF"/>
    <w:rsid w:val="00504418"/>
    <w:rsid w:val="00504FFD"/>
    <w:rsid w:val="0050578E"/>
    <w:rsid w:val="00505B36"/>
    <w:rsid w:val="00505D5C"/>
    <w:rsid w:val="0050601B"/>
    <w:rsid w:val="005077DA"/>
    <w:rsid w:val="00510F33"/>
    <w:rsid w:val="00515A9C"/>
    <w:rsid w:val="00517987"/>
    <w:rsid w:val="00520343"/>
    <w:rsid w:val="00521185"/>
    <w:rsid w:val="00522941"/>
    <w:rsid w:val="0052328E"/>
    <w:rsid w:val="00523C0D"/>
    <w:rsid w:val="00524702"/>
    <w:rsid w:val="00524BEB"/>
    <w:rsid w:val="00524F6C"/>
    <w:rsid w:val="005272F3"/>
    <w:rsid w:val="00527304"/>
    <w:rsid w:val="00527D41"/>
    <w:rsid w:val="00527ECE"/>
    <w:rsid w:val="005300D1"/>
    <w:rsid w:val="005302D4"/>
    <w:rsid w:val="00533113"/>
    <w:rsid w:val="00534081"/>
    <w:rsid w:val="00534558"/>
    <w:rsid w:val="00534CFF"/>
    <w:rsid w:val="00534F89"/>
    <w:rsid w:val="005354A7"/>
    <w:rsid w:val="005356F5"/>
    <w:rsid w:val="0053748A"/>
    <w:rsid w:val="005401A7"/>
    <w:rsid w:val="00540457"/>
    <w:rsid w:val="00541358"/>
    <w:rsid w:val="00541B09"/>
    <w:rsid w:val="00541C78"/>
    <w:rsid w:val="0054332E"/>
    <w:rsid w:val="00543930"/>
    <w:rsid w:val="00543D07"/>
    <w:rsid w:val="00543F4F"/>
    <w:rsid w:val="00544BAF"/>
    <w:rsid w:val="005460C7"/>
    <w:rsid w:val="00546450"/>
    <w:rsid w:val="00546956"/>
    <w:rsid w:val="0054702D"/>
    <w:rsid w:val="00547FAC"/>
    <w:rsid w:val="00550323"/>
    <w:rsid w:val="005509C0"/>
    <w:rsid w:val="0055564E"/>
    <w:rsid w:val="0055669F"/>
    <w:rsid w:val="00556D95"/>
    <w:rsid w:val="00556E2C"/>
    <w:rsid w:val="0055731A"/>
    <w:rsid w:val="00557752"/>
    <w:rsid w:val="00560236"/>
    <w:rsid w:val="00560DC7"/>
    <w:rsid w:val="00562124"/>
    <w:rsid w:val="00562EAB"/>
    <w:rsid w:val="005634D5"/>
    <w:rsid w:val="00564853"/>
    <w:rsid w:val="00564E24"/>
    <w:rsid w:val="00565C7A"/>
    <w:rsid w:val="00567F05"/>
    <w:rsid w:val="00571833"/>
    <w:rsid w:val="00571B41"/>
    <w:rsid w:val="00572682"/>
    <w:rsid w:val="00572783"/>
    <w:rsid w:val="00573B7A"/>
    <w:rsid w:val="00573FE8"/>
    <w:rsid w:val="005744F8"/>
    <w:rsid w:val="005756A1"/>
    <w:rsid w:val="005756A5"/>
    <w:rsid w:val="005779DA"/>
    <w:rsid w:val="00577D22"/>
    <w:rsid w:val="00580CBD"/>
    <w:rsid w:val="00581E15"/>
    <w:rsid w:val="005838CA"/>
    <w:rsid w:val="0058445E"/>
    <w:rsid w:val="005848BE"/>
    <w:rsid w:val="00584DB7"/>
    <w:rsid w:val="0058555F"/>
    <w:rsid w:val="00585B02"/>
    <w:rsid w:val="00586CDC"/>
    <w:rsid w:val="005872CF"/>
    <w:rsid w:val="00587999"/>
    <w:rsid w:val="00590D29"/>
    <w:rsid w:val="005928A6"/>
    <w:rsid w:val="005939EB"/>
    <w:rsid w:val="00594519"/>
    <w:rsid w:val="00594E59"/>
    <w:rsid w:val="005959A4"/>
    <w:rsid w:val="00596B0A"/>
    <w:rsid w:val="00596F82"/>
    <w:rsid w:val="00597371"/>
    <w:rsid w:val="005A01FC"/>
    <w:rsid w:val="005A0AB9"/>
    <w:rsid w:val="005A13E5"/>
    <w:rsid w:val="005A3246"/>
    <w:rsid w:val="005A3DC4"/>
    <w:rsid w:val="005A3F26"/>
    <w:rsid w:val="005A4DC3"/>
    <w:rsid w:val="005A643F"/>
    <w:rsid w:val="005A6C80"/>
    <w:rsid w:val="005A7049"/>
    <w:rsid w:val="005A7907"/>
    <w:rsid w:val="005B1006"/>
    <w:rsid w:val="005B2C47"/>
    <w:rsid w:val="005B365C"/>
    <w:rsid w:val="005B3C6A"/>
    <w:rsid w:val="005B547B"/>
    <w:rsid w:val="005B6D7B"/>
    <w:rsid w:val="005B6E5D"/>
    <w:rsid w:val="005B7D1A"/>
    <w:rsid w:val="005C0107"/>
    <w:rsid w:val="005C15DA"/>
    <w:rsid w:val="005C21AD"/>
    <w:rsid w:val="005C249E"/>
    <w:rsid w:val="005C318A"/>
    <w:rsid w:val="005C4285"/>
    <w:rsid w:val="005C557E"/>
    <w:rsid w:val="005C64A0"/>
    <w:rsid w:val="005D03F6"/>
    <w:rsid w:val="005D084F"/>
    <w:rsid w:val="005D09D2"/>
    <w:rsid w:val="005D271F"/>
    <w:rsid w:val="005D467C"/>
    <w:rsid w:val="005D4FBC"/>
    <w:rsid w:val="005D51AD"/>
    <w:rsid w:val="005D55FC"/>
    <w:rsid w:val="005D5E70"/>
    <w:rsid w:val="005D6033"/>
    <w:rsid w:val="005D7903"/>
    <w:rsid w:val="005E1C28"/>
    <w:rsid w:val="005E1E4A"/>
    <w:rsid w:val="005E47B3"/>
    <w:rsid w:val="005E4B75"/>
    <w:rsid w:val="005F10ED"/>
    <w:rsid w:val="005F1743"/>
    <w:rsid w:val="005F2AB5"/>
    <w:rsid w:val="005F709C"/>
    <w:rsid w:val="005F73EA"/>
    <w:rsid w:val="005F7C04"/>
    <w:rsid w:val="006004FD"/>
    <w:rsid w:val="00601864"/>
    <w:rsid w:val="006020C0"/>
    <w:rsid w:val="0060253F"/>
    <w:rsid w:val="00602E27"/>
    <w:rsid w:val="00603D26"/>
    <w:rsid w:val="00603FDF"/>
    <w:rsid w:val="00605CA2"/>
    <w:rsid w:val="0060648D"/>
    <w:rsid w:val="00606F48"/>
    <w:rsid w:val="00607E60"/>
    <w:rsid w:val="00610695"/>
    <w:rsid w:val="00612551"/>
    <w:rsid w:val="00613DF3"/>
    <w:rsid w:val="00613FA2"/>
    <w:rsid w:val="00614A8A"/>
    <w:rsid w:val="006165ED"/>
    <w:rsid w:val="00620D09"/>
    <w:rsid w:val="00621868"/>
    <w:rsid w:val="00621A66"/>
    <w:rsid w:val="00622550"/>
    <w:rsid w:val="00623D92"/>
    <w:rsid w:val="006248A7"/>
    <w:rsid w:val="00624967"/>
    <w:rsid w:val="00625B77"/>
    <w:rsid w:val="00626247"/>
    <w:rsid w:val="00626529"/>
    <w:rsid w:val="006272E5"/>
    <w:rsid w:val="006317F3"/>
    <w:rsid w:val="00633C40"/>
    <w:rsid w:val="0063417A"/>
    <w:rsid w:val="0063428C"/>
    <w:rsid w:val="00635171"/>
    <w:rsid w:val="006355DC"/>
    <w:rsid w:val="00636288"/>
    <w:rsid w:val="00636A76"/>
    <w:rsid w:val="00636FB4"/>
    <w:rsid w:val="00637D04"/>
    <w:rsid w:val="0064026E"/>
    <w:rsid w:val="006402AF"/>
    <w:rsid w:val="006406FC"/>
    <w:rsid w:val="00640953"/>
    <w:rsid w:val="00640E08"/>
    <w:rsid w:val="00640E5A"/>
    <w:rsid w:val="00641EC1"/>
    <w:rsid w:val="00643676"/>
    <w:rsid w:val="00644154"/>
    <w:rsid w:val="006444CD"/>
    <w:rsid w:val="00645169"/>
    <w:rsid w:val="006459A2"/>
    <w:rsid w:val="00645CB5"/>
    <w:rsid w:val="00646397"/>
    <w:rsid w:val="00646A51"/>
    <w:rsid w:val="00646D2A"/>
    <w:rsid w:val="00647BF8"/>
    <w:rsid w:val="006521A6"/>
    <w:rsid w:val="00652795"/>
    <w:rsid w:val="00653156"/>
    <w:rsid w:val="00653D4E"/>
    <w:rsid w:val="0065401D"/>
    <w:rsid w:val="006546CA"/>
    <w:rsid w:val="0065601C"/>
    <w:rsid w:val="0065609B"/>
    <w:rsid w:val="0065633E"/>
    <w:rsid w:val="006567A0"/>
    <w:rsid w:val="006605BD"/>
    <w:rsid w:val="0066284D"/>
    <w:rsid w:val="00662FBB"/>
    <w:rsid w:val="00662FE4"/>
    <w:rsid w:val="006675BC"/>
    <w:rsid w:val="00670A33"/>
    <w:rsid w:val="00671DA7"/>
    <w:rsid w:val="00672690"/>
    <w:rsid w:val="00673CA5"/>
    <w:rsid w:val="00674356"/>
    <w:rsid w:val="006744D0"/>
    <w:rsid w:val="00674B9E"/>
    <w:rsid w:val="006756E5"/>
    <w:rsid w:val="00675EB5"/>
    <w:rsid w:val="006764C3"/>
    <w:rsid w:val="00677D1E"/>
    <w:rsid w:val="00681716"/>
    <w:rsid w:val="00682C41"/>
    <w:rsid w:val="006835F9"/>
    <w:rsid w:val="006839AD"/>
    <w:rsid w:val="00684FA8"/>
    <w:rsid w:val="00685FFF"/>
    <w:rsid w:val="00686AB6"/>
    <w:rsid w:val="006876DB"/>
    <w:rsid w:val="006878DD"/>
    <w:rsid w:val="00687AA3"/>
    <w:rsid w:val="00690ADA"/>
    <w:rsid w:val="00690B11"/>
    <w:rsid w:val="00690C20"/>
    <w:rsid w:val="006915A9"/>
    <w:rsid w:val="006919CB"/>
    <w:rsid w:val="00691CBE"/>
    <w:rsid w:val="00691FF0"/>
    <w:rsid w:val="006928A9"/>
    <w:rsid w:val="00693595"/>
    <w:rsid w:val="006945F6"/>
    <w:rsid w:val="006A0226"/>
    <w:rsid w:val="006A179E"/>
    <w:rsid w:val="006A21EA"/>
    <w:rsid w:val="006A2661"/>
    <w:rsid w:val="006A33D3"/>
    <w:rsid w:val="006A48A9"/>
    <w:rsid w:val="006A6325"/>
    <w:rsid w:val="006B07A5"/>
    <w:rsid w:val="006B127E"/>
    <w:rsid w:val="006B12C8"/>
    <w:rsid w:val="006B1EFE"/>
    <w:rsid w:val="006B320E"/>
    <w:rsid w:val="006B6D45"/>
    <w:rsid w:val="006B70A6"/>
    <w:rsid w:val="006B753A"/>
    <w:rsid w:val="006B7B8F"/>
    <w:rsid w:val="006C07F5"/>
    <w:rsid w:val="006C1858"/>
    <w:rsid w:val="006C23F8"/>
    <w:rsid w:val="006C2911"/>
    <w:rsid w:val="006C2EE0"/>
    <w:rsid w:val="006C35E6"/>
    <w:rsid w:val="006C3865"/>
    <w:rsid w:val="006C5A65"/>
    <w:rsid w:val="006C611E"/>
    <w:rsid w:val="006C7C21"/>
    <w:rsid w:val="006D081A"/>
    <w:rsid w:val="006D1B40"/>
    <w:rsid w:val="006D2842"/>
    <w:rsid w:val="006D2CCD"/>
    <w:rsid w:val="006D371B"/>
    <w:rsid w:val="006D3B3E"/>
    <w:rsid w:val="006D4C0C"/>
    <w:rsid w:val="006D7256"/>
    <w:rsid w:val="006D7FD1"/>
    <w:rsid w:val="006E05D7"/>
    <w:rsid w:val="006E0655"/>
    <w:rsid w:val="006E181D"/>
    <w:rsid w:val="006E3307"/>
    <w:rsid w:val="006E4805"/>
    <w:rsid w:val="006F0A03"/>
    <w:rsid w:val="006F119A"/>
    <w:rsid w:val="006F1555"/>
    <w:rsid w:val="006F18F2"/>
    <w:rsid w:val="006F36FF"/>
    <w:rsid w:val="006F3AD9"/>
    <w:rsid w:val="006F4E18"/>
    <w:rsid w:val="006F4ECB"/>
    <w:rsid w:val="006F5694"/>
    <w:rsid w:val="006F5C49"/>
    <w:rsid w:val="006F64FB"/>
    <w:rsid w:val="006F76F3"/>
    <w:rsid w:val="00700496"/>
    <w:rsid w:val="00701136"/>
    <w:rsid w:val="007011A8"/>
    <w:rsid w:val="00702197"/>
    <w:rsid w:val="007021CF"/>
    <w:rsid w:val="00702F5C"/>
    <w:rsid w:val="00704469"/>
    <w:rsid w:val="0070590A"/>
    <w:rsid w:val="00706A7F"/>
    <w:rsid w:val="00707075"/>
    <w:rsid w:val="00711D14"/>
    <w:rsid w:val="00712474"/>
    <w:rsid w:val="007137CA"/>
    <w:rsid w:val="00713F76"/>
    <w:rsid w:val="0071494D"/>
    <w:rsid w:val="00714BF7"/>
    <w:rsid w:val="0071528C"/>
    <w:rsid w:val="00715628"/>
    <w:rsid w:val="00716170"/>
    <w:rsid w:val="00716391"/>
    <w:rsid w:val="007167D5"/>
    <w:rsid w:val="007173FE"/>
    <w:rsid w:val="0072133C"/>
    <w:rsid w:val="0072140C"/>
    <w:rsid w:val="00721CB0"/>
    <w:rsid w:val="00722AF9"/>
    <w:rsid w:val="00722D31"/>
    <w:rsid w:val="00722FB4"/>
    <w:rsid w:val="0072359E"/>
    <w:rsid w:val="00726405"/>
    <w:rsid w:val="00726952"/>
    <w:rsid w:val="00726B4C"/>
    <w:rsid w:val="00730BB9"/>
    <w:rsid w:val="00731B3B"/>
    <w:rsid w:val="00731D5A"/>
    <w:rsid w:val="00732122"/>
    <w:rsid w:val="00732D89"/>
    <w:rsid w:val="00733312"/>
    <w:rsid w:val="007334DF"/>
    <w:rsid w:val="0073384A"/>
    <w:rsid w:val="0073444E"/>
    <w:rsid w:val="00734979"/>
    <w:rsid w:val="0073540D"/>
    <w:rsid w:val="00740B00"/>
    <w:rsid w:val="00741934"/>
    <w:rsid w:val="00741ED8"/>
    <w:rsid w:val="007441BB"/>
    <w:rsid w:val="00744A0A"/>
    <w:rsid w:val="00745C61"/>
    <w:rsid w:val="00746131"/>
    <w:rsid w:val="00747360"/>
    <w:rsid w:val="0074755D"/>
    <w:rsid w:val="00747AC0"/>
    <w:rsid w:val="007500FF"/>
    <w:rsid w:val="007519A7"/>
    <w:rsid w:val="00752C9D"/>
    <w:rsid w:val="00753A76"/>
    <w:rsid w:val="00754237"/>
    <w:rsid w:val="007546A7"/>
    <w:rsid w:val="00760C8C"/>
    <w:rsid w:val="00761360"/>
    <w:rsid w:val="00763AB8"/>
    <w:rsid w:val="00764804"/>
    <w:rsid w:val="00765251"/>
    <w:rsid w:val="00765CC9"/>
    <w:rsid w:val="0077104C"/>
    <w:rsid w:val="007714C0"/>
    <w:rsid w:val="00772139"/>
    <w:rsid w:val="00772DD1"/>
    <w:rsid w:val="007749D3"/>
    <w:rsid w:val="00775999"/>
    <w:rsid w:val="00777F49"/>
    <w:rsid w:val="0078149A"/>
    <w:rsid w:val="0078155E"/>
    <w:rsid w:val="00781B06"/>
    <w:rsid w:val="0078305C"/>
    <w:rsid w:val="00783B2D"/>
    <w:rsid w:val="00783C78"/>
    <w:rsid w:val="00785658"/>
    <w:rsid w:val="00785784"/>
    <w:rsid w:val="00785E39"/>
    <w:rsid w:val="00786931"/>
    <w:rsid w:val="00786C28"/>
    <w:rsid w:val="00786EA2"/>
    <w:rsid w:val="00790781"/>
    <w:rsid w:val="0079123E"/>
    <w:rsid w:val="007935BB"/>
    <w:rsid w:val="00793D8F"/>
    <w:rsid w:val="0079551B"/>
    <w:rsid w:val="00796DCD"/>
    <w:rsid w:val="007A0308"/>
    <w:rsid w:val="007A0A71"/>
    <w:rsid w:val="007A0D83"/>
    <w:rsid w:val="007A16CA"/>
    <w:rsid w:val="007A1BBC"/>
    <w:rsid w:val="007A27DF"/>
    <w:rsid w:val="007A2C82"/>
    <w:rsid w:val="007A3B12"/>
    <w:rsid w:val="007A3C0A"/>
    <w:rsid w:val="007A4639"/>
    <w:rsid w:val="007A5822"/>
    <w:rsid w:val="007A70EC"/>
    <w:rsid w:val="007A76FD"/>
    <w:rsid w:val="007A7F37"/>
    <w:rsid w:val="007B2006"/>
    <w:rsid w:val="007B24CB"/>
    <w:rsid w:val="007B31A6"/>
    <w:rsid w:val="007B35C2"/>
    <w:rsid w:val="007B3C8B"/>
    <w:rsid w:val="007B4949"/>
    <w:rsid w:val="007B4AA7"/>
    <w:rsid w:val="007B53AE"/>
    <w:rsid w:val="007B57C5"/>
    <w:rsid w:val="007B59A8"/>
    <w:rsid w:val="007B7274"/>
    <w:rsid w:val="007C0804"/>
    <w:rsid w:val="007C20D6"/>
    <w:rsid w:val="007C386D"/>
    <w:rsid w:val="007C3E54"/>
    <w:rsid w:val="007C4BF2"/>
    <w:rsid w:val="007C537D"/>
    <w:rsid w:val="007C5CF6"/>
    <w:rsid w:val="007C6258"/>
    <w:rsid w:val="007C7AFE"/>
    <w:rsid w:val="007D0B96"/>
    <w:rsid w:val="007D103F"/>
    <w:rsid w:val="007D1815"/>
    <w:rsid w:val="007D1914"/>
    <w:rsid w:val="007D198F"/>
    <w:rsid w:val="007D1B81"/>
    <w:rsid w:val="007D3A2F"/>
    <w:rsid w:val="007D43D8"/>
    <w:rsid w:val="007D4E49"/>
    <w:rsid w:val="007D672E"/>
    <w:rsid w:val="007E10D9"/>
    <w:rsid w:val="007E20A5"/>
    <w:rsid w:val="007E251F"/>
    <w:rsid w:val="007E3104"/>
    <w:rsid w:val="007E49C8"/>
    <w:rsid w:val="007E5829"/>
    <w:rsid w:val="007E5B5D"/>
    <w:rsid w:val="007E75FB"/>
    <w:rsid w:val="007F01DD"/>
    <w:rsid w:val="007F2D4F"/>
    <w:rsid w:val="007F2EA9"/>
    <w:rsid w:val="007F3376"/>
    <w:rsid w:val="007F654E"/>
    <w:rsid w:val="007F78F5"/>
    <w:rsid w:val="007F7B31"/>
    <w:rsid w:val="00800623"/>
    <w:rsid w:val="0080278D"/>
    <w:rsid w:val="00802EE0"/>
    <w:rsid w:val="008046DD"/>
    <w:rsid w:val="0080513D"/>
    <w:rsid w:val="00806B90"/>
    <w:rsid w:val="00810331"/>
    <w:rsid w:val="00812779"/>
    <w:rsid w:val="00812BC6"/>
    <w:rsid w:val="00812CCE"/>
    <w:rsid w:val="00813BE6"/>
    <w:rsid w:val="0081489E"/>
    <w:rsid w:val="00814BA6"/>
    <w:rsid w:val="00815B09"/>
    <w:rsid w:val="008175B8"/>
    <w:rsid w:val="0081773C"/>
    <w:rsid w:val="008204F1"/>
    <w:rsid w:val="008229B3"/>
    <w:rsid w:val="008231A9"/>
    <w:rsid w:val="00823C45"/>
    <w:rsid w:val="00823C7B"/>
    <w:rsid w:val="00823F58"/>
    <w:rsid w:val="00824548"/>
    <w:rsid w:val="008249AD"/>
    <w:rsid w:val="0082529F"/>
    <w:rsid w:val="00825C5D"/>
    <w:rsid w:val="008319E5"/>
    <w:rsid w:val="00833722"/>
    <w:rsid w:val="008344C4"/>
    <w:rsid w:val="008349A6"/>
    <w:rsid w:val="00834FAE"/>
    <w:rsid w:val="008355A3"/>
    <w:rsid w:val="00835C5D"/>
    <w:rsid w:val="00836936"/>
    <w:rsid w:val="00837695"/>
    <w:rsid w:val="00841743"/>
    <w:rsid w:val="008422C6"/>
    <w:rsid w:val="00842AFD"/>
    <w:rsid w:val="0084303A"/>
    <w:rsid w:val="008437CC"/>
    <w:rsid w:val="00844036"/>
    <w:rsid w:val="00844135"/>
    <w:rsid w:val="008443C5"/>
    <w:rsid w:val="00845767"/>
    <w:rsid w:val="00847A25"/>
    <w:rsid w:val="00850CCB"/>
    <w:rsid w:val="00851804"/>
    <w:rsid w:val="00851CAB"/>
    <w:rsid w:val="00851D78"/>
    <w:rsid w:val="00851FC3"/>
    <w:rsid w:val="0085290B"/>
    <w:rsid w:val="0085333E"/>
    <w:rsid w:val="00854155"/>
    <w:rsid w:val="00854F66"/>
    <w:rsid w:val="00855409"/>
    <w:rsid w:val="008558BD"/>
    <w:rsid w:val="00856277"/>
    <w:rsid w:val="00856588"/>
    <w:rsid w:val="00857EBA"/>
    <w:rsid w:val="0086044D"/>
    <w:rsid w:val="008632FA"/>
    <w:rsid w:val="00864180"/>
    <w:rsid w:val="008644BA"/>
    <w:rsid w:val="008645D4"/>
    <w:rsid w:val="0086549E"/>
    <w:rsid w:val="0086749F"/>
    <w:rsid w:val="0086756A"/>
    <w:rsid w:val="00867CE4"/>
    <w:rsid w:val="00867E91"/>
    <w:rsid w:val="00870715"/>
    <w:rsid w:val="00871166"/>
    <w:rsid w:val="008723DC"/>
    <w:rsid w:val="008728B6"/>
    <w:rsid w:val="00872A24"/>
    <w:rsid w:val="00872CDB"/>
    <w:rsid w:val="00873047"/>
    <w:rsid w:val="008733EA"/>
    <w:rsid w:val="008737F7"/>
    <w:rsid w:val="00874221"/>
    <w:rsid w:val="008750BF"/>
    <w:rsid w:val="0087534C"/>
    <w:rsid w:val="008758E0"/>
    <w:rsid w:val="008761EE"/>
    <w:rsid w:val="00876225"/>
    <w:rsid w:val="00877FC9"/>
    <w:rsid w:val="0088213B"/>
    <w:rsid w:val="00882427"/>
    <w:rsid w:val="00883554"/>
    <w:rsid w:val="008836E9"/>
    <w:rsid w:val="0088377A"/>
    <w:rsid w:val="00883AAB"/>
    <w:rsid w:val="00884EE5"/>
    <w:rsid w:val="008857CB"/>
    <w:rsid w:val="00885856"/>
    <w:rsid w:val="00885885"/>
    <w:rsid w:val="00885A7E"/>
    <w:rsid w:val="0088705A"/>
    <w:rsid w:val="008879E7"/>
    <w:rsid w:val="00890C83"/>
    <w:rsid w:val="00891710"/>
    <w:rsid w:val="00892A5D"/>
    <w:rsid w:val="00892F62"/>
    <w:rsid w:val="00893DE3"/>
    <w:rsid w:val="008940D4"/>
    <w:rsid w:val="008947F4"/>
    <w:rsid w:val="008948FA"/>
    <w:rsid w:val="008963D6"/>
    <w:rsid w:val="008971A4"/>
    <w:rsid w:val="008973B7"/>
    <w:rsid w:val="008A003F"/>
    <w:rsid w:val="008A15AF"/>
    <w:rsid w:val="008A1CCD"/>
    <w:rsid w:val="008A276D"/>
    <w:rsid w:val="008A2BC9"/>
    <w:rsid w:val="008A3014"/>
    <w:rsid w:val="008A3EBA"/>
    <w:rsid w:val="008A43DD"/>
    <w:rsid w:val="008A4A19"/>
    <w:rsid w:val="008A5F34"/>
    <w:rsid w:val="008A623A"/>
    <w:rsid w:val="008A6F5C"/>
    <w:rsid w:val="008B1C75"/>
    <w:rsid w:val="008B217A"/>
    <w:rsid w:val="008B3176"/>
    <w:rsid w:val="008B3BF8"/>
    <w:rsid w:val="008B3E64"/>
    <w:rsid w:val="008B4348"/>
    <w:rsid w:val="008B59B0"/>
    <w:rsid w:val="008B60B9"/>
    <w:rsid w:val="008B7CD6"/>
    <w:rsid w:val="008C0B3F"/>
    <w:rsid w:val="008C0C85"/>
    <w:rsid w:val="008C22CC"/>
    <w:rsid w:val="008C2FD3"/>
    <w:rsid w:val="008C5452"/>
    <w:rsid w:val="008C545D"/>
    <w:rsid w:val="008C61A7"/>
    <w:rsid w:val="008C6568"/>
    <w:rsid w:val="008C67B5"/>
    <w:rsid w:val="008D0042"/>
    <w:rsid w:val="008D0766"/>
    <w:rsid w:val="008D0E4A"/>
    <w:rsid w:val="008D388F"/>
    <w:rsid w:val="008D5585"/>
    <w:rsid w:val="008D67F7"/>
    <w:rsid w:val="008D7093"/>
    <w:rsid w:val="008D712E"/>
    <w:rsid w:val="008E05BA"/>
    <w:rsid w:val="008E0DA1"/>
    <w:rsid w:val="008E44A9"/>
    <w:rsid w:val="008E4804"/>
    <w:rsid w:val="008E56EF"/>
    <w:rsid w:val="008E7240"/>
    <w:rsid w:val="008E7260"/>
    <w:rsid w:val="008F0E16"/>
    <w:rsid w:val="008F1AEC"/>
    <w:rsid w:val="008F1B41"/>
    <w:rsid w:val="008F2E76"/>
    <w:rsid w:val="008F32CC"/>
    <w:rsid w:val="008F39D6"/>
    <w:rsid w:val="008F4C0B"/>
    <w:rsid w:val="008F512B"/>
    <w:rsid w:val="008F5827"/>
    <w:rsid w:val="008F66FB"/>
    <w:rsid w:val="008F789D"/>
    <w:rsid w:val="00901376"/>
    <w:rsid w:val="009021E4"/>
    <w:rsid w:val="00902731"/>
    <w:rsid w:val="00902E3D"/>
    <w:rsid w:val="009030DB"/>
    <w:rsid w:val="009035AF"/>
    <w:rsid w:val="00903CBD"/>
    <w:rsid w:val="00904A38"/>
    <w:rsid w:val="00905456"/>
    <w:rsid w:val="009059E4"/>
    <w:rsid w:val="00905BF5"/>
    <w:rsid w:val="009065FA"/>
    <w:rsid w:val="00906C90"/>
    <w:rsid w:val="00906F9B"/>
    <w:rsid w:val="0090707D"/>
    <w:rsid w:val="00907DB6"/>
    <w:rsid w:val="009108D8"/>
    <w:rsid w:val="00910E5A"/>
    <w:rsid w:val="0091155E"/>
    <w:rsid w:val="00911951"/>
    <w:rsid w:val="009119E7"/>
    <w:rsid w:val="00914F3B"/>
    <w:rsid w:val="009152C7"/>
    <w:rsid w:val="009153C3"/>
    <w:rsid w:val="009157B8"/>
    <w:rsid w:val="009162EB"/>
    <w:rsid w:val="00916352"/>
    <w:rsid w:val="009165E7"/>
    <w:rsid w:val="00917CE9"/>
    <w:rsid w:val="009205A7"/>
    <w:rsid w:val="00920714"/>
    <w:rsid w:val="00921614"/>
    <w:rsid w:val="00921ADA"/>
    <w:rsid w:val="00924342"/>
    <w:rsid w:val="009255DC"/>
    <w:rsid w:val="00925925"/>
    <w:rsid w:val="00927606"/>
    <w:rsid w:val="00927AC2"/>
    <w:rsid w:val="009310ED"/>
    <w:rsid w:val="009314AC"/>
    <w:rsid w:val="00932ABD"/>
    <w:rsid w:val="00933DA0"/>
    <w:rsid w:val="00934E93"/>
    <w:rsid w:val="0093646B"/>
    <w:rsid w:val="009371D0"/>
    <w:rsid w:val="00937363"/>
    <w:rsid w:val="00945A39"/>
    <w:rsid w:val="00946BB2"/>
    <w:rsid w:val="009476B5"/>
    <w:rsid w:val="009479E6"/>
    <w:rsid w:val="00947F3A"/>
    <w:rsid w:val="00947F3E"/>
    <w:rsid w:val="00950D03"/>
    <w:rsid w:val="009515B5"/>
    <w:rsid w:val="00951F0D"/>
    <w:rsid w:val="00952613"/>
    <w:rsid w:val="00952BF6"/>
    <w:rsid w:val="00952E4B"/>
    <w:rsid w:val="009538E7"/>
    <w:rsid w:val="00954CEC"/>
    <w:rsid w:val="00955875"/>
    <w:rsid w:val="00955911"/>
    <w:rsid w:val="00955A29"/>
    <w:rsid w:val="00956277"/>
    <w:rsid w:val="00956ADE"/>
    <w:rsid w:val="009606B3"/>
    <w:rsid w:val="0096087A"/>
    <w:rsid w:val="009612CB"/>
    <w:rsid w:val="00961EBF"/>
    <w:rsid w:val="00961FEE"/>
    <w:rsid w:val="00962728"/>
    <w:rsid w:val="009628FC"/>
    <w:rsid w:val="00962F82"/>
    <w:rsid w:val="00964E9F"/>
    <w:rsid w:val="00966148"/>
    <w:rsid w:val="00966A0C"/>
    <w:rsid w:val="00967BA0"/>
    <w:rsid w:val="00970989"/>
    <w:rsid w:val="009712C6"/>
    <w:rsid w:val="00971931"/>
    <w:rsid w:val="0097195C"/>
    <w:rsid w:val="00972980"/>
    <w:rsid w:val="00973D01"/>
    <w:rsid w:val="00973D7C"/>
    <w:rsid w:val="00974A17"/>
    <w:rsid w:val="00976111"/>
    <w:rsid w:val="009762FC"/>
    <w:rsid w:val="0097643E"/>
    <w:rsid w:val="00976FFB"/>
    <w:rsid w:val="009770D4"/>
    <w:rsid w:val="00980914"/>
    <w:rsid w:val="0098097D"/>
    <w:rsid w:val="00980F54"/>
    <w:rsid w:val="00981093"/>
    <w:rsid w:val="0098315A"/>
    <w:rsid w:val="00984954"/>
    <w:rsid w:val="00985EE6"/>
    <w:rsid w:val="00992A82"/>
    <w:rsid w:val="00992B10"/>
    <w:rsid w:val="00992C99"/>
    <w:rsid w:val="009945C9"/>
    <w:rsid w:val="009946B4"/>
    <w:rsid w:val="00994FF0"/>
    <w:rsid w:val="00995477"/>
    <w:rsid w:val="00995C80"/>
    <w:rsid w:val="0099611C"/>
    <w:rsid w:val="0099684A"/>
    <w:rsid w:val="00996FEB"/>
    <w:rsid w:val="009979C9"/>
    <w:rsid w:val="009A02B8"/>
    <w:rsid w:val="009A0659"/>
    <w:rsid w:val="009A1299"/>
    <w:rsid w:val="009A1F0B"/>
    <w:rsid w:val="009A30F4"/>
    <w:rsid w:val="009A346B"/>
    <w:rsid w:val="009A34A5"/>
    <w:rsid w:val="009A4B54"/>
    <w:rsid w:val="009A52B1"/>
    <w:rsid w:val="009A61C0"/>
    <w:rsid w:val="009A637E"/>
    <w:rsid w:val="009A6E00"/>
    <w:rsid w:val="009B047A"/>
    <w:rsid w:val="009B0CAA"/>
    <w:rsid w:val="009B21A1"/>
    <w:rsid w:val="009B3A77"/>
    <w:rsid w:val="009B54A8"/>
    <w:rsid w:val="009B6458"/>
    <w:rsid w:val="009B6BE2"/>
    <w:rsid w:val="009B6D9C"/>
    <w:rsid w:val="009B74AB"/>
    <w:rsid w:val="009B764A"/>
    <w:rsid w:val="009B7E7E"/>
    <w:rsid w:val="009C0012"/>
    <w:rsid w:val="009C144F"/>
    <w:rsid w:val="009C1632"/>
    <w:rsid w:val="009C284E"/>
    <w:rsid w:val="009C3C75"/>
    <w:rsid w:val="009C4028"/>
    <w:rsid w:val="009C6036"/>
    <w:rsid w:val="009C605A"/>
    <w:rsid w:val="009C61AF"/>
    <w:rsid w:val="009C67E3"/>
    <w:rsid w:val="009C6A4A"/>
    <w:rsid w:val="009C71DC"/>
    <w:rsid w:val="009D0004"/>
    <w:rsid w:val="009D0782"/>
    <w:rsid w:val="009D1664"/>
    <w:rsid w:val="009D16D1"/>
    <w:rsid w:val="009D222A"/>
    <w:rsid w:val="009D3520"/>
    <w:rsid w:val="009D3B85"/>
    <w:rsid w:val="009D41D8"/>
    <w:rsid w:val="009D4397"/>
    <w:rsid w:val="009D4A91"/>
    <w:rsid w:val="009D4C06"/>
    <w:rsid w:val="009E0BE4"/>
    <w:rsid w:val="009E2A12"/>
    <w:rsid w:val="009E5F3B"/>
    <w:rsid w:val="009E68E8"/>
    <w:rsid w:val="009F0332"/>
    <w:rsid w:val="009F2A37"/>
    <w:rsid w:val="009F309F"/>
    <w:rsid w:val="009F3ECA"/>
    <w:rsid w:val="009F510B"/>
    <w:rsid w:val="009F52D0"/>
    <w:rsid w:val="009F59A0"/>
    <w:rsid w:val="009F7352"/>
    <w:rsid w:val="00A006D8"/>
    <w:rsid w:val="00A00A78"/>
    <w:rsid w:val="00A0255F"/>
    <w:rsid w:val="00A05E1A"/>
    <w:rsid w:val="00A05F72"/>
    <w:rsid w:val="00A06109"/>
    <w:rsid w:val="00A06610"/>
    <w:rsid w:val="00A0674C"/>
    <w:rsid w:val="00A07223"/>
    <w:rsid w:val="00A072D4"/>
    <w:rsid w:val="00A07696"/>
    <w:rsid w:val="00A112B3"/>
    <w:rsid w:val="00A117A3"/>
    <w:rsid w:val="00A11FD5"/>
    <w:rsid w:val="00A123D4"/>
    <w:rsid w:val="00A12A48"/>
    <w:rsid w:val="00A13B27"/>
    <w:rsid w:val="00A1513A"/>
    <w:rsid w:val="00A15253"/>
    <w:rsid w:val="00A155D1"/>
    <w:rsid w:val="00A17562"/>
    <w:rsid w:val="00A175C9"/>
    <w:rsid w:val="00A20DB4"/>
    <w:rsid w:val="00A214FF"/>
    <w:rsid w:val="00A241B6"/>
    <w:rsid w:val="00A2420A"/>
    <w:rsid w:val="00A2457B"/>
    <w:rsid w:val="00A24659"/>
    <w:rsid w:val="00A248A1"/>
    <w:rsid w:val="00A24D47"/>
    <w:rsid w:val="00A25ABB"/>
    <w:rsid w:val="00A26110"/>
    <w:rsid w:val="00A26303"/>
    <w:rsid w:val="00A27299"/>
    <w:rsid w:val="00A309DE"/>
    <w:rsid w:val="00A3140D"/>
    <w:rsid w:val="00A31D36"/>
    <w:rsid w:val="00A3260D"/>
    <w:rsid w:val="00A3268F"/>
    <w:rsid w:val="00A32E91"/>
    <w:rsid w:val="00A33B55"/>
    <w:rsid w:val="00A35C92"/>
    <w:rsid w:val="00A35EB1"/>
    <w:rsid w:val="00A372B9"/>
    <w:rsid w:val="00A3739B"/>
    <w:rsid w:val="00A40BF5"/>
    <w:rsid w:val="00A41DD6"/>
    <w:rsid w:val="00A41EBF"/>
    <w:rsid w:val="00A41F25"/>
    <w:rsid w:val="00A42755"/>
    <w:rsid w:val="00A42833"/>
    <w:rsid w:val="00A429D9"/>
    <w:rsid w:val="00A43B78"/>
    <w:rsid w:val="00A44AF6"/>
    <w:rsid w:val="00A44DD5"/>
    <w:rsid w:val="00A46545"/>
    <w:rsid w:val="00A46C85"/>
    <w:rsid w:val="00A47573"/>
    <w:rsid w:val="00A47E73"/>
    <w:rsid w:val="00A50066"/>
    <w:rsid w:val="00A50EC2"/>
    <w:rsid w:val="00A52999"/>
    <w:rsid w:val="00A52BAA"/>
    <w:rsid w:val="00A532AF"/>
    <w:rsid w:val="00A53663"/>
    <w:rsid w:val="00A53C3A"/>
    <w:rsid w:val="00A541B4"/>
    <w:rsid w:val="00A55189"/>
    <w:rsid w:val="00A55DB3"/>
    <w:rsid w:val="00A56118"/>
    <w:rsid w:val="00A56180"/>
    <w:rsid w:val="00A569F3"/>
    <w:rsid w:val="00A56AA1"/>
    <w:rsid w:val="00A56BDF"/>
    <w:rsid w:val="00A5758B"/>
    <w:rsid w:val="00A57971"/>
    <w:rsid w:val="00A602CF"/>
    <w:rsid w:val="00A60F69"/>
    <w:rsid w:val="00A62654"/>
    <w:rsid w:val="00A630BE"/>
    <w:rsid w:val="00A632B3"/>
    <w:rsid w:val="00A63308"/>
    <w:rsid w:val="00A63E2A"/>
    <w:rsid w:val="00A63F55"/>
    <w:rsid w:val="00A65EE8"/>
    <w:rsid w:val="00A70B21"/>
    <w:rsid w:val="00A7127D"/>
    <w:rsid w:val="00A713EA"/>
    <w:rsid w:val="00A714C3"/>
    <w:rsid w:val="00A71CDE"/>
    <w:rsid w:val="00A72742"/>
    <w:rsid w:val="00A72F23"/>
    <w:rsid w:val="00A7322E"/>
    <w:rsid w:val="00A73959"/>
    <w:rsid w:val="00A73A8F"/>
    <w:rsid w:val="00A73B48"/>
    <w:rsid w:val="00A740D0"/>
    <w:rsid w:val="00A74413"/>
    <w:rsid w:val="00A74A93"/>
    <w:rsid w:val="00A75A4E"/>
    <w:rsid w:val="00A77601"/>
    <w:rsid w:val="00A8009D"/>
    <w:rsid w:val="00A81C82"/>
    <w:rsid w:val="00A82DAF"/>
    <w:rsid w:val="00A82FDD"/>
    <w:rsid w:val="00A920FF"/>
    <w:rsid w:val="00A923FE"/>
    <w:rsid w:val="00A93785"/>
    <w:rsid w:val="00A93F4C"/>
    <w:rsid w:val="00A942E9"/>
    <w:rsid w:val="00A94DF9"/>
    <w:rsid w:val="00AA1175"/>
    <w:rsid w:val="00AA1DB7"/>
    <w:rsid w:val="00AA1E7C"/>
    <w:rsid w:val="00AB0EEC"/>
    <w:rsid w:val="00AB1D22"/>
    <w:rsid w:val="00AB1FC0"/>
    <w:rsid w:val="00AB2D97"/>
    <w:rsid w:val="00AB3459"/>
    <w:rsid w:val="00AB3672"/>
    <w:rsid w:val="00AB3FE0"/>
    <w:rsid w:val="00AB489C"/>
    <w:rsid w:val="00AB4BE7"/>
    <w:rsid w:val="00AB4ECE"/>
    <w:rsid w:val="00AB50DF"/>
    <w:rsid w:val="00AB5498"/>
    <w:rsid w:val="00AB59BC"/>
    <w:rsid w:val="00AC00FB"/>
    <w:rsid w:val="00AC01DD"/>
    <w:rsid w:val="00AC07BF"/>
    <w:rsid w:val="00AC0ABF"/>
    <w:rsid w:val="00AC1CC4"/>
    <w:rsid w:val="00AC1EF1"/>
    <w:rsid w:val="00AC2C87"/>
    <w:rsid w:val="00AC3AA1"/>
    <w:rsid w:val="00AC3BF9"/>
    <w:rsid w:val="00AC3C8C"/>
    <w:rsid w:val="00AC549B"/>
    <w:rsid w:val="00AC59F6"/>
    <w:rsid w:val="00AD0100"/>
    <w:rsid w:val="00AD154F"/>
    <w:rsid w:val="00AD1C3B"/>
    <w:rsid w:val="00AD1EE9"/>
    <w:rsid w:val="00AD3522"/>
    <w:rsid w:val="00AD3B3A"/>
    <w:rsid w:val="00AD54A7"/>
    <w:rsid w:val="00AD666D"/>
    <w:rsid w:val="00AD6C2D"/>
    <w:rsid w:val="00AD7581"/>
    <w:rsid w:val="00AE1050"/>
    <w:rsid w:val="00AE25EA"/>
    <w:rsid w:val="00AE2778"/>
    <w:rsid w:val="00AE39ED"/>
    <w:rsid w:val="00AE47AF"/>
    <w:rsid w:val="00AE4D90"/>
    <w:rsid w:val="00AE5CFB"/>
    <w:rsid w:val="00AE5CFD"/>
    <w:rsid w:val="00AE613B"/>
    <w:rsid w:val="00AE6548"/>
    <w:rsid w:val="00AE6562"/>
    <w:rsid w:val="00AE7B53"/>
    <w:rsid w:val="00AF1D83"/>
    <w:rsid w:val="00AF25AB"/>
    <w:rsid w:val="00AF2FDA"/>
    <w:rsid w:val="00AF43B3"/>
    <w:rsid w:val="00AF4840"/>
    <w:rsid w:val="00AF57E3"/>
    <w:rsid w:val="00AF792A"/>
    <w:rsid w:val="00B020FF"/>
    <w:rsid w:val="00B0398E"/>
    <w:rsid w:val="00B0432A"/>
    <w:rsid w:val="00B04C9A"/>
    <w:rsid w:val="00B05F4C"/>
    <w:rsid w:val="00B06A09"/>
    <w:rsid w:val="00B06B9C"/>
    <w:rsid w:val="00B07E93"/>
    <w:rsid w:val="00B101C7"/>
    <w:rsid w:val="00B11191"/>
    <w:rsid w:val="00B119E3"/>
    <w:rsid w:val="00B11C27"/>
    <w:rsid w:val="00B12C36"/>
    <w:rsid w:val="00B141AC"/>
    <w:rsid w:val="00B141FD"/>
    <w:rsid w:val="00B14F91"/>
    <w:rsid w:val="00B206A4"/>
    <w:rsid w:val="00B20E0B"/>
    <w:rsid w:val="00B20EC5"/>
    <w:rsid w:val="00B221E7"/>
    <w:rsid w:val="00B22210"/>
    <w:rsid w:val="00B24481"/>
    <w:rsid w:val="00B24860"/>
    <w:rsid w:val="00B249B7"/>
    <w:rsid w:val="00B24B98"/>
    <w:rsid w:val="00B255E2"/>
    <w:rsid w:val="00B26191"/>
    <w:rsid w:val="00B27031"/>
    <w:rsid w:val="00B300E7"/>
    <w:rsid w:val="00B31E05"/>
    <w:rsid w:val="00B329CC"/>
    <w:rsid w:val="00B32FCD"/>
    <w:rsid w:val="00B35A39"/>
    <w:rsid w:val="00B37228"/>
    <w:rsid w:val="00B376F3"/>
    <w:rsid w:val="00B40107"/>
    <w:rsid w:val="00B418F1"/>
    <w:rsid w:val="00B4287C"/>
    <w:rsid w:val="00B429CD"/>
    <w:rsid w:val="00B43759"/>
    <w:rsid w:val="00B4566A"/>
    <w:rsid w:val="00B45971"/>
    <w:rsid w:val="00B45E05"/>
    <w:rsid w:val="00B45FE7"/>
    <w:rsid w:val="00B46351"/>
    <w:rsid w:val="00B4794B"/>
    <w:rsid w:val="00B5024B"/>
    <w:rsid w:val="00B502E2"/>
    <w:rsid w:val="00B507BB"/>
    <w:rsid w:val="00B51442"/>
    <w:rsid w:val="00B51B5C"/>
    <w:rsid w:val="00B523A7"/>
    <w:rsid w:val="00B5243E"/>
    <w:rsid w:val="00B52449"/>
    <w:rsid w:val="00B524F9"/>
    <w:rsid w:val="00B53CC1"/>
    <w:rsid w:val="00B542DF"/>
    <w:rsid w:val="00B57F0B"/>
    <w:rsid w:val="00B63648"/>
    <w:rsid w:val="00B63DA0"/>
    <w:rsid w:val="00B668DA"/>
    <w:rsid w:val="00B66C86"/>
    <w:rsid w:val="00B66DED"/>
    <w:rsid w:val="00B67001"/>
    <w:rsid w:val="00B67582"/>
    <w:rsid w:val="00B67E37"/>
    <w:rsid w:val="00B71470"/>
    <w:rsid w:val="00B7151D"/>
    <w:rsid w:val="00B71AC3"/>
    <w:rsid w:val="00B71E52"/>
    <w:rsid w:val="00B72BDB"/>
    <w:rsid w:val="00B739A3"/>
    <w:rsid w:val="00B7410B"/>
    <w:rsid w:val="00B74313"/>
    <w:rsid w:val="00B74E46"/>
    <w:rsid w:val="00B7501F"/>
    <w:rsid w:val="00B75D17"/>
    <w:rsid w:val="00B7621E"/>
    <w:rsid w:val="00B769A1"/>
    <w:rsid w:val="00B771B6"/>
    <w:rsid w:val="00B814A5"/>
    <w:rsid w:val="00B819F3"/>
    <w:rsid w:val="00B82A9C"/>
    <w:rsid w:val="00B87116"/>
    <w:rsid w:val="00B9046C"/>
    <w:rsid w:val="00B904C5"/>
    <w:rsid w:val="00B908EF"/>
    <w:rsid w:val="00B924CF"/>
    <w:rsid w:val="00B94976"/>
    <w:rsid w:val="00B95945"/>
    <w:rsid w:val="00B95E36"/>
    <w:rsid w:val="00B96F91"/>
    <w:rsid w:val="00BA04DA"/>
    <w:rsid w:val="00BA137C"/>
    <w:rsid w:val="00BA21C9"/>
    <w:rsid w:val="00BA2CFA"/>
    <w:rsid w:val="00BA2E6C"/>
    <w:rsid w:val="00BA32EF"/>
    <w:rsid w:val="00BA37B3"/>
    <w:rsid w:val="00BA430B"/>
    <w:rsid w:val="00BA664E"/>
    <w:rsid w:val="00BA6692"/>
    <w:rsid w:val="00BA6F4C"/>
    <w:rsid w:val="00BB01B8"/>
    <w:rsid w:val="00BB0F8C"/>
    <w:rsid w:val="00BB20B0"/>
    <w:rsid w:val="00BB2C98"/>
    <w:rsid w:val="00BB368F"/>
    <w:rsid w:val="00BB39AC"/>
    <w:rsid w:val="00BB4716"/>
    <w:rsid w:val="00BB489D"/>
    <w:rsid w:val="00BB5791"/>
    <w:rsid w:val="00BB65BB"/>
    <w:rsid w:val="00BB6ADE"/>
    <w:rsid w:val="00BB7912"/>
    <w:rsid w:val="00BC092D"/>
    <w:rsid w:val="00BC0A25"/>
    <w:rsid w:val="00BC3BE0"/>
    <w:rsid w:val="00BC67EB"/>
    <w:rsid w:val="00BC6B5D"/>
    <w:rsid w:val="00BD18B9"/>
    <w:rsid w:val="00BD2B9E"/>
    <w:rsid w:val="00BD3B8D"/>
    <w:rsid w:val="00BD3DC7"/>
    <w:rsid w:val="00BD3EE7"/>
    <w:rsid w:val="00BD543B"/>
    <w:rsid w:val="00BD58F6"/>
    <w:rsid w:val="00BD5D94"/>
    <w:rsid w:val="00BD611D"/>
    <w:rsid w:val="00BD6EBD"/>
    <w:rsid w:val="00BD74C3"/>
    <w:rsid w:val="00BE04C9"/>
    <w:rsid w:val="00BE074B"/>
    <w:rsid w:val="00BE0BDF"/>
    <w:rsid w:val="00BE0FFD"/>
    <w:rsid w:val="00BE112C"/>
    <w:rsid w:val="00BE18D4"/>
    <w:rsid w:val="00BE19C3"/>
    <w:rsid w:val="00BE249A"/>
    <w:rsid w:val="00BE24B5"/>
    <w:rsid w:val="00BE2617"/>
    <w:rsid w:val="00BE4B78"/>
    <w:rsid w:val="00BE67EC"/>
    <w:rsid w:val="00BE6F30"/>
    <w:rsid w:val="00BF29D3"/>
    <w:rsid w:val="00BF2AEB"/>
    <w:rsid w:val="00BF31F3"/>
    <w:rsid w:val="00BF453C"/>
    <w:rsid w:val="00BF5993"/>
    <w:rsid w:val="00BF5EBC"/>
    <w:rsid w:val="00BF7249"/>
    <w:rsid w:val="00BF7F79"/>
    <w:rsid w:val="00C01A3D"/>
    <w:rsid w:val="00C02100"/>
    <w:rsid w:val="00C0222E"/>
    <w:rsid w:val="00C03268"/>
    <w:rsid w:val="00C03AC5"/>
    <w:rsid w:val="00C040C9"/>
    <w:rsid w:val="00C040F5"/>
    <w:rsid w:val="00C049F8"/>
    <w:rsid w:val="00C0576A"/>
    <w:rsid w:val="00C0711C"/>
    <w:rsid w:val="00C07E7B"/>
    <w:rsid w:val="00C07F00"/>
    <w:rsid w:val="00C1332A"/>
    <w:rsid w:val="00C15ED6"/>
    <w:rsid w:val="00C1618F"/>
    <w:rsid w:val="00C16302"/>
    <w:rsid w:val="00C1700E"/>
    <w:rsid w:val="00C17F32"/>
    <w:rsid w:val="00C20FAE"/>
    <w:rsid w:val="00C2164F"/>
    <w:rsid w:val="00C229C7"/>
    <w:rsid w:val="00C22D79"/>
    <w:rsid w:val="00C22D98"/>
    <w:rsid w:val="00C27CDF"/>
    <w:rsid w:val="00C300EC"/>
    <w:rsid w:val="00C3010D"/>
    <w:rsid w:val="00C3013E"/>
    <w:rsid w:val="00C30A36"/>
    <w:rsid w:val="00C3137A"/>
    <w:rsid w:val="00C31E43"/>
    <w:rsid w:val="00C31F1C"/>
    <w:rsid w:val="00C31FB9"/>
    <w:rsid w:val="00C32825"/>
    <w:rsid w:val="00C32F92"/>
    <w:rsid w:val="00C33B92"/>
    <w:rsid w:val="00C356CF"/>
    <w:rsid w:val="00C35F22"/>
    <w:rsid w:val="00C36212"/>
    <w:rsid w:val="00C3653A"/>
    <w:rsid w:val="00C36689"/>
    <w:rsid w:val="00C376C8"/>
    <w:rsid w:val="00C379A9"/>
    <w:rsid w:val="00C37A73"/>
    <w:rsid w:val="00C400EC"/>
    <w:rsid w:val="00C41446"/>
    <w:rsid w:val="00C432EE"/>
    <w:rsid w:val="00C439BE"/>
    <w:rsid w:val="00C45386"/>
    <w:rsid w:val="00C458E5"/>
    <w:rsid w:val="00C45FDC"/>
    <w:rsid w:val="00C47AC4"/>
    <w:rsid w:val="00C50069"/>
    <w:rsid w:val="00C50490"/>
    <w:rsid w:val="00C50F3F"/>
    <w:rsid w:val="00C5315C"/>
    <w:rsid w:val="00C543B8"/>
    <w:rsid w:val="00C54BD7"/>
    <w:rsid w:val="00C54C33"/>
    <w:rsid w:val="00C5538E"/>
    <w:rsid w:val="00C5631F"/>
    <w:rsid w:val="00C567A2"/>
    <w:rsid w:val="00C61221"/>
    <w:rsid w:val="00C62412"/>
    <w:rsid w:val="00C629BA"/>
    <w:rsid w:val="00C633B6"/>
    <w:rsid w:val="00C64ECE"/>
    <w:rsid w:val="00C65230"/>
    <w:rsid w:val="00C6549B"/>
    <w:rsid w:val="00C65974"/>
    <w:rsid w:val="00C6686F"/>
    <w:rsid w:val="00C676FE"/>
    <w:rsid w:val="00C707A4"/>
    <w:rsid w:val="00C70F52"/>
    <w:rsid w:val="00C70FEC"/>
    <w:rsid w:val="00C74439"/>
    <w:rsid w:val="00C7494B"/>
    <w:rsid w:val="00C74A04"/>
    <w:rsid w:val="00C75587"/>
    <w:rsid w:val="00C7622E"/>
    <w:rsid w:val="00C77CDD"/>
    <w:rsid w:val="00C77D3D"/>
    <w:rsid w:val="00C80099"/>
    <w:rsid w:val="00C81D4C"/>
    <w:rsid w:val="00C82065"/>
    <w:rsid w:val="00C820C3"/>
    <w:rsid w:val="00C8238E"/>
    <w:rsid w:val="00C82880"/>
    <w:rsid w:val="00C82C9C"/>
    <w:rsid w:val="00C83107"/>
    <w:rsid w:val="00C833C3"/>
    <w:rsid w:val="00C858BE"/>
    <w:rsid w:val="00C85A66"/>
    <w:rsid w:val="00C85BB3"/>
    <w:rsid w:val="00C87A15"/>
    <w:rsid w:val="00C900EC"/>
    <w:rsid w:val="00C903E7"/>
    <w:rsid w:val="00C90EA9"/>
    <w:rsid w:val="00C91DF1"/>
    <w:rsid w:val="00C92985"/>
    <w:rsid w:val="00C92A01"/>
    <w:rsid w:val="00C93A5E"/>
    <w:rsid w:val="00C94222"/>
    <w:rsid w:val="00C947C6"/>
    <w:rsid w:val="00C94F2C"/>
    <w:rsid w:val="00C95B60"/>
    <w:rsid w:val="00C96960"/>
    <w:rsid w:val="00C973E9"/>
    <w:rsid w:val="00C97E8D"/>
    <w:rsid w:val="00CA03DA"/>
    <w:rsid w:val="00CA1169"/>
    <w:rsid w:val="00CA1437"/>
    <w:rsid w:val="00CA1920"/>
    <w:rsid w:val="00CA3687"/>
    <w:rsid w:val="00CA5BA5"/>
    <w:rsid w:val="00CA5D2E"/>
    <w:rsid w:val="00CA7621"/>
    <w:rsid w:val="00CB0CDE"/>
    <w:rsid w:val="00CB1ECB"/>
    <w:rsid w:val="00CB2C7D"/>
    <w:rsid w:val="00CB3647"/>
    <w:rsid w:val="00CB3B59"/>
    <w:rsid w:val="00CB4011"/>
    <w:rsid w:val="00CB5648"/>
    <w:rsid w:val="00CB5D85"/>
    <w:rsid w:val="00CB76E1"/>
    <w:rsid w:val="00CC01E9"/>
    <w:rsid w:val="00CC1024"/>
    <w:rsid w:val="00CC11A7"/>
    <w:rsid w:val="00CC26DF"/>
    <w:rsid w:val="00CC2D65"/>
    <w:rsid w:val="00CC3EBF"/>
    <w:rsid w:val="00CC4A75"/>
    <w:rsid w:val="00CC537A"/>
    <w:rsid w:val="00CC5A07"/>
    <w:rsid w:val="00CC5A8F"/>
    <w:rsid w:val="00CC6651"/>
    <w:rsid w:val="00CC7913"/>
    <w:rsid w:val="00CD07FB"/>
    <w:rsid w:val="00CD0BBC"/>
    <w:rsid w:val="00CD2913"/>
    <w:rsid w:val="00CD3C1F"/>
    <w:rsid w:val="00CD4C55"/>
    <w:rsid w:val="00CD53D3"/>
    <w:rsid w:val="00CD5467"/>
    <w:rsid w:val="00CD6026"/>
    <w:rsid w:val="00CE0C74"/>
    <w:rsid w:val="00CE14BF"/>
    <w:rsid w:val="00CE1AE8"/>
    <w:rsid w:val="00CE22D3"/>
    <w:rsid w:val="00CE2FE3"/>
    <w:rsid w:val="00CE3847"/>
    <w:rsid w:val="00CE53DE"/>
    <w:rsid w:val="00CE6E57"/>
    <w:rsid w:val="00CE7A41"/>
    <w:rsid w:val="00CF034D"/>
    <w:rsid w:val="00CF2049"/>
    <w:rsid w:val="00CF2144"/>
    <w:rsid w:val="00CF29BC"/>
    <w:rsid w:val="00CF30DC"/>
    <w:rsid w:val="00CF3A5A"/>
    <w:rsid w:val="00CF3EDD"/>
    <w:rsid w:val="00D003EA"/>
    <w:rsid w:val="00D006B8"/>
    <w:rsid w:val="00D01DB6"/>
    <w:rsid w:val="00D031F6"/>
    <w:rsid w:val="00D03328"/>
    <w:rsid w:val="00D03828"/>
    <w:rsid w:val="00D048D1"/>
    <w:rsid w:val="00D07757"/>
    <w:rsid w:val="00D07C7C"/>
    <w:rsid w:val="00D10495"/>
    <w:rsid w:val="00D1191F"/>
    <w:rsid w:val="00D11988"/>
    <w:rsid w:val="00D12820"/>
    <w:rsid w:val="00D12D5E"/>
    <w:rsid w:val="00D139C8"/>
    <w:rsid w:val="00D14AA3"/>
    <w:rsid w:val="00D14FBF"/>
    <w:rsid w:val="00D15653"/>
    <w:rsid w:val="00D161C3"/>
    <w:rsid w:val="00D16275"/>
    <w:rsid w:val="00D178B6"/>
    <w:rsid w:val="00D213F1"/>
    <w:rsid w:val="00D21497"/>
    <w:rsid w:val="00D21F00"/>
    <w:rsid w:val="00D2299F"/>
    <w:rsid w:val="00D23426"/>
    <w:rsid w:val="00D23674"/>
    <w:rsid w:val="00D23B4B"/>
    <w:rsid w:val="00D2436F"/>
    <w:rsid w:val="00D24721"/>
    <w:rsid w:val="00D25216"/>
    <w:rsid w:val="00D25F0E"/>
    <w:rsid w:val="00D308F5"/>
    <w:rsid w:val="00D31AF8"/>
    <w:rsid w:val="00D31D34"/>
    <w:rsid w:val="00D3213B"/>
    <w:rsid w:val="00D32665"/>
    <w:rsid w:val="00D337C7"/>
    <w:rsid w:val="00D33EDE"/>
    <w:rsid w:val="00D3451B"/>
    <w:rsid w:val="00D346EA"/>
    <w:rsid w:val="00D351F4"/>
    <w:rsid w:val="00D3557E"/>
    <w:rsid w:val="00D361CF"/>
    <w:rsid w:val="00D3709D"/>
    <w:rsid w:val="00D411BE"/>
    <w:rsid w:val="00D41468"/>
    <w:rsid w:val="00D41FD2"/>
    <w:rsid w:val="00D42ED7"/>
    <w:rsid w:val="00D43F40"/>
    <w:rsid w:val="00D44316"/>
    <w:rsid w:val="00D468DB"/>
    <w:rsid w:val="00D47247"/>
    <w:rsid w:val="00D50EB3"/>
    <w:rsid w:val="00D51489"/>
    <w:rsid w:val="00D51A4C"/>
    <w:rsid w:val="00D522C4"/>
    <w:rsid w:val="00D53023"/>
    <w:rsid w:val="00D53873"/>
    <w:rsid w:val="00D54037"/>
    <w:rsid w:val="00D54226"/>
    <w:rsid w:val="00D54FE0"/>
    <w:rsid w:val="00D55925"/>
    <w:rsid w:val="00D56671"/>
    <w:rsid w:val="00D56FC4"/>
    <w:rsid w:val="00D6013E"/>
    <w:rsid w:val="00D60EA7"/>
    <w:rsid w:val="00D622DE"/>
    <w:rsid w:val="00D63A00"/>
    <w:rsid w:val="00D64639"/>
    <w:rsid w:val="00D64DD7"/>
    <w:rsid w:val="00D654AA"/>
    <w:rsid w:val="00D65DD2"/>
    <w:rsid w:val="00D66379"/>
    <w:rsid w:val="00D66546"/>
    <w:rsid w:val="00D6669F"/>
    <w:rsid w:val="00D66B2D"/>
    <w:rsid w:val="00D6752B"/>
    <w:rsid w:val="00D67FDD"/>
    <w:rsid w:val="00D701A5"/>
    <w:rsid w:val="00D70213"/>
    <w:rsid w:val="00D70FDF"/>
    <w:rsid w:val="00D716BC"/>
    <w:rsid w:val="00D71D7B"/>
    <w:rsid w:val="00D75BA8"/>
    <w:rsid w:val="00D762CB"/>
    <w:rsid w:val="00D76CBC"/>
    <w:rsid w:val="00D771B6"/>
    <w:rsid w:val="00D77F1C"/>
    <w:rsid w:val="00D8021D"/>
    <w:rsid w:val="00D813DC"/>
    <w:rsid w:val="00D818A1"/>
    <w:rsid w:val="00D81B85"/>
    <w:rsid w:val="00D8296A"/>
    <w:rsid w:val="00D83EA3"/>
    <w:rsid w:val="00D85B77"/>
    <w:rsid w:val="00D862AC"/>
    <w:rsid w:val="00D86463"/>
    <w:rsid w:val="00D902FC"/>
    <w:rsid w:val="00D90C96"/>
    <w:rsid w:val="00D90ECB"/>
    <w:rsid w:val="00D91724"/>
    <w:rsid w:val="00D91E7A"/>
    <w:rsid w:val="00D91F4E"/>
    <w:rsid w:val="00D95922"/>
    <w:rsid w:val="00D9594D"/>
    <w:rsid w:val="00D95B05"/>
    <w:rsid w:val="00D961BF"/>
    <w:rsid w:val="00D97329"/>
    <w:rsid w:val="00DA02FE"/>
    <w:rsid w:val="00DA0320"/>
    <w:rsid w:val="00DA06D0"/>
    <w:rsid w:val="00DA0D38"/>
    <w:rsid w:val="00DA2282"/>
    <w:rsid w:val="00DA3AC7"/>
    <w:rsid w:val="00DA46E8"/>
    <w:rsid w:val="00DA51C0"/>
    <w:rsid w:val="00DA6709"/>
    <w:rsid w:val="00DA6F85"/>
    <w:rsid w:val="00DA7697"/>
    <w:rsid w:val="00DB02F9"/>
    <w:rsid w:val="00DB17A7"/>
    <w:rsid w:val="00DB1CFF"/>
    <w:rsid w:val="00DB26D7"/>
    <w:rsid w:val="00DB2894"/>
    <w:rsid w:val="00DB3A8E"/>
    <w:rsid w:val="00DB4106"/>
    <w:rsid w:val="00DB57BC"/>
    <w:rsid w:val="00DB5B84"/>
    <w:rsid w:val="00DB5EE3"/>
    <w:rsid w:val="00DB72E3"/>
    <w:rsid w:val="00DB75EF"/>
    <w:rsid w:val="00DC36E9"/>
    <w:rsid w:val="00DC3BD3"/>
    <w:rsid w:val="00DC3CBF"/>
    <w:rsid w:val="00DC3EC4"/>
    <w:rsid w:val="00DC3FFC"/>
    <w:rsid w:val="00DC410D"/>
    <w:rsid w:val="00DC45D1"/>
    <w:rsid w:val="00DC54EA"/>
    <w:rsid w:val="00DC6349"/>
    <w:rsid w:val="00DC7B6A"/>
    <w:rsid w:val="00DD0661"/>
    <w:rsid w:val="00DD2401"/>
    <w:rsid w:val="00DD28B3"/>
    <w:rsid w:val="00DD3A03"/>
    <w:rsid w:val="00DD6ED6"/>
    <w:rsid w:val="00DD742D"/>
    <w:rsid w:val="00DE176A"/>
    <w:rsid w:val="00DE17B2"/>
    <w:rsid w:val="00DE3075"/>
    <w:rsid w:val="00DE31DC"/>
    <w:rsid w:val="00DE5113"/>
    <w:rsid w:val="00DE5376"/>
    <w:rsid w:val="00DE56B0"/>
    <w:rsid w:val="00DE56E7"/>
    <w:rsid w:val="00DE76D5"/>
    <w:rsid w:val="00DE7837"/>
    <w:rsid w:val="00DE78E2"/>
    <w:rsid w:val="00DE78F8"/>
    <w:rsid w:val="00DE7FFE"/>
    <w:rsid w:val="00DF1228"/>
    <w:rsid w:val="00DF134E"/>
    <w:rsid w:val="00DF1719"/>
    <w:rsid w:val="00DF1D7F"/>
    <w:rsid w:val="00DF2282"/>
    <w:rsid w:val="00DF35E9"/>
    <w:rsid w:val="00DF3AEE"/>
    <w:rsid w:val="00DF4432"/>
    <w:rsid w:val="00DF562F"/>
    <w:rsid w:val="00DF654A"/>
    <w:rsid w:val="00DF6C51"/>
    <w:rsid w:val="00DF7114"/>
    <w:rsid w:val="00DF77D7"/>
    <w:rsid w:val="00DF7845"/>
    <w:rsid w:val="00DF78FD"/>
    <w:rsid w:val="00E00586"/>
    <w:rsid w:val="00E00CC6"/>
    <w:rsid w:val="00E027CE"/>
    <w:rsid w:val="00E029AB"/>
    <w:rsid w:val="00E04D50"/>
    <w:rsid w:val="00E04F94"/>
    <w:rsid w:val="00E05E56"/>
    <w:rsid w:val="00E06B80"/>
    <w:rsid w:val="00E12812"/>
    <w:rsid w:val="00E130D4"/>
    <w:rsid w:val="00E14281"/>
    <w:rsid w:val="00E143A4"/>
    <w:rsid w:val="00E1488E"/>
    <w:rsid w:val="00E14BE8"/>
    <w:rsid w:val="00E14C0F"/>
    <w:rsid w:val="00E151DE"/>
    <w:rsid w:val="00E155C1"/>
    <w:rsid w:val="00E15D49"/>
    <w:rsid w:val="00E162B5"/>
    <w:rsid w:val="00E20720"/>
    <w:rsid w:val="00E20FE3"/>
    <w:rsid w:val="00E21FCE"/>
    <w:rsid w:val="00E225BD"/>
    <w:rsid w:val="00E25C43"/>
    <w:rsid w:val="00E25DE2"/>
    <w:rsid w:val="00E260F8"/>
    <w:rsid w:val="00E26CF1"/>
    <w:rsid w:val="00E276F9"/>
    <w:rsid w:val="00E27BF1"/>
    <w:rsid w:val="00E300DE"/>
    <w:rsid w:val="00E3166A"/>
    <w:rsid w:val="00E3403E"/>
    <w:rsid w:val="00E34173"/>
    <w:rsid w:val="00E36452"/>
    <w:rsid w:val="00E36CEE"/>
    <w:rsid w:val="00E43785"/>
    <w:rsid w:val="00E438A2"/>
    <w:rsid w:val="00E439F2"/>
    <w:rsid w:val="00E4413B"/>
    <w:rsid w:val="00E44DF3"/>
    <w:rsid w:val="00E462E2"/>
    <w:rsid w:val="00E4679F"/>
    <w:rsid w:val="00E46A35"/>
    <w:rsid w:val="00E47354"/>
    <w:rsid w:val="00E47B8D"/>
    <w:rsid w:val="00E50B4E"/>
    <w:rsid w:val="00E517FE"/>
    <w:rsid w:val="00E525A4"/>
    <w:rsid w:val="00E525D7"/>
    <w:rsid w:val="00E54F19"/>
    <w:rsid w:val="00E55853"/>
    <w:rsid w:val="00E55E8B"/>
    <w:rsid w:val="00E56201"/>
    <w:rsid w:val="00E5636B"/>
    <w:rsid w:val="00E571CC"/>
    <w:rsid w:val="00E57C04"/>
    <w:rsid w:val="00E6028B"/>
    <w:rsid w:val="00E60A0A"/>
    <w:rsid w:val="00E612EE"/>
    <w:rsid w:val="00E618E4"/>
    <w:rsid w:val="00E619F9"/>
    <w:rsid w:val="00E62BA5"/>
    <w:rsid w:val="00E6590B"/>
    <w:rsid w:val="00E66B14"/>
    <w:rsid w:val="00E70AF2"/>
    <w:rsid w:val="00E71EC4"/>
    <w:rsid w:val="00E721F2"/>
    <w:rsid w:val="00E728CC"/>
    <w:rsid w:val="00E737BD"/>
    <w:rsid w:val="00E7466C"/>
    <w:rsid w:val="00E74EDC"/>
    <w:rsid w:val="00E76EE5"/>
    <w:rsid w:val="00E77738"/>
    <w:rsid w:val="00E77746"/>
    <w:rsid w:val="00E80009"/>
    <w:rsid w:val="00E8017D"/>
    <w:rsid w:val="00E80D97"/>
    <w:rsid w:val="00E81854"/>
    <w:rsid w:val="00E833C9"/>
    <w:rsid w:val="00E85654"/>
    <w:rsid w:val="00E86D62"/>
    <w:rsid w:val="00E87850"/>
    <w:rsid w:val="00E87F80"/>
    <w:rsid w:val="00E90692"/>
    <w:rsid w:val="00E90880"/>
    <w:rsid w:val="00E92BEC"/>
    <w:rsid w:val="00E938A2"/>
    <w:rsid w:val="00E93DE0"/>
    <w:rsid w:val="00E93E81"/>
    <w:rsid w:val="00E96397"/>
    <w:rsid w:val="00E965C8"/>
    <w:rsid w:val="00EA103C"/>
    <w:rsid w:val="00EA2ACD"/>
    <w:rsid w:val="00EA3E6E"/>
    <w:rsid w:val="00EA425A"/>
    <w:rsid w:val="00EA538D"/>
    <w:rsid w:val="00EA614F"/>
    <w:rsid w:val="00EA640B"/>
    <w:rsid w:val="00EA6F7E"/>
    <w:rsid w:val="00EA7259"/>
    <w:rsid w:val="00EB0799"/>
    <w:rsid w:val="00EB08D2"/>
    <w:rsid w:val="00EB1AC4"/>
    <w:rsid w:val="00EB3011"/>
    <w:rsid w:val="00EB372C"/>
    <w:rsid w:val="00EB3B47"/>
    <w:rsid w:val="00EB41C5"/>
    <w:rsid w:val="00EB4C02"/>
    <w:rsid w:val="00EB4F8B"/>
    <w:rsid w:val="00EB5934"/>
    <w:rsid w:val="00EB5C8E"/>
    <w:rsid w:val="00EB6EE2"/>
    <w:rsid w:val="00EB72B8"/>
    <w:rsid w:val="00EB7629"/>
    <w:rsid w:val="00EC0C09"/>
    <w:rsid w:val="00EC1561"/>
    <w:rsid w:val="00EC1E96"/>
    <w:rsid w:val="00EC2E25"/>
    <w:rsid w:val="00EC56A2"/>
    <w:rsid w:val="00EC5B36"/>
    <w:rsid w:val="00EC5D55"/>
    <w:rsid w:val="00EC5D5E"/>
    <w:rsid w:val="00EC6442"/>
    <w:rsid w:val="00EC6830"/>
    <w:rsid w:val="00EC6CAE"/>
    <w:rsid w:val="00EC7DA4"/>
    <w:rsid w:val="00ED093D"/>
    <w:rsid w:val="00ED0E21"/>
    <w:rsid w:val="00ED133C"/>
    <w:rsid w:val="00ED1583"/>
    <w:rsid w:val="00ED23AD"/>
    <w:rsid w:val="00ED3E1E"/>
    <w:rsid w:val="00ED4DC6"/>
    <w:rsid w:val="00ED67C6"/>
    <w:rsid w:val="00ED6E02"/>
    <w:rsid w:val="00EE04FC"/>
    <w:rsid w:val="00EE0863"/>
    <w:rsid w:val="00EE15B4"/>
    <w:rsid w:val="00EE42F9"/>
    <w:rsid w:val="00EE447A"/>
    <w:rsid w:val="00EE492F"/>
    <w:rsid w:val="00EE5289"/>
    <w:rsid w:val="00EE61E3"/>
    <w:rsid w:val="00EE74A2"/>
    <w:rsid w:val="00EF054B"/>
    <w:rsid w:val="00EF19E9"/>
    <w:rsid w:val="00EF1BF3"/>
    <w:rsid w:val="00EF1C72"/>
    <w:rsid w:val="00EF4914"/>
    <w:rsid w:val="00EF568C"/>
    <w:rsid w:val="00EF65F0"/>
    <w:rsid w:val="00EF6AEC"/>
    <w:rsid w:val="00F00737"/>
    <w:rsid w:val="00F02470"/>
    <w:rsid w:val="00F037AF"/>
    <w:rsid w:val="00F04737"/>
    <w:rsid w:val="00F04A07"/>
    <w:rsid w:val="00F055E7"/>
    <w:rsid w:val="00F056D0"/>
    <w:rsid w:val="00F06AC5"/>
    <w:rsid w:val="00F07D7E"/>
    <w:rsid w:val="00F10A4B"/>
    <w:rsid w:val="00F1172D"/>
    <w:rsid w:val="00F118DC"/>
    <w:rsid w:val="00F12A7E"/>
    <w:rsid w:val="00F12B2D"/>
    <w:rsid w:val="00F1369F"/>
    <w:rsid w:val="00F136F6"/>
    <w:rsid w:val="00F13BB0"/>
    <w:rsid w:val="00F14493"/>
    <w:rsid w:val="00F14D87"/>
    <w:rsid w:val="00F153C7"/>
    <w:rsid w:val="00F15826"/>
    <w:rsid w:val="00F15D5B"/>
    <w:rsid w:val="00F1658E"/>
    <w:rsid w:val="00F167BB"/>
    <w:rsid w:val="00F17337"/>
    <w:rsid w:val="00F21E2D"/>
    <w:rsid w:val="00F22C9A"/>
    <w:rsid w:val="00F23E16"/>
    <w:rsid w:val="00F24A55"/>
    <w:rsid w:val="00F2591D"/>
    <w:rsid w:val="00F25954"/>
    <w:rsid w:val="00F2609F"/>
    <w:rsid w:val="00F2655C"/>
    <w:rsid w:val="00F27033"/>
    <w:rsid w:val="00F27CBB"/>
    <w:rsid w:val="00F305C3"/>
    <w:rsid w:val="00F30DE7"/>
    <w:rsid w:val="00F32D84"/>
    <w:rsid w:val="00F33142"/>
    <w:rsid w:val="00F3334A"/>
    <w:rsid w:val="00F35903"/>
    <w:rsid w:val="00F36219"/>
    <w:rsid w:val="00F37287"/>
    <w:rsid w:val="00F375EF"/>
    <w:rsid w:val="00F376A1"/>
    <w:rsid w:val="00F37B9A"/>
    <w:rsid w:val="00F4052B"/>
    <w:rsid w:val="00F4070E"/>
    <w:rsid w:val="00F41728"/>
    <w:rsid w:val="00F42E27"/>
    <w:rsid w:val="00F437F8"/>
    <w:rsid w:val="00F44A6C"/>
    <w:rsid w:val="00F44B8D"/>
    <w:rsid w:val="00F44BD8"/>
    <w:rsid w:val="00F45B03"/>
    <w:rsid w:val="00F45F09"/>
    <w:rsid w:val="00F477FC"/>
    <w:rsid w:val="00F47C85"/>
    <w:rsid w:val="00F5057B"/>
    <w:rsid w:val="00F50615"/>
    <w:rsid w:val="00F509DC"/>
    <w:rsid w:val="00F51572"/>
    <w:rsid w:val="00F53FC2"/>
    <w:rsid w:val="00F54EAF"/>
    <w:rsid w:val="00F556B9"/>
    <w:rsid w:val="00F56588"/>
    <w:rsid w:val="00F5666D"/>
    <w:rsid w:val="00F57197"/>
    <w:rsid w:val="00F60728"/>
    <w:rsid w:val="00F60C72"/>
    <w:rsid w:val="00F61DD3"/>
    <w:rsid w:val="00F6321A"/>
    <w:rsid w:val="00F63555"/>
    <w:rsid w:val="00F638D1"/>
    <w:rsid w:val="00F64489"/>
    <w:rsid w:val="00F646F7"/>
    <w:rsid w:val="00F6586C"/>
    <w:rsid w:val="00F65E4F"/>
    <w:rsid w:val="00F70562"/>
    <w:rsid w:val="00F70C56"/>
    <w:rsid w:val="00F71F23"/>
    <w:rsid w:val="00F727FD"/>
    <w:rsid w:val="00F73AE0"/>
    <w:rsid w:val="00F73B23"/>
    <w:rsid w:val="00F73F06"/>
    <w:rsid w:val="00F74056"/>
    <w:rsid w:val="00F745AD"/>
    <w:rsid w:val="00F74B58"/>
    <w:rsid w:val="00F7515F"/>
    <w:rsid w:val="00F755AD"/>
    <w:rsid w:val="00F75CDA"/>
    <w:rsid w:val="00F75E03"/>
    <w:rsid w:val="00F75F9F"/>
    <w:rsid w:val="00F76F56"/>
    <w:rsid w:val="00F778C4"/>
    <w:rsid w:val="00F77DF9"/>
    <w:rsid w:val="00F8035C"/>
    <w:rsid w:val="00F8126C"/>
    <w:rsid w:val="00F824FE"/>
    <w:rsid w:val="00F82975"/>
    <w:rsid w:val="00F82ADF"/>
    <w:rsid w:val="00F83A76"/>
    <w:rsid w:val="00F843EE"/>
    <w:rsid w:val="00F85E2D"/>
    <w:rsid w:val="00F867D9"/>
    <w:rsid w:val="00F87266"/>
    <w:rsid w:val="00F906E6"/>
    <w:rsid w:val="00F9114C"/>
    <w:rsid w:val="00F921D7"/>
    <w:rsid w:val="00F92D6A"/>
    <w:rsid w:val="00F95134"/>
    <w:rsid w:val="00F95E85"/>
    <w:rsid w:val="00F96ACB"/>
    <w:rsid w:val="00F96AF4"/>
    <w:rsid w:val="00F96BC6"/>
    <w:rsid w:val="00F97EC5"/>
    <w:rsid w:val="00F97EF2"/>
    <w:rsid w:val="00FA07EF"/>
    <w:rsid w:val="00FA12F8"/>
    <w:rsid w:val="00FA30D9"/>
    <w:rsid w:val="00FA397C"/>
    <w:rsid w:val="00FA42DD"/>
    <w:rsid w:val="00FA74B4"/>
    <w:rsid w:val="00FB06CB"/>
    <w:rsid w:val="00FB0786"/>
    <w:rsid w:val="00FB0C2D"/>
    <w:rsid w:val="00FB1BA0"/>
    <w:rsid w:val="00FB27AC"/>
    <w:rsid w:val="00FB3D03"/>
    <w:rsid w:val="00FB6384"/>
    <w:rsid w:val="00FB662C"/>
    <w:rsid w:val="00FB6C09"/>
    <w:rsid w:val="00FB7964"/>
    <w:rsid w:val="00FC0993"/>
    <w:rsid w:val="00FC14A8"/>
    <w:rsid w:val="00FC19B4"/>
    <w:rsid w:val="00FC1E80"/>
    <w:rsid w:val="00FC2522"/>
    <w:rsid w:val="00FC34F8"/>
    <w:rsid w:val="00FC4538"/>
    <w:rsid w:val="00FC4E68"/>
    <w:rsid w:val="00FC733A"/>
    <w:rsid w:val="00FD158D"/>
    <w:rsid w:val="00FD1778"/>
    <w:rsid w:val="00FD19EF"/>
    <w:rsid w:val="00FD19F6"/>
    <w:rsid w:val="00FD1ECF"/>
    <w:rsid w:val="00FD27A1"/>
    <w:rsid w:val="00FD3975"/>
    <w:rsid w:val="00FE0638"/>
    <w:rsid w:val="00FE18E0"/>
    <w:rsid w:val="00FE1B3B"/>
    <w:rsid w:val="00FE28AC"/>
    <w:rsid w:val="00FE2D20"/>
    <w:rsid w:val="00FE340A"/>
    <w:rsid w:val="00FE3D67"/>
    <w:rsid w:val="00FE3F20"/>
    <w:rsid w:val="00FE4059"/>
    <w:rsid w:val="00FE4AF0"/>
    <w:rsid w:val="00FE50BD"/>
    <w:rsid w:val="00FE5A70"/>
    <w:rsid w:val="00FE6077"/>
    <w:rsid w:val="00FE6568"/>
    <w:rsid w:val="00FF09AD"/>
    <w:rsid w:val="00FF102B"/>
    <w:rsid w:val="00FF1393"/>
    <w:rsid w:val="00FF2E6C"/>
    <w:rsid w:val="00FF3395"/>
    <w:rsid w:val="00FF3FB2"/>
    <w:rsid w:val="00FF4228"/>
    <w:rsid w:val="00FF4759"/>
    <w:rsid w:val="00FF490A"/>
    <w:rsid w:val="00FF674C"/>
    <w:rsid w:val="00FF6D22"/>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1FD00"/>
  <w15:docId w15:val="{C32F6D37-BC72-4891-A7EE-62DFD7F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9E"/>
    <w:rPr>
      <w:rFonts w:ascii="Times New Roman" w:hAnsi="Times New Roman" w:cs="Times New Roman"/>
    </w:rPr>
  </w:style>
  <w:style w:type="paragraph" w:styleId="Heading1">
    <w:name w:val="heading 1"/>
    <w:basedOn w:val="Normal"/>
    <w:next w:val="Normal"/>
    <w:link w:val="Heading1Char"/>
    <w:uiPriority w:val="9"/>
    <w:qFormat/>
    <w:rsid w:val="00D411BE"/>
    <w:pPr>
      <w:keepNext/>
      <w:keepLines/>
      <w:spacing w:before="240" w:after="120"/>
      <w:ind w:firstLine="3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36AC3"/>
    <w:pPr>
      <w:spacing w:before="100" w:beforeAutospacing="1" w:after="100" w:afterAutospacing="1"/>
      <w:ind w:firstLine="720"/>
      <w:jc w:val="both"/>
      <w:outlineLvl w:val="1"/>
    </w:pPr>
    <w:rPr>
      <w:rFonts w:asciiTheme="majorHAnsi" w:hAnsiTheme="majorHAnsi"/>
      <w:b/>
      <w:bCs/>
      <w:color w:val="3366FF"/>
    </w:rPr>
  </w:style>
  <w:style w:type="paragraph" w:styleId="Heading3">
    <w:name w:val="heading 3"/>
    <w:basedOn w:val="Normal"/>
    <w:next w:val="Normal"/>
    <w:link w:val="Heading3Char"/>
    <w:uiPriority w:val="9"/>
    <w:unhideWhenUsed/>
    <w:qFormat/>
    <w:rsid w:val="00336AC3"/>
    <w:pPr>
      <w:keepNext/>
      <w:keepLines/>
      <w:spacing w:before="200"/>
      <w:ind w:firstLine="794"/>
      <w:jc w:val="both"/>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6AC3"/>
    <w:rPr>
      <w:rFonts w:asciiTheme="majorHAnsi" w:hAnsiTheme="majorHAnsi" w:cs="Times New Roman"/>
      <w:b/>
      <w:bCs/>
      <w:color w:val="3366FF"/>
    </w:rPr>
  </w:style>
  <w:style w:type="paragraph" w:styleId="FootnoteText">
    <w:name w:val="footnote text"/>
    <w:basedOn w:val="Normal"/>
    <w:link w:val="FootnoteTextChar"/>
    <w:uiPriority w:val="99"/>
    <w:unhideWhenUsed/>
    <w:qFormat/>
    <w:rsid w:val="00DE17B2"/>
    <w:pPr>
      <w:ind w:firstLine="340"/>
      <w:jc w:val="both"/>
    </w:pPr>
    <w:rPr>
      <w:rFonts w:asciiTheme="minorHAnsi" w:hAnsiTheme="minorHAnsi" w:cstheme="minorBidi"/>
      <w:sz w:val="20"/>
    </w:rPr>
  </w:style>
  <w:style w:type="character" w:customStyle="1" w:styleId="FootnoteTextChar">
    <w:name w:val="Footnote Text Char"/>
    <w:basedOn w:val="DefaultParagraphFont"/>
    <w:link w:val="FootnoteText"/>
    <w:uiPriority w:val="99"/>
    <w:rsid w:val="00DE17B2"/>
    <w:rPr>
      <w:sz w:val="20"/>
    </w:rPr>
  </w:style>
  <w:style w:type="character" w:styleId="FootnoteReference">
    <w:name w:val="footnote reference"/>
    <w:basedOn w:val="DefaultParagraphFont"/>
    <w:uiPriority w:val="99"/>
    <w:unhideWhenUsed/>
    <w:qFormat/>
    <w:rsid w:val="00174301"/>
    <w:rPr>
      <w:rFonts w:asciiTheme="minorHAnsi" w:hAnsiTheme="minorHAnsi"/>
      <w:color w:val="auto"/>
      <w:vertAlign w:val="superscript"/>
    </w:rPr>
  </w:style>
  <w:style w:type="character" w:styleId="Hyperlink">
    <w:name w:val="Hyperlink"/>
    <w:basedOn w:val="DefaultParagraphFont"/>
    <w:uiPriority w:val="99"/>
    <w:unhideWhenUsed/>
    <w:rsid w:val="00DF35E9"/>
    <w:rPr>
      <w:color w:val="0563C1" w:themeColor="hyperlink"/>
      <w:u w:val="single"/>
    </w:rPr>
  </w:style>
  <w:style w:type="character" w:styleId="FollowedHyperlink">
    <w:name w:val="FollowedHyperlink"/>
    <w:basedOn w:val="DefaultParagraphFont"/>
    <w:uiPriority w:val="99"/>
    <w:semiHidden/>
    <w:unhideWhenUsed/>
    <w:rsid w:val="000466CE"/>
    <w:rPr>
      <w:color w:val="954F72" w:themeColor="followedHyperlink"/>
      <w:u w:val="single"/>
    </w:rPr>
  </w:style>
  <w:style w:type="paragraph" w:styleId="ListParagraph">
    <w:name w:val="List Paragraph"/>
    <w:basedOn w:val="Normal"/>
    <w:uiPriority w:val="34"/>
    <w:qFormat/>
    <w:rsid w:val="002720EF"/>
    <w:pPr>
      <w:spacing w:before="120" w:after="120"/>
      <w:ind w:left="720" w:firstLine="340"/>
      <w:contextualSpacing/>
      <w:jc w:val="both"/>
    </w:pPr>
    <w:rPr>
      <w:rFonts w:asciiTheme="minorHAnsi" w:hAnsiTheme="minorHAnsi" w:cstheme="minorBidi"/>
    </w:rPr>
  </w:style>
  <w:style w:type="paragraph" w:styleId="Header">
    <w:name w:val="header"/>
    <w:basedOn w:val="Normal"/>
    <w:link w:val="HeaderChar"/>
    <w:unhideWhenUsed/>
    <w:rsid w:val="003B3B7C"/>
    <w:pPr>
      <w:tabs>
        <w:tab w:val="center" w:pos="4536"/>
        <w:tab w:val="right" w:pos="9072"/>
      </w:tabs>
      <w:ind w:firstLine="340"/>
      <w:jc w:val="both"/>
    </w:pPr>
    <w:rPr>
      <w:rFonts w:asciiTheme="minorHAnsi" w:hAnsiTheme="minorHAnsi"/>
    </w:rPr>
  </w:style>
  <w:style w:type="character" w:customStyle="1" w:styleId="HeaderChar">
    <w:name w:val="Header Char"/>
    <w:basedOn w:val="DefaultParagraphFont"/>
    <w:link w:val="Header"/>
    <w:rsid w:val="003B3B7C"/>
    <w:rPr>
      <w:rFonts w:cs="Times New Roman"/>
    </w:rPr>
  </w:style>
  <w:style w:type="character" w:customStyle="1" w:styleId="author">
    <w:name w:val="author"/>
    <w:basedOn w:val="DefaultParagraphFont"/>
    <w:rsid w:val="008C545D"/>
  </w:style>
  <w:style w:type="character" w:customStyle="1" w:styleId="a-color-secondary">
    <w:name w:val="a-color-secondary"/>
    <w:basedOn w:val="DefaultParagraphFont"/>
    <w:rsid w:val="008C545D"/>
  </w:style>
  <w:style w:type="character" w:customStyle="1" w:styleId="testo1">
    <w:name w:val="testo1"/>
    <w:rsid w:val="00D12820"/>
  </w:style>
  <w:style w:type="paragraph" w:styleId="Footer">
    <w:name w:val="footer"/>
    <w:basedOn w:val="Normal"/>
    <w:link w:val="FooterChar"/>
    <w:uiPriority w:val="99"/>
    <w:unhideWhenUsed/>
    <w:rsid w:val="00671DA7"/>
    <w:pPr>
      <w:tabs>
        <w:tab w:val="center" w:pos="4536"/>
        <w:tab w:val="right" w:pos="9072"/>
      </w:tabs>
      <w:spacing w:before="120" w:after="120"/>
      <w:ind w:firstLine="340"/>
      <w:jc w:val="both"/>
    </w:pPr>
    <w:rPr>
      <w:rFonts w:asciiTheme="minorHAnsi" w:hAnsiTheme="minorHAnsi"/>
    </w:rPr>
  </w:style>
  <w:style w:type="character" w:customStyle="1" w:styleId="FooterChar">
    <w:name w:val="Footer Char"/>
    <w:basedOn w:val="DefaultParagraphFont"/>
    <w:link w:val="Footer"/>
    <w:uiPriority w:val="99"/>
    <w:rsid w:val="00671DA7"/>
    <w:rPr>
      <w:rFonts w:ascii="Times New Roman" w:hAnsi="Times New Roman" w:cs="Times New Roman"/>
    </w:rPr>
  </w:style>
  <w:style w:type="character" w:styleId="PageNumber">
    <w:name w:val="page number"/>
    <w:basedOn w:val="DefaultParagraphFont"/>
    <w:uiPriority w:val="99"/>
    <w:semiHidden/>
    <w:unhideWhenUsed/>
    <w:rsid w:val="00671DA7"/>
  </w:style>
  <w:style w:type="character" w:styleId="CommentReference">
    <w:name w:val="annotation reference"/>
    <w:basedOn w:val="DefaultParagraphFont"/>
    <w:uiPriority w:val="99"/>
    <w:semiHidden/>
    <w:unhideWhenUsed/>
    <w:rsid w:val="00CB4011"/>
    <w:rPr>
      <w:sz w:val="18"/>
      <w:szCs w:val="18"/>
    </w:rPr>
  </w:style>
  <w:style w:type="paragraph" w:styleId="CommentText">
    <w:name w:val="annotation text"/>
    <w:basedOn w:val="Normal"/>
    <w:link w:val="CommentTextChar"/>
    <w:uiPriority w:val="99"/>
    <w:semiHidden/>
    <w:unhideWhenUsed/>
    <w:rsid w:val="00CB4011"/>
    <w:pPr>
      <w:spacing w:before="120" w:after="120"/>
      <w:ind w:firstLine="340"/>
      <w:jc w:val="both"/>
    </w:pPr>
    <w:rPr>
      <w:rFonts w:asciiTheme="minorHAnsi" w:hAnsiTheme="minorHAnsi"/>
    </w:rPr>
  </w:style>
  <w:style w:type="character" w:customStyle="1" w:styleId="CommentTextChar">
    <w:name w:val="Comment Text Char"/>
    <w:basedOn w:val="DefaultParagraphFont"/>
    <w:link w:val="CommentText"/>
    <w:uiPriority w:val="99"/>
    <w:semiHidden/>
    <w:rsid w:val="00CB401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B4011"/>
    <w:rPr>
      <w:b/>
      <w:bCs/>
      <w:sz w:val="20"/>
      <w:szCs w:val="20"/>
    </w:rPr>
  </w:style>
  <w:style w:type="character" w:customStyle="1" w:styleId="CommentSubjectChar">
    <w:name w:val="Comment Subject Char"/>
    <w:basedOn w:val="CommentTextChar"/>
    <w:link w:val="CommentSubject"/>
    <w:uiPriority w:val="99"/>
    <w:semiHidden/>
    <w:rsid w:val="00CB401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B4011"/>
    <w:pPr>
      <w:spacing w:before="120" w:after="120"/>
      <w:ind w:firstLine="340"/>
      <w:jc w:val="both"/>
    </w:pPr>
    <w:rPr>
      <w:rFonts w:asciiTheme="minorHAnsi" w:hAnsiTheme="minorHAnsi"/>
      <w:sz w:val="18"/>
      <w:szCs w:val="18"/>
    </w:rPr>
  </w:style>
  <w:style w:type="character" w:customStyle="1" w:styleId="BalloonTextChar">
    <w:name w:val="Balloon Text Char"/>
    <w:basedOn w:val="DefaultParagraphFont"/>
    <w:link w:val="BalloonText"/>
    <w:uiPriority w:val="99"/>
    <w:semiHidden/>
    <w:rsid w:val="00CB4011"/>
    <w:rPr>
      <w:rFonts w:ascii="Times New Roman" w:hAnsi="Times New Roman" w:cs="Times New Roman"/>
      <w:sz w:val="18"/>
      <w:szCs w:val="18"/>
    </w:rPr>
  </w:style>
  <w:style w:type="character" w:styleId="Emphasis">
    <w:name w:val="Emphasis"/>
    <w:basedOn w:val="DefaultParagraphFont"/>
    <w:uiPriority w:val="20"/>
    <w:qFormat/>
    <w:rsid w:val="00D411BE"/>
    <w:rPr>
      <w:i/>
      <w:iCs/>
    </w:rPr>
  </w:style>
  <w:style w:type="character" w:styleId="Strong">
    <w:name w:val="Strong"/>
    <w:basedOn w:val="DefaultParagraphFont"/>
    <w:uiPriority w:val="22"/>
    <w:qFormat/>
    <w:rsid w:val="00851804"/>
    <w:rPr>
      <w:b/>
      <w:bCs/>
    </w:rPr>
  </w:style>
  <w:style w:type="character" w:customStyle="1" w:styleId="Heading3Char">
    <w:name w:val="Heading 3 Char"/>
    <w:basedOn w:val="DefaultParagraphFont"/>
    <w:link w:val="Heading3"/>
    <w:uiPriority w:val="9"/>
    <w:rsid w:val="00336AC3"/>
    <w:rPr>
      <w:rFonts w:asciiTheme="majorHAnsi" w:eastAsiaTheme="majorEastAsia" w:hAnsiTheme="majorHAnsi" w:cstheme="majorBidi"/>
      <w:b/>
      <w:bCs/>
      <w:color w:val="4472C4" w:themeColor="accent1"/>
    </w:rPr>
  </w:style>
  <w:style w:type="paragraph" w:styleId="Quote">
    <w:name w:val="Quote"/>
    <w:basedOn w:val="Normal"/>
    <w:next w:val="Normal"/>
    <w:link w:val="QuoteChar"/>
    <w:uiPriority w:val="29"/>
    <w:qFormat/>
    <w:rsid w:val="00954CEC"/>
    <w:pPr>
      <w:spacing w:before="120" w:after="120"/>
      <w:ind w:firstLine="340"/>
      <w:jc w:val="both"/>
    </w:pPr>
    <w:rPr>
      <w:rFonts w:asciiTheme="minorHAnsi" w:hAnsiTheme="minorHAnsi"/>
      <w:i/>
      <w:iCs/>
      <w:color w:val="000000" w:themeColor="text1"/>
    </w:rPr>
  </w:style>
  <w:style w:type="character" w:customStyle="1" w:styleId="QuoteChar">
    <w:name w:val="Quote Char"/>
    <w:basedOn w:val="DefaultParagraphFont"/>
    <w:link w:val="Quote"/>
    <w:uiPriority w:val="29"/>
    <w:rsid w:val="00954CEC"/>
    <w:rPr>
      <w:rFonts w:cs="Times New Roman"/>
      <w:i/>
      <w:iCs/>
      <w:color w:val="000000" w:themeColor="text1"/>
    </w:rPr>
  </w:style>
  <w:style w:type="paragraph" w:styleId="IntenseQuote">
    <w:name w:val="Intense Quote"/>
    <w:basedOn w:val="Normal"/>
    <w:next w:val="Normal"/>
    <w:link w:val="IntenseQuoteChar"/>
    <w:uiPriority w:val="30"/>
    <w:qFormat/>
    <w:rsid w:val="00954CEC"/>
    <w:pPr>
      <w:pBdr>
        <w:bottom w:val="single" w:sz="4" w:space="4" w:color="4472C4" w:themeColor="accent1"/>
      </w:pBdr>
      <w:spacing w:before="200" w:after="280"/>
      <w:ind w:left="936" w:right="936" w:firstLine="340"/>
      <w:jc w:val="both"/>
    </w:pPr>
    <w:rPr>
      <w:rFonts w:asciiTheme="minorHAnsi" w:hAnsiTheme="minorHAnsi"/>
      <w:b/>
      <w:bCs/>
      <w:i/>
      <w:iCs/>
      <w:color w:val="4472C4" w:themeColor="accent1"/>
    </w:rPr>
  </w:style>
  <w:style w:type="character" w:customStyle="1" w:styleId="IntenseQuoteChar">
    <w:name w:val="Intense Quote Char"/>
    <w:basedOn w:val="DefaultParagraphFont"/>
    <w:link w:val="IntenseQuote"/>
    <w:uiPriority w:val="30"/>
    <w:rsid w:val="00954CEC"/>
    <w:rPr>
      <w:rFonts w:cs="Times New Roman"/>
      <w:b/>
      <w:bCs/>
      <w:i/>
      <w:iCs/>
      <w:color w:val="4472C4" w:themeColor="accent1"/>
    </w:rPr>
  </w:style>
  <w:style w:type="paragraph" w:styleId="TOC1">
    <w:name w:val="toc 1"/>
    <w:basedOn w:val="Normal"/>
    <w:next w:val="Normal"/>
    <w:autoRedefine/>
    <w:uiPriority w:val="39"/>
    <w:unhideWhenUsed/>
    <w:rsid w:val="00300A94"/>
    <w:pPr>
      <w:spacing w:before="120" w:after="120"/>
      <w:ind w:firstLine="340"/>
      <w:jc w:val="both"/>
    </w:pPr>
    <w:rPr>
      <w:rFonts w:asciiTheme="minorHAnsi" w:hAnsiTheme="minorHAnsi"/>
    </w:rPr>
  </w:style>
  <w:style w:type="paragraph" w:styleId="TOC2">
    <w:name w:val="toc 2"/>
    <w:basedOn w:val="Normal"/>
    <w:next w:val="Normal"/>
    <w:autoRedefine/>
    <w:uiPriority w:val="39"/>
    <w:unhideWhenUsed/>
    <w:rsid w:val="00300A94"/>
    <w:pPr>
      <w:spacing w:before="120" w:after="120"/>
      <w:ind w:left="240" w:firstLine="340"/>
      <w:jc w:val="both"/>
    </w:pPr>
    <w:rPr>
      <w:rFonts w:asciiTheme="minorHAnsi" w:hAnsiTheme="minorHAnsi"/>
    </w:rPr>
  </w:style>
  <w:style w:type="paragraph" w:styleId="TOC3">
    <w:name w:val="toc 3"/>
    <w:basedOn w:val="Normal"/>
    <w:next w:val="Normal"/>
    <w:autoRedefine/>
    <w:uiPriority w:val="39"/>
    <w:unhideWhenUsed/>
    <w:rsid w:val="00300A94"/>
    <w:pPr>
      <w:spacing w:before="120" w:after="120"/>
      <w:ind w:left="480" w:firstLine="340"/>
      <w:jc w:val="both"/>
    </w:pPr>
    <w:rPr>
      <w:rFonts w:asciiTheme="minorHAnsi" w:hAnsiTheme="minorHAnsi"/>
    </w:rPr>
  </w:style>
  <w:style w:type="paragraph" w:styleId="TOC4">
    <w:name w:val="toc 4"/>
    <w:basedOn w:val="Normal"/>
    <w:next w:val="Normal"/>
    <w:autoRedefine/>
    <w:uiPriority w:val="39"/>
    <w:unhideWhenUsed/>
    <w:rsid w:val="00300A94"/>
    <w:pPr>
      <w:spacing w:before="120" w:after="120"/>
      <w:ind w:left="720" w:firstLine="340"/>
      <w:jc w:val="both"/>
    </w:pPr>
    <w:rPr>
      <w:rFonts w:asciiTheme="minorHAnsi" w:hAnsiTheme="minorHAnsi"/>
    </w:rPr>
  </w:style>
  <w:style w:type="paragraph" w:styleId="TOC5">
    <w:name w:val="toc 5"/>
    <w:basedOn w:val="Normal"/>
    <w:next w:val="Normal"/>
    <w:autoRedefine/>
    <w:uiPriority w:val="39"/>
    <w:unhideWhenUsed/>
    <w:rsid w:val="00300A94"/>
    <w:pPr>
      <w:spacing w:before="120" w:after="120"/>
      <w:ind w:left="960" w:firstLine="340"/>
      <w:jc w:val="both"/>
    </w:pPr>
    <w:rPr>
      <w:rFonts w:asciiTheme="minorHAnsi" w:hAnsiTheme="minorHAnsi"/>
    </w:rPr>
  </w:style>
  <w:style w:type="paragraph" w:styleId="TOC6">
    <w:name w:val="toc 6"/>
    <w:basedOn w:val="Normal"/>
    <w:next w:val="Normal"/>
    <w:autoRedefine/>
    <w:uiPriority w:val="39"/>
    <w:unhideWhenUsed/>
    <w:rsid w:val="00300A94"/>
    <w:pPr>
      <w:spacing w:before="120" w:after="120"/>
      <w:ind w:left="1200" w:firstLine="340"/>
      <w:jc w:val="both"/>
    </w:pPr>
    <w:rPr>
      <w:rFonts w:asciiTheme="minorHAnsi" w:hAnsiTheme="minorHAnsi"/>
    </w:rPr>
  </w:style>
  <w:style w:type="paragraph" w:styleId="TOC7">
    <w:name w:val="toc 7"/>
    <w:basedOn w:val="Normal"/>
    <w:next w:val="Normal"/>
    <w:autoRedefine/>
    <w:uiPriority w:val="39"/>
    <w:unhideWhenUsed/>
    <w:rsid w:val="00300A94"/>
    <w:pPr>
      <w:spacing w:before="120" w:after="120"/>
      <w:ind w:left="1440" w:firstLine="340"/>
      <w:jc w:val="both"/>
    </w:pPr>
    <w:rPr>
      <w:rFonts w:asciiTheme="minorHAnsi" w:hAnsiTheme="minorHAnsi"/>
    </w:rPr>
  </w:style>
  <w:style w:type="paragraph" w:styleId="TOC8">
    <w:name w:val="toc 8"/>
    <w:basedOn w:val="Normal"/>
    <w:next w:val="Normal"/>
    <w:autoRedefine/>
    <w:uiPriority w:val="39"/>
    <w:unhideWhenUsed/>
    <w:rsid w:val="00300A94"/>
    <w:pPr>
      <w:spacing w:before="120" w:after="120"/>
      <w:ind w:left="1680" w:firstLine="340"/>
      <w:jc w:val="both"/>
    </w:pPr>
    <w:rPr>
      <w:rFonts w:asciiTheme="minorHAnsi" w:hAnsiTheme="minorHAnsi"/>
    </w:rPr>
  </w:style>
  <w:style w:type="paragraph" w:styleId="TOC9">
    <w:name w:val="toc 9"/>
    <w:basedOn w:val="Normal"/>
    <w:next w:val="Normal"/>
    <w:autoRedefine/>
    <w:uiPriority w:val="39"/>
    <w:unhideWhenUsed/>
    <w:rsid w:val="00300A94"/>
    <w:pPr>
      <w:spacing w:before="120" w:after="120"/>
      <w:ind w:left="1920" w:firstLine="340"/>
      <w:jc w:val="both"/>
    </w:pPr>
    <w:rPr>
      <w:rFonts w:asciiTheme="minorHAnsi" w:hAnsiTheme="minorHAnsi"/>
    </w:rPr>
  </w:style>
  <w:style w:type="character" w:customStyle="1" w:styleId="st">
    <w:name w:val="st"/>
    <w:basedOn w:val="DefaultParagraphFont"/>
    <w:rsid w:val="00F71F23"/>
  </w:style>
  <w:style w:type="paragraph" w:styleId="Revision">
    <w:name w:val="Revision"/>
    <w:hidden/>
    <w:uiPriority w:val="99"/>
    <w:semiHidden/>
    <w:rsid w:val="004667E9"/>
    <w:rPr>
      <w:rFonts w:ascii="Times New Roman" w:hAnsi="Times New Roman" w:cs="Times New Roman"/>
    </w:rPr>
  </w:style>
  <w:style w:type="paragraph" w:styleId="NoSpacing">
    <w:name w:val="No Spacing"/>
    <w:link w:val="NoSpacingChar"/>
    <w:uiPriority w:val="1"/>
    <w:qFormat/>
    <w:rsid w:val="004C1783"/>
    <w:rPr>
      <w:rFonts w:eastAsiaTheme="minorEastAsia"/>
      <w:sz w:val="22"/>
      <w:szCs w:val="22"/>
    </w:rPr>
  </w:style>
  <w:style w:type="character" w:customStyle="1" w:styleId="NoSpacingChar">
    <w:name w:val="No Spacing Char"/>
    <w:basedOn w:val="DefaultParagraphFont"/>
    <w:link w:val="NoSpacing"/>
    <w:uiPriority w:val="1"/>
    <w:rsid w:val="004C1783"/>
    <w:rPr>
      <w:rFonts w:eastAsiaTheme="minorEastAsia"/>
      <w:sz w:val="22"/>
      <w:szCs w:val="22"/>
    </w:rPr>
  </w:style>
  <w:style w:type="table" w:styleId="TableGrid">
    <w:name w:val="Table Grid"/>
    <w:basedOn w:val="TableNormal"/>
    <w:uiPriority w:val="39"/>
    <w:rsid w:val="009A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060AA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391">
      <w:bodyDiv w:val="1"/>
      <w:marLeft w:val="0"/>
      <w:marRight w:val="0"/>
      <w:marTop w:val="0"/>
      <w:marBottom w:val="0"/>
      <w:divBdr>
        <w:top w:val="none" w:sz="0" w:space="0" w:color="auto"/>
        <w:left w:val="none" w:sz="0" w:space="0" w:color="auto"/>
        <w:bottom w:val="none" w:sz="0" w:space="0" w:color="auto"/>
        <w:right w:val="none" w:sz="0" w:space="0" w:color="auto"/>
      </w:divBdr>
    </w:div>
    <w:div w:id="21633262">
      <w:bodyDiv w:val="1"/>
      <w:marLeft w:val="0"/>
      <w:marRight w:val="0"/>
      <w:marTop w:val="0"/>
      <w:marBottom w:val="0"/>
      <w:divBdr>
        <w:top w:val="none" w:sz="0" w:space="0" w:color="auto"/>
        <w:left w:val="none" w:sz="0" w:space="0" w:color="auto"/>
        <w:bottom w:val="none" w:sz="0" w:space="0" w:color="auto"/>
        <w:right w:val="none" w:sz="0" w:space="0" w:color="auto"/>
      </w:divBdr>
    </w:div>
    <w:div w:id="22486292">
      <w:bodyDiv w:val="1"/>
      <w:marLeft w:val="0"/>
      <w:marRight w:val="0"/>
      <w:marTop w:val="0"/>
      <w:marBottom w:val="0"/>
      <w:divBdr>
        <w:top w:val="none" w:sz="0" w:space="0" w:color="auto"/>
        <w:left w:val="none" w:sz="0" w:space="0" w:color="auto"/>
        <w:bottom w:val="none" w:sz="0" w:space="0" w:color="auto"/>
        <w:right w:val="none" w:sz="0" w:space="0" w:color="auto"/>
      </w:divBdr>
    </w:div>
    <w:div w:id="29844666">
      <w:bodyDiv w:val="1"/>
      <w:marLeft w:val="0"/>
      <w:marRight w:val="0"/>
      <w:marTop w:val="0"/>
      <w:marBottom w:val="0"/>
      <w:divBdr>
        <w:top w:val="none" w:sz="0" w:space="0" w:color="auto"/>
        <w:left w:val="none" w:sz="0" w:space="0" w:color="auto"/>
        <w:bottom w:val="none" w:sz="0" w:space="0" w:color="auto"/>
        <w:right w:val="none" w:sz="0" w:space="0" w:color="auto"/>
      </w:divBdr>
    </w:div>
    <w:div w:id="41056426">
      <w:bodyDiv w:val="1"/>
      <w:marLeft w:val="0"/>
      <w:marRight w:val="0"/>
      <w:marTop w:val="0"/>
      <w:marBottom w:val="0"/>
      <w:divBdr>
        <w:top w:val="none" w:sz="0" w:space="0" w:color="auto"/>
        <w:left w:val="none" w:sz="0" w:space="0" w:color="auto"/>
        <w:bottom w:val="none" w:sz="0" w:space="0" w:color="auto"/>
        <w:right w:val="none" w:sz="0" w:space="0" w:color="auto"/>
      </w:divBdr>
    </w:div>
    <w:div w:id="68893572">
      <w:bodyDiv w:val="1"/>
      <w:marLeft w:val="0"/>
      <w:marRight w:val="0"/>
      <w:marTop w:val="0"/>
      <w:marBottom w:val="0"/>
      <w:divBdr>
        <w:top w:val="none" w:sz="0" w:space="0" w:color="auto"/>
        <w:left w:val="none" w:sz="0" w:space="0" w:color="auto"/>
        <w:bottom w:val="none" w:sz="0" w:space="0" w:color="auto"/>
        <w:right w:val="none" w:sz="0" w:space="0" w:color="auto"/>
      </w:divBdr>
    </w:div>
    <w:div w:id="102893568">
      <w:bodyDiv w:val="1"/>
      <w:marLeft w:val="0"/>
      <w:marRight w:val="0"/>
      <w:marTop w:val="0"/>
      <w:marBottom w:val="0"/>
      <w:divBdr>
        <w:top w:val="none" w:sz="0" w:space="0" w:color="auto"/>
        <w:left w:val="none" w:sz="0" w:space="0" w:color="auto"/>
        <w:bottom w:val="none" w:sz="0" w:space="0" w:color="auto"/>
        <w:right w:val="none" w:sz="0" w:space="0" w:color="auto"/>
      </w:divBdr>
    </w:div>
    <w:div w:id="106396100">
      <w:bodyDiv w:val="1"/>
      <w:marLeft w:val="0"/>
      <w:marRight w:val="0"/>
      <w:marTop w:val="0"/>
      <w:marBottom w:val="0"/>
      <w:divBdr>
        <w:top w:val="none" w:sz="0" w:space="0" w:color="auto"/>
        <w:left w:val="none" w:sz="0" w:space="0" w:color="auto"/>
        <w:bottom w:val="none" w:sz="0" w:space="0" w:color="auto"/>
        <w:right w:val="none" w:sz="0" w:space="0" w:color="auto"/>
      </w:divBdr>
    </w:div>
    <w:div w:id="122037739">
      <w:bodyDiv w:val="1"/>
      <w:marLeft w:val="0"/>
      <w:marRight w:val="0"/>
      <w:marTop w:val="0"/>
      <w:marBottom w:val="0"/>
      <w:divBdr>
        <w:top w:val="none" w:sz="0" w:space="0" w:color="auto"/>
        <w:left w:val="none" w:sz="0" w:space="0" w:color="auto"/>
        <w:bottom w:val="none" w:sz="0" w:space="0" w:color="auto"/>
        <w:right w:val="none" w:sz="0" w:space="0" w:color="auto"/>
      </w:divBdr>
    </w:div>
    <w:div w:id="123692266">
      <w:bodyDiv w:val="1"/>
      <w:marLeft w:val="0"/>
      <w:marRight w:val="0"/>
      <w:marTop w:val="0"/>
      <w:marBottom w:val="0"/>
      <w:divBdr>
        <w:top w:val="none" w:sz="0" w:space="0" w:color="auto"/>
        <w:left w:val="none" w:sz="0" w:space="0" w:color="auto"/>
        <w:bottom w:val="none" w:sz="0" w:space="0" w:color="auto"/>
        <w:right w:val="none" w:sz="0" w:space="0" w:color="auto"/>
      </w:divBdr>
    </w:div>
    <w:div w:id="161554220">
      <w:bodyDiv w:val="1"/>
      <w:marLeft w:val="0"/>
      <w:marRight w:val="0"/>
      <w:marTop w:val="0"/>
      <w:marBottom w:val="0"/>
      <w:divBdr>
        <w:top w:val="none" w:sz="0" w:space="0" w:color="auto"/>
        <w:left w:val="none" w:sz="0" w:space="0" w:color="auto"/>
        <w:bottom w:val="none" w:sz="0" w:space="0" w:color="auto"/>
        <w:right w:val="none" w:sz="0" w:space="0" w:color="auto"/>
      </w:divBdr>
    </w:div>
    <w:div w:id="164394326">
      <w:bodyDiv w:val="1"/>
      <w:marLeft w:val="0"/>
      <w:marRight w:val="0"/>
      <w:marTop w:val="0"/>
      <w:marBottom w:val="0"/>
      <w:divBdr>
        <w:top w:val="none" w:sz="0" w:space="0" w:color="auto"/>
        <w:left w:val="none" w:sz="0" w:space="0" w:color="auto"/>
        <w:bottom w:val="none" w:sz="0" w:space="0" w:color="auto"/>
        <w:right w:val="none" w:sz="0" w:space="0" w:color="auto"/>
      </w:divBdr>
    </w:div>
    <w:div w:id="165487614">
      <w:bodyDiv w:val="1"/>
      <w:marLeft w:val="0"/>
      <w:marRight w:val="0"/>
      <w:marTop w:val="0"/>
      <w:marBottom w:val="0"/>
      <w:divBdr>
        <w:top w:val="none" w:sz="0" w:space="0" w:color="auto"/>
        <w:left w:val="none" w:sz="0" w:space="0" w:color="auto"/>
        <w:bottom w:val="none" w:sz="0" w:space="0" w:color="auto"/>
        <w:right w:val="none" w:sz="0" w:space="0" w:color="auto"/>
      </w:divBdr>
    </w:div>
    <w:div w:id="174541545">
      <w:bodyDiv w:val="1"/>
      <w:marLeft w:val="0"/>
      <w:marRight w:val="0"/>
      <w:marTop w:val="0"/>
      <w:marBottom w:val="0"/>
      <w:divBdr>
        <w:top w:val="none" w:sz="0" w:space="0" w:color="auto"/>
        <w:left w:val="none" w:sz="0" w:space="0" w:color="auto"/>
        <w:bottom w:val="none" w:sz="0" w:space="0" w:color="auto"/>
        <w:right w:val="none" w:sz="0" w:space="0" w:color="auto"/>
      </w:divBdr>
    </w:div>
    <w:div w:id="192965168">
      <w:bodyDiv w:val="1"/>
      <w:marLeft w:val="0"/>
      <w:marRight w:val="0"/>
      <w:marTop w:val="0"/>
      <w:marBottom w:val="0"/>
      <w:divBdr>
        <w:top w:val="none" w:sz="0" w:space="0" w:color="auto"/>
        <w:left w:val="none" w:sz="0" w:space="0" w:color="auto"/>
        <w:bottom w:val="none" w:sz="0" w:space="0" w:color="auto"/>
        <w:right w:val="none" w:sz="0" w:space="0" w:color="auto"/>
      </w:divBdr>
    </w:div>
    <w:div w:id="203906368">
      <w:bodyDiv w:val="1"/>
      <w:marLeft w:val="0"/>
      <w:marRight w:val="0"/>
      <w:marTop w:val="0"/>
      <w:marBottom w:val="0"/>
      <w:divBdr>
        <w:top w:val="none" w:sz="0" w:space="0" w:color="auto"/>
        <w:left w:val="none" w:sz="0" w:space="0" w:color="auto"/>
        <w:bottom w:val="none" w:sz="0" w:space="0" w:color="auto"/>
        <w:right w:val="none" w:sz="0" w:space="0" w:color="auto"/>
      </w:divBdr>
    </w:div>
    <w:div w:id="210268668">
      <w:bodyDiv w:val="1"/>
      <w:marLeft w:val="0"/>
      <w:marRight w:val="0"/>
      <w:marTop w:val="0"/>
      <w:marBottom w:val="0"/>
      <w:divBdr>
        <w:top w:val="none" w:sz="0" w:space="0" w:color="auto"/>
        <w:left w:val="none" w:sz="0" w:space="0" w:color="auto"/>
        <w:bottom w:val="none" w:sz="0" w:space="0" w:color="auto"/>
        <w:right w:val="none" w:sz="0" w:space="0" w:color="auto"/>
      </w:divBdr>
    </w:div>
    <w:div w:id="227352392">
      <w:bodyDiv w:val="1"/>
      <w:marLeft w:val="0"/>
      <w:marRight w:val="0"/>
      <w:marTop w:val="0"/>
      <w:marBottom w:val="0"/>
      <w:divBdr>
        <w:top w:val="none" w:sz="0" w:space="0" w:color="auto"/>
        <w:left w:val="none" w:sz="0" w:space="0" w:color="auto"/>
        <w:bottom w:val="none" w:sz="0" w:space="0" w:color="auto"/>
        <w:right w:val="none" w:sz="0" w:space="0" w:color="auto"/>
      </w:divBdr>
    </w:div>
    <w:div w:id="311521441">
      <w:bodyDiv w:val="1"/>
      <w:marLeft w:val="0"/>
      <w:marRight w:val="0"/>
      <w:marTop w:val="0"/>
      <w:marBottom w:val="0"/>
      <w:divBdr>
        <w:top w:val="none" w:sz="0" w:space="0" w:color="auto"/>
        <w:left w:val="none" w:sz="0" w:space="0" w:color="auto"/>
        <w:bottom w:val="none" w:sz="0" w:space="0" w:color="auto"/>
        <w:right w:val="none" w:sz="0" w:space="0" w:color="auto"/>
      </w:divBdr>
    </w:div>
    <w:div w:id="312486172">
      <w:bodyDiv w:val="1"/>
      <w:marLeft w:val="0"/>
      <w:marRight w:val="0"/>
      <w:marTop w:val="0"/>
      <w:marBottom w:val="0"/>
      <w:divBdr>
        <w:top w:val="none" w:sz="0" w:space="0" w:color="auto"/>
        <w:left w:val="none" w:sz="0" w:space="0" w:color="auto"/>
        <w:bottom w:val="none" w:sz="0" w:space="0" w:color="auto"/>
        <w:right w:val="none" w:sz="0" w:space="0" w:color="auto"/>
      </w:divBdr>
    </w:div>
    <w:div w:id="329063138">
      <w:bodyDiv w:val="1"/>
      <w:marLeft w:val="0"/>
      <w:marRight w:val="0"/>
      <w:marTop w:val="0"/>
      <w:marBottom w:val="0"/>
      <w:divBdr>
        <w:top w:val="none" w:sz="0" w:space="0" w:color="auto"/>
        <w:left w:val="none" w:sz="0" w:space="0" w:color="auto"/>
        <w:bottom w:val="none" w:sz="0" w:space="0" w:color="auto"/>
        <w:right w:val="none" w:sz="0" w:space="0" w:color="auto"/>
      </w:divBdr>
    </w:div>
    <w:div w:id="332298852">
      <w:bodyDiv w:val="1"/>
      <w:marLeft w:val="0"/>
      <w:marRight w:val="0"/>
      <w:marTop w:val="0"/>
      <w:marBottom w:val="0"/>
      <w:divBdr>
        <w:top w:val="none" w:sz="0" w:space="0" w:color="auto"/>
        <w:left w:val="none" w:sz="0" w:space="0" w:color="auto"/>
        <w:bottom w:val="none" w:sz="0" w:space="0" w:color="auto"/>
        <w:right w:val="none" w:sz="0" w:space="0" w:color="auto"/>
      </w:divBdr>
    </w:div>
    <w:div w:id="366219444">
      <w:bodyDiv w:val="1"/>
      <w:marLeft w:val="0"/>
      <w:marRight w:val="0"/>
      <w:marTop w:val="0"/>
      <w:marBottom w:val="0"/>
      <w:divBdr>
        <w:top w:val="none" w:sz="0" w:space="0" w:color="auto"/>
        <w:left w:val="none" w:sz="0" w:space="0" w:color="auto"/>
        <w:bottom w:val="none" w:sz="0" w:space="0" w:color="auto"/>
        <w:right w:val="none" w:sz="0" w:space="0" w:color="auto"/>
      </w:divBdr>
    </w:div>
    <w:div w:id="390889460">
      <w:bodyDiv w:val="1"/>
      <w:marLeft w:val="0"/>
      <w:marRight w:val="0"/>
      <w:marTop w:val="0"/>
      <w:marBottom w:val="0"/>
      <w:divBdr>
        <w:top w:val="none" w:sz="0" w:space="0" w:color="auto"/>
        <w:left w:val="none" w:sz="0" w:space="0" w:color="auto"/>
        <w:bottom w:val="none" w:sz="0" w:space="0" w:color="auto"/>
        <w:right w:val="none" w:sz="0" w:space="0" w:color="auto"/>
      </w:divBdr>
    </w:div>
    <w:div w:id="454759568">
      <w:bodyDiv w:val="1"/>
      <w:marLeft w:val="0"/>
      <w:marRight w:val="0"/>
      <w:marTop w:val="0"/>
      <w:marBottom w:val="0"/>
      <w:divBdr>
        <w:top w:val="none" w:sz="0" w:space="0" w:color="auto"/>
        <w:left w:val="none" w:sz="0" w:space="0" w:color="auto"/>
        <w:bottom w:val="none" w:sz="0" w:space="0" w:color="auto"/>
        <w:right w:val="none" w:sz="0" w:space="0" w:color="auto"/>
      </w:divBdr>
    </w:div>
    <w:div w:id="458647686">
      <w:bodyDiv w:val="1"/>
      <w:marLeft w:val="0"/>
      <w:marRight w:val="0"/>
      <w:marTop w:val="0"/>
      <w:marBottom w:val="0"/>
      <w:divBdr>
        <w:top w:val="none" w:sz="0" w:space="0" w:color="auto"/>
        <w:left w:val="none" w:sz="0" w:space="0" w:color="auto"/>
        <w:bottom w:val="none" w:sz="0" w:space="0" w:color="auto"/>
        <w:right w:val="none" w:sz="0" w:space="0" w:color="auto"/>
      </w:divBdr>
    </w:div>
    <w:div w:id="470949262">
      <w:bodyDiv w:val="1"/>
      <w:marLeft w:val="0"/>
      <w:marRight w:val="0"/>
      <w:marTop w:val="0"/>
      <w:marBottom w:val="0"/>
      <w:divBdr>
        <w:top w:val="none" w:sz="0" w:space="0" w:color="auto"/>
        <w:left w:val="none" w:sz="0" w:space="0" w:color="auto"/>
        <w:bottom w:val="none" w:sz="0" w:space="0" w:color="auto"/>
        <w:right w:val="none" w:sz="0" w:space="0" w:color="auto"/>
      </w:divBdr>
    </w:div>
    <w:div w:id="499349645">
      <w:bodyDiv w:val="1"/>
      <w:marLeft w:val="0"/>
      <w:marRight w:val="0"/>
      <w:marTop w:val="0"/>
      <w:marBottom w:val="0"/>
      <w:divBdr>
        <w:top w:val="none" w:sz="0" w:space="0" w:color="auto"/>
        <w:left w:val="none" w:sz="0" w:space="0" w:color="auto"/>
        <w:bottom w:val="none" w:sz="0" w:space="0" w:color="auto"/>
        <w:right w:val="none" w:sz="0" w:space="0" w:color="auto"/>
      </w:divBdr>
    </w:div>
    <w:div w:id="505945949">
      <w:bodyDiv w:val="1"/>
      <w:marLeft w:val="0"/>
      <w:marRight w:val="0"/>
      <w:marTop w:val="0"/>
      <w:marBottom w:val="0"/>
      <w:divBdr>
        <w:top w:val="none" w:sz="0" w:space="0" w:color="auto"/>
        <w:left w:val="none" w:sz="0" w:space="0" w:color="auto"/>
        <w:bottom w:val="none" w:sz="0" w:space="0" w:color="auto"/>
        <w:right w:val="none" w:sz="0" w:space="0" w:color="auto"/>
      </w:divBdr>
    </w:div>
    <w:div w:id="506020995">
      <w:bodyDiv w:val="1"/>
      <w:marLeft w:val="0"/>
      <w:marRight w:val="0"/>
      <w:marTop w:val="0"/>
      <w:marBottom w:val="0"/>
      <w:divBdr>
        <w:top w:val="none" w:sz="0" w:space="0" w:color="auto"/>
        <w:left w:val="none" w:sz="0" w:space="0" w:color="auto"/>
        <w:bottom w:val="none" w:sz="0" w:space="0" w:color="auto"/>
        <w:right w:val="none" w:sz="0" w:space="0" w:color="auto"/>
      </w:divBdr>
    </w:div>
    <w:div w:id="513108483">
      <w:bodyDiv w:val="1"/>
      <w:marLeft w:val="0"/>
      <w:marRight w:val="0"/>
      <w:marTop w:val="0"/>
      <w:marBottom w:val="0"/>
      <w:divBdr>
        <w:top w:val="none" w:sz="0" w:space="0" w:color="auto"/>
        <w:left w:val="none" w:sz="0" w:space="0" w:color="auto"/>
        <w:bottom w:val="none" w:sz="0" w:space="0" w:color="auto"/>
        <w:right w:val="none" w:sz="0" w:space="0" w:color="auto"/>
      </w:divBdr>
    </w:div>
    <w:div w:id="532234629">
      <w:bodyDiv w:val="1"/>
      <w:marLeft w:val="0"/>
      <w:marRight w:val="0"/>
      <w:marTop w:val="0"/>
      <w:marBottom w:val="0"/>
      <w:divBdr>
        <w:top w:val="none" w:sz="0" w:space="0" w:color="auto"/>
        <w:left w:val="none" w:sz="0" w:space="0" w:color="auto"/>
        <w:bottom w:val="none" w:sz="0" w:space="0" w:color="auto"/>
        <w:right w:val="none" w:sz="0" w:space="0" w:color="auto"/>
      </w:divBdr>
    </w:div>
    <w:div w:id="548733626">
      <w:bodyDiv w:val="1"/>
      <w:marLeft w:val="0"/>
      <w:marRight w:val="0"/>
      <w:marTop w:val="0"/>
      <w:marBottom w:val="0"/>
      <w:divBdr>
        <w:top w:val="none" w:sz="0" w:space="0" w:color="auto"/>
        <w:left w:val="none" w:sz="0" w:space="0" w:color="auto"/>
        <w:bottom w:val="none" w:sz="0" w:space="0" w:color="auto"/>
        <w:right w:val="none" w:sz="0" w:space="0" w:color="auto"/>
      </w:divBdr>
    </w:div>
    <w:div w:id="583295182">
      <w:bodyDiv w:val="1"/>
      <w:marLeft w:val="0"/>
      <w:marRight w:val="0"/>
      <w:marTop w:val="0"/>
      <w:marBottom w:val="0"/>
      <w:divBdr>
        <w:top w:val="none" w:sz="0" w:space="0" w:color="auto"/>
        <w:left w:val="none" w:sz="0" w:space="0" w:color="auto"/>
        <w:bottom w:val="none" w:sz="0" w:space="0" w:color="auto"/>
        <w:right w:val="none" w:sz="0" w:space="0" w:color="auto"/>
      </w:divBdr>
    </w:div>
    <w:div w:id="603535785">
      <w:bodyDiv w:val="1"/>
      <w:marLeft w:val="0"/>
      <w:marRight w:val="0"/>
      <w:marTop w:val="0"/>
      <w:marBottom w:val="0"/>
      <w:divBdr>
        <w:top w:val="none" w:sz="0" w:space="0" w:color="auto"/>
        <w:left w:val="none" w:sz="0" w:space="0" w:color="auto"/>
        <w:bottom w:val="none" w:sz="0" w:space="0" w:color="auto"/>
        <w:right w:val="none" w:sz="0" w:space="0" w:color="auto"/>
      </w:divBdr>
    </w:div>
    <w:div w:id="611518890">
      <w:bodyDiv w:val="1"/>
      <w:marLeft w:val="0"/>
      <w:marRight w:val="0"/>
      <w:marTop w:val="0"/>
      <w:marBottom w:val="0"/>
      <w:divBdr>
        <w:top w:val="none" w:sz="0" w:space="0" w:color="auto"/>
        <w:left w:val="none" w:sz="0" w:space="0" w:color="auto"/>
        <w:bottom w:val="none" w:sz="0" w:space="0" w:color="auto"/>
        <w:right w:val="none" w:sz="0" w:space="0" w:color="auto"/>
      </w:divBdr>
    </w:div>
    <w:div w:id="622344932">
      <w:bodyDiv w:val="1"/>
      <w:marLeft w:val="0"/>
      <w:marRight w:val="0"/>
      <w:marTop w:val="0"/>
      <w:marBottom w:val="0"/>
      <w:divBdr>
        <w:top w:val="none" w:sz="0" w:space="0" w:color="auto"/>
        <w:left w:val="none" w:sz="0" w:space="0" w:color="auto"/>
        <w:bottom w:val="none" w:sz="0" w:space="0" w:color="auto"/>
        <w:right w:val="none" w:sz="0" w:space="0" w:color="auto"/>
      </w:divBdr>
    </w:div>
    <w:div w:id="638848633">
      <w:bodyDiv w:val="1"/>
      <w:marLeft w:val="0"/>
      <w:marRight w:val="0"/>
      <w:marTop w:val="0"/>
      <w:marBottom w:val="0"/>
      <w:divBdr>
        <w:top w:val="none" w:sz="0" w:space="0" w:color="auto"/>
        <w:left w:val="none" w:sz="0" w:space="0" w:color="auto"/>
        <w:bottom w:val="none" w:sz="0" w:space="0" w:color="auto"/>
        <w:right w:val="none" w:sz="0" w:space="0" w:color="auto"/>
      </w:divBdr>
    </w:div>
    <w:div w:id="668215013">
      <w:bodyDiv w:val="1"/>
      <w:marLeft w:val="0"/>
      <w:marRight w:val="0"/>
      <w:marTop w:val="0"/>
      <w:marBottom w:val="0"/>
      <w:divBdr>
        <w:top w:val="none" w:sz="0" w:space="0" w:color="auto"/>
        <w:left w:val="none" w:sz="0" w:space="0" w:color="auto"/>
        <w:bottom w:val="none" w:sz="0" w:space="0" w:color="auto"/>
        <w:right w:val="none" w:sz="0" w:space="0" w:color="auto"/>
      </w:divBdr>
    </w:div>
    <w:div w:id="700017387">
      <w:bodyDiv w:val="1"/>
      <w:marLeft w:val="0"/>
      <w:marRight w:val="0"/>
      <w:marTop w:val="0"/>
      <w:marBottom w:val="0"/>
      <w:divBdr>
        <w:top w:val="none" w:sz="0" w:space="0" w:color="auto"/>
        <w:left w:val="none" w:sz="0" w:space="0" w:color="auto"/>
        <w:bottom w:val="none" w:sz="0" w:space="0" w:color="auto"/>
        <w:right w:val="none" w:sz="0" w:space="0" w:color="auto"/>
      </w:divBdr>
    </w:div>
    <w:div w:id="714618279">
      <w:bodyDiv w:val="1"/>
      <w:marLeft w:val="0"/>
      <w:marRight w:val="0"/>
      <w:marTop w:val="0"/>
      <w:marBottom w:val="0"/>
      <w:divBdr>
        <w:top w:val="none" w:sz="0" w:space="0" w:color="auto"/>
        <w:left w:val="none" w:sz="0" w:space="0" w:color="auto"/>
        <w:bottom w:val="none" w:sz="0" w:space="0" w:color="auto"/>
        <w:right w:val="none" w:sz="0" w:space="0" w:color="auto"/>
      </w:divBdr>
    </w:div>
    <w:div w:id="732895842">
      <w:bodyDiv w:val="1"/>
      <w:marLeft w:val="0"/>
      <w:marRight w:val="0"/>
      <w:marTop w:val="0"/>
      <w:marBottom w:val="0"/>
      <w:divBdr>
        <w:top w:val="none" w:sz="0" w:space="0" w:color="auto"/>
        <w:left w:val="none" w:sz="0" w:space="0" w:color="auto"/>
        <w:bottom w:val="none" w:sz="0" w:space="0" w:color="auto"/>
        <w:right w:val="none" w:sz="0" w:space="0" w:color="auto"/>
      </w:divBdr>
    </w:div>
    <w:div w:id="738138175">
      <w:bodyDiv w:val="1"/>
      <w:marLeft w:val="0"/>
      <w:marRight w:val="0"/>
      <w:marTop w:val="0"/>
      <w:marBottom w:val="0"/>
      <w:divBdr>
        <w:top w:val="none" w:sz="0" w:space="0" w:color="auto"/>
        <w:left w:val="none" w:sz="0" w:space="0" w:color="auto"/>
        <w:bottom w:val="none" w:sz="0" w:space="0" w:color="auto"/>
        <w:right w:val="none" w:sz="0" w:space="0" w:color="auto"/>
      </w:divBdr>
    </w:div>
    <w:div w:id="763113135">
      <w:bodyDiv w:val="1"/>
      <w:marLeft w:val="0"/>
      <w:marRight w:val="0"/>
      <w:marTop w:val="0"/>
      <w:marBottom w:val="0"/>
      <w:divBdr>
        <w:top w:val="none" w:sz="0" w:space="0" w:color="auto"/>
        <w:left w:val="none" w:sz="0" w:space="0" w:color="auto"/>
        <w:bottom w:val="none" w:sz="0" w:space="0" w:color="auto"/>
        <w:right w:val="none" w:sz="0" w:space="0" w:color="auto"/>
      </w:divBdr>
    </w:div>
    <w:div w:id="763964811">
      <w:bodyDiv w:val="1"/>
      <w:marLeft w:val="0"/>
      <w:marRight w:val="0"/>
      <w:marTop w:val="0"/>
      <w:marBottom w:val="0"/>
      <w:divBdr>
        <w:top w:val="none" w:sz="0" w:space="0" w:color="auto"/>
        <w:left w:val="none" w:sz="0" w:space="0" w:color="auto"/>
        <w:bottom w:val="none" w:sz="0" w:space="0" w:color="auto"/>
        <w:right w:val="none" w:sz="0" w:space="0" w:color="auto"/>
      </w:divBdr>
    </w:div>
    <w:div w:id="765273088">
      <w:bodyDiv w:val="1"/>
      <w:marLeft w:val="0"/>
      <w:marRight w:val="0"/>
      <w:marTop w:val="0"/>
      <w:marBottom w:val="0"/>
      <w:divBdr>
        <w:top w:val="none" w:sz="0" w:space="0" w:color="auto"/>
        <w:left w:val="none" w:sz="0" w:space="0" w:color="auto"/>
        <w:bottom w:val="none" w:sz="0" w:space="0" w:color="auto"/>
        <w:right w:val="none" w:sz="0" w:space="0" w:color="auto"/>
      </w:divBdr>
    </w:div>
    <w:div w:id="784890175">
      <w:bodyDiv w:val="1"/>
      <w:marLeft w:val="0"/>
      <w:marRight w:val="0"/>
      <w:marTop w:val="0"/>
      <w:marBottom w:val="0"/>
      <w:divBdr>
        <w:top w:val="none" w:sz="0" w:space="0" w:color="auto"/>
        <w:left w:val="none" w:sz="0" w:space="0" w:color="auto"/>
        <w:bottom w:val="none" w:sz="0" w:space="0" w:color="auto"/>
        <w:right w:val="none" w:sz="0" w:space="0" w:color="auto"/>
      </w:divBdr>
    </w:div>
    <w:div w:id="793862587">
      <w:bodyDiv w:val="1"/>
      <w:marLeft w:val="0"/>
      <w:marRight w:val="0"/>
      <w:marTop w:val="0"/>
      <w:marBottom w:val="0"/>
      <w:divBdr>
        <w:top w:val="none" w:sz="0" w:space="0" w:color="auto"/>
        <w:left w:val="none" w:sz="0" w:space="0" w:color="auto"/>
        <w:bottom w:val="none" w:sz="0" w:space="0" w:color="auto"/>
        <w:right w:val="none" w:sz="0" w:space="0" w:color="auto"/>
      </w:divBdr>
    </w:div>
    <w:div w:id="794565638">
      <w:bodyDiv w:val="1"/>
      <w:marLeft w:val="0"/>
      <w:marRight w:val="0"/>
      <w:marTop w:val="0"/>
      <w:marBottom w:val="0"/>
      <w:divBdr>
        <w:top w:val="none" w:sz="0" w:space="0" w:color="auto"/>
        <w:left w:val="none" w:sz="0" w:space="0" w:color="auto"/>
        <w:bottom w:val="none" w:sz="0" w:space="0" w:color="auto"/>
        <w:right w:val="none" w:sz="0" w:space="0" w:color="auto"/>
      </w:divBdr>
    </w:div>
    <w:div w:id="809638895">
      <w:bodyDiv w:val="1"/>
      <w:marLeft w:val="0"/>
      <w:marRight w:val="0"/>
      <w:marTop w:val="0"/>
      <w:marBottom w:val="0"/>
      <w:divBdr>
        <w:top w:val="none" w:sz="0" w:space="0" w:color="auto"/>
        <w:left w:val="none" w:sz="0" w:space="0" w:color="auto"/>
        <w:bottom w:val="none" w:sz="0" w:space="0" w:color="auto"/>
        <w:right w:val="none" w:sz="0" w:space="0" w:color="auto"/>
      </w:divBdr>
    </w:div>
    <w:div w:id="811681609">
      <w:bodyDiv w:val="1"/>
      <w:marLeft w:val="0"/>
      <w:marRight w:val="0"/>
      <w:marTop w:val="0"/>
      <w:marBottom w:val="0"/>
      <w:divBdr>
        <w:top w:val="none" w:sz="0" w:space="0" w:color="auto"/>
        <w:left w:val="none" w:sz="0" w:space="0" w:color="auto"/>
        <w:bottom w:val="none" w:sz="0" w:space="0" w:color="auto"/>
        <w:right w:val="none" w:sz="0" w:space="0" w:color="auto"/>
      </w:divBdr>
    </w:div>
    <w:div w:id="813523561">
      <w:bodyDiv w:val="1"/>
      <w:marLeft w:val="0"/>
      <w:marRight w:val="0"/>
      <w:marTop w:val="0"/>
      <w:marBottom w:val="0"/>
      <w:divBdr>
        <w:top w:val="none" w:sz="0" w:space="0" w:color="auto"/>
        <w:left w:val="none" w:sz="0" w:space="0" w:color="auto"/>
        <w:bottom w:val="none" w:sz="0" w:space="0" w:color="auto"/>
        <w:right w:val="none" w:sz="0" w:space="0" w:color="auto"/>
      </w:divBdr>
    </w:div>
    <w:div w:id="826673516">
      <w:bodyDiv w:val="1"/>
      <w:marLeft w:val="0"/>
      <w:marRight w:val="0"/>
      <w:marTop w:val="0"/>
      <w:marBottom w:val="0"/>
      <w:divBdr>
        <w:top w:val="none" w:sz="0" w:space="0" w:color="auto"/>
        <w:left w:val="none" w:sz="0" w:space="0" w:color="auto"/>
        <w:bottom w:val="none" w:sz="0" w:space="0" w:color="auto"/>
        <w:right w:val="none" w:sz="0" w:space="0" w:color="auto"/>
      </w:divBdr>
    </w:div>
    <w:div w:id="846863561">
      <w:bodyDiv w:val="1"/>
      <w:marLeft w:val="0"/>
      <w:marRight w:val="0"/>
      <w:marTop w:val="0"/>
      <w:marBottom w:val="0"/>
      <w:divBdr>
        <w:top w:val="none" w:sz="0" w:space="0" w:color="auto"/>
        <w:left w:val="none" w:sz="0" w:space="0" w:color="auto"/>
        <w:bottom w:val="none" w:sz="0" w:space="0" w:color="auto"/>
        <w:right w:val="none" w:sz="0" w:space="0" w:color="auto"/>
      </w:divBdr>
    </w:div>
    <w:div w:id="855658033">
      <w:bodyDiv w:val="1"/>
      <w:marLeft w:val="0"/>
      <w:marRight w:val="0"/>
      <w:marTop w:val="0"/>
      <w:marBottom w:val="0"/>
      <w:divBdr>
        <w:top w:val="none" w:sz="0" w:space="0" w:color="auto"/>
        <w:left w:val="none" w:sz="0" w:space="0" w:color="auto"/>
        <w:bottom w:val="none" w:sz="0" w:space="0" w:color="auto"/>
        <w:right w:val="none" w:sz="0" w:space="0" w:color="auto"/>
      </w:divBdr>
    </w:div>
    <w:div w:id="863593602">
      <w:bodyDiv w:val="1"/>
      <w:marLeft w:val="0"/>
      <w:marRight w:val="0"/>
      <w:marTop w:val="0"/>
      <w:marBottom w:val="0"/>
      <w:divBdr>
        <w:top w:val="none" w:sz="0" w:space="0" w:color="auto"/>
        <w:left w:val="none" w:sz="0" w:space="0" w:color="auto"/>
        <w:bottom w:val="none" w:sz="0" w:space="0" w:color="auto"/>
        <w:right w:val="none" w:sz="0" w:space="0" w:color="auto"/>
      </w:divBdr>
    </w:div>
    <w:div w:id="870192608">
      <w:bodyDiv w:val="1"/>
      <w:marLeft w:val="0"/>
      <w:marRight w:val="0"/>
      <w:marTop w:val="0"/>
      <w:marBottom w:val="0"/>
      <w:divBdr>
        <w:top w:val="none" w:sz="0" w:space="0" w:color="auto"/>
        <w:left w:val="none" w:sz="0" w:space="0" w:color="auto"/>
        <w:bottom w:val="none" w:sz="0" w:space="0" w:color="auto"/>
        <w:right w:val="none" w:sz="0" w:space="0" w:color="auto"/>
      </w:divBdr>
    </w:div>
    <w:div w:id="882524720">
      <w:bodyDiv w:val="1"/>
      <w:marLeft w:val="0"/>
      <w:marRight w:val="0"/>
      <w:marTop w:val="0"/>
      <w:marBottom w:val="0"/>
      <w:divBdr>
        <w:top w:val="none" w:sz="0" w:space="0" w:color="auto"/>
        <w:left w:val="none" w:sz="0" w:space="0" w:color="auto"/>
        <w:bottom w:val="none" w:sz="0" w:space="0" w:color="auto"/>
        <w:right w:val="none" w:sz="0" w:space="0" w:color="auto"/>
      </w:divBdr>
    </w:div>
    <w:div w:id="887909988">
      <w:bodyDiv w:val="1"/>
      <w:marLeft w:val="0"/>
      <w:marRight w:val="0"/>
      <w:marTop w:val="0"/>
      <w:marBottom w:val="0"/>
      <w:divBdr>
        <w:top w:val="none" w:sz="0" w:space="0" w:color="auto"/>
        <w:left w:val="none" w:sz="0" w:space="0" w:color="auto"/>
        <w:bottom w:val="none" w:sz="0" w:space="0" w:color="auto"/>
        <w:right w:val="none" w:sz="0" w:space="0" w:color="auto"/>
      </w:divBdr>
    </w:div>
    <w:div w:id="907302896">
      <w:bodyDiv w:val="1"/>
      <w:marLeft w:val="0"/>
      <w:marRight w:val="0"/>
      <w:marTop w:val="0"/>
      <w:marBottom w:val="0"/>
      <w:divBdr>
        <w:top w:val="none" w:sz="0" w:space="0" w:color="auto"/>
        <w:left w:val="none" w:sz="0" w:space="0" w:color="auto"/>
        <w:bottom w:val="none" w:sz="0" w:space="0" w:color="auto"/>
        <w:right w:val="none" w:sz="0" w:space="0" w:color="auto"/>
      </w:divBdr>
    </w:div>
    <w:div w:id="971714491">
      <w:bodyDiv w:val="1"/>
      <w:marLeft w:val="0"/>
      <w:marRight w:val="0"/>
      <w:marTop w:val="0"/>
      <w:marBottom w:val="0"/>
      <w:divBdr>
        <w:top w:val="none" w:sz="0" w:space="0" w:color="auto"/>
        <w:left w:val="none" w:sz="0" w:space="0" w:color="auto"/>
        <w:bottom w:val="none" w:sz="0" w:space="0" w:color="auto"/>
        <w:right w:val="none" w:sz="0" w:space="0" w:color="auto"/>
      </w:divBdr>
    </w:div>
    <w:div w:id="978077153">
      <w:bodyDiv w:val="1"/>
      <w:marLeft w:val="0"/>
      <w:marRight w:val="0"/>
      <w:marTop w:val="0"/>
      <w:marBottom w:val="0"/>
      <w:divBdr>
        <w:top w:val="none" w:sz="0" w:space="0" w:color="auto"/>
        <w:left w:val="none" w:sz="0" w:space="0" w:color="auto"/>
        <w:bottom w:val="none" w:sz="0" w:space="0" w:color="auto"/>
        <w:right w:val="none" w:sz="0" w:space="0" w:color="auto"/>
      </w:divBdr>
    </w:div>
    <w:div w:id="986668530">
      <w:bodyDiv w:val="1"/>
      <w:marLeft w:val="0"/>
      <w:marRight w:val="0"/>
      <w:marTop w:val="0"/>
      <w:marBottom w:val="0"/>
      <w:divBdr>
        <w:top w:val="none" w:sz="0" w:space="0" w:color="auto"/>
        <w:left w:val="none" w:sz="0" w:space="0" w:color="auto"/>
        <w:bottom w:val="none" w:sz="0" w:space="0" w:color="auto"/>
        <w:right w:val="none" w:sz="0" w:space="0" w:color="auto"/>
      </w:divBdr>
    </w:div>
    <w:div w:id="1005399843">
      <w:bodyDiv w:val="1"/>
      <w:marLeft w:val="0"/>
      <w:marRight w:val="0"/>
      <w:marTop w:val="0"/>
      <w:marBottom w:val="0"/>
      <w:divBdr>
        <w:top w:val="none" w:sz="0" w:space="0" w:color="auto"/>
        <w:left w:val="none" w:sz="0" w:space="0" w:color="auto"/>
        <w:bottom w:val="none" w:sz="0" w:space="0" w:color="auto"/>
        <w:right w:val="none" w:sz="0" w:space="0" w:color="auto"/>
      </w:divBdr>
    </w:div>
    <w:div w:id="1009789873">
      <w:bodyDiv w:val="1"/>
      <w:marLeft w:val="0"/>
      <w:marRight w:val="0"/>
      <w:marTop w:val="0"/>
      <w:marBottom w:val="0"/>
      <w:divBdr>
        <w:top w:val="none" w:sz="0" w:space="0" w:color="auto"/>
        <w:left w:val="none" w:sz="0" w:space="0" w:color="auto"/>
        <w:bottom w:val="none" w:sz="0" w:space="0" w:color="auto"/>
        <w:right w:val="none" w:sz="0" w:space="0" w:color="auto"/>
      </w:divBdr>
    </w:div>
    <w:div w:id="1012223151">
      <w:bodyDiv w:val="1"/>
      <w:marLeft w:val="0"/>
      <w:marRight w:val="0"/>
      <w:marTop w:val="0"/>
      <w:marBottom w:val="0"/>
      <w:divBdr>
        <w:top w:val="none" w:sz="0" w:space="0" w:color="auto"/>
        <w:left w:val="none" w:sz="0" w:space="0" w:color="auto"/>
        <w:bottom w:val="none" w:sz="0" w:space="0" w:color="auto"/>
        <w:right w:val="none" w:sz="0" w:space="0" w:color="auto"/>
      </w:divBdr>
    </w:div>
    <w:div w:id="1014189448">
      <w:bodyDiv w:val="1"/>
      <w:marLeft w:val="0"/>
      <w:marRight w:val="0"/>
      <w:marTop w:val="0"/>
      <w:marBottom w:val="0"/>
      <w:divBdr>
        <w:top w:val="none" w:sz="0" w:space="0" w:color="auto"/>
        <w:left w:val="none" w:sz="0" w:space="0" w:color="auto"/>
        <w:bottom w:val="none" w:sz="0" w:space="0" w:color="auto"/>
        <w:right w:val="none" w:sz="0" w:space="0" w:color="auto"/>
      </w:divBdr>
    </w:div>
    <w:div w:id="1034308881">
      <w:bodyDiv w:val="1"/>
      <w:marLeft w:val="0"/>
      <w:marRight w:val="0"/>
      <w:marTop w:val="0"/>
      <w:marBottom w:val="0"/>
      <w:divBdr>
        <w:top w:val="none" w:sz="0" w:space="0" w:color="auto"/>
        <w:left w:val="none" w:sz="0" w:space="0" w:color="auto"/>
        <w:bottom w:val="none" w:sz="0" w:space="0" w:color="auto"/>
        <w:right w:val="none" w:sz="0" w:space="0" w:color="auto"/>
      </w:divBdr>
    </w:div>
    <w:div w:id="1037241745">
      <w:bodyDiv w:val="1"/>
      <w:marLeft w:val="0"/>
      <w:marRight w:val="0"/>
      <w:marTop w:val="0"/>
      <w:marBottom w:val="0"/>
      <w:divBdr>
        <w:top w:val="none" w:sz="0" w:space="0" w:color="auto"/>
        <w:left w:val="none" w:sz="0" w:space="0" w:color="auto"/>
        <w:bottom w:val="none" w:sz="0" w:space="0" w:color="auto"/>
        <w:right w:val="none" w:sz="0" w:space="0" w:color="auto"/>
      </w:divBdr>
    </w:div>
    <w:div w:id="1042169318">
      <w:bodyDiv w:val="1"/>
      <w:marLeft w:val="0"/>
      <w:marRight w:val="0"/>
      <w:marTop w:val="0"/>
      <w:marBottom w:val="0"/>
      <w:divBdr>
        <w:top w:val="none" w:sz="0" w:space="0" w:color="auto"/>
        <w:left w:val="none" w:sz="0" w:space="0" w:color="auto"/>
        <w:bottom w:val="none" w:sz="0" w:space="0" w:color="auto"/>
        <w:right w:val="none" w:sz="0" w:space="0" w:color="auto"/>
      </w:divBdr>
    </w:div>
    <w:div w:id="1050612698">
      <w:bodyDiv w:val="1"/>
      <w:marLeft w:val="0"/>
      <w:marRight w:val="0"/>
      <w:marTop w:val="0"/>
      <w:marBottom w:val="0"/>
      <w:divBdr>
        <w:top w:val="none" w:sz="0" w:space="0" w:color="auto"/>
        <w:left w:val="none" w:sz="0" w:space="0" w:color="auto"/>
        <w:bottom w:val="none" w:sz="0" w:space="0" w:color="auto"/>
        <w:right w:val="none" w:sz="0" w:space="0" w:color="auto"/>
      </w:divBdr>
    </w:div>
    <w:div w:id="1078017000">
      <w:bodyDiv w:val="1"/>
      <w:marLeft w:val="0"/>
      <w:marRight w:val="0"/>
      <w:marTop w:val="0"/>
      <w:marBottom w:val="0"/>
      <w:divBdr>
        <w:top w:val="none" w:sz="0" w:space="0" w:color="auto"/>
        <w:left w:val="none" w:sz="0" w:space="0" w:color="auto"/>
        <w:bottom w:val="none" w:sz="0" w:space="0" w:color="auto"/>
        <w:right w:val="none" w:sz="0" w:space="0" w:color="auto"/>
      </w:divBdr>
    </w:div>
    <w:div w:id="1082794826">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1457929">
      <w:bodyDiv w:val="1"/>
      <w:marLeft w:val="0"/>
      <w:marRight w:val="0"/>
      <w:marTop w:val="0"/>
      <w:marBottom w:val="0"/>
      <w:divBdr>
        <w:top w:val="none" w:sz="0" w:space="0" w:color="auto"/>
        <w:left w:val="none" w:sz="0" w:space="0" w:color="auto"/>
        <w:bottom w:val="none" w:sz="0" w:space="0" w:color="auto"/>
        <w:right w:val="none" w:sz="0" w:space="0" w:color="auto"/>
      </w:divBdr>
    </w:div>
    <w:div w:id="1129324590">
      <w:bodyDiv w:val="1"/>
      <w:marLeft w:val="0"/>
      <w:marRight w:val="0"/>
      <w:marTop w:val="0"/>
      <w:marBottom w:val="0"/>
      <w:divBdr>
        <w:top w:val="none" w:sz="0" w:space="0" w:color="auto"/>
        <w:left w:val="none" w:sz="0" w:space="0" w:color="auto"/>
        <w:bottom w:val="none" w:sz="0" w:space="0" w:color="auto"/>
        <w:right w:val="none" w:sz="0" w:space="0" w:color="auto"/>
      </w:divBdr>
    </w:div>
    <w:div w:id="1149402800">
      <w:bodyDiv w:val="1"/>
      <w:marLeft w:val="0"/>
      <w:marRight w:val="0"/>
      <w:marTop w:val="0"/>
      <w:marBottom w:val="0"/>
      <w:divBdr>
        <w:top w:val="none" w:sz="0" w:space="0" w:color="auto"/>
        <w:left w:val="none" w:sz="0" w:space="0" w:color="auto"/>
        <w:bottom w:val="none" w:sz="0" w:space="0" w:color="auto"/>
        <w:right w:val="none" w:sz="0" w:space="0" w:color="auto"/>
      </w:divBdr>
    </w:div>
    <w:div w:id="1151865880">
      <w:bodyDiv w:val="1"/>
      <w:marLeft w:val="0"/>
      <w:marRight w:val="0"/>
      <w:marTop w:val="0"/>
      <w:marBottom w:val="0"/>
      <w:divBdr>
        <w:top w:val="none" w:sz="0" w:space="0" w:color="auto"/>
        <w:left w:val="none" w:sz="0" w:space="0" w:color="auto"/>
        <w:bottom w:val="none" w:sz="0" w:space="0" w:color="auto"/>
        <w:right w:val="none" w:sz="0" w:space="0" w:color="auto"/>
      </w:divBdr>
    </w:div>
    <w:div w:id="1155530948">
      <w:bodyDiv w:val="1"/>
      <w:marLeft w:val="0"/>
      <w:marRight w:val="0"/>
      <w:marTop w:val="0"/>
      <w:marBottom w:val="0"/>
      <w:divBdr>
        <w:top w:val="none" w:sz="0" w:space="0" w:color="auto"/>
        <w:left w:val="none" w:sz="0" w:space="0" w:color="auto"/>
        <w:bottom w:val="none" w:sz="0" w:space="0" w:color="auto"/>
        <w:right w:val="none" w:sz="0" w:space="0" w:color="auto"/>
      </w:divBdr>
    </w:div>
    <w:div w:id="1189878264">
      <w:bodyDiv w:val="1"/>
      <w:marLeft w:val="0"/>
      <w:marRight w:val="0"/>
      <w:marTop w:val="0"/>
      <w:marBottom w:val="0"/>
      <w:divBdr>
        <w:top w:val="none" w:sz="0" w:space="0" w:color="auto"/>
        <w:left w:val="none" w:sz="0" w:space="0" w:color="auto"/>
        <w:bottom w:val="none" w:sz="0" w:space="0" w:color="auto"/>
        <w:right w:val="none" w:sz="0" w:space="0" w:color="auto"/>
      </w:divBdr>
    </w:div>
    <w:div w:id="1257976924">
      <w:bodyDiv w:val="1"/>
      <w:marLeft w:val="0"/>
      <w:marRight w:val="0"/>
      <w:marTop w:val="0"/>
      <w:marBottom w:val="0"/>
      <w:divBdr>
        <w:top w:val="none" w:sz="0" w:space="0" w:color="auto"/>
        <w:left w:val="none" w:sz="0" w:space="0" w:color="auto"/>
        <w:bottom w:val="none" w:sz="0" w:space="0" w:color="auto"/>
        <w:right w:val="none" w:sz="0" w:space="0" w:color="auto"/>
      </w:divBdr>
    </w:div>
    <w:div w:id="1269464326">
      <w:bodyDiv w:val="1"/>
      <w:marLeft w:val="0"/>
      <w:marRight w:val="0"/>
      <w:marTop w:val="0"/>
      <w:marBottom w:val="0"/>
      <w:divBdr>
        <w:top w:val="none" w:sz="0" w:space="0" w:color="auto"/>
        <w:left w:val="none" w:sz="0" w:space="0" w:color="auto"/>
        <w:bottom w:val="none" w:sz="0" w:space="0" w:color="auto"/>
        <w:right w:val="none" w:sz="0" w:space="0" w:color="auto"/>
      </w:divBdr>
    </w:div>
    <w:div w:id="1273587509">
      <w:bodyDiv w:val="1"/>
      <w:marLeft w:val="0"/>
      <w:marRight w:val="0"/>
      <w:marTop w:val="0"/>
      <w:marBottom w:val="0"/>
      <w:divBdr>
        <w:top w:val="none" w:sz="0" w:space="0" w:color="auto"/>
        <w:left w:val="none" w:sz="0" w:space="0" w:color="auto"/>
        <w:bottom w:val="none" w:sz="0" w:space="0" w:color="auto"/>
        <w:right w:val="none" w:sz="0" w:space="0" w:color="auto"/>
      </w:divBdr>
    </w:div>
    <w:div w:id="1280258946">
      <w:bodyDiv w:val="1"/>
      <w:marLeft w:val="0"/>
      <w:marRight w:val="0"/>
      <w:marTop w:val="0"/>
      <w:marBottom w:val="0"/>
      <w:divBdr>
        <w:top w:val="none" w:sz="0" w:space="0" w:color="auto"/>
        <w:left w:val="none" w:sz="0" w:space="0" w:color="auto"/>
        <w:bottom w:val="none" w:sz="0" w:space="0" w:color="auto"/>
        <w:right w:val="none" w:sz="0" w:space="0" w:color="auto"/>
      </w:divBdr>
    </w:div>
    <w:div w:id="1302349943">
      <w:bodyDiv w:val="1"/>
      <w:marLeft w:val="0"/>
      <w:marRight w:val="0"/>
      <w:marTop w:val="0"/>
      <w:marBottom w:val="0"/>
      <w:divBdr>
        <w:top w:val="none" w:sz="0" w:space="0" w:color="auto"/>
        <w:left w:val="none" w:sz="0" w:space="0" w:color="auto"/>
        <w:bottom w:val="none" w:sz="0" w:space="0" w:color="auto"/>
        <w:right w:val="none" w:sz="0" w:space="0" w:color="auto"/>
      </w:divBdr>
    </w:div>
    <w:div w:id="1321350667">
      <w:bodyDiv w:val="1"/>
      <w:marLeft w:val="0"/>
      <w:marRight w:val="0"/>
      <w:marTop w:val="0"/>
      <w:marBottom w:val="0"/>
      <w:divBdr>
        <w:top w:val="none" w:sz="0" w:space="0" w:color="auto"/>
        <w:left w:val="none" w:sz="0" w:space="0" w:color="auto"/>
        <w:bottom w:val="none" w:sz="0" w:space="0" w:color="auto"/>
        <w:right w:val="none" w:sz="0" w:space="0" w:color="auto"/>
      </w:divBdr>
    </w:div>
    <w:div w:id="1335567092">
      <w:bodyDiv w:val="1"/>
      <w:marLeft w:val="0"/>
      <w:marRight w:val="0"/>
      <w:marTop w:val="0"/>
      <w:marBottom w:val="0"/>
      <w:divBdr>
        <w:top w:val="none" w:sz="0" w:space="0" w:color="auto"/>
        <w:left w:val="none" w:sz="0" w:space="0" w:color="auto"/>
        <w:bottom w:val="none" w:sz="0" w:space="0" w:color="auto"/>
        <w:right w:val="none" w:sz="0" w:space="0" w:color="auto"/>
      </w:divBdr>
    </w:div>
    <w:div w:id="1356536295">
      <w:bodyDiv w:val="1"/>
      <w:marLeft w:val="0"/>
      <w:marRight w:val="0"/>
      <w:marTop w:val="0"/>
      <w:marBottom w:val="0"/>
      <w:divBdr>
        <w:top w:val="none" w:sz="0" w:space="0" w:color="auto"/>
        <w:left w:val="none" w:sz="0" w:space="0" w:color="auto"/>
        <w:bottom w:val="none" w:sz="0" w:space="0" w:color="auto"/>
        <w:right w:val="none" w:sz="0" w:space="0" w:color="auto"/>
      </w:divBdr>
    </w:div>
    <w:div w:id="1389650766">
      <w:bodyDiv w:val="1"/>
      <w:marLeft w:val="0"/>
      <w:marRight w:val="0"/>
      <w:marTop w:val="0"/>
      <w:marBottom w:val="0"/>
      <w:divBdr>
        <w:top w:val="none" w:sz="0" w:space="0" w:color="auto"/>
        <w:left w:val="none" w:sz="0" w:space="0" w:color="auto"/>
        <w:bottom w:val="none" w:sz="0" w:space="0" w:color="auto"/>
        <w:right w:val="none" w:sz="0" w:space="0" w:color="auto"/>
      </w:divBdr>
    </w:div>
    <w:div w:id="1395277794">
      <w:bodyDiv w:val="1"/>
      <w:marLeft w:val="0"/>
      <w:marRight w:val="0"/>
      <w:marTop w:val="0"/>
      <w:marBottom w:val="0"/>
      <w:divBdr>
        <w:top w:val="none" w:sz="0" w:space="0" w:color="auto"/>
        <w:left w:val="none" w:sz="0" w:space="0" w:color="auto"/>
        <w:bottom w:val="none" w:sz="0" w:space="0" w:color="auto"/>
        <w:right w:val="none" w:sz="0" w:space="0" w:color="auto"/>
      </w:divBdr>
    </w:div>
    <w:div w:id="1417287902">
      <w:bodyDiv w:val="1"/>
      <w:marLeft w:val="0"/>
      <w:marRight w:val="0"/>
      <w:marTop w:val="0"/>
      <w:marBottom w:val="0"/>
      <w:divBdr>
        <w:top w:val="none" w:sz="0" w:space="0" w:color="auto"/>
        <w:left w:val="none" w:sz="0" w:space="0" w:color="auto"/>
        <w:bottom w:val="none" w:sz="0" w:space="0" w:color="auto"/>
        <w:right w:val="none" w:sz="0" w:space="0" w:color="auto"/>
      </w:divBdr>
    </w:div>
    <w:div w:id="1420832642">
      <w:bodyDiv w:val="1"/>
      <w:marLeft w:val="0"/>
      <w:marRight w:val="0"/>
      <w:marTop w:val="0"/>
      <w:marBottom w:val="0"/>
      <w:divBdr>
        <w:top w:val="none" w:sz="0" w:space="0" w:color="auto"/>
        <w:left w:val="none" w:sz="0" w:space="0" w:color="auto"/>
        <w:bottom w:val="none" w:sz="0" w:space="0" w:color="auto"/>
        <w:right w:val="none" w:sz="0" w:space="0" w:color="auto"/>
      </w:divBdr>
    </w:div>
    <w:div w:id="1430585852">
      <w:bodyDiv w:val="1"/>
      <w:marLeft w:val="0"/>
      <w:marRight w:val="0"/>
      <w:marTop w:val="0"/>
      <w:marBottom w:val="0"/>
      <w:divBdr>
        <w:top w:val="none" w:sz="0" w:space="0" w:color="auto"/>
        <w:left w:val="none" w:sz="0" w:space="0" w:color="auto"/>
        <w:bottom w:val="none" w:sz="0" w:space="0" w:color="auto"/>
        <w:right w:val="none" w:sz="0" w:space="0" w:color="auto"/>
      </w:divBdr>
    </w:div>
    <w:div w:id="1451703933">
      <w:bodyDiv w:val="1"/>
      <w:marLeft w:val="0"/>
      <w:marRight w:val="0"/>
      <w:marTop w:val="0"/>
      <w:marBottom w:val="0"/>
      <w:divBdr>
        <w:top w:val="none" w:sz="0" w:space="0" w:color="auto"/>
        <w:left w:val="none" w:sz="0" w:space="0" w:color="auto"/>
        <w:bottom w:val="none" w:sz="0" w:space="0" w:color="auto"/>
        <w:right w:val="none" w:sz="0" w:space="0" w:color="auto"/>
      </w:divBdr>
    </w:div>
    <w:div w:id="1467311676">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484279346">
      <w:bodyDiv w:val="1"/>
      <w:marLeft w:val="0"/>
      <w:marRight w:val="0"/>
      <w:marTop w:val="0"/>
      <w:marBottom w:val="0"/>
      <w:divBdr>
        <w:top w:val="none" w:sz="0" w:space="0" w:color="auto"/>
        <w:left w:val="none" w:sz="0" w:space="0" w:color="auto"/>
        <w:bottom w:val="none" w:sz="0" w:space="0" w:color="auto"/>
        <w:right w:val="none" w:sz="0" w:space="0" w:color="auto"/>
      </w:divBdr>
    </w:div>
    <w:div w:id="1501386476">
      <w:bodyDiv w:val="1"/>
      <w:marLeft w:val="0"/>
      <w:marRight w:val="0"/>
      <w:marTop w:val="0"/>
      <w:marBottom w:val="0"/>
      <w:divBdr>
        <w:top w:val="none" w:sz="0" w:space="0" w:color="auto"/>
        <w:left w:val="none" w:sz="0" w:space="0" w:color="auto"/>
        <w:bottom w:val="none" w:sz="0" w:space="0" w:color="auto"/>
        <w:right w:val="none" w:sz="0" w:space="0" w:color="auto"/>
      </w:divBdr>
    </w:div>
    <w:div w:id="1510221734">
      <w:bodyDiv w:val="1"/>
      <w:marLeft w:val="0"/>
      <w:marRight w:val="0"/>
      <w:marTop w:val="0"/>
      <w:marBottom w:val="0"/>
      <w:divBdr>
        <w:top w:val="none" w:sz="0" w:space="0" w:color="auto"/>
        <w:left w:val="none" w:sz="0" w:space="0" w:color="auto"/>
        <w:bottom w:val="none" w:sz="0" w:space="0" w:color="auto"/>
        <w:right w:val="none" w:sz="0" w:space="0" w:color="auto"/>
      </w:divBdr>
    </w:div>
    <w:div w:id="1550268125">
      <w:bodyDiv w:val="1"/>
      <w:marLeft w:val="0"/>
      <w:marRight w:val="0"/>
      <w:marTop w:val="0"/>
      <w:marBottom w:val="0"/>
      <w:divBdr>
        <w:top w:val="none" w:sz="0" w:space="0" w:color="auto"/>
        <w:left w:val="none" w:sz="0" w:space="0" w:color="auto"/>
        <w:bottom w:val="none" w:sz="0" w:space="0" w:color="auto"/>
        <w:right w:val="none" w:sz="0" w:space="0" w:color="auto"/>
      </w:divBdr>
    </w:div>
    <w:div w:id="1601060282">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152114">
      <w:bodyDiv w:val="1"/>
      <w:marLeft w:val="0"/>
      <w:marRight w:val="0"/>
      <w:marTop w:val="0"/>
      <w:marBottom w:val="0"/>
      <w:divBdr>
        <w:top w:val="none" w:sz="0" w:space="0" w:color="auto"/>
        <w:left w:val="none" w:sz="0" w:space="0" w:color="auto"/>
        <w:bottom w:val="none" w:sz="0" w:space="0" w:color="auto"/>
        <w:right w:val="none" w:sz="0" w:space="0" w:color="auto"/>
      </w:divBdr>
    </w:div>
    <w:div w:id="1653174047">
      <w:bodyDiv w:val="1"/>
      <w:marLeft w:val="0"/>
      <w:marRight w:val="0"/>
      <w:marTop w:val="0"/>
      <w:marBottom w:val="0"/>
      <w:divBdr>
        <w:top w:val="none" w:sz="0" w:space="0" w:color="auto"/>
        <w:left w:val="none" w:sz="0" w:space="0" w:color="auto"/>
        <w:bottom w:val="none" w:sz="0" w:space="0" w:color="auto"/>
        <w:right w:val="none" w:sz="0" w:space="0" w:color="auto"/>
      </w:divBdr>
    </w:div>
    <w:div w:id="1670133800">
      <w:bodyDiv w:val="1"/>
      <w:marLeft w:val="0"/>
      <w:marRight w:val="0"/>
      <w:marTop w:val="0"/>
      <w:marBottom w:val="0"/>
      <w:divBdr>
        <w:top w:val="none" w:sz="0" w:space="0" w:color="auto"/>
        <w:left w:val="none" w:sz="0" w:space="0" w:color="auto"/>
        <w:bottom w:val="none" w:sz="0" w:space="0" w:color="auto"/>
        <w:right w:val="none" w:sz="0" w:space="0" w:color="auto"/>
      </w:divBdr>
    </w:div>
    <w:div w:id="1699969745">
      <w:bodyDiv w:val="1"/>
      <w:marLeft w:val="0"/>
      <w:marRight w:val="0"/>
      <w:marTop w:val="0"/>
      <w:marBottom w:val="0"/>
      <w:divBdr>
        <w:top w:val="none" w:sz="0" w:space="0" w:color="auto"/>
        <w:left w:val="none" w:sz="0" w:space="0" w:color="auto"/>
        <w:bottom w:val="none" w:sz="0" w:space="0" w:color="auto"/>
        <w:right w:val="none" w:sz="0" w:space="0" w:color="auto"/>
      </w:divBdr>
    </w:div>
    <w:div w:id="1701201120">
      <w:bodyDiv w:val="1"/>
      <w:marLeft w:val="0"/>
      <w:marRight w:val="0"/>
      <w:marTop w:val="0"/>
      <w:marBottom w:val="0"/>
      <w:divBdr>
        <w:top w:val="none" w:sz="0" w:space="0" w:color="auto"/>
        <w:left w:val="none" w:sz="0" w:space="0" w:color="auto"/>
        <w:bottom w:val="none" w:sz="0" w:space="0" w:color="auto"/>
        <w:right w:val="none" w:sz="0" w:space="0" w:color="auto"/>
      </w:divBdr>
    </w:div>
    <w:div w:id="1710185943">
      <w:bodyDiv w:val="1"/>
      <w:marLeft w:val="0"/>
      <w:marRight w:val="0"/>
      <w:marTop w:val="0"/>
      <w:marBottom w:val="0"/>
      <w:divBdr>
        <w:top w:val="none" w:sz="0" w:space="0" w:color="auto"/>
        <w:left w:val="none" w:sz="0" w:space="0" w:color="auto"/>
        <w:bottom w:val="none" w:sz="0" w:space="0" w:color="auto"/>
        <w:right w:val="none" w:sz="0" w:space="0" w:color="auto"/>
      </w:divBdr>
    </w:div>
    <w:div w:id="1761411188">
      <w:bodyDiv w:val="1"/>
      <w:marLeft w:val="0"/>
      <w:marRight w:val="0"/>
      <w:marTop w:val="0"/>
      <w:marBottom w:val="0"/>
      <w:divBdr>
        <w:top w:val="none" w:sz="0" w:space="0" w:color="auto"/>
        <w:left w:val="none" w:sz="0" w:space="0" w:color="auto"/>
        <w:bottom w:val="none" w:sz="0" w:space="0" w:color="auto"/>
        <w:right w:val="none" w:sz="0" w:space="0" w:color="auto"/>
      </w:divBdr>
    </w:div>
    <w:div w:id="1761830308">
      <w:bodyDiv w:val="1"/>
      <w:marLeft w:val="0"/>
      <w:marRight w:val="0"/>
      <w:marTop w:val="0"/>
      <w:marBottom w:val="0"/>
      <w:divBdr>
        <w:top w:val="none" w:sz="0" w:space="0" w:color="auto"/>
        <w:left w:val="none" w:sz="0" w:space="0" w:color="auto"/>
        <w:bottom w:val="none" w:sz="0" w:space="0" w:color="auto"/>
        <w:right w:val="none" w:sz="0" w:space="0" w:color="auto"/>
      </w:divBdr>
    </w:div>
    <w:div w:id="1778981287">
      <w:bodyDiv w:val="1"/>
      <w:marLeft w:val="0"/>
      <w:marRight w:val="0"/>
      <w:marTop w:val="0"/>
      <w:marBottom w:val="0"/>
      <w:divBdr>
        <w:top w:val="none" w:sz="0" w:space="0" w:color="auto"/>
        <w:left w:val="none" w:sz="0" w:space="0" w:color="auto"/>
        <w:bottom w:val="none" w:sz="0" w:space="0" w:color="auto"/>
        <w:right w:val="none" w:sz="0" w:space="0" w:color="auto"/>
      </w:divBdr>
    </w:div>
    <w:div w:id="1783451818">
      <w:bodyDiv w:val="1"/>
      <w:marLeft w:val="0"/>
      <w:marRight w:val="0"/>
      <w:marTop w:val="0"/>
      <w:marBottom w:val="0"/>
      <w:divBdr>
        <w:top w:val="none" w:sz="0" w:space="0" w:color="auto"/>
        <w:left w:val="none" w:sz="0" w:space="0" w:color="auto"/>
        <w:bottom w:val="none" w:sz="0" w:space="0" w:color="auto"/>
        <w:right w:val="none" w:sz="0" w:space="0" w:color="auto"/>
      </w:divBdr>
      <w:divsChild>
        <w:div w:id="420955483">
          <w:marLeft w:val="0"/>
          <w:marRight w:val="0"/>
          <w:marTop w:val="0"/>
          <w:marBottom w:val="0"/>
          <w:divBdr>
            <w:top w:val="none" w:sz="0" w:space="0" w:color="auto"/>
            <w:left w:val="none" w:sz="0" w:space="0" w:color="auto"/>
            <w:bottom w:val="none" w:sz="0" w:space="0" w:color="auto"/>
            <w:right w:val="none" w:sz="0" w:space="0" w:color="auto"/>
          </w:divBdr>
        </w:div>
        <w:div w:id="1360937501">
          <w:marLeft w:val="0"/>
          <w:marRight w:val="0"/>
          <w:marTop w:val="0"/>
          <w:marBottom w:val="0"/>
          <w:divBdr>
            <w:top w:val="none" w:sz="0" w:space="0" w:color="auto"/>
            <w:left w:val="none" w:sz="0" w:space="0" w:color="auto"/>
            <w:bottom w:val="none" w:sz="0" w:space="0" w:color="auto"/>
            <w:right w:val="none" w:sz="0" w:space="0" w:color="auto"/>
          </w:divBdr>
        </w:div>
      </w:divsChild>
    </w:div>
    <w:div w:id="1816986129">
      <w:bodyDiv w:val="1"/>
      <w:marLeft w:val="0"/>
      <w:marRight w:val="0"/>
      <w:marTop w:val="0"/>
      <w:marBottom w:val="0"/>
      <w:divBdr>
        <w:top w:val="none" w:sz="0" w:space="0" w:color="auto"/>
        <w:left w:val="none" w:sz="0" w:space="0" w:color="auto"/>
        <w:bottom w:val="none" w:sz="0" w:space="0" w:color="auto"/>
        <w:right w:val="none" w:sz="0" w:space="0" w:color="auto"/>
      </w:divBdr>
    </w:div>
    <w:div w:id="1827744636">
      <w:bodyDiv w:val="1"/>
      <w:marLeft w:val="0"/>
      <w:marRight w:val="0"/>
      <w:marTop w:val="0"/>
      <w:marBottom w:val="0"/>
      <w:divBdr>
        <w:top w:val="none" w:sz="0" w:space="0" w:color="auto"/>
        <w:left w:val="none" w:sz="0" w:space="0" w:color="auto"/>
        <w:bottom w:val="none" w:sz="0" w:space="0" w:color="auto"/>
        <w:right w:val="none" w:sz="0" w:space="0" w:color="auto"/>
      </w:divBdr>
    </w:div>
    <w:div w:id="1830975956">
      <w:bodyDiv w:val="1"/>
      <w:marLeft w:val="0"/>
      <w:marRight w:val="0"/>
      <w:marTop w:val="0"/>
      <w:marBottom w:val="0"/>
      <w:divBdr>
        <w:top w:val="none" w:sz="0" w:space="0" w:color="auto"/>
        <w:left w:val="none" w:sz="0" w:space="0" w:color="auto"/>
        <w:bottom w:val="none" w:sz="0" w:space="0" w:color="auto"/>
        <w:right w:val="none" w:sz="0" w:space="0" w:color="auto"/>
      </w:divBdr>
    </w:div>
    <w:div w:id="1843617039">
      <w:bodyDiv w:val="1"/>
      <w:marLeft w:val="0"/>
      <w:marRight w:val="0"/>
      <w:marTop w:val="0"/>
      <w:marBottom w:val="0"/>
      <w:divBdr>
        <w:top w:val="none" w:sz="0" w:space="0" w:color="auto"/>
        <w:left w:val="none" w:sz="0" w:space="0" w:color="auto"/>
        <w:bottom w:val="none" w:sz="0" w:space="0" w:color="auto"/>
        <w:right w:val="none" w:sz="0" w:space="0" w:color="auto"/>
      </w:divBdr>
    </w:div>
    <w:div w:id="1847986030">
      <w:bodyDiv w:val="1"/>
      <w:marLeft w:val="0"/>
      <w:marRight w:val="0"/>
      <w:marTop w:val="0"/>
      <w:marBottom w:val="0"/>
      <w:divBdr>
        <w:top w:val="none" w:sz="0" w:space="0" w:color="auto"/>
        <w:left w:val="none" w:sz="0" w:space="0" w:color="auto"/>
        <w:bottom w:val="none" w:sz="0" w:space="0" w:color="auto"/>
        <w:right w:val="none" w:sz="0" w:space="0" w:color="auto"/>
      </w:divBdr>
    </w:div>
    <w:div w:id="1858690588">
      <w:bodyDiv w:val="1"/>
      <w:marLeft w:val="0"/>
      <w:marRight w:val="0"/>
      <w:marTop w:val="0"/>
      <w:marBottom w:val="0"/>
      <w:divBdr>
        <w:top w:val="none" w:sz="0" w:space="0" w:color="auto"/>
        <w:left w:val="none" w:sz="0" w:space="0" w:color="auto"/>
        <w:bottom w:val="none" w:sz="0" w:space="0" w:color="auto"/>
        <w:right w:val="none" w:sz="0" w:space="0" w:color="auto"/>
      </w:divBdr>
    </w:div>
    <w:div w:id="1867253755">
      <w:bodyDiv w:val="1"/>
      <w:marLeft w:val="0"/>
      <w:marRight w:val="0"/>
      <w:marTop w:val="0"/>
      <w:marBottom w:val="0"/>
      <w:divBdr>
        <w:top w:val="none" w:sz="0" w:space="0" w:color="auto"/>
        <w:left w:val="none" w:sz="0" w:space="0" w:color="auto"/>
        <w:bottom w:val="none" w:sz="0" w:space="0" w:color="auto"/>
        <w:right w:val="none" w:sz="0" w:space="0" w:color="auto"/>
      </w:divBdr>
    </w:div>
    <w:div w:id="1873877077">
      <w:bodyDiv w:val="1"/>
      <w:marLeft w:val="0"/>
      <w:marRight w:val="0"/>
      <w:marTop w:val="0"/>
      <w:marBottom w:val="0"/>
      <w:divBdr>
        <w:top w:val="none" w:sz="0" w:space="0" w:color="auto"/>
        <w:left w:val="none" w:sz="0" w:space="0" w:color="auto"/>
        <w:bottom w:val="none" w:sz="0" w:space="0" w:color="auto"/>
        <w:right w:val="none" w:sz="0" w:space="0" w:color="auto"/>
      </w:divBdr>
    </w:div>
    <w:div w:id="1885870184">
      <w:bodyDiv w:val="1"/>
      <w:marLeft w:val="0"/>
      <w:marRight w:val="0"/>
      <w:marTop w:val="0"/>
      <w:marBottom w:val="0"/>
      <w:divBdr>
        <w:top w:val="none" w:sz="0" w:space="0" w:color="auto"/>
        <w:left w:val="none" w:sz="0" w:space="0" w:color="auto"/>
        <w:bottom w:val="none" w:sz="0" w:space="0" w:color="auto"/>
        <w:right w:val="none" w:sz="0" w:space="0" w:color="auto"/>
      </w:divBdr>
    </w:div>
    <w:div w:id="1926649451">
      <w:bodyDiv w:val="1"/>
      <w:marLeft w:val="0"/>
      <w:marRight w:val="0"/>
      <w:marTop w:val="0"/>
      <w:marBottom w:val="0"/>
      <w:divBdr>
        <w:top w:val="none" w:sz="0" w:space="0" w:color="auto"/>
        <w:left w:val="none" w:sz="0" w:space="0" w:color="auto"/>
        <w:bottom w:val="none" w:sz="0" w:space="0" w:color="auto"/>
        <w:right w:val="none" w:sz="0" w:space="0" w:color="auto"/>
      </w:divBdr>
    </w:div>
    <w:div w:id="1929919618">
      <w:bodyDiv w:val="1"/>
      <w:marLeft w:val="0"/>
      <w:marRight w:val="0"/>
      <w:marTop w:val="0"/>
      <w:marBottom w:val="0"/>
      <w:divBdr>
        <w:top w:val="none" w:sz="0" w:space="0" w:color="auto"/>
        <w:left w:val="none" w:sz="0" w:space="0" w:color="auto"/>
        <w:bottom w:val="none" w:sz="0" w:space="0" w:color="auto"/>
        <w:right w:val="none" w:sz="0" w:space="0" w:color="auto"/>
      </w:divBdr>
    </w:div>
    <w:div w:id="1937592938">
      <w:bodyDiv w:val="1"/>
      <w:marLeft w:val="0"/>
      <w:marRight w:val="0"/>
      <w:marTop w:val="0"/>
      <w:marBottom w:val="0"/>
      <w:divBdr>
        <w:top w:val="none" w:sz="0" w:space="0" w:color="auto"/>
        <w:left w:val="none" w:sz="0" w:space="0" w:color="auto"/>
        <w:bottom w:val="none" w:sz="0" w:space="0" w:color="auto"/>
        <w:right w:val="none" w:sz="0" w:space="0" w:color="auto"/>
      </w:divBdr>
    </w:div>
    <w:div w:id="1943341096">
      <w:bodyDiv w:val="1"/>
      <w:marLeft w:val="0"/>
      <w:marRight w:val="0"/>
      <w:marTop w:val="0"/>
      <w:marBottom w:val="0"/>
      <w:divBdr>
        <w:top w:val="none" w:sz="0" w:space="0" w:color="auto"/>
        <w:left w:val="none" w:sz="0" w:space="0" w:color="auto"/>
        <w:bottom w:val="none" w:sz="0" w:space="0" w:color="auto"/>
        <w:right w:val="none" w:sz="0" w:space="0" w:color="auto"/>
      </w:divBdr>
    </w:div>
    <w:div w:id="1966425104">
      <w:bodyDiv w:val="1"/>
      <w:marLeft w:val="0"/>
      <w:marRight w:val="0"/>
      <w:marTop w:val="0"/>
      <w:marBottom w:val="0"/>
      <w:divBdr>
        <w:top w:val="none" w:sz="0" w:space="0" w:color="auto"/>
        <w:left w:val="none" w:sz="0" w:space="0" w:color="auto"/>
        <w:bottom w:val="none" w:sz="0" w:space="0" w:color="auto"/>
        <w:right w:val="none" w:sz="0" w:space="0" w:color="auto"/>
      </w:divBdr>
    </w:div>
    <w:div w:id="1993630515">
      <w:bodyDiv w:val="1"/>
      <w:marLeft w:val="0"/>
      <w:marRight w:val="0"/>
      <w:marTop w:val="0"/>
      <w:marBottom w:val="0"/>
      <w:divBdr>
        <w:top w:val="none" w:sz="0" w:space="0" w:color="auto"/>
        <w:left w:val="none" w:sz="0" w:space="0" w:color="auto"/>
        <w:bottom w:val="none" w:sz="0" w:space="0" w:color="auto"/>
        <w:right w:val="none" w:sz="0" w:space="0" w:color="auto"/>
      </w:divBdr>
    </w:div>
    <w:div w:id="1994018800">
      <w:bodyDiv w:val="1"/>
      <w:marLeft w:val="0"/>
      <w:marRight w:val="0"/>
      <w:marTop w:val="0"/>
      <w:marBottom w:val="0"/>
      <w:divBdr>
        <w:top w:val="none" w:sz="0" w:space="0" w:color="auto"/>
        <w:left w:val="none" w:sz="0" w:space="0" w:color="auto"/>
        <w:bottom w:val="none" w:sz="0" w:space="0" w:color="auto"/>
        <w:right w:val="none" w:sz="0" w:space="0" w:color="auto"/>
      </w:divBdr>
    </w:div>
    <w:div w:id="2002005129">
      <w:bodyDiv w:val="1"/>
      <w:marLeft w:val="0"/>
      <w:marRight w:val="0"/>
      <w:marTop w:val="0"/>
      <w:marBottom w:val="0"/>
      <w:divBdr>
        <w:top w:val="none" w:sz="0" w:space="0" w:color="auto"/>
        <w:left w:val="none" w:sz="0" w:space="0" w:color="auto"/>
        <w:bottom w:val="none" w:sz="0" w:space="0" w:color="auto"/>
        <w:right w:val="none" w:sz="0" w:space="0" w:color="auto"/>
      </w:divBdr>
    </w:div>
    <w:div w:id="2010134440">
      <w:bodyDiv w:val="1"/>
      <w:marLeft w:val="0"/>
      <w:marRight w:val="0"/>
      <w:marTop w:val="0"/>
      <w:marBottom w:val="0"/>
      <w:divBdr>
        <w:top w:val="none" w:sz="0" w:space="0" w:color="auto"/>
        <w:left w:val="none" w:sz="0" w:space="0" w:color="auto"/>
        <w:bottom w:val="none" w:sz="0" w:space="0" w:color="auto"/>
        <w:right w:val="none" w:sz="0" w:space="0" w:color="auto"/>
      </w:divBdr>
    </w:div>
    <w:div w:id="2053071979">
      <w:bodyDiv w:val="1"/>
      <w:marLeft w:val="0"/>
      <w:marRight w:val="0"/>
      <w:marTop w:val="0"/>
      <w:marBottom w:val="0"/>
      <w:divBdr>
        <w:top w:val="none" w:sz="0" w:space="0" w:color="auto"/>
        <w:left w:val="none" w:sz="0" w:space="0" w:color="auto"/>
        <w:bottom w:val="none" w:sz="0" w:space="0" w:color="auto"/>
        <w:right w:val="none" w:sz="0" w:space="0" w:color="auto"/>
      </w:divBdr>
    </w:div>
    <w:div w:id="2082287607">
      <w:bodyDiv w:val="1"/>
      <w:marLeft w:val="0"/>
      <w:marRight w:val="0"/>
      <w:marTop w:val="0"/>
      <w:marBottom w:val="0"/>
      <w:divBdr>
        <w:top w:val="none" w:sz="0" w:space="0" w:color="auto"/>
        <w:left w:val="none" w:sz="0" w:space="0" w:color="auto"/>
        <w:bottom w:val="none" w:sz="0" w:space="0" w:color="auto"/>
        <w:right w:val="none" w:sz="0" w:space="0" w:color="auto"/>
      </w:divBdr>
    </w:div>
    <w:div w:id="2092769664">
      <w:bodyDiv w:val="1"/>
      <w:marLeft w:val="0"/>
      <w:marRight w:val="0"/>
      <w:marTop w:val="0"/>
      <w:marBottom w:val="0"/>
      <w:divBdr>
        <w:top w:val="none" w:sz="0" w:space="0" w:color="auto"/>
        <w:left w:val="none" w:sz="0" w:space="0" w:color="auto"/>
        <w:bottom w:val="none" w:sz="0" w:space="0" w:color="auto"/>
        <w:right w:val="none" w:sz="0" w:space="0" w:color="auto"/>
      </w:divBdr>
    </w:div>
    <w:div w:id="2093894322">
      <w:bodyDiv w:val="1"/>
      <w:marLeft w:val="0"/>
      <w:marRight w:val="0"/>
      <w:marTop w:val="0"/>
      <w:marBottom w:val="0"/>
      <w:divBdr>
        <w:top w:val="none" w:sz="0" w:space="0" w:color="auto"/>
        <w:left w:val="none" w:sz="0" w:space="0" w:color="auto"/>
        <w:bottom w:val="none" w:sz="0" w:space="0" w:color="auto"/>
        <w:right w:val="none" w:sz="0" w:space="0" w:color="auto"/>
      </w:divBdr>
    </w:div>
    <w:div w:id="2123039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www.disability-europe.net/theme/political-participation?page=2" TargetMode="External"/><Relationship Id="rId21" Type="http://schemas.openxmlformats.org/officeDocument/2006/relationships/hyperlink" Target="http://www.venice.coe.int/webforms/documents/?pdf=CDL-STD(2011)045-e" TargetMode="External"/><Relationship Id="rId34" Type="http://schemas.openxmlformats.org/officeDocument/2006/relationships/hyperlink" Target="https://www.theguardian.com/world/2017/feb/02/dutch-will-count-all-election-ballots-by-hand-to-thwart-cyber-hacking" TargetMode="External"/><Relationship Id="rId42" Type="http://schemas.openxmlformats.org/officeDocument/2006/relationships/hyperlink" Target="https://openstate.eu/en/projects/political-transparency/open-municipal-information/" TargetMode="External"/><Relationship Id="rId47" Type="http://schemas.openxmlformats.org/officeDocument/2006/relationships/hyperlink" Target="http://data.assemblee-nationale.fr/" TargetMode="External"/><Relationship Id="rId50" Type="http://schemas.openxmlformats.org/officeDocument/2006/relationships/hyperlink" Target="http://www.monithon.it/about-english/" TargetMode="External"/><Relationship Id="rId55" Type="http://schemas.openxmlformats.org/officeDocument/2006/relationships/hyperlink" Target="https://www.buergerhaushalt.org/sites/default/files/downloads/Studie_Hope_for_democracy_-_25_years_of_participatory_budgeting_worldwide.pdf" TargetMode="External"/><Relationship Id="rId63" Type="http://schemas.openxmlformats.org/officeDocument/2006/relationships/hyperlink" Target="http://piketty.pse.ens.fr/files/T-DEM%20-%20Final%20english%20version%209march2017.pdf" TargetMode="External"/><Relationship Id="rId7" Type="http://schemas.openxmlformats.org/officeDocument/2006/relationships/hyperlink" Target="http://www.echr.coe.int/Documents/FS_Vote_ENG.pdf" TargetMode="External"/><Relationship Id="rId2" Type="http://schemas.openxmlformats.org/officeDocument/2006/relationships/hyperlink" Target="https://hudoc.echr.coe.int/eng" TargetMode="External"/><Relationship Id="rId16" Type="http://schemas.openxmlformats.org/officeDocument/2006/relationships/hyperlink" Target="http://www.venice.coe.int/webforms/documents/CDL-AD(2009)029.aspx" TargetMode="External"/><Relationship Id="rId29" Type="http://schemas.openxmlformats.org/officeDocument/2006/relationships/hyperlink" Target="https://www.gov.uk/government/publications/access-to-elected-office-for-disabled-people-a-response-to-the-consultation" TargetMode="External"/><Relationship Id="rId11" Type="http://schemas.openxmlformats.org/officeDocument/2006/relationships/hyperlink" Target="https://www.coe.int/en/web/conventions/full-list/-/conventions/treaty/166/signatures?p_auth=shZQQ7s2" TargetMode="External"/><Relationship Id="rId24" Type="http://schemas.openxmlformats.org/officeDocument/2006/relationships/hyperlink" Target="https://www.coe.int/t/dghl/monitoring/ecri/country-by-country/denmark/DNK-IFU-IV-2015-23-ENG.pdf" TargetMode="External"/><Relationship Id="rId32" Type="http://schemas.openxmlformats.org/officeDocument/2006/relationships/hyperlink" Target="https://www.idea.int/data-tools/data/icts-elections" TargetMode="External"/><Relationship Id="rId37" Type="http://schemas.openxmlformats.org/officeDocument/2006/relationships/hyperlink" Target="https://ec.europa.eu/digital-single-market/en/news/eu-egovernment-report-2016-shows-online-public-services-improved-unevenly" TargetMode="External"/><Relationship Id="rId40" Type="http://schemas.openxmlformats.org/officeDocument/2006/relationships/hyperlink" Target="https://data.gov.il" TargetMode="External"/><Relationship Id="rId45" Type="http://schemas.openxmlformats.org/officeDocument/2006/relationships/hyperlink" Target="https://www.kuntalaisaloite.fi/fi" TargetMode="External"/><Relationship Id="rId53" Type="http://schemas.openxmlformats.org/officeDocument/2006/relationships/hyperlink" Target="http://www.lemonde.fr/les-decodeurs/article/2017/10/06/outre-paris-45-villes-francaises-ont-adopte-le-budget-participatif_5197506_4355770.html" TargetMode="External"/><Relationship Id="rId58" Type="http://schemas.openxmlformats.org/officeDocument/2006/relationships/hyperlink" Target="http://fra.europa.eu/en/speech/2017/future-role-civil-society-safeguarding-and-promoting-fundamental-rights-europe" TargetMode="External"/><Relationship Id="rId66" Type="http://schemas.openxmlformats.org/officeDocument/2006/relationships/hyperlink" Target="https://www.idea.int/data-tools/data/gender-quotas" TargetMode="External"/><Relationship Id="rId5" Type="http://schemas.openxmlformats.org/officeDocument/2006/relationships/hyperlink" Target="http://www.echr.coe.int/Documents/Guide_Art_3_Protocol_1_ENG.pdf" TargetMode="External"/><Relationship Id="rId61" Type="http://schemas.openxmlformats.org/officeDocument/2006/relationships/hyperlink" Target="http://ec.europa.eu/transparencyregister/public/homePage.do" TargetMode="External"/><Relationship Id="rId19" Type="http://schemas.openxmlformats.org/officeDocument/2006/relationships/hyperlink" Target="http://fra.europa.eu/en/project/2015/local-engagement-roma-inclusion-leri-multi-annual-roma-programme" TargetMode="External"/><Relationship Id="rId14" Type="http://schemas.openxmlformats.org/officeDocument/2006/relationships/hyperlink" Target="https://rm.coe.int/16806eeb7b" TargetMode="External"/><Relationship Id="rId22" Type="http://schemas.openxmlformats.org/officeDocument/2006/relationships/hyperlink" Target="https://www.coe.int/en/web/commissioner/-/portugal-progress-in-participation-of-roma-in-local-decision-making-should-be-sustained" TargetMode="External"/><Relationship Id="rId27" Type="http://schemas.openxmlformats.org/officeDocument/2006/relationships/hyperlink" Target="http://www.disability-europe.net/theme/political-participation?page=2" TargetMode="External"/><Relationship Id="rId30" Type="http://schemas.openxmlformats.org/officeDocument/2006/relationships/hyperlink" Target="https://www.theguardian.com/society/2017/oct/29/government-planning-to-allow-some-prisoners-to-vote-european-court-human-rights" TargetMode="External"/><Relationship Id="rId35" Type="http://schemas.openxmlformats.org/officeDocument/2006/relationships/hyperlink" Target="https://www.ndi.org/e-voting-guide/examples/constitutionality-of-electronic-voting-germany" TargetMode="External"/><Relationship Id="rId43" Type="http://schemas.openxmlformats.org/officeDocument/2006/relationships/hyperlink" Target="http://danske-aeldreraad.dk/wordPress/wp-content/uploads/2014/09/v2_SeniorCitizensCouncils_DENMARK_OnePageSummary.pdf" TargetMode="External"/><Relationship Id="rId48" Type="http://schemas.openxmlformats.org/officeDocument/2006/relationships/hyperlink" Target="https://www.eopinio.de/" TargetMode="External"/><Relationship Id="rId56" Type="http://schemas.openxmlformats.org/officeDocument/2006/relationships/hyperlink" Target="https://www.amazon.co.uk/s/ref=dp_byline_sr_book_1?ie=UTF8&amp;text=Yves+Sintomer&amp;search-alias=books-uk&amp;field-author=Yves+Sintomer&amp;sort=relevancerank" TargetMode="External"/><Relationship Id="rId64" Type="http://schemas.openxmlformats.org/officeDocument/2006/relationships/hyperlink" Target="http://piketty.blog.lemonde.fr/2017/04/14/pour-un-traite-de-democratisation-de-leurope-pourquoi-comment/" TargetMode="External"/><Relationship Id="rId8" Type="http://schemas.openxmlformats.org/officeDocument/2006/relationships/hyperlink" Target="https://www.coe.int/en/web/conventions/search-on-states/-/conventions/treaty/country/ISR" TargetMode="External"/><Relationship Id="rId51" Type="http://schemas.openxmlformats.org/officeDocument/2006/relationships/hyperlink" Target="http://www.monithon.it/media/css/Toolkit%20Monithon.pdf" TargetMode="External"/><Relationship Id="rId3" Type="http://schemas.openxmlformats.org/officeDocument/2006/relationships/hyperlink" Target="https://hudoc.echr.coe.int/eng" TargetMode="External"/><Relationship Id="rId12" Type="http://schemas.openxmlformats.org/officeDocument/2006/relationships/hyperlink" Target="http://www.unhcr.org/protection/statelessness/546e01319/statistics-stateless-persons.html" TargetMode="External"/><Relationship Id="rId17" Type="http://schemas.openxmlformats.org/officeDocument/2006/relationships/hyperlink" Target="http://www.venice.coe.int/webforms/documents/?pdf=CDL-PI(2016)007-e" TargetMode="External"/><Relationship Id="rId25" Type="http://schemas.openxmlformats.org/officeDocument/2006/relationships/hyperlink" Target="http://www.grtpa.com/" TargetMode="External"/><Relationship Id="rId33" Type="http://schemas.openxmlformats.org/officeDocument/2006/relationships/hyperlink" Target="https://www.reuters.com/article/us-france-election-cyber/france-drops-electronic-voting-for-citizens-abroad-over-cybersecurity-fears-idUSKBN16D233" TargetMode="External"/><Relationship Id="rId38" Type="http://schemas.openxmlformats.org/officeDocument/2006/relationships/hyperlink" Target="http://data.assemblee-nationale.fr/" TargetMode="External"/><Relationship Id="rId46" Type="http://schemas.openxmlformats.org/officeDocument/2006/relationships/hyperlink" Target="https://www.otakantaa.fi/fi/" TargetMode="External"/><Relationship Id="rId59" Type="http://schemas.openxmlformats.org/officeDocument/2006/relationships/hyperlink" Target="https://ec.europa.eu/info/law/better-regulation/initiatives/ares-2017-2537702_en" TargetMode="External"/><Relationship Id="rId67" Type="http://schemas.openxmlformats.org/officeDocument/2006/relationships/hyperlink" Target="https://www.coe.int/en/web/conventions/search-on-states/-/conventions/treaty/country/ISR" TargetMode="External"/><Relationship Id="rId20" Type="http://schemas.openxmlformats.org/officeDocument/2006/relationships/hyperlink" Target="https://ec.europa.eu/info/publications/national-roma-integration-strategies-annual-reports_en" TargetMode="External"/><Relationship Id="rId41" Type="http://schemas.openxmlformats.org/officeDocument/2006/relationships/hyperlink" Target="http://zoek.openraadsinformatie.nl/" TargetMode="External"/><Relationship Id="rId54" Type="http://schemas.openxmlformats.org/officeDocument/2006/relationships/hyperlink" Target="http://www.europarl.europa.eu/RegData/etudes/BRIE/2016/573894/EPRS_BRI%282016%29573894_EN.pdf" TargetMode="External"/><Relationship Id="rId62" Type="http://schemas.openxmlformats.org/officeDocument/2006/relationships/hyperlink" Target="http://www.europarl.europa.eu/news/en/press-room/20170615IPR77523/more-lobby-transparency-to-foster-public-trust-in-eu-institutions" TargetMode="External"/><Relationship Id="rId1" Type="http://schemas.openxmlformats.org/officeDocument/2006/relationships/hyperlink" Target="https://www.ohchr.org/EN/Issues/Pages/DraftGuidelinesRighttoParticipationPublicAffairs.aspx" TargetMode="External"/><Relationship Id="rId6" Type="http://schemas.openxmlformats.org/officeDocument/2006/relationships/hyperlink" Target="http://www.echr.coe.int/Documents/FS_Free_elections_ENG.pdf" TargetMode="External"/><Relationship Id="rId15" Type="http://schemas.openxmlformats.org/officeDocument/2006/relationships/hyperlink" Target="https://www.idea.int/data-tools/data/gender-quotas" TargetMode="External"/><Relationship Id="rId23" Type="http://schemas.openxmlformats.org/officeDocument/2006/relationships/hyperlink" Target="https://www.coe.int/t/dghl/monitoring/ecri/Country-by-country/Portugal/PRT-CbC-IV-2013-020-ENG.pdf" TargetMode="External"/><Relationship Id="rId28" Type="http://schemas.openxmlformats.org/officeDocument/2006/relationships/hyperlink" Target="http://www.disability-europe.net/theme/political-participation?page=2" TargetMode="External"/><Relationship Id="rId36" Type="http://schemas.openxmlformats.org/officeDocument/2006/relationships/hyperlink" Target="https://ecpr.eu/Filestore/PaperProposal/71d7f83c-3fe4-4b11-82a2-c151cd3769f4.pdf" TargetMode="External"/><Relationship Id="rId49" Type="http://schemas.openxmlformats.org/officeDocument/2006/relationships/hyperlink" Target="https://customers.microsoft.com/en-gb/story/tel-aviv-government-azure" TargetMode="External"/><Relationship Id="rId57" Type="http://schemas.openxmlformats.org/officeDocument/2006/relationships/hyperlink" Target="https://www.amazon.co.uk/s/ref=dp_byline_sr_book_3?ie=UTF8&amp;text=Carsten+Herzberg&amp;search-alias=books-uk&amp;field-author=Carsten+Herzberg&amp;sort=relevancerank" TargetMode="External"/><Relationship Id="rId10" Type="http://schemas.openxmlformats.org/officeDocument/2006/relationships/hyperlink" Target="https://www.coe.int/en/web/conventions/full-list/-/conventions/treaty/144/signatures?p_auth=shZQQ7s2" TargetMode="External"/><Relationship Id="rId31" Type="http://schemas.openxmlformats.org/officeDocument/2006/relationships/hyperlink" Target="https://oip.org/en-bref/les-detenus-ont-ils-le-droit-de-voter/" TargetMode="External"/><Relationship Id="rId44" Type="http://schemas.openxmlformats.org/officeDocument/2006/relationships/hyperlink" Target="https://www.kansalaisaloite.fi/fi" TargetMode="External"/><Relationship Id="rId52" Type="http://schemas.openxmlformats.org/officeDocument/2006/relationships/hyperlink" Target="http://meae.gov.mt/en/Public_Consultations/Pages/Home.aspx" TargetMode="External"/><Relationship Id="rId60" Type="http://schemas.openxmlformats.org/officeDocument/2006/relationships/hyperlink" Target="http://www.europarl.europa.eu/EPRS/EPRS-Briefing-542170-European-Transparency-Register-FINAL.pdf" TargetMode="External"/><Relationship Id="rId65" Type="http://schemas.openxmlformats.org/officeDocument/2006/relationships/hyperlink" Target="http://archive.ipu.org/wmn-e/classif.htm" TargetMode="External"/><Relationship Id="rId4" Type="http://schemas.openxmlformats.org/officeDocument/2006/relationships/hyperlink" Target="https://hudoc.echr.coe.int/eng" TargetMode="External"/><Relationship Id="rId9" Type="http://schemas.openxmlformats.org/officeDocument/2006/relationships/hyperlink" Target="http://www.osce.org/odihr/hdim" TargetMode="External"/><Relationship Id="rId13" Type="http://schemas.openxmlformats.org/officeDocument/2006/relationships/hyperlink" Target="http://www.venice.coe.int/webforms/documents/default.aspx?pdffile=CDL-EL(2015)003-e" TargetMode="External"/><Relationship Id="rId18" Type="http://schemas.openxmlformats.org/officeDocument/2006/relationships/hyperlink" Target="http://eur-lex.europa.eu/legal-content/EN/TXT/PDF/?uri=CELEX:52011DC0173&amp;from=en" TargetMode="External"/><Relationship Id="rId39" Type="http://schemas.openxmlformats.org/officeDocument/2006/relationships/hyperlink" Target="http://www.bpb.de/die-bpb/138852/federal-agency-for-civic-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60D87-8A16-4080-850F-3B668053A923}">
  <ds:schemaRefs>
    <ds:schemaRef ds:uri="http://schemas.openxmlformats.org/officeDocument/2006/bibliography"/>
  </ds:schemaRefs>
</ds:datastoreItem>
</file>

<file path=customXml/itemProps2.xml><?xml version="1.0" encoding="utf-8"?>
<ds:datastoreItem xmlns:ds="http://schemas.openxmlformats.org/officeDocument/2006/customXml" ds:itemID="{0B6077B8-6BA5-49FC-ACA7-2B779D35F266}"/>
</file>

<file path=customXml/itemProps3.xml><?xml version="1.0" encoding="utf-8"?>
<ds:datastoreItem xmlns:ds="http://schemas.openxmlformats.org/officeDocument/2006/customXml" ds:itemID="{D5330580-81E1-4A32-A655-53BD1FE90B12}"/>
</file>

<file path=customXml/itemProps4.xml><?xml version="1.0" encoding="utf-8"?>
<ds:datastoreItem xmlns:ds="http://schemas.openxmlformats.org/officeDocument/2006/customXml" ds:itemID="{99F4BE1C-831A-4619-97AA-7626C3BFD07C}"/>
</file>

<file path=docProps/app.xml><?xml version="1.0" encoding="utf-8"?>
<Properties xmlns="http://schemas.openxmlformats.org/officeDocument/2006/extended-properties" xmlns:vt="http://schemas.openxmlformats.org/officeDocument/2006/docPropsVTypes">
  <Template>Normal.dotm</Template>
  <TotalTime>45</TotalTime>
  <Pages>29</Pages>
  <Words>7840</Words>
  <Characters>44694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Callejon</dc:creator>
  <cp:keywords/>
  <dc:description/>
  <cp:lastModifiedBy>Federica Morvay</cp:lastModifiedBy>
  <cp:revision>10</cp:revision>
  <cp:lastPrinted>2018-02-26T10:25:00Z</cp:lastPrinted>
  <dcterms:created xsi:type="dcterms:W3CDTF">2018-03-27T09:31:00Z</dcterms:created>
  <dcterms:modified xsi:type="dcterms:W3CDTF">2018-03-27T15:05:00Z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