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959E3" w14:textId="77777777" w:rsidR="00383C0E" w:rsidRPr="00CF4E66" w:rsidRDefault="00383C0E" w:rsidP="00383C0E">
      <w:pPr>
        <w:spacing w:after="0"/>
        <w:rPr>
          <w:rFonts w:ascii="Garamond" w:hAnsi="Garamond"/>
          <w:color w:val="5F5F5F"/>
        </w:rPr>
      </w:pPr>
      <w:r w:rsidRPr="00CF4E66">
        <w:rPr>
          <w:rFonts w:ascii="Garamond" w:hAnsi="Garamond"/>
        </w:rPr>
        <w:t xml:space="preserve">FRIENDS WORLD COMMITTEE FOR CONSULTATION (QUAKERS)    </w:t>
      </w:r>
      <w:r w:rsidRPr="00CF4E66">
        <w:rPr>
          <w:rFonts w:ascii="Garamond" w:hAnsi="Garamond"/>
        </w:rPr>
        <w:tab/>
        <w:t xml:space="preserve">  </w:t>
      </w:r>
      <w:r w:rsidRPr="00CF4E66">
        <w:rPr>
          <w:rFonts w:ascii="Garamond" w:hAnsi="Garamond"/>
        </w:rPr>
        <w:tab/>
        <w:t xml:space="preserve"> </w:t>
      </w:r>
    </w:p>
    <w:p w14:paraId="734A21EB" w14:textId="4A6616F4" w:rsidR="00383C0E" w:rsidRPr="00CF4E66" w:rsidRDefault="00383C0E" w:rsidP="00383C0E">
      <w:pPr>
        <w:rPr>
          <w:color w:val="999999"/>
        </w:rPr>
      </w:pPr>
      <w:r>
        <w:rPr>
          <w:noProof/>
          <w:lang w:val="fr-CH" w:eastAsia="fr-CH"/>
        </w:rPr>
        <mc:AlternateContent>
          <mc:Choice Requires="wps">
            <w:drawing>
              <wp:anchor distT="0" distB="0" distL="114300" distR="114300" simplePos="0" relativeHeight="251662336" behindDoc="0" locked="0" layoutInCell="1" allowOverlap="1" wp14:anchorId="6232E3BF" wp14:editId="770A126D">
                <wp:simplePos x="0" y="0"/>
                <wp:positionH relativeFrom="column">
                  <wp:posOffset>1019597</wp:posOffset>
                </wp:positionH>
                <wp:positionV relativeFrom="paragraph">
                  <wp:posOffset>235107</wp:posOffset>
                </wp:positionV>
                <wp:extent cx="3308985" cy="56578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65785"/>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14:paraId="0CB41163" w14:textId="77777777" w:rsidR="00383C0E" w:rsidRDefault="00383C0E" w:rsidP="00383C0E">
                            <w:pPr>
                              <w:pStyle w:val="FrameContents"/>
                            </w:pPr>
                            <w:r>
                              <w:rPr>
                                <w:b/>
                                <w:color w:val="000000"/>
                                <w:sz w:val="44"/>
                              </w:rPr>
                              <w:t>Q</w:t>
                            </w:r>
                            <w:r>
                              <w:rPr>
                                <w:b/>
                                <w:bCs/>
                                <w:color w:val="000000"/>
                                <w:w w:val="90"/>
                                <w:sz w:val="40"/>
                              </w:rPr>
                              <w:t>uaker</w:t>
                            </w:r>
                            <w:r>
                              <w:rPr>
                                <w:b/>
                                <w:bCs/>
                                <w:color w:val="000000"/>
                                <w:sz w:val="40"/>
                              </w:rPr>
                              <w:t xml:space="preserve"> </w:t>
                            </w:r>
                            <w:r>
                              <w:rPr>
                                <w:b/>
                                <w:bCs/>
                                <w:color w:val="000000"/>
                                <w:sz w:val="44"/>
                              </w:rPr>
                              <w:t>U</w:t>
                            </w:r>
                            <w:r>
                              <w:rPr>
                                <w:b/>
                                <w:bCs/>
                                <w:color w:val="000000"/>
                                <w:w w:val="90"/>
                                <w:sz w:val="40"/>
                              </w:rPr>
                              <w:t>nited</w:t>
                            </w:r>
                            <w:r>
                              <w:rPr>
                                <w:b/>
                                <w:bCs/>
                                <w:color w:val="000000"/>
                                <w:sz w:val="40"/>
                              </w:rPr>
                              <w:t xml:space="preserve"> </w:t>
                            </w:r>
                            <w:r>
                              <w:rPr>
                                <w:b/>
                                <w:bCs/>
                                <w:color w:val="000000"/>
                                <w:sz w:val="44"/>
                              </w:rPr>
                              <w:t>N</w:t>
                            </w:r>
                            <w:r>
                              <w:rPr>
                                <w:b/>
                                <w:bCs/>
                                <w:color w:val="000000"/>
                                <w:w w:val="90"/>
                                <w:sz w:val="40"/>
                              </w:rPr>
                              <w:t>ations</w:t>
                            </w:r>
                            <w:r>
                              <w:rPr>
                                <w:b/>
                                <w:bCs/>
                                <w:color w:val="000000"/>
                                <w:sz w:val="40"/>
                              </w:rPr>
                              <w:t xml:space="preserve"> </w:t>
                            </w:r>
                            <w:r>
                              <w:rPr>
                                <w:b/>
                                <w:bCs/>
                                <w:color w:val="000000"/>
                                <w:sz w:val="44"/>
                              </w:rPr>
                              <w:t>O</w:t>
                            </w:r>
                            <w:r>
                              <w:rPr>
                                <w:b/>
                                <w:bCs/>
                                <w:color w:val="000000"/>
                                <w:w w:val="90"/>
                                <w:sz w:val="40"/>
                              </w:rPr>
                              <w:t>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2E3BF" id="_x0000_t202" coordsize="21600,21600" o:spt="202" path="m,l,21600r21600,l21600,xe">
                <v:stroke joinstyle="miter"/>
                <v:path gradientshapeok="t" o:connecttype="rect"/>
              </v:shapetype>
              <v:shape id="Text Box 8" o:spid="_x0000_s1026" type="#_x0000_t202" style="position:absolute;margin-left:80.3pt;margin-top:18.5pt;width:260.55pt;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y4+wEAAN8DAAAOAAAAZHJzL2Uyb0RvYy54bWysU9tu2zAMfR+wfxD0vthpkS4z4hRdigwD&#13;&#10;ugvQ7gNkWbaFyaJGKbGzrx8lx2m3vQ3zg0BR5CEPeby5HXvDjgq9Blvy5SLnTFkJtbZtyb897d+s&#13;&#10;OfNB2FoYsKrkJ+X57fb1q83gCnUFHZhaISMQ64vBlbwLwRVZ5mWneuEX4JSlxwawF4Gu2GY1ioHQ&#13;&#10;e5Nd5flNNgDWDkEq78l7Pz3ybcJvGiXDl6bxKjBTcuotpBPTWcUz225E0aJwnZbnNsQ/dNELbano&#13;&#10;BepeBMEOqP+C6rVE8NCEhYQ+g6bRUiUOxGaZ/8HmsRNOJS40HO8uY/L/D1Z+Pn5FpuuS06Ks6GlF&#13;&#10;T2oM7D2MbB2nMzhfUNCjo7Awkpu2nJh69wDyu2cWdp2wrbpDhKFToqbuljEze5E64fgIUg2foKYy&#13;&#10;4hAgAY0N9nF0NAxG6LSl02UzsRVJzuvrfP1uveJM0tvqZvWW7FhCFHO2Qx8+KOhZNEqOtPmELo4P&#13;&#10;Pkyhc0gs5sHoeq+NSRdsq51BdhSkkn36zui/hRkbgy3EtAkxehLNyGziGMZqpMfIvYL6RIQRJtXR&#13;&#10;X0JGB/iTs4EUV3L/4yBQcWY+WhpalOds4GxUsyGspNSSB84mcxcmGR8c6rYj5GktFu5osI1OnJ+7&#13;&#10;OPdJKkpTOys+yvTlPUU9/5fbXwAAAP//AwBQSwMEFAAGAAgAAAAhACEjgMPjAAAADwEAAA8AAABk&#13;&#10;cnMvZG93bnJldi54bWxMTz1PwzAQ3ZH4D9YhsSDqJIDbpnEqBEIMDNDCUDYnPpKI+BzFbtr+e44J&#13;&#10;lpOe3se9V6yPrhcTjqHzpCGdJSCQam87ajR8vD9dL0CEaMia3hNqOGGAdXl+Vpjc+gNtcNrGRnAI&#13;&#10;hdxoaGMccilD3aIzYeYHJOa+/OhMZDg20o7mwOGul1mSKOlMR/yhNQM+tFh/b/dOw6t6+Yyn58ou&#13;&#10;cbq922Rvu3p5tdP68uL4uOJzvwIR8Rj/HPC7gftDycUqvycbRM9YJYqlGm7mPIwFapHOQVTMZCoF&#13;&#10;WRby/47yBwAA//8DAFBLAQItABQABgAIAAAAIQC2gziS/gAAAOEBAAATAAAAAAAAAAAAAAAAAAAA&#13;&#10;AABbQ29udGVudF9UeXBlc10ueG1sUEsBAi0AFAAGAAgAAAAhADj9If/WAAAAlAEAAAsAAAAAAAAA&#13;&#10;AAAAAAAALwEAAF9yZWxzLy5yZWxzUEsBAi0AFAAGAAgAAAAhAAwP7Lj7AQAA3wMAAA4AAAAAAAAA&#13;&#10;AAAAAAAALgIAAGRycy9lMm9Eb2MueG1sUEsBAi0AFAAGAAgAAAAhACEjgMPjAAAADwEAAA8AAAAA&#13;&#10;AAAAAAAAAAAAVQQAAGRycy9kb3ducmV2LnhtbFBLBQYAAAAABAAEAPMAAABlBQAAAAA=&#13;&#10;" stroked="f" strokeweight=".05pt">
                <v:textbox inset="0,0,0,0">
                  <w:txbxContent>
                    <w:p w14:paraId="0CB41163" w14:textId="77777777" w:rsidR="00383C0E" w:rsidRDefault="00383C0E" w:rsidP="00383C0E">
                      <w:pPr>
                        <w:pStyle w:val="FrameContents"/>
                      </w:pPr>
                      <w:r>
                        <w:rPr>
                          <w:b/>
                          <w:color w:val="000000"/>
                          <w:sz w:val="44"/>
                        </w:rPr>
                        <w:t>Q</w:t>
                      </w:r>
                      <w:r>
                        <w:rPr>
                          <w:b/>
                          <w:bCs/>
                          <w:color w:val="000000"/>
                          <w:w w:val="90"/>
                          <w:sz w:val="40"/>
                        </w:rPr>
                        <w:t>uaker</w:t>
                      </w:r>
                      <w:r>
                        <w:rPr>
                          <w:b/>
                          <w:bCs/>
                          <w:color w:val="000000"/>
                          <w:sz w:val="40"/>
                        </w:rPr>
                        <w:t xml:space="preserve"> </w:t>
                      </w:r>
                      <w:r>
                        <w:rPr>
                          <w:b/>
                          <w:bCs/>
                          <w:color w:val="000000"/>
                          <w:sz w:val="44"/>
                        </w:rPr>
                        <w:t>U</w:t>
                      </w:r>
                      <w:r>
                        <w:rPr>
                          <w:b/>
                          <w:bCs/>
                          <w:color w:val="000000"/>
                          <w:w w:val="90"/>
                          <w:sz w:val="40"/>
                        </w:rPr>
                        <w:t>nited</w:t>
                      </w:r>
                      <w:r>
                        <w:rPr>
                          <w:b/>
                          <w:bCs/>
                          <w:color w:val="000000"/>
                          <w:sz w:val="40"/>
                        </w:rPr>
                        <w:t xml:space="preserve"> </w:t>
                      </w:r>
                      <w:r>
                        <w:rPr>
                          <w:b/>
                          <w:bCs/>
                          <w:color w:val="000000"/>
                          <w:sz w:val="44"/>
                        </w:rPr>
                        <w:t>N</w:t>
                      </w:r>
                      <w:r>
                        <w:rPr>
                          <w:b/>
                          <w:bCs/>
                          <w:color w:val="000000"/>
                          <w:w w:val="90"/>
                          <w:sz w:val="40"/>
                        </w:rPr>
                        <w:t>ations</w:t>
                      </w:r>
                      <w:r>
                        <w:rPr>
                          <w:b/>
                          <w:bCs/>
                          <w:color w:val="000000"/>
                          <w:sz w:val="40"/>
                        </w:rPr>
                        <w:t xml:space="preserve"> </w:t>
                      </w:r>
                      <w:r>
                        <w:rPr>
                          <w:b/>
                          <w:bCs/>
                          <w:color w:val="000000"/>
                          <w:sz w:val="44"/>
                        </w:rPr>
                        <w:t>O</w:t>
                      </w:r>
                      <w:r>
                        <w:rPr>
                          <w:b/>
                          <w:bCs/>
                          <w:color w:val="000000"/>
                          <w:w w:val="90"/>
                          <w:sz w:val="40"/>
                        </w:rPr>
                        <w:t>ffice</w:t>
                      </w:r>
                    </w:p>
                  </w:txbxContent>
                </v:textbox>
                <w10:wrap type="square"/>
              </v:shape>
            </w:pict>
          </mc:Fallback>
        </mc:AlternateContent>
      </w:r>
      <w:r w:rsidRPr="00C93D7E">
        <w:rPr>
          <w:color w:val="5F5F5F"/>
        </w:rPr>
        <w:t>www.quno.org</w:t>
      </w:r>
      <w:r w:rsidRPr="00C93D7E">
        <w:rPr>
          <w:color w:val="808080"/>
        </w:rPr>
        <w:tab/>
      </w:r>
      <w:r>
        <w:rPr>
          <w:noProof/>
          <w:lang w:val="fr-CH" w:eastAsia="fr-CH"/>
        </w:rPr>
        <mc:AlternateContent>
          <mc:Choice Requires="wps">
            <w:drawing>
              <wp:anchor distT="0" distB="0" distL="114300" distR="114300" simplePos="0" relativeHeight="251659264" behindDoc="0" locked="0" layoutInCell="1" allowOverlap="1" wp14:anchorId="02DC3CE7" wp14:editId="5619196C">
                <wp:simplePos x="0" y="0"/>
                <wp:positionH relativeFrom="column">
                  <wp:posOffset>4467225</wp:posOffset>
                </wp:positionH>
                <wp:positionV relativeFrom="paragraph">
                  <wp:posOffset>7620</wp:posOffset>
                </wp:positionV>
                <wp:extent cx="1594485" cy="4514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451485"/>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14:paraId="4F38127A" w14:textId="77777777" w:rsidR="00383C0E" w:rsidRPr="00314ADC" w:rsidRDefault="00383C0E" w:rsidP="00383C0E">
                            <w:pPr>
                              <w:pStyle w:val="FrameContents"/>
                              <w:rPr>
                                <w:rFonts w:asciiTheme="majorHAnsi" w:hAnsiTheme="majorHAnsi"/>
                                <w:sz w:val="18"/>
                                <w:lang w:val="fr-CH"/>
                              </w:rPr>
                            </w:pPr>
                            <w:r w:rsidRPr="00314ADC">
                              <w:rPr>
                                <w:rFonts w:asciiTheme="majorHAnsi" w:hAnsiTheme="majorHAnsi"/>
                                <w:sz w:val="18"/>
                                <w:lang w:val="fr-CH"/>
                              </w:rPr>
                              <w:t xml:space="preserve">Avenue du </w:t>
                            </w:r>
                            <w:proofErr w:type="spellStart"/>
                            <w:r w:rsidRPr="00314ADC">
                              <w:rPr>
                                <w:rFonts w:asciiTheme="majorHAnsi" w:hAnsiTheme="majorHAnsi"/>
                                <w:sz w:val="18"/>
                                <w:lang w:val="fr-CH"/>
                              </w:rPr>
                              <w:t>Mervelet</w:t>
                            </w:r>
                            <w:proofErr w:type="spellEnd"/>
                            <w:r w:rsidRPr="00314ADC">
                              <w:rPr>
                                <w:rFonts w:asciiTheme="majorHAnsi" w:hAnsiTheme="majorHAnsi"/>
                                <w:sz w:val="18"/>
                                <w:lang w:val="fr-CH"/>
                              </w:rPr>
                              <w:t xml:space="preserve"> 13</w:t>
                            </w:r>
                          </w:p>
                          <w:p w14:paraId="3529A531" w14:textId="77777777" w:rsidR="00383C0E" w:rsidRPr="00314ADC" w:rsidRDefault="00383C0E" w:rsidP="00383C0E">
                            <w:pPr>
                              <w:pStyle w:val="FrameContents"/>
                              <w:rPr>
                                <w:rFonts w:asciiTheme="majorHAnsi" w:hAnsiTheme="majorHAnsi"/>
                                <w:lang w:val="fr-CH"/>
                              </w:rPr>
                            </w:pPr>
                            <w:r w:rsidRPr="00314ADC">
                              <w:rPr>
                                <w:rFonts w:asciiTheme="majorHAnsi" w:hAnsiTheme="majorHAnsi"/>
                                <w:sz w:val="18"/>
                                <w:lang w:val="fr-CH"/>
                              </w:rPr>
                              <w:t xml:space="preserve">CH-1209 Geneva, </w:t>
                            </w:r>
                            <w:proofErr w:type="spellStart"/>
                            <w:r w:rsidRPr="00314ADC">
                              <w:rPr>
                                <w:rFonts w:asciiTheme="majorHAnsi" w:hAnsiTheme="majorHAnsi"/>
                                <w:sz w:val="18"/>
                                <w:lang w:val="fr-CH"/>
                              </w:rPr>
                              <w:t>Switzerland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C3CE7" id="Text Box 10" o:spid="_x0000_s1027" type="#_x0000_t202" style="position:absolute;margin-left:351.75pt;margin-top:.6pt;width:125.5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MHr+wEAAOgDAAAOAAAAZHJzL2Uyb0RvYy54bWysU1Fv0zAQfkfiP1h+p2mnFo2o6TQ6FSEN&#13;&#10;mLTxAxzHSSwcnzm7Tcav52w3ZcAbIg/W+Xz33X3fXbY302DYSaHXYCu+Wiw5U1ZCo21X8a9PhzfX&#13;&#10;nPkgbCMMWFXxZ+X5ze71q+3oSnUFPZhGISMQ68vRVbwPwZVF4WWvBuEX4JSlxxZwEIGu2BUNipHQ&#13;&#10;B1NcLZdvixGwcQhSeU/eu/zIdwm/bZUMX9rWq8BMxam3kE5MZx3PYrcVZYfC9Vqe2xD/0MUgtKWi&#13;&#10;F6g7EQQ7ov4LatASwUMbFhKGAtpWS5U4EJvV8g82j71wKnEhcby7yOT/H6z8fHpAphuaHcljxUAz&#13;&#10;elJTYO9hYuQifUbnSwp7dBQYJvJTbOLq3T3Ib55Z2PfCduoWEcZeiYb6W8XM4kVqxvERpB4/QUN1&#13;&#10;xDFAAppaHKJ4JAcjdGrk+TKb2IuMJTfv1uvrDWeS3tabVbRjCVHO2Q59+KBgYNGoONLsE7o43fuQ&#13;&#10;Q+eQWMyD0c1BG5Mu2NV7g+wkaE8O6Tuj/xZmbAy2ENMyYvQkmpFZ5himesqKzurV0DwTb4S8fvS7&#13;&#10;kNED/uBspNWruP9+FKg4Mx8taRf3dDZwNurZEFZSasUDZ9nch7zPR4e66wk5T8fCLenb6kQ9DiJ3&#13;&#10;cW6X1imJd179uK8v7ynq1w+6+wkAAP//AwBQSwMEFAAGAAgAAAAhAOgdwQ/jAAAADQEAAA8AAABk&#13;&#10;cnMvZG93bnJldi54bWxMj0FPg0AQhe8m/ofNmHgxdpEWFMrSGI3x4EFbPdTbwo5AZGcJu6X03zue&#13;&#10;9DLJ5Hvz5r1iM9teTDj6zpGCm0UEAql2pqNGwcf70/UdCB80Gd07QgUn9LApz88KnRt3pC1Ou9AI&#13;&#10;NiGfawVtCEMupa9btNov3IDE7MuNVgdex0aaUR/Z3PYyjqJUWt0Rf2j1gA8t1t+7g1Xwmr58htNz&#13;&#10;ZTKcVsk2ftvX2dVeqcuL+XHN434NIuAc/i7gtwPnh5KDVe5AxotewW20TFjKIAbBPEtWKYiKQbwE&#13;&#10;WRbyf4vyBwAA//8DAFBLAQItABQABgAIAAAAIQC2gziS/gAAAOEBAAATAAAAAAAAAAAAAAAAAAAA&#13;&#10;AABbQ29udGVudF9UeXBlc10ueG1sUEsBAi0AFAAGAAgAAAAhADj9If/WAAAAlAEAAAsAAAAAAAAA&#13;&#10;AAAAAAAALwEAAF9yZWxzLy5yZWxzUEsBAi0AFAAGAAgAAAAhANbIwev7AQAA6AMAAA4AAAAAAAAA&#13;&#10;AAAAAAAALgIAAGRycy9lMm9Eb2MueG1sUEsBAi0AFAAGAAgAAAAhAOgdwQ/jAAAADQEAAA8AAAAA&#13;&#10;AAAAAAAAAAAAVQQAAGRycy9kb3ducmV2LnhtbFBLBQYAAAAABAAEAPMAAABlBQAAAAA=&#13;&#10;" stroked="f" strokeweight=".05pt">
                <v:textbox inset="0,0,0,0">
                  <w:txbxContent>
                    <w:p w14:paraId="4F38127A" w14:textId="77777777" w:rsidR="00383C0E" w:rsidRPr="00314ADC" w:rsidRDefault="00383C0E" w:rsidP="00383C0E">
                      <w:pPr>
                        <w:pStyle w:val="FrameContents"/>
                        <w:rPr>
                          <w:rFonts w:asciiTheme="majorHAnsi" w:hAnsiTheme="majorHAnsi"/>
                          <w:sz w:val="18"/>
                          <w:lang w:val="fr-CH"/>
                        </w:rPr>
                      </w:pPr>
                      <w:r w:rsidRPr="00314ADC">
                        <w:rPr>
                          <w:rFonts w:asciiTheme="majorHAnsi" w:hAnsiTheme="majorHAnsi"/>
                          <w:sz w:val="18"/>
                          <w:lang w:val="fr-CH"/>
                        </w:rPr>
                        <w:t xml:space="preserve">Avenue du </w:t>
                      </w:r>
                      <w:proofErr w:type="spellStart"/>
                      <w:r w:rsidRPr="00314ADC">
                        <w:rPr>
                          <w:rFonts w:asciiTheme="majorHAnsi" w:hAnsiTheme="majorHAnsi"/>
                          <w:sz w:val="18"/>
                          <w:lang w:val="fr-CH"/>
                        </w:rPr>
                        <w:t>Mervelet</w:t>
                      </w:r>
                      <w:proofErr w:type="spellEnd"/>
                      <w:r w:rsidRPr="00314ADC">
                        <w:rPr>
                          <w:rFonts w:asciiTheme="majorHAnsi" w:hAnsiTheme="majorHAnsi"/>
                          <w:sz w:val="18"/>
                          <w:lang w:val="fr-CH"/>
                        </w:rPr>
                        <w:t xml:space="preserve"> 13</w:t>
                      </w:r>
                    </w:p>
                    <w:p w14:paraId="3529A531" w14:textId="77777777" w:rsidR="00383C0E" w:rsidRPr="00314ADC" w:rsidRDefault="00383C0E" w:rsidP="00383C0E">
                      <w:pPr>
                        <w:pStyle w:val="FrameContents"/>
                        <w:rPr>
                          <w:rFonts w:asciiTheme="majorHAnsi" w:hAnsiTheme="majorHAnsi"/>
                          <w:lang w:val="fr-CH"/>
                        </w:rPr>
                      </w:pPr>
                      <w:r w:rsidRPr="00314ADC">
                        <w:rPr>
                          <w:rFonts w:asciiTheme="majorHAnsi" w:hAnsiTheme="majorHAnsi"/>
                          <w:sz w:val="18"/>
                          <w:lang w:val="fr-CH"/>
                        </w:rPr>
                        <w:t xml:space="preserve">CH-1209 Geneva, </w:t>
                      </w:r>
                      <w:proofErr w:type="spellStart"/>
                      <w:r w:rsidRPr="00314ADC">
                        <w:rPr>
                          <w:rFonts w:asciiTheme="majorHAnsi" w:hAnsiTheme="majorHAnsi"/>
                          <w:sz w:val="18"/>
                          <w:lang w:val="fr-CH"/>
                        </w:rPr>
                        <w:t>Switzerland</w:t>
                      </w:r>
                      <w:proofErr w:type="spellEnd"/>
                    </w:p>
                  </w:txbxContent>
                </v:textbox>
              </v:shape>
            </w:pict>
          </mc:Fallback>
        </mc:AlternateContent>
      </w:r>
      <w:r w:rsidRPr="00C93D7E">
        <w:rPr>
          <w:color w:val="999999"/>
        </w:rPr>
        <w:tab/>
      </w:r>
      <w:r w:rsidRPr="00C93D7E">
        <w:rPr>
          <w:color w:val="999999"/>
        </w:rPr>
        <w:tab/>
      </w:r>
      <w:r w:rsidRPr="00C93D7E">
        <w:rPr>
          <w:color w:val="999999"/>
        </w:rPr>
        <w:tab/>
      </w:r>
      <w:r w:rsidRPr="00C93D7E">
        <w:rPr>
          <w:color w:val="999999"/>
        </w:rPr>
        <w:tab/>
      </w:r>
      <w:r w:rsidRPr="00C93D7E">
        <w:rPr>
          <w:color w:val="999999"/>
        </w:rPr>
        <w:tab/>
      </w:r>
      <w:r w:rsidRPr="00C93D7E">
        <w:rPr>
          <w:color w:val="999999"/>
        </w:rPr>
        <w:tab/>
      </w:r>
      <w:r w:rsidRPr="00C93D7E">
        <w:rPr>
          <w:color w:val="999999"/>
        </w:rPr>
        <w:tab/>
      </w:r>
      <w:r w:rsidRPr="00C93D7E">
        <w:rPr>
          <w:color w:val="999999"/>
        </w:rPr>
        <w:tab/>
        <w:t xml:space="preserve">       </w:t>
      </w:r>
    </w:p>
    <w:p w14:paraId="4EF4606C" w14:textId="5976AE73" w:rsidR="00383C0E" w:rsidRPr="00383C0E" w:rsidRDefault="00383C0E" w:rsidP="00310DBE">
      <w:pPr>
        <w:rPr>
          <w:b/>
        </w:rPr>
      </w:pPr>
      <w:r>
        <w:rPr>
          <w:noProof/>
          <w:lang w:val="fr-CH" w:eastAsia="fr-CH"/>
        </w:rPr>
        <mc:AlternateContent>
          <mc:Choice Requires="wps">
            <w:drawing>
              <wp:anchor distT="0" distB="0" distL="114300" distR="114300" simplePos="0" relativeHeight="251660288" behindDoc="0" locked="0" layoutInCell="1" allowOverlap="1" wp14:anchorId="1BF13298" wp14:editId="0F2EBA21">
                <wp:simplePos x="0" y="0"/>
                <wp:positionH relativeFrom="column">
                  <wp:posOffset>4466624</wp:posOffset>
                </wp:positionH>
                <wp:positionV relativeFrom="paragraph">
                  <wp:posOffset>66748</wp:posOffset>
                </wp:positionV>
                <wp:extent cx="1594485" cy="4508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450850"/>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14:paraId="07A9863D" w14:textId="77777777" w:rsidR="00383C0E" w:rsidRPr="00314ADC" w:rsidRDefault="00383C0E" w:rsidP="00383C0E">
                            <w:pPr>
                              <w:pStyle w:val="FrameContents"/>
                              <w:rPr>
                                <w:rFonts w:asciiTheme="majorHAnsi" w:hAnsiTheme="majorHAnsi"/>
                                <w:i/>
                                <w:iCs/>
                                <w:color w:val="000000"/>
                                <w:sz w:val="18"/>
                                <w:lang w:val="fr-FR"/>
                              </w:rPr>
                            </w:pPr>
                            <w:proofErr w:type="gramStart"/>
                            <w:r w:rsidRPr="00314ADC">
                              <w:rPr>
                                <w:rFonts w:asciiTheme="majorHAnsi" w:hAnsiTheme="majorHAnsi"/>
                                <w:i/>
                                <w:iCs/>
                                <w:color w:val="000000"/>
                                <w:sz w:val="18"/>
                                <w:lang w:val="fr-FR"/>
                              </w:rPr>
                              <w:t xml:space="preserve">Tel  </w:t>
                            </w:r>
                            <w:r w:rsidRPr="00314ADC">
                              <w:rPr>
                                <w:rFonts w:asciiTheme="majorHAnsi" w:hAnsiTheme="majorHAnsi"/>
                                <w:color w:val="000000"/>
                                <w:sz w:val="18"/>
                                <w:lang w:val="fr-FR"/>
                              </w:rPr>
                              <w:t>+</w:t>
                            </w:r>
                            <w:proofErr w:type="gramEnd"/>
                            <w:r w:rsidRPr="00314ADC">
                              <w:rPr>
                                <w:rFonts w:asciiTheme="majorHAnsi" w:hAnsiTheme="majorHAnsi"/>
                                <w:color w:val="000000"/>
                                <w:sz w:val="18"/>
                                <w:lang w:val="fr-FR"/>
                              </w:rPr>
                              <w:t>41 (22) 748 4800</w:t>
                            </w:r>
                          </w:p>
                          <w:p w14:paraId="0D8F7D8C" w14:textId="77777777" w:rsidR="00383C0E" w:rsidRPr="00314ADC" w:rsidRDefault="00383C0E" w:rsidP="00383C0E">
                            <w:pPr>
                              <w:pStyle w:val="FrameContents"/>
                              <w:rPr>
                                <w:rFonts w:asciiTheme="majorHAnsi" w:hAnsiTheme="majorHAnsi"/>
                                <w:i/>
                                <w:iCs/>
                                <w:color w:val="000000"/>
                                <w:sz w:val="18"/>
                                <w:lang w:val="fr-FR"/>
                              </w:rPr>
                            </w:pPr>
                            <w:r w:rsidRPr="00314ADC">
                              <w:rPr>
                                <w:rFonts w:asciiTheme="majorHAnsi" w:hAnsiTheme="majorHAnsi"/>
                                <w:i/>
                                <w:iCs/>
                                <w:color w:val="000000"/>
                                <w:sz w:val="18"/>
                                <w:lang w:val="fr-FR"/>
                              </w:rPr>
                              <w:t>Fax</w:t>
                            </w:r>
                            <w:r w:rsidRPr="00314ADC">
                              <w:rPr>
                                <w:rFonts w:asciiTheme="majorHAnsi" w:hAnsiTheme="majorHAnsi"/>
                                <w:color w:val="000000"/>
                                <w:sz w:val="18"/>
                                <w:lang w:val="fr-FR"/>
                              </w:rPr>
                              <w:t xml:space="preserve"> +41 (22) 748 4819</w:t>
                            </w:r>
                          </w:p>
                          <w:p w14:paraId="54D01DDA" w14:textId="3B5F7E22" w:rsidR="00383C0E" w:rsidRPr="00314ADC" w:rsidRDefault="00383C0E" w:rsidP="00383C0E">
                            <w:pPr>
                              <w:pStyle w:val="FrameContents"/>
                              <w:rPr>
                                <w:rFonts w:asciiTheme="majorHAnsi" w:hAnsiTheme="majorHAnsi"/>
                              </w:rPr>
                            </w:pPr>
                            <w:proofErr w:type="gramStart"/>
                            <w:r w:rsidRPr="00314ADC">
                              <w:rPr>
                                <w:rFonts w:asciiTheme="majorHAnsi" w:hAnsiTheme="majorHAnsi"/>
                                <w:i/>
                                <w:iCs/>
                                <w:color w:val="000000"/>
                                <w:sz w:val="18"/>
                                <w:lang w:val="fr-FR"/>
                              </w:rPr>
                              <w:t xml:space="preserve">Email </w:t>
                            </w:r>
                            <w:r w:rsidRPr="00314ADC">
                              <w:rPr>
                                <w:rFonts w:asciiTheme="majorHAnsi" w:hAnsiTheme="majorHAnsi"/>
                                <w:color w:val="000000"/>
                                <w:sz w:val="18"/>
                                <w:lang w:val="fr-FR"/>
                              </w:rPr>
                              <w:t xml:space="preserve"> </w:t>
                            </w:r>
                            <w:r>
                              <w:rPr>
                                <w:rFonts w:asciiTheme="majorHAnsi" w:hAnsiTheme="majorHAnsi"/>
                                <w:color w:val="000000"/>
                                <w:sz w:val="18"/>
                                <w:lang w:val="fr-FR"/>
                              </w:rPr>
                              <w:t>lhalton@quno.ch</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13298" id="Text Box 9" o:spid="_x0000_s1028" type="#_x0000_t202" style="position:absolute;margin-left:351.7pt;margin-top:5.25pt;width:125.5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HJF/wEAAOYDAAAOAAAAZHJzL2Uyb0RvYy54bWysU9uO2yAQfa/Uf0C8N06ipEqsOKttVqkq&#13;&#10;bS/Sbj8AY2yjYoYOJHb69R1wnK62b1X9gAaYOcw5c7y7GzrDzgq9BlvwxWzOmbISKm2bgn9/Pr7b&#13;&#10;cOaDsJUwYFXBL8rzu/3bN7ve5WoJLZhKISMQ6/PeFbwNweVZ5mWrOuFn4JSlyxqwE4G22GQVip7Q&#13;&#10;O5Mt5/P3WQ9YOQSpvKfTh/GS7xN+XSsZvta1V4GZglNvIa2Y1jKu2X4n8gaFa7W8tiH+oYtOaEuP&#13;&#10;3qAeRBDshPovqE5LBA91mEnoMqhrLVXiQGwW81dsnlrhVOJC4nh3k8n/P1j55fwNma4KvuXMio5G&#13;&#10;9KyGwD7AwLZRnd75nJKeHKWFgY5pyompd48gf3hm4dAK26h7ROhbJSrqbhErsxelI46PIGX/GSp6&#13;&#10;RpwCJKChxi5KR2IwQqcpXW6Tia3I+OR6u1pt1pxJulut55t1Gl0m8qnaoQ8fFXQsBgVHmnxCF+dH&#13;&#10;H2I3Ip9S4mMejK6O2pi0waY8GGRnQS45pi8ReJVmbEy2EMtGxHiSaEZmI8cwlEPSczmpV0J1Id4I&#13;&#10;o/noZ6GgBfzFWU/GK7j/eRKoODOfLGkXXToFOAXlFAgrqbTggbMxPITRzSeHumkJeZyOhXvSt9aJ&#13;&#10;ehzE2MW1XTJTUuRq/OjWl/uU9ef33P8GAAD//wMAUEsDBBQABgAIAAAAIQD4AEy15AAAAA4BAAAP&#13;&#10;AAAAZHJzL2Rvd25yZXYueG1sTE89T8MwEN2R+A/WIbEg6rQkpUnjVAiEGDpAC0PZnPhIIuJzFLtp&#13;&#10;+u85JlhOd3rv3ke+mWwnRhx860jBfBaBQKqcaalW8PH+fLsC4YMmoztHqOCMHjbF5UWuM+NOtMNx&#13;&#10;H2rBIuQzraAJoc+k9FWDVvuZ65EY+3KD1YHPoZZm0CcWt51cRNFSWt0SOzS6x8cGq+/90Sp4XW4/&#13;&#10;w/mlNCmOcbJbvB2q9Oag1PXV9LTm8bAGEXAKfx/w24HzQ8HBSnck40Wn4D66i5nKQJSAYEKaxLyU&#13;&#10;ClbzBGSRy/81ih8AAAD//wMAUEsBAi0AFAAGAAgAAAAhALaDOJL+AAAA4QEAABMAAAAAAAAAAAAA&#13;&#10;AAAAAAAAAFtDb250ZW50X1R5cGVzXS54bWxQSwECLQAUAAYACAAAACEAOP0h/9YAAACUAQAACwAA&#13;&#10;AAAAAAAAAAAAAAAvAQAAX3JlbHMvLnJlbHNQSwECLQAUAAYACAAAACEA4nRyRf8BAADmAwAADgAA&#13;&#10;AAAAAAAAAAAAAAAuAgAAZHJzL2Uyb0RvYy54bWxQSwECLQAUAAYACAAAACEA+ABMteQAAAAOAQAA&#13;&#10;DwAAAAAAAAAAAAAAAABZBAAAZHJzL2Rvd25yZXYueG1sUEsFBgAAAAAEAAQA8wAAAGoFAAAAAA==&#13;&#10;" stroked="f" strokeweight=".05pt">
                <v:textbox inset="0,0,0,0">
                  <w:txbxContent>
                    <w:p w14:paraId="07A9863D" w14:textId="77777777" w:rsidR="00383C0E" w:rsidRPr="00314ADC" w:rsidRDefault="00383C0E" w:rsidP="00383C0E">
                      <w:pPr>
                        <w:pStyle w:val="FrameContents"/>
                        <w:rPr>
                          <w:rFonts w:asciiTheme="majorHAnsi" w:hAnsiTheme="majorHAnsi"/>
                          <w:i/>
                          <w:iCs/>
                          <w:color w:val="000000"/>
                          <w:sz w:val="18"/>
                          <w:lang w:val="fr-FR"/>
                        </w:rPr>
                      </w:pPr>
                      <w:proofErr w:type="gramStart"/>
                      <w:r w:rsidRPr="00314ADC">
                        <w:rPr>
                          <w:rFonts w:asciiTheme="majorHAnsi" w:hAnsiTheme="majorHAnsi"/>
                          <w:i/>
                          <w:iCs/>
                          <w:color w:val="000000"/>
                          <w:sz w:val="18"/>
                          <w:lang w:val="fr-FR"/>
                        </w:rPr>
                        <w:t xml:space="preserve">Tel  </w:t>
                      </w:r>
                      <w:r w:rsidRPr="00314ADC">
                        <w:rPr>
                          <w:rFonts w:asciiTheme="majorHAnsi" w:hAnsiTheme="majorHAnsi"/>
                          <w:color w:val="000000"/>
                          <w:sz w:val="18"/>
                          <w:lang w:val="fr-FR"/>
                        </w:rPr>
                        <w:t>+</w:t>
                      </w:r>
                      <w:proofErr w:type="gramEnd"/>
                      <w:r w:rsidRPr="00314ADC">
                        <w:rPr>
                          <w:rFonts w:asciiTheme="majorHAnsi" w:hAnsiTheme="majorHAnsi"/>
                          <w:color w:val="000000"/>
                          <w:sz w:val="18"/>
                          <w:lang w:val="fr-FR"/>
                        </w:rPr>
                        <w:t>41 (22) 748 4800</w:t>
                      </w:r>
                    </w:p>
                    <w:p w14:paraId="0D8F7D8C" w14:textId="77777777" w:rsidR="00383C0E" w:rsidRPr="00314ADC" w:rsidRDefault="00383C0E" w:rsidP="00383C0E">
                      <w:pPr>
                        <w:pStyle w:val="FrameContents"/>
                        <w:rPr>
                          <w:rFonts w:asciiTheme="majorHAnsi" w:hAnsiTheme="majorHAnsi"/>
                          <w:i/>
                          <w:iCs/>
                          <w:color w:val="000000"/>
                          <w:sz w:val="18"/>
                          <w:lang w:val="fr-FR"/>
                        </w:rPr>
                      </w:pPr>
                      <w:r w:rsidRPr="00314ADC">
                        <w:rPr>
                          <w:rFonts w:asciiTheme="majorHAnsi" w:hAnsiTheme="majorHAnsi"/>
                          <w:i/>
                          <w:iCs/>
                          <w:color w:val="000000"/>
                          <w:sz w:val="18"/>
                          <w:lang w:val="fr-FR"/>
                        </w:rPr>
                        <w:t>Fax</w:t>
                      </w:r>
                      <w:r w:rsidRPr="00314ADC">
                        <w:rPr>
                          <w:rFonts w:asciiTheme="majorHAnsi" w:hAnsiTheme="majorHAnsi"/>
                          <w:color w:val="000000"/>
                          <w:sz w:val="18"/>
                          <w:lang w:val="fr-FR"/>
                        </w:rPr>
                        <w:t xml:space="preserve"> +41 (22) 748 4819</w:t>
                      </w:r>
                    </w:p>
                    <w:p w14:paraId="54D01DDA" w14:textId="3B5F7E22" w:rsidR="00383C0E" w:rsidRPr="00314ADC" w:rsidRDefault="00383C0E" w:rsidP="00383C0E">
                      <w:pPr>
                        <w:pStyle w:val="FrameContents"/>
                        <w:rPr>
                          <w:rFonts w:asciiTheme="majorHAnsi" w:hAnsiTheme="majorHAnsi"/>
                        </w:rPr>
                      </w:pPr>
                      <w:proofErr w:type="gramStart"/>
                      <w:r w:rsidRPr="00314ADC">
                        <w:rPr>
                          <w:rFonts w:asciiTheme="majorHAnsi" w:hAnsiTheme="majorHAnsi"/>
                          <w:i/>
                          <w:iCs/>
                          <w:color w:val="000000"/>
                          <w:sz w:val="18"/>
                          <w:lang w:val="fr-FR"/>
                        </w:rPr>
                        <w:t xml:space="preserve">Email </w:t>
                      </w:r>
                      <w:r w:rsidRPr="00314ADC">
                        <w:rPr>
                          <w:rFonts w:asciiTheme="majorHAnsi" w:hAnsiTheme="majorHAnsi"/>
                          <w:color w:val="000000"/>
                          <w:sz w:val="18"/>
                          <w:lang w:val="fr-FR"/>
                        </w:rPr>
                        <w:t xml:space="preserve"> </w:t>
                      </w:r>
                      <w:r>
                        <w:rPr>
                          <w:rFonts w:asciiTheme="majorHAnsi" w:hAnsiTheme="majorHAnsi"/>
                          <w:color w:val="000000"/>
                          <w:sz w:val="18"/>
                          <w:lang w:val="fr-FR"/>
                        </w:rPr>
                        <w:t>lhalton@quno.ch</w:t>
                      </w:r>
                      <w:proofErr w:type="gramEnd"/>
                    </w:p>
                  </w:txbxContent>
                </v:textbox>
              </v:shape>
            </w:pict>
          </mc:Fallback>
        </mc:AlternateContent>
      </w:r>
      <w:r w:rsidRPr="00C93D7E">
        <w:rPr>
          <w:noProof/>
          <w:lang w:val="fr-CH" w:eastAsia="fr-CH"/>
        </w:rPr>
        <w:drawing>
          <wp:inline distT="0" distB="0" distL="0" distR="0" wp14:anchorId="0EA72D5A" wp14:editId="3E83935D">
            <wp:extent cx="609600" cy="542925"/>
            <wp:effectExtent l="0" t="0" r="0" b="9525"/>
            <wp:docPr id="7" name="Picture 7" descr="A drawing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42925"/>
                    </a:xfrm>
                    <a:prstGeom prst="rect">
                      <a:avLst/>
                    </a:prstGeom>
                    <a:solidFill>
                      <a:srgbClr val="FFFFFF"/>
                    </a:solidFill>
                    <a:ln>
                      <a:noFill/>
                    </a:ln>
                  </pic:spPr>
                </pic:pic>
              </a:graphicData>
            </a:graphic>
          </wp:inline>
        </w:drawing>
      </w:r>
      <w:r>
        <w:rPr>
          <w:color w:val="000000"/>
        </w:rPr>
        <w:t xml:space="preserve">  </w:t>
      </w:r>
      <w:r>
        <w:rPr>
          <w:color w:val="000000"/>
        </w:rPr>
        <w:tab/>
      </w:r>
      <w:r>
        <w:rPr>
          <w:color w:val="000000"/>
        </w:rPr>
        <w:tab/>
      </w:r>
      <w:r>
        <w:rPr>
          <w:color w:val="000000"/>
        </w:rPr>
        <w:tab/>
      </w:r>
      <w:r>
        <w:rPr>
          <w:color w:val="000000"/>
        </w:rPr>
        <w:tab/>
      </w:r>
    </w:p>
    <w:p w14:paraId="14459F03" w14:textId="078E17C2" w:rsidR="004D5B2C" w:rsidRDefault="00383C0E" w:rsidP="00383C0E">
      <w:pPr>
        <w:jc w:val="center"/>
        <w:rPr>
          <w:rFonts w:asciiTheme="majorHAnsi" w:hAnsiTheme="majorHAnsi" w:cstheme="majorHAnsi"/>
          <w:b/>
          <w:bCs/>
        </w:rPr>
      </w:pPr>
      <w:r>
        <w:rPr>
          <w:rFonts w:asciiTheme="majorHAnsi" w:hAnsiTheme="majorHAnsi" w:cstheme="majorHAnsi"/>
          <w:b/>
          <w:bCs/>
        </w:rPr>
        <w:t>The protection of the right to conscientious objection to military service and the attainment of Sustainable Development Goal 16</w:t>
      </w:r>
      <w:r w:rsidR="009E04A4">
        <w:rPr>
          <w:rFonts w:asciiTheme="majorHAnsi" w:hAnsiTheme="majorHAnsi" w:cstheme="majorHAnsi"/>
          <w:b/>
          <w:bCs/>
        </w:rPr>
        <w:t xml:space="preserve"> in the context of eliminating intolerance and discrimination based on religion of belief</w:t>
      </w:r>
    </w:p>
    <w:p w14:paraId="6DA9DAFC" w14:textId="39FD0417" w:rsidR="004D5B2C" w:rsidRPr="004D5B2C" w:rsidRDefault="004D5B2C" w:rsidP="00310DBE">
      <w:pPr>
        <w:rPr>
          <w:rFonts w:asciiTheme="majorHAnsi" w:hAnsiTheme="majorHAnsi" w:cstheme="majorHAnsi"/>
          <w:i/>
          <w:iCs/>
        </w:rPr>
      </w:pPr>
      <w:bookmarkStart w:id="0" w:name="_GoBack"/>
      <w:bookmarkEnd w:id="0"/>
      <w:r w:rsidRPr="004D5B2C">
        <w:rPr>
          <w:rFonts w:asciiTheme="majorHAnsi" w:hAnsiTheme="majorHAnsi" w:cstheme="majorHAnsi"/>
          <w:i/>
          <w:iCs/>
        </w:rPr>
        <w:t xml:space="preserve">Introduction </w:t>
      </w:r>
    </w:p>
    <w:p w14:paraId="7D8D8DE1" w14:textId="6B4E6C71" w:rsidR="00310DBE" w:rsidRPr="00310DBE" w:rsidRDefault="00310DBE" w:rsidP="004D5B2C">
      <w:pPr>
        <w:jc w:val="both"/>
        <w:rPr>
          <w:rFonts w:asciiTheme="majorHAnsi" w:hAnsiTheme="majorHAnsi" w:cstheme="majorHAnsi"/>
        </w:rPr>
      </w:pPr>
      <w:r w:rsidRPr="00310DBE">
        <w:rPr>
          <w:rFonts w:asciiTheme="majorHAnsi" w:hAnsiTheme="majorHAnsi" w:cstheme="majorHAnsi"/>
        </w:rPr>
        <w:t>The right to conscientious objection to military service has been recognised by both the UN Human Rights Council and the Human Rights Committee, with the right to freedom of religion or belief at its core.</w:t>
      </w:r>
      <w:r w:rsidRPr="00310DBE">
        <w:rPr>
          <w:rFonts w:asciiTheme="majorHAnsi" w:hAnsiTheme="majorHAnsi" w:cstheme="majorHAnsi"/>
          <w:vertAlign w:val="superscript"/>
        </w:rPr>
        <w:footnoteReference w:id="1"/>
      </w:r>
      <w:r w:rsidRPr="00310DBE">
        <w:rPr>
          <w:rFonts w:asciiTheme="majorHAnsi" w:hAnsiTheme="majorHAnsi" w:cstheme="majorHAnsi"/>
        </w:rPr>
        <w:t xml:space="preserve"> </w:t>
      </w:r>
      <w:r w:rsidR="00A929FB">
        <w:rPr>
          <w:rFonts w:asciiTheme="majorHAnsi" w:hAnsiTheme="majorHAnsi" w:cstheme="majorHAnsi"/>
        </w:rPr>
        <w:t xml:space="preserve">It is based on Article 18 of the International Covenant on Civil and Political Rights, and Article 18 of the Universal Declaration of Human Rights. </w:t>
      </w:r>
      <w:r w:rsidRPr="00310DBE">
        <w:rPr>
          <w:rFonts w:asciiTheme="majorHAnsi" w:hAnsiTheme="majorHAnsi" w:cstheme="majorHAnsi"/>
        </w:rPr>
        <w:t>The Human Rights Committee considers that “the right to conscientious objection to military service is inherent to the right to freedom of thought, conscience and religion. It entitles any individual to exemption from compulsory military service if the latter cannot be reconciled with the individual’s religion or beliefs.”</w:t>
      </w:r>
      <w:r w:rsidRPr="00310DBE">
        <w:rPr>
          <w:rFonts w:asciiTheme="majorHAnsi" w:hAnsiTheme="majorHAnsi" w:cstheme="majorHAnsi"/>
          <w:vertAlign w:val="superscript"/>
        </w:rPr>
        <w:footnoteReference w:id="2"/>
      </w:r>
      <w:r w:rsidR="00AB3612">
        <w:rPr>
          <w:rFonts w:asciiTheme="majorHAnsi" w:hAnsiTheme="majorHAnsi" w:cstheme="majorHAnsi"/>
        </w:rPr>
        <w:t xml:space="preserve"> Human Rights Council resolution 24/17 ‘(R)</w:t>
      </w:r>
      <w:proofErr w:type="spellStart"/>
      <w:r w:rsidR="00AB3612" w:rsidRPr="00AB3612">
        <w:rPr>
          <w:rFonts w:asciiTheme="majorHAnsi" w:hAnsiTheme="majorHAnsi" w:cstheme="majorHAnsi"/>
        </w:rPr>
        <w:t>ecognizes</w:t>
      </w:r>
      <w:proofErr w:type="spellEnd"/>
      <w:r w:rsidR="00AB3612" w:rsidRPr="00AB3612">
        <w:rPr>
          <w:rFonts w:asciiTheme="majorHAnsi" w:hAnsiTheme="majorHAnsi" w:cstheme="majorHAnsi"/>
        </w:rPr>
        <w:t xml:space="preserve"> that the right to conscientious objection to military service can be derived from the right to freedom of thought, conscience and</w:t>
      </w:r>
      <w:r w:rsidR="00AB3612" w:rsidRPr="00AB3612">
        <w:t xml:space="preserve"> </w:t>
      </w:r>
      <w:r w:rsidR="00AB3612" w:rsidRPr="00AB3612">
        <w:rPr>
          <w:rFonts w:asciiTheme="majorHAnsi" w:hAnsiTheme="majorHAnsi" w:cstheme="majorHAnsi"/>
        </w:rPr>
        <w:t>religion</w:t>
      </w:r>
      <w:r w:rsidR="00AB3612">
        <w:rPr>
          <w:rFonts w:asciiTheme="majorHAnsi" w:hAnsiTheme="majorHAnsi" w:cstheme="majorHAnsi"/>
        </w:rPr>
        <w:t>.’</w:t>
      </w:r>
    </w:p>
    <w:p w14:paraId="4166120E" w14:textId="5BF24DDF" w:rsidR="009369E9" w:rsidRDefault="00310DBE" w:rsidP="004D5B2C">
      <w:pPr>
        <w:jc w:val="both"/>
        <w:rPr>
          <w:rFonts w:asciiTheme="majorHAnsi" w:hAnsiTheme="majorHAnsi" w:cstheme="majorHAnsi"/>
        </w:rPr>
      </w:pPr>
      <w:r w:rsidRPr="00310DBE">
        <w:rPr>
          <w:rFonts w:asciiTheme="majorHAnsi" w:hAnsiTheme="majorHAnsi" w:cstheme="majorHAnsi"/>
        </w:rPr>
        <w:t>Despite this recognition, the right remains unfulfilled in a number of States</w:t>
      </w:r>
      <w:r w:rsidR="003E5CB8">
        <w:rPr>
          <w:rFonts w:asciiTheme="majorHAnsi" w:hAnsiTheme="majorHAnsi" w:cstheme="majorHAnsi"/>
        </w:rPr>
        <w:t xml:space="preserve"> either in law or in practice</w:t>
      </w:r>
      <w:r w:rsidR="009D34DD">
        <w:rPr>
          <w:rFonts w:asciiTheme="majorHAnsi" w:hAnsiTheme="majorHAnsi" w:cstheme="majorHAnsi"/>
        </w:rPr>
        <w:t>.</w:t>
      </w:r>
      <w:r w:rsidRPr="00310DBE">
        <w:rPr>
          <w:rFonts w:asciiTheme="majorHAnsi" w:hAnsiTheme="majorHAnsi" w:cstheme="majorHAnsi"/>
        </w:rPr>
        <w:t xml:space="preserve"> </w:t>
      </w:r>
      <w:r w:rsidR="009369E9">
        <w:rPr>
          <w:rFonts w:asciiTheme="majorHAnsi" w:hAnsiTheme="majorHAnsi" w:cstheme="majorHAnsi"/>
        </w:rPr>
        <w:t>There are, therefore, two categories of State which do not implement the right: those who do not recognise the right to conscientious objection, and those where there is incomplete implementation of the right.</w:t>
      </w:r>
    </w:p>
    <w:p w14:paraId="6D1CA36A" w14:textId="65F2C9C7" w:rsidR="00294D22" w:rsidRDefault="009D34DD" w:rsidP="004D5B2C">
      <w:pPr>
        <w:jc w:val="both"/>
        <w:rPr>
          <w:rFonts w:asciiTheme="majorHAnsi" w:hAnsiTheme="majorHAnsi" w:cstheme="majorHAnsi"/>
        </w:rPr>
      </w:pPr>
      <w:r>
        <w:rPr>
          <w:rFonts w:asciiTheme="majorHAnsi" w:hAnsiTheme="majorHAnsi" w:cstheme="majorHAnsi"/>
        </w:rPr>
        <w:t>Th</w:t>
      </w:r>
      <w:r w:rsidR="009369E9">
        <w:rPr>
          <w:rFonts w:asciiTheme="majorHAnsi" w:hAnsiTheme="majorHAnsi" w:cstheme="majorHAnsi"/>
        </w:rPr>
        <w:t>e</w:t>
      </w:r>
      <w:r>
        <w:rPr>
          <w:rFonts w:asciiTheme="majorHAnsi" w:hAnsiTheme="majorHAnsi" w:cstheme="majorHAnsi"/>
        </w:rPr>
        <w:t xml:space="preserve"> non-recognition of the right to conscientious objection</w:t>
      </w:r>
      <w:r w:rsidR="003E5CB8">
        <w:rPr>
          <w:rFonts w:asciiTheme="majorHAnsi" w:hAnsiTheme="majorHAnsi" w:cstheme="majorHAnsi"/>
        </w:rPr>
        <w:t xml:space="preserve"> </w:t>
      </w:r>
      <w:r>
        <w:rPr>
          <w:rFonts w:asciiTheme="majorHAnsi" w:hAnsiTheme="majorHAnsi" w:cstheme="majorHAnsi"/>
        </w:rPr>
        <w:t>is a particular aspect of</w:t>
      </w:r>
      <w:r w:rsidRPr="00310DBE">
        <w:rPr>
          <w:rFonts w:asciiTheme="majorHAnsi" w:hAnsiTheme="majorHAnsi" w:cstheme="majorHAnsi"/>
        </w:rPr>
        <w:t xml:space="preserve"> </w:t>
      </w:r>
      <w:r w:rsidR="00310DBE" w:rsidRPr="00310DBE">
        <w:rPr>
          <w:rFonts w:asciiTheme="majorHAnsi" w:hAnsiTheme="majorHAnsi" w:cstheme="majorHAnsi"/>
        </w:rPr>
        <w:t>discrimination against</w:t>
      </w:r>
      <w:r>
        <w:rPr>
          <w:rFonts w:asciiTheme="majorHAnsi" w:hAnsiTheme="majorHAnsi" w:cstheme="majorHAnsi"/>
        </w:rPr>
        <w:t xml:space="preserve"> individuals or communities</w:t>
      </w:r>
      <w:r w:rsidR="00310DBE" w:rsidRPr="00310DBE">
        <w:rPr>
          <w:rFonts w:asciiTheme="majorHAnsi" w:hAnsiTheme="majorHAnsi" w:cstheme="majorHAnsi"/>
        </w:rPr>
        <w:t xml:space="preserve"> </w:t>
      </w:r>
      <w:r>
        <w:rPr>
          <w:rFonts w:asciiTheme="majorHAnsi" w:hAnsiTheme="majorHAnsi" w:cstheme="majorHAnsi"/>
        </w:rPr>
        <w:t>based on their religion o</w:t>
      </w:r>
      <w:r w:rsidR="003B1C5B">
        <w:rPr>
          <w:rFonts w:asciiTheme="majorHAnsi" w:hAnsiTheme="majorHAnsi" w:cstheme="majorHAnsi"/>
        </w:rPr>
        <w:t>r</w:t>
      </w:r>
      <w:r>
        <w:rPr>
          <w:rFonts w:asciiTheme="majorHAnsi" w:hAnsiTheme="majorHAnsi" w:cstheme="majorHAnsi"/>
        </w:rPr>
        <w:t xml:space="preserve"> belief</w:t>
      </w:r>
      <w:r w:rsidR="00310DBE" w:rsidRPr="00310DBE">
        <w:rPr>
          <w:rFonts w:asciiTheme="majorHAnsi" w:hAnsiTheme="majorHAnsi" w:cstheme="majorHAnsi"/>
        </w:rPr>
        <w:t xml:space="preserve">, including </w:t>
      </w:r>
      <w:r w:rsidR="00BA454B">
        <w:rPr>
          <w:rFonts w:asciiTheme="majorHAnsi" w:hAnsiTheme="majorHAnsi" w:cstheme="majorHAnsi"/>
        </w:rPr>
        <w:t xml:space="preserve">theistic, non-theistic, and atheist beliefs, as well as those </w:t>
      </w:r>
      <w:r w:rsidR="00310DBE" w:rsidRPr="00310DBE">
        <w:rPr>
          <w:rFonts w:asciiTheme="majorHAnsi" w:hAnsiTheme="majorHAnsi" w:cstheme="majorHAnsi"/>
        </w:rPr>
        <w:t>whose interpretation of their religion or belief differs from the State’s position.</w:t>
      </w:r>
      <w:r w:rsidR="009E4855">
        <w:rPr>
          <w:rStyle w:val="FootnoteReference"/>
          <w:rFonts w:asciiTheme="majorHAnsi" w:hAnsiTheme="majorHAnsi" w:cstheme="majorHAnsi"/>
        </w:rPr>
        <w:footnoteReference w:id="3"/>
      </w:r>
      <w:r>
        <w:rPr>
          <w:rFonts w:asciiTheme="majorHAnsi" w:hAnsiTheme="majorHAnsi" w:cstheme="majorHAnsi"/>
        </w:rPr>
        <w:t xml:space="preserve"> It stigmatises and delegitimises those with anti-militarist, pacifist, </w:t>
      </w:r>
      <w:r w:rsidR="00E44004">
        <w:rPr>
          <w:rFonts w:asciiTheme="majorHAnsi" w:hAnsiTheme="majorHAnsi" w:cstheme="majorHAnsi"/>
        </w:rPr>
        <w:t xml:space="preserve">and </w:t>
      </w:r>
      <w:r>
        <w:rPr>
          <w:rFonts w:asciiTheme="majorHAnsi" w:hAnsiTheme="majorHAnsi" w:cstheme="majorHAnsi"/>
        </w:rPr>
        <w:t>community-building beliefs who could be a core element of the realisation of S</w:t>
      </w:r>
      <w:r w:rsidR="003440B7">
        <w:rPr>
          <w:rFonts w:asciiTheme="majorHAnsi" w:hAnsiTheme="majorHAnsi" w:cstheme="majorHAnsi"/>
        </w:rPr>
        <w:t xml:space="preserve">ustainable </w:t>
      </w:r>
      <w:r>
        <w:rPr>
          <w:rFonts w:asciiTheme="majorHAnsi" w:hAnsiTheme="majorHAnsi" w:cstheme="majorHAnsi"/>
        </w:rPr>
        <w:t>D</w:t>
      </w:r>
      <w:r w:rsidR="003440B7">
        <w:rPr>
          <w:rFonts w:asciiTheme="majorHAnsi" w:hAnsiTheme="majorHAnsi" w:cstheme="majorHAnsi"/>
        </w:rPr>
        <w:t xml:space="preserve">evelopment </w:t>
      </w:r>
      <w:r>
        <w:rPr>
          <w:rFonts w:asciiTheme="majorHAnsi" w:hAnsiTheme="majorHAnsi" w:cstheme="majorHAnsi"/>
        </w:rPr>
        <w:t>G</w:t>
      </w:r>
      <w:r w:rsidR="003440B7">
        <w:rPr>
          <w:rFonts w:asciiTheme="majorHAnsi" w:hAnsiTheme="majorHAnsi" w:cstheme="majorHAnsi"/>
        </w:rPr>
        <w:t xml:space="preserve">oal </w:t>
      </w:r>
      <w:r>
        <w:rPr>
          <w:rFonts w:asciiTheme="majorHAnsi" w:hAnsiTheme="majorHAnsi" w:cstheme="majorHAnsi"/>
        </w:rPr>
        <w:t>16.</w:t>
      </w:r>
      <w:r w:rsidR="00B40021" w:rsidRPr="00B40021">
        <w:rPr>
          <w:rFonts w:asciiTheme="majorHAnsi" w:hAnsiTheme="majorHAnsi" w:cstheme="majorHAnsi"/>
        </w:rPr>
        <w:t xml:space="preserve"> </w:t>
      </w:r>
      <w:r w:rsidR="00B40021">
        <w:rPr>
          <w:rFonts w:asciiTheme="majorHAnsi" w:hAnsiTheme="majorHAnsi" w:cstheme="majorHAnsi"/>
        </w:rPr>
        <w:t>It also prevents individuals and communities from enjoying the benefits intended for all in SDG 16: peaceful and inclusive societies must include those who refuse military service</w:t>
      </w:r>
      <w:r w:rsidR="00523BDE">
        <w:rPr>
          <w:rFonts w:asciiTheme="majorHAnsi" w:hAnsiTheme="majorHAnsi" w:cstheme="majorHAnsi"/>
        </w:rPr>
        <w:t xml:space="preserve"> for reasons of conscience</w:t>
      </w:r>
      <w:r w:rsidR="00B40021">
        <w:rPr>
          <w:rFonts w:asciiTheme="majorHAnsi" w:hAnsiTheme="majorHAnsi" w:cstheme="majorHAnsi"/>
        </w:rPr>
        <w:t>, and those who refuse must have access to justice.</w:t>
      </w:r>
    </w:p>
    <w:p w14:paraId="3A88E567" w14:textId="43E7D997" w:rsidR="00310DBE" w:rsidRPr="00310DBE" w:rsidRDefault="004D5B2C" w:rsidP="004D5B2C">
      <w:pPr>
        <w:jc w:val="both"/>
        <w:rPr>
          <w:rFonts w:asciiTheme="majorHAnsi" w:hAnsiTheme="majorHAnsi" w:cstheme="majorHAnsi"/>
        </w:rPr>
      </w:pPr>
      <w:r>
        <w:rPr>
          <w:rFonts w:asciiTheme="majorHAnsi" w:hAnsiTheme="majorHAnsi" w:cstheme="majorHAnsi"/>
        </w:rPr>
        <w:t>This</w:t>
      </w:r>
      <w:r w:rsidR="00310DBE" w:rsidRPr="00310DBE">
        <w:rPr>
          <w:rFonts w:asciiTheme="majorHAnsi" w:hAnsiTheme="majorHAnsi" w:cstheme="majorHAnsi"/>
        </w:rPr>
        <w:t xml:space="preserve"> discrimination</w:t>
      </w:r>
      <w:r>
        <w:rPr>
          <w:rFonts w:asciiTheme="majorHAnsi" w:hAnsiTheme="majorHAnsi" w:cstheme="majorHAnsi"/>
        </w:rPr>
        <w:t xml:space="preserve">, a discrete </w:t>
      </w:r>
      <w:r w:rsidR="00F10B40">
        <w:rPr>
          <w:rFonts w:asciiTheme="majorHAnsi" w:hAnsiTheme="majorHAnsi" w:cstheme="majorHAnsi"/>
        </w:rPr>
        <w:t xml:space="preserve">rights violation, </w:t>
      </w:r>
      <w:r w:rsidR="00552069">
        <w:rPr>
          <w:rFonts w:asciiTheme="majorHAnsi" w:hAnsiTheme="majorHAnsi" w:cstheme="majorHAnsi"/>
        </w:rPr>
        <w:t>can be</w:t>
      </w:r>
      <w:r>
        <w:rPr>
          <w:rFonts w:asciiTheme="majorHAnsi" w:hAnsiTheme="majorHAnsi" w:cstheme="majorHAnsi"/>
        </w:rPr>
        <w:t xml:space="preserve"> a driver for forced migration, and </w:t>
      </w:r>
      <w:r w:rsidR="00310DBE" w:rsidRPr="00310DBE">
        <w:rPr>
          <w:rFonts w:asciiTheme="majorHAnsi" w:hAnsiTheme="majorHAnsi" w:cstheme="majorHAnsi"/>
        </w:rPr>
        <w:t xml:space="preserve">is likely to constitute a driver of insecurity and, potentially, conflict. </w:t>
      </w:r>
      <w:r>
        <w:rPr>
          <w:rFonts w:asciiTheme="majorHAnsi" w:hAnsiTheme="majorHAnsi" w:cstheme="majorHAnsi"/>
        </w:rPr>
        <w:t>Furthermore, such discrimination may manifest itself in ways which constitute further rights violations, including arbitrary detention, lack of access to justice, and deprivation of other rights from across the spectrum</w:t>
      </w:r>
      <w:r w:rsidR="00310DBE" w:rsidRPr="00310DBE">
        <w:rPr>
          <w:rFonts w:asciiTheme="majorHAnsi" w:hAnsiTheme="majorHAnsi" w:cstheme="majorHAnsi"/>
        </w:rPr>
        <w:t xml:space="preserve">.  </w:t>
      </w:r>
    </w:p>
    <w:p w14:paraId="30D57EC1" w14:textId="340E405A" w:rsidR="00310DBE" w:rsidRPr="00310DBE" w:rsidRDefault="00310DBE" w:rsidP="004D5B2C">
      <w:pPr>
        <w:jc w:val="both"/>
        <w:rPr>
          <w:rFonts w:asciiTheme="majorHAnsi" w:hAnsiTheme="majorHAnsi" w:cstheme="majorHAnsi"/>
        </w:rPr>
      </w:pPr>
      <w:r w:rsidRPr="00310DBE">
        <w:rPr>
          <w:rFonts w:asciiTheme="majorHAnsi" w:hAnsiTheme="majorHAnsi" w:cstheme="majorHAnsi"/>
        </w:rPr>
        <w:t xml:space="preserve">Often, </w:t>
      </w:r>
      <w:r w:rsidR="004D5B2C">
        <w:rPr>
          <w:rFonts w:asciiTheme="majorHAnsi" w:hAnsiTheme="majorHAnsi" w:cstheme="majorHAnsi"/>
        </w:rPr>
        <w:t xml:space="preserve">therefore, </w:t>
      </w:r>
      <w:r w:rsidRPr="00310DBE">
        <w:rPr>
          <w:rFonts w:asciiTheme="majorHAnsi" w:hAnsiTheme="majorHAnsi" w:cstheme="majorHAnsi"/>
        </w:rPr>
        <w:t>these laws or policies constitute a restriction of the right</w:t>
      </w:r>
      <w:r w:rsidR="004D5B2C">
        <w:rPr>
          <w:rFonts w:asciiTheme="majorHAnsi" w:hAnsiTheme="majorHAnsi" w:cstheme="majorHAnsi"/>
        </w:rPr>
        <w:t xml:space="preserve"> to</w:t>
      </w:r>
      <w:r w:rsidRPr="00310DBE">
        <w:rPr>
          <w:rFonts w:asciiTheme="majorHAnsi" w:hAnsiTheme="majorHAnsi" w:cstheme="majorHAnsi"/>
        </w:rPr>
        <w:t xml:space="preserve"> manifest a freedom of religion or belief</w:t>
      </w:r>
      <w:r w:rsidR="004D5B2C">
        <w:rPr>
          <w:rFonts w:asciiTheme="majorHAnsi" w:hAnsiTheme="majorHAnsi" w:cstheme="majorHAnsi"/>
        </w:rPr>
        <w:t xml:space="preserve"> (as established in Article 18(1) of the International Covenant on Civil and Political </w:t>
      </w:r>
      <w:r w:rsidR="004D5B2C">
        <w:rPr>
          <w:rFonts w:asciiTheme="majorHAnsi" w:hAnsiTheme="majorHAnsi" w:cstheme="majorHAnsi"/>
        </w:rPr>
        <w:lastRenderedPageBreak/>
        <w:t>Rights)</w:t>
      </w:r>
      <w:r w:rsidRPr="00310DBE">
        <w:rPr>
          <w:rFonts w:asciiTheme="majorHAnsi" w:hAnsiTheme="majorHAnsi" w:cstheme="majorHAnsi"/>
        </w:rPr>
        <w:t>, given the central</w:t>
      </w:r>
      <w:r w:rsidR="0095022B">
        <w:rPr>
          <w:rFonts w:asciiTheme="majorHAnsi" w:hAnsiTheme="majorHAnsi" w:cstheme="majorHAnsi"/>
        </w:rPr>
        <w:t>ity of religion or belief, whether theist, non-theist, or atheist, to conscientious objection to military service</w:t>
      </w:r>
      <w:r w:rsidRPr="00310DBE">
        <w:rPr>
          <w:rFonts w:asciiTheme="majorHAnsi" w:hAnsiTheme="majorHAnsi" w:cstheme="majorHAnsi"/>
        </w:rPr>
        <w:t>.</w:t>
      </w:r>
    </w:p>
    <w:p w14:paraId="096C7FE4" w14:textId="77777777" w:rsidR="00310DBE" w:rsidRPr="00310DBE" w:rsidRDefault="00310DBE" w:rsidP="00310DBE">
      <w:pPr>
        <w:rPr>
          <w:rFonts w:asciiTheme="majorHAnsi" w:hAnsiTheme="majorHAnsi" w:cstheme="majorHAnsi"/>
          <w:b/>
          <w:bCs/>
        </w:rPr>
      </w:pPr>
      <w:r w:rsidRPr="00310DBE">
        <w:rPr>
          <w:rFonts w:asciiTheme="majorHAnsi" w:hAnsiTheme="majorHAnsi" w:cstheme="majorHAnsi"/>
          <w:b/>
          <w:bCs/>
        </w:rPr>
        <w:t>Patterns of discrimination</w:t>
      </w:r>
    </w:p>
    <w:p w14:paraId="2744E68E" w14:textId="2E33CBF5" w:rsidR="00846100" w:rsidRDefault="00DC4EB1" w:rsidP="00DC4EB1">
      <w:pPr>
        <w:jc w:val="both"/>
        <w:rPr>
          <w:rFonts w:asciiTheme="majorHAnsi" w:hAnsiTheme="majorHAnsi" w:cstheme="majorHAnsi"/>
        </w:rPr>
      </w:pPr>
      <w:r w:rsidRPr="00DC4EB1">
        <w:rPr>
          <w:rFonts w:asciiTheme="majorHAnsi" w:hAnsiTheme="majorHAnsi" w:cstheme="majorHAnsi"/>
        </w:rPr>
        <w:t>States whi</w:t>
      </w:r>
      <w:r>
        <w:rPr>
          <w:rFonts w:asciiTheme="majorHAnsi" w:hAnsiTheme="majorHAnsi" w:cstheme="majorHAnsi"/>
        </w:rPr>
        <w:t xml:space="preserve">ch do not </w:t>
      </w:r>
      <w:r w:rsidR="00443869">
        <w:rPr>
          <w:rFonts w:asciiTheme="majorHAnsi" w:hAnsiTheme="majorHAnsi" w:cstheme="majorHAnsi"/>
        </w:rPr>
        <w:t xml:space="preserve">recognise conscientious objection must amend their law to do so and all States should ensure they have independent and impartial </w:t>
      </w:r>
      <w:r>
        <w:rPr>
          <w:rFonts w:asciiTheme="majorHAnsi" w:hAnsiTheme="majorHAnsi" w:cstheme="majorHAnsi"/>
        </w:rPr>
        <w:t xml:space="preserve">decision-making bodies </w:t>
      </w:r>
      <w:r w:rsidR="00443869">
        <w:rPr>
          <w:rFonts w:asciiTheme="majorHAnsi" w:hAnsiTheme="majorHAnsi" w:cstheme="majorHAnsi"/>
        </w:rPr>
        <w:t>unless applications are accepted without further examination.</w:t>
      </w:r>
      <w:r>
        <w:rPr>
          <w:rFonts w:asciiTheme="majorHAnsi" w:hAnsiTheme="majorHAnsi" w:cstheme="majorHAnsi"/>
        </w:rPr>
        <w:t xml:space="preserve"> Too often, </w:t>
      </w:r>
      <w:r w:rsidR="00443869">
        <w:rPr>
          <w:rFonts w:asciiTheme="majorHAnsi" w:hAnsiTheme="majorHAnsi" w:cstheme="majorHAnsi"/>
        </w:rPr>
        <w:t xml:space="preserve">even when States recognise conscientious objection in </w:t>
      </w:r>
      <w:r w:rsidR="00F12B6A">
        <w:rPr>
          <w:rFonts w:asciiTheme="majorHAnsi" w:hAnsiTheme="majorHAnsi" w:cstheme="majorHAnsi"/>
        </w:rPr>
        <w:t>law,</w:t>
      </w:r>
      <w:r w:rsidR="00443869">
        <w:rPr>
          <w:rFonts w:asciiTheme="majorHAnsi" w:hAnsiTheme="majorHAnsi" w:cstheme="majorHAnsi"/>
        </w:rPr>
        <w:t xml:space="preserve"> they </w:t>
      </w:r>
      <w:r>
        <w:rPr>
          <w:rFonts w:asciiTheme="majorHAnsi" w:hAnsiTheme="majorHAnsi" w:cstheme="majorHAnsi"/>
        </w:rPr>
        <w:t>apply discriminatory practices in such decision-making procedures.</w:t>
      </w:r>
      <w:r w:rsidR="003440B7">
        <w:rPr>
          <w:rStyle w:val="FootnoteReference"/>
          <w:rFonts w:asciiTheme="majorHAnsi" w:hAnsiTheme="majorHAnsi" w:cstheme="majorHAnsi"/>
        </w:rPr>
        <w:footnoteReference w:id="4"/>
      </w:r>
      <w:r>
        <w:rPr>
          <w:rFonts w:asciiTheme="majorHAnsi" w:hAnsiTheme="majorHAnsi" w:cstheme="majorHAnsi"/>
        </w:rPr>
        <w:t xml:space="preserve">  </w:t>
      </w:r>
    </w:p>
    <w:p w14:paraId="5FBF016A" w14:textId="60DF6D3E" w:rsidR="001850DA" w:rsidRDefault="001850DA" w:rsidP="00DC4EB1">
      <w:pPr>
        <w:jc w:val="both"/>
        <w:rPr>
          <w:rFonts w:asciiTheme="majorHAnsi" w:hAnsiTheme="majorHAnsi" w:cstheme="majorHAnsi"/>
        </w:rPr>
      </w:pPr>
      <w:r>
        <w:rPr>
          <w:rFonts w:asciiTheme="majorHAnsi" w:hAnsiTheme="majorHAnsi" w:cstheme="majorHAnsi"/>
        </w:rPr>
        <w:t xml:space="preserve">The militarised ideas of national identity associated with requirements to perform military service create a rejection of those who do not undertake military service. This manifests in both societal stigma and legal barriers to </w:t>
      </w:r>
      <w:r w:rsidR="00AC60AC">
        <w:rPr>
          <w:rFonts w:asciiTheme="majorHAnsi" w:hAnsiTheme="majorHAnsi" w:cstheme="majorHAnsi"/>
        </w:rPr>
        <w:t xml:space="preserve">the </w:t>
      </w:r>
      <w:r>
        <w:rPr>
          <w:rFonts w:asciiTheme="majorHAnsi" w:hAnsiTheme="majorHAnsi" w:cstheme="majorHAnsi"/>
        </w:rPr>
        <w:t xml:space="preserve">exercise </w:t>
      </w:r>
      <w:r w:rsidR="00AC60AC">
        <w:rPr>
          <w:rFonts w:asciiTheme="majorHAnsi" w:hAnsiTheme="majorHAnsi" w:cstheme="majorHAnsi"/>
        </w:rPr>
        <w:t xml:space="preserve">of </w:t>
      </w:r>
      <w:r>
        <w:rPr>
          <w:rFonts w:asciiTheme="majorHAnsi" w:hAnsiTheme="majorHAnsi" w:cstheme="majorHAnsi"/>
        </w:rPr>
        <w:t>a wide range of rights. The tension this creates toward</w:t>
      </w:r>
      <w:r w:rsidR="0027368D">
        <w:rPr>
          <w:rFonts w:asciiTheme="majorHAnsi" w:hAnsiTheme="majorHAnsi" w:cstheme="majorHAnsi"/>
        </w:rPr>
        <w:t>s</w:t>
      </w:r>
      <w:r w:rsidR="00AC60AC">
        <w:rPr>
          <w:rFonts w:asciiTheme="majorHAnsi" w:hAnsiTheme="majorHAnsi" w:cstheme="majorHAnsi"/>
        </w:rPr>
        <w:t xml:space="preserve"> individuals or communities</w:t>
      </w:r>
      <w:r>
        <w:rPr>
          <w:rFonts w:asciiTheme="majorHAnsi" w:hAnsiTheme="majorHAnsi" w:cstheme="majorHAnsi"/>
        </w:rPr>
        <w:t xml:space="preserve"> who do not perform military service fuels discrimination and </w:t>
      </w:r>
      <w:r w:rsidR="00AC60AC">
        <w:rPr>
          <w:rFonts w:asciiTheme="majorHAnsi" w:hAnsiTheme="majorHAnsi" w:cstheme="majorHAnsi"/>
        </w:rPr>
        <w:t>causes divisions.</w:t>
      </w:r>
      <w:r>
        <w:rPr>
          <w:rFonts w:asciiTheme="majorHAnsi" w:hAnsiTheme="majorHAnsi" w:cstheme="majorHAnsi"/>
        </w:rPr>
        <w:t xml:space="preserve">  Furthermore, it </w:t>
      </w:r>
      <w:r w:rsidR="00DC01FA">
        <w:rPr>
          <w:rFonts w:asciiTheme="majorHAnsi" w:hAnsiTheme="majorHAnsi" w:cstheme="majorHAnsi"/>
        </w:rPr>
        <w:t>delegitimises</w:t>
      </w:r>
      <w:r>
        <w:rPr>
          <w:rFonts w:asciiTheme="majorHAnsi" w:hAnsiTheme="majorHAnsi" w:cstheme="majorHAnsi"/>
        </w:rPr>
        <w:t xml:space="preserve"> and stigmatis</w:t>
      </w:r>
      <w:r w:rsidR="00AC60AC">
        <w:rPr>
          <w:rFonts w:asciiTheme="majorHAnsi" w:hAnsiTheme="majorHAnsi" w:cstheme="majorHAnsi"/>
        </w:rPr>
        <w:t>es</w:t>
      </w:r>
      <w:r>
        <w:rPr>
          <w:rFonts w:asciiTheme="majorHAnsi" w:hAnsiTheme="majorHAnsi" w:cstheme="majorHAnsi"/>
        </w:rPr>
        <w:t xml:space="preserve"> those whose views could contribute towards reducing such tension and who reject violence towards specific communities: this is the case, for example, Conscientious Objectors in Turkey who object because of the violence of the conflict with the Kurds,</w:t>
      </w:r>
      <w:r w:rsidR="00751CD6">
        <w:rPr>
          <w:rStyle w:val="FootnoteReference"/>
          <w:rFonts w:asciiTheme="majorHAnsi" w:hAnsiTheme="majorHAnsi" w:cstheme="majorHAnsi"/>
        </w:rPr>
        <w:footnoteReference w:id="5"/>
      </w:r>
      <w:r>
        <w:rPr>
          <w:rFonts w:asciiTheme="majorHAnsi" w:hAnsiTheme="majorHAnsi" w:cstheme="majorHAnsi"/>
        </w:rPr>
        <w:t xml:space="preserve"> in Israel for Conscientious Objectors</w:t>
      </w:r>
      <w:r w:rsidR="008F2CAB">
        <w:rPr>
          <w:rFonts w:asciiTheme="majorHAnsi" w:hAnsiTheme="majorHAnsi" w:cstheme="majorHAnsi"/>
        </w:rPr>
        <w:t>, or so-called ‘partial objectors’</w:t>
      </w:r>
      <w:r>
        <w:rPr>
          <w:rFonts w:asciiTheme="majorHAnsi" w:hAnsiTheme="majorHAnsi" w:cstheme="majorHAnsi"/>
        </w:rPr>
        <w:t xml:space="preserve"> who reject the Occupation</w:t>
      </w:r>
      <w:r w:rsidR="00B13049">
        <w:rPr>
          <w:rFonts w:asciiTheme="majorHAnsi" w:hAnsiTheme="majorHAnsi" w:cstheme="majorHAnsi"/>
        </w:rPr>
        <w:t xml:space="preserve"> of Palestinian Territories</w:t>
      </w:r>
      <w:r>
        <w:rPr>
          <w:rFonts w:asciiTheme="majorHAnsi" w:hAnsiTheme="majorHAnsi" w:cstheme="majorHAnsi"/>
        </w:rPr>
        <w:t>,</w:t>
      </w:r>
      <w:r w:rsidR="00751CD6">
        <w:rPr>
          <w:rStyle w:val="FootnoteReference"/>
          <w:rFonts w:asciiTheme="majorHAnsi" w:hAnsiTheme="majorHAnsi" w:cstheme="majorHAnsi"/>
        </w:rPr>
        <w:footnoteReference w:id="6"/>
      </w:r>
      <w:r>
        <w:rPr>
          <w:rFonts w:asciiTheme="majorHAnsi" w:hAnsiTheme="majorHAnsi" w:cstheme="majorHAnsi"/>
        </w:rPr>
        <w:t xml:space="preserve"> and in the case of Cypriot Conscientious Objectors who work towards peace and foster bi-communal relations.</w:t>
      </w:r>
      <w:r w:rsidR="00751CD6">
        <w:rPr>
          <w:rStyle w:val="FootnoteReference"/>
          <w:rFonts w:asciiTheme="majorHAnsi" w:hAnsiTheme="majorHAnsi" w:cstheme="majorHAnsi"/>
        </w:rPr>
        <w:footnoteReference w:id="7"/>
      </w:r>
      <w:r>
        <w:rPr>
          <w:rFonts w:asciiTheme="majorHAnsi" w:hAnsiTheme="majorHAnsi" w:cstheme="majorHAnsi"/>
        </w:rPr>
        <w:t xml:space="preserve"> </w:t>
      </w:r>
    </w:p>
    <w:p w14:paraId="55D1434E" w14:textId="77777777" w:rsidR="007D6FAF" w:rsidRPr="00066F42" w:rsidRDefault="007D6FAF" w:rsidP="007D6FAF">
      <w:pPr>
        <w:rPr>
          <w:rFonts w:asciiTheme="majorHAnsi" w:hAnsiTheme="majorHAnsi" w:cstheme="majorHAnsi"/>
          <w:b/>
          <w:bCs/>
          <w:i/>
          <w:iCs/>
        </w:rPr>
      </w:pPr>
      <w:r w:rsidRPr="00066F42">
        <w:rPr>
          <w:rFonts w:asciiTheme="majorHAnsi" w:hAnsiTheme="majorHAnsi" w:cstheme="majorHAnsi"/>
          <w:b/>
          <w:bCs/>
          <w:i/>
          <w:iCs/>
        </w:rPr>
        <w:t>Conscientious Objection Application Procedures</w:t>
      </w:r>
    </w:p>
    <w:p w14:paraId="27227C79" w14:textId="3FF7C81E" w:rsidR="009A799D" w:rsidRDefault="007D6FAF" w:rsidP="00DC4EB1">
      <w:pPr>
        <w:jc w:val="both"/>
        <w:rPr>
          <w:rFonts w:asciiTheme="majorHAnsi" w:hAnsiTheme="majorHAnsi" w:cstheme="majorHAnsi"/>
        </w:rPr>
      </w:pPr>
      <w:r w:rsidRPr="00895496">
        <w:rPr>
          <w:rFonts w:asciiTheme="majorHAnsi" w:hAnsiTheme="majorHAnsi" w:cstheme="majorHAnsi"/>
        </w:rPr>
        <w:t>The best practice in this area is the acceptance of claims of conscientious objection as valid without enquiry</w:t>
      </w:r>
      <w:r>
        <w:rPr>
          <w:rFonts w:asciiTheme="majorHAnsi" w:hAnsiTheme="majorHAnsi" w:cstheme="majorHAnsi"/>
        </w:rPr>
        <w:t>, as welcomed in Human Rights Council Resolution 24/17. This practice should be applied to all those who seek conscientious objector status, without discrimination of any kind. Good practices in this regard include Austria, Norway and Switzerland.</w:t>
      </w:r>
      <w:r>
        <w:rPr>
          <w:rStyle w:val="FootnoteReference"/>
          <w:rFonts w:asciiTheme="majorHAnsi" w:hAnsiTheme="majorHAnsi" w:cstheme="majorHAnsi"/>
        </w:rPr>
        <w:footnoteReference w:id="8"/>
      </w:r>
      <w:r>
        <w:rPr>
          <w:rFonts w:asciiTheme="majorHAnsi" w:hAnsiTheme="majorHAnsi" w:cstheme="majorHAnsi"/>
        </w:rPr>
        <w:t xml:space="preserve"> This system is the best practice because it provides the fullest recognition of the right to freedom of religion or belief, acknowledging the personal nature of the matter </w:t>
      </w:r>
      <w:r w:rsidR="00113BE3">
        <w:rPr>
          <w:rFonts w:asciiTheme="majorHAnsi" w:hAnsiTheme="majorHAnsi" w:cstheme="majorHAnsi"/>
        </w:rPr>
        <w:t xml:space="preserve">and thus </w:t>
      </w:r>
      <w:r>
        <w:rPr>
          <w:rFonts w:asciiTheme="majorHAnsi" w:hAnsiTheme="majorHAnsi" w:cstheme="majorHAnsi"/>
        </w:rPr>
        <w:t>the impossibility of another person judging this.</w:t>
      </w:r>
      <w:r w:rsidR="009A799D">
        <w:rPr>
          <w:rFonts w:asciiTheme="majorHAnsi" w:hAnsiTheme="majorHAnsi" w:cstheme="majorHAnsi"/>
        </w:rPr>
        <w:t xml:space="preserve"> </w:t>
      </w:r>
    </w:p>
    <w:p w14:paraId="3E0F5FAB" w14:textId="0C00F26B" w:rsidR="009A799D" w:rsidRDefault="009A799D" w:rsidP="00DC4EB1">
      <w:pPr>
        <w:jc w:val="both"/>
        <w:rPr>
          <w:rFonts w:asciiTheme="majorHAnsi" w:hAnsiTheme="majorHAnsi" w:cstheme="majorHAnsi"/>
        </w:rPr>
      </w:pPr>
      <w:r>
        <w:rPr>
          <w:rFonts w:asciiTheme="majorHAnsi" w:hAnsiTheme="majorHAnsi" w:cstheme="majorHAnsi"/>
        </w:rPr>
        <w:t>Where this is not the cas</w:t>
      </w:r>
      <w:r w:rsidR="00113BE3">
        <w:rPr>
          <w:rFonts w:asciiTheme="majorHAnsi" w:hAnsiTheme="majorHAnsi" w:cstheme="majorHAnsi"/>
        </w:rPr>
        <w:t>e</w:t>
      </w:r>
      <w:r>
        <w:rPr>
          <w:rFonts w:asciiTheme="majorHAnsi" w:hAnsiTheme="majorHAnsi" w:cstheme="majorHAnsi"/>
        </w:rPr>
        <w:t xml:space="preserve"> and an application process is required, it is essential that all such processes be in strict accordance with human rights law, and without discrimination of any kind.</w:t>
      </w:r>
    </w:p>
    <w:p w14:paraId="7BDF7CDB" w14:textId="766EDEED" w:rsidR="009349C2" w:rsidRDefault="009349C2" w:rsidP="00DC4EB1">
      <w:pPr>
        <w:jc w:val="both"/>
        <w:rPr>
          <w:rFonts w:asciiTheme="majorHAnsi" w:hAnsiTheme="majorHAnsi" w:cstheme="majorHAnsi"/>
        </w:rPr>
      </w:pPr>
      <w:r>
        <w:rPr>
          <w:rFonts w:asciiTheme="majorHAnsi" w:hAnsiTheme="majorHAnsi" w:cstheme="majorHAnsi"/>
        </w:rPr>
        <w:t xml:space="preserve">Where application procedures for requesting conscientious objector status are arbitrary or ineffective, </w:t>
      </w:r>
      <w:r w:rsidR="00523BDE">
        <w:rPr>
          <w:rFonts w:asciiTheme="majorHAnsi" w:hAnsiTheme="majorHAnsi" w:cstheme="majorHAnsi"/>
        </w:rPr>
        <w:t>conscientious objectors</w:t>
      </w:r>
      <w:r>
        <w:rPr>
          <w:rFonts w:asciiTheme="majorHAnsi" w:hAnsiTheme="majorHAnsi" w:cstheme="majorHAnsi"/>
        </w:rPr>
        <w:t xml:space="preserve"> may not avail themselves of the opportunity to</w:t>
      </w:r>
      <w:r w:rsidR="00A35B37">
        <w:rPr>
          <w:rFonts w:asciiTheme="majorHAnsi" w:hAnsiTheme="majorHAnsi" w:cstheme="majorHAnsi"/>
        </w:rPr>
        <w:t xml:space="preserve"> apply due to</w:t>
      </w:r>
      <w:r>
        <w:rPr>
          <w:rFonts w:asciiTheme="majorHAnsi" w:hAnsiTheme="majorHAnsi" w:cstheme="majorHAnsi"/>
        </w:rPr>
        <w:t xml:space="preserve"> fear of persecution for publicly expressing their convictions,</w:t>
      </w:r>
      <w:r>
        <w:rPr>
          <w:rStyle w:val="FootnoteReference"/>
          <w:rFonts w:asciiTheme="majorHAnsi" w:hAnsiTheme="majorHAnsi" w:cstheme="majorHAnsi"/>
        </w:rPr>
        <w:footnoteReference w:id="9"/>
      </w:r>
      <w:r>
        <w:rPr>
          <w:rFonts w:asciiTheme="majorHAnsi" w:hAnsiTheme="majorHAnsi" w:cstheme="majorHAnsi"/>
        </w:rPr>
        <w:t xml:space="preserve"> impinging upon their right to freely express their religion or belief. </w:t>
      </w:r>
    </w:p>
    <w:p w14:paraId="2F7DA307" w14:textId="0A86F9A7" w:rsidR="007F3B7F" w:rsidRPr="000B4472" w:rsidRDefault="009E4855">
      <w:pPr>
        <w:jc w:val="both"/>
        <w:rPr>
          <w:rFonts w:asciiTheme="majorHAnsi" w:eastAsia="Times New Roman" w:hAnsiTheme="majorHAnsi" w:cstheme="majorHAnsi"/>
          <w:lang w:eastAsia="en-GB"/>
        </w:rPr>
      </w:pPr>
      <w:r>
        <w:rPr>
          <w:rFonts w:asciiTheme="majorHAnsi" w:hAnsiTheme="majorHAnsi" w:cstheme="majorHAnsi"/>
        </w:rPr>
        <w:lastRenderedPageBreak/>
        <w:t>Priority should not be granted to any group(s) over others,</w:t>
      </w:r>
      <w:r>
        <w:rPr>
          <w:rStyle w:val="FootnoteReference"/>
          <w:rFonts w:asciiTheme="majorHAnsi" w:hAnsiTheme="majorHAnsi" w:cstheme="majorHAnsi"/>
        </w:rPr>
        <w:footnoteReference w:id="10"/>
      </w:r>
      <w:r>
        <w:rPr>
          <w:rFonts w:asciiTheme="majorHAnsi" w:hAnsiTheme="majorHAnsi" w:cstheme="majorHAnsi"/>
        </w:rPr>
        <w:t xml:space="preserve"> for example rules which only enable </w:t>
      </w:r>
      <w:r w:rsidR="00A35B37">
        <w:rPr>
          <w:rFonts w:asciiTheme="majorHAnsi" w:hAnsiTheme="majorHAnsi" w:cstheme="majorHAnsi"/>
        </w:rPr>
        <w:t>c</w:t>
      </w:r>
      <w:r>
        <w:rPr>
          <w:rFonts w:asciiTheme="majorHAnsi" w:hAnsiTheme="majorHAnsi" w:cstheme="majorHAnsi"/>
        </w:rPr>
        <w:t xml:space="preserve">onscientious </w:t>
      </w:r>
      <w:r w:rsidR="00A35B37">
        <w:rPr>
          <w:rFonts w:asciiTheme="majorHAnsi" w:hAnsiTheme="majorHAnsi" w:cstheme="majorHAnsi"/>
        </w:rPr>
        <w:t>o</w:t>
      </w:r>
      <w:r>
        <w:rPr>
          <w:rFonts w:asciiTheme="majorHAnsi" w:hAnsiTheme="majorHAnsi" w:cstheme="majorHAnsi"/>
        </w:rPr>
        <w:t>bjector status for members of groups whose teachings or values expressly prohibit bearing arms constitute discrimination and are likely to enhance inter-community division.</w:t>
      </w:r>
      <w:r>
        <w:rPr>
          <w:rStyle w:val="FootnoteReference"/>
          <w:rFonts w:asciiTheme="majorHAnsi" w:hAnsiTheme="majorHAnsi" w:cstheme="majorHAnsi"/>
        </w:rPr>
        <w:footnoteReference w:id="11"/>
      </w:r>
      <w:r>
        <w:rPr>
          <w:rFonts w:asciiTheme="majorHAnsi" w:hAnsiTheme="majorHAnsi" w:cstheme="majorHAnsi"/>
        </w:rPr>
        <w:t xml:space="preserve">  This has been recognised by the Human Rights Committee since the adoption of general Comment No. 22 in 1993, with the Committee repeatedly referring to the prohibition of discrimination </w:t>
      </w:r>
      <w:r w:rsidRPr="000B4472">
        <w:rPr>
          <w:rFonts w:asciiTheme="majorHAnsi" w:eastAsia="Times New Roman" w:hAnsiTheme="majorHAnsi" w:cstheme="majorHAnsi"/>
          <w:lang w:eastAsia="en-GB"/>
        </w:rPr>
        <w:t>among conscientious objectors on the basis of the nature of their particular beliefs</w:t>
      </w:r>
      <w:r>
        <w:rPr>
          <w:rFonts w:asciiTheme="majorHAnsi" w:eastAsia="Times New Roman" w:hAnsiTheme="majorHAnsi" w:cstheme="majorHAnsi"/>
          <w:lang w:eastAsia="en-GB"/>
        </w:rPr>
        <w:t xml:space="preserve">. </w:t>
      </w:r>
      <w:r>
        <w:rPr>
          <w:rFonts w:asciiTheme="majorHAnsi" w:hAnsiTheme="majorHAnsi" w:cstheme="majorHAnsi"/>
        </w:rPr>
        <w:t xml:space="preserve">Decision-making processes about who is entitled to </w:t>
      </w:r>
      <w:r w:rsidR="00A35B37">
        <w:rPr>
          <w:rFonts w:asciiTheme="majorHAnsi" w:hAnsiTheme="majorHAnsi" w:cstheme="majorHAnsi"/>
        </w:rPr>
        <w:t>c</w:t>
      </w:r>
      <w:r>
        <w:rPr>
          <w:rFonts w:asciiTheme="majorHAnsi" w:hAnsiTheme="majorHAnsi" w:cstheme="majorHAnsi"/>
        </w:rPr>
        <w:t xml:space="preserve">onscientious </w:t>
      </w:r>
      <w:r w:rsidR="00A35B37">
        <w:rPr>
          <w:rFonts w:asciiTheme="majorHAnsi" w:hAnsiTheme="majorHAnsi" w:cstheme="majorHAnsi"/>
        </w:rPr>
        <w:t>o</w:t>
      </w:r>
      <w:r>
        <w:rPr>
          <w:rFonts w:asciiTheme="majorHAnsi" w:hAnsiTheme="majorHAnsi" w:cstheme="majorHAnsi"/>
        </w:rPr>
        <w:t>bjector status should not be influenced b</w:t>
      </w:r>
      <w:r w:rsidR="00A35B37">
        <w:rPr>
          <w:rFonts w:asciiTheme="majorHAnsi" w:hAnsiTheme="majorHAnsi" w:cstheme="majorHAnsi"/>
        </w:rPr>
        <w:t>y</w:t>
      </w:r>
      <w:r>
        <w:rPr>
          <w:rFonts w:asciiTheme="majorHAnsi" w:hAnsiTheme="majorHAnsi" w:cstheme="majorHAnsi"/>
        </w:rPr>
        <w:t xml:space="preserve"> prejudicial attitudes towards certain religion or belief communities. </w:t>
      </w:r>
      <w:r w:rsidR="007F3B7F">
        <w:rPr>
          <w:rFonts w:asciiTheme="majorHAnsi" w:hAnsiTheme="majorHAnsi" w:cstheme="majorHAnsi"/>
        </w:rPr>
        <w:t xml:space="preserve">Limiting the groups of faith or belief communities entitled to Conscientious Objector status is discriminatory and </w:t>
      </w:r>
      <w:r w:rsidR="001850DA">
        <w:rPr>
          <w:rFonts w:asciiTheme="majorHAnsi" w:hAnsiTheme="majorHAnsi" w:cstheme="majorHAnsi"/>
        </w:rPr>
        <w:t>may</w:t>
      </w:r>
      <w:r w:rsidR="007F3B7F">
        <w:rPr>
          <w:rFonts w:asciiTheme="majorHAnsi" w:hAnsiTheme="majorHAnsi" w:cstheme="majorHAnsi"/>
        </w:rPr>
        <w:t xml:space="preserve"> cause inter-community tension</w:t>
      </w:r>
      <w:r w:rsidR="000B4472">
        <w:rPr>
          <w:rFonts w:asciiTheme="majorHAnsi" w:hAnsiTheme="majorHAnsi" w:cstheme="majorHAnsi"/>
        </w:rPr>
        <w:t>.</w:t>
      </w:r>
      <w:r w:rsidR="00067D56">
        <w:rPr>
          <w:rStyle w:val="FootnoteReference"/>
          <w:rFonts w:asciiTheme="majorHAnsi" w:hAnsiTheme="majorHAnsi" w:cstheme="majorHAnsi"/>
        </w:rPr>
        <w:footnoteReference w:id="12"/>
      </w:r>
      <w:r w:rsidR="00067D56">
        <w:rPr>
          <w:rFonts w:asciiTheme="majorHAnsi" w:hAnsiTheme="majorHAnsi" w:cstheme="majorHAnsi"/>
        </w:rPr>
        <w:t xml:space="preserve"> </w:t>
      </w:r>
    </w:p>
    <w:p w14:paraId="28BB5406" w14:textId="1FBA089C" w:rsidR="00BF1431" w:rsidRDefault="00BF1431" w:rsidP="00DC4EB1">
      <w:pPr>
        <w:jc w:val="both"/>
        <w:rPr>
          <w:rFonts w:asciiTheme="majorHAnsi" w:hAnsiTheme="majorHAnsi" w:cstheme="majorHAnsi"/>
        </w:rPr>
      </w:pPr>
      <w:r>
        <w:rPr>
          <w:rFonts w:asciiTheme="majorHAnsi" w:hAnsiTheme="majorHAnsi" w:cstheme="majorHAnsi"/>
        </w:rPr>
        <w:t xml:space="preserve">Processes must be made transparent and accessible to all, including by the provision of materials and processes in all relevant languages, as well as of materials to enable the full participation of persons with disabilities.  </w:t>
      </w:r>
    </w:p>
    <w:p w14:paraId="0708F29A" w14:textId="5518B4F9" w:rsidR="00BF1431" w:rsidRDefault="00C66F0E" w:rsidP="00DC4EB1">
      <w:pPr>
        <w:jc w:val="both"/>
        <w:rPr>
          <w:rFonts w:asciiTheme="majorHAnsi" w:hAnsiTheme="majorHAnsi" w:cstheme="majorHAnsi"/>
        </w:rPr>
      </w:pPr>
      <w:r>
        <w:rPr>
          <w:rFonts w:asciiTheme="majorHAnsi" w:hAnsiTheme="majorHAnsi" w:cstheme="majorHAnsi"/>
        </w:rPr>
        <w:t>It is important for States to recognise, both in law and in practice, that people can develop a conscientious objection over time, including after having started to undertake their military service. There should be no discrimination between those whose conscientious objection develops at different times.</w:t>
      </w:r>
      <w:r w:rsidR="00BF1431">
        <w:rPr>
          <w:rFonts w:asciiTheme="majorHAnsi" w:hAnsiTheme="majorHAnsi" w:cstheme="majorHAnsi"/>
        </w:rPr>
        <w:t xml:space="preserve"> Volunteers as well as conscripts should have their right to conscientious objection respected and protected.</w:t>
      </w:r>
    </w:p>
    <w:p w14:paraId="483430CC" w14:textId="7A8CCFB3" w:rsidR="00AC60AC" w:rsidRDefault="00BF1431" w:rsidP="00DC4EB1">
      <w:pPr>
        <w:jc w:val="both"/>
        <w:rPr>
          <w:rFonts w:asciiTheme="majorHAnsi" w:hAnsiTheme="majorHAnsi" w:cstheme="majorHAnsi"/>
        </w:rPr>
      </w:pPr>
      <w:r>
        <w:rPr>
          <w:rFonts w:asciiTheme="majorHAnsi" w:hAnsiTheme="majorHAnsi" w:cstheme="majorHAnsi"/>
        </w:rPr>
        <w:t xml:space="preserve">Furthermore, it is important that having a criminal record is not considered to be a barrier to being awarded conscientious objector status: a previous offence should have no bearing on someone’s ability to manifest their right to freedom of religion or belief. </w:t>
      </w:r>
    </w:p>
    <w:p w14:paraId="10B2BE94" w14:textId="49E1C5D0" w:rsidR="00C66F0E" w:rsidRPr="00DC4EB1" w:rsidRDefault="009A799D" w:rsidP="00DC4EB1">
      <w:pPr>
        <w:jc w:val="both"/>
        <w:rPr>
          <w:rFonts w:asciiTheme="majorHAnsi" w:hAnsiTheme="majorHAnsi" w:cstheme="majorHAnsi"/>
        </w:rPr>
      </w:pPr>
      <w:r>
        <w:rPr>
          <w:rFonts w:asciiTheme="majorHAnsi" w:hAnsiTheme="majorHAnsi" w:cstheme="majorHAnsi"/>
        </w:rPr>
        <w:t xml:space="preserve">Much more detailed information and best practice examples can be found in </w:t>
      </w:r>
      <w:r w:rsidRPr="00E0170E">
        <w:rPr>
          <w:rFonts w:asciiTheme="majorHAnsi" w:hAnsiTheme="majorHAnsi" w:cstheme="majorHAnsi"/>
        </w:rPr>
        <w:t xml:space="preserve">OHCHR’s </w:t>
      </w:r>
      <w:r w:rsidR="007628B1" w:rsidRPr="000B4472">
        <w:rPr>
          <w:rFonts w:asciiTheme="majorHAnsi" w:hAnsiTheme="majorHAnsi" w:cstheme="majorHAnsi"/>
        </w:rPr>
        <w:t>201</w:t>
      </w:r>
      <w:r w:rsidR="00096723">
        <w:rPr>
          <w:rFonts w:asciiTheme="majorHAnsi" w:hAnsiTheme="majorHAnsi" w:cstheme="majorHAnsi"/>
        </w:rPr>
        <w:t>9</w:t>
      </w:r>
      <w:r w:rsidR="007628B1" w:rsidRPr="000B4472">
        <w:rPr>
          <w:rFonts w:asciiTheme="majorHAnsi" w:hAnsiTheme="majorHAnsi" w:cstheme="majorHAnsi"/>
        </w:rPr>
        <w:t xml:space="preserve"> </w:t>
      </w:r>
      <w:r w:rsidRPr="00E0170E">
        <w:rPr>
          <w:rFonts w:asciiTheme="majorHAnsi" w:hAnsiTheme="majorHAnsi" w:cstheme="majorHAnsi"/>
        </w:rPr>
        <w:t>repo</w:t>
      </w:r>
      <w:r w:rsidR="007628B1" w:rsidRPr="00E0170E">
        <w:rPr>
          <w:rFonts w:asciiTheme="majorHAnsi" w:hAnsiTheme="majorHAnsi" w:cstheme="majorHAnsi"/>
        </w:rPr>
        <w:t>rt</w:t>
      </w:r>
      <w:r w:rsidR="007628B1">
        <w:rPr>
          <w:rFonts w:asciiTheme="majorHAnsi" w:hAnsiTheme="majorHAnsi" w:cstheme="majorHAnsi"/>
        </w:rPr>
        <w:t xml:space="preserve"> on approaches and challenges to regard to application procedures for conscientious objection to military service</w:t>
      </w:r>
      <w:r w:rsidR="005C083A">
        <w:rPr>
          <w:rFonts w:asciiTheme="majorHAnsi" w:hAnsiTheme="majorHAnsi" w:cstheme="majorHAnsi"/>
        </w:rPr>
        <w:t xml:space="preserve"> in accordance with human rights standards.</w:t>
      </w:r>
      <w:r w:rsidR="005C083A">
        <w:rPr>
          <w:rStyle w:val="FootnoteReference"/>
          <w:rFonts w:asciiTheme="majorHAnsi" w:hAnsiTheme="majorHAnsi" w:cstheme="majorHAnsi"/>
        </w:rPr>
        <w:footnoteReference w:id="13"/>
      </w:r>
      <w:r w:rsidR="005C083A">
        <w:rPr>
          <w:rFonts w:asciiTheme="majorHAnsi" w:hAnsiTheme="majorHAnsi" w:cstheme="majorHAnsi"/>
        </w:rPr>
        <w:t xml:space="preserve"> </w:t>
      </w:r>
    </w:p>
    <w:p w14:paraId="056843C4" w14:textId="12E387C1" w:rsidR="00DC4EB1" w:rsidRDefault="00DC4EB1" w:rsidP="00310DBE">
      <w:pPr>
        <w:rPr>
          <w:rFonts w:asciiTheme="majorHAnsi" w:hAnsiTheme="majorHAnsi" w:cstheme="majorHAnsi"/>
          <w:b/>
          <w:bCs/>
          <w:i/>
          <w:iCs/>
        </w:rPr>
      </w:pPr>
      <w:r>
        <w:rPr>
          <w:rFonts w:asciiTheme="majorHAnsi" w:hAnsiTheme="majorHAnsi" w:cstheme="majorHAnsi"/>
          <w:b/>
          <w:bCs/>
          <w:i/>
          <w:iCs/>
        </w:rPr>
        <w:t>The Provision of Alternative Service</w:t>
      </w:r>
    </w:p>
    <w:p w14:paraId="7A0138F7" w14:textId="772431EA" w:rsidR="00C66F0E" w:rsidRDefault="00A35B37" w:rsidP="00310DBE">
      <w:pPr>
        <w:rPr>
          <w:rFonts w:asciiTheme="majorHAnsi" w:hAnsiTheme="majorHAnsi" w:cstheme="majorHAnsi"/>
        </w:rPr>
      </w:pPr>
      <w:r>
        <w:rPr>
          <w:rFonts w:asciiTheme="majorHAnsi" w:hAnsiTheme="majorHAnsi" w:cstheme="majorHAnsi"/>
        </w:rPr>
        <w:t xml:space="preserve">Some </w:t>
      </w:r>
      <w:r w:rsidR="00C66F0E">
        <w:rPr>
          <w:rFonts w:asciiTheme="majorHAnsi" w:hAnsiTheme="majorHAnsi" w:cstheme="majorHAnsi"/>
        </w:rPr>
        <w:t>States choose to require Alternative Service for those who refuse to undertake military service</w:t>
      </w:r>
      <w:r w:rsidR="003F4914">
        <w:rPr>
          <w:rFonts w:asciiTheme="majorHAnsi" w:hAnsiTheme="majorHAnsi" w:cstheme="majorHAnsi"/>
        </w:rPr>
        <w:t xml:space="preserve">. Where this is the case, the Alternative Service provision must be non-discriminatory and compliant with international human rights obligations. </w:t>
      </w:r>
    </w:p>
    <w:p w14:paraId="0DB19EEA" w14:textId="77777777" w:rsidR="00113BE3" w:rsidRDefault="00D93341" w:rsidP="00D93341">
      <w:pPr>
        <w:jc w:val="both"/>
        <w:rPr>
          <w:rFonts w:asciiTheme="majorHAnsi" w:hAnsiTheme="majorHAnsi" w:cstheme="majorHAnsi"/>
        </w:rPr>
      </w:pPr>
      <w:r>
        <w:rPr>
          <w:rFonts w:asciiTheme="majorHAnsi" w:hAnsiTheme="majorHAnsi" w:cstheme="majorHAnsi"/>
        </w:rPr>
        <w:t>In some States, the Alternative Service available</w:t>
      </w:r>
      <w:r w:rsidR="00040D83">
        <w:rPr>
          <w:rFonts w:asciiTheme="majorHAnsi" w:hAnsiTheme="majorHAnsi" w:cstheme="majorHAnsi"/>
        </w:rPr>
        <w:t xml:space="preserve"> to conscientious objectors to military service</w:t>
      </w:r>
      <w:r>
        <w:rPr>
          <w:rFonts w:asciiTheme="majorHAnsi" w:hAnsiTheme="majorHAnsi" w:cstheme="majorHAnsi"/>
        </w:rPr>
        <w:t xml:space="preserve"> is discriminatory</w:t>
      </w:r>
      <w:r w:rsidR="00040D83">
        <w:rPr>
          <w:rFonts w:asciiTheme="majorHAnsi" w:hAnsiTheme="majorHAnsi" w:cstheme="majorHAnsi"/>
        </w:rPr>
        <w:t xml:space="preserve"> and perpetuates social divisions and tensions between different religious and other communities</w:t>
      </w:r>
      <w:r>
        <w:rPr>
          <w:rFonts w:asciiTheme="majorHAnsi" w:hAnsiTheme="majorHAnsi" w:cstheme="majorHAnsi"/>
        </w:rPr>
        <w:t>. It is important that such Alternative Service measures are in accordance with the reasons for the conscientious objection and are not of a punitive nature</w:t>
      </w:r>
      <w:r w:rsidR="00512F3A">
        <w:rPr>
          <w:rFonts w:asciiTheme="majorHAnsi" w:hAnsiTheme="majorHAnsi" w:cstheme="majorHAnsi"/>
        </w:rPr>
        <w:t>, both in duration but also in substance.</w:t>
      </w:r>
      <w:r>
        <w:rPr>
          <w:rFonts w:asciiTheme="majorHAnsi" w:hAnsiTheme="majorHAnsi" w:cstheme="majorHAnsi"/>
        </w:rPr>
        <w:t xml:space="preserve"> Alternative Service should </w:t>
      </w:r>
      <w:r w:rsidR="00512F3A">
        <w:rPr>
          <w:rFonts w:asciiTheme="majorHAnsi" w:hAnsiTheme="majorHAnsi" w:cstheme="majorHAnsi"/>
        </w:rPr>
        <w:t xml:space="preserve">therefore </w:t>
      </w:r>
      <w:r>
        <w:rPr>
          <w:rFonts w:asciiTheme="majorHAnsi" w:hAnsiTheme="majorHAnsi" w:cstheme="majorHAnsi"/>
        </w:rPr>
        <w:t xml:space="preserve">not be humiliating, </w:t>
      </w:r>
      <w:r w:rsidR="00512F3A">
        <w:rPr>
          <w:rFonts w:asciiTheme="majorHAnsi" w:hAnsiTheme="majorHAnsi" w:cstheme="majorHAnsi"/>
        </w:rPr>
        <w:t>should be of genuine benefit to the community, s</w:t>
      </w:r>
      <w:r>
        <w:rPr>
          <w:rFonts w:asciiTheme="majorHAnsi" w:hAnsiTheme="majorHAnsi" w:cstheme="majorHAnsi"/>
        </w:rPr>
        <w:t xml:space="preserve">hould be rewarded with an adequate salary, </w:t>
      </w:r>
      <w:r w:rsidR="004E2F3D">
        <w:rPr>
          <w:rFonts w:asciiTheme="majorHAnsi" w:hAnsiTheme="majorHAnsi" w:cstheme="majorHAnsi"/>
        </w:rPr>
        <w:t xml:space="preserve">should not be excessively long, </w:t>
      </w:r>
      <w:r>
        <w:rPr>
          <w:rFonts w:asciiTheme="majorHAnsi" w:hAnsiTheme="majorHAnsi" w:cstheme="majorHAnsi"/>
        </w:rPr>
        <w:t>and should not place restrictions upon the freedom of movement of the person in question.</w:t>
      </w:r>
      <w:r w:rsidR="00FA7910">
        <w:rPr>
          <w:rFonts w:asciiTheme="majorHAnsi" w:hAnsiTheme="majorHAnsi" w:cstheme="majorHAnsi"/>
        </w:rPr>
        <w:t xml:space="preserve"> </w:t>
      </w:r>
    </w:p>
    <w:p w14:paraId="27269F08" w14:textId="4C630487" w:rsidR="00D93341" w:rsidRDefault="00FA7910" w:rsidP="00D93341">
      <w:pPr>
        <w:jc w:val="both"/>
        <w:rPr>
          <w:rFonts w:asciiTheme="majorHAnsi" w:hAnsiTheme="majorHAnsi" w:cstheme="majorHAnsi"/>
        </w:rPr>
      </w:pPr>
      <w:r>
        <w:rPr>
          <w:rFonts w:asciiTheme="majorHAnsi" w:hAnsiTheme="majorHAnsi" w:cstheme="majorHAnsi"/>
        </w:rPr>
        <w:lastRenderedPageBreak/>
        <w:t xml:space="preserve">Any such discriminatory provisions are likely to create </w:t>
      </w:r>
      <w:r w:rsidR="00512F3A">
        <w:rPr>
          <w:rFonts w:asciiTheme="majorHAnsi" w:hAnsiTheme="majorHAnsi" w:cstheme="majorHAnsi"/>
        </w:rPr>
        <w:t xml:space="preserve">or exacerbate </w:t>
      </w:r>
      <w:r>
        <w:rPr>
          <w:rFonts w:asciiTheme="majorHAnsi" w:hAnsiTheme="majorHAnsi" w:cstheme="majorHAnsi"/>
        </w:rPr>
        <w:t>divisions between Conscientious Objectors and the wider community, divisions which are likely to fuel tension and conflict rooted in religion or belief.</w:t>
      </w:r>
    </w:p>
    <w:p w14:paraId="09C026B9" w14:textId="50591ADC" w:rsidR="00310DBE" w:rsidRDefault="00310DBE" w:rsidP="00310DBE">
      <w:pPr>
        <w:rPr>
          <w:rFonts w:asciiTheme="majorHAnsi" w:hAnsiTheme="majorHAnsi" w:cstheme="majorHAnsi"/>
          <w:b/>
          <w:bCs/>
          <w:i/>
          <w:iCs/>
        </w:rPr>
      </w:pPr>
      <w:r w:rsidRPr="00310DBE">
        <w:rPr>
          <w:rFonts w:asciiTheme="majorHAnsi" w:hAnsiTheme="majorHAnsi" w:cstheme="majorHAnsi"/>
          <w:b/>
          <w:bCs/>
          <w:i/>
          <w:iCs/>
        </w:rPr>
        <w:t>Deprivation of liberty</w:t>
      </w:r>
    </w:p>
    <w:p w14:paraId="68E64AFA" w14:textId="004086B3" w:rsidR="00653134" w:rsidRDefault="00F8538F" w:rsidP="00504E53">
      <w:pPr>
        <w:jc w:val="both"/>
        <w:rPr>
          <w:rFonts w:asciiTheme="majorHAnsi" w:hAnsiTheme="majorHAnsi" w:cstheme="majorHAnsi"/>
        </w:rPr>
      </w:pPr>
      <w:r>
        <w:rPr>
          <w:rFonts w:asciiTheme="majorHAnsi" w:hAnsiTheme="majorHAnsi" w:cstheme="majorHAnsi"/>
        </w:rPr>
        <w:t xml:space="preserve">Systematic human rights violations persist in </w:t>
      </w:r>
      <w:r w:rsidR="00967839">
        <w:rPr>
          <w:rFonts w:asciiTheme="majorHAnsi" w:hAnsiTheme="majorHAnsi" w:cstheme="majorHAnsi"/>
        </w:rPr>
        <w:t xml:space="preserve">States </w:t>
      </w:r>
      <w:r>
        <w:rPr>
          <w:rFonts w:asciiTheme="majorHAnsi" w:hAnsiTheme="majorHAnsi" w:cstheme="majorHAnsi"/>
        </w:rPr>
        <w:t xml:space="preserve">that </w:t>
      </w:r>
      <w:r w:rsidR="00967839">
        <w:rPr>
          <w:rFonts w:asciiTheme="majorHAnsi" w:hAnsiTheme="majorHAnsi" w:cstheme="majorHAnsi"/>
        </w:rPr>
        <w:t>fail to recognise conscientious objection to military service and prosecute those who refuse to serve. Such prosecution</w:t>
      </w:r>
      <w:r w:rsidR="00113BE3">
        <w:rPr>
          <w:rFonts w:asciiTheme="majorHAnsi" w:hAnsiTheme="majorHAnsi" w:cstheme="majorHAnsi"/>
        </w:rPr>
        <w:t xml:space="preserve">s impinge upon the right to freedom of religion or belief, punishing people </w:t>
      </w:r>
      <w:r w:rsidR="0090308B">
        <w:rPr>
          <w:rFonts w:asciiTheme="majorHAnsi" w:hAnsiTheme="majorHAnsi" w:cstheme="majorHAnsi"/>
        </w:rPr>
        <w:t xml:space="preserve">unnecessarily </w:t>
      </w:r>
      <w:r w:rsidR="00113BE3">
        <w:rPr>
          <w:rFonts w:asciiTheme="majorHAnsi" w:hAnsiTheme="majorHAnsi" w:cstheme="majorHAnsi"/>
        </w:rPr>
        <w:t>for legitimately held convictions.</w:t>
      </w:r>
    </w:p>
    <w:p w14:paraId="366A7383" w14:textId="24C56D9A" w:rsidR="00D260F7" w:rsidRDefault="00653134" w:rsidP="00504E53">
      <w:pPr>
        <w:jc w:val="both"/>
        <w:rPr>
          <w:rFonts w:asciiTheme="majorHAnsi" w:hAnsiTheme="majorHAnsi" w:cstheme="majorHAnsi"/>
        </w:rPr>
      </w:pPr>
      <w:r>
        <w:rPr>
          <w:rFonts w:asciiTheme="majorHAnsi" w:hAnsiTheme="majorHAnsi" w:cstheme="majorHAnsi"/>
        </w:rPr>
        <w:t xml:space="preserve">Any imprisonment for conscientious objection to military service constitutes arbitrary detention (an Article 9 CPR violation), as such detention punishes </w:t>
      </w:r>
      <w:r w:rsidR="00D260F7">
        <w:rPr>
          <w:rFonts w:asciiTheme="majorHAnsi" w:hAnsiTheme="majorHAnsi" w:cstheme="majorHAnsi"/>
        </w:rPr>
        <w:t>individuals</w:t>
      </w:r>
      <w:r>
        <w:rPr>
          <w:rFonts w:asciiTheme="majorHAnsi" w:hAnsiTheme="majorHAnsi" w:cstheme="majorHAnsi"/>
        </w:rPr>
        <w:t xml:space="preserve"> for attempting to exercise their right to freedom of religion or belief</w:t>
      </w:r>
      <w:r w:rsidR="00D260F7">
        <w:rPr>
          <w:rFonts w:asciiTheme="majorHAnsi" w:hAnsiTheme="majorHAnsi" w:cstheme="majorHAnsi"/>
        </w:rPr>
        <w:t>, an Article 18 violation.</w:t>
      </w:r>
      <w:r>
        <w:rPr>
          <w:rFonts w:asciiTheme="majorHAnsi" w:hAnsiTheme="majorHAnsi" w:cstheme="majorHAnsi"/>
        </w:rPr>
        <w:t xml:space="preserve"> </w:t>
      </w:r>
    </w:p>
    <w:p w14:paraId="0D77C487" w14:textId="26BA81BF" w:rsidR="00654C4B" w:rsidRDefault="00D260F7" w:rsidP="00654C4B">
      <w:pPr>
        <w:autoSpaceDE w:val="0"/>
        <w:jc w:val="both"/>
        <w:rPr>
          <w:rFonts w:asciiTheme="majorHAnsi" w:hAnsiTheme="majorHAnsi" w:cstheme="majorHAnsi"/>
        </w:rPr>
      </w:pPr>
      <w:r>
        <w:rPr>
          <w:rFonts w:asciiTheme="majorHAnsi" w:hAnsiTheme="majorHAnsi" w:cstheme="majorHAnsi"/>
        </w:rPr>
        <w:t xml:space="preserve">The Working Group on Arbitrary Detention </w:t>
      </w:r>
      <w:r w:rsidR="00F8538F">
        <w:rPr>
          <w:rFonts w:asciiTheme="majorHAnsi" w:hAnsiTheme="majorHAnsi" w:cstheme="majorHAnsi"/>
        </w:rPr>
        <w:t xml:space="preserve">has stated </w:t>
      </w:r>
      <w:r>
        <w:rPr>
          <w:rFonts w:asciiTheme="majorHAnsi" w:hAnsiTheme="majorHAnsi" w:cstheme="majorHAnsi"/>
        </w:rPr>
        <w:t xml:space="preserve">that the detention of a conscientious objector is a violation </w:t>
      </w:r>
      <w:r w:rsidRPr="004601EC">
        <w:rPr>
          <w:rFonts w:asciiTheme="majorHAnsi" w:hAnsiTheme="majorHAnsi" w:cstheme="majorHAnsi"/>
          <w:i/>
          <w:iCs/>
        </w:rPr>
        <w:t>per se</w:t>
      </w:r>
      <w:r>
        <w:rPr>
          <w:rFonts w:asciiTheme="majorHAnsi" w:hAnsiTheme="majorHAnsi" w:cstheme="majorHAnsi"/>
        </w:rPr>
        <w:t xml:space="preserve"> of Article 18(1) of CPR</w:t>
      </w:r>
      <w:r w:rsidR="0090308B">
        <w:rPr>
          <w:rFonts w:asciiTheme="majorHAnsi" w:hAnsiTheme="majorHAnsi" w:cstheme="majorHAnsi"/>
        </w:rPr>
        <w:t>, noting that ‘</w:t>
      </w:r>
      <w:r w:rsidR="0090308B" w:rsidRPr="00504E53">
        <w:rPr>
          <w:rFonts w:asciiTheme="majorHAnsi" w:eastAsia="Times New Roman" w:hAnsiTheme="majorHAnsi" w:cstheme="majorHAnsi"/>
          <w:lang w:eastAsia="en-GB"/>
        </w:rPr>
        <w:t>the right to conscientious objection to military service is part of the absolutely protected right to hold a belief under article 18 (1) of the Covenant, which cannot be restricted by States</w:t>
      </w:r>
      <w:r w:rsidR="0090308B">
        <w:rPr>
          <w:rFonts w:asciiTheme="majorHAnsi" w:eastAsia="Times New Roman" w:hAnsiTheme="majorHAnsi" w:cstheme="majorHAnsi"/>
          <w:lang w:eastAsia="en-GB"/>
        </w:rPr>
        <w:t>’</w:t>
      </w:r>
      <w:r w:rsidRPr="00504E53">
        <w:rPr>
          <w:rFonts w:asciiTheme="majorHAnsi" w:hAnsiTheme="majorHAnsi" w:cstheme="majorHAnsi"/>
          <w:sz w:val="21"/>
          <w:szCs w:val="21"/>
        </w:rPr>
        <w:t>.</w:t>
      </w:r>
      <w:r w:rsidRPr="00504E53">
        <w:rPr>
          <w:rStyle w:val="FootnoteReference"/>
          <w:rFonts w:asciiTheme="majorHAnsi" w:hAnsiTheme="majorHAnsi" w:cstheme="majorHAnsi"/>
          <w:sz w:val="21"/>
          <w:szCs w:val="21"/>
        </w:rPr>
        <w:t xml:space="preserve"> </w:t>
      </w:r>
      <w:r>
        <w:rPr>
          <w:rStyle w:val="FootnoteReference"/>
          <w:rFonts w:asciiTheme="majorHAnsi" w:hAnsiTheme="majorHAnsi" w:cstheme="majorHAnsi"/>
        </w:rPr>
        <w:footnoteReference w:id="14"/>
      </w:r>
      <w:r>
        <w:rPr>
          <w:rFonts w:asciiTheme="majorHAnsi" w:hAnsiTheme="majorHAnsi" w:cstheme="majorHAnsi"/>
        </w:rPr>
        <w:t xml:space="preserve"> The Human Rights Committee</w:t>
      </w:r>
      <w:r w:rsidR="00504E53">
        <w:rPr>
          <w:rFonts w:asciiTheme="majorHAnsi" w:hAnsiTheme="majorHAnsi" w:cstheme="majorHAnsi"/>
        </w:rPr>
        <w:t>, too,</w:t>
      </w:r>
      <w:r>
        <w:rPr>
          <w:rFonts w:asciiTheme="majorHAnsi" w:hAnsiTheme="majorHAnsi" w:cstheme="majorHAnsi"/>
        </w:rPr>
        <w:t xml:space="preserve"> </w:t>
      </w:r>
      <w:r w:rsidR="0090308B">
        <w:rPr>
          <w:rFonts w:asciiTheme="majorHAnsi" w:hAnsiTheme="majorHAnsi" w:cstheme="majorHAnsi"/>
        </w:rPr>
        <w:t>has found that imprisonment of conscientious objectors, not only repeat imprisonment, constitutes an Article 9 violation (arbitrary detention)</w:t>
      </w:r>
      <w:r w:rsidR="00654C4B">
        <w:rPr>
          <w:rFonts w:asciiTheme="majorHAnsi" w:hAnsiTheme="majorHAnsi" w:cstheme="majorHAnsi"/>
        </w:rPr>
        <w:t>, noting in 2015 that</w:t>
      </w:r>
      <w:r w:rsidR="00F8538F">
        <w:rPr>
          <w:rFonts w:asciiTheme="majorHAnsi" w:hAnsiTheme="majorHAnsi" w:cstheme="majorHAnsi"/>
        </w:rPr>
        <w:t>:</w:t>
      </w:r>
      <w:r w:rsidR="00654C4B">
        <w:rPr>
          <w:rFonts w:asciiTheme="majorHAnsi" w:hAnsiTheme="majorHAnsi" w:cstheme="majorHAnsi"/>
        </w:rPr>
        <w:t xml:space="preserve"> </w:t>
      </w:r>
    </w:p>
    <w:p w14:paraId="5D627958" w14:textId="29C6E654" w:rsidR="00654C4B" w:rsidRPr="00654C4B" w:rsidRDefault="00654C4B" w:rsidP="00654C4B">
      <w:pPr>
        <w:ind w:left="567" w:right="567"/>
        <w:rPr>
          <w:rFonts w:asciiTheme="majorHAnsi" w:hAnsiTheme="majorHAnsi" w:cstheme="majorHAnsi"/>
        </w:rPr>
      </w:pPr>
      <w:r w:rsidRPr="00654C4B">
        <w:rPr>
          <w:rFonts w:asciiTheme="majorHAnsi" w:hAnsiTheme="majorHAnsi" w:cstheme="majorHAnsi"/>
        </w:rPr>
        <w:t>Just as detention as punishment for the legitimate exercise of the right to freedom of expression, as guaranteed by article 19 of the Covenant is arbitrary, so is detention as punishment for legitimate exercise of freedom of religion and conscience, as guaranteed by article 18 of the Covenant</w:t>
      </w:r>
      <w:r>
        <w:rPr>
          <w:rFonts w:asciiTheme="majorHAnsi" w:hAnsiTheme="majorHAnsi" w:cstheme="majorHAnsi"/>
        </w:rPr>
        <w:t>.</w:t>
      </w:r>
      <w:r>
        <w:rPr>
          <w:rStyle w:val="FootnoteReference"/>
          <w:rFonts w:asciiTheme="majorHAnsi" w:hAnsiTheme="majorHAnsi" w:cstheme="majorHAnsi"/>
        </w:rPr>
        <w:footnoteReference w:id="15"/>
      </w:r>
    </w:p>
    <w:p w14:paraId="4C72A4CF" w14:textId="38F725F0" w:rsidR="00F07E3E" w:rsidRDefault="00DC0D47" w:rsidP="00F07E3E">
      <w:pPr>
        <w:jc w:val="both"/>
        <w:rPr>
          <w:rFonts w:asciiTheme="majorHAnsi" w:hAnsiTheme="majorHAnsi" w:cstheme="majorHAnsi"/>
        </w:rPr>
      </w:pPr>
      <w:r>
        <w:rPr>
          <w:rFonts w:asciiTheme="majorHAnsi" w:hAnsiTheme="majorHAnsi" w:cstheme="majorHAnsi"/>
        </w:rPr>
        <w:t xml:space="preserve">Unrecognised conscientious objectors must not be </w:t>
      </w:r>
      <w:r w:rsidR="00CB3CB8">
        <w:rPr>
          <w:rFonts w:asciiTheme="majorHAnsi" w:hAnsiTheme="majorHAnsi" w:cstheme="majorHAnsi"/>
        </w:rPr>
        <w:t>imprisoned</w:t>
      </w:r>
      <w:r>
        <w:rPr>
          <w:rFonts w:asciiTheme="majorHAnsi" w:hAnsiTheme="majorHAnsi" w:cstheme="majorHAnsi"/>
        </w:rPr>
        <w:t xml:space="preserve"> </w:t>
      </w:r>
      <w:r w:rsidR="00127483">
        <w:rPr>
          <w:rFonts w:asciiTheme="majorHAnsi" w:hAnsiTheme="majorHAnsi" w:cstheme="majorHAnsi"/>
        </w:rPr>
        <w:t>for their ongoing refusal to undertake, or continue, military service</w:t>
      </w:r>
      <w:r w:rsidR="00F07E3E">
        <w:rPr>
          <w:rFonts w:asciiTheme="majorHAnsi" w:hAnsiTheme="majorHAnsi" w:cstheme="majorHAnsi"/>
        </w:rPr>
        <w:t>, even if they are called up again</w:t>
      </w:r>
      <w:r w:rsidR="00127483">
        <w:rPr>
          <w:rFonts w:asciiTheme="majorHAnsi" w:hAnsiTheme="majorHAnsi" w:cstheme="majorHAnsi"/>
        </w:rPr>
        <w:t>.</w:t>
      </w:r>
      <w:r>
        <w:rPr>
          <w:rFonts w:asciiTheme="majorHAnsi" w:hAnsiTheme="majorHAnsi" w:cstheme="majorHAnsi"/>
        </w:rPr>
        <w:t xml:space="preserve"> </w:t>
      </w:r>
      <w:r w:rsidR="00127483">
        <w:rPr>
          <w:rFonts w:asciiTheme="majorHAnsi" w:hAnsiTheme="majorHAnsi" w:cstheme="majorHAnsi"/>
        </w:rPr>
        <w:t>D</w:t>
      </w:r>
      <w:r>
        <w:rPr>
          <w:rFonts w:asciiTheme="majorHAnsi" w:hAnsiTheme="majorHAnsi" w:cstheme="majorHAnsi"/>
        </w:rPr>
        <w:t xml:space="preserve">oing so constitutes a violation of their right to access to justice and effective </w:t>
      </w:r>
      <w:r w:rsidR="00127483">
        <w:rPr>
          <w:rFonts w:asciiTheme="majorHAnsi" w:hAnsiTheme="majorHAnsi" w:cstheme="majorHAnsi"/>
        </w:rPr>
        <w:t>remedy and</w:t>
      </w:r>
      <w:r>
        <w:rPr>
          <w:rFonts w:asciiTheme="majorHAnsi" w:hAnsiTheme="majorHAnsi" w:cstheme="majorHAnsi"/>
        </w:rPr>
        <w:t xml:space="preserve"> impedes them from accessing the vision encapsulated for all in SDG 16.</w:t>
      </w:r>
      <w:r w:rsidR="00F07E3E">
        <w:rPr>
          <w:rStyle w:val="FootnoteReference"/>
          <w:rFonts w:asciiTheme="majorHAnsi" w:hAnsiTheme="majorHAnsi" w:cstheme="majorHAnsi"/>
        </w:rPr>
        <w:footnoteReference w:id="16"/>
      </w:r>
      <w:r w:rsidR="00CB3CB8" w:rsidRPr="00CB3CB8">
        <w:rPr>
          <w:rFonts w:asciiTheme="majorHAnsi" w:hAnsiTheme="majorHAnsi" w:cstheme="majorHAnsi"/>
        </w:rPr>
        <w:t xml:space="preserve"> </w:t>
      </w:r>
      <w:r w:rsidR="00CB3CB8">
        <w:rPr>
          <w:rFonts w:asciiTheme="majorHAnsi" w:hAnsiTheme="majorHAnsi" w:cstheme="majorHAnsi"/>
        </w:rPr>
        <w:t>The UN Working Group on Arbitrary Detention has found that repeated imprisonment of conscientious objectors because of their continued refusal to undertake military service constitutes arbitrary detention.</w:t>
      </w:r>
      <w:r w:rsidR="00654C4B">
        <w:rPr>
          <w:rStyle w:val="FootnoteReference"/>
          <w:rFonts w:asciiTheme="majorHAnsi" w:hAnsiTheme="majorHAnsi" w:cstheme="majorHAnsi"/>
        </w:rPr>
        <w:footnoteReference w:id="17"/>
      </w:r>
      <w:r w:rsidR="00CB3CB8">
        <w:rPr>
          <w:rFonts w:asciiTheme="majorHAnsi" w:hAnsiTheme="majorHAnsi" w:cstheme="majorHAnsi"/>
        </w:rPr>
        <w:t xml:space="preserve">  </w:t>
      </w:r>
    </w:p>
    <w:p w14:paraId="5928A1F5" w14:textId="7C940F87" w:rsidR="00310DBE" w:rsidRPr="00310DBE" w:rsidRDefault="00310DBE" w:rsidP="00310DBE">
      <w:pPr>
        <w:rPr>
          <w:rFonts w:asciiTheme="majorHAnsi" w:hAnsiTheme="majorHAnsi" w:cstheme="majorHAnsi"/>
          <w:b/>
          <w:bCs/>
          <w:i/>
          <w:iCs/>
        </w:rPr>
      </w:pPr>
      <w:r w:rsidRPr="00310DBE">
        <w:rPr>
          <w:rFonts w:asciiTheme="majorHAnsi" w:hAnsiTheme="majorHAnsi" w:cstheme="majorHAnsi"/>
          <w:b/>
          <w:bCs/>
          <w:i/>
          <w:iCs/>
        </w:rPr>
        <w:t>Deprivation of other rights (civil, political, economic, social and cultural)</w:t>
      </w:r>
    </w:p>
    <w:p w14:paraId="0C49694F" w14:textId="6D0D2A6E" w:rsidR="008F2CAB" w:rsidRDefault="008F2CAB" w:rsidP="008D64A6">
      <w:pPr>
        <w:jc w:val="both"/>
        <w:rPr>
          <w:rFonts w:asciiTheme="majorHAnsi" w:hAnsiTheme="majorHAnsi" w:cstheme="majorHAnsi"/>
        </w:rPr>
      </w:pPr>
      <w:r>
        <w:rPr>
          <w:rFonts w:asciiTheme="majorHAnsi" w:hAnsiTheme="majorHAnsi" w:cstheme="majorHAnsi"/>
        </w:rPr>
        <w:t xml:space="preserve">Conscientious Objectors must not be subjected to discrimination in relation to </w:t>
      </w:r>
      <w:r w:rsidR="00F8538F">
        <w:rPr>
          <w:rFonts w:asciiTheme="majorHAnsi" w:hAnsiTheme="majorHAnsi" w:cstheme="majorHAnsi"/>
        </w:rPr>
        <w:t xml:space="preserve">their </w:t>
      </w:r>
      <w:r>
        <w:rPr>
          <w:rFonts w:asciiTheme="majorHAnsi" w:hAnsiTheme="majorHAnsi" w:cstheme="majorHAnsi"/>
        </w:rPr>
        <w:t xml:space="preserve">economic, social, cultural, civil or political rights because they have not </w:t>
      </w:r>
      <w:r w:rsidR="000B5665">
        <w:rPr>
          <w:rFonts w:asciiTheme="majorHAnsi" w:hAnsiTheme="majorHAnsi" w:cstheme="majorHAnsi"/>
        </w:rPr>
        <w:t>undertaken</w:t>
      </w:r>
      <w:r>
        <w:rPr>
          <w:rFonts w:asciiTheme="majorHAnsi" w:hAnsiTheme="majorHAnsi" w:cstheme="majorHAnsi"/>
        </w:rPr>
        <w:t xml:space="preserve"> military service. </w:t>
      </w:r>
    </w:p>
    <w:p w14:paraId="7179014E" w14:textId="09024173" w:rsidR="003A1B8E" w:rsidRDefault="008F2CAB" w:rsidP="008D64A6">
      <w:pPr>
        <w:jc w:val="both"/>
        <w:rPr>
          <w:rFonts w:asciiTheme="majorHAnsi" w:hAnsiTheme="majorHAnsi" w:cstheme="majorHAnsi"/>
        </w:rPr>
      </w:pPr>
      <w:r>
        <w:rPr>
          <w:rFonts w:asciiTheme="majorHAnsi" w:hAnsiTheme="majorHAnsi" w:cstheme="majorHAnsi"/>
        </w:rPr>
        <w:t>In countries without provision for conscientious objection, many of those who refuse to serve suffer a severe deprivation of other rights</w:t>
      </w:r>
      <w:r w:rsidR="003A1B8E">
        <w:rPr>
          <w:rFonts w:asciiTheme="majorHAnsi" w:hAnsiTheme="majorHAnsi" w:cstheme="majorHAnsi"/>
        </w:rPr>
        <w:t xml:space="preserve"> which in some circumstances constitutes degrading treatment</w:t>
      </w:r>
      <w:r>
        <w:rPr>
          <w:rFonts w:asciiTheme="majorHAnsi" w:hAnsiTheme="majorHAnsi" w:cstheme="majorHAnsi"/>
        </w:rPr>
        <w:t xml:space="preserve">. </w:t>
      </w:r>
      <w:r w:rsidR="004601EC">
        <w:rPr>
          <w:rFonts w:asciiTheme="majorHAnsi" w:hAnsiTheme="majorHAnsi" w:cstheme="majorHAnsi"/>
        </w:rPr>
        <w:t xml:space="preserve">Such deprivation is a grave example of the discrimination against individuals or communities because of their religion or belief: it perpetuates inequalities, entrenches injustice, and imperils the ability of whole societies to achieve SDG 16. </w:t>
      </w:r>
    </w:p>
    <w:p w14:paraId="4CAB3275" w14:textId="72FD02C6" w:rsidR="008F2CAB" w:rsidRDefault="00F8538F" w:rsidP="008D64A6">
      <w:pPr>
        <w:jc w:val="both"/>
        <w:rPr>
          <w:rFonts w:asciiTheme="majorHAnsi" w:hAnsiTheme="majorHAnsi" w:cstheme="majorHAnsi"/>
        </w:rPr>
      </w:pPr>
      <w:r>
        <w:rPr>
          <w:rFonts w:asciiTheme="majorHAnsi" w:hAnsiTheme="majorHAnsi" w:cstheme="majorHAnsi"/>
        </w:rPr>
        <w:t xml:space="preserve">The European Court of Human Rights case has described the impact of discrimination against unrecognised conscientious objectors as </w:t>
      </w:r>
      <w:r w:rsidR="008F2CAB">
        <w:rPr>
          <w:rFonts w:asciiTheme="majorHAnsi" w:hAnsiTheme="majorHAnsi" w:cstheme="majorHAnsi"/>
        </w:rPr>
        <w:t>‘civil death’</w:t>
      </w:r>
      <w:r>
        <w:rPr>
          <w:rFonts w:asciiTheme="majorHAnsi" w:hAnsiTheme="majorHAnsi" w:cstheme="majorHAnsi"/>
        </w:rPr>
        <w:t xml:space="preserve">. This consists of </w:t>
      </w:r>
      <w:r w:rsidR="008D64A6">
        <w:rPr>
          <w:rFonts w:asciiTheme="majorHAnsi" w:hAnsiTheme="majorHAnsi" w:cstheme="majorHAnsi"/>
        </w:rPr>
        <w:t xml:space="preserve">a repeated cycle of prosecution </w:t>
      </w:r>
      <w:r w:rsidR="008D64A6">
        <w:rPr>
          <w:rFonts w:asciiTheme="majorHAnsi" w:hAnsiTheme="majorHAnsi" w:cstheme="majorHAnsi"/>
        </w:rPr>
        <w:lastRenderedPageBreak/>
        <w:t xml:space="preserve">and imprisonment, and the systematic generation of feelings of fear and instability which are incompatible with a </w:t>
      </w:r>
      <w:r w:rsidR="00D156FF">
        <w:rPr>
          <w:rFonts w:asciiTheme="majorHAnsi" w:hAnsiTheme="majorHAnsi" w:cstheme="majorHAnsi"/>
        </w:rPr>
        <w:t xml:space="preserve">free and </w:t>
      </w:r>
      <w:r w:rsidR="008D64A6">
        <w:rPr>
          <w:rFonts w:asciiTheme="majorHAnsi" w:hAnsiTheme="majorHAnsi" w:cstheme="majorHAnsi"/>
        </w:rPr>
        <w:t>democratic society</w:t>
      </w:r>
      <w:r w:rsidR="007A2312">
        <w:rPr>
          <w:rFonts w:asciiTheme="majorHAnsi" w:hAnsiTheme="majorHAnsi" w:cstheme="majorHAnsi"/>
        </w:rPr>
        <w:t>, and entirely counter to the ambition of SDG 16</w:t>
      </w:r>
      <w:r w:rsidR="008D64A6">
        <w:rPr>
          <w:rFonts w:asciiTheme="majorHAnsi" w:hAnsiTheme="majorHAnsi" w:cstheme="majorHAnsi"/>
        </w:rPr>
        <w:t>.</w:t>
      </w:r>
      <w:r w:rsidR="008D64A6">
        <w:rPr>
          <w:rStyle w:val="FootnoteReference"/>
          <w:rFonts w:asciiTheme="majorHAnsi" w:hAnsiTheme="majorHAnsi" w:cstheme="majorHAnsi"/>
        </w:rPr>
        <w:footnoteReference w:id="18"/>
      </w:r>
    </w:p>
    <w:p w14:paraId="782C33CC" w14:textId="77777777" w:rsidR="00310DBE" w:rsidRPr="00310DBE" w:rsidRDefault="00310DBE" w:rsidP="00310DBE">
      <w:pPr>
        <w:rPr>
          <w:rFonts w:asciiTheme="majorHAnsi" w:hAnsiTheme="majorHAnsi" w:cstheme="majorHAnsi"/>
        </w:rPr>
      </w:pPr>
      <w:r w:rsidRPr="00310DBE">
        <w:rPr>
          <w:rFonts w:asciiTheme="majorHAnsi" w:hAnsiTheme="majorHAnsi" w:cstheme="majorHAnsi"/>
          <w:b/>
          <w:bCs/>
          <w:i/>
          <w:iCs/>
        </w:rPr>
        <w:t>Displacement and forced migration</w:t>
      </w:r>
    </w:p>
    <w:p w14:paraId="0020FD99" w14:textId="4F08A30F" w:rsidR="00545C2A" w:rsidRDefault="004E2F3D" w:rsidP="008D64A6">
      <w:pPr>
        <w:jc w:val="both"/>
        <w:rPr>
          <w:rFonts w:asciiTheme="majorHAnsi" w:hAnsiTheme="majorHAnsi" w:cstheme="majorHAnsi"/>
        </w:rPr>
      </w:pPr>
      <w:r>
        <w:rPr>
          <w:rFonts w:asciiTheme="majorHAnsi" w:hAnsiTheme="majorHAnsi" w:cstheme="majorHAnsi"/>
        </w:rPr>
        <w:t xml:space="preserve">Conscientious </w:t>
      </w:r>
      <w:r w:rsidR="00F8538F">
        <w:rPr>
          <w:rFonts w:asciiTheme="majorHAnsi" w:hAnsiTheme="majorHAnsi" w:cstheme="majorHAnsi"/>
        </w:rPr>
        <w:t>o</w:t>
      </w:r>
      <w:r>
        <w:rPr>
          <w:rFonts w:asciiTheme="majorHAnsi" w:hAnsiTheme="majorHAnsi" w:cstheme="majorHAnsi"/>
        </w:rPr>
        <w:t>bjectors in States which do not recognise the right to conscientious objection</w:t>
      </w:r>
      <w:r w:rsidR="007628B1">
        <w:rPr>
          <w:rFonts w:asciiTheme="majorHAnsi" w:hAnsiTheme="majorHAnsi" w:cstheme="majorHAnsi"/>
        </w:rPr>
        <w:t>, or in which application procedures for conscientious objectors are inadequate,</w:t>
      </w:r>
      <w:r w:rsidR="00545C2A">
        <w:rPr>
          <w:rFonts w:asciiTheme="majorHAnsi" w:hAnsiTheme="majorHAnsi" w:cstheme="majorHAnsi"/>
        </w:rPr>
        <w:t xml:space="preserve"> </w:t>
      </w:r>
      <w:r w:rsidR="007628B1">
        <w:rPr>
          <w:rFonts w:asciiTheme="majorHAnsi" w:hAnsiTheme="majorHAnsi" w:cstheme="majorHAnsi"/>
        </w:rPr>
        <w:t xml:space="preserve">often find themselves persecuted and in danger. As a result, conscientious objectors are forced to leave their countries of origin and seek protection elsewhere. For this reason, inadequate protection of the right to conscientious objection </w:t>
      </w:r>
      <w:r w:rsidR="0086287F">
        <w:rPr>
          <w:rFonts w:asciiTheme="majorHAnsi" w:hAnsiTheme="majorHAnsi" w:cstheme="majorHAnsi"/>
        </w:rPr>
        <w:t>and the discrimination it both constitutes and perpetuates is an important driver for forced migration.</w:t>
      </w:r>
      <w:r w:rsidR="007628B1">
        <w:rPr>
          <w:rFonts w:asciiTheme="majorHAnsi" w:hAnsiTheme="majorHAnsi" w:cstheme="majorHAnsi"/>
        </w:rPr>
        <w:t xml:space="preserve"> </w:t>
      </w:r>
      <w:r>
        <w:rPr>
          <w:rFonts w:asciiTheme="majorHAnsi" w:hAnsiTheme="majorHAnsi" w:cstheme="majorHAnsi"/>
        </w:rPr>
        <w:t xml:space="preserve"> </w:t>
      </w:r>
    </w:p>
    <w:p w14:paraId="352D507F" w14:textId="6A15D5EC" w:rsidR="00E0170E" w:rsidRDefault="00574858" w:rsidP="008D64A6">
      <w:pPr>
        <w:jc w:val="both"/>
        <w:rPr>
          <w:rFonts w:asciiTheme="majorHAnsi" w:hAnsiTheme="majorHAnsi" w:cstheme="majorHAnsi"/>
        </w:rPr>
      </w:pPr>
      <w:r>
        <w:rPr>
          <w:rFonts w:asciiTheme="majorHAnsi" w:hAnsiTheme="majorHAnsi" w:cstheme="majorHAnsi"/>
        </w:rPr>
        <w:t xml:space="preserve">Persecution due to failures to recognise or implement the right to </w:t>
      </w:r>
      <w:r w:rsidR="000A06D2">
        <w:rPr>
          <w:rFonts w:asciiTheme="majorHAnsi" w:hAnsiTheme="majorHAnsi" w:cstheme="majorHAnsi"/>
        </w:rPr>
        <w:t>conscientious objection can</w:t>
      </w:r>
      <w:r>
        <w:rPr>
          <w:rFonts w:asciiTheme="majorHAnsi" w:hAnsiTheme="majorHAnsi" w:cstheme="majorHAnsi"/>
        </w:rPr>
        <w:t xml:space="preserve"> </w:t>
      </w:r>
      <w:r w:rsidR="000E5B58">
        <w:rPr>
          <w:rFonts w:asciiTheme="majorHAnsi" w:hAnsiTheme="majorHAnsi" w:cstheme="majorHAnsi"/>
        </w:rPr>
        <w:t>constitute a basis for refugee protection.</w:t>
      </w:r>
      <w:r w:rsidR="001558BC">
        <w:rPr>
          <w:rStyle w:val="FootnoteReference"/>
          <w:rFonts w:asciiTheme="majorHAnsi" w:hAnsiTheme="majorHAnsi" w:cstheme="majorHAnsi"/>
        </w:rPr>
        <w:footnoteReference w:id="19"/>
      </w:r>
    </w:p>
    <w:p w14:paraId="209C13AB" w14:textId="4D5E5872" w:rsidR="00310DBE" w:rsidRDefault="00310DBE" w:rsidP="00310DBE">
      <w:pPr>
        <w:rPr>
          <w:rFonts w:asciiTheme="majorHAnsi" w:hAnsiTheme="majorHAnsi" w:cstheme="majorHAnsi"/>
          <w:b/>
          <w:bCs/>
        </w:rPr>
      </w:pPr>
      <w:r w:rsidRPr="00310DBE">
        <w:rPr>
          <w:rFonts w:asciiTheme="majorHAnsi" w:hAnsiTheme="majorHAnsi" w:cstheme="majorHAnsi"/>
          <w:b/>
          <w:bCs/>
        </w:rPr>
        <w:t xml:space="preserve">Good practices </w:t>
      </w:r>
    </w:p>
    <w:p w14:paraId="3F50BE1F" w14:textId="3B90B437" w:rsidR="00532EDA" w:rsidRDefault="00532EDA" w:rsidP="000A06D2">
      <w:pPr>
        <w:jc w:val="both"/>
        <w:rPr>
          <w:rFonts w:asciiTheme="majorHAnsi" w:hAnsiTheme="majorHAnsi" w:cstheme="majorHAnsi"/>
        </w:rPr>
      </w:pPr>
      <w:r>
        <w:rPr>
          <w:rFonts w:asciiTheme="majorHAnsi" w:hAnsiTheme="majorHAnsi" w:cstheme="majorHAnsi"/>
        </w:rPr>
        <w:t>As discussed abo</w:t>
      </w:r>
      <w:r w:rsidR="0086287F">
        <w:rPr>
          <w:rFonts w:asciiTheme="majorHAnsi" w:hAnsiTheme="majorHAnsi" w:cstheme="majorHAnsi"/>
        </w:rPr>
        <w:t>ve</w:t>
      </w:r>
      <w:r>
        <w:rPr>
          <w:rFonts w:asciiTheme="majorHAnsi" w:hAnsiTheme="majorHAnsi" w:cstheme="majorHAnsi"/>
        </w:rPr>
        <w:t xml:space="preserve">, the best practice in terms of the granting of conscientious objector status in a way which ensures the protection of the right to freedom of religion or belief, and non-discrimination, is the welcoming of claims as valid without inquiry. </w:t>
      </w:r>
      <w:r w:rsidR="0042196A">
        <w:rPr>
          <w:rFonts w:asciiTheme="majorHAnsi" w:hAnsiTheme="majorHAnsi" w:cstheme="majorHAnsi"/>
        </w:rPr>
        <w:t xml:space="preserve">Systems which accept claims as valid without inquiry prevent the possibility of discriminatory attitudes or practices entering </w:t>
      </w:r>
      <w:r w:rsidR="000A2ECA">
        <w:rPr>
          <w:rFonts w:asciiTheme="majorHAnsi" w:hAnsiTheme="majorHAnsi" w:cstheme="majorHAnsi"/>
        </w:rPr>
        <w:t>systems and</w:t>
      </w:r>
      <w:r w:rsidR="0042196A">
        <w:rPr>
          <w:rFonts w:asciiTheme="majorHAnsi" w:hAnsiTheme="majorHAnsi" w:cstheme="majorHAnsi"/>
        </w:rPr>
        <w:t xml:space="preserve"> perpetuating societal divisions.</w:t>
      </w:r>
      <w:r w:rsidR="00BB0BCD">
        <w:rPr>
          <w:rFonts w:asciiTheme="majorHAnsi" w:hAnsiTheme="majorHAnsi" w:cstheme="majorHAnsi"/>
        </w:rPr>
        <w:t xml:space="preserve"> </w:t>
      </w:r>
      <w:r>
        <w:rPr>
          <w:rFonts w:asciiTheme="majorHAnsi" w:hAnsiTheme="majorHAnsi" w:cstheme="majorHAnsi"/>
        </w:rPr>
        <w:t>Where application procedures exist</w:t>
      </w:r>
      <w:r w:rsidR="000A06D2">
        <w:rPr>
          <w:rFonts w:asciiTheme="majorHAnsi" w:hAnsiTheme="majorHAnsi" w:cstheme="majorHAnsi"/>
        </w:rPr>
        <w:t xml:space="preserve">, in order to constitute ‘responsive, inclusive and representative decision-making’, </w:t>
      </w:r>
      <w:r w:rsidR="0042196A">
        <w:rPr>
          <w:rFonts w:asciiTheme="majorHAnsi" w:hAnsiTheme="majorHAnsi" w:cstheme="majorHAnsi"/>
        </w:rPr>
        <w:t>such procedures must</w:t>
      </w:r>
      <w:r w:rsidR="000A06D2">
        <w:rPr>
          <w:rFonts w:asciiTheme="majorHAnsi" w:hAnsiTheme="majorHAnsi" w:cstheme="majorHAnsi"/>
        </w:rPr>
        <w:t xml:space="preserve"> meet the checklist laid out in the 2019 OHCHR Report on Application Procedures</w:t>
      </w:r>
      <w:r w:rsidR="0042196A">
        <w:rPr>
          <w:rFonts w:asciiTheme="majorHAnsi" w:hAnsiTheme="majorHAnsi" w:cstheme="majorHAnsi"/>
        </w:rPr>
        <w:t xml:space="preserve"> in order to constitute best practice</w:t>
      </w:r>
      <w:r w:rsidR="000A06D2">
        <w:rPr>
          <w:rFonts w:asciiTheme="majorHAnsi" w:hAnsiTheme="majorHAnsi" w:cstheme="majorHAnsi"/>
        </w:rPr>
        <w:t>.</w:t>
      </w:r>
      <w:r w:rsidR="0042196A">
        <w:rPr>
          <w:rStyle w:val="FootnoteReference"/>
          <w:rFonts w:asciiTheme="majorHAnsi" w:hAnsiTheme="majorHAnsi" w:cstheme="majorHAnsi"/>
        </w:rPr>
        <w:footnoteReference w:id="20"/>
      </w:r>
      <w:r w:rsidR="000A06D2">
        <w:rPr>
          <w:rFonts w:asciiTheme="majorHAnsi" w:hAnsiTheme="majorHAnsi" w:cstheme="majorHAnsi"/>
        </w:rPr>
        <w:t xml:space="preserve"> </w:t>
      </w:r>
      <w:r w:rsidR="00BB0BCD">
        <w:rPr>
          <w:rFonts w:asciiTheme="majorHAnsi" w:hAnsiTheme="majorHAnsi" w:cstheme="majorHAnsi"/>
        </w:rPr>
        <w:t>To this end, application procedures must be effective, transparent and non-discriminatory.</w:t>
      </w:r>
    </w:p>
    <w:p w14:paraId="0A395C60" w14:textId="55FC75C4" w:rsidR="00BF1431" w:rsidRDefault="00BF1431" w:rsidP="000A06D2">
      <w:pPr>
        <w:jc w:val="both"/>
        <w:rPr>
          <w:rFonts w:asciiTheme="majorHAnsi" w:hAnsiTheme="majorHAnsi" w:cstheme="majorHAnsi"/>
        </w:rPr>
      </w:pPr>
      <w:r>
        <w:rPr>
          <w:rFonts w:asciiTheme="majorHAnsi" w:hAnsiTheme="majorHAnsi" w:cstheme="majorHAnsi"/>
        </w:rPr>
        <w:t>In order to demonstrate non-discriminatory practice, States must not differentiate between different religious of belief backgrounds: Finland model good practice in this regard, enabling applicants to give ethical and/or religion reasons for their conscientious objection in their application.</w:t>
      </w:r>
    </w:p>
    <w:p w14:paraId="3B5B9C0E" w14:textId="06CF97C1" w:rsidR="00BF1431" w:rsidRDefault="00BF1431" w:rsidP="000A06D2">
      <w:pPr>
        <w:jc w:val="both"/>
        <w:rPr>
          <w:rFonts w:asciiTheme="majorHAnsi" w:hAnsiTheme="majorHAnsi" w:cstheme="majorHAnsi"/>
        </w:rPr>
      </w:pPr>
      <w:r>
        <w:rPr>
          <w:rFonts w:asciiTheme="majorHAnsi" w:hAnsiTheme="majorHAnsi" w:cstheme="majorHAnsi"/>
        </w:rPr>
        <w:t>States which enable application for conscientious objector status before, during or after service model good practice: these include Switzerland.</w:t>
      </w:r>
    </w:p>
    <w:p w14:paraId="216E1887" w14:textId="2C6B40ED" w:rsidR="00BB0BCD" w:rsidRDefault="00BB0BCD" w:rsidP="00BB0BCD">
      <w:pPr>
        <w:jc w:val="both"/>
        <w:rPr>
          <w:rFonts w:asciiTheme="majorHAnsi" w:hAnsiTheme="majorHAnsi" w:cstheme="majorHAnsi"/>
        </w:rPr>
      </w:pPr>
      <w:r>
        <w:rPr>
          <w:rFonts w:asciiTheme="majorHAnsi" w:hAnsiTheme="majorHAnsi" w:cstheme="majorHAnsi"/>
        </w:rPr>
        <w:t xml:space="preserve">In this regard, good practice means never prosecuting or imprisoning conscientious objectors on the basis of their conscientious objection. </w:t>
      </w:r>
    </w:p>
    <w:p w14:paraId="714DA38D" w14:textId="77777777" w:rsidR="00BF1431" w:rsidRDefault="00BF1431" w:rsidP="00BF1431">
      <w:pPr>
        <w:jc w:val="both"/>
        <w:rPr>
          <w:rFonts w:asciiTheme="majorHAnsi" w:hAnsiTheme="majorHAnsi" w:cstheme="majorHAnsi"/>
        </w:rPr>
      </w:pPr>
      <w:r>
        <w:rPr>
          <w:rFonts w:asciiTheme="majorHAnsi" w:hAnsiTheme="majorHAnsi" w:cstheme="majorHAnsi"/>
        </w:rPr>
        <w:t xml:space="preserve">States which model best practice in this area work towards the attainment of SDG 16 with a recognition of the key importance of the demilitarisation of society going hand-in-hand with the freedom of religion or belief for all individuals and communities. </w:t>
      </w:r>
    </w:p>
    <w:p w14:paraId="68450697" w14:textId="77777777" w:rsidR="00037A31" w:rsidRDefault="00037A31"/>
    <w:sectPr w:rsidR="00037A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2F99B" w14:textId="77777777" w:rsidR="00411B5A" w:rsidRDefault="00411B5A" w:rsidP="00310DBE">
      <w:pPr>
        <w:spacing w:after="0" w:line="240" w:lineRule="auto"/>
      </w:pPr>
      <w:r>
        <w:separator/>
      </w:r>
    </w:p>
  </w:endnote>
  <w:endnote w:type="continuationSeparator" w:id="0">
    <w:p w14:paraId="5DE0EA36" w14:textId="77777777" w:rsidR="00411B5A" w:rsidRDefault="00411B5A" w:rsidP="0031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3E2C1" w14:textId="77777777" w:rsidR="00411B5A" w:rsidRDefault="00411B5A" w:rsidP="00310DBE">
      <w:pPr>
        <w:spacing w:after="0" w:line="240" w:lineRule="auto"/>
      </w:pPr>
      <w:r>
        <w:separator/>
      </w:r>
    </w:p>
  </w:footnote>
  <w:footnote w:type="continuationSeparator" w:id="0">
    <w:p w14:paraId="35FE2F97" w14:textId="77777777" w:rsidR="00411B5A" w:rsidRDefault="00411B5A" w:rsidP="00310DBE">
      <w:pPr>
        <w:spacing w:after="0" w:line="240" w:lineRule="auto"/>
      </w:pPr>
      <w:r>
        <w:continuationSeparator/>
      </w:r>
    </w:p>
  </w:footnote>
  <w:footnote w:id="1">
    <w:p w14:paraId="1EAB5978" w14:textId="4914610D" w:rsidR="00310DBE" w:rsidRPr="00A06BE9" w:rsidRDefault="00310DBE" w:rsidP="00A06BE9">
      <w:pPr>
        <w:spacing w:after="0" w:line="240" w:lineRule="auto"/>
        <w:rPr>
          <w:sz w:val="19"/>
          <w:szCs w:val="19"/>
        </w:rPr>
      </w:pPr>
      <w:r w:rsidRPr="00A06BE9">
        <w:rPr>
          <w:rStyle w:val="FootnoteReference"/>
          <w:sz w:val="19"/>
          <w:szCs w:val="19"/>
        </w:rPr>
        <w:footnoteRef/>
      </w:r>
      <w:r w:rsidRPr="00A06BE9">
        <w:rPr>
          <w:sz w:val="19"/>
          <w:szCs w:val="19"/>
        </w:rPr>
        <w:t xml:space="preserve"> For an overview of applicable international standards, see </w:t>
      </w:r>
      <w:r w:rsidR="00B711D7" w:rsidRPr="00A06BE9">
        <w:rPr>
          <w:sz w:val="19"/>
          <w:szCs w:val="19"/>
        </w:rPr>
        <w:t xml:space="preserve">Rachel Brett (Quaker United Nations Office), ‘international Standards on Conscientious Objection to Military Service (January 2015) </w:t>
      </w:r>
      <w:hyperlink r:id="rId1" w:history="1">
        <w:r w:rsidR="00B711D7" w:rsidRPr="00A06BE9">
          <w:rPr>
            <w:rStyle w:val="Hyperlink"/>
            <w:sz w:val="19"/>
            <w:szCs w:val="19"/>
          </w:rPr>
          <w:t>https://quno.org/sites/default/files/resources/QUNO%202015%20RB%20Conscientious%20Objection%20FINAL.pdf</w:t>
        </w:r>
      </w:hyperlink>
      <w:r w:rsidR="00B711D7" w:rsidRPr="00A06BE9">
        <w:rPr>
          <w:sz w:val="19"/>
          <w:szCs w:val="19"/>
        </w:rPr>
        <w:t>.</w:t>
      </w:r>
    </w:p>
  </w:footnote>
  <w:footnote w:id="2">
    <w:p w14:paraId="2E941BF9" w14:textId="77777777" w:rsidR="00310DBE" w:rsidRPr="00A06BE9" w:rsidRDefault="00310DBE" w:rsidP="00A06BE9">
      <w:pPr>
        <w:pStyle w:val="FootnoteText"/>
        <w:rPr>
          <w:sz w:val="19"/>
          <w:szCs w:val="19"/>
        </w:rPr>
      </w:pPr>
      <w:r w:rsidRPr="00A06BE9">
        <w:rPr>
          <w:rStyle w:val="FootnoteReference"/>
          <w:sz w:val="19"/>
          <w:szCs w:val="19"/>
        </w:rPr>
        <w:footnoteRef/>
      </w:r>
      <w:r w:rsidRPr="00A06BE9">
        <w:rPr>
          <w:sz w:val="19"/>
          <w:szCs w:val="19"/>
        </w:rPr>
        <w:t xml:space="preserve"> Jong-nam Kim et al. v. The Republic of Korea (CCPR/C/106/D/1786/2008 Communication No. 1786/2008 of 1 February 2013), para. 7.4</w:t>
      </w:r>
    </w:p>
  </w:footnote>
  <w:footnote w:id="3">
    <w:p w14:paraId="7C3CC62E" w14:textId="2DD56F97" w:rsidR="009E4855" w:rsidRDefault="009E4855" w:rsidP="00A06BE9">
      <w:pPr>
        <w:pStyle w:val="FootnoteText"/>
      </w:pPr>
      <w:r w:rsidRPr="00A06BE9">
        <w:rPr>
          <w:rStyle w:val="FootnoteReference"/>
          <w:sz w:val="19"/>
          <w:szCs w:val="19"/>
        </w:rPr>
        <w:footnoteRef/>
      </w:r>
      <w:r w:rsidRPr="00A06BE9">
        <w:rPr>
          <w:sz w:val="19"/>
          <w:szCs w:val="19"/>
        </w:rPr>
        <w:t xml:space="preserve"> Human Rights Committee, General Comment No. 22 (1993).</w:t>
      </w:r>
    </w:p>
  </w:footnote>
  <w:footnote w:id="4">
    <w:p w14:paraId="142448BA" w14:textId="7B0A925A" w:rsidR="003440B7" w:rsidRDefault="003440B7">
      <w:pPr>
        <w:pStyle w:val="FootnoteText"/>
      </w:pPr>
      <w:r>
        <w:rPr>
          <w:rStyle w:val="FootnoteReference"/>
        </w:rPr>
        <w:footnoteRef/>
      </w:r>
      <w:r>
        <w:t xml:space="preserve"> </w:t>
      </w:r>
      <w:r w:rsidR="008D7E3E" w:rsidRPr="00A06BE9">
        <w:rPr>
          <w:rFonts w:cstheme="minorHAnsi"/>
          <w:sz w:val="19"/>
          <w:szCs w:val="19"/>
        </w:rPr>
        <w:t xml:space="preserve">Office of the High Commissioner for Human Rights, ‘Conscientious Objection to Military Service’, </w:t>
      </w:r>
      <w:r w:rsidR="008D7E3E" w:rsidRPr="00A06BE9">
        <w:rPr>
          <w:rFonts w:eastAsia="Times New Roman" w:cstheme="minorHAnsi"/>
          <w:color w:val="000000"/>
          <w:sz w:val="19"/>
          <w:szCs w:val="19"/>
          <w:shd w:val="clear" w:color="auto" w:fill="FFFFFF"/>
          <w:lang w:eastAsia="en-GB"/>
        </w:rPr>
        <w:t>A/HRC/41/23, 201</w:t>
      </w:r>
      <w:r w:rsidR="008D7E3E">
        <w:rPr>
          <w:rFonts w:eastAsia="Times New Roman" w:cstheme="minorHAnsi"/>
          <w:color w:val="000000"/>
          <w:sz w:val="19"/>
          <w:szCs w:val="19"/>
          <w:shd w:val="clear" w:color="auto" w:fill="FFFFFF"/>
          <w:lang w:eastAsia="en-GB"/>
        </w:rPr>
        <w:t>9</w:t>
      </w:r>
      <w:r w:rsidR="008D7E3E" w:rsidRPr="00A06BE9">
        <w:rPr>
          <w:rFonts w:eastAsia="Times New Roman" w:cstheme="minorHAnsi"/>
          <w:color w:val="000000"/>
          <w:sz w:val="19"/>
          <w:szCs w:val="19"/>
          <w:shd w:val="clear" w:color="auto" w:fill="FFFFFF"/>
          <w:lang w:eastAsia="en-GB"/>
        </w:rPr>
        <w:t>.</w:t>
      </w:r>
    </w:p>
  </w:footnote>
  <w:footnote w:id="5">
    <w:p w14:paraId="33B1B6D9" w14:textId="0BC527EB" w:rsidR="00751CD6" w:rsidRPr="00A06BE9" w:rsidRDefault="00751CD6" w:rsidP="00A06BE9">
      <w:pPr>
        <w:spacing w:after="0" w:line="240" w:lineRule="auto"/>
        <w:rPr>
          <w:sz w:val="19"/>
          <w:szCs w:val="19"/>
        </w:rPr>
      </w:pPr>
      <w:r w:rsidRPr="00A06BE9">
        <w:rPr>
          <w:rStyle w:val="FootnoteReference"/>
          <w:sz w:val="19"/>
          <w:szCs w:val="19"/>
        </w:rPr>
        <w:footnoteRef/>
      </w:r>
      <w:r w:rsidRPr="00A06BE9">
        <w:rPr>
          <w:sz w:val="19"/>
          <w:szCs w:val="19"/>
        </w:rPr>
        <w:t xml:space="preserve"> War Resisters International, ‘Country report and updates: Turkey’, </w:t>
      </w:r>
      <w:hyperlink r:id="rId2" w:history="1">
        <w:r w:rsidRPr="00A06BE9">
          <w:rPr>
            <w:rStyle w:val="Hyperlink"/>
            <w:sz w:val="19"/>
            <w:szCs w:val="19"/>
          </w:rPr>
          <w:t>https://wri-irg.org/en/programmes/world_survey/country_report/en/Turkey</w:t>
        </w:r>
      </w:hyperlink>
    </w:p>
  </w:footnote>
  <w:footnote w:id="6">
    <w:p w14:paraId="57900D14" w14:textId="5FEDEDAD" w:rsidR="00751CD6" w:rsidRPr="00A06BE9" w:rsidRDefault="00751CD6" w:rsidP="00A06BE9">
      <w:pPr>
        <w:spacing w:after="0" w:line="240" w:lineRule="auto"/>
        <w:rPr>
          <w:sz w:val="19"/>
          <w:szCs w:val="19"/>
        </w:rPr>
      </w:pPr>
      <w:r w:rsidRPr="00A06BE9">
        <w:rPr>
          <w:rStyle w:val="FootnoteReference"/>
          <w:sz w:val="19"/>
          <w:szCs w:val="19"/>
        </w:rPr>
        <w:footnoteRef/>
      </w:r>
      <w:r w:rsidRPr="00A06BE9">
        <w:rPr>
          <w:sz w:val="19"/>
          <w:szCs w:val="19"/>
        </w:rPr>
        <w:t xml:space="preserve"> War Resisters International, ‘Country report and updates: Israel’, </w:t>
      </w:r>
      <w:hyperlink r:id="rId3" w:history="1">
        <w:r w:rsidRPr="00A06BE9">
          <w:rPr>
            <w:rStyle w:val="Hyperlink"/>
            <w:sz w:val="19"/>
            <w:szCs w:val="19"/>
          </w:rPr>
          <w:t>https://wri-irg.org/en/programmes/world_survey/country_report/en/Israel</w:t>
        </w:r>
      </w:hyperlink>
    </w:p>
  </w:footnote>
  <w:footnote w:id="7">
    <w:p w14:paraId="6CEDD4AD" w14:textId="54D9E1E5" w:rsidR="00751CD6" w:rsidRPr="00A06BE9" w:rsidRDefault="00751CD6" w:rsidP="00A06BE9">
      <w:pPr>
        <w:spacing w:after="0" w:line="240" w:lineRule="auto"/>
        <w:rPr>
          <w:sz w:val="19"/>
          <w:szCs w:val="19"/>
        </w:rPr>
      </w:pPr>
      <w:r w:rsidRPr="00A06BE9">
        <w:rPr>
          <w:rStyle w:val="FootnoteReference"/>
          <w:sz w:val="19"/>
          <w:szCs w:val="19"/>
        </w:rPr>
        <w:footnoteRef/>
      </w:r>
      <w:r w:rsidRPr="00A06BE9">
        <w:rPr>
          <w:sz w:val="19"/>
          <w:szCs w:val="19"/>
        </w:rPr>
        <w:t xml:space="preserve"> War Resisters International, ‘Country report and updates: Cyprus’, </w:t>
      </w:r>
      <w:hyperlink r:id="rId4" w:history="1">
        <w:r w:rsidRPr="00A06BE9">
          <w:rPr>
            <w:rStyle w:val="Hyperlink"/>
            <w:sz w:val="19"/>
            <w:szCs w:val="19"/>
          </w:rPr>
          <w:t>https://wri-irg.org/en/programmes/world_survey/country_report/en/Cyprus</w:t>
        </w:r>
      </w:hyperlink>
    </w:p>
  </w:footnote>
  <w:footnote w:id="8">
    <w:p w14:paraId="4C1ED62B" w14:textId="2EA7A3FD" w:rsidR="007D6FAF" w:rsidRPr="00A06BE9" w:rsidRDefault="007D6FAF" w:rsidP="00A06BE9">
      <w:pPr>
        <w:spacing w:after="0" w:line="240" w:lineRule="auto"/>
        <w:rPr>
          <w:rFonts w:ascii="Times New Roman" w:eastAsia="Times New Roman" w:hAnsi="Times New Roman" w:cs="Times New Roman"/>
          <w:sz w:val="19"/>
          <w:szCs w:val="19"/>
          <w:lang w:eastAsia="en-GB"/>
        </w:rPr>
      </w:pPr>
      <w:r w:rsidRPr="00A06BE9">
        <w:rPr>
          <w:rStyle w:val="FootnoteReference"/>
          <w:sz w:val="19"/>
          <w:szCs w:val="19"/>
        </w:rPr>
        <w:footnoteRef/>
      </w:r>
      <w:r w:rsidRPr="00A06BE9">
        <w:rPr>
          <w:sz w:val="19"/>
          <w:szCs w:val="19"/>
        </w:rPr>
        <w:t xml:space="preserve"> </w:t>
      </w:r>
      <w:r w:rsidR="005214BB" w:rsidRPr="00A06BE9">
        <w:rPr>
          <w:sz w:val="19"/>
          <w:szCs w:val="19"/>
        </w:rPr>
        <w:t xml:space="preserve">Quaker United Nations Office, ‘Closing the Implementing Gap: Application Procedures Enabling the Exercise of the Rights to Conscientious Objection to Military Service’, submission to OHCHR Report </w:t>
      </w:r>
      <w:r w:rsidR="005C083A" w:rsidRPr="00A06BE9">
        <w:rPr>
          <w:rFonts w:ascii="Verdana" w:eastAsia="Times New Roman" w:hAnsi="Verdana" w:cs="Times New Roman"/>
          <w:color w:val="000000"/>
          <w:sz w:val="19"/>
          <w:szCs w:val="19"/>
          <w:shd w:val="clear" w:color="auto" w:fill="FFFFFF"/>
          <w:lang w:eastAsia="en-GB"/>
        </w:rPr>
        <w:t>A/HRC/41/23.</w:t>
      </w:r>
    </w:p>
  </w:footnote>
  <w:footnote w:id="9">
    <w:p w14:paraId="5D4371AA" w14:textId="41AB463D" w:rsidR="009349C2" w:rsidRPr="00A06BE9" w:rsidRDefault="009349C2" w:rsidP="00A06BE9">
      <w:pPr>
        <w:pStyle w:val="FootnoteText"/>
        <w:rPr>
          <w:sz w:val="19"/>
          <w:szCs w:val="19"/>
        </w:rPr>
      </w:pPr>
      <w:r w:rsidRPr="00A06BE9">
        <w:rPr>
          <w:rStyle w:val="FootnoteReference"/>
          <w:sz w:val="19"/>
          <w:szCs w:val="19"/>
        </w:rPr>
        <w:footnoteRef/>
      </w:r>
      <w:r w:rsidRPr="00A06BE9">
        <w:rPr>
          <w:sz w:val="19"/>
          <w:szCs w:val="19"/>
        </w:rPr>
        <w:t xml:space="preserve"> UN High Commissioner for Refugees Guideline on International Protection No.10: Claims to Refugee Status related to Military Service within the context of Article 1A (2)of the 1951 Convention and/or the 1967 Protocol relating to the Status of Refugees, HCR/GIP/13/10/Corr.1 of 12 November 2014, paras 10 – 20.</w:t>
      </w:r>
    </w:p>
  </w:footnote>
  <w:footnote w:id="10">
    <w:p w14:paraId="62985500" w14:textId="6A5EDA94" w:rsidR="009E4855" w:rsidRPr="00A06BE9" w:rsidRDefault="009E4855" w:rsidP="00A06BE9">
      <w:pPr>
        <w:spacing w:after="0" w:line="240" w:lineRule="auto"/>
        <w:rPr>
          <w:rFonts w:ascii="Times New Roman" w:eastAsia="Times New Roman" w:hAnsi="Times New Roman" w:cs="Times New Roman"/>
          <w:sz w:val="19"/>
          <w:szCs w:val="19"/>
          <w:lang w:eastAsia="en-GB"/>
        </w:rPr>
      </w:pPr>
      <w:r w:rsidRPr="00A06BE9">
        <w:rPr>
          <w:rStyle w:val="FootnoteReference"/>
          <w:sz w:val="19"/>
          <w:szCs w:val="19"/>
        </w:rPr>
        <w:footnoteRef/>
      </w:r>
      <w:r w:rsidRPr="00A06BE9">
        <w:rPr>
          <w:sz w:val="19"/>
          <w:szCs w:val="19"/>
        </w:rPr>
        <w:t xml:space="preserve"> </w:t>
      </w:r>
      <w:r w:rsidRPr="00A06BE9">
        <w:rPr>
          <w:rFonts w:eastAsia="Times New Roman" w:cstheme="minorHAnsi"/>
          <w:sz w:val="19"/>
          <w:szCs w:val="19"/>
          <w:lang w:eastAsia="en-GB"/>
        </w:rPr>
        <w:t xml:space="preserve">Human Rights Committee General Comment 22, para. 11. </w:t>
      </w:r>
    </w:p>
  </w:footnote>
  <w:footnote w:id="11">
    <w:p w14:paraId="0901DA50" w14:textId="24D5CC61" w:rsidR="009E4855" w:rsidRPr="00A06BE9" w:rsidRDefault="009E4855" w:rsidP="00A06BE9">
      <w:pPr>
        <w:pStyle w:val="FootnoteText"/>
        <w:rPr>
          <w:sz w:val="19"/>
          <w:szCs w:val="19"/>
          <w:highlight w:val="yellow"/>
        </w:rPr>
      </w:pPr>
      <w:r w:rsidRPr="00A06BE9">
        <w:rPr>
          <w:rStyle w:val="FootnoteReference"/>
          <w:sz w:val="19"/>
          <w:szCs w:val="19"/>
        </w:rPr>
        <w:footnoteRef/>
      </w:r>
      <w:r w:rsidRPr="00A06BE9">
        <w:rPr>
          <w:sz w:val="19"/>
          <w:szCs w:val="19"/>
        </w:rPr>
        <w:t xml:space="preserve"> </w:t>
      </w:r>
      <w:r w:rsidR="0025047A">
        <w:rPr>
          <w:sz w:val="19"/>
          <w:szCs w:val="19"/>
        </w:rPr>
        <w:t xml:space="preserve">Office of the High Commissioner for Human Rights, ‘Conscientious Objection to Military Service: Analytical report of </w:t>
      </w:r>
      <w:r w:rsidR="00A11065">
        <w:rPr>
          <w:sz w:val="19"/>
          <w:szCs w:val="19"/>
        </w:rPr>
        <w:t xml:space="preserve">the Office of the United Nations High Commissioner for Human Rights, report to the General Assembly, A/HRC/35/4 (1 May 2017) </w:t>
      </w:r>
      <w:r w:rsidR="0025047A">
        <w:rPr>
          <w:sz w:val="19"/>
          <w:szCs w:val="19"/>
        </w:rPr>
        <w:t>para. 41.</w:t>
      </w:r>
    </w:p>
  </w:footnote>
  <w:footnote w:id="12">
    <w:p w14:paraId="0A7F2872" w14:textId="19AD9566" w:rsidR="00067D56" w:rsidRPr="00A06BE9" w:rsidRDefault="00067D56" w:rsidP="00067D56">
      <w:pPr>
        <w:pStyle w:val="FootnoteText"/>
        <w:rPr>
          <w:sz w:val="19"/>
          <w:szCs w:val="19"/>
        </w:rPr>
      </w:pPr>
      <w:r w:rsidRPr="00A11065">
        <w:rPr>
          <w:rStyle w:val="FootnoteReference"/>
          <w:sz w:val="19"/>
          <w:szCs w:val="19"/>
        </w:rPr>
        <w:footnoteRef/>
      </w:r>
      <w:r w:rsidRPr="00A11065">
        <w:rPr>
          <w:sz w:val="19"/>
          <w:szCs w:val="19"/>
        </w:rPr>
        <w:t xml:space="preserve"> </w:t>
      </w:r>
      <w:r w:rsidR="00A11065">
        <w:rPr>
          <w:sz w:val="19"/>
          <w:szCs w:val="19"/>
        </w:rPr>
        <w:t xml:space="preserve">Office of the High Commissioner for Human Rights, ‘Conscientious Objection to Military Service: Analytical report of the Office of the United Nations High Commissioner for Human Rights, report to the General Assembly, A/HRC/35/4 (1 May 2017) para. </w:t>
      </w:r>
      <w:r w:rsidR="00A11065">
        <w:rPr>
          <w:sz w:val="19"/>
          <w:szCs w:val="19"/>
        </w:rPr>
        <w:t>35</w:t>
      </w:r>
      <w:r w:rsidR="00A11065">
        <w:rPr>
          <w:sz w:val="19"/>
          <w:szCs w:val="19"/>
        </w:rPr>
        <w:t>.</w:t>
      </w:r>
    </w:p>
  </w:footnote>
  <w:footnote w:id="13">
    <w:p w14:paraId="08DF09DC" w14:textId="23AC60FF" w:rsidR="005C083A" w:rsidRPr="00A06BE9" w:rsidRDefault="005C083A" w:rsidP="00A06BE9">
      <w:pPr>
        <w:spacing w:after="0" w:line="240" w:lineRule="auto"/>
        <w:rPr>
          <w:rFonts w:eastAsia="Times New Roman" w:cstheme="minorHAnsi"/>
          <w:sz w:val="19"/>
          <w:szCs w:val="19"/>
          <w:lang w:eastAsia="en-GB"/>
        </w:rPr>
      </w:pPr>
      <w:r w:rsidRPr="00A06BE9">
        <w:rPr>
          <w:rStyle w:val="FootnoteReference"/>
          <w:rFonts w:cstheme="minorHAnsi"/>
          <w:sz w:val="19"/>
          <w:szCs w:val="19"/>
        </w:rPr>
        <w:footnoteRef/>
      </w:r>
      <w:r w:rsidRPr="00A06BE9">
        <w:rPr>
          <w:rFonts w:cstheme="minorHAnsi"/>
          <w:sz w:val="19"/>
          <w:szCs w:val="19"/>
        </w:rPr>
        <w:t xml:space="preserve"> Office of the High Commissioner for Human Rights, ‘Conscientious Objection to Military Service’, </w:t>
      </w:r>
      <w:r w:rsidRPr="00A06BE9">
        <w:rPr>
          <w:rFonts w:eastAsia="Times New Roman" w:cstheme="minorHAnsi"/>
          <w:color w:val="000000"/>
          <w:sz w:val="19"/>
          <w:szCs w:val="19"/>
          <w:shd w:val="clear" w:color="auto" w:fill="FFFFFF"/>
          <w:lang w:eastAsia="en-GB"/>
        </w:rPr>
        <w:t>A/HRC/41/23, 201</w:t>
      </w:r>
      <w:r w:rsidR="0042196A">
        <w:rPr>
          <w:rFonts w:eastAsia="Times New Roman" w:cstheme="minorHAnsi"/>
          <w:color w:val="000000"/>
          <w:sz w:val="19"/>
          <w:szCs w:val="19"/>
          <w:shd w:val="clear" w:color="auto" w:fill="FFFFFF"/>
          <w:lang w:eastAsia="en-GB"/>
        </w:rPr>
        <w:t>9</w:t>
      </w:r>
      <w:r w:rsidRPr="00A06BE9">
        <w:rPr>
          <w:rFonts w:eastAsia="Times New Roman" w:cstheme="minorHAnsi"/>
          <w:color w:val="000000"/>
          <w:sz w:val="19"/>
          <w:szCs w:val="19"/>
          <w:shd w:val="clear" w:color="auto" w:fill="FFFFFF"/>
          <w:lang w:eastAsia="en-GB"/>
        </w:rPr>
        <w:t xml:space="preserve">. </w:t>
      </w:r>
    </w:p>
  </w:footnote>
  <w:footnote w:id="14">
    <w:p w14:paraId="5CDE95A9" w14:textId="3EED07A7" w:rsidR="00D260F7" w:rsidRPr="00654C4B" w:rsidRDefault="00D260F7" w:rsidP="00A06BE9">
      <w:pPr>
        <w:pStyle w:val="FootnoteText"/>
        <w:rPr>
          <w:rFonts w:cstheme="minorHAnsi"/>
          <w:sz w:val="18"/>
          <w:szCs w:val="18"/>
        </w:rPr>
      </w:pPr>
      <w:r w:rsidRPr="00A06BE9">
        <w:rPr>
          <w:rStyle w:val="FootnoteReference"/>
          <w:rFonts w:cstheme="minorHAnsi"/>
          <w:sz w:val="19"/>
          <w:szCs w:val="19"/>
        </w:rPr>
        <w:footnoteRef/>
      </w:r>
      <w:r w:rsidRPr="00A06BE9">
        <w:rPr>
          <w:rFonts w:cstheme="minorHAnsi"/>
          <w:sz w:val="19"/>
          <w:szCs w:val="19"/>
        </w:rPr>
        <w:t xml:space="preserve"> </w:t>
      </w:r>
      <w:r w:rsidR="0090308B" w:rsidRPr="00A06BE9">
        <w:rPr>
          <w:rFonts w:cstheme="minorHAnsi"/>
          <w:sz w:val="19"/>
          <w:szCs w:val="19"/>
        </w:rPr>
        <w:t xml:space="preserve">United Nations Working Group on Arbitrary Detention, </w:t>
      </w:r>
      <w:r w:rsidR="00654C4B" w:rsidRPr="00A06BE9">
        <w:rPr>
          <w:rFonts w:cstheme="minorHAnsi"/>
          <w:sz w:val="19"/>
          <w:szCs w:val="19"/>
        </w:rPr>
        <w:t>Report of the Working Group on Arbitrary Detention to the Forty-Second Session of the Human Rights Council, A/HRC/42/49 (16 July 2019), para. 61.</w:t>
      </w:r>
      <w:r w:rsidR="00654C4B">
        <w:rPr>
          <w:rFonts w:cstheme="minorHAnsi"/>
          <w:sz w:val="18"/>
          <w:szCs w:val="18"/>
        </w:rPr>
        <w:t xml:space="preserve"> </w:t>
      </w:r>
    </w:p>
  </w:footnote>
  <w:footnote w:id="15">
    <w:p w14:paraId="0178C8C2" w14:textId="6EAA4EDB" w:rsidR="00654C4B" w:rsidRPr="00A06BE9" w:rsidRDefault="00654C4B" w:rsidP="00A06BE9">
      <w:pPr>
        <w:spacing w:after="0" w:line="240" w:lineRule="auto"/>
        <w:rPr>
          <w:rFonts w:eastAsia="Times New Roman" w:cstheme="minorHAnsi"/>
          <w:sz w:val="19"/>
          <w:szCs w:val="19"/>
          <w:lang w:eastAsia="en-GB"/>
        </w:rPr>
      </w:pPr>
      <w:r w:rsidRPr="00A06BE9">
        <w:rPr>
          <w:rStyle w:val="FootnoteReference"/>
          <w:rFonts w:cstheme="minorHAnsi"/>
          <w:sz w:val="19"/>
          <w:szCs w:val="19"/>
        </w:rPr>
        <w:footnoteRef/>
      </w:r>
      <w:r w:rsidRPr="00A06BE9">
        <w:rPr>
          <w:rFonts w:cstheme="minorHAnsi"/>
          <w:sz w:val="19"/>
          <w:szCs w:val="19"/>
        </w:rPr>
        <w:t xml:space="preserve"> </w:t>
      </w:r>
      <w:r w:rsidRPr="00A06BE9">
        <w:rPr>
          <w:rFonts w:eastAsia="Times New Roman" w:cstheme="minorHAnsi"/>
          <w:sz w:val="19"/>
          <w:szCs w:val="19"/>
          <w:lang w:eastAsia="en-GB"/>
        </w:rPr>
        <w:t>Young-</w:t>
      </w:r>
      <w:proofErr w:type="spellStart"/>
      <w:r w:rsidRPr="00A06BE9">
        <w:rPr>
          <w:rFonts w:eastAsia="Times New Roman" w:cstheme="minorHAnsi"/>
          <w:sz w:val="19"/>
          <w:szCs w:val="19"/>
          <w:lang w:eastAsia="en-GB"/>
        </w:rPr>
        <w:t>kwan</w:t>
      </w:r>
      <w:proofErr w:type="spellEnd"/>
      <w:r w:rsidRPr="00A06BE9">
        <w:rPr>
          <w:rFonts w:eastAsia="Times New Roman" w:cstheme="minorHAnsi"/>
          <w:sz w:val="19"/>
          <w:szCs w:val="19"/>
          <w:lang w:eastAsia="en-GB"/>
        </w:rPr>
        <w:t xml:space="preserve"> Kim et al. v Rep. of Korea (CCPR/C/112/D/2179/2012 Communication No. 2179/2012 of 14 January 2015), para. 7.5</w:t>
      </w:r>
    </w:p>
  </w:footnote>
  <w:footnote w:id="16">
    <w:p w14:paraId="5FE2FEE9" w14:textId="15E94C94" w:rsidR="00F07E3E" w:rsidRPr="00A06BE9" w:rsidRDefault="00F07E3E" w:rsidP="00A06BE9">
      <w:pPr>
        <w:spacing w:after="0" w:line="240" w:lineRule="auto"/>
        <w:rPr>
          <w:rFonts w:eastAsia="Times New Roman" w:cstheme="minorHAnsi"/>
          <w:sz w:val="19"/>
          <w:szCs w:val="19"/>
          <w:lang w:eastAsia="en-GB"/>
        </w:rPr>
      </w:pPr>
      <w:r w:rsidRPr="00A06BE9">
        <w:rPr>
          <w:rStyle w:val="FootnoteReference"/>
          <w:rFonts w:cstheme="minorHAnsi"/>
          <w:sz w:val="19"/>
          <w:szCs w:val="19"/>
        </w:rPr>
        <w:footnoteRef/>
      </w:r>
      <w:r w:rsidRPr="00A06BE9">
        <w:rPr>
          <w:rFonts w:cstheme="minorHAnsi"/>
          <w:sz w:val="19"/>
          <w:szCs w:val="19"/>
        </w:rPr>
        <w:t xml:space="preserve"> </w:t>
      </w:r>
      <w:r w:rsidRPr="00A06BE9">
        <w:rPr>
          <w:rFonts w:eastAsia="Times New Roman" w:cstheme="minorHAnsi"/>
          <w:sz w:val="19"/>
          <w:szCs w:val="19"/>
          <w:lang w:eastAsia="en-GB"/>
        </w:rPr>
        <w:t>General Comment No. 32, CCPR/C/GC/32, 23 August 2007, IX NE BIS IN IDEM, paras 54-55.</w:t>
      </w:r>
    </w:p>
  </w:footnote>
  <w:footnote w:id="17">
    <w:p w14:paraId="7C774432" w14:textId="09C0CA81" w:rsidR="00654C4B" w:rsidRPr="00A06BE9" w:rsidRDefault="00654C4B" w:rsidP="00A06BE9">
      <w:pPr>
        <w:spacing w:after="0" w:line="240" w:lineRule="auto"/>
        <w:rPr>
          <w:rFonts w:eastAsia="Times New Roman" w:cstheme="minorHAnsi"/>
          <w:sz w:val="19"/>
          <w:szCs w:val="19"/>
          <w:lang w:eastAsia="en-GB"/>
        </w:rPr>
      </w:pPr>
      <w:r w:rsidRPr="00A06BE9">
        <w:rPr>
          <w:rStyle w:val="FootnoteReference"/>
          <w:sz w:val="19"/>
          <w:szCs w:val="19"/>
        </w:rPr>
        <w:footnoteRef/>
      </w:r>
      <w:r w:rsidRPr="00A06BE9">
        <w:rPr>
          <w:sz w:val="19"/>
          <w:szCs w:val="19"/>
        </w:rPr>
        <w:t xml:space="preserve"> </w:t>
      </w:r>
      <w:r w:rsidRPr="00A06BE9">
        <w:rPr>
          <w:rFonts w:eastAsia="Times New Roman" w:cstheme="minorHAnsi"/>
          <w:sz w:val="19"/>
          <w:szCs w:val="19"/>
          <w:lang w:eastAsia="en-GB"/>
        </w:rPr>
        <w:t>UN Working Group on Arbitrary Detention, Recommendation 2: detention of conscientious objectors (E/CN.4/2001/14), paras. 91-94.</w:t>
      </w:r>
    </w:p>
  </w:footnote>
  <w:footnote w:id="18">
    <w:p w14:paraId="3EEA9986" w14:textId="54B5401D" w:rsidR="008D64A6" w:rsidRPr="00A06BE9" w:rsidRDefault="008D64A6" w:rsidP="00A06BE9">
      <w:pPr>
        <w:spacing w:after="0" w:line="240" w:lineRule="auto"/>
        <w:rPr>
          <w:rFonts w:cstheme="minorHAnsi"/>
          <w:sz w:val="19"/>
          <w:szCs w:val="19"/>
        </w:rPr>
      </w:pPr>
      <w:r w:rsidRPr="00A06BE9">
        <w:rPr>
          <w:rStyle w:val="FootnoteReference"/>
          <w:rFonts w:cstheme="minorHAnsi"/>
          <w:sz w:val="19"/>
          <w:szCs w:val="19"/>
        </w:rPr>
        <w:footnoteRef/>
      </w:r>
      <w:r w:rsidRPr="00A06BE9">
        <w:rPr>
          <w:rFonts w:cstheme="minorHAnsi"/>
          <w:sz w:val="19"/>
          <w:szCs w:val="19"/>
        </w:rPr>
        <w:t xml:space="preserve"> European Court of Human Rights, </w:t>
      </w:r>
      <w:proofErr w:type="spellStart"/>
      <w:r w:rsidRPr="00A06BE9">
        <w:rPr>
          <w:rFonts w:cstheme="minorHAnsi"/>
          <w:sz w:val="19"/>
          <w:szCs w:val="19"/>
        </w:rPr>
        <w:t>Ülke</w:t>
      </w:r>
      <w:proofErr w:type="spellEnd"/>
      <w:r w:rsidRPr="00A06BE9">
        <w:rPr>
          <w:rFonts w:cstheme="minorHAnsi"/>
          <w:sz w:val="19"/>
          <w:szCs w:val="19"/>
        </w:rPr>
        <w:t xml:space="preserve"> v Turkey, application number </w:t>
      </w:r>
      <w:hyperlink r:id="rId5" w:anchor="{%22appno%22:[%2239437/98%22]}" w:tgtFrame="_blank" w:history="1">
        <w:r w:rsidRPr="00A06BE9">
          <w:rPr>
            <w:rStyle w:val="Hyperlink"/>
            <w:rFonts w:cstheme="minorHAnsi"/>
            <w:color w:val="0069D6"/>
            <w:sz w:val="19"/>
            <w:szCs w:val="19"/>
            <w:shd w:val="clear" w:color="auto" w:fill="FFFFFF"/>
          </w:rPr>
          <w:t>39437/98</w:t>
        </w:r>
      </w:hyperlink>
      <w:r w:rsidRPr="00A06BE9">
        <w:rPr>
          <w:rFonts w:cstheme="minorHAnsi"/>
          <w:sz w:val="19"/>
          <w:szCs w:val="19"/>
        </w:rPr>
        <w:t>, 24.01.2006.</w:t>
      </w:r>
    </w:p>
  </w:footnote>
  <w:footnote w:id="19">
    <w:p w14:paraId="41C74803" w14:textId="4FD3E687" w:rsidR="001558BC" w:rsidRDefault="001558BC" w:rsidP="00A06BE9">
      <w:pPr>
        <w:pStyle w:val="FootnoteText"/>
      </w:pPr>
      <w:r w:rsidRPr="00A06BE9">
        <w:rPr>
          <w:rStyle w:val="FootnoteReference"/>
          <w:sz w:val="19"/>
          <w:szCs w:val="19"/>
        </w:rPr>
        <w:footnoteRef/>
      </w:r>
      <w:r w:rsidRPr="00A06BE9">
        <w:rPr>
          <w:sz w:val="19"/>
          <w:szCs w:val="19"/>
        </w:rPr>
        <w:t xml:space="preserve"> United Nations High Commissioner for Refugees, Guidelines on International Protection No. 10: Claims to Refugee Status related to Military Service within the context of Article 1A (2) of the 1951 Convention and/or the 1961 Protocol relating to the Status of Refugees.</w:t>
      </w:r>
      <w:r>
        <w:t xml:space="preserve"> </w:t>
      </w:r>
    </w:p>
  </w:footnote>
  <w:footnote w:id="20">
    <w:p w14:paraId="423A111D" w14:textId="6D683BC3" w:rsidR="0042196A" w:rsidRDefault="0042196A">
      <w:pPr>
        <w:pStyle w:val="FootnoteText"/>
      </w:pPr>
      <w:r>
        <w:rPr>
          <w:rStyle w:val="FootnoteReference"/>
        </w:rPr>
        <w:footnoteRef/>
      </w:r>
      <w:r>
        <w:t xml:space="preserve"> </w:t>
      </w:r>
      <w:r w:rsidRPr="00A06BE9">
        <w:rPr>
          <w:rFonts w:cstheme="minorHAnsi"/>
          <w:sz w:val="19"/>
          <w:szCs w:val="19"/>
        </w:rPr>
        <w:t xml:space="preserve">Office of the High Commissioner for Human Rights, ‘Conscientious Objection to Military Service’, </w:t>
      </w:r>
      <w:r w:rsidRPr="00A06BE9">
        <w:rPr>
          <w:rFonts w:eastAsia="Times New Roman" w:cstheme="minorHAnsi"/>
          <w:color w:val="000000"/>
          <w:sz w:val="19"/>
          <w:szCs w:val="19"/>
          <w:shd w:val="clear" w:color="auto" w:fill="FFFFFF"/>
          <w:lang w:eastAsia="en-GB"/>
        </w:rPr>
        <w:t>A/HRC/41/23, 201</w:t>
      </w:r>
      <w:r>
        <w:rPr>
          <w:rFonts w:eastAsia="Times New Roman" w:cstheme="minorHAnsi"/>
          <w:color w:val="000000"/>
          <w:sz w:val="19"/>
          <w:szCs w:val="19"/>
          <w:shd w:val="clear" w:color="auto" w:fill="FFFFFF"/>
          <w:lang w:eastAsia="en-GB"/>
        </w:rPr>
        <w:t>9</w:t>
      </w:r>
      <w:r w:rsidRPr="00A06BE9">
        <w:rPr>
          <w:rFonts w:eastAsia="Times New Roman" w:cstheme="minorHAnsi"/>
          <w:color w:val="000000"/>
          <w:sz w:val="19"/>
          <w:szCs w:val="19"/>
          <w:shd w:val="clear" w:color="auto" w:fill="FFFFFF"/>
          <w:lang w:eastAsia="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E43D06"/>
    <w:multiLevelType w:val="hybridMultilevel"/>
    <w:tmpl w:val="0276D692"/>
    <w:lvl w:ilvl="0" w:tplc="D4FEA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BE"/>
    <w:rsid w:val="000156CA"/>
    <w:rsid w:val="00037A31"/>
    <w:rsid w:val="00040D83"/>
    <w:rsid w:val="000419A2"/>
    <w:rsid w:val="00066F42"/>
    <w:rsid w:val="00067D56"/>
    <w:rsid w:val="00096723"/>
    <w:rsid w:val="000A06D2"/>
    <w:rsid w:val="000A2ECA"/>
    <w:rsid w:val="000B3855"/>
    <w:rsid w:val="000B4472"/>
    <w:rsid w:val="000B5665"/>
    <w:rsid w:val="000E5B58"/>
    <w:rsid w:val="00106F2D"/>
    <w:rsid w:val="00113BE3"/>
    <w:rsid w:val="00127483"/>
    <w:rsid w:val="001558BC"/>
    <w:rsid w:val="001850DA"/>
    <w:rsid w:val="00190ECB"/>
    <w:rsid w:val="001A7AD8"/>
    <w:rsid w:val="001C56FD"/>
    <w:rsid w:val="001F761C"/>
    <w:rsid w:val="0021115C"/>
    <w:rsid w:val="0021326B"/>
    <w:rsid w:val="0025047A"/>
    <w:rsid w:val="0027368D"/>
    <w:rsid w:val="00294D22"/>
    <w:rsid w:val="002C58D5"/>
    <w:rsid w:val="002F2ED8"/>
    <w:rsid w:val="00310DBE"/>
    <w:rsid w:val="00326104"/>
    <w:rsid w:val="003440B7"/>
    <w:rsid w:val="00351AB0"/>
    <w:rsid w:val="00364724"/>
    <w:rsid w:val="00383C0E"/>
    <w:rsid w:val="003A1B8E"/>
    <w:rsid w:val="003B1C5B"/>
    <w:rsid w:val="003E5CB8"/>
    <w:rsid w:val="003F4914"/>
    <w:rsid w:val="00411B5A"/>
    <w:rsid w:val="0042196A"/>
    <w:rsid w:val="00443869"/>
    <w:rsid w:val="004601EC"/>
    <w:rsid w:val="00464DC3"/>
    <w:rsid w:val="004D5B2C"/>
    <w:rsid w:val="004E2F3D"/>
    <w:rsid w:val="00504E53"/>
    <w:rsid w:val="00512F3A"/>
    <w:rsid w:val="005214BB"/>
    <w:rsid w:val="00523BDE"/>
    <w:rsid w:val="00532EDA"/>
    <w:rsid w:val="0054095E"/>
    <w:rsid w:val="00545C2A"/>
    <w:rsid w:val="00552069"/>
    <w:rsid w:val="00574858"/>
    <w:rsid w:val="00594B92"/>
    <w:rsid w:val="005C083A"/>
    <w:rsid w:val="005D02E9"/>
    <w:rsid w:val="005F0B97"/>
    <w:rsid w:val="00602EF0"/>
    <w:rsid w:val="00653134"/>
    <w:rsid w:val="00654C4B"/>
    <w:rsid w:val="00681D12"/>
    <w:rsid w:val="006D7492"/>
    <w:rsid w:val="00725169"/>
    <w:rsid w:val="00751CD6"/>
    <w:rsid w:val="007628B1"/>
    <w:rsid w:val="007A2312"/>
    <w:rsid w:val="007C2CCB"/>
    <w:rsid w:val="007C34F0"/>
    <w:rsid w:val="007D6FAF"/>
    <w:rsid w:val="007F3B7F"/>
    <w:rsid w:val="00846100"/>
    <w:rsid w:val="008521B9"/>
    <w:rsid w:val="0086287F"/>
    <w:rsid w:val="008D4FBA"/>
    <w:rsid w:val="008D64A6"/>
    <w:rsid w:val="008D7E3E"/>
    <w:rsid w:val="008F2CAB"/>
    <w:rsid w:val="0090308B"/>
    <w:rsid w:val="009349C2"/>
    <w:rsid w:val="009369E9"/>
    <w:rsid w:val="0095022B"/>
    <w:rsid w:val="00960DDC"/>
    <w:rsid w:val="00967839"/>
    <w:rsid w:val="009A141D"/>
    <w:rsid w:val="009A799D"/>
    <w:rsid w:val="009C082A"/>
    <w:rsid w:val="009D34DD"/>
    <w:rsid w:val="009E04A4"/>
    <w:rsid w:val="009E4855"/>
    <w:rsid w:val="00A06BE9"/>
    <w:rsid w:val="00A11065"/>
    <w:rsid w:val="00A21D81"/>
    <w:rsid w:val="00A35B37"/>
    <w:rsid w:val="00A60D0E"/>
    <w:rsid w:val="00A929FB"/>
    <w:rsid w:val="00AA7250"/>
    <w:rsid w:val="00AB3612"/>
    <w:rsid w:val="00AC60AC"/>
    <w:rsid w:val="00B13049"/>
    <w:rsid w:val="00B40021"/>
    <w:rsid w:val="00B526C0"/>
    <w:rsid w:val="00B711D7"/>
    <w:rsid w:val="00B92B62"/>
    <w:rsid w:val="00BA454B"/>
    <w:rsid w:val="00BB0BCD"/>
    <w:rsid w:val="00BC1530"/>
    <w:rsid w:val="00BC430F"/>
    <w:rsid w:val="00BD7126"/>
    <w:rsid w:val="00BE28FD"/>
    <w:rsid w:val="00BF1431"/>
    <w:rsid w:val="00C26AE9"/>
    <w:rsid w:val="00C66F0E"/>
    <w:rsid w:val="00C772CD"/>
    <w:rsid w:val="00CA135E"/>
    <w:rsid w:val="00CB3CB8"/>
    <w:rsid w:val="00D156FF"/>
    <w:rsid w:val="00D260F7"/>
    <w:rsid w:val="00D45168"/>
    <w:rsid w:val="00D501D6"/>
    <w:rsid w:val="00D87471"/>
    <w:rsid w:val="00D87DBC"/>
    <w:rsid w:val="00D9143B"/>
    <w:rsid w:val="00D93341"/>
    <w:rsid w:val="00DC01FA"/>
    <w:rsid w:val="00DC0D47"/>
    <w:rsid w:val="00DC4EB1"/>
    <w:rsid w:val="00E0170E"/>
    <w:rsid w:val="00E27339"/>
    <w:rsid w:val="00E3419F"/>
    <w:rsid w:val="00E44004"/>
    <w:rsid w:val="00E66363"/>
    <w:rsid w:val="00E909DB"/>
    <w:rsid w:val="00E91B9C"/>
    <w:rsid w:val="00F00D04"/>
    <w:rsid w:val="00F07E3E"/>
    <w:rsid w:val="00F10B40"/>
    <w:rsid w:val="00F12B6A"/>
    <w:rsid w:val="00F57C46"/>
    <w:rsid w:val="00F825DD"/>
    <w:rsid w:val="00F8538F"/>
    <w:rsid w:val="00FA7910"/>
    <w:rsid w:val="00FF2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41F1"/>
  <w15:chartTrackingRefBased/>
  <w15:docId w15:val="{8DEE3B8B-48AF-4242-AFD2-492A183F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DBE"/>
    <w:rPr>
      <w:rFonts w:ascii="Segoe UI" w:hAnsi="Segoe UI" w:cs="Segoe UI"/>
      <w:sz w:val="18"/>
      <w:szCs w:val="18"/>
    </w:rPr>
  </w:style>
  <w:style w:type="paragraph" w:styleId="FootnoteText">
    <w:name w:val="footnote text"/>
    <w:basedOn w:val="Normal"/>
    <w:link w:val="FootnoteTextChar"/>
    <w:uiPriority w:val="99"/>
    <w:semiHidden/>
    <w:unhideWhenUsed/>
    <w:rsid w:val="00310D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DBE"/>
    <w:rPr>
      <w:sz w:val="20"/>
      <w:szCs w:val="20"/>
    </w:rPr>
  </w:style>
  <w:style w:type="character" w:styleId="FootnoteReference">
    <w:name w:val="footnote reference"/>
    <w:aliases w:val="4_G"/>
    <w:basedOn w:val="DefaultParagraphFont"/>
    <w:unhideWhenUsed/>
    <w:qFormat/>
    <w:rsid w:val="00310DBE"/>
    <w:rPr>
      <w:vertAlign w:val="superscript"/>
    </w:rPr>
  </w:style>
  <w:style w:type="character" w:styleId="CommentReference">
    <w:name w:val="annotation reference"/>
    <w:basedOn w:val="DefaultParagraphFont"/>
    <w:uiPriority w:val="99"/>
    <w:semiHidden/>
    <w:unhideWhenUsed/>
    <w:rsid w:val="004D5B2C"/>
    <w:rPr>
      <w:sz w:val="16"/>
      <w:szCs w:val="16"/>
    </w:rPr>
  </w:style>
  <w:style w:type="paragraph" w:styleId="CommentText">
    <w:name w:val="annotation text"/>
    <w:basedOn w:val="Normal"/>
    <w:link w:val="CommentTextChar"/>
    <w:uiPriority w:val="99"/>
    <w:semiHidden/>
    <w:unhideWhenUsed/>
    <w:rsid w:val="004D5B2C"/>
    <w:pPr>
      <w:spacing w:line="240" w:lineRule="auto"/>
    </w:pPr>
    <w:rPr>
      <w:sz w:val="20"/>
      <w:szCs w:val="20"/>
    </w:rPr>
  </w:style>
  <w:style w:type="character" w:customStyle="1" w:styleId="CommentTextChar">
    <w:name w:val="Comment Text Char"/>
    <w:basedOn w:val="DefaultParagraphFont"/>
    <w:link w:val="CommentText"/>
    <w:uiPriority w:val="99"/>
    <w:semiHidden/>
    <w:rsid w:val="004D5B2C"/>
    <w:rPr>
      <w:sz w:val="20"/>
      <w:szCs w:val="20"/>
    </w:rPr>
  </w:style>
  <w:style w:type="paragraph" w:styleId="CommentSubject">
    <w:name w:val="annotation subject"/>
    <w:basedOn w:val="CommentText"/>
    <w:next w:val="CommentText"/>
    <w:link w:val="CommentSubjectChar"/>
    <w:uiPriority w:val="99"/>
    <w:semiHidden/>
    <w:unhideWhenUsed/>
    <w:rsid w:val="004D5B2C"/>
    <w:rPr>
      <w:b/>
      <w:bCs/>
    </w:rPr>
  </w:style>
  <w:style w:type="character" w:customStyle="1" w:styleId="CommentSubjectChar">
    <w:name w:val="Comment Subject Char"/>
    <w:basedOn w:val="CommentTextChar"/>
    <w:link w:val="CommentSubject"/>
    <w:uiPriority w:val="99"/>
    <w:semiHidden/>
    <w:rsid w:val="004D5B2C"/>
    <w:rPr>
      <w:b/>
      <w:bCs/>
      <w:sz w:val="20"/>
      <w:szCs w:val="20"/>
    </w:rPr>
  </w:style>
  <w:style w:type="character" w:styleId="Hyperlink">
    <w:name w:val="Hyperlink"/>
    <w:basedOn w:val="DefaultParagraphFont"/>
    <w:uiPriority w:val="99"/>
    <w:semiHidden/>
    <w:unhideWhenUsed/>
    <w:rsid w:val="00326104"/>
    <w:rPr>
      <w:color w:val="0000FF"/>
      <w:u w:val="single"/>
    </w:rPr>
  </w:style>
  <w:style w:type="character" w:customStyle="1" w:styleId="FootnoteCharacters">
    <w:name w:val="Footnote Characters"/>
    <w:rsid w:val="00351AB0"/>
    <w:rPr>
      <w:vertAlign w:val="superscript"/>
    </w:rPr>
  </w:style>
  <w:style w:type="paragraph" w:styleId="Revision">
    <w:name w:val="Revision"/>
    <w:hidden/>
    <w:uiPriority w:val="99"/>
    <w:semiHidden/>
    <w:rsid w:val="00F57C46"/>
    <w:pPr>
      <w:spacing w:after="0" w:line="240" w:lineRule="auto"/>
    </w:pPr>
  </w:style>
  <w:style w:type="character" w:styleId="FollowedHyperlink">
    <w:name w:val="FollowedHyperlink"/>
    <w:basedOn w:val="DefaultParagraphFont"/>
    <w:uiPriority w:val="99"/>
    <w:semiHidden/>
    <w:unhideWhenUsed/>
    <w:rsid w:val="00751CD6"/>
    <w:rPr>
      <w:color w:val="954F72" w:themeColor="followedHyperlink"/>
      <w:u w:val="single"/>
    </w:rPr>
  </w:style>
  <w:style w:type="paragraph" w:customStyle="1" w:styleId="FrameContents">
    <w:name w:val="Frame Contents"/>
    <w:basedOn w:val="Normal"/>
    <w:rsid w:val="00383C0E"/>
    <w:pPr>
      <w:suppressAutoHyphens/>
      <w:spacing w:after="0" w:line="100" w:lineRule="atLeast"/>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87214">
      <w:bodyDiv w:val="1"/>
      <w:marLeft w:val="0"/>
      <w:marRight w:val="0"/>
      <w:marTop w:val="0"/>
      <w:marBottom w:val="0"/>
      <w:divBdr>
        <w:top w:val="none" w:sz="0" w:space="0" w:color="auto"/>
        <w:left w:val="none" w:sz="0" w:space="0" w:color="auto"/>
        <w:bottom w:val="none" w:sz="0" w:space="0" w:color="auto"/>
        <w:right w:val="none" w:sz="0" w:space="0" w:color="auto"/>
      </w:divBdr>
    </w:div>
    <w:div w:id="76824499">
      <w:bodyDiv w:val="1"/>
      <w:marLeft w:val="0"/>
      <w:marRight w:val="0"/>
      <w:marTop w:val="0"/>
      <w:marBottom w:val="0"/>
      <w:divBdr>
        <w:top w:val="none" w:sz="0" w:space="0" w:color="auto"/>
        <w:left w:val="none" w:sz="0" w:space="0" w:color="auto"/>
        <w:bottom w:val="none" w:sz="0" w:space="0" w:color="auto"/>
        <w:right w:val="none" w:sz="0" w:space="0" w:color="auto"/>
      </w:divBdr>
    </w:div>
    <w:div w:id="310403058">
      <w:bodyDiv w:val="1"/>
      <w:marLeft w:val="0"/>
      <w:marRight w:val="0"/>
      <w:marTop w:val="0"/>
      <w:marBottom w:val="0"/>
      <w:divBdr>
        <w:top w:val="none" w:sz="0" w:space="0" w:color="auto"/>
        <w:left w:val="none" w:sz="0" w:space="0" w:color="auto"/>
        <w:bottom w:val="none" w:sz="0" w:space="0" w:color="auto"/>
        <w:right w:val="none" w:sz="0" w:space="0" w:color="auto"/>
      </w:divBdr>
    </w:div>
    <w:div w:id="343753502">
      <w:bodyDiv w:val="1"/>
      <w:marLeft w:val="0"/>
      <w:marRight w:val="0"/>
      <w:marTop w:val="0"/>
      <w:marBottom w:val="0"/>
      <w:divBdr>
        <w:top w:val="none" w:sz="0" w:space="0" w:color="auto"/>
        <w:left w:val="none" w:sz="0" w:space="0" w:color="auto"/>
        <w:bottom w:val="none" w:sz="0" w:space="0" w:color="auto"/>
        <w:right w:val="none" w:sz="0" w:space="0" w:color="auto"/>
      </w:divBdr>
    </w:div>
    <w:div w:id="412312609">
      <w:bodyDiv w:val="1"/>
      <w:marLeft w:val="0"/>
      <w:marRight w:val="0"/>
      <w:marTop w:val="0"/>
      <w:marBottom w:val="0"/>
      <w:divBdr>
        <w:top w:val="none" w:sz="0" w:space="0" w:color="auto"/>
        <w:left w:val="none" w:sz="0" w:space="0" w:color="auto"/>
        <w:bottom w:val="none" w:sz="0" w:space="0" w:color="auto"/>
        <w:right w:val="none" w:sz="0" w:space="0" w:color="auto"/>
      </w:divBdr>
    </w:div>
    <w:div w:id="538670613">
      <w:bodyDiv w:val="1"/>
      <w:marLeft w:val="0"/>
      <w:marRight w:val="0"/>
      <w:marTop w:val="0"/>
      <w:marBottom w:val="0"/>
      <w:divBdr>
        <w:top w:val="none" w:sz="0" w:space="0" w:color="auto"/>
        <w:left w:val="none" w:sz="0" w:space="0" w:color="auto"/>
        <w:bottom w:val="none" w:sz="0" w:space="0" w:color="auto"/>
        <w:right w:val="none" w:sz="0" w:space="0" w:color="auto"/>
      </w:divBdr>
    </w:div>
    <w:div w:id="833302458">
      <w:bodyDiv w:val="1"/>
      <w:marLeft w:val="0"/>
      <w:marRight w:val="0"/>
      <w:marTop w:val="0"/>
      <w:marBottom w:val="0"/>
      <w:divBdr>
        <w:top w:val="none" w:sz="0" w:space="0" w:color="auto"/>
        <w:left w:val="none" w:sz="0" w:space="0" w:color="auto"/>
        <w:bottom w:val="none" w:sz="0" w:space="0" w:color="auto"/>
        <w:right w:val="none" w:sz="0" w:space="0" w:color="auto"/>
      </w:divBdr>
    </w:div>
    <w:div w:id="899825069">
      <w:bodyDiv w:val="1"/>
      <w:marLeft w:val="0"/>
      <w:marRight w:val="0"/>
      <w:marTop w:val="0"/>
      <w:marBottom w:val="0"/>
      <w:divBdr>
        <w:top w:val="none" w:sz="0" w:space="0" w:color="auto"/>
        <w:left w:val="none" w:sz="0" w:space="0" w:color="auto"/>
        <w:bottom w:val="none" w:sz="0" w:space="0" w:color="auto"/>
        <w:right w:val="none" w:sz="0" w:space="0" w:color="auto"/>
      </w:divBdr>
    </w:div>
    <w:div w:id="1009023559">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72587212">
      <w:bodyDiv w:val="1"/>
      <w:marLeft w:val="0"/>
      <w:marRight w:val="0"/>
      <w:marTop w:val="0"/>
      <w:marBottom w:val="0"/>
      <w:divBdr>
        <w:top w:val="none" w:sz="0" w:space="0" w:color="auto"/>
        <w:left w:val="none" w:sz="0" w:space="0" w:color="auto"/>
        <w:bottom w:val="none" w:sz="0" w:space="0" w:color="auto"/>
        <w:right w:val="none" w:sz="0" w:space="0" w:color="auto"/>
      </w:divBdr>
    </w:div>
    <w:div w:id="1460344088">
      <w:bodyDiv w:val="1"/>
      <w:marLeft w:val="0"/>
      <w:marRight w:val="0"/>
      <w:marTop w:val="0"/>
      <w:marBottom w:val="0"/>
      <w:divBdr>
        <w:top w:val="none" w:sz="0" w:space="0" w:color="auto"/>
        <w:left w:val="none" w:sz="0" w:space="0" w:color="auto"/>
        <w:bottom w:val="none" w:sz="0" w:space="0" w:color="auto"/>
        <w:right w:val="none" w:sz="0" w:space="0" w:color="auto"/>
      </w:divBdr>
    </w:div>
    <w:div w:id="1660690844">
      <w:bodyDiv w:val="1"/>
      <w:marLeft w:val="0"/>
      <w:marRight w:val="0"/>
      <w:marTop w:val="0"/>
      <w:marBottom w:val="0"/>
      <w:divBdr>
        <w:top w:val="none" w:sz="0" w:space="0" w:color="auto"/>
        <w:left w:val="none" w:sz="0" w:space="0" w:color="auto"/>
        <w:bottom w:val="none" w:sz="0" w:space="0" w:color="auto"/>
        <w:right w:val="none" w:sz="0" w:space="0" w:color="auto"/>
      </w:divBdr>
    </w:div>
    <w:div w:id="1931692772">
      <w:bodyDiv w:val="1"/>
      <w:marLeft w:val="0"/>
      <w:marRight w:val="0"/>
      <w:marTop w:val="0"/>
      <w:marBottom w:val="0"/>
      <w:divBdr>
        <w:top w:val="none" w:sz="0" w:space="0" w:color="auto"/>
        <w:left w:val="none" w:sz="0" w:space="0" w:color="auto"/>
        <w:bottom w:val="none" w:sz="0" w:space="0" w:color="auto"/>
        <w:right w:val="none" w:sz="0" w:space="0" w:color="auto"/>
      </w:divBdr>
    </w:div>
    <w:div w:id="1947762636">
      <w:bodyDiv w:val="1"/>
      <w:marLeft w:val="0"/>
      <w:marRight w:val="0"/>
      <w:marTop w:val="0"/>
      <w:marBottom w:val="0"/>
      <w:divBdr>
        <w:top w:val="none" w:sz="0" w:space="0" w:color="auto"/>
        <w:left w:val="none" w:sz="0" w:space="0" w:color="auto"/>
        <w:bottom w:val="none" w:sz="0" w:space="0" w:color="auto"/>
        <w:right w:val="none" w:sz="0" w:space="0" w:color="auto"/>
      </w:divBdr>
    </w:div>
    <w:div w:id="2029519534">
      <w:bodyDiv w:val="1"/>
      <w:marLeft w:val="0"/>
      <w:marRight w:val="0"/>
      <w:marTop w:val="0"/>
      <w:marBottom w:val="0"/>
      <w:divBdr>
        <w:top w:val="none" w:sz="0" w:space="0" w:color="auto"/>
        <w:left w:val="none" w:sz="0" w:space="0" w:color="auto"/>
        <w:bottom w:val="none" w:sz="0" w:space="0" w:color="auto"/>
        <w:right w:val="none" w:sz="0" w:space="0" w:color="auto"/>
      </w:divBdr>
    </w:div>
    <w:div w:id="20692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ri-irg.org/en/programmes/world_survey/country_report/en/Israel" TargetMode="External"/><Relationship Id="rId2" Type="http://schemas.openxmlformats.org/officeDocument/2006/relationships/hyperlink" Target="https://wri-irg.org/en/programmes/world_survey/country_report/en/Turkey" TargetMode="External"/><Relationship Id="rId1" Type="http://schemas.openxmlformats.org/officeDocument/2006/relationships/hyperlink" Target="https://quno.org/sites/default/files/resources/QUNO%202015%20RB%20Conscientious%20Objection%20FINAL.pdf" TargetMode="External"/><Relationship Id="rId5" Type="http://schemas.openxmlformats.org/officeDocument/2006/relationships/hyperlink" Target="https://hudoc.echr.coe.int/eng" TargetMode="External"/><Relationship Id="rId4" Type="http://schemas.openxmlformats.org/officeDocument/2006/relationships/hyperlink" Target="https://wri-irg.org/en/programmes/world_survey/country_report/en/Cyp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5C20A0-E6EA-654E-B292-0348282944B3}">
  <ds:schemaRefs>
    <ds:schemaRef ds:uri="http://schemas.openxmlformats.org/officeDocument/2006/bibliography"/>
  </ds:schemaRefs>
</ds:datastoreItem>
</file>

<file path=customXml/itemProps2.xml><?xml version="1.0" encoding="utf-8"?>
<ds:datastoreItem xmlns:ds="http://schemas.openxmlformats.org/officeDocument/2006/customXml" ds:itemID="{B6327224-826E-4B76-80BF-AA64B627BE88}"/>
</file>

<file path=customXml/itemProps3.xml><?xml version="1.0" encoding="utf-8"?>
<ds:datastoreItem xmlns:ds="http://schemas.openxmlformats.org/officeDocument/2006/customXml" ds:itemID="{0FA22354-BF93-42A6-8793-3989CE2B8502}"/>
</file>

<file path=customXml/itemProps4.xml><?xml version="1.0" encoding="utf-8"?>
<ds:datastoreItem xmlns:ds="http://schemas.openxmlformats.org/officeDocument/2006/customXml" ds:itemID="{44CB3B1B-CDA2-443D-A2B3-8B6F47A220FF}"/>
</file>

<file path=docProps/app.xml><?xml version="1.0" encoding="utf-8"?>
<Properties xmlns="http://schemas.openxmlformats.org/officeDocument/2006/extended-properties" xmlns:vt="http://schemas.openxmlformats.org/officeDocument/2006/docPropsVTypes">
  <Template>Normal.dotm</Template>
  <TotalTime>0</TotalTime>
  <Pages>5</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Halton</dc:creator>
  <cp:keywords/>
  <dc:description/>
  <cp:lastModifiedBy>Lucy Halton</cp:lastModifiedBy>
  <cp:revision>2</cp:revision>
  <dcterms:created xsi:type="dcterms:W3CDTF">2020-05-29T11:44:00Z</dcterms:created>
  <dcterms:modified xsi:type="dcterms:W3CDTF">2020-05-29T11:44:00Z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