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64" w:rsidRDefault="007406EB">
      <w:pPr>
        <w:spacing w:after="435" w:line="276" w:lineRule="auto"/>
        <w:ind w:left="2386" w:right="1281" w:hanging="867"/>
        <w:rPr>
          <w:lang w:val="en-US"/>
        </w:rPr>
      </w:pPr>
      <w:bookmarkStart w:id="0" w:name="_GoBack"/>
      <w:bookmarkEnd w:id="0"/>
      <w:r>
        <w:rPr>
          <w:sz w:val="14"/>
          <w:lang w:val="en-US"/>
        </w:rPr>
        <w:t>HAUT-COMMISSARIAT AUX DROITS DE L'HOMME • OFFICE OF THE HIGH COMMISSIONER FOR HUMAN RIGHTS PALAIS DES NATIONS • 1211 GENEVA 10, SWITZERLAND www.ohchr.org • TEL: +41 22 917 9000 • FAX: +41 22 917 9008 • E-MAIL: registry@ohchr.org</w:t>
      </w:r>
    </w:p>
    <w:p w:rsidR="00011C64" w:rsidRDefault="007406EB">
      <w:pPr>
        <w:spacing w:after="555" w:line="276" w:lineRule="auto"/>
        <w:ind w:left="-15" w:right="1281" w:firstLine="0"/>
        <w:rPr>
          <w:lang w:val="fr-CH"/>
        </w:rPr>
      </w:pPr>
      <w:r>
        <w:rPr>
          <w:sz w:val="14"/>
          <w:lang w:val="fr-CH"/>
        </w:rPr>
        <w:t>REFERENCE:NP/HV</w:t>
      </w:r>
    </w:p>
    <w:p w:rsidR="00011C64" w:rsidRDefault="007406EB">
      <w:pPr>
        <w:spacing w:after="264" w:line="276" w:lineRule="auto"/>
        <w:ind w:left="936" w:firstLine="7"/>
        <w:rPr>
          <w:lang w:val="fr-CH"/>
        </w:rPr>
      </w:pPr>
      <w:r>
        <w:rPr>
          <w:sz w:val="26"/>
          <w:lang w:val="fr-CH"/>
        </w:rPr>
        <w:t>Objet: Résolution 38/11 adoptée par le Conseil des droits de l'homme sur Promotion et protection de tous les droits de l'homme dans le contexte des manifestations pacifiques</w:t>
      </w:r>
      <w:r w:rsidR="00672B9E">
        <w:rPr>
          <w:sz w:val="26"/>
          <w:lang w:val="fr-CH"/>
        </w:rPr>
        <w:t xml:space="preserve"> – </w:t>
      </w:r>
      <w:r w:rsidR="00672B9E" w:rsidRPr="00672B9E">
        <w:rPr>
          <w:b/>
          <w:sz w:val="26"/>
          <w:lang w:val="fr-CH"/>
        </w:rPr>
        <w:t>Réponse de la Suisse</w:t>
      </w:r>
      <w:r w:rsidR="00672B9E">
        <w:rPr>
          <w:sz w:val="26"/>
          <w:lang w:val="fr-CH"/>
        </w:rPr>
        <w:t xml:space="preserve"> </w:t>
      </w:r>
    </w:p>
    <w:p w:rsidR="00011C64" w:rsidRDefault="007406EB">
      <w:pPr>
        <w:pStyle w:val="ListParagraph"/>
        <w:numPr>
          <w:ilvl w:val="0"/>
          <w:numId w:val="2"/>
        </w:numPr>
        <w:spacing w:after="320" w:line="276" w:lineRule="auto"/>
        <w:ind w:right="683"/>
        <w:rPr>
          <w:szCs w:val="24"/>
          <w:lang w:val="fr-CH"/>
        </w:rPr>
      </w:pPr>
      <w:r>
        <w:rPr>
          <w:szCs w:val="24"/>
          <w:lang w:val="fr-CH"/>
        </w:rPr>
        <w:t>Lois, politiques et programmes explicitement élaborés pour traiter l'impact des nouvelles technologies, notamment les technologies de l'information et des communications, et leur incidence sur la promotion et la protection des droits de l'homme dans le contexte des rassemblements, y compris des manifestations pacifiques;</w:t>
      </w:r>
    </w:p>
    <w:p w:rsidR="00011C64" w:rsidRDefault="007406EB" w:rsidP="00672B9E">
      <w:pPr>
        <w:pStyle w:val="Footer"/>
        <w:tabs>
          <w:tab w:val="clear" w:pos="4536"/>
          <w:tab w:val="clear" w:pos="9072"/>
        </w:tabs>
        <w:suppressAutoHyphens/>
        <w:spacing w:line="276" w:lineRule="auto"/>
        <w:ind w:left="0" w:right="686" w:firstLine="0"/>
        <w:rPr>
          <w:color w:val="000000" w:themeColor="text1"/>
          <w:szCs w:val="24"/>
          <w:lang w:val="fr-CH"/>
        </w:rPr>
      </w:pPr>
      <w:r>
        <w:rPr>
          <w:color w:val="000000" w:themeColor="text1"/>
          <w:szCs w:val="24"/>
          <w:lang w:val="fr-CH"/>
        </w:rPr>
        <w:t xml:space="preserve">Au niveau constitutionnel, la liberté de réunion (art. 22 Constitution fédérale de la Confédération suisse du 18 avril 1999 (Cst. ; RS 101)) protège le rassemblement effectif de toute personne. L’alinéa 2 stipule expressément que toute personne a le droit d’organiser des réunions, d’y prendre part ou non. Le droit de se réunir pacifiquement avec d’autres personnes est donc garanti en Suisse. L’art. 22 Cst. </w:t>
      </w:r>
      <w:proofErr w:type="gramStart"/>
      <w:r>
        <w:rPr>
          <w:color w:val="000000" w:themeColor="text1"/>
          <w:szCs w:val="24"/>
          <w:lang w:val="fr-CH"/>
        </w:rPr>
        <w:t>correspond</w:t>
      </w:r>
      <w:proofErr w:type="gramEnd"/>
      <w:r>
        <w:rPr>
          <w:color w:val="000000" w:themeColor="text1"/>
          <w:szCs w:val="24"/>
          <w:lang w:val="fr-CH"/>
        </w:rPr>
        <w:t xml:space="preserve"> matériellement à l’art. 11 de la CEDH et à l’art. 21 du Pacte II de l’ONU. </w:t>
      </w:r>
    </w:p>
    <w:p w:rsidR="00011C64" w:rsidRDefault="00011C64">
      <w:pPr>
        <w:pStyle w:val="Footer"/>
        <w:tabs>
          <w:tab w:val="clear" w:pos="4536"/>
          <w:tab w:val="clear" w:pos="9072"/>
        </w:tabs>
        <w:suppressAutoHyphens/>
        <w:spacing w:line="276" w:lineRule="auto"/>
        <w:ind w:left="1678" w:right="686" w:firstLine="0"/>
        <w:rPr>
          <w:color w:val="000000" w:themeColor="text1"/>
          <w:szCs w:val="24"/>
          <w:lang w:val="fr-CH"/>
        </w:rPr>
      </w:pPr>
    </w:p>
    <w:p w:rsidR="00011C64" w:rsidRDefault="007406EB" w:rsidP="00672B9E">
      <w:pPr>
        <w:pStyle w:val="Footer"/>
        <w:tabs>
          <w:tab w:val="clear" w:pos="4536"/>
          <w:tab w:val="clear" w:pos="9072"/>
        </w:tabs>
        <w:suppressAutoHyphens/>
        <w:spacing w:line="276" w:lineRule="auto"/>
        <w:ind w:left="0" w:right="686" w:firstLine="0"/>
        <w:rPr>
          <w:color w:val="000000" w:themeColor="text1"/>
          <w:szCs w:val="24"/>
          <w:lang w:val="fr-CH"/>
        </w:rPr>
      </w:pPr>
      <w:r>
        <w:rPr>
          <w:color w:val="000000" w:themeColor="text1"/>
          <w:szCs w:val="24"/>
          <w:lang w:val="fr-CH"/>
        </w:rPr>
        <w:t xml:space="preserve">Les réunions organisées sur le domaine public peuvent être soumises à autorisation pour autant qu’une base légale le prévoie (art. 36 Cst). Un droit conditionnel d’utiliser le domaine public existe dans les réunions qui bénéficient de la protection de l’art. 16 Cst. </w:t>
      </w:r>
      <w:proofErr w:type="gramStart"/>
      <w:r>
        <w:rPr>
          <w:color w:val="000000" w:themeColor="text1"/>
          <w:szCs w:val="24"/>
          <w:lang w:val="fr-CH"/>
        </w:rPr>
        <w:t>et</w:t>
      </w:r>
      <w:proofErr w:type="gramEnd"/>
      <w:r>
        <w:rPr>
          <w:color w:val="000000" w:themeColor="text1"/>
          <w:szCs w:val="24"/>
          <w:lang w:val="fr-CH"/>
        </w:rPr>
        <w:t xml:space="preserve"> art. 22 Cst. (</w:t>
      </w:r>
      <w:proofErr w:type="gramStart"/>
      <w:r w:rsidR="00672B9E">
        <w:rPr>
          <w:color w:val="000000" w:themeColor="text1"/>
          <w:szCs w:val="24"/>
          <w:lang w:val="fr-CH"/>
        </w:rPr>
        <w:t>cf.</w:t>
      </w:r>
      <w:proofErr w:type="gramEnd"/>
      <w:r>
        <w:rPr>
          <w:color w:val="000000" w:themeColor="text1"/>
          <w:szCs w:val="24"/>
          <w:lang w:val="fr-CH"/>
        </w:rPr>
        <w:t xml:space="preserve"> par exemple ATF 127 I 164, </w:t>
      </w:r>
      <w:proofErr w:type="spellStart"/>
      <w:r>
        <w:rPr>
          <w:color w:val="000000" w:themeColor="text1"/>
          <w:szCs w:val="24"/>
          <w:lang w:val="fr-CH"/>
        </w:rPr>
        <w:t>consid</w:t>
      </w:r>
      <w:proofErr w:type="spellEnd"/>
      <w:r>
        <w:rPr>
          <w:color w:val="000000" w:themeColor="text1"/>
          <w:szCs w:val="24"/>
          <w:lang w:val="fr-CH"/>
        </w:rPr>
        <w:t>. 3.a), p. 167).</w:t>
      </w:r>
    </w:p>
    <w:p w:rsidR="00011C64" w:rsidRDefault="00011C64">
      <w:pPr>
        <w:spacing w:after="0" w:line="276" w:lineRule="auto"/>
        <w:ind w:left="0" w:right="686" w:firstLine="0"/>
        <w:rPr>
          <w:color w:val="000000" w:themeColor="text1"/>
          <w:szCs w:val="24"/>
          <w:lang w:val="fr-CH"/>
        </w:rPr>
      </w:pPr>
    </w:p>
    <w:p w:rsidR="00011C64" w:rsidRPr="00672B9E" w:rsidRDefault="00672B9E" w:rsidP="00672B9E">
      <w:pPr>
        <w:spacing w:after="0" w:line="276" w:lineRule="auto"/>
        <w:ind w:left="0" w:right="686" w:firstLine="0"/>
        <w:rPr>
          <w:color w:val="000000" w:themeColor="text1"/>
          <w:szCs w:val="24"/>
          <w:lang w:val="fr-CH"/>
        </w:rPr>
      </w:pPr>
      <w:r>
        <w:rPr>
          <w:b/>
          <w:color w:val="000000" w:themeColor="text1"/>
          <w:szCs w:val="24"/>
          <w:lang w:val="fr-CH"/>
        </w:rPr>
        <w:t xml:space="preserve">Art. 16 </w:t>
      </w:r>
      <w:r w:rsidR="007406EB" w:rsidRPr="00672B9E">
        <w:rPr>
          <w:color w:val="000000" w:themeColor="text1"/>
          <w:szCs w:val="24"/>
          <w:lang w:val="fr-CH"/>
        </w:rPr>
        <w:t>Libertés d’opinion et d’information</w:t>
      </w:r>
    </w:p>
    <w:p w:rsidR="00011C64" w:rsidRPr="00672B9E" w:rsidRDefault="007406EB" w:rsidP="00672B9E">
      <w:pPr>
        <w:spacing w:after="0" w:line="276" w:lineRule="auto"/>
        <w:ind w:left="0" w:right="686" w:firstLine="0"/>
        <w:rPr>
          <w:color w:val="000000" w:themeColor="text1"/>
          <w:szCs w:val="24"/>
          <w:lang w:val="fr-CH"/>
        </w:rPr>
      </w:pPr>
      <w:r w:rsidRPr="00672B9E">
        <w:rPr>
          <w:color w:val="000000" w:themeColor="text1"/>
          <w:szCs w:val="24"/>
          <w:vertAlign w:val="superscript"/>
          <w:lang w:val="fr-CH"/>
        </w:rPr>
        <w:t>1</w:t>
      </w:r>
      <w:r w:rsidRPr="00672B9E">
        <w:rPr>
          <w:color w:val="000000" w:themeColor="text1"/>
          <w:szCs w:val="24"/>
          <w:lang w:val="fr-CH"/>
        </w:rPr>
        <w:t xml:space="preserve"> La liberté d’opinion et la liberté d’information sont garanties.</w:t>
      </w:r>
    </w:p>
    <w:p w:rsidR="00011C64" w:rsidRPr="00672B9E" w:rsidRDefault="007406EB" w:rsidP="00672B9E">
      <w:pPr>
        <w:spacing w:after="0" w:line="276" w:lineRule="auto"/>
        <w:ind w:left="0" w:right="686" w:firstLine="0"/>
        <w:rPr>
          <w:color w:val="000000" w:themeColor="text1"/>
          <w:szCs w:val="24"/>
          <w:lang w:val="fr-CH"/>
        </w:rPr>
      </w:pPr>
      <w:r w:rsidRPr="00672B9E">
        <w:rPr>
          <w:color w:val="000000" w:themeColor="text1"/>
          <w:szCs w:val="24"/>
          <w:vertAlign w:val="superscript"/>
          <w:lang w:val="fr-CH"/>
        </w:rPr>
        <w:t>2</w:t>
      </w:r>
      <w:r w:rsidRPr="00672B9E">
        <w:rPr>
          <w:color w:val="000000" w:themeColor="text1"/>
          <w:szCs w:val="24"/>
          <w:lang w:val="fr-CH"/>
        </w:rPr>
        <w:t xml:space="preserve"> Toute personne a le droit de former, d’exprimer et répandre librement son opinion.</w:t>
      </w:r>
    </w:p>
    <w:p w:rsidR="00011C64" w:rsidRPr="00672B9E" w:rsidRDefault="007406EB" w:rsidP="00672B9E">
      <w:pPr>
        <w:spacing w:after="0" w:line="276" w:lineRule="auto"/>
        <w:ind w:left="0" w:right="686" w:firstLine="0"/>
        <w:rPr>
          <w:color w:val="000000" w:themeColor="text1"/>
          <w:szCs w:val="24"/>
          <w:lang w:val="fr-CH"/>
        </w:rPr>
      </w:pPr>
      <w:r w:rsidRPr="00672B9E">
        <w:rPr>
          <w:color w:val="000000" w:themeColor="text1"/>
          <w:szCs w:val="24"/>
          <w:vertAlign w:val="superscript"/>
          <w:lang w:val="fr-CH"/>
        </w:rPr>
        <w:t>3</w:t>
      </w:r>
      <w:r w:rsidRPr="00672B9E">
        <w:rPr>
          <w:color w:val="000000" w:themeColor="text1"/>
          <w:szCs w:val="24"/>
          <w:lang w:val="fr-CH"/>
        </w:rPr>
        <w:t xml:space="preserve"> Toute personne a le droit de recevoir librement des informations, de se les procurer aux sources généralement accessibles et de les diffuser.</w:t>
      </w:r>
    </w:p>
    <w:p w:rsidR="00011C64" w:rsidRDefault="00011C64">
      <w:pPr>
        <w:pStyle w:val="ListParagraph"/>
        <w:spacing w:after="0" w:line="276" w:lineRule="auto"/>
        <w:ind w:left="1678" w:right="686" w:firstLine="0"/>
        <w:rPr>
          <w:b/>
          <w:color w:val="000000" w:themeColor="text1"/>
          <w:szCs w:val="24"/>
          <w:lang w:val="fr-CH"/>
        </w:rPr>
      </w:pPr>
    </w:p>
    <w:p w:rsidR="00011C64" w:rsidRDefault="007406EB" w:rsidP="00672B9E">
      <w:pPr>
        <w:spacing w:after="0" w:line="276" w:lineRule="auto"/>
        <w:ind w:left="0" w:right="686" w:firstLine="0"/>
        <w:rPr>
          <w:color w:val="000000" w:themeColor="text1"/>
          <w:szCs w:val="24"/>
          <w:lang w:val="fr-CH"/>
        </w:rPr>
      </w:pPr>
      <w:r w:rsidRPr="00672B9E">
        <w:rPr>
          <w:b/>
          <w:color w:val="000000" w:themeColor="text1"/>
          <w:szCs w:val="24"/>
          <w:lang w:val="fr-CH"/>
        </w:rPr>
        <w:lastRenderedPageBreak/>
        <w:t>Art. 22</w:t>
      </w:r>
      <w:r w:rsidR="00672B9E">
        <w:rPr>
          <w:b/>
          <w:color w:val="000000" w:themeColor="text1"/>
          <w:szCs w:val="24"/>
          <w:lang w:val="fr-CH"/>
        </w:rPr>
        <w:t xml:space="preserve"> </w:t>
      </w:r>
      <w:r w:rsidRPr="00672B9E">
        <w:rPr>
          <w:color w:val="000000" w:themeColor="text1"/>
          <w:szCs w:val="24"/>
          <w:lang w:val="fr-CH"/>
        </w:rPr>
        <w:t>Liberté de réunion</w:t>
      </w:r>
    </w:p>
    <w:p w:rsidR="00672B9E" w:rsidRPr="00672B9E" w:rsidRDefault="00672B9E" w:rsidP="00672B9E">
      <w:pPr>
        <w:spacing w:after="0" w:line="276" w:lineRule="auto"/>
        <w:ind w:left="0" w:right="686" w:firstLine="0"/>
        <w:rPr>
          <w:color w:val="000000" w:themeColor="text1"/>
          <w:szCs w:val="24"/>
          <w:lang w:val="fr-CH"/>
        </w:rPr>
      </w:pPr>
      <w:r>
        <w:rPr>
          <w:color w:val="000000" w:themeColor="text1"/>
          <w:szCs w:val="24"/>
          <w:vertAlign w:val="superscript"/>
          <w:lang w:val="fr-CH"/>
        </w:rPr>
        <w:t>1</w:t>
      </w:r>
      <w:r>
        <w:rPr>
          <w:color w:val="000000" w:themeColor="text1"/>
          <w:szCs w:val="24"/>
          <w:lang w:val="fr-CH"/>
        </w:rPr>
        <w:t xml:space="preserve"> La liberté de réunion est garantie. </w:t>
      </w:r>
    </w:p>
    <w:p w:rsidR="00011C64" w:rsidRPr="00672B9E" w:rsidRDefault="007406EB" w:rsidP="00672B9E">
      <w:pPr>
        <w:spacing w:after="2400" w:line="276" w:lineRule="auto"/>
        <w:ind w:left="0" w:right="686" w:firstLine="0"/>
        <w:rPr>
          <w:color w:val="000000" w:themeColor="text1"/>
          <w:szCs w:val="24"/>
          <w:lang w:val="fr-CH"/>
        </w:rPr>
      </w:pPr>
      <w:r w:rsidRPr="00672B9E">
        <w:rPr>
          <w:color w:val="000000" w:themeColor="text1"/>
          <w:szCs w:val="24"/>
          <w:vertAlign w:val="superscript"/>
          <w:lang w:val="fr-CH"/>
        </w:rPr>
        <w:t>2</w:t>
      </w:r>
      <w:r w:rsidRPr="00672B9E">
        <w:rPr>
          <w:color w:val="000000" w:themeColor="text1"/>
          <w:szCs w:val="24"/>
          <w:lang w:val="fr-CH"/>
        </w:rPr>
        <w:t xml:space="preserve"> Toute personne a le droit d'organiser des réunions, d'y prendre part ou non.</w:t>
      </w:r>
    </w:p>
    <w:p w:rsidR="00011C64" w:rsidRDefault="00011C64">
      <w:pPr>
        <w:spacing w:after="0" w:line="276" w:lineRule="auto"/>
        <w:ind w:left="0" w:right="686" w:firstLine="0"/>
        <w:rPr>
          <w:color w:val="000000" w:themeColor="text1"/>
          <w:szCs w:val="24"/>
          <w:lang w:val="fr-CH"/>
        </w:rPr>
      </w:pPr>
    </w:p>
    <w:p w:rsidR="00011C64" w:rsidRDefault="007406EB" w:rsidP="00672B9E">
      <w:pPr>
        <w:spacing w:after="0" w:line="276" w:lineRule="auto"/>
        <w:ind w:left="0" w:right="686" w:firstLine="0"/>
        <w:rPr>
          <w:color w:val="000000" w:themeColor="text1"/>
          <w:szCs w:val="24"/>
          <w:lang w:val="fr-FR"/>
        </w:rPr>
      </w:pPr>
      <w:r>
        <w:rPr>
          <w:b/>
          <w:color w:val="000000" w:themeColor="text1"/>
          <w:szCs w:val="24"/>
          <w:lang w:val="fr-FR"/>
        </w:rPr>
        <w:t>Art. 36</w:t>
      </w:r>
      <w:r w:rsidR="00672B9E">
        <w:rPr>
          <w:color w:val="000000" w:themeColor="text1"/>
          <w:szCs w:val="24"/>
          <w:lang w:val="fr-FR"/>
        </w:rPr>
        <w:t xml:space="preserve"> </w:t>
      </w:r>
      <w:r>
        <w:rPr>
          <w:color w:val="000000" w:themeColor="text1"/>
          <w:szCs w:val="24"/>
          <w:lang w:val="fr-FR"/>
        </w:rPr>
        <w:t>Restriction des droits fondamentaux</w:t>
      </w:r>
    </w:p>
    <w:p w:rsidR="00011C64" w:rsidRDefault="007406EB" w:rsidP="00672B9E">
      <w:pPr>
        <w:spacing w:after="0" w:line="276" w:lineRule="auto"/>
        <w:ind w:left="0" w:right="686" w:firstLine="0"/>
        <w:rPr>
          <w:color w:val="000000" w:themeColor="text1"/>
          <w:szCs w:val="24"/>
          <w:lang w:val="fr-FR"/>
        </w:rPr>
      </w:pPr>
      <w:r>
        <w:rPr>
          <w:color w:val="000000" w:themeColor="text1"/>
          <w:szCs w:val="24"/>
          <w:vertAlign w:val="superscript"/>
          <w:lang w:val="fr-FR"/>
        </w:rPr>
        <w:t>1</w:t>
      </w:r>
      <w:r>
        <w:rPr>
          <w:color w:val="000000" w:themeColor="text1"/>
          <w:szCs w:val="24"/>
          <w:lang w:val="fr-FR"/>
        </w:rPr>
        <w:t xml:space="preserve"> Toute restriction d'un droit fondamental doit être fondée sur une base légale. Les restrictions graves doivent être prévues par une loi. Les cas de danger sérieux, direct et imminent sont réservés.</w:t>
      </w:r>
    </w:p>
    <w:p w:rsidR="00011C64" w:rsidRDefault="007406EB" w:rsidP="00672B9E">
      <w:pPr>
        <w:spacing w:after="0" w:line="276" w:lineRule="auto"/>
        <w:ind w:left="0" w:right="686" w:firstLine="0"/>
        <w:rPr>
          <w:color w:val="000000" w:themeColor="text1"/>
          <w:szCs w:val="24"/>
          <w:lang w:val="fr-FR"/>
        </w:rPr>
      </w:pPr>
      <w:r>
        <w:rPr>
          <w:color w:val="000000" w:themeColor="text1"/>
          <w:szCs w:val="24"/>
          <w:vertAlign w:val="superscript"/>
          <w:lang w:val="fr-FR"/>
        </w:rPr>
        <w:t>2</w:t>
      </w:r>
      <w:r>
        <w:rPr>
          <w:color w:val="000000" w:themeColor="text1"/>
          <w:szCs w:val="24"/>
          <w:lang w:val="fr-FR"/>
        </w:rPr>
        <w:t xml:space="preserve"> Toute restriction d'un droit fondamental doit être justifiée par un intérêt public ou par la protection d'un droit fondamental d'autrui.</w:t>
      </w:r>
    </w:p>
    <w:p w:rsidR="00011C64" w:rsidRDefault="007406EB" w:rsidP="00672B9E">
      <w:pPr>
        <w:spacing w:after="0" w:line="276" w:lineRule="auto"/>
        <w:ind w:left="0" w:right="686" w:firstLine="0"/>
        <w:rPr>
          <w:color w:val="000000" w:themeColor="text1"/>
          <w:szCs w:val="24"/>
          <w:lang w:val="fr-FR"/>
        </w:rPr>
      </w:pPr>
      <w:r>
        <w:rPr>
          <w:color w:val="000000" w:themeColor="text1"/>
          <w:szCs w:val="24"/>
          <w:vertAlign w:val="superscript"/>
          <w:lang w:val="fr-FR"/>
        </w:rPr>
        <w:t>3</w:t>
      </w:r>
      <w:r>
        <w:rPr>
          <w:color w:val="000000" w:themeColor="text1"/>
          <w:szCs w:val="24"/>
          <w:lang w:val="fr-FR"/>
        </w:rPr>
        <w:t xml:space="preserve"> Toute restriction d'un droit fondamental doit être proportionnée au but visé.</w:t>
      </w:r>
    </w:p>
    <w:p w:rsidR="00011C64" w:rsidRDefault="007406EB" w:rsidP="00672B9E">
      <w:pPr>
        <w:spacing w:after="0" w:line="276" w:lineRule="auto"/>
        <w:ind w:left="0" w:right="686" w:firstLine="0"/>
        <w:rPr>
          <w:color w:val="000000" w:themeColor="text1"/>
          <w:szCs w:val="24"/>
          <w:lang w:val="fr-FR"/>
        </w:rPr>
      </w:pPr>
      <w:r>
        <w:rPr>
          <w:color w:val="000000" w:themeColor="text1"/>
          <w:szCs w:val="24"/>
          <w:vertAlign w:val="superscript"/>
          <w:lang w:val="fr-FR"/>
        </w:rPr>
        <w:t>4</w:t>
      </w:r>
      <w:r>
        <w:rPr>
          <w:color w:val="000000" w:themeColor="text1"/>
          <w:szCs w:val="24"/>
          <w:lang w:val="fr-FR"/>
        </w:rPr>
        <w:t xml:space="preserve"> L'essence des droits fondamentaux est inviolable.</w:t>
      </w:r>
    </w:p>
    <w:p w:rsidR="00011C64" w:rsidRDefault="00011C64">
      <w:pPr>
        <w:spacing w:after="0" w:line="276" w:lineRule="auto"/>
        <w:ind w:left="970" w:right="686" w:firstLine="708"/>
        <w:rPr>
          <w:color w:val="000000" w:themeColor="text1"/>
          <w:szCs w:val="24"/>
          <w:lang w:val="fr-FR"/>
        </w:rPr>
      </w:pPr>
    </w:p>
    <w:p w:rsidR="00672B9E" w:rsidRDefault="007406EB" w:rsidP="00672B9E">
      <w:pPr>
        <w:spacing w:after="0" w:line="276" w:lineRule="auto"/>
        <w:ind w:left="0" w:right="686" w:firstLine="0"/>
        <w:rPr>
          <w:color w:val="000000" w:themeColor="text1"/>
          <w:szCs w:val="24"/>
          <w:lang w:val="fr-CH"/>
        </w:rPr>
      </w:pPr>
      <w:r>
        <w:rPr>
          <w:color w:val="000000" w:themeColor="text1"/>
          <w:szCs w:val="24"/>
          <w:lang w:val="fr-FR"/>
        </w:rPr>
        <w:t xml:space="preserve">En Suisse, c’est aux cantons qu’il incombe </w:t>
      </w:r>
      <w:r w:rsidR="00672B9E">
        <w:rPr>
          <w:color w:val="000000" w:themeColor="text1"/>
          <w:szCs w:val="24"/>
          <w:lang w:val="fr-FR"/>
        </w:rPr>
        <w:t>en premier lieu</w:t>
      </w:r>
      <w:r>
        <w:rPr>
          <w:color w:val="000000" w:themeColor="text1"/>
          <w:szCs w:val="24"/>
          <w:lang w:val="fr-FR"/>
        </w:rPr>
        <w:t xml:space="preserve"> d’assurer la sécurité sur leur territoire. </w:t>
      </w:r>
      <w:r w:rsidR="00672B9E">
        <w:rPr>
          <w:color w:val="000000" w:themeColor="text1"/>
          <w:szCs w:val="24"/>
          <w:lang w:val="fr-FR"/>
        </w:rPr>
        <w:t>Ils</w:t>
      </w:r>
      <w:r>
        <w:rPr>
          <w:color w:val="000000" w:themeColor="text1"/>
          <w:szCs w:val="24"/>
          <w:lang w:val="fr-FR"/>
        </w:rPr>
        <w:t xml:space="preserve"> disposent sur leur territoire de la souveraineté de la police et donc de la compétence d’application législative et juridique correspondante en ce qui concerne la mission globale de prévention des dangers</w:t>
      </w:r>
      <w:r>
        <w:rPr>
          <w:color w:val="000000" w:themeColor="text1"/>
          <w:szCs w:val="24"/>
          <w:lang w:val="fr-CH"/>
        </w:rPr>
        <w:t>. Les autorités fédérales n’ont pas d’autorité policière globale. Le droit cantonal doit cependant respecter le droit fédéral.</w:t>
      </w:r>
      <w:r w:rsidR="00672B9E">
        <w:rPr>
          <w:color w:val="000000" w:themeColor="text1"/>
          <w:szCs w:val="24"/>
          <w:lang w:val="fr-CH"/>
        </w:rPr>
        <w:t xml:space="preserve"> </w:t>
      </w:r>
    </w:p>
    <w:p w:rsidR="00672B9E" w:rsidRDefault="00672B9E" w:rsidP="00672B9E">
      <w:pPr>
        <w:spacing w:after="0" w:line="276" w:lineRule="auto"/>
        <w:ind w:left="0" w:right="686" w:firstLine="0"/>
        <w:rPr>
          <w:color w:val="000000" w:themeColor="text1"/>
          <w:szCs w:val="24"/>
          <w:lang w:val="fr-CH"/>
        </w:rPr>
      </w:pPr>
    </w:p>
    <w:p w:rsidR="00672B9E" w:rsidRDefault="007406EB" w:rsidP="00672B9E">
      <w:pPr>
        <w:spacing w:after="0" w:line="276" w:lineRule="auto"/>
        <w:ind w:left="0" w:right="686" w:firstLine="0"/>
        <w:rPr>
          <w:color w:val="000000" w:themeColor="text1"/>
          <w:szCs w:val="24"/>
          <w:lang w:val="fr-CH"/>
        </w:rPr>
      </w:pPr>
      <w:r w:rsidRPr="00672B9E">
        <w:rPr>
          <w:color w:val="000000" w:themeColor="text1"/>
          <w:szCs w:val="24"/>
          <w:lang w:val="fr-CH"/>
        </w:rPr>
        <w:t>Les lois cantonales sur la police constituent la base légale pour l’accomplissement des tâches de police, mais elles peuvent être complétées ou précisées par d’autres sources juridiques.</w:t>
      </w:r>
      <w:r w:rsidR="00672B9E">
        <w:rPr>
          <w:color w:val="000000" w:themeColor="text1"/>
          <w:szCs w:val="24"/>
          <w:lang w:val="fr-CH"/>
        </w:rPr>
        <w:t xml:space="preserve"> </w:t>
      </w:r>
    </w:p>
    <w:p w:rsidR="00672B9E" w:rsidRDefault="00672B9E" w:rsidP="00672B9E">
      <w:pPr>
        <w:spacing w:after="0" w:line="276" w:lineRule="auto"/>
        <w:ind w:left="0" w:right="686" w:firstLine="0"/>
        <w:rPr>
          <w:color w:val="000000" w:themeColor="text1"/>
          <w:szCs w:val="24"/>
          <w:lang w:val="fr-CH"/>
        </w:rPr>
      </w:pPr>
    </w:p>
    <w:p w:rsidR="005631A6" w:rsidRDefault="007406EB" w:rsidP="005631A6">
      <w:pPr>
        <w:spacing w:after="0" w:line="276" w:lineRule="auto"/>
        <w:ind w:left="0" w:right="686" w:firstLine="0"/>
        <w:rPr>
          <w:color w:val="000000" w:themeColor="text1"/>
          <w:szCs w:val="24"/>
          <w:lang w:val="fr-CH"/>
        </w:rPr>
      </w:pPr>
      <w:r w:rsidRPr="00672B9E">
        <w:rPr>
          <w:color w:val="000000" w:themeColor="text1"/>
          <w:szCs w:val="24"/>
          <w:lang w:val="fr-CH"/>
        </w:rPr>
        <w:t>Au niveau fédéral, il existe des bases légales spécifiques qui peuvent être citées dans le contexte des questions posées. La loi fédérale sur le renseignement (du 25 septembre 2015 (</w:t>
      </w:r>
      <w:proofErr w:type="spellStart"/>
      <w:r w:rsidRPr="00672B9E">
        <w:rPr>
          <w:color w:val="000000" w:themeColor="text1"/>
          <w:szCs w:val="24"/>
          <w:lang w:val="fr-CH"/>
        </w:rPr>
        <w:t>LRens</w:t>
      </w:r>
      <w:proofErr w:type="spellEnd"/>
      <w:r w:rsidRPr="00672B9E">
        <w:rPr>
          <w:color w:val="000000" w:themeColor="text1"/>
          <w:szCs w:val="24"/>
          <w:lang w:val="fr-CH"/>
        </w:rPr>
        <w:t> ; RS 121)), ou encore la loi fédérale sur les systèmes d’information de police de la Confédération (du 13 juin 2008 (LSIP ; RS 261).</w:t>
      </w:r>
    </w:p>
    <w:p w:rsidR="005631A6" w:rsidRDefault="005631A6" w:rsidP="005631A6">
      <w:pPr>
        <w:spacing w:after="0" w:line="276" w:lineRule="auto"/>
        <w:ind w:left="0" w:right="686" w:firstLine="0"/>
        <w:rPr>
          <w:color w:val="000000" w:themeColor="text1"/>
          <w:szCs w:val="24"/>
          <w:lang w:val="fr-CH"/>
        </w:rPr>
      </w:pPr>
    </w:p>
    <w:p w:rsidR="005631A6" w:rsidRDefault="007406EB" w:rsidP="005631A6">
      <w:pPr>
        <w:spacing w:after="0" w:line="276" w:lineRule="auto"/>
        <w:ind w:left="0" w:right="686" w:firstLine="0"/>
        <w:rPr>
          <w:color w:val="000000" w:themeColor="text1"/>
          <w:szCs w:val="24"/>
          <w:lang w:val="fr-CH"/>
        </w:rPr>
      </w:pPr>
      <w:r w:rsidRPr="005631A6">
        <w:rPr>
          <w:color w:val="000000" w:themeColor="text1"/>
          <w:szCs w:val="24"/>
          <w:lang w:val="fr-CH"/>
        </w:rPr>
        <w:lastRenderedPageBreak/>
        <w:t xml:space="preserve">Le </w:t>
      </w:r>
      <w:r w:rsidRPr="005631A6">
        <w:rPr>
          <w:color w:val="000000" w:themeColor="text1"/>
          <w:szCs w:val="24"/>
          <w:lang w:val="fr-FR"/>
        </w:rPr>
        <w:t>Service de renseignement de la Confédération ne recherche ni ne traite aucune information relative aux activités politiques ou à l'exercice de la liberté d'opinion, d'association ou de réunion en Suisse (</w:t>
      </w:r>
      <w:r w:rsidRPr="005631A6">
        <w:rPr>
          <w:color w:val="000000" w:themeColor="text1"/>
          <w:szCs w:val="24"/>
          <w:lang w:val="fr-CH"/>
        </w:rPr>
        <w:t xml:space="preserve">Art. 5 al. 5 </w:t>
      </w:r>
      <w:proofErr w:type="spellStart"/>
      <w:r w:rsidRPr="005631A6">
        <w:rPr>
          <w:color w:val="000000" w:themeColor="text1"/>
          <w:szCs w:val="24"/>
          <w:lang w:val="fr-CH"/>
        </w:rPr>
        <w:t>LRens</w:t>
      </w:r>
      <w:proofErr w:type="spellEnd"/>
      <w:r w:rsidRPr="005631A6">
        <w:rPr>
          <w:color w:val="000000" w:themeColor="text1"/>
          <w:szCs w:val="24"/>
          <w:lang w:val="fr-CH"/>
        </w:rPr>
        <w:t>).</w:t>
      </w:r>
    </w:p>
    <w:p w:rsidR="005631A6" w:rsidRDefault="005631A6" w:rsidP="005631A6">
      <w:pPr>
        <w:spacing w:after="0" w:line="276" w:lineRule="auto"/>
        <w:ind w:left="0" w:right="686" w:firstLine="0"/>
        <w:rPr>
          <w:color w:val="000000" w:themeColor="text1"/>
          <w:szCs w:val="24"/>
          <w:lang w:val="fr-CH"/>
        </w:rPr>
      </w:pPr>
    </w:p>
    <w:p w:rsidR="005631A6" w:rsidRDefault="007406EB" w:rsidP="005631A6">
      <w:pPr>
        <w:pStyle w:val="ListParagraph"/>
        <w:numPr>
          <w:ilvl w:val="0"/>
          <w:numId w:val="1"/>
        </w:numPr>
        <w:spacing w:after="0" w:line="276" w:lineRule="auto"/>
        <w:ind w:right="686"/>
        <w:rPr>
          <w:color w:val="000000" w:themeColor="text1"/>
          <w:szCs w:val="24"/>
          <w:lang w:val="fr-CH"/>
        </w:rPr>
      </w:pPr>
      <w:r w:rsidRPr="005631A6">
        <w:rPr>
          <w:color w:val="000000" w:themeColor="text1"/>
          <w:szCs w:val="24"/>
          <w:lang w:val="fr-CH"/>
        </w:rPr>
        <w:t>Utilisation efficace de telles nouvelles technologies, afin de faciliter l'exercice des droits de l'homme dans le contexte des rassemblements, y compris des manifestations pacifiques (par ex. la manière dans laquelle les nouvelles technologies ont facilité l'organisation des rassemblements, y compris de manifestations pacifiques).</w:t>
      </w:r>
    </w:p>
    <w:p w:rsidR="005631A6" w:rsidRDefault="005631A6" w:rsidP="005631A6">
      <w:pPr>
        <w:pStyle w:val="ListParagraph"/>
        <w:spacing w:after="0" w:line="276" w:lineRule="auto"/>
        <w:ind w:left="976" w:right="686" w:firstLine="0"/>
        <w:rPr>
          <w:color w:val="000000" w:themeColor="text1"/>
          <w:szCs w:val="24"/>
          <w:lang w:val="fr-CH"/>
        </w:rPr>
      </w:pPr>
    </w:p>
    <w:p w:rsidR="00011C64" w:rsidRPr="005631A6" w:rsidRDefault="007406EB" w:rsidP="005631A6">
      <w:pPr>
        <w:pStyle w:val="ListParagraph"/>
        <w:numPr>
          <w:ilvl w:val="0"/>
          <w:numId w:val="1"/>
        </w:numPr>
        <w:spacing w:after="0" w:line="276" w:lineRule="auto"/>
        <w:ind w:right="686"/>
        <w:rPr>
          <w:color w:val="000000" w:themeColor="text1"/>
          <w:szCs w:val="24"/>
          <w:lang w:val="fr-CH"/>
        </w:rPr>
      </w:pPr>
      <w:r>
        <w:rPr>
          <w:noProof/>
          <w:lang w:val="en-GB" w:eastAsia="en-GB"/>
        </w:rPr>
        <w:drawing>
          <wp:anchor distT="0" distB="0" distL="114300" distR="114300" simplePos="0" relativeHeight="251659264" behindDoc="0" locked="0" layoutInCell="1" allowOverlap="0">
            <wp:simplePos x="0" y="0"/>
            <wp:positionH relativeFrom="column">
              <wp:posOffset>978408</wp:posOffset>
            </wp:positionH>
            <wp:positionV relativeFrom="paragraph">
              <wp:posOffset>496836</wp:posOffset>
            </wp:positionV>
            <wp:extent cx="9144" cy="13716"/>
            <wp:effectExtent l="0" t="0" r="0" b="0"/>
            <wp:wrapSquare wrapText="bothSides"/>
            <wp:docPr id="3248" name="Picture 3248"/>
            <wp:cNvGraphicFramePr/>
            <a:graphic xmlns:a="http://schemas.openxmlformats.org/drawingml/2006/main">
              <a:graphicData uri="http://schemas.openxmlformats.org/drawingml/2006/picture">
                <pic:pic xmlns:pic="http://schemas.openxmlformats.org/drawingml/2006/picture">
                  <pic:nvPicPr>
                    <pic:cNvPr id="3248" name="Picture 3248"/>
                    <pic:cNvPicPr/>
                  </pic:nvPicPr>
                  <pic:blipFill>
                    <a:blip r:embed="rId6"/>
                    <a:stretch>
                      <a:fillRect/>
                    </a:stretch>
                  </pic:blipFill>
                  <pic:spPr>
                    <a:xfrm>
                      <a:off x="0" y="0"/>
                      <a:ext cx="9144" cy="13716"/>
                    </a:xfrm>
                    <a:prstGeom prst="rect">
                      <a:avLst/>
                    </a:prstGeom>
                  </pic:spPr>
                </pic:pic>
              </a:graphicData>
            </a:graphic>
          </wp:anchor>
        </w:drawing>
      </w:r>
      <w:r w:rsidRPr="005631A6">
        <w:rPr>
          <w:color w:val="000000" w:themeColor="text1"/>
          <w:szCs w:val="24"/>
          <w:lang w:val="fr-CH"/>
        </w:rPr>
        <w:t>Les défis en matière de droits de l'homme posés par les ingérences dans la disponibilité et l'utilisation de telles technologies dans le contexte des rassemblements, y compris des manifestations pacifiques (par exemple, perturbations des réseaux, blocage des services Internet ou restriction des communications sécurisées et confidentielles);</w:t>
      </w:r>
    </w:p>
    <w:p w:rsidR="00011C64" w:rsidRDefault="00011C64">
      <w:pPr>
        <w:spacing w:after="0" w:line="276" w:lineRule="auto"/>
        <w:ind w:left="1754" w:right="683" w:firstLine="0"/>
        <w:rPr>
          <w:color w:val="000000" w:themeColor="text1"/>
          <w:szCs w:val="24"/>
          <w:lang w:val="fr-CH"/>
        </w:rPr>
      </w:pPr>
    </w:p>
    <w:p w:rsidR="00011C64" w:rsidRPr="005631A6" w:rsidRDefault="007406EB" w:rsidP="005631A6">
      <w:pPr>
        <w:spacing w:after="0" w:line="276" w:lineRule="auto"/>
        <w:ind w:left="0" w:right="683" w:firstLine="0"/>
        <w:rPr>
          <w:color w:val="000000" w:themeColor="text1"/>
          <w:szCs w:val="24"/>
          <w:lang w:val="fr-CH"/>
        </w:rPr>
      </w:pPr>
      <w:r w:rsidRPr="005631A6">
        <w:rPr>
          <w:color w:val="000000" w:themeColor="text1"/>
          <w:szCs w:val="24"/>
          <w:lang w:val="fr-CH"/>
        </w:rPr>
        <w:t xml:space="preserve">En ce qui concerne les questions 2 et 3, il convient de mentionner que les nouvelles technologies, en particulier celles basées sur l’internet, telle que Facebook, Twitter et Instagram, sont librement accessibles. L’utilisation de ces nouvelles technologies n’est pas limitée. Il n’y a pas des blocages des services Internet etc. </w:t>
      </w:r>
    </w:p>
    <w:p w:rsidR="00011C64" w:rsidRDefault="00011C64">
      <w:pPr>
        <w:spacing w:after="0" w:line="276" w:lineRule="auto"/>
        <w:ind w:left="1754" w:right="683" w:firstLine="0"/>
        <w:rPr>
          <w:color w:val="000000" w:themeColor="text1"/>
          <w:szCs w:val="24"/>
          <w:lang w:val="fr-CH"/>
        </w:rPr>
      </w:pPr>
    </w:p>
    <w:p w:rsidR="00011C64" w:rsidRDefault="007406EB">
      <w:pPr>
        <w:numPr>
          <w:ilvl w:val="0"/>
          <w:numId w:val="1"/>
        </w:numPr>
        <w:spacing w:after="337" w:line="276" w:lineRule="auto"/>
        <w:ind w:right="683" w:hanging="338"/>
        <w:rPr>
          <w:color w:val="000000" w:themeColor="text1"/>
          <w:szCs w:val="24"/>
          <w:lang w:val="fr-CH"/>
        </w:rPr>
      </w:pPr>
      <w:r>
        <w:rPr>
          <w:color w:val="000000" w:themeColor="text1"/>
          <w:szCs w:val="24"/>
          <w:lang w:val="fr-CH"/>
        </w:rPr>
        <w:t xml:space="preserve">Les défis en matière de droits de l'homme posés par l'utilisation de nouvelles technologies, y compris les technologies de l'information et de la communication, dans le contexte des rassemblements, y compris des manifestations pacifiques (par ex. l'utilisation d'outils de surveillance et de suivi </w:t>
      </w:r>
      <w:r>
        <w:rPr>
          <w:rFonts w:eastAsia="Calibri"/>
          <w:color w:val="000000" w:themeColor="text1"/>
          <w:szCs w:val="24"/>
          <w:lang w:val="fr-CH"/>
        </w:rPr>
        <w:t>par les autorités, y compris les technologies de reconnaissance biométrique pour identifier les manifestants).</w:t>
      </w:r>
    </w:p>
    <w:p w:rsidR="00011C64" w:rsidRDefault="007406EB" w:rsidP="005631A6">
      <w:pPr>
        <w:spacing w:after="0" w:line="276" w:lineRule="auto"/>
        <w:ind w:left="0" w:right="683" w:firstLine="0"/>
        <w:rPr>
          <w:rFonts w:eastAsia="Calibri"/>
          <w:color w:val="000000" w:themeColor="text1"/>
          <w:szCs w:val="24"/>
          <w:lang w:val="fr-CH"/>
        </w:rPr>
      </w:pPr>
      <w:r>
        <w:rPr>
          <w:rFonts w:eastAsia="Calibri"/>
          <w:color w:val="000000" w:themeColor="text1"/>
          <w:szCs w:val="24"/>
          <w:lang w:val="fr-CH"/>
        </w:rPr>
        <w:t xml:space="preserve">Les participants à une manifestation pacifique ne peuvent en aucun cas être enregistrés. Cela s’applique à tous les formes d’enregistrement d’identité, que ce soit par reconnaissance policière, photographie ou enregistrement vidéo avec une résolution suffisante. Dans les cas d’infractions pénales, cependant, il est possible de détenir des personnes afin de les identifier. </w:t>
      </w:r>
    </w:p>
    <w:p w:rsidR="00011C64" w:rsidRDefault="00011C64">
      <w:pPr>
        <w:spacing w:after="0" w:line="276" w:lineRule="auto"/>
        <w:ind w:left="1754" w:right="683" w:firstLine="0"/>
        <w:rPr>
          <w:rFonts w:eastAsia="Calibri"/>
          <w:color w:val="000000" w:themeColor="text1"/>
          <w:szCs w:val="24"/>
          <w:lang w:val="fr-CH"/>
        </w:rPr>
      </w:pPr>
    </w:p>
    <w:p w:rsidR="00011C64" w:rsidRDefault="007406EB" w:rsidP="005631A6">
      <w:pPr>
        <w:spacing w:after="0" w:line="276" w:lineRule="auto"/>
        <w:ind w:left="0" w:right="683" w:firstLine="0"/>
        <w:rPr>
          <w:color w:val="000000" w:themeColor="text1"/>
          <w:szCs w:val="24"/>
          <w:lang w:val="fr-CH"/>
        </w:rPr>
      </w:pPr>
      <w:r>
        <w:rPr>
          <w:rFonts w:eastAsia="Calibri"/>
          <w:color w:val="000000" w:themeColor="text1"/>
          <w:szCs w:val="24"/>
          <w:lang w:val="fr-CH"/>
        </w:rPr>
        <w:t xml:space="preserve">Le traitement des données à des fins préventives ou répressives est soumis au principe de la légalité. Plusieurs bases légales sont pertinentes dans ce </w:t>
      </w:r>
      <w:r>
        <w:rPr>
          <w:rFonts w:eastAsia="Calibri"/>
          <w:color w:val="000000" w:themeColor="text1"/>
          <w:szCs w:val="24"/>
          <w:lang w:val="fr-CH"/>
        </w:rPr>
        <w:lastRenderedPageBreak/>
        <w:t xml:space="preserve">contexte, notamment </w:t>
      </w:r>
      <w:r>
        <w:rPr>
          <w:color w:val="000000" w:themeColor="text1"/>
          <w:szCs w:val="24"/>
          <w:lang w:val="fr-CH"/>
        </w:rPr>
        <w:t>la loi fédérale sur le renseignement (</w:t>
      </w:r>
      <w:proofErr w:type="spellStart"/>
      <w:r>
        <w:rPr>
          <w:color w:val="000000" w:themeColor="text1"/>
          <w:szCs w:val="24"/>
          <w:lang w:val="fr-CH"/>
        </w:rPr>
        <w:t>LRens</w:t>
      </w:r>
      <w:proofErr w:type="spellEnd"/>
      <w:r>
        <w:rPr>
          <w:color w:val="000000" w:themeColor="text1"/>
          <w:szCs w:val="24"/>
          <w:lang w:val="fr-CH"/>
        </w:rPr>
        <w:t>), la loi fédérale sur la protection des données (du 19 juin 1992 (</w:t>
      </w:r>
      <w:proofErr w:type="spellStart"/>
      <w:r>
        <w:rPr>
          <w:color w:val="000000" w:themeColor="text1"/>
          <w:szCs w:val="24"/>
          <w:lang w:val="fr-CH"/>
        </w:rPr>
        <w:t>LRens</w:t>
      </w:r>
      <w:proofErr w:type="spellEnd"/>
      <w:r>
        <w:rPr>
          <w:color w:val="000000" w:themeColor="text1"/>
          <w:szCs w:val="24"/>
          <w:lang w:val="fr-CH"/>
        </w:rPr>
        <w:t xml:space="preserve"> ; RS 235.1) et les lois cantonales sur la protection des données, le code de procédure pénale suisse (du 5 octobre 2007 (CPP ; RS 312)) ainsi que le droit cantonal de la police. </w:t>
      </w:r>
    </w:p>
    <w:p w:rsidR="00011C64" w:rsidRDefault="00011C64">
      <w:pPr>
        <w:spacing w:after="0" w:line="276" w:lineRule="auto"/>
        <w:ind w:left="1638" w:right="683" w:firstLine="0"/>
        <w:rPr>
          <w:color w:val="000000" w:themeColor="text1"/>
          <w:szCs w:val="24"/>
          <w:lang w:val="fr-CH"/>
        </w:rPr>
      </w:pPr>
    </w:p>
    <w:p w:rsidR="00011C64" w:rsidRDefault="007406EB" w:rsidP="005631A6">
      <w:pPr>
        <w:spacing w:after="0" w:line="276" w:lineRule="auto"/>
        <w:ind w:left="0" w:right="683" w:firstLine="0"/>
        <w:rPr>
          <w:color w:val="000000" w:themeColor="text1"/>
          <w:szCs w:val="24"/>
          <w:lang w:val="fr-CH"/>
        </w:rPr>
      </w:pPr>
      <w:r>
        <w:rPr>
          <w:rFonts w:eastAsia="Calibri"/>
          <w:color w:val="000000" w:themeColor="text1"/>
          <w:szCs w:val="24"/>
          <w:lang w:val="fr-CH"/>
        </w:rPr>
        <w:t xml:space="preserve">Les enregistrements photographiques ou vidéo qui ne permettent pas l’identification directe ou indirecte des personne ne </w:t>
      </w:r>
      <w:proofErr w:type="gramStart"/>
      <w:r>
        <w:rPr>
          <w:rFonts w:eastAsia="Calibri"/>
          <w:color w:val="000000" w:themeColor="text1"/>
          <w:szCs w:val="24"/>
          <w:lang w:val="fr-CH"/>
        </w:rPr>
        <w:t>relèvent</w:t>
      </w:r>
      <w:proofErr w:type="gramEnd"/>
      <w:r>
        <w:rPr>
          <w:rFonts w:eastAsia="Calibri"/>
          <w:color w:val="000000" w:themeColor="text1"/>
          <w:szCs w:val="24"/>
          <w:lang w:val="fr-CH"/>
        </w:rPr>
        <w:t xml:space="preserve"> pas de la protection de l’art. 13 al. 2 Cst. </w:t>
      </w:r>
      <w:proofErr w:type="gramStart"/>
      <w:r>
        <w:rPr>
          <w:rFonts w:eastAsia="Calibri"/>
          <w:color w:val="000000" w:themeColor="text1"/>
          <w:szCs w:val="24"/>
          <w:lang w:val="fr-CH"/>
        </w:rPr>
        <w:t>et</w:t>
      </w:r>
      <w:proofErr w:type="gramEnd"/>
      <w:r>
        <w:rPr>
          <w:rFonts w:eastAsia="Calibri"/>
          <w:color w:val="000000" w:themeColor="text1"/>
          <w:szCs w:val="24"/>
          <w:lang w:val="fr-CH"/>
        </w:rPr>
        <w:t xml:space="preserve"> ne sont donc pas soumis à la loi sur la protection des données</w:t>
      </w:r>
      <w:r>
        <w:rPr>
          <w:color w:val="000000" w:themeColor="text1"/>
          <w:szCs w:val="24"/>
          <w:lang w:val="fr-CH"/>
        </w:rPr>
        <w:t>.</w:t>
      </w:r>
    </w:p>
    <w:p w:rsidR="00011C64" w:rsidRDefault="00011C64">
      <w:pPr>
        <w:spacing w:after="0" w:line="276" w:lineRule="auto"/>
        <w:ind w:left="1754" w:right="683" w:firstLine="0"/>
        <w:rPr>
          <w:color w:val="000000" w:themeColor="text1"/>
          <w:szCs w:val="24"/>
          <w:lang w:val="fr-CH"/>
        </w:rPr>
      </w:pPr>
    </w:p>
    <w:p w:rsidR="00011C64" w:rsidRDefault="007406EB">
      <w:pPr>
        <w:numPr>
          <w:ilvl w:val="0"/>
          <w:numId w:val="1"/>
        </w:numPr>
        <w:spacing w:after="0" w:line="276" w:lineRule="auto"/>
        <w:ind w:right="683" w:hanging="338"/>
        <w:rPr>
          <w:color w:val="000000" w:themeColor="text1"/>
          <w:szCs w:val="24"/>
          <w:lang w:val="fr-CH"/>
        </w:rPr>
      </w:pPr>
      <w:r>
        <w:rPr>
          <w:rFonts w:eastAsia="Calibri"/>
          <w:color w:val="000000" w:themeColor="text1"/>
          <w:szCs w:val="24"/>
          <w:lang w:val="fr-CH"/>
        </w:rPr>
        <w:t xml:space="preserve">L'impact sur les droits de l'homme de l'utilisation de nouvelles armes et munitions </w:t>
      </w:r>
      <w:proofErr w:type="spellStart"/>
      <w:r>
        <w:rPr>
          <w:rFonts w:eastAsia="Calibri"/>
          <w:color w:val="000000" w:themeColor="text1"/>
          <w:szCs w:val="24"/>
          <w:lang w:val="fr-CH"/>
        </w:rPr>
        <w:t>sublétales</w:t>
      </w:r>
      <w:proofErr w:type="spellEnd"/>
      <w:r>
        <w:rPr>
          <w:rFonts w:eastAsia="Calibri"/>
          <w:color w:val="000000" w:themeColor="text1"/>
          <w:szCs w:val="24"/>
          <w:lang w:val="fr-CH"/>
        </w:rPr>
        <w:t xml:space="preserve"> et le contexte des rassemblements, y compris des manifestations pacifiques.</w:t>
      </w:r>
    </w:p>
    <w:p w:rsidR="00011C64" w:rsidRDefault="00011C64">
      <w:pPr>
        <w:spacing w:after="0" w:line="276" w:lineRule="auto"/>
        <w:ind w:left="1754" w:right="683" w:firstLine="0"/>
        <w:rPr>
          <w:rFonts w:eastAsia="Calibri"/>
          <w:color w:val="000000" w:themeColor="text1"/>
          <w:szCs w:val="24"/>
          <w:lang w:val="fr-CH"/>
        </w:rPr>
      </w:pPr>
    </w:p>
    <w:p w:rsidR="00011C64" w:rsidRDefault="007406EB" w:rsidP="005631A6">
      <w:pPr>
        <w:spacing w:after="0" w:line="276" w:lineRule="auto"/>
        <w:ind w:left="0" w:right="683" w:firstLine="0"/>
        <w:rPr>
          <w:rFonts w:eastAsia="Calibri"/>
          <w:color w:val="000000" w:themeColor="text1"/>
          <w:szCs w:val="24"/>
          <w:lang w:val="fr-CH"/>
        </w:rPr>
      </w:pPr>
      <w:r>
        <w:rPr>
          <w:rFonts w:eastAsia="Calibri"/>
          <w:color w:val="000000" w:themeColor="text1"/>
          <w:szCs w:val="24"/>
          <w:lang w:val="fr-CH"/>
        </w:rPr>
        <w:t xml:space="preserve">Ni nouvelles armes ni munitions </w:t>
      </w:r>
      <w:proofErr w:type="spellStart"/>
      <w:r>
        <w:rPr>
          <w:rFonts w:eastAsia="Calibri"/>
          <w:color w:val="000000" w:themeColor="text1"/>
          <w:szCs w:val="24"/>
          <w:lang w:val="fr-CH"/>
        </w:rPr>
        <w:t>sublétales</w:t>
      </w:r>
      <w:proofErr w:type="spellEnd"/>
      <w:r>
        <w:rPr>
          <w:rFonts w:eastAsia="Calibri"/>
          <w:color w:val="000000" w:themeColor="text1"/>
          <w:szCs w:val="24"/>
          <w:lang w:val="fr-CH"/>
        </w:rPr>
        <w:t xml:space="preserve"> ne sont utilisées lors de rassemblements en Suisse. </w:t>
      </w:r>
    </w:p>
    <w:p w:rsidR="00011C64" w:rsidRDefault="00011C64">
      <w:pPr>
        <w:rPr>
          <w:szCs w:val="24"/>
        </w:rPr>
      </w:pPr>
    </w:p>
    <w:sectPr w:rsidR="00011C64">
      <w:pgSz w:w="11907" w:h="1683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7C42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01A4A"/>
    <w:multiLevelType w:val="hybridMultilevel"/>
    <w:tmpl w:val="80CC9EEE"/>
    <w:lvl w:ilvl="0" w:tplc="DE8EB14E">
      <w:start w:val="2"/>
      <w:numFmt w:val="bullet"/>
      <w:lvlText w:val="-"/>
      <w:lvlJc w:val="left"/>
      <w:pPr>
        <w:ind w:left="2038" w:hanging="360"/>
      </w:pPr>
      <w:rPr>
        <w:rFonts w:ascii="Times New Roman" w:eastAsia="Times New Roman" w:hAnsi="Times New Roman" w:cs="Times New Roman" w:hint="default"/>
      </w:rPr>
    </w:lvl>
    <w:lvl w:ilvl="1" w:tplc="08070003" w:tentative="1">
      <w:start w:val="1"/>
      <w:numFmt w:val="bullet"/>
      <w:lvlText w:val="o"/>
      <w:lvlJc w:val="left"/>
      <w:pPr>
        <w:ind w:left="2758" w:hanging="360"/>
      </w:pPr>
      <w:rPr>
        <w:rFonts w:ascii="Courier New" w:hAnsi="Courier New" w:cs="Courier New" w:hint="default"/>
      </w:rPr>
    </w:lvl>
    <w:lvl w:ilvl="2" w:tplc="08070005" w:tentative="1">
      <w:start w:val="1"/>
      <w:numFmt w:val="bullet"/>
      <w:lvlText w:val=""/>
      <w:lvlJc w:val="left"/>
      <w:pPr>
        <w:ind w:left="3478" w:hanging="360"/>
      </w:pPr>
      <w:rPr>
        <w:rFonts w:ascii="Wingdings" w:hAnsi="Wingdings" w:hint="default"/>
      </w:rPr>
    </w:lvl>
    <w:lvl w:ilvl="3" w:tplc="08070001" w:tentative="1">
      <w:start w:val="1"/>
      <w:numFmt w:val="bullet"/>
      <w:lvlText w:val=""/>
      <w:lvlJc w:val="left"/>
      <w:pPr>
        <w:ind w:left="4198" w:hanging="360"/>
      </w:pPr>
      <w:rPr>
        <w:rFonts w:ascii="Symbol" w:hAnsi="Symbol" w:hint="default"/>
      </w:rPr>
    </w:lvl>
    <w:lvl w:ilvl="4" w:tplc="08070003" w:tentative="1">
      <w:start w:val="1"/>
      <w:numFmt w:val="bullet"/>
      <w:lvlText w:val="o"/>
      <w:lvlJc w:val="left"/>
      <w:pPr>
        <w:ind w:left="4918" w:hanging="360"/>
      </w:pPr>
      <w:rPr>
        <w:rFonts w:ascii="Courier New" w:hAnsi="Courier New" w:cs="Courier New" w:hint="default"/>
      </w:rPr>
    </w:lvl>
    <w:lvl w:ilvl="5" w:tplc="08070005" w:tentative="1">
      <w:start w:val="1"/>
      <w:numFmt w:val="bullet"/>
      <w:lvlText w:val=""/>
      <w:lvlJc w:val="left"/>
      <w:pPr>
        <w:ind w:left="5638" w:hanging="360"/>
      </w:pPr>
      <w:rPr>
        <w:rFonts w:ascii="Wingdings" w:hAnsi="Wingdings" w:hint="default"/>
      </w:rPr>
    </w:lvl>
    <w:lvl w:ilvl="6" w:tplc="08070001" w:tentative="1">
      <w:start w:val="1"/>
      <w:numFmt w:val="bullet"/>
      <w:lvlText w:val=""/>
      <w:lvlJc w:val="left"/>
      <w:pPr>
        <w:ind w:left="6358" w:hanging="360"/>
      </w:pPr>
      <w:rPr>
        <w:rFonts w:ascii="Symbol" w:hAnsi="Symbol" w:hint="default"/>
      </w:rPr>
    </w:lvl>
    <w:lvl w:ilvl="7" w:tplc="08070003" w:tentative="1">
      <w:start w:val="1"/>
      <w:numFmt w:val="bullet"/>
      <w:lvlText w:val="o"/>
      <w:lvlJc w:val="left"/>
      <w:pPr>
        <w:ind w:left="7078" w:hanging="360"/>
      </w:pPr>
      <w:rPr>
        <w:rFonts w:ascii="Courier New" w:hAnsi="Courier New" w:cs="Courier New" w:hint="default"/>
      </w:rPr>
    </w:lvl>
    <w:lvl w:ilvl="8" w:tplc="08070005" w:tentative="1">
      <w:start w:val="1"/>
      <w:numFmt w:val="bullet"/>
      <w:lvlText w:val=""/>
      <w:lvlJc w:val="left"/>
      <w:pPr>
        <w:ind w:left="7798" w:hanging="360"/>
      </w:pPr>
      <w:rPr>
        <w:rFonts w:ascii="Wingdings" w:hAnsi="Wingdings" w:hint="default"/>
      </w:rPr>
    </w:lvl>
  </w:abstractNum>
  <w:abstractNum w:abstractNumId="2" w15:restartNumberingAfterBreak="0">
    <w:nsid w:val="061C1DAF"/>
    <w:multiLevelType w:val="hybridMultilevel"/>
    <w:tmpl w:val="718C999A"/>
    <w:lvl w:ilvl="0" w:tplc="42040C8A">
      <w:start w:val="1"/>
      <w:numFmt w:val="bullet"/>
      <w:lvlText w:val="-"/>
      <w:lvlJc w:val="left"/>
      <w:pPr>
        <w:ind w:left="1678" w:hanging="360"/>
      </w:pPr>
      <w:rPr>
        <w:rFonts w:ascii="Times New Roman" w:eastAsia="Times New Roman" w:hAnsi="Times New Roman" w:cs="Times New Roman" w:hint="default"/>
      </w:rPr>
    </w:lvl>
    <w:lvl w:ilvl="1" w:tplc="08070003">
      <w:start w:val="1"/>
      <w:numFmt w:val="bullet"/>
      <w:lvlText w:val="o"/>
      <w:lvlJc w:val="left"/>
      <w:pPr>
        <w:ind w:left="2398" w:hanging="360"/>
      </w:pPr>
      <w:rPr>
        <w:rFonts w:ascii="Courier New" w:hAnsi="Courier New" w:cs="Courier New" w:hint="default"/>
      </w:rPr>
    </w:lvl>
    <w:lvl w:ilvl="2" w:tplc="08070005" w:tentative="1">
      <w:start w:val="1"/>
      <w:numFmt w:val="bullet"/>
      <w:lvlText w:val=""/>
      <w:lvlJc w:val="left"/>
      <w:pPr>
        <w:ind w:left="3118" w:hanging="360"/>
      </w:pPr>
      <w:rPr>
        <w:rFonts w:ascii="Wingdings" w:hAnsi="Wingdings" w:hint="default"/>
      </w:rPr>
    </w:lvl>
    <w:lvl w:ilvl="3" w:tplc="08070001" w:tentative="1">
      <w:start w:val="1"/>
      <w:numFmt w:val="bullet"/>
      <w:lvlText w:val=""/>
      <w:lvlJc w:val="left"/>
      <w:pPr>
        <w:ind w:left="3838" w:hanging="360"/>
      </w:pPr>
      <w:rPr>
        <w:rFonts w:ascii="Symbol" w:hAnsi="Symbol" w:hint="default"/>
      </w:rPr>
    </w:lvl>
    <w:lvl w:ilvl="4" w:tplc="08070003" w:tentative="1">
      <w:start w:val="1"/>
      <w:numFmt w:val="bullet"/>
      <w:lvlText w:val="o"/>
      <w:lvlJc w:val="left"/>
      <w:pPr>
        <w:ind w:left="4558" w:hanging="360"/>
      </w:pPr>
      <w:rPr>
        <w:rFonts w:ascii="Courier New" w:hAnsi="Courier New" w:cs="Courier New" w:hint="default"/>
      </w:rPr>
    </w:lvl>
    <w:lvl w:ilvl="5" w:tplc="08070005" w:tentative="1">
      <w:start w:val="1"/>
      <w:numFmt w:val="bullet"/>
      <w:lvlText w:val=""/>
      <w:lvlJc w:val="left"/>
      <w:pPr>
        <w:ind w:left="5278" w:hanging="360"/>
      </w:pPr>
      <w:rPr>
        <w:rFonts w:ascii="Wingdings" w:hAnsi="Wingdings" w:hint="default"/>
      </w:rPr>
    </w:lvl>
    <w:lvl w:ilvl="6" w:tplc="08070001" w:tentative="1">
      <w:start w:val="1"/>
      <w:numFmt w:val="bullet"/>
      <w:lvlText w:val=""/>
      <w:lvlJc w:val="left"/>
      <w:pPr>
        <w:ind w:left="5998" w:hanging="360"/>
      </w:pPr>
      <w:rPr>
        <w:rFonts w:ascii="Symbol" w:hAnsi="Symbol" w:hint="default"/>
      </w:rPr>
    </w:lvl>
    <w:lvl w:ilvl="7" w:tplc="08070003" w:tentative="1">
      <w:start w:val="1"/>
      <w:numFmt w:val="bullet"/>
      <w:lvlText w:val="o"/>
      <w:lvlJc w:val="left"/>
      <w:pPr>
        <w:ind w:left="6718" w:hanging="360"/>
      </w:pPr>
      <w:rPr>
        <w:rFonts w:ascii="Courier New" w:hAnsi="Courier New" w:cs="Courier New" w:hint="default"/>
      </w:rPr>
    </w:lvl>
    <w:lvl w:ilvl="8" w:tplc="08070005" w:tentative="1">
      <w:start w:val="1"/>
      <w:numFmt w:val="bullet"/>
      <w:lvlText w:val=""/>
      <w:lvlJc w:val="left"/>
      <w:pPr>
        <w:ind w:left="7438" w:hanging="360"/>
      </w:pPr>
      <w:rPr>
        <w:rFonts w:ascii="Wingdings" w:hAnsi="Wingdings" w:hint="default"/>
      </w:rPr>
    </w:lvl>
  </w:abstractNum>
  <w:abstractNum w:abstractNumId="3" w15:restartNumberingAfterBreak="0">
    <w:nsid w:val="11E22F08"/>
    <w:multiLevelType w:val="hybridMultilevel"/>
    <w:tmpl w:val="2A36C678"/>
    <w:lvl w:ilvl="0" w:tplc="7A6E29B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42A08">
      <w:start w:val="1"/>
      <w:numFmt w:val="lowerLetter"/>
      <w:lvlText w:val="%2"/>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0C2B8">
      <w:start w:val="1"/>
      <w:numFmt w:val="lowerRoman"/>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42BB6">
      <w:start w:val="1"/>
      <w:numFmt w:val="decimal"/>
      <w:lvlText w:val="%4"/>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A5B74">
      <w:start w:val="1"/>
      <w:numFmt w:val="lowerLetter"/>
      <w:lvlText w:val="%5"/>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020038">
      <w:start w:val="1"/>
      <w:numFmt w:val="lowerRoman"/>
      <w:lvlText w:val="%6"/>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A556C">
      <w:start w:val="1"/>
      <w:numFmt w:val="decimal"/>
      <w:lvlText w:val="%7"/>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84070">
      <w:start w:val="1"/>
      <w:numFmt w:val="lowerLetter"/>
      <w:lvlText w:val="%8"/>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08814">
      <w:start w:val="1"/>
      <w:numFmt w:val="lowerRoman"/>
      <w:lvlText w:val="%9"/>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0748D7"/>
    <w:multiLevelType w:val="hybridMultilevel"/>
    <w:tmpl w:val="2AE6396E"/>
    <w:lvl w:ilvl="0" w:tplc="E59881D4">
      <w:start w:val="1"/>
      <w:numFmt w:val="bullet"/>
      <w:lvlText w:val="-"/>
      <w:lvlJc w:val="left"/>
      <w:pPr>
        <w:ind w:left="1678" w:hanging="360"/>
      </w:pPr>
      <w:rPr>
        <w:rFonts w:ascii="Times New Roman" w:eastAsia="Times New Roman" w:hAnsi="Times New Roman" w:cs="Times New Roman" w:hint="default"/>
      </w:rPr>
    </w:lvl>
    <w:lvl w:ilvl="1" w:tplc="08070003" w:tentative="1">
      <w:start w:val="1"/>
      <w:numFmt w:val="bullet"/>
      <w:lvlText w:val="o"/>
      <w:lvlJc w:val="left"/>
      <w:pPr>
        <w:ind w:left="2398" w:hanging="360"/>
      </w:pPr>
      <w:rPr>
        <w:rFonts w:ascii="Courier New" w:hAnsi="Courier New" w:cs="Courier New" w:hint="default"/>
      </w:rPr>
    </w:lvl>
    <w:lvl w:ilvl="2" w:tplc="08070005" w:tentative="1">
      <w:start w:val="1"/>
      <w:numFmt w:val="bullet"/>
      <w:lvlText w:val=""/>
      <w:lvlJc w:val="left"/>
      <w:pPr>
        <w:ind w:left="3118" w:hanging="360"/>
      </w:pPr>
      <w:rPr>
        <w:rFonts w:ascii="Wingdings" w:hAnsi="Wingdings" w:hint="default"/>
      </w:rPr>
    </w:lvl>
    <w:lvl w:ilvl="3" w:tplc="08070001" w:tentative="1">
      <w:start w:val="1"/>
      <w:numFmt w:val="bullet"/>
      <w:lvlText w:val=""/>
      <w:lvlJc w:val="left"/>
      <w:pPr>
        <w:ind w:left="3838" w:hanging="360"/>
      </w:pPr>
      <w:rPr>
        <w:rFonts w:ascii="Symbol" w:hAnsi="Symbol" w:hint="default"/>
      </w:rPr>
    </w:lvl>
    <w:lvl w:ilvl="4" w:tplc="08070003" w:tentative="1">
      <w:start w:val="1"/>
      <w:numFmt w:val="bullet"/>
      <w:lvlText w:val="o"/>
      <w:lvlJc w:val="left"/>
      <w:pPr>
        <w:ind w:left="4558" w:hanging="360"/>
      </w:pPr>
      <w:rPr>
        <w:rFonts w:ascii="Courier New" w:hAnsi="Courier New" w:cs="Courier New" w:hint="default"/>
      </w:rPr>
    </w:lvl>
    <w:lvl w:ilvl="5" w:tplc="08070005" w:tentative="1">
      <w:start w:val="1"/>
      <w:numFmt w:val="bullet"/>
      <w:lvlText w:val=""/>
      <w:lvlJc w:val="left"/>
      <w:pPr>
        <w:ind w:left="5278" w:hanging="360"/>
      </w:pPr>
      <w:rPr>
        <w:rFonts w:ascii="Wingdings" w:hAnsi="Wingdings" w:hint="default"/>
      </w:rPr>
    </w:lvl>
    <w:lvl w:ilvl="6" w:tplc="08070001" w:tentative="1">
      <w:start w:val="1"/>
      <w:numFmt w:val="bullet"/>
      <w:lvlText w:val=""/>
      <w:lvlJc w:val="left"/>
      <w:pPr>
        <w:ind w:left="5998" w:hanging="360"/>
      </w:pPr>
      <w:rPr>
        <w:rFonts w:ascii="Symbol" w:hAnsi="Symbol" w:hint="default"/>
      </w:rPr>
    </w:lvl>
    <w:lvl w:ilvl="7" w:tplc="08070003" w:tentative="1">
      <w:start w:val="1"/>
      <w:numFmt w:val="bullet"/>
      <w:lvlText w:val="o"/>
      <w:lvlJc w:val="left"/>
      <w:pPr>
        <w:ind w:left="6718" w:hanging="360"/>
      </w:pPr>
      <w:rPr>
        <w:rFonts w:ascii="Courier New" w:hAnsi="Courier New" w:cs="Courier New" w:hint="default"/>
      </w:rPr>
    </w:lvl>
    <w:lvl w:ilvl="8" w:tplc="08070005" w:tentative="1">
      <w:start w:val="1"/>
      <w:numFmt w:val="bullet"/>
      <w:lvlText w:val=""/>
      <w:lvlJc w:val="left"/>
      <w:pPr>
        <w:ind w:left="7438" w:hanging="360"/>
      </w:pPr>
      <w:rPr>
        <w:rFonts w:ascii="Wingdings" w:hAnsi="Wingdings" w:hint="default"/>
      </w:rPr>
    </w:lvl>
  </w:abstractNum>
  <w:abstractNum w:abstractNumId="5" w15:restartNumberingAfterBreak="0">
    <w:nsid w:val="2A2037F3"/>
    <w:multiLevelType w:val="hybridMultilevel"/>
    <w:tmpl w:val="96EEC9E6"/>
    <w:lvl w:ilvl="0" w:tplc="0F8A93B2">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464A392F"/>
    <w:multiLevelType w:val="hybridMultilevel"/>
    <w:tmpl w:val="44AE53D0"/>
    <w:lvl w:ilvl="0" w:tplc="4EDCC1DA">
      <w:start w:val="3"/>
      <w:numFmt w:val="bullet"/>
      <w:lvlText w:val="-"/>
      <w:lvlJc w:val="left"/>
      <w:pPr>
        <w:ind w:left="2038" w:hanging="360"/>
      </w:pPr>
      <w:rPr>
        <w:rFonts w:ascii="Times New Roman" w:eastAsia="Times New Roman" w:hAnsi="Times New Roman" w:cs="Times New Roman" w:hint="default"/>
      </w:rPr>
    </w:lvl>
    <w:lvl w:ilvl="1" w:tplc="08070003" w:tentative="1">
      <w:start w:val="1"/>
      <w:numFmt w:val="bullet"/>
      <w:lvlText w:val="o"/>
      <w:lvlJc w:val="left"/>
      <w:pPr>
        <w:ind w:left="2758" w:hanging="360"/>
      </w:pPr>
      <w:rPr>
        <w:rFonts w:ascii="Courier New" w:hAnsi="Courier New" w:cs="Courier New" w:hint="default"/>
      </w:rPr>
    </w:lvl>
    <w:lvl w:ilvl="2" w:tplc="08070005" w:tentative="1">
      <w:start w:val="1"/>
      <w:numFmt w:val="bullet"/>
      <w:lvlText w:val=""/>
      <w:lvlJc w:val="left"/>
      <w:pPr>
        <w:ind w:left="3478" w:hanging="360"/>
      </w:pPr>
      <w:rPr>
        <w:rFonts w:ascii="Wingdings" w:hAnsi="Wingdings" w:hint="default"/>
      </w:rPr>
    </w:lvl>
    <w:lvl w:ilvl="3" w:tplc="08070001" w:tentative="1">
      <w:start w:val="1"/>
      <w:numFmt w:val="bullet"/>
      <w:lvlText w:val=""/>
      <w:lvlJc w:val="left"/>
      <w:pPr>
        <w:ind w:left="4198" w:hanging="360"/>
      </w:pPr>
      <w:rPr>
        <w:rFonts w:ascii="Symbol" w:hAnsi="Symbol" w:hint="default"/>
      </w:rPr>
    </w:lvl>
    <w:lvl w:ilvl="4" w:tplc="08070003" w:tentative="1">
      <w:start w:val="1"/>
      <w:numFmt w:val="bullet"/>
      <w:lvlText w:val="o"/>
      <w:lvlJc w:val="left"/>
      <w:pPr>
        <w:ind w:left="4918" w:hanging="360"/>
      </w:pPr>
      <w:rPr>
        <w:rFonts w:ascii="Courier New" w:hAnsi="Courier New" w:cs="Courier New" w:hint="default"/>
      </w:rPr>
    </w:lvl>
    <w:lvl w:ilvl="5" w:tplc="08070005" w:tentative="1">
      <w:start w:val="1"/>
      <w:numFmt w:val="bullet"/>
      <w:lvlText w:val=""/>
      <w:lvlJc w:val="left"/>
      <w:pPr>
        <w:ind w:left="5638" w:hanging="360"/>
      </w:pPr>
      <w:rPr>
        <w:rFonts w:ascii="Wingdings" w:hAnsi="Wingdings" w:hint="default"/>
      </w:rPr>
    </w:lvl>
    <w:lvl w:ilvl="6" w:tplc="08070001" w:tentative="1">
      <w:start w:val="1"/>
      <w:numFmt w:val="bullet"/>
      <w:lvlText w:val=""/>
      <w:lvlJc w:val="left"/>
      <w:pPr>
        <w:ind w:left="6358" w:hanging="360"/>
      </w:pPr>
      <w:rPr>
        <w:rFonts w:ascii="Symbol" w:hAnsi="Symbol" w:hint="default"/>
      </w:rPr>
    </w:lvl>
    <w:lvl w:ilvl="7" w:tplc="08070003" w:tentative="1">
      <w:start w:val="1"/>
      <w:numFmt w:val="bullet"/>
      <w:lvlText w:val="o"/>
      <w:lvlJc w:val="left"/>
      <w:pPr>
        <w:ind w:left="7078" w:hanging="360"/>
      </w:pPr>
      <w:rPr>
        <w:rFonts w:ascii="Courier New" w:hAnsi="Courier New" w:cs="Courier New" w:hint="default"/>
      </w:rPr>
    </w:lvl>
    <w:lvl w:ilvl="8" w:tplc="08070005" w:tentative="1">
      <w:start w:val="1"/>
      <w:numFmt w:val="bullet"/>
      <w:lvlText w:val=""/>
      <w:lvlJc w:val="left"/>
      <w:pPr>
        <w:ind w:left="7798"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64"/>
    <w:rsid w:val="00011C64"/>
    <w:rsid w:val="005631A6"/>
    <w:rsid w:val="00672B9E"/>
    <w:rsid w:val="007406EB"/>
    <w:rsid w:val="009837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054FC-2BC2-4F79-B2B8-30BB5323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2" w:line="231" w:lineRule="auto"/>
      <w:ind w:left="929" w:right="698" w:firstLine="976"/>
      <w:jc w:val="both"/>
    </w:pPr>
    <w:rPr>
      <w:rFonts w:ascii="Times New Roman" w:eastAsia="Times New Roman" w:hAnsi="Times New Roman" w:cs="Times New Roman"/>
      <w:color w:val="000000"/>
      <w:sz w:val="24"/>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lang w:eastAsia="de-CH"/>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lang w:eastAsia="de-CH"/>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szCs w:val="18"/>
      <w:lang w:eastAsia="de-CH"/>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eastAsia="de-CH"/>
    </w:rPr>
  </w:style>
  <w:style w:type="paragraph" w:styleId="ListBullet">
    <w:name w:val="List Bullet"/>
    <w:basedOn w:val="Normal"/>
    <w:uiPriority w:val="99"/>
    <w:unhideWhenUsed/>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35F437-1DDF-4827-8545-44005B9496BB}">
  <ds:schemaRefs>
    <ds:schemaRef ds:uri="http://schemas.openxmlformats.org/officeDocument/2006/bibliography"/>
  </ds:schemaRefs>
</ds:datastoreItem>
</file>

<file path=customXml/itemProps2.xml><?xml version="1.0" encoding="utf-8"?>
<ds:datastoreItem xmlns:ds="http://schemas.openxmlformats.org/officeDocument/2006/customXml" ds:itemID="{7982D25A-EA0C-47E3-8B25-31BC404AC11C}"/>
</file>

<file path=customXml/itemProps3.xml><?xml version="1.0" encoding="utf-8"?>
<ds:datastoreItem xmlns:ds="http://schemas.openxmlformats.org/officeDocument/2006/customXml" ds:itemID="{A78AC76D-CA3D-4542-9C83-C0CD7D4494D4}"/>
</file>

<file path=customXml/itemProps4.xml><?xml version="1.0" encoding="utf-8"?>
<ds:datastoreItem xmlns:ds="http://schemas.openxmlformats.org/officeDocument/2006/customXml" ds:itemID="{FF740E02-C14A-4D4B-A554-B2A151D91347}"/>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5583</Characters>
  <Application>Microsoft Office Word</Application>
  <DocSecurity>4</DocSecurity>
  <Lines>46</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Bundesverwaltung</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Mathis</dc:creator>
  <cp:keywords/>
  <dc:description/>
  <cp:lastModifiedBy>ANDREWS Natasha</cp:lastModifiedBy>
  <cp:revision>2</cp:revision>
  <cp:lastPrinted>2019-10-15T09:52:00Z</cp:lastPrinted>
  <dcterms:created xsi:type="dcterms:W3CDTF">2019-10-22T13:15:00Z</dcterms:created>
  <dcterms:modified xsi:type="dcterms:W3CDTF">2019-10-22T13:15:00Z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