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D6F18" w14:textId="29FFE4AF" w:rsidR="00AB7C1B" w:rsidRDefault="009C126D" w:rsidP="00935F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entury Gothic" w:hAnsi="Century Gothic"/>
          <w:b/>
          <w:bCs/>
          <w:color w:val="000000"/>
          <w:sz w:val="23"/>
          <w:szCs w:val="23"/>
          <w:shd w:val="clear" w:color="auto" w:fill="FFFFFF"/>
          <w:lang w:val="es-MX"/>
        </w:rPr>
      </w:pPr>
      <w:r w:rsidRPr="009C126D">
        <w:rPr>
          <w:rFonts w:ascii="Century Gothic" w:hAnsi="Century Gothic"/>
          <w:b/>
          <w:bCs/>
          <w:color w:val="000000"/>
          <w:sz w:val="23"/>
          <w:szCs w:val="23"/>
          <w:shd w:val="clear" w:color="auto" w:fill="FFFFFF"/>
          <w:lang w:val="es-MX"/>
        </w:rPr>
        <w:t xml:space="preserve">Insumos del Estado mexicano para la elaboración del reporte del </w:t>
      </w:r>
      <w:r w:rsidRPr="00C1360D">
        <w:rPr>
          <w:rFonts w:ascii="Century Gothic" w:hAnsi="Century Gothic"/>
          <w:b/>
          <w:bCs/>
          <w:color w:val="000000"/>
          <w:sz w:val="23"/>
          <w:szCs w:val="23"/>
          <w:shd w:val="clear" w:color="auto" w:fill="FFFFFF"/>
          <w:lang w:val="es-MX"/>
        </w:rPr>
        <w:t>Secretario</w:t>
      </w:r>
      <w:r w:rsidRPr="009C126D">
        <w:rPr>
          <w:rFonts w:ascii="Century Gothic" w:hAnsi="Century Gothic"/>
          <w:b/>
          <w:bCs/>
          <w:color w:val="000000"/>
          <w:sz w:val="23"/>
          <w:szCs w:val="23"/>
          <w:shd w:val="clear" w:color="auto" w:fill="FFFFFF"/>
          <w:lang w:val="es-MX"/>
        </w:rPr>
        <w:t xml:space="preserve"> General de la Organización de las Naciones Unidas sobre la Resolución 73/304  “Hacia un comercio libre de tortura: examinar la viabilidad, el alcance y los parámetros para posibles normas internacionales comunes”</w:t>
      </w:r>
    </w:p>
    <w:p w14:paraId="65ABCC33" w14:textId="0AC5B9D7" w:rsidR="009C126D" w:rsidRDefault="009C126D" w:rsidP="009C126D">
      <w:pPr>
        <w:rPr>
          <w:rFonts w:ascii="Century Gothic" w:hAnsi="Century Gothic"/>
          <w:b/>
          <w:bCs/>
          <w:color w:val="000000"/>
          <w:sz w:val="23"/>
          <w:szCs w:val="23"/>
          <w:shd w:val="clear" w:color="auto" w:fill="FFFFFF"/>
          <w:lang w:val="es-MX"/>
        </w:rPr>
      </w:pPr>
    </w:p>
    <w:p w14:paraId="1B99E0C2" w14:textId="3E47D91F" w:rsidR="009C126D" w:rsidRPr="00684035" w:rsidRDefault="009C126D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¿Cuáles son </w:t>
      </w:r>
      <w:r w:rsidR="001829CC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los instrumentos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  o  políticas  regionales  y/o  nacionales  que  </w:t>
      </w:r>
      <w:r w:rsidR="00EA4458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g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uían  a  su  país  para  la  reg</w:t>
      </w:r>
      <w:r w:rsidR="00C827B6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u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lación  del comercio de bienes utilizamos para: a) aplicar la pena </w:t>
      </w:r>
      <w:r w:rsidR="00C827B6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d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e muerte, y b) infligir torturas u otros tratos o penas crueles, inhumanos o de</w:t>
      </w:r>
      <w:r w:rsidR="001829CC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g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radantes? Por favor proporcione ejemplos. ¿Si existe una, que departamento/agencia gubernamental es responsable de monitorear la implementación </w:t>
      </w:r>
      <w:r w:rsidR="00A3539C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d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e tales regulaciones/políticas?</w:t>
      </w:r>
    </w:p>
    <w:p w14:paraId="79504498" w14:textId="724BE030" w:rsidR="009C126D" w:rsidRPr="00C827B6" w:rsidRDefault="00C827B6" w:rsidP="00C827B6">
      <w:pPr>
        <w:tabs>
          <w:tab w:val="left" w:pos="398"/>
        </w:tabs>
        <w:spacing w:before="179"/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La </w:t>
      </w:r>
      <w:r w:rsidR="009C126D" w:rsidRPr="00C827B6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pena </w:t>
      </w:r>
      <w:r w:rsidRPr="00C827B6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d</w:t>
      </w:r>
      <w:r w:rsidR="009C126D" w:rsidRPr="00C827B6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e muerte y tratos crueles en México están prohibidos por el Articulo 22:</w:t>
      </w:r>
    </w:p>
    <w:p w14:paraId="0552AAD0" w14:textId="7F9705A9" w:rsidR="009C126D" w:rsidRPr="00240B1C" w:rsidRDefault="00C827B6" w:rsidP="009234C1">
      <w:pPr>
        <w:spacing w:before="142"/>
        <w:ind w:left="180"/>
        <w:jc w:val="both"/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</w:pPr>
      <w:r w:rsidRPr="00240B1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Artículo 22. Quedan prohibidas las penas de muerte, de mutilación, de infamia, la marca, los azotes, los palos, el tormento de cualquier especie, la multa excesiva, la confiscación de bienes y cualesquiera otras penas inusitadas y trascendentales. Toda pena deberá ser proporcional al delito que sancione y al bien jurídico afectado.</w:t>
      </w:r>
    </w:p>
    <w:p w14:paraId="4F6F9C2B" w14:textId="6ACFD3CA" w:rsidR="009C126D" w:rsidRDefault="009C126D" w:rsidP="00935F6C">
      <w:pPr>
        <w:spacing w:before="142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</w:pPr>
      <w:r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El Articulo 29, segundo </w:t>
      </w:r>
      <w:r w:rsidR="00240B1C"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párrafo</w:t>
      </w:r>
      <w:r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, de la CPEUM </w:t>
      </w:r>
      <w:r w:rsidR="00240B1C"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señala</w:t>
      </w:r>
      <w:r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 las prohibiciones a la pena </w:t>
      </w:r>
      <w:r w:rsidR="00935F6C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d</w:t>
      </w:r>
      <w:r w:rsidRPr="009C126D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e muerte y la tortura:</w:t>
      </w:r>
    </w:p>
    <w:p w14:paraId="406E374C" w14:textId="77777777" w:rsidR="00935F6C" w:rsidRDefault="00240B1C" w:rsidP="009234C1">
      <w:pPr>
        <w:spacing w:before="142"/>
        <w:ind w:left="180"/>
        <w:jc w:val="both"/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</w:pPr>
      <w:r w:rsidRPr="00240B1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Art</w:t>
      </w:r>
      <w:r w:rsidR="00935F6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í</w:t>
      </w:r>
      <w:r w:rsidRPr="00240B1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 xml:space="preserve">culo 29.- En los decretos que se expidan, no podrá restringirse ni suspenderse el ejercicio de los derechos a la no discriminación, al reconocimiento de la personalidad jurídica, a la vida, a la integridad personal, a la protección a la familia, al nombre, a la nacionalidad; los derechos de la niñez; los derechos políticos; las libertades de pensamiento, conciencia y de profesar creencia religiosa alguna; el principio de legalidad y retroactividad; </w:t>
      </w:r>
      <w:r w:rsidRPr="009234C1">
        <w:rPr>
          <w:rFonts w:ascii="Century Gothic" w:hAnsi="Century Gothic"/>
          <w:i/>
          <w:iCs/>
          <w:color w:val="000000"/>
          <w:u w:val="single"/>
          <w:shd w:val="clear" w:color="auto" w:fill="FFFFFF"/>
          <w:lang w:val="es-MX"/>
        </w:rPr>
        <w:t>la prohibición de la pena de muerte</w:t>
      </w:r>
      <w:r w:rsidRPr="00240B1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 xml:space="preserve">; la prohibición de la esclavitud y la servidumbre; </w:t>
      </w:r>
      <w:r w:rsidRPr="009234C1">
        <w:rPr>
          <w:rFonts w:ascii="Century Gothic" w:hAnsi="Century Gothic"/>
          <w:i/>
          <w:iCs/>
          <w:color w:val="000000"/>
          <w:u w:val="single"/>
          <w:shd w:val="clear" w:color="auto" w:fill="FFFFFF"/>
          <w:lang w:val="es-MX"/>
        </w:rPr>
        <w:t>la prohibición de la desaparición forzada y la tortura</w:t>
      </w:r>
      <w:r w:rsidRPr="00240B1C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; ni las garantías judiciales indispensables para la protección de tales derechos.</w:t>
      </w:r>
    </w:p>
    <w:p w14:paraId="5E772380" w14:textId="5F4C2FE8" w:rsidR="009C126D" w:rsidRDefault="00883C3A" w:rsidP="00935F6C">
      <w:pPr>
        <w:spacing w:before="142"/>
        <w:jc w:val="both"/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</w:pPr>
      <w:r w:rsidRPr="00935F6C"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>Asimismo, la tortura a los imputados también está prohibida por el Artículo 20, Apartado B. fracción II. De la Carta Magna:</w:t>
      </w:r>
    </w:p>
    <w:p w14:paraId="08D6B432" w14:textId="386C32CD" w:rsidR="00935F6C" w:rsidRPr="009234C1" w:rsidRDefault="00C03024" w:rsidP="009234C1">
      <w:pPr>
        <w:spacing w:before="142"/>
        <w:ind w:left="180"/>
        <w:jc w:val="both"/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</w:pPr>
      <w:r>
        <w:rPr>
          <w:rFonts w:ascii="Century Gothic" w:hAnsi="Century Gothic"/>
          <w:color w:val="000000"/>
          <w:sz w:val="23"/>
          <w:szCs w:val="23"/>
          <w:shd w:val="clear" w:color="auto" w:fill="FFFFFF"/>
          <w:lang w:val="es-MX"/>
        </w:rPr>
        <w:t xml:space="preserve"> </w:t>
      </w:r>
      <w:r w:rsidR="00D56E1D" w:rsidRPr="009234C1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[…]</w:t>
      </w:r>
    </w:p>
    <w:p w14:paraId="3E4457E6" w14:textId="07B627D7" w:rsidR="00D66803" w:rsidRDefault="00883C3A" w:rsidP="009234C1">
      <w:pPr>
        <w:spacing w:before="142"/>
        <w:ind w:left="180"/>
        <w:jc w:val="both"/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</w:pPr>
      <w:r w:rsidRPr="00883C3A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B. Los derechos de toda persona imputada:</w:t>
      </w:r>
      <w:r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 xml:space="preserve"> “…</w:t>
      </w:r>
      <w:r w:rsidRPr="00883C3A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 xml:space="preserve">II. A declarar o a guardar silencio. Desde el momento de su detención se le harán saber los motivos de la misma y su derecho a guardar silencio, el cual no podrá ser utilizado en su perjuicio. Queda prohibida y será sancionada por la ley penal, toda incomunicación, </w:t>
      </w:r>
      <w:r w:rsidRPr="00D01F9D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intimidación o tortura</w:t>
      </w:r>
      <w:r w:rsidRPr="00883C3A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. La confesión rendida sin la asistencia del defensor carecerá de todo valor probatorio;</w:t>
      </w:r>
      <w:r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 xml:space="preserve"> …”</w:t>
      </w:r>
      <w:r w:rsidR="00D66803">
        <w:rPr>
          <w:rFonts w:ascii="Century Gothic" w:hAnsi="Century Gothic"/>
          <w:i/>
          <w:iCs/>
          <w:color w:val="000000"/>
          <w:shd w:val="clear" w:color="auto" w:fill="FFFFFF"/>
          <w:lang w:val="es-MX"/>
        </w:rPr>
        <w:t>.</w:t>
      </w:r>
    </w:p>
    <w:p w14:paraId="4A03FBF5" w14:textId="3F820852" w:rsidR="00844248" w:rsidRPr="00565F28" w:rsidRDefault="00565F28" w:rsidP="00883C3A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>
        <w:rPr>
          <w:rFonts w:ascii="Century Gothic" w:hAnsi="Century Gothic"/>
          <w:color w:val="000000"/>
          <w:shd w:val="clear" w:color="auto" w:fill="FFFFFF"/>
          <w:lang w:val="es-MX"/>
        </w:rPr>
        <w:t xml:space="preserve">Asimismo, el Estado mexicano ha ratificado diversos instrumentos </w:t>
      </w:r>
      <w:r w:rsidR="00D031F8">
        <w:rPr>
          <w:rFonts w:ascii="Century Gothic" w:hAnsi="Century Gothic"/>
          <w:color w:val="000000"/>
          <w:shd w:val="clear" w:color="auto" w:fill="FFFFFF"/>
          <w:lang w:val="es-MX"/>
        </w:rPr>
        <w:t>internacionales que prohíben la pen</w:t>
      </w:r>
      <w:r w:rsidR="00D56E1D">
        <w:rPr>
          <w:rFonts w:ascii="Century Gothic" w:hAnsi="Century Gothic"/>
          <w:color w:val="000000"/>
          <w:shd w:val="clear" w:color="auto" w:fill="FFFFFF"/>
          <w:lang w:val="es-MX"/>
        </w:rPr>
        <w:t>a</w:t>
      </w:r>
      <w:r w:rsidR="00D031F8">
        <w:rPr>
          <w:rFonts w:ascii="Century Gothic" w:hAnsi="Century Gothic"/>
          <w:color w:val="000000"/>
          <w:shd w:val="clear" w:color="auto" w:fill="FFFFFF"/>
          <w:lang w:val="es-MX"/>
        </w:rPr>
        <w:t xml:space="preserve"> de muerte y la tortura, como el caso del Pacto Internacional de </w:t>
      </w:r>
      <w:r w:rsidR="00D031F8">
        <w:rPr>
          <w:rFonts w:ascii="Century Gothic" w:hAnsi="Century Gothic"/>
          <w:color w:val="000000"/>
          <w:shd w:val="clear" w:color="auto" w:fill="FFFFFF"/>
          <w:lang w:val="es-MX"/>
        </w:rPr>
        <w:lastRenderedPageBreak/>
        <w:t>Derechos Civiles y Políticos, la Convención Americana sobre Derechos Humanos, la Convención Interamericana para Prevenir y Sancionar la Tortura</w:t>
      </w:r>
      <w:r w:rsidR="00D56E1D">
        <w:rPr>
          <w:rFonts w:ascii="Century Gothic" w:hAnsi="Century Gothic"/>
          <w:color w:val="000000"/>
          <w:shd w:val="clear" w:color="auto" w:fill="FFFFFF"/>
          <w:lang w:val="es-MX"/>
        </w:rPr>
        <w:t xml:space="preserve">, la </w:t>
      </w:r>
      <w:r w:rsidR="00D56E1D" w:rsidRPr="00D56E1D">
        <w:rPr>
          <w:rFonts w:ascii="Century Gothic" w:hAnsi="Century Gothic"/>
          <w:color w:val="000000"/>
          <w:shd w:val="clear" w:color="auto" w:fill="FFFFFF"/>
          <w:lang w:val="es-MX"/>
        </w:rPr>
        <w:t xml:space="preserve">Convención </w:t>
      </w:r>
      <w:r w:rsidR="00D56E1D">
        <w:rPr>
          <w:rFonts w:ascii="Century Gothic" w:hAnsi="Century Gothic"/>
          <w:color w:val="000000"/>
          <w:shd w:val="clear" w:color="auto" w:fill="FFFFFF"/>
          <w:lang w:val="es-MX"/>
        </w:rPr>
        <w:t xml:space="preserve">de las Naciones Unidas </w:t>
      </w:r>
      <w:r w:rsidR="00D56E1D" w:rsidRPr="00D56E1D">
        <w:rPr>
          <w:rFonts w:ascii="Century Gothic" w:hAnsi="Century Gothic"/>
          <w:color w:val="000000"/>
          <w:shd w:val="clear" w:color="auto" w:fill="FFFFFF"/>
          <w:lang w:val="es-MX"/>
        </w:rPr>
        <w:t>contra la Tortura y Otros Tratos o Penas Crueles, Inhumanos o Degradantes</w:t>
      </w:r>
      <w:r w:rsidR="00D031F8">
        <w:rPr>
          <w:rFonts w:ascii="Century Gothic" w:hAnsi="Century Gothic"/>
          <w:color w:val="000000"/>
          <w:shd w:val="clear" w:color="auto" w:fill="FFFFFF"/>
          <w:lang w:val="es-MX"/>
        </w:rPr>
        <w:t xml:space="preserve"> y el Segundo Protocolo Facultativo del PIDCP. </w:t>
      </w:r>
    </w:p>
    <w:p w14:paraId="30C49840" w14:textId="0D2BEBFB" w:rsidR="00D66803" w:rsidRPr="00D66803" w:rsidRDefault="00D66803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>
        <w:rPr>
          <w:rFonts w:ascii="Century Gothic" w:hAnsi="Century Gothic"/>
          <w:color w:val="000000"/>
          <w:shd w:val="clear" w:color="auto" w:fill="FFFFFF"/>
          <w:lang w:val="es-MX"/>
        </w:rPr>
        <w:t>Por otra parte, se informa que t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>odas las autoridades gubernamentales deben actuar conforme a estos preceptos, dando seguimiento a estas actuaciones, los órganos internos en cada dependencia así como la Comisión Nacional de los Derechos Humanos.</w:t>
      </w:r>
    </w:p>
    <w:p w14:paraId="1DF82460" w14:textId="0EF74ABC" w:rsidR="00D66803" w:rsidRPr="00D66803" w:rsidRDefault="00D66803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La Ley Aduanera Mexicana, en su Artículo 1º, es la norma que los servidores públicos de Aduanas estamos obligados a observar tanto como los propietarios, poseedores, tenedores, </w:t>
      </w:r>
      <w:r w:rsidR="00111D09" w:rsidRPr="00D66803">
        <w:rPr>
          <w:rFonts w:ascii="Century Gothic" w:hAnsi="Century Gothic"/>
          <w:color w:val="000000"/>
          <w:shd w:val="clear" w:color="auto" w:fill="FFFFFF"/>
          <w:lang w:val="es-MX"/>
        </w:rPr>
        <w:t>consignatarios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, destinatarios, remitentes, apoderados, agentes aduanales, agencias aduanales o cualesquiera personas que tengan intervención en la entrada al territorio nacional y la salida del mismo de mercancías y de sus medios en que se transportan o conducen, </w:t>
      </w:r>
      <w:r w:rsidR="00111D09" w:rsidRPr="00D66803">
        <w:rPr>
          <w:rFonts w:ascii="Century Gothic" w:hAnsi="Century Gothic"/>
          <w:color w:val="000000"/>
          <w:shd w:val="clear" w:color="auto" w:fill="FFFFFF"/>
          <w:lang w:val="es-MX"/>
        </w:rPr>
        <w:t>regulando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 el despacho aduanero y los hechos o actos que deriven de éste o de dicha entrada o salida de mercancía.</w:t>
      </w:r>
    </w:p>
    <w:p w14:paraId="104FD3DB" w14:textId="7287F7BB" w:rsidR="00D66803" w:rsidRPr="00D66803" w:rsidRDefault="00D66803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Estas disposiciones se aplican sin perjuicio de lo dispuesto por los tratados internacionales de </w:t>
      </w:r>
      <w:r w:rsidR="00111D09">
        <w:rPr>
          <w:rFonts w:ascii="Century Gothic" w:hAnsi="Century Gothic"/>
          <w:color w:val="000000"/>
          <w:shd w:val="clear" w:color="auto" w:fill="FFFFFF"/>
          <w:lang w:val="es-MX"/>
        </w:rPr>
        <w:t>l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os que el Estado Mexicano sea Parte y se encuentren en </w:t>
      </w:r>
      <w:r w:rsidR="00111D09" w:rsidRPr="00D66803">
        <w:rPr>
          <w:rFonts w:ascii="Century Gothic" w:hAnsi="Century Gothic"/>
          <w:color w:val="000000"/>
          <w:shd w:val="clear" w:color="auto" w:fill="FFFFFF"/>
          <w:lang w:val="es-MX"/>
        </w:rPr>
        <w:t>vigor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>.</w:t>
      </w:r>
    </w:p>
    <w:p w14:paraId="651CDA36" w14:textId="67AD1B14" w:rsidR="00D66803" w:rsidRPr="00D66803" w:rsidRDefault="00111D09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>
        <w:rPr>
          <w:rFonts w:ascii="Century Gothic" w:hAnsi="Century Gothic"/>
          <w:color w:val="000000"/>
          <w:shd w:val="clear" w:color="auto" w:fill="FFFFFF"/>
          <w:lang w:val="es-MX"/>
        </w:rPr>
        <w:t xml:space="preserve">En este sentido, 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>se puede citar el Artículo 3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>°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 de 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>l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>a Declaración Universal de los Derechos Humanos (Todo individuo tiene derecho a la vida, a la libertad y a la seguridad de su persona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>…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>)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>,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 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>así como</w:t>
      </w:r>
      <w:r w:rsidR="00D66803"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 preceptos regionales y locales. </w:t>
      </w:r>
    </w:p>
    <w:p w14:paraId="05715026" w14:textId="1023FF5D" w:rsidR="002555FB" w:rsidRDefault="00D66803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>Definitivamente, la Administración General de Aduanas está de acuerdo con las disposiciones contenidas en la Resolución aprobado por la Asamblea General de la ONU el 2B de junio de 2019, 7S/SO4. Hacia el comercio sin tortura: examen de lo viabilidad, el alcance</w:t>
      </w:r>
      <w:r w:rsidR="00111D09">
        <w:rPr>
          <w:rFonts w:ascii="Century Gothic" w:hAnsi="Century Gothic"/>
          <w:color w:val="000000"/>
          <w:shd w:val="clear" w:color="auto" w:fill="FFFFFF"/>
          <w:lang w:val="es-MX"/>
        </w:rPr>
        <w:t xml:space="preserve"> 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y los </w:t>
      </w:r>
      <w:r w:rsidR="00111D09" w:rsidRPr="00D66803">
        <w:rPr>
          <w:rFonts w:ascii="Century Gothic" w:hAnsi="Century Gothic"/>
          <w:color w:val="000000"/>
          <w:shd w:val="clear" w:color="auto" w:fill="FFFFFF"/>
          <w:lang w:val="es-MX"/>
        </w:rPr>
        <w:t>parámetros</w:t>
      </w:r>
      <w:r w:rsidRPr="00D66803">
        <w:rPr>
          <w:rFonts w:ascii="Century Gothic" w:hAnsi="Century Gothic"/>
          <w:color w:val="000000"/>
          <w:shd w:val="clear" w:color="auto" w:fill="FFFFFF"/>
          <w:lang w:val="es-MX"/>
        </w:rPr>
        <w:t xml:space="preserve"> de unas posibles normas internacionales comunes.</w:t>
      </w:r>
    </w:p>
    <w:p w14:paraId="50084776" w14:textId="77777777" w:rsidR="009234C1" w:rsidRPr="001D2305" w:rsidRDefault="009234C1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</w:p>
    <w:p w14:paraId="65E18710" w14:textId="2D50B198" w:rsidR="00D66803" w:rsidRDefault="00D66803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¿Se han realizado investigaciones, enjuiciamientos y/o condenas por el incumplimiento de las regulaciones nacionales sobre el comercio de las mercancías indicadas en el párrafo 8 de la introducción del cuestionario anexo? Si es así, proporcione detalles.</w:t>
      </w:r>
    </w:p>
    <w:p w14:paraId="1EB1980A" w14:textId="77777777" w:rsidR="00684035" w:rsidRPr="000C7D02" w:rsidRDefault="00684035" w:rsidP="00684035">
      <w:pPr>
        <w:pStyle w:val="ListParagraph"/>
        <w:spacing w:line="230" w:lineRule="auto"/>
        <w:ind w:left="27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</w:p>
    <w:p w14:paraId="18076448" w14:textId="1C4281A3" w:rsidR="00D66803" w:rsidRPr="000C7D02" w:rsidRDefault="00D66803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0C7D02">
        <w:rPr>
          <w:rFonts w:ascii="Century Gothic" w:hAnsi="Century Gothic"/>
          <w:color w:val="000000"/>
          <w:shd w:val="clear" w:color="auto" w:fill="FFFFFF"/>
          <w:lang w:val="es-MX"/>
        </w:rPr>
        <w:t xml:space="preserve">No </w:t>
      </w:r>
      <w:r w:rsidR="000C7D02">
        <w:rPr>
          <w:rFonts w:ascii="Century Gothic" w:hAnsi="Century Gothic"/>
          <w:color w:val="000000"/>
          <w:shd w:val="clear" w:color="auto" w:fill="FFFFFF"/>
          <w:lang w:val="es-MX"/>
        </w:rPr>
        <w:t>se tiene</w:t>
      </w:r>
      <w:r w:rsidRPr="000C7D02">
        <w:rPr>
          <w:rFonts w:ascii="Century Gothic" w:hAnsi="Century Gothic"/>
          <w:color w:val="000000"/>
          <w:shd w:val="clear" w:color="auto" w:fill="FFFFFF"/>
          <w:lang w:val="es-MX"/>
        </w:rPr>
        <w:t xml:space="preserve"> conocimiento de tales infracciones.</w:t>
      </w:r>
    </w:p>
    <w:p w14:paraId="5ED5A5DE" w14:textId="77777777" w:rsidR="00684035" w:rsidRDefault="00D66803" w:rsidP="00684035">
      <w:pPr>
        <w:pStyle w:val="ListParagraph"/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ab/>
      </w:r>
    </w:p>
    <w:p w14:paraId="3EB7B896" w14:textId="0BB9CD51" w:rsidR="00D66803" w:rsidRDefault="00D66803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D66803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¿Está de acuerdo con la categorización propuesta de los bienes utilizados para aplicar la pena de muerte o infligir torturas u otros tratos o penas crueles, inhumanos o degradantes indicados en el párrafo 8 de la introducción del cuestionario? Si no, ¿qué categorías propondría?</w:t>
      </w:r>
    </w:p>
    <w:p w14:paraId="72065FA2" w14:textId="77777777" w:rsidR="00684035" w:rsidRDefault="00684035" w:rsidP="00684035">
      <w:pPr>
        <w:pStyle w:val="ListParagraph"/>
        <w:spacing w:line="230" w:lineRule="auto"/>
        <w:ind w:left="72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</w:p>
    <w:p w14:paraId="7994B380" w14:textId="77777777" w:rsidR="00E53FDB" w:rsidRPr="00E53FDB" w:rsidRDefault="00E53FDB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Las autoridades mexicanas competentes en la materia consideran adecuada la categorización en cuatro vertientes:</w:t>
      </w:r>
    </w:p>
    <w:p w14:paraId="7D02E2D0" w14:textId="3A947092" w:rsidR="00E53FDB" w:rsidRPr="00E53FDB" w:rsidRDefault="00E53FDB" w:rsidP="009234C1">
      <w:pPr>
        <w:pStyle w:val="ListParagraph"/>
        <w:numPr>
          <w:ilvl w:val="0"/>
          <w:numId w:val="6"/>
        </w:numPr>
        <w:ind w:left="180" w:firstLine="0"/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Bienes que no tienen</w:t>
      </w:r>
      <w:r w:rsidR="001C7EDD">
        <w:rPr>
          <w:rFonts w:ascii="Century Gothic" w:hAnsi="Century Gothic"/>
          <w:color w:val="000000"/>
          <w:shd w:val="clear" w:color="auto" w:fill="FFFFFF"/>
          <w:lang w:val="es-MX"/>
        </w:rPr>
        <w:t xml:space="preserve"> un uso práctico que no sea para</w:t>
      </w: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 xml:space="preserve"> la tortura y otros tratos o penas cree/es, inhumanos y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 xml:space="preserve"> </w:t>
      </w: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degradantes.</w:t>
      </w:r>
    </w:p>
    <w:p w14:paraId="72C4519A" w14:textId="77777777" w:rsidR="00E53FDB" w:rsidRPr="00E53FDB" w:rsidRDefault="00E53FDB" w:rsidP="009234C1">
      <w:pPr>
        <w:pStyle w:val="ListParagraph"/>
        <w:numPr>
          <w:ilvl w:val="0"/>
          <w:numId w:val="6"/>
        </w:numPr>
        <w:ind w:left="180" w:firstLine="0"/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Bienes que pueden ser mal utilizados con fines de tortura u otros tratos o penas crueles, inhumanos o degradantes.</w:t>
      </w:r>
    </w:p>
    <w:p w14:paraId="707B6D84" w14:textId="77777777" w:rsidR="00E53FDB" w:rsidRPr="00E53FDB" w:rsidRDefault="00E53FDB" w:rsidP="009234C1">
      <w:pPr>
        <w:pStyle w:val="ListParagraph"/>
        <w:numPr>
          <w:ilvl w:val="0"/>
          <w:numId w:val="6"/>
        </w:numPr>
        <w:ind w:left="180" w:firstLine="0"/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Bienes que no tienen un uso práctico que no sea para la pena capital.</w:t>
      </w:r>
    </w:p>
    <w:p w14:paraId="4A25426F" w14:textId="1CF34E75" w:rsidR="00E53FDB" w:rsidRPr="00E53FDB" w:rsidRDefault="00E53FDB" w:rsidP="009234C1">
      <w:pPr>
        <w:pStyle w:val="ListParagraph"/>
        <w:numPr>
          <w:ilvl w:val="0"/>
          <w:numId w:val="6"/>
        </w:numPr>
        <w:ind w:left="180" w:firstLine="0"/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E53FDB">
        <w:rPr>
          <w:rFonts w:ascii="Century Gothic" w:hAnsi="Century Gothic"/>
          <w:color w:val="000000"/>
          <w:shd w:val="clear" w:color="auto" w:fill="FFFFFF"/>
          <w:lang w:val="es-MX"/>
        </w:rPr>
        <w:t>Bienes que pueden ser mal utilizados con el propósito de la pena capital.</w:t>
      </w:r>
    </w:p>
    <w:p w14:paraId="22A03A3C" w14:textId="3D15B2F3" w:rsidR="00E53FDB" w:rsidRDefault="00E53FDB" w:rsidP="00D66803">
      <w:pPr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 </w:t>
      </w:r>
    </w:p>
    <w:p w14:paraId="5583CF13" w14:textId="7261654A" w:rsidR="00AF6EFD" w:rsidRPr="00684035" w:rsidRDefault="00AF6EFD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Indique si cree que debería haber una Iista exhaustiva de productos en cada categoría. En caso afirmativo,</w:t>
      </w:r>
      <w:r w:rsidR="001829CC"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 </w:t>
      </w:r>
      <w:r w:rsidRPr="00684035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¿debería existir un mecanismo para la actualización periódica de las listas en cada categoría?</w:t>
      </w:r>
    </w:p>
    <w:p w14:paraId="3CABF660" w14:textId="77777777" w:rsidR="00AF6EFD" w:rsidRDefault="00AF6EFD" w:rsidP="00AF6EFD">
      <w:pPr>
        <w:pStyle w:val="BodyText"/>
        <w:spacing w:before="9"/>
        <w:rPr>
          <w:sz w:val="18"/>
        </w:rPr>
      </w:pPr>
    </w:p>
    <w:p w14:paraId="2C179EFD" w14:textId="1BABC2FE" w:rsidR="00AF6EFD" w:rsidRPr="00AF6EFD" w:rsidRDefault="00AF6EFD" w:rsidP="00C62DD4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AF6EFD">
        <w:rPr>
          <w:rFonts w:ascii="Century Gothic" w:hAnsi="Century Gothic"/>
          <w:color w:val="000000"/>
          <w:shd w:val="clear" w:color="auto" w:fill="FFFFFF"/>
          <w:lang w:val="es-MX"/>
        </w:rPr>
        <w:t>Se considera que si debería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 xml:space="preserve"> de</w:t>
      </w:r>
      <w:r w:rsidRPr="00AF6EFD">
        <w:rPr>
          <w:rFonts w:ascii="Century Gothic" w:hAnsi="Century Gothic"/>
          <w:color w:val="000000"/>
          <w:shd w:val="clear" w:color="auto" w:fill="FFFFFF"/>
          <w:lang w:val="es-MX"/>
        </w:rPr>
        <w:t xml:space="preserve"> implementarse una Iista exhaustiva ya que sería más práctica de interpretar</w:t>
      </w:r>
      <w:r>
        <w:rPr>
          <w:rFonts w:ascii="Century Gothic" w:hAnsi="Century Gothic"/>
          <w:color w:val="000000"/>
          <w:shd w:val="clear" w:color="auto" w:fill="FFFFFF"/>
          <w:lang w:val="es-MX"/>
        </w:rPr>
        <w:t xml:space="preserve"> </w:t>
      </w:r>
      <w:r w:rsidRPr="00AF6EFD">
        <w:rPr>
          <w:rFonts w:ascii="Century Gothic" w:hAnsi="Century Gothic"/>
          <w:color w:val="000000"/>
          <w:shd w:val="clear" w:color="auto" w:fill="FFFFFF"/>
          <w:lang w:val="es-MX"/>
        </w:rPr>
        <w:t>y aplicar, efectivamente debe haber una constante actualización de la lista exhaustiva de cada categoría.</w:t>
      </w:r>
    </w:p>
    <w:p w14:paraId="213B08C8" w14:textId="77777777" w:rsidR="00AF6EFD" w:rsidRPr="00684035" w:rsidRDefault="00AF6EFD" w:rsidP="00684035">
      <w:pPr>
        <w:pStyle w:val="ListParagraph"/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</w:p>
    <w:p w14:paraId="70CCB553" w14:textId="74A9DB29" w:rsidR="00AF6EFD" w:rsidRPr="000A6384" w:rsidRDefault="00AF6EFD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0A6384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¿Deberían las normas internacionales comunes propuestas prohibir el comercio de bienes que no tienen un uso práctico que no sea para aplicar la pena de muerte o </w:t>
      </w:r>
      <w:r w:rsidR="001829CC" w:rsidRPr="000A6384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infligir</w:t>
      </w:r>
      <w:r w:rsidRPr="000A6384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 torturas u otros tratos o penas crueles, inhumanos o degradantes? En caso negativo, proporcione más explicaciones.</w:t>
      </w:r>
    </w:p>
    <w:p w14:paraId="785514BB" w14:textId="77777777" w:rsidR="00AF6EFD" w:rsidRDefault="00AF6EFD" w:rsidP="00AF6EFD">
      <w:pPr>
        <w:pStyle w:val="BodyText"/>
        <w:spacing w:before="2"/>
        <w:rPr>
          <w:sz w:val="19"/>
        </w:rPr>
      </w:pPr>
    </w:p>
    <w:p w14:paraId="73093334" w14:textId="77777777" w:rsidR="00AF6EFD" w:rsidRPr="00AF6EFD" w:rsidRDefault="00AF6EFD" w:rsidP="00C62DD4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AF6EFD">
        <w:rPr>
          <w:rFonts w:ascii="Century Gothic" w:hAnsi="Century Gothic"/>
          <w:color w:val="000000"/>
          <w:shd w:val="clear" w:color="auto" w:fill="FFFFFF"/>
          <w:lang w:val="es-MX"/>
        </w:rPr>
        <w:t>Sí, las normas internacionales deberían prohibir el comercio de bienes aplicables a la pena de muerte, tortura u otros tratos o penas crueles, inhumanos o degradantes, más aún en los países en donde se encuentran prohibidas dichas medidas.</w:t>
      </w:r>
    </w:p>
    <w:p w14:paraId="047EE2F5" w14:textId="2DC4BFC2" w:rsidR="00AF6EFD" w:rsidRPr="00D01F9D" w:rsidRDefault="00AF6EFD" w:rsidP="00D01F9D">
      <w:pPr>
        <w:pStyle w:val="ListParagraph"/>
        <w:ind w:left="720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</w:p>
    <w:p w14:paraId="079B0B88" w14:textId="6F6B2EF6" w:rsidR="00A475A4" w:rsidRDefault="00A475A4" w:rsidP="00684035">
      <w:pPr>
        <w:pStyle w:val="ListParagraph"/>
        <w:numPr>
          <w:ilvl w:val="0"/>
          <w:numId w:val="8"/>
        </w:numPr>
        <w:spacing w:line="230" w:lineRule="auto"/>
        <w:ind w:left="0" w:right="243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  <w:r w:rsidRPr="00D01F9D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Indique cuál considera que es el tipo de instrumento internacional más adecuado</w:t>
      </w:r>
      <w:r w:rsidR="00D01F9D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 xml:space="preserve"> </w:t>
      </w:r>
      <w:r w:rsidRPr="00D01F9D"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  <w:t>para establecer normas internacionales comunes para regular los bienes utilizados para la pena capital o la tortura u otros tratos o penas crueles, inhumanos o degradantes.</w:t>
      </w:r>
    </w:p>
    <w:p w14:paraId="688C8877" w14:textId="77777777" w:rsidR="00D01F9D" w:rsidRPr="00D01F9D" w:rsidRDefault="00D01F9D" w:rsidP="00D01F9D">
      <w:pPr>
        <w:pStyle w:val="ListParagraph"/>
        <w:ind w:left="720" w:firstLine="0"/>
        <w:jc w:val="both"/>
        <w:rPr>
          <w:rFonts w:ascii="Century Gothic" w:hAnsi="Century Gothic"/>
          <w:b/>
          <w:bCs/>
          <w:color w:val="000000"/>
          <w:shd w:val="clear" w:color="auto" w:fill="FFFFFF"/>
          <w:lang w:val="es-MX"/>
        </w:rPr>
      </w:pPr>
    </w:p>
    <w:p w14:paraId="38A9706F" w14:textId="45D8E79F" w:rsidR="00A475A4" w:rsidRPr="00CB2473" w:rsidRDefault="008B7C17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r w:rsidRPr="00CB2473">
        <w:rPr>
          <w:rFonts w:ascii="Century Gothic" w:hAnsi="Century Gothic"/>
          <w:color w:val="000000"/>
          <w:shd w:val="clear" w:color="auto" w:fill="FFFFFF"/>
          <w:lang w:val="es-MX"/>
        </w:rPr>
        <w:t xml:space="preserve">Respecto de este apartado, se considera que un tratado internacional multilateral es el instrumento idóneo </w:t>
      </w:r>
      <w:r w:rsidR="00D714BE" w:rsidRPr="00CB2473">
        <w:rPr>
          <w:rFonts w:ascii="Century Gothic" w:hAnsi="Century Gothic"/>
          <w:color w:val="000000"/>
          <w:shd w:val="clear" w:color="auto" w:fill="FFFFFF"/>
          <w:lang w:val="es-MX"/>
        </w:rPr>
        <w:t>para resolver esta interrogante</w:t>
      </w:r>
      <w:r w:rsidR="000C7D02">
        <w:rPr>
          <w:rFonts w:ascii="Century Gothic" w:hAnsi="Century Gothic"/>
          <w:color w:val="000000"/>
          <w:shd w:val="clear" w:color="auto" w:fill="FFFFFF"/>
          <w:lang w:val="es-MX"/>
        </w:rPr>
        <w:t xml:space="preserve">, toda vez que la difusión del mismo sería más amplia que el alcance que tienen las resoluciones de la Asamblea General de la ONU y los Estados podrían incorporar dichas disposiciones en su derecho interno; se permitiría la adhesión de todos los Estados y la ONU quedaría a cargo de darle mayor seguimiento al tratado y de promover la participación de los mismos. </w:t>
      </w:r>
    </w:p>
    <w:p w14:paraId="5EAD2E0C" w14:textId="19215277" w:rsidR="00D714BE" w:rsidRPr="00CB2473" w:rsidRDefault="00D714BE" w:rsidP="00D66803">
      <w:pPr>
        <w:jc w:val="both"/>
        <w:rPr>
          <w:rFonts w:ascii="Century Gothic" w:hAnsi="Century Gothic"/>
          <w:color w:val="000000"/>
          <w:shd w:val="clear" w:color="auto" w:fill="FFFFFF"/>
          <w:lang w:val="es-MX"/>
        </w:rPr>
      </w:pPr>
      <w:bookmarkStart w:id="0" w:name="_GoBack"/>
      <w:bookmarkEnd w:id="0"/>
    </w:p>
    <w:sectPr w:rsidR="00D714BE" w:rsidRPr="00CB2473" w:rsidSect="000730A5">
      <w:headerReference w:type="default" r:id="rId8"/>
      <w:pgSz w:w="12240" w:h="15840"/>
      <w:pgMar w:top="171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C4070" w14:textId="77777777" w:rsidR="00A9518A" w:rsidRDefault="00A9518A" w:rsidP="009C126D">
      <w:pPr>
        <w:spacing w:after="0" w:line="240" w:lineRule="auto"/>
      </w:pPr>
      <w:r>
        <w:separator/>
      </w:r>
    </w:p>
  </w:endnote>
  <w:endnote w:type="continuationSeparator" w:id="0">
    <w:p w14:paraId="741B690A" w14:textId="77777777" w:rsidR="00A9518A" w:rsidRDefault="00A9518A" w:rsidP="009C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hury gothic">
    <w:altName w:val="Cambria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3DA728" w14:textId="77777777" w:rsidR="00A9518A" w:rsidRDefault="00A9518A" w:rsidP="009C126D">
      <w:pPr>
        <w:spacing w:after="0" w:line="240" w:lineRule="auto"/>
      </w:pPr>
      <w:r>
        <w:separator/>
      </w:r>
    </w:p>
  </w:footnote>
  <w:footnote w:type="continuationSeparator" w:id="0">
    <w:p w14:paraId="24435357" w14:textId="77777777" w:rsidR="00A9518A" w:rsidRDefault="00A9518A" w:rsidP="009C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9F9483" w14:textId="2C49ACBC" w:rsidR="009C126D" w:rsidRPr="002555FB" w:rsidRDefault="002555FB" w:rsidP="002555FB">
    <w:pPr>
      <w:pStyle w:val="xwordsection1"/>
      <w:shd w:val="clear" w:color="auto" w:fill="FFFFFF"/>
      <w:spacing w:before="0" w:beforeAutospacing="0" w:after="0" w:afterAutospacing="0"/>
      <w:jc w:val="right"/>
      <w:rPr>
        <w:color w:val="201F1E"/>
        <w:lang w:val="es-MX"/>
      </w:rPr>
    </w:pPr>
    <w:r w:rsidRPr="002555FB">
      <w:rPr>
        <w:color w:val="201F1E"/>
        <w:lang w:val="es-MX"/>
      </w:rPr>
      <w:br/>
    </w:r>
    <w:r>
      <w:rPr>
        <w:rFonts w:asciiTheme="minorHAnsi" w:eastAsiaTheme="minorHAnsi" w:hAnsiTheme="minorHAnsi" w:cstheme="minorBidi"/>
        <w:i/>
        <w:iCs/>
        <w:noProof/>
        <w:sz w:val="22"/>
        <w:szCs w:val="22"/>
        <w:lang w:val="en-GB" w:eastAsia="en-GB"/>
      </w:rPr>
      <w:drawing>
        <wp:inline distT="0" distB="0" distL="0" distR="0" wp14:anchorId="5647447A" wp14:editId="778AF05F">
          <wp:extent cx="3255765" cy="352899"/>
          <wp:effectExtent l="0" t="0" r="1905" b="9525"/>
          <wp:docPr id="11" name="Picture 11" descr="C:\Users\fariasgu\AppData\Local\Microsoft\Windows\INetCache\Content.MSO\E68DED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riasgu\AppData\Local\Microsoft\Windows\INetCache\Content.MSO\E68DED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88028" cy="36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555FB">
      <w:rPr>
        <w:color w:val="201F1E"/>
        <w:lang w:val="es-MX"/>
      </w:rPr>
      <w:t>  </w:t>
    </w:r>
    <w:r>
      <w:rPr>
        <w:color w:val="201F1E"/>
        <w:lang w:val="es-MX"/>
      </w:rPr>
      <w:t xml:space="preserve">                                      </w:t>
    </w:r>
    <w:r w:rsidR="009C126D" w:rsidRPr="000730A5">
      <w:rPr>
        <w:rFonts w:ascii="Centhury gothic" w:hAnsi="Centhury gothic"/>
        <w:i/>
        <w:iCs/>
        <w:sz w:val="22"/>
        <w:szCs w:val="22"/>
        <w:lang w:val="es-MX"/>
      </w:rPr>
      <w:t>8 de mayo de 2020</w:t>
    </w:r>
    <w:r w:rsidR="009C126D" w:rsidRPr="000730A5">
      <w:rPr>
        <w:i/>
        <w:iCs/>
        <w:sz w:val="22"/>
        <w:szCs w:val="22"/>
        <w:lang w:val="es-MX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A9"/>
    <w:multiLevelType w:val="hybridMultilevel"/>
    <w:tmpl w:val="8272D2B2"/>
    <w:lvl w:ilvl="0" w:tplc="7A50B12C">
      <w:start w:val="1"/>
      <w:numFmt w:val="upperRoman"/>
      <w:lvlText w:val="%1."/>
      <w:lvlJc w:val="left"/>
      <w:pPr>
        <w:ind w:left="84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4" w:hanging="360"/>
      </w:pPr>
    </w:lvl>
    <w:lvl w:ilvl="2" w:tplc="0409001B" w:tentative="1">
      <w:start w:val="1"/>
      <w:numFmt w:val="lowerRoman"/>
      <w:lvlText w:val="%3."/>
      <w:lvlJc w:val="right"/>
      <w:pPr>
        <w:ind w:left="1924" w:hanging="180"/>
      </w:pPr>
    </w:lvl>
    <w:lvl w:ilvl="3" w:tplc="0409000F" w:tentative="1">
      <w:start w:val="1"/>
      <w:numFmt w:val="decimal"/>
      <w:lvlText w:val="%4."/>
      <w:lvlJc w:val="left"/>
      <w:pPr>
        <w:ind w:left="2644" w:hanging="360"/>
      </w:pPr>
    </w:lvl>
    <w:lvl w:ilvl="4" w:tplc="04090019" w:tentative="1">
      <w:start w:val="1"/>
      <w:numFmt w:val="lowerLetter"/>
      <w:lvlText w:val="%5."/>
      <w:lvlJc w:val="left"/>
      <w:pPr>
        <w:ind w:left="3364" w:hanging="360"/>
      </w:pPr>
    </w:lvl>
    <w:lvl w:ilvl="5" w:tplc="0409001B" w:tentative="1">
      <w:start w:val="1"/>
      <w:numFmt w:val="lowerRoman"/>
      <w:lvlText w:val="%6."/>
      <w:lvlJc w:val="right"/>
      <w:pPr>
        <w:ind w:left="4084" w:hanging="180"/>
      </w:pPr>
    </w:lvl>
    <w:lvl w:ilvl="6" w:tplc="0409000F" w:tentative="1">
      <w:start w:val="1"/>
      <w:numFmt w:val="decimal"/>
      <w:lvlText w:val="%7."/>
      <w:lvlJc w:val="left"/>
      <w:pPr>
        <w:ind w:left="4804" w:hanging="360"/>
      </w:pPr>
    </w:lvl>
    <w:lvl w:ilvl="7" w:tplc="04090019" w:tentative="1">
      <w:start w:val="1"/>
      <w:numFmt w:val="lowerLetter"/>
      <w:lvlText w:val="%8."/>
      <w:lvlJc w:val="left"/>
      <w:pPr>
        <w:ind w:left="5524" w:hanging="360"/>
      </w:pPr>
    </w:lvl>
    <w:lvl w:ilvl="8" w:tplc="0409001B" w:tentative="1">
      <w:start w:val="1"/>
      <w:numFmt w:val="lowerRoman"/>
      <w:lvlText w:val="%9."/>
      <w:lvlJc w:val="right"/>
      <w:pPr>
        <w:ind w:left="6244" w:hanging="180"/>
      </w:pPr>
    </w:lvl>
  </w:abstractNum>
  <w:abstractNum w:abstractNumId="1" w15:restartNumberingAfterBreak="0">
    <w:nsid w:val="0E7139E2"/>
    <w:multiLevelType w:val="hybridMultilevel"/>
    <w:tmpl w:val="9EF4A3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713C8"/>
    <w:multiLevelType w:val="hybridMultilevel"/>
    <w:tmpl w:val="F5CC17E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95D0F"/>
    <w:multiLevelType w:val="hybridMultilevel"/>
    <w:tmpl w:val="D0443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9287B"/>
    <w:multiLevelType w:val="hybridMultilevel"/>
    <w:tmpl w:val="AC9A2DF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274CD7"/>
    <w:multiLevelType w:val="multilevel"/>
    <w:tmpl w:val="B6C07B9C"/>
    <w:lvl w:ilvl="0">
      <w:start w:val="12"/>
      <w:numFmt w:val="upperLetter"/>
      <w:lvlText w:val="%1"/>
      <w:lvlJc w:val="left"/>
      <w:pPr>
        <w:ind w:left="397" w:hanging="264"/>
      </w:pPr>
      <w:rPr>
        <w:rFonts w:hint="default"/>
        <w:lang w:val="es-ES" w:eastAsia="es-ES" w:bidi="es-ES"/>
      </w:rPr>
    </w:lvl>
    <w:lvl w:ilvl="1">
      <w:start w:val="1"/>
      <w:numFmt w:val="lowerLetter"/>
      <w:lvlText w:val="%1.%2"/>
      <w:lvlJc w:val="left"/>
      <w:pPr>
        <w:ind w:left="397" w:hanging="264"/>
      </w:pPr>
      <w:rPr>
        <w:rFonts w:ascii="Cambria" w:eastAsia="Cambria" w:hAnsi="Cambria" w:cs="Cambria" w:hint="default"/>
        <w:spacing w:val="-1"/>
        <w:w w:val="73"/>
        <w:sz w:val="20"/>
        <w:szCs w:val="20"/>
        <w:lang w:val="es-ES" w:eastAsia="es-ES" w:bidi="es-ES"/>
      </w:rPr>
    </w:lvl>
    <w:lvl w:ilvl="2">
      <w:start w:val="2"/>
      <w:numFmt w:val="decimal"/>
      <w:lvlText w:val="%3."/>
      <w:lvlJc w:val="left"/>
      <w:pPr>
        <w:ind w:left="284" w:hanging="211"/>
      </w:pPr>
      <w:rPr>
        <w:rFonts w:ascii="Arial" w:eastAsia="Arial" w:hAnsi="Arial" w:cs="Arial" w:hint="default"/>
        <w:spacing w:val="-1"/>
        <w:w w:val="84"/>
        <w:sz w:val="21"/>
        <w:szCs w:val="21"/>
        <w:lang w:val="es-ES" w:eastAsia="es-ES" w:bidi="es-ES"/>
      </w:rPr>
    </w:lvl>
    <w:lvl w:ilvl="3">
      <w:start w:val="1"/>
      <w:numFmt w:val="decimal"/>
      <w:lvlText w:val="%4."/>
      <w:lvlJc w:val="left"/>
      <w:pPr>
        <w:ind w:left="996" w:hanging="381"/>
      </w:pPr>
      <w:rPr>
        <w:rFonts w:hint="default"/>
        <w:i/>
        <w:spacing w:val="-1"/>
        <w:w w:val="59"/>
        <w:lang w:val="es-ES" w:eastAsia="es-ES" w:bidi="es-ES"/>
      </w:rPr>
    </w:lvl>
    <w:lvl w:ilvl="4">
      <w:numFmt w:val="bullet"/>
      <w:lvlText w:val="•"/>
      <w:lvlJc w:val="left"/>
      <w:pPr>
        <w:ind w:left="2471" w:hanging="381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3842" w:hanging="381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214" w:hanging="381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585" w:hanging="381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957" w:hanging="381"/>
      </w:pPr>
      <w:rPr>
        <w:rFonts w:hint="default"/>
        <w:lang w:val="es-ES" w:eastAsia="es-ES" w:bidi="es-ES"/>
      </w:rPr>
    </w:lvl>
  </w:abstractNum>
  <w:abstractNum w:abstractNumId="6" w15:restartNumberingAfterBreak="0">
    <w:nsid w:val="65606106"/>
    <w:multiLevelType w:val="hybridMultilevel"/>
    <w:tmpl w:val="1EFE5E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A23597"/>
    <w:multiLevelType w:val="hybridMultilevel"/>
    <w:tmpl w:val="48C87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26D"/>
    <w:rsid w:val="00026AB1"/>
    <w:rsid w:val="000730A5"/>
    <w:rsid w:val="000A6384"/>
    <w:rsid w:val="000C7D02"/>
    <w:rsid w:val="00111D09"/>
    <w:rsid w:val="001219C3"/>
    <w:rsid w:val="001829CC"/>
    <w:rsid w:val="001C7EDD"/>
    <w:rsid w:val="001D2305"/>
    <w:rsid w:val="00240B1C"/>
    <w:rsid w:val="002555FB"/>
    <w:rsid w:val="002A40D2"/>
    <w:rsid w:val="002C1322"/>
    <w:rsid w:val="00330136"/>
    <w:rsid w:val="00526BB0"/>
    <w:rsid w:val="00556038"/>
    <w:rsid w:val="00565F28"/>
    <w:rsid w:val="0063374A"/>
    <w:rsid w:val="00684035"/>
    <w:rsid w:val="00684BCA"/>
    <w:rsid w:val="006B44D4"/>
    <w:rsid w:val="00744DCE"/>
    <w:rsid w:val="00844248"/>
    <w:rsid w:val="00883C3A"/>
    <w:rsid w:val="008B7C17"/>
    <w:rsid w:val="009234C1"/>
    <w:rsid w:val="00935F6C"/>
    <w:rsid w:val="009C126D"/>
    <w:rsid w:val="00A3539C"/>
    <w:rsid w:val="00A475A4"/>
    <w:rsid w:val="00A9518A"/>
    <w:rsid w:val="00AF6EFD"/>
    <w:rsid w:val="00B463F2"/>
    <w:rsid w:val="00B808DF"/>
    <w:rsid w:val="00C03024"/>
    <w:rsid w:val="00C1360D"/>
    <w:rsid w:val="00C62DD4"/>
    <w:rsid w:val="00C827B6"/>
    <w:rsid w:val="00CB2473"/>
    <w:rsid w:val="00D01F9D"/>
    <w:rsid w:val="00D031F8"/>
    <w:rsid w:val="00D56E1D"/>
    <w:rsid w:val="00D66803"/>
    <w:rsid w:val="00D714BE"/>
    <w:rsid w:val="00DB44AF"/>
    <w:rsid w:val="00E53FDB"/>
    <w:rsid w:val="00E9123A"/>
    <w:rsid w:val="00EA4458"/>
    <w:rsid w:val="00F06C21"/>
    <w:rsid w:val="00F47A01"/>
    <w:rsid w:val="00F82B92"/>
    <w:rsid w:val="00FB0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8F1BEEB"/>
  <w15:docId w15:val="{77B4BF43-41C4-4DBB-AF29-9541B57B1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26D"/>
  </w:style>
  <w:style w:type="paragraph" w:styleId="Footer">
    <w:name w:val="footer"/>
    <w:basedOn w:val="Normal"/>
    <w:link w:val="FooterChar"/>
    <w:uiPriority w:val="99"/>
    <w:unhideWhenUsed/>
    <w:rsid w:val="009C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26D"/>
  </w:style>
  <w:style w:type="character" w:customStyle="1" w:styleId="mark6zlo3qqkl">
    <w:name w:val="mark6zlo3qqkl"/>
    <w:basedOn w:val="DefaultParagraphFont"/>
    <w:rsid w:val="009C126D"/>
  </w:style>
  <w:style w:type="paragraph" w:styleId="BodyText">
    <w:name w:val="Body Text"/>
    <w:basedOn w:val="Normal"/>
    <w:link w:val="BodyTextChar"/>
    <w:uiPriority w:val="1"/>
    <w:qFormat/>
    <w:rsid w:val="009C126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  <w:lang w:val="es-ES" w:eastAsia="es-ES" w:bidi="es-ES"/>
    </w:rPr>
  </w:style>
  <w:style w:type="character" w:customStyle="1" w:styleId="BodyTextChar">
    <w:name w:val="Body Text Char"/>
    <w:basedOn w:val="DefaultParagraphFont"/>
    <w:link w:val="BodyText"/>
    <w:uiPriority w:val="1"/>
    <w:rsid w:val="009C126D"/>
    <w:rPr>
      <w:rFonts w:ascii="Arial" w:eastAsia="Arial" w:hAnsi="Arial" w:cs="Arial"/>
      <w:sz w:val="21"/>
      <w:szCs w:val="21"/>
      <w:lang w:val="es-ES" w:eastAsia="es-ES" w:bidi="es-ES"/>
    </w:rPr>
  </w:style>
  <w:style w:type="paragraph" w:styleId="ListParagraph">
    <w:name w:val="List Paragraph"/>
    <w:basedOn w:val="Normal"/>
    <w:uiPriority w:val="1"/>
    <w:qFormat/>
    <w:rsid w:val="009C126D"/>
    <w:pPr>
      <w:widowControl w:val="0"/>
      <w:autoSpaceDE w:val="0"/>
      <w:autoSpaceDN w:val="0"/>
      <w:spacing w:after="0" w:line="240" w:lineRule="auto"/>
      <w:ind w:left="991" w:hanging="382"/>
    </w:pPr>
    <w:rPr>
      <w:rFonts w:ascii="Arial" w:eastAsia="Arial" w:hAnsi="Arial" w:cs="Arial"/>
      <w:lang w:val="es-ES" w:eastAsia="es-ES" w:bidi="es-ES"/>
    </w:rPr>
  </w:style>
  <w:style w:type="paragraph" w:customStyle="1" w:styleId="xwordsection1">
    <w:name w:val="x_wordsection1"/>
    <w:basedOn w:val="Normal"/>
    <w:rsid w:val="002555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7ED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7ED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0E428A-0626-49B9-A6A4-0E168A2F5C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5213C1-71AF-4C19-BE59-1166001BB09C}"/>
</file>

<file path=customXml/itemProps3.xml><?xml version="1.0" encoding="utf-8"?>
<ds:datastoreItem xmlns:ds="http://schemas.openxmlformats.org/officeDocument/2006/customXml" ds:itemID="{57674866-07AE-45FB-918A-47BF7E1C2378}"/>
</file>

<file path=customXml/itemProps4.xml><?xml version="1.0" encoding="utf-8"?>
<ds:datastoreItem xmlns:ds="http://schemas.openxmlformats.org/officeDocument/2006/customXml" ds:itemID="{3CA9B03C-98F8-454F-977C-F89F99EBFB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1127</Words>
  <Characters>6124</Characters>
  <Application>Microsoft Office Word</Application>
  <DocSecurity>4</DocSecurity>
  <Lines>120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Arias Guerrero (fariasgu)</dc:creator>
  <cp:keywords/>
  <dc:description/>
  <cp:lastModifiedBy>ABDULLAEVA Feruza</cp:lastModifiedBy>
  <cp:revision>2</cp:revision>
  <dcterms:created xsi:type="dcterms:W3CDTF">2020-05-13T12:22:00Z</dcterms:created>
  <dcterms:modified xsi:type="dcterms:W3CDTF">2020-05-13T12:22:00Z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