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B00E9" w14:textId="386DCDBB" w:rsidR="00614936" w:rsidRDefault="00F3327A" w:rsidP="00614936">
      <w:pPr>
        <w:pStyle w:val="Heading2"/>
        <w:numPr>
          <w:ilvl w:val="1"/>
          <w:numId w:val="11"/>
        </w:numPr>
        <w:spacing w:line="276" w:lineRule="auto"/>
        <w:jc w:val="center"/>
        <w:rPr>
          <w:color w:val="00000A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677A5F11" wp14:editId="5C9DEABD">
            <wp:extent cx="65722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DFC1" w14:textId="77777777" w:rsidR="00614936" w:rsidRPr="009452BF" w:rsidRDefault="00614936" w:rsidP="00614936">
      <w:pPr>
        <w:jc w:val="center"/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  <w:r w:rsidRPr="009452BF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Human Rights Council</w:t>
      </w:r>
    </w:p>
    <w:p w14:paraId="2B9AEBB8" w14:textId="77777777" w:rsidR="00614936" w:rsidRPr="009452BF" w:rsidRDefault="00614936" w:rsidP="00614936">
      <w:pPr>
        <w:spacing w:before="120"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9452BF">
        <w:rPr>
          <w:rFonts w:ascii="Times New Roman" w:eastAsia="Times New Roman" w:hAnsi="Times New Roman" w:cs="Times New Roman"/>
          <w:b/>
          <w:smallCaps/>
          <w:color w:val="00000A"/>
          <w:sz w:val="24"/>
          <w:szCs w:val="24"/>
          <w:lang w:val="en-US"/>
        </w:rPr>
        <w:t>Social Forum</w:t>
      </w:r>
    </w:p>
    <w:p w14:paraId="7151CE61" w14:textId="77777777" w:rsidR="00614936" w:rsidRPr="009452BF" w:rsidRDefault="00614936" w:rsidP="00614936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9452B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 – 2 October 2019</w:t>
      </w:r>
    </w:p>
    <w:p w14:paraId="6A674597" w14:textId="53E7326F" w:rsidR="00614936" w:rsidRPr="009452BF" w:rsidRDefault="00614936" w:rsidP="00614936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9452B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n-US"/>
        </w:rPr>
        <w:t>Palais des Nations</w:t>
      </w:r>
      <w:r w:rsidRPr="009452B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, Geneva</w:t>
      </w:r>
    </w:p>
    <w:p w14:paraId="16E5907E" w14:textId="77777777" w:rsidR="00614936" w:rsidRPr="009452BF" w:rsidRDefault="00614936" w:rsidP="00614936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7FE4F50E" w14:textId="77777777" w:rsidR="00614936" w:rsidRPr="009452BF" w:rsidRDefault="00614936" w:rsidP="00614936">
      <w:pPr>
        <w:pStyle w:val="Default"/>
        <w:jc w:val="center"/>
        <w:rPr>
          <w:rFonts w:ascii="Times New Roman" w:hAnsi="Times New Roman" w:cs="Times New Roman"/>
          <w:b/>
        </w:rPr>
      </w:pPr>
      <w:r w:rsidRPr="009452BF">
        <w:rPr>
          <w:rFonts w:ascii="Times New Roman" w:hAnsi="Times New Roman" w:cs="Times New Roman"/>
          <w:b/>
          <w:color w:val="00000A"/>
          <w:lang w:val="en-US"/>
        </w:rPr>
        <w:t>“</w:t>
      </w:r>
      <w:r w:rsidRPr="009452BF">
        <w:rPr>
          <w:rFonts w:ascii="Times New Roman" w:hAnsi="Times New Roman" w:cs="Times New Roman"/>
          <w:b/>
        </w:rPr>
        <w:t>THE PROMOTION AND PROTECTION OF THE RIGHTS OF CHILDREN AND YOUTH THROUGH EDUCATION</w:t>
      </w:r>
      <w:r w:rsidRPr="009452BF">
        <w:rPr>
          <w:rFonts w:ascii="Times New Roman" w:hAnsi="Times New Roman" w:cs="Times New Roman"/>
          <w:b/>
          <w:color w:val="00000A"/>
          <w:lang w:val="en-US"/>
        </w:rPr>
        <w:t>”</w:t>
      </w:r>
    </w:p>
    <w:p w14:paraId="0D9A1EA3" w14:textId="77777777" w:rsidR="00614936" w:rsidRPr="00E67AAF" w:rsidRDefault="00614936" w:rsidP="0061493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62CCB4DB" w14:textId="79F3F1F5" w:rsidR="00F3327A" w:rsidRPr="00E67AAF" w:rsidRDefault="00F3327A" w:rsidP="00513B6B">
      <w:pPr>
        <w:spacing w:before="195" w:after="195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CONCEPT</w:t>
      </w:r>
    </w:p>
    <w:p w14:paraId="239402A7" w14:textId="0580E186" w:rsidR="001449A0" w:rsidRPr="00E67AAF" w:rsidRDefault="00E03F1C" w:rsidP="00513B6B">
      <w:pPr>
        <w:spacing w:before="195" w:after="195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Education is both a fundamental human right 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itself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49A0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an essential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means by which children and youth are empowered to claim their rights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become agents of change for sustainable development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It serves as a powerful tool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break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down cycles of exclusion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and will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 central to the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overall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achievement of the 2030 Agenda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Sustainable Development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449A0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2030 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Agenda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defines a holistic vision for 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education under </w:t>
      </w:r>
      <w:r w:rsidR="004F02C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SDG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4, emphasizing the need </w:t>
      </w:r>
      <w:r w:rsidR="00274CC3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to ensure</w:t>
      </w:r>
      <w:r w:rsidR="004F02C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lifelong</w:t>
      </w:r>
      <w:r w:rsidR="0011611A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02C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learning, </w:t>
      </w:r>
      <w:r w:rsidR="00274CC3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to reach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those being left behind, and </w:t>
      </w:r>
      <w:r w:rsidR="00274CC3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to activate</w:t>
      </w:r>
      <w:r w:rsidR="004F02C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449A0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4F02C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611A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key </w:t>
      </w:r>
      <w:r w:rsidR="004F02C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role</w:t>
      </w:r>
      <w:r w:rsidR="001449A0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education</w:t>
      </w:r>
      <w:r w:rsidR="004F02C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realizing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F039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sustainability 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human rights. </w:t>
      </w:r>
    </w:p>
    <w:p w14:paraId="54FBE930" w14:textId="2AC84367" w:rsidR="00F3327A" w:rsidRPr="00E67AAF" w:rsidRDefault="00F3327A" w:rsidP="00513B6B">
      <w:pPr>
        <w:spacing w:before="195" w:after="195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All children and youth have an equal right to a quality education regardless of their gender, family income level, migration, disability or other status</w:t>
      </w:r>
      <w:r w:rsidR="00E03F1C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Yet today millions are </w:t>
      </w:r>
      <w:r w:rsidR="00677611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being 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excluded from</w:t>
      </w:r>
      <w:r w:rsidR="00AF039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education</w:t>
      </w:r>
      <w:r w:rsidR="00274CC3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77611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1449A0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transformative 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opportunities that </w:t>
      </w:r>
      <w:r w:rsidR="00677611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generates: - according to UN data</w:t>
      </w:r>
      <w:r w:rsidR="00274CC3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more than half of children and adolescents are not meeting minimum literacy and numeracy standards, and deep disparities persist according to gender, location and other circumstances. </w:t>
      </w:r>
      <w:r w:rsidR="001449A0" w:rsidRPr="00E67AAF">
        <w:rPr>
          <w:rFonts w:ascii="Times New Roman" w:hAnsi="Times New Roman" w:cs="Times New Roman"/>
          <w:sz w:val="24"/>
          <w:szCs w:val="24"/>
          <w:lang w:val="en-US"/>
        </w:rPr>
        <w:t>Moreover</w:t>
      </w:r>
      <w:r w:rsidR="00AF039F" w:rsidRPr="00E67A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039F" w:rsidRPr="00E67AAF">
        <w:rPr>
          <w:rFonts w:ascii="Times New Roman" w:hAnsi="Times New Roman" w:cs="Times New Roman"/>
          <w:sz w:val="24"/>
          <w:szCs w:val="24"/>
        </w:rPr>
        <w:t>global trends of increased</w:t>
      </w:r>
      <w:r w:rsidR="0011611A" w:rsidRPr="00E67AAF">
        <w:rPr>
          <w:rFonts w:ascii="Times New Roman" w:hAnsi="Times New Roman" w:cs="Times New Roman"/>
          <w:sz w:val="24"/>
          <w:szCs w:val="24"/>
        </w:rPr>
        <w:t xml:space="preserve"> conflict, </w:t>
      </w:r>
      <w:r w:rsidR="00AF039F" w:rsidRPr="00E67AAF">
        <w:rPr>
          <w:rFonts w:ascii="Times New Roman" w:hAnsi="Times New Roman" w:cs="Times New Roman"/>
          <w:sz w:val="24"/>
          <w:szCs w:val="24"/>
        </w:rPr>
        <w:t xml:space="preserve">situations of emergency, climate change and migration have profound </w:t>
      </w:r>
      <w:r w:rsidR="001449A0" w:rsidRPr="00E67AAF">
        <w:rPr>
          <w:rFonts w:ascii="Times New Roman" w:hAnsi="Times New Roman" w:cs="Times New Roman"/>
          <w:sz w:val="24"/>
          <w:szCs w:val="24"/>
        </w:rPr>
        <w:t>implications</w:t>
      </w:r>
      <w:r w:rsidR="00AF039F" w:rsidRPr="00E67AAF">
        <w:rPr>
          <w:rFonts w:ascii="Times New Roman" w:hAnsi="Times New Roman" w:cs="Times New Roman"/>
          <w:sz w:val="24"/>
          <w:szCs w:val="24"/>
        </w:rPr>
        <w:t xml:space="preserve">. 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The gap</w:t>
      </w:r>
      <w:r w:rsidR="00AF039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between </w:t>
      </w:r>
      <w:r w:rsidR="00AF039F"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E6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reality on the ground and the imperative </w:t>
      </w:r>
      <w:r w:rsidR="00274CC3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realize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right to education for all 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children and youth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calls for 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paradigm shift,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solutions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reach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those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being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CC3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left behind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 also ensure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 education become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“fit for the future”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DC74465" w14:textId="0EA25283" w:rsidR="00F3327A" w:rsidRPr="00E67AAF" w:rsidRDefault="00F3327A" w:rsidP="00513B6B">
      <w:pPr>
        <w:spacing w:before="195" w:after="195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67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Outcome</w:t>
      </w:r>
      <w:r w:rsidR="00AF039F" w:rsidRPr="00E67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67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CC3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the basis of the contributions of stakeholders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CC3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including Governments, international organizations, civil society, as well as children and youth, t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274CC3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Social Forum will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cast light on </w:t>
      </w:r>
      <w:r w:rsidR="00274CC3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the rights of children and youth can be protected and promoted through education,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how it can fulfil </w:t>
      </w:r>
      <w:r w:rsidR="001449A0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its transformative potential.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49A0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ecommendations will be submitted to the Human Rights Council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49A0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AF039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report presented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its forty-</w:t>
      </w:r>
      <w:r w:rsidR="00D36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third</w:t>
      </w:r>
      <w:r w:rsidR="00D36939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session.  </w:t>
      </w:r>
    </w:p>
    <w:p w14:paraId="65780F9B" w14:textId="1386F080" w:rsidR="00BB605C" w:rsidRPr="00E67AAF" w:rsidRDefault="00F3327A" w:rsidP="00513B6B">
      <w:pPr>
        <w:spacing w:before="195" w:after="195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67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Mandate: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BB605C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resolution </w:t>
      </w:r>
      <w:hyperlink r:id="rId9" w:history="1">
        <w:r w:rsidR="00BB605C" w:rsidRPr="00E67AA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38/17</w:t>
        </w:r>
      </w:hyperlink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Human Rights Council</w:t>
      </w:r>
      <w:r w:rsidR="00BB605C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decided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BB605C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Social Forum </w:t>
      </w:r>
      <w:r w:rsidR="0011611A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would </w:t>
      </w:r>
      <w:r w:rsidR="00BB605C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focus on “the promotion and protection of the rights of children and youth through education”.  </w:t>
      </w:r>
    </w:p>
    <w:p w14:paraId="5468B081" w14:textId="4AF277B3" w:rsidR="00614936" w:rsidRPr="00E67AAF" w:rsidRDefault="00F3327A" w:rsidP="00513B6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n-US"/>
        </w:rPr>
      </w:pPr>
      <w:r w:rsidRPr="00E67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Background: </w:t>
      </w:r>
      <w:r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Social Forum is an annual meeting convened by the Human Rights Council. It is a unique space for open and interactive dialogue between civil society actors, representatives of Member States, and intergovernmental organizations, on a theme chosen by the Council each year. 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2019 Social Forum takes place on the 30th Anniversary year of the Convention on the Right</w:t>
      </w:r>
      <w:r w:rsidR="009B33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the Child, </w:t>
      </w:r>
      <w:r w:rsidR="004F02CF" w:rsidRPr="00E67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and at a time that youth has become a priority for the United Nations.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is also aligned with International Youth Day 2019, which will focus on “transforming education” to make it more inclusive and accessible for all youth. It is a key opportunity for dialogue on promoting and protecting the rights of children and youth through education, relying upon the contributions of</w:t>
      </w:r>
      <w:r w:rsidR="00274CC3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all stakeholders</w:t>
      </w:r>
      <w:r w:rsidR="004F02CF" w:rsidRPr="00E67A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C257AF7" w14:textId="642127ED" w:rsidR="00E31676" w:rsidRPr="009B1EB9" w:rsidRDefault="00F1778C" w:rsidP="00F1778C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06957" w14:textId="79046AD8" w:rsidR="002D2F4D" w:rsidRPr="009452BF" w:rsidRDefault="002D2F4D" w:rsidP="00C6137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2F4D" w:rsidRPr="009452BF" w:rsidSect="00513B6B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0A0A" w14:textId="77777777" w:rsidR="007612E4" w:rsidRDefault="007612E4" w:rsidP="00E76DC9">
      <w:pPr>
        <w:spacing w:after="0" w:line="240" w:lineRule="auto"/>
      </w:pPr>
      <w:r>
        <w:separator/>
      </w:r>
    </w:p>
  </w:endnote>
  <w:endnote w:type="continuationSeparator" w:id="0">
    <w:p w14:paraId="1033BBEC" w14:textId="77777777" w:rsidR="007612E4" w:rsidRDefault="007612E4" w:rsidP="00E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CDAO+ArialUnicode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5C5CD" w14:textId="77777777" w:rsidR="007612E4" w:rsidRDefault="007612E4" w:rsidP="00E76DC9">
      <w:pPr>
        <w:spacing w:after="0" w:line="240" w:lineRule="auto"/>
      </w:pPr>
      <w:r>
        <w:separator/>
      </w:r>
    </w:p>
  </w:footnote>
  <w:footnote w:type="continuationSeparator" w:id="0">
    <w:p w14:paraId="0BEDBBD7" w14:textId="77777777" w:rsidR="007612E4" w:rsidRDefault="007612E4" w:rsidP="00E7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DC5"/>
    <w:multiLevelType w:val="hybridMultilevel"/>
    <w:tmpl w:val="2526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58E"/>
    <w:multiLevelType w:val="hybridMultilevel"/>
    <w:tmpl w:val="4474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217"/>
    <w:multiLevelType w:val="hybridMultilevel"/>
    <w:tmpl w:val="EA98565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A59619C"/>
    <w:multiLevelType w:val="hybridMultilevel"/>
    <w:tmpl w:val="E04ED1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836B9"/>
    <w:multiLevelType w:val="multilevel"/>
    <w:tmpl w:val="078267D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B8E70D6"/>
    <w:multiLevelType w:val="hybridMultilevel"/>
    <w:tmpl w:val="5CF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754"/>
    <w:multiLevelType w:val="hybridMultilevel"/>
    <w:tmpl w:val="7284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41644"/>
    <w:multiLevelType w:val="hybridMultilevel"/>
    <w:tmpl w:val="C8842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D620A"/>
    <w:multiLevelType w:val="hybridMultilevel"/>
    <w:tmpl w:val="A7FC0BDE"/>
    <w:lvl w:ilvl="0" w:tplc="8F64909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C1A3E25"/>
    <w:multiLevelType w:val="hybridMultilevel"/>
    <w:tmpl w:val="E878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C16F5"/>
    <w:multiLevelType w:val="hybridMultilevel"/>
    <w:tmpl w:val="CA1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B4F35"/>
    <w:multiLevelType w:val="hybridMultilevel"/>
    <w:tmpl w:val="3200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2541E"/>
    <w:multiLevelType w:val="hybridMultilevel"/>
    <w:tmpl w:val="A888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206C4"/>
    <w:multiLevelType w:val="hybridMultilevel"/>
    <w:tmpl w:val="575E07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E5D16"/>
    <w:multiLevelType w:val="hybridMultilevel"/>
    <w:tmpl w:val="4BB86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050DDB"/>
    <w:multiLevelType w:val="hybridMultilevel"/>
    <w:tmpl w:val="002603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B837AB0"/>
    <w:multiLevelType w:val="multilevel"/>
    <w:tmpl w:val="E7DA16F8"/>
    <w:lvl w:ilvl="0">
      <w:start w:val="1"/>
      <w:numFmt w:val="bullet"/>
      <w:lvlText w:val="●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7460" w:hanging="360"/>
      </w:pPr>
      <w:rPr>
        <w:rFonts w:ascii="Arial" w:hAnsi="Arial" w:cs="Arial" w:hint="default"/>
        <w:b/>
        <w:sz w:val="24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hAnsi="Arial" w:cs="Arial" w:hint="default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hAnsi="Arial" w:cs="Arial" w:hint="default"/>
      </w:rPr>
    </w:lvl>
  </w:abstractNum>
  <w:abstractNum w:abstractNumId="17" w15:restartNumberingAfterBreak="0">
    <w:nsid w:val="64794292"/>
    <w:multiLevelType w:val="hybridMultilevel"/>
    <w:tmpl w:val="2A3C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287B"/>
    <w:multiLevelType w:val="multilevel"/>
    <w:tmpl w:val="70D4F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70582361"/>
    <w:multiLevelType w:val="hybridMultilevel"/>
    <w:tmpl w:val="D4A8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7D16"/>
    <w:multiLevelType w:val="multilevel"/>
    <w:tmpl w:val="01C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B3837"/>
    <w:multiLevelType w:val="hybridMultilevel"/>
    <w:tmpl w:val="ABFA2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AA176F"/>
    <w:multiLevelType w:val="hybridMultilevel"/>
    <w:tmpl w:val="7DB61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054F8"/>
    <w:multiLevelType w:val="hybridMultilevel"/>
    <w:tmpl w:val="008A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35A1A"/>
    <w:multiLevelType w:val="hybridMultilevel"/>
    <w:tmpl w:val="E3A0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19"/>
  </w:num>
  <w:num w:numId="10">
    <w:abstractNumId w:val="4"/>
  </w:num>
  <w:num w:numId="11">
    <w:abstractNumId w:val="18"/>
  </w:num>
  <w:num w:numId="12">
    <w:abstractNumId w:val="0"/>
  </w:num>
  <w:num w:numId="13">
    <w:abstractNumId w:val="15"/>
  </w:num>
  <w:num w:numId="14">
    <w:abstractNumId w:val="5"/>
  </w:num>
  <w:num w:numId="15">
    <w:abstractNumId w:val="16"/>
  </w:num>
  <w:num w:numId="16">
    <w:abstractNumId w:val="20"/>
  </w:num>
  <w:num w:numId="17">
    <w:abstractNumId w:val="8"/>
  </w:num>
  <w:num w:numId="18">
    <w:abstractNumId w:val="22"/>
  </w:num>
  <w:num w:numId="19">
    <w:abstractNumId w:val="13"/>
  </w:num>
  <w:num w:numId="20">
    <w:abstractNumId w:val="24"/>
  </w:num>
  <w:num w:numId="21">
    <w:abstractNumId w:val="16"/>
  </w:num>
  <w:num w:numId="22">
    <w:abstractNumId w:val="21"/>
  </w:num>
  <w:num w:numId="23">
    <w:abstractNumId w:val="9"/>
  </w:num>
  <w:num w:numId="24">
    <w:abstractNumId w:val="10"/>
  </w:num>
  <w:num w:numId="25">
    <w:abstractNumId w:val="2"/>
  </w:num>
  <w:num w:numId="26">
    <w:abstractNumId w:val="14"/>
  </w:num>
  <w:num w:numId="27">
    <w:abstractNumId w:val="23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419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4D"/>
    <w:rsid w:val="00002335"/>
    <w:rsid w:val="00003D38"/>
    <w:rsid w:val="00006A62"/>
    <w:rsid w:val="00007D8A"/>
    <w:rsid w:val="000357FC"/>
    <w:rsid w:val="000374F5"/>
    <w:rsid w:val="00040715"/>
    <w:rsid w:val="00053A35"/>
    <w:rsid w:val="000546EE"/>
    <w:rsid w:val="000551AE"/>
    <w:rsid w:val="0005521D"/>
    <w:rsid w:val="00055C5F"/>
    <w:rsid w:val="000569B9"/>
    <w:rsid w:val="00056EC9"/>
    <w:rsid w:val="000742E5"/>
    <w:rsid w:val="00080E70"/>
    <w:rsid w:val="000837B8"/>
    <w:rsid w:val="00083B84"/>
    <w:rsid w:val="000849CE"/>
    <w:rsid w:val="00085A5E"/>
    <w:rsid w:val="000A151F"/>
    <w:rsid w:val="000A2083"/>
    <w:rsid w:val="000A656E"/>
    <w:rsid w:val="000A6700"/>
    <w:rsid w:val="000B0368"/>
    <w:rsid w:val="000B298A"/>
    <w:rsid w:val="000B3F5F"/>
    <w:rsid w:val="000C01A7"/>
    <w:rsid w:val="000C125E"/>
    <w:rsid w:val="000C57EA"/>
    <w:rsid w:val="000D1423"/>
    <w:rsid w:val="000E34CA"/>
    <w:rsid w:val="000E377D"/>
    <w:rsid w:val="000E79BA"/>
    <w:rsid w:val="001029C4"/>
    <w:rsid w:val="00107C22"/>
    <w:rsid w:val="00110CB9"/>
    <w:rsid w:val="0011611A"/>
    <w:rsid w:val="00122507"/>
    <w:rsid w:val="00125747"/>
    <w:rsid w:val="001341AF"/>
    <w:rsid w:val="001449A0"/>
    <w:rsid w:val="0017320A"/>
    <w:rsid w:val="00177DBD"/>
    <w:rsid w:val="00180408"/>
    <w:rsid w:val="00180AF3"/>
    <w:rsid w:val="00192580"/>
    <w:rsid w:val="001B0819"/>
    <w:rsid w:val="001D5E11"/>
    <w:rsid w:val="001E05FA"/>
    <w:rsid w:val="001E1478"/>
    <w:rsid w:val="001E78FB"/>
    <w:rsid w:val="001F2177"/>
    <w:rsid w:val="001F4C47"/>
    <w:rsid w:val="00201C43"/>
    <w:rsid w:val="00202EEB"/>
    <w:rsid w:val="002212FE"/>
    <w:rsid w:val="00226CA9"/>
    <w:rsid w:val="002339A3"/>
    <w:rsid w:val="0024415F"/>
    <w:rsid w:val="00265B27"/>
    <w:rsid w:val="002743D7"/>
    <w:rsid w:val="00274CC3"/>
    <w:rsid w:val="00287A69"/>
    <w:rsid w:val="002A0F1C"/>
    <w:rsid w:val="002B5CC0"/>
    <w:rsid w:val="002C5141"/>
    <w:rsid w:val="002D2F4D"/>
    <w:rsid w:val="002F036F"/>
    <w:rsid w:val="00305557"/>
    <w:rsid w:val="00321202"/>
    <w:rsid w:val="003264FE"/>
    <w:rsid w:val="003271CC"/>
    <w:rsid w:val="003274B6"/>
    <w:rsid w:val="003336FF"/>
    <w:rsid w:val="00336037"/>
    <w:rsid w:val="00337D41"/>
    <w:rsid w:val="0036229A"/>
    <w:rsid w:val="00366749"/>
    <w:rsid w:val="00371785"/>
    <w:rsid w:val="00374CC1"/>
    <w:rsid w:val="003845A7"/>
    <w:rsid w:val="0038466D"/>
    <w:rsid w:val="0039009F"/>
    <w:rsid w:val="003950FC"/>
    <w:rsid w:val="00395917"/>
    <w:rsid w:val="00397511"/>
    <w:rsid w:val="003A00B1"/>
    <w:rsid w:val="003A0269"/>
    <w:rsid w:val="003A3B69"/>
    <w:rsid w:val="003B005D"/>
    <w:rsid w:val="003B4FB2"/>
    <w:rsid w:val="003C11FF"/>
    <w:rsid w:val="003D61C7"/>
    <w:rsid w:val="003E5196"/>
    <w:rsid w:val="003F14E5"/>
    <w:rsid w:val="003F7263"/>
    <w:rsid w:val="00401F9C"/>
    <w:rsid w:val="00407861"/>
    <w:rsid w:val="00415C08"/>
    <w:rsid w:val="00425B71"/>
    <w:rsid w:val="00432490"/>
    <w:rsid w:val="00461651"/>
    <w:rsid w:val="00467649"/>
    <w:rsid w:val="00470D64"/>
    <w:rsid w:val="00477EE2"/>
    <w:rsid w:val="00482EFA"/>
    <w:rsid w:val="00483A2C"/>
    <w:rsid w:val="00486E81"/>
    <w:rsid w:val="004A1B05"/>
    <w:rsid w:val="004C7484"/>
    <w:rsid w:val="004D25AC"/>
    <w:rsid w:val="004D5EC0"/>
    <w:rsid w:val="004E2BB7"/>
    <w:rsid w:val="004E6947"/>
    <w:rsid w:val="004F02CF"/>
    <w:rsid w:val="005010E2"/>
    <w:rsid w:val="00503267"/>
    <w:rsid w:val="00511E73"/>
    <w:rsid w:val="00513B6B"/>
    <w:rsid w:val="00534E25"/>
    <w:rsid w:val="00542C71"/>
    <w:rsid w:val="00551120"/>
    <w:rsid w:val="00555525"/>
    <w:rsid w:val="00563BCC"/>
    <w:rsid w:val="005656A2"/>
    <w:rsid w:val="00572DBF"/>
    <w:rsid w:val="00575338"/>
    <w:rsid w:val="00583199"/>
    <w:rsid w:val="00583956"/>
    <w:rsid w:val="0058516D"/>
    <w:rsid w:val="005909B1"/>
    <w:rsid w:val="005A1CD2"/>
    <w:rsid w:val="005B4D0B"/>
    <w:rsid w:val="005D5318"/>
    <w:rsid w:val="005D6A66"/>
    <w:rsid w:val="005E56A3"/>
    <w:rsid w:val="005E6844"/>
    <w:rsid w:val="00601D47"/>
    <w:rsid w:val="00605AE7"/>
    <w:rsid w:val="00614936"/>
    <w:rsid w:val="00615E4E"/>
    <w:rsid w:val="0062151C"/>
    <w:rsid w:val="006322E0"/>
    <w:rsid w:val="0063729C"/>
    <w:rsid w:val="00637770"/>
    <w:rsid w:val="00651674"/>
    <w:rsid w:val="006516CA"/>
    <w:rsid w:val="006575F0"/>
    <w:rsid w:val="00660175"/>
    <w:rsid w:val="00662192"/>
    <w:rsid w:val="00662530"/>
    <w:rsid w:val="00667606"/>
    <w:rsid w:val="00673A54"/>
    <w:rsid w:val="00676518"/>
    <w:rsid w:val="00677611"/>
    <w:rsid w:val="006815FF"/>
    <w:rsid w:val="006832BC"/>
    <w:rsid w:val="00687DA1"/>
    <w:rsid w:val="00690A5E"/>
    <w:rsid w:val="006A1380"/>
    <w:rsid w:val="006A238E"/>
    <w:rsid w:val="006A5656"/>
    <w:rsid w:val="006D0AC0"/>
    <w:rsid w:val="006D318E"/>
    <w:rsid w:val="006E3B79"/>
    <w:rsid w:val="006E6136"/>
    <w:rsid w:val="006F0264"/>
    <w:rsid w:val="006F08EF"/>
    <w:rsid w:val="006F5EF0"/>
    <w:rsid w:val="007142B4"/>
    <w:rsid w:val="00720F87"/>
    <w:rsid w:val="007240ED"/>
    <w:rsid w:val="00726641"/>
    <w:rsid w:val="007378FB"/>
    <w:rsid w:val="007448AE"/>
    <w:rsid w:val="00747AA3"/>
    <w:rsid w:val="00750EE9"/>
    <w:rsid w:val="00751431"/>
    <w:rsid w:val="007612E4"/>
    <w:rsid w:val="0077407C"/>
    <w:rsid w:val="00776ADB"/>
    <w:rsid w:val="007868A4"/>
    <w:rsid w:val="007A3BA3"/>
    <w:rsid w:val="007C19F5"/>
    <w:rsid w:val="007D167B"/>
    <w:rsid w:val="007D18E1"/>
    <w:rsid w:val="007D36F0"/>
    <w:rsid w:val="007E3D85"/>
    <w:rsid w:val="007E6617"/>
    <w:rsid w:val="007F2E9C"/>
    <w:rsid w:val="008161F1"/>
    <w:rsid w:val="00816910"/>
    <w:rsid w:val="00817474"/>
    <w:rsid w:val="0082455A"/>
    <w:rsid w:val="008246E4"/>
    <w:rsid w:val="00825280"/>
    <w:rsid w:val="0083247B"/>
    <w:rsid w:val="008376FD"/>
    <w:rsid w:val="008551BC"/>
    <w:rsid w:val="00856147"/>
    <w:rsid w:val="00861B00"/>
    <w:rsid w:val="00882FA6"/>
    <w:rsid w:val="008935C0"/>
    <w:rsid w:val="008A4073"/>
    <w:rsid w:val="008A4C1E"/>
    <w:rsid w:val="008B4643"/>
    <w:rsid w:val="008D0F35"/>
    <w:rsid w:val="008D315E"/>
    <w:rsid w:val="008D3486"/>
    <w:rsid w:val="008F658D"/>
    <w:rsid w:val="00906DC9"/>
    <w:rsid w:val="00913AD5"/>
    <w:rsid w:val="009168FB"/>
    <w:rsid w:val="00917096"/>
    <w:rsid w:val="0092570A"/>
    <w:rsid w:val="00934543"/>
    <w:rsid w:val="0093689C"/>
    <w:rsid w:val="0094398C"/>
    <w:rsid w:val="009452BF"/>
    <w:rsid w:val="009457E8"/>
    <w:rsid w:val="00947682"/>
    <w:rsid w:val="00951AB1"/>
    <w:rsid w:val="00961622"/>
    <w:rsid w:val="00967F00"/>
    <w:rsid w:val="00970344"/>
    <w:rsid w:val="00984877"/>
    <w:rsid w:val="009875E8"/>
    <w:rsid w:val="009917AB"/>
    <w:rsid w:val="0099203A"/>
    <w:rsid w:val="009B2DA4"/>
    <w:rsid w:val="009B3395"/>
    <w:rsid w:val="009C081E"/>
    <w:rsid w:val="009D36EB"/>
    <w:rsid w:val="009E3F0E"/>
    <w:rsid w:val="009E5333"/>
    <w:rsid w:val="009F49EB"/>
    <w:rsid w:val="009F4FB6"/>
    <w:rsid w:val="009F662E"/>
    <w:rsid w:val="00A017F4"/>
    <w:rsid w:val="00A146C7"/>
    <w:rsid w:val="00A32876"/>
    <w:rsid w:val="00A32AAC"/>
    <w:rsid w:val="00A32BBB"/>
    <w:rsid w:val="00A35B1D"/>
    <w:rsid w:val="00A60A4D"/>
    <w:rsid w:val="00A710AD"/>
    <w:rsid w:val="00A943D0"/>
    <w:rsid w:val="00AA4836"/>
    <w:rsid w:val="00AD53A8"/>
    <w:rsid w:val="00AD57A1"/>
    <w:rsid w:val="00AD5C18"/>
    <w:rsid w:val="00AE2F1E"/>
    <w:rsid w:val="00AE4363"/>
    <w:rsid w:val="00AF039F"/>
    <w:rsid w:val="00B0294E"/>
    <w:rsid w:val="00B036B7"/>
    <w:rsid w:val="00B05243"/>
    <w:rsid w:val="00B052D4"/>
    <w:rsid w:val="00B10FAF"/>
    <w:rsid w:val="00B20FD5"/>
    <w:rsid w:val="00B374BB"/>
    <w:rsid w:val="00B376C3"/>
    <w:rsid w:val="00B51001"/>
    <w:rsid w:val="00B547CB"/>
    <w:rsid w:val="00B5631E"/>
    <w:rsid w:val="00B56F30"/>
    <w:rsid w:val="00B65C60"/>
    <w:rsid w:val="00B75AB2"/>
    <w:rsid w:val="00B82292"/>
    <w:rsid w:val="00B832E9"/>
    <w:rsid w:val="00B8596A"/>
    <w:rsid w:val="00BA12C2"/>
    <w:rsid w:val="00BA6131"/>
    <w:rsid w:val="00BB3324"/>
    <w:rsid w:val="00BB4E3B"/>
    <w:rsid w:val="00BB605C"/>
    <w:rsid w:val="00BC31FC"/>
    <w:rsid w:val="00BE08EE"/>
    <w:rsid w:val="00BE4EBE"/>
    <w:rsid w:val="00BF0C31"/>
    <w:rsid w:val="00BF1CE3"/>
    <w:rsid w:val="00BF7039"/>
    <w:rsid w:val="00BF7F9D"/>
    <w:rsid w:val="00C00BE1"/>
    <w:rsid w:val="00C064B8"/>
    <w:rsid w:val="00C1258D"/>
    <w:rsid w:val="00C2561C"/>
    <w:rsid w:val="00C27D55"/>
    <w:rsid w:val="00C32591"/>
    <w:rsid w:val="00C34B9E"/>
    <w:rsid w:val="00C413E0"/>
    <w:rsid w:val="00C4563F"/>
    <w:rsid w:val="00C61372"/>
    <w:rsid w:val="00C67314"/>
    <w:rsid w:val="00C92893"/>
    <w:rsid w:val="00CA5533"/>
    <w:rsid w:val="00CC15E6"/>
    <w:rsid w:val="00CC497F"/>
    <w:rsid w:val="00CC634A"/>
    <w:rsid w:val="00CC7DDA"/>
    <w:rsid w:val="00CE20EB"/>
    <w:rsid w:val="00CF128D"/>
    <w:rsid w:val="00CF2BCF"/>
    <w:rsid w:val="00D1140F"/>
    <w:rsid w:val="00D13B16"/>
    <w:rsid w:val="00D2739B"/>
    <w:rsid w:val="00D36939"/>
    <w:rsid w:val="00D51FDB"/>
    <w:rsid w:val="00D548FA"/>
    <w:rsid w:val="00D56248"/>
    <w:rsid w:val="00D7335B"/>
    <w:rsid w:val="00D80AA8"/>
    <w:rsid w:val="00D82B00"/>
    <w:rsid w:val="00D85057"/>
    <w:rsid w:val="00D975A9"/>
    <w:rsid w:val="00D97AA6"/>
    <w:rsid w:val="00DA62D3"/>
    <w:rsid w:val="00DB119D"/>
    <w:rsid w:val="00DB60B3"/>
    <w:rsid w:val="00DC20D6"/>
    <w:rsid w:val="00DC4364"/>
    <w:rsid w:val="00DD3C2C"/>
    <w:rsid w:val="00DE0433"/>
    <w:rsid w:val="00DE34D5"/>
    <w:rsid w:val="00DE438F"/>
    <w:rsid w:val="00DF1E91"/>
    <w:rsid w:val="00DF3238"/>
    <w:rsid w:val="00E03F1C"/>
    <w:rsid w:val="00E14786"/>
    <w:rsid w:val="00E14BB4"/>
    <w:rsid w:val="00E15FBA"/>
    <w:rsid w:val="00E2735E"/>
    <w:rsid w:val="00E31676"/>
    <w:rsid w:val="00E32EC6"/>
    <w:rsid w:val="00E3521C"/>
    <w:rsid w:val="00E43B44"/>
    <w:rsid w:val="00E52501"/>
    <w:rsid w:val="00E56D0A"/>
    <w:rsid w:val="00E66189"/>
    <w:rsid w:val="00E67AAF"/>
    <w:rsid w:val="00E76DC9"/>
    <w:rsid w:val="00E7730D"/>
    <w:rsid w:val="00E82E24"/>
    <w:rsid w:val="00E84242"/>
    <w:rsid w:val="00E850DB"/>
    <w:rsid w:val="00E87E35"/>
    <w:rsid w:val="00E90891"/>
    <w:rsid w:val="00E94039"/>
    <w:rsid w:val="00E968CB"/>
    <w:rsid w:val="00E97AC8"/>
    <w:rsid w:val="00EA5C0F"/>
    <w:rsid w:val="00EA63FE"/>
    <w:rsid w:val="00EA7F82"/>
    <w:rsid w:val="00EB0822"/>
    <w:rsid w:val="00EB420E"/>
    <w:rsid w:val="00EC04C5"/>
    <w:rsid w:val="00EC4B03"/>
    <w:rsid w:val="00ED398D"/>
    <w:rsid w:val="00ED70DB"/>
    <w:rsid w:val="00ED776E"/>
    <w:rsid w:val="00F02BC8"/>
    <w:rsid w:val="00F1778C"/>
    <w:rsid w:val="00F23449"/>
    <w:rsid w:val="00F2394D"/>
    <w:rsid w:val="00F25DF7"/>
    <w:rsid w:val="00F3327A"/>
    <w:rsid w:val="00F4129A"/>
    <w:rsid w:val="00F4444A"/>
    <w:rsid w:val="00F54428"/>
    <w:rsid w:val="00F552C5"/>
    <w:rsid w:val="00F55F1B"/>
    <w:rsid w:val="00F64C7C"/>
    <w:rsid w:val="00F662CB"/>
    <w:rsid w:val="00F72D28"/>
    <w:rsid w:val="00F734B4"/>
    <w:rsid w:val="00F76193"/>
    <w:rsid w:val="00F81479"/>
    <w:rsid w:val="00F83274"/>
    <w:rsid w:val="00F8429E"/>
    <w:rsid w:val="00F86F69"/>
    <w:rsid w:val="00F92423"/>
    <w:rsid w:val="00F97744"/>
    <w:rsid w:val="00FB0B34"/>
    <w:rsid w:val="00FB285D"/>
    <w:rsid w:val="00FD6969"/>
    <w:rsid w:val="00FF077A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4D4F"/>
  <w15:docId w15:val="{E0E2169A-3414-411E-83E2-440173B1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14936"/>
    <w:pPr>
      <w:keepNext/>
      <w:numPr>
        <w:numId w:val="10"/>
      </w:numPr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614936"/>
    <w:pPr>
      <w:numPr>
        <w:ilvl w:val="1"/>
        <w:numId w:val="10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614936"/>
    <w:pPr>
      <w:keepNext/>
      <w:numPr>
        <w:ilvl w:val="2"/>
        <w:numId w:val="10"/>
      </w:numPr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14936"/>
    <w:pPr>
      <w:keepNext/>
      <w:keepLines/>
      <w:numPr>
        <w:ilvl w:val="3"/>
        <w:numId w:val="10"/>
      </w:numPr>
      <w:suppressAutoHyphen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614936"/>
    <w:pPr>
      <w:keepNext/>
      <w:keepLines/>
      <w:numPr>
        <w:ilvl w:val="4"/>
        <w:numId w:val="10"/>
      </w:numPr>
      <w:suppressAutoHyphens/>
      <w:spacing w:before="220" w:after="40" w:line="276" w:lineRule="auto"/>
      <w:outlineLvl w:val="4"/>
    </w:pPr>
    <w:rPr>
      <w:rFonts w:ascii="Calibri" w:eastAsia="Calibri" w:hAnsi="Calibri" w:cs="Calibri"/>
      <w:b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614936"/>
    <w:pPr>
      <w:keepNext/>
      <w:keepLines/>
      <w:numPr>
        <w:ilvl w:val="5"/>
        <w:numId w:val="10"/>
      </w:numPr>
      <w:suppressAutoHyphen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61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54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14936"/>
    <w:rPr>
      <w:rFonts w:ascii="Cambria" w:eastAsia="Cambria" w:hAnsi="Cambria" w:cs="Cambria"/>
      <w:b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614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14936"/>
    <w:rPr>
      <w:rFonts w:ascii="Cambria" w:eastAsia="Cambria" w:hAnsi="Cambria" w:cs="Cambria"/>
      <w:b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614936"/>
    <w:rPr>
      <w:rFonts w:ascii="Calibri" w:eastAsia="Calibri" w:hAnsi="Calibri" w:cs="Calibri"/>
      <w:b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14936"/>
    <w:rPr>
      <w:rFonts w:ascii="Calibri" w:eastAsia="Calibri" w:hAnsi="Calibri" w:cs="Calibri"/>
      <w:b/>
      <w:lang w:eastAsia="ar-SA"/>
    </w:rPr>
  </w:style>
  <w:style w:type="character" w:customStyle="1" w:styleId="Heading6Char">
    <w:name w:val="Heading 6 Char"/>
    <w:basedOn w:val="DefaultParagraphFont"/>
    <w:link w:val="Heading6"/>
    <w:rsid w:val="00614936"/>
    <w:rPr>
      <w:rFonts w:ascii="Calibri" w:eastAsia="Calibri" w:hAnsi="Calibri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614936"/>
    <w:pPr>
      <w:spacing w:after="0" w:line="240" w:lineRule="auto"/>
    </w:pPr>
    <w:rPr>
      <w:rFonts w:ascii="DGCDAO+ArialUnicodeMS" w:eastAsia="Times New Roman" w:hAnsi="DGCDAO+ArialUnicodeMS" w:cs="DGCDAO+ArialUnicodeMS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936"/>
  </w:style>
  <w:style w:type="character" w:styleId="CommentReference">
    <w:name w:val="annotation reference"/>
    <w:basedOn w:val="DefaultParagraphFont"/>
    <w:uiPriority w:val="99"/>
    <w:semiHidden/>
    <w:unhideWhenUsed/>
    <w:rsid w:val="00C2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5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6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05C"/>
    <w:rPr>
      <w:color w:val="0000FF"/>
      <w:u w:val="single"/>
    </w:rPr>
  </w:style>
  <w:style w:type="paragraph" w:customStyle="1" w:styleId="xmsonormal">
    <w:name w:val="x_msonormal"/>
    <w:basedOn w:val="Normal"/>
    <w:rsid w:val="00BB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af">
    <w:name w:val="leaf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st">
    <w:name w:val="last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76DC9"/>
    <w:pPr>
      <w:spacing w:after="0" w:line="240" w:lineRule="auto"/>
    </w:pPr>
    <w:rPr>
      <w:rFonts w:ascii="Cambria" w:eastAsia="SimSun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rsid w:val="00E76DC9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76DC9"/>
    <w:rPr>
      <w:rFonts w:ascii="Cambria" w:eastAsia="Times New Roman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rsid w:val="00E76DC9"/>
    <w:rPr>
      <w:vertAlign w:val="superscript"/>
    </w:rPr>
  </w:style>
  <w:style w:type="paragraph" w:styleId="Revision">
    <w:name w:val="Revision"/>
    <w:hidden/>
    <w:uiPriority w:val="99"/>
    <w:semiHidden/>
    <w:rsid w:val="003E51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.ohchr.org/documents/dpage_e.aspx?si=A/HRC/RES/38/17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09E65-9304-46C8-89F3-1221944B6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6CF3D-BDCF-49B8-A5ED-46A55C0852BC}"/>
</file>

<file path=customXml/itemProps3.xml><?xml version="1.0" encoding="utf-8"?>
<ds:datastoreItem xmlns:ds="http://schemas.openxmlformats.org/officeDocument/2006/customXml" ds:itemID="{FCD609C1-B790-46E1-9568-B87271D8F66D}"/>
</file>

<file path=customXml/itemProps4.xml><?xml version="1.0" encoding="utf-8"?>
<ds:datastoreItem xmlns:ds="http://schemas.openxmlformats.org/officeDocument/2006/customXml" ds:itemID="{FAEFBB74-D8EA-4D54-84E3-E75E53EE1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Child Rights</dc:creator>
  <cp:keywords/>
  <dc:description/>
  <cp:lastModifiedBy>GRIFFITHS Helen</cp:lastModifiedBy>
  <cp:revision>3</cp:revision>
  <cp:lastPrinted>2019-08-27T08:07:00Z</cp:lastPrinted>
  <dcterms:created xsi:type="dcterms:W3CDTF">2019-08-30T13:41:00Z</dcterms:created>
  <dcterms:modified xsi:type="dcterms:W3CDTF">2019-08-30T13:42:00Z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