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745" w:rsidRPr="00794ADD" w:rsidRDefault="00E25C01">
      <w:pPr>
        <w:ind w:right="-35"/>
        <w:jc w:val="center"/>
        <w:rPr>
          <w:b/>
          <w:bCs/>
          <w:lang w:val="fr-CH"/>
        </w:rPr>
      </w:pPr>
      <w:r w:rsidRPr="00794ADD">
        <w:rPr>
          <w:b/>
          <w:bCs/>
          <w:lang w:val="fr-CH"/>
        </w:rPr>
        <w:t xml:space="preserve">Mandats du </w:t>
      </w:r>
      <w:r w:rsidR="00603A96" w:rsidRPr="00D72A64">
        <w:rPr>
          <w:b/>
          <w:bCs/>
          <w:noProof/>
          <w:lang w:val="fr-FR"/>
        </w:rPr>
        <w:t xml:space="preserve">Groupe de travail sur la détention arbitraire; </w:t>
      </w:r>
      <w:r w:rsidR="00603A96">
        <w:rPr>
          <w:b/>
          <w:bCs/>
          <w:noProof/>
          <w:lang w:val="fr-FR"/>
        </w:rPr>
        <w:t>de la</w:t>
      </w:r>
      <w:r w:rsidR="00603A96" w:rsidRPr="00D72A64">
        <w:rPr>
          <w:b/>
          <w:bCs/>
          <w:noProof/>
          <w:lang w:val="fr-FR"/>
        </w:rPr>
        <w:t xml:space="preserve"> Rapporteuse spéciale sur le logement convenable en tant qu'élément du droit à un niveau de vie suffisant, ainsi que sur le droit à la non-discrimination à cet égard; </w:t>
      </w:r>
      <w:r w:rsidR="00603A96">
        <w:rPr>
          <w:b/>
          <w:bCs/>
          <w:noProof/>
          <w:lang w:val="fr-FR"/>
        </w:rPr>
        <w:t>du</w:t>
      </w:r>
      <w:r w:rsidR="00603A96" w:rsidRPr="00D72A64">
        <w:rPr>
          <w:b/>
          <w:bCs/>
          <w:noProof/>
          <w:lang w:val="fr-FR"/>
        </w:rPr>
        <w:t xml:space="preserve"> Rapporteur spécial sur la situation des défenseurs des droits de l'homme; </w:t>
      </w:r>
      <w:r w:rsidR="00603A96">
        <w:rPr>
          <w:b/>
          <w:bCs/>
          <w:noProof/>
          <w:lang w:val="fr-FR"/>
        </w:rPr>
        <w:t>du</w:t>
      </w:r>
      <w:r w:rsidR="00603A96" w:rsidRPr="00D72A64">
        <w:rPr>
          <w:b/>
          <w:bCs/>
          <w:noProof/>
          <w:lang w:val="fr-FR"/>
        </w:rPr>
        <w:t xml:space="preserve"> Rapporteur spécial sur les droits de l'homme des migrants; </w:t>
      </w:r>
      <w:r w:rsidR="00603A96">
        <w:rPr>
          <w:b/>
          <w:bCs/>
          <w:noProof/>
          <w:lang w:val="fr-FR"/>
        </w:rPr>
        <w:t>du</w:t>
      </w:r>
      <w:r w:rsidR="00603A96" w:rsidRPr="00D72A64">
        <w:rPr>
          <w:b/>
          <w:bCs/>
          <w:noProof/>
          <w:lang w:val="fr-FR"/>
        </w:rPr>
        <w:t xml:space="preserve"> Rapporteur spécial sur les formes contemporaines de racisme, de discrimination raciale, de xénophobie et de l’intolérance qui y est associée; </w:t>
      </w:r>
      <w:r w:rsidR="00603A96">
        <w:rPr>
          <w:b/>
          <w:bCs/>
          <w:noProof/>
          <w:lang w:val="fr-FR"/>
        </w:rPr>
        <w:t>du</w:t>
      </w:r>
      <w:r w:rsidR="00603A96" w:rsidRPr="00D72A64">
        <w:rPr>
          <w:b/>
          <w:bCs/>
          <w:noProof/>
          <w:lang w:val="fr-FR"/>
        </w:rPr>
        <w:t xml:space="preserve"> Rapporteur spécial sur la torture et autres peines ou traitements cruels, inhumains ou dégradants; </w:t>
      </w:r>
      <w:r w:rsidR="00603A96">
        <w:rPr>
          <w:b/>
          <w:bCs/>
          <w:noProof/>
          <w:lang w:val="fr-FR"/>
        </w:rPr>
        <w:t>et</w:t>
      </w:r>
      <w:r w:rsidR="00603A96" w:rsidRPr="00D72A64">
        <w:rPr>
          <w:b/>
          <w:bCs/>
          <w:noProof/>
          <w:lang w:val="fr-FR"/>
        </w:rPr>
        <w:t xml:space="preserve"> </w:t>
      </w:r>
      <w:r w:rsidR="00603A96">
        <w:rPr>
          <w:b/>
          <w:bCs/>
          <w:noProof/>
          <w:lang w:val="fr-FR"/>
        </w:rPr>
        <w:t>du</w:t>
      </w:r>
      <w:r w:rsidR="00603A96" w:rsidRPr="00D72A64">
        <w:rPr>
          <w:b/>
          <w:bCs/>
          <w:noProof/>
          <w:lang w:val="fr-FR"/>
        </w:rPr>
        <w:t xml:space="preserve"> Rapporteur spécial sur les droits à l'eau potable et l'assainissement</w:t>
      </w:r>
    </w:p>
    <w:p w:rsidR="00E25C01" w:rsidRPr="00794ADD" w:rsidRDefault="00E25C01">
      <w:pPr>
        <w:ind w:right="-35"/>
        <w:jc w:val="center"/>
        <w:rPr>
          <w:lang w:val="fr-CH"/>
        </w:rPr>
      </w:pPr>
    </w:p>
    <w:tbl>
      <w:tblPr>
        <w:tblW w:w="0" w:type="auto"/>
        <w:tblLook w:val="04A0" w:firstRow="1" w:lastRow="0" w:firstColumn="1" w:lastColumn="0" w:noHBand="0" w:noVBand="1"/>
      </w:tblPr>
      <w:tblGrid>
        <w:gridCol w:w="1106"/>
        <w:gridCol w:w="119"/>
      </w:tblGrid>
      <w:tr w:rsidR="00763745">
        <w:tc>
          <w:tcPr>
            <w:tcW w:w="0" w:type="auto"/>
            <w:shd w:val="clear" w:color="auto" w:fill="auto"/>
            <w:tcMar>
              <w:top w:w="113" w:type="dxa"/>
              <w:left w:w="57" w:type="dxa"/>
              <w:bottom w:w="113" w:type="dxa"/>
              <w:right w:w="0" w:type="dxa"/>
            </w:tcMar>
          </w:tcPr>
          <w:p w:rsidR="00763745" w:rsidRPr="00E25C01" w:rsidRDefault="00E25C01">
            <w:pPr>
              <w:rPr>
                <w:sz w:val="16"/>
                <w:szCs w:val="16"/>
              </w:rPr>
            </w:pPr>
            <w:r w:rsidRPr="00E25C01">
              <w:rPr>
                <w:sz w:val="16"/>
                <w:szCs w:val="16"/>
              </w:rPr>
              <w:t xml:space="preserve">REFERENCE: </w:t>
            </w:r>
          </w:p>
          <w:p w:rsidR="00763745" w:rsidRPr="00E25C01" w:rsidRDefault="00E25C01">
            <w:pPr>
              <w:rPr>
                <w:sz w:val="16"/>
                <w:szCs w:val="16"/>
              </w:rPr>
            </w:pPr>
            <w:r w:rsidRPr="00E25C01">
              <w:rPr>
                <w:sz w:val="16"/>
                <w:szCs w:val="16"/>
              </w:rPr>
              <w:t>OL FRA 4/2018</w:t>
            </w:r>
          </w:p>
        </w:tc>
        <w:tc>
          <w:tcPr>
            <w:tcW w:w="0" w:type="auto"/>
            <w:shd w:val="clear" w:color="auto" w:fill="auto"/>
            <w:tcMar>
              <w:top w:w="113" w:type="dxa"/>
              <w:left w:w="113" w:type="dxa"/>
              <w:bottom w:w="113" w:type="dxa"/>
              <w:right w:w="0" w:type="dxa"/>
            </w:tcMar>
          </w:tcPr>
          <w:p w:rsidR="00763745" w:rsidRDefault="00763745">
            <w:pPr>
              <w:rPr>
                <w:sz w:val="24"/>
                <w:szCs w:val="24"/>
              </w:rPr>
            </w:pPr>
          </w:p>
        </w:tc>
      </w:tr>
    </w:tbl>
    <w:p w:rsidR="00763745" w:rsidRDefault="00133F4F">
      <w:pPr>
        <w:jc w:val="right"/>
        <w:rPr>
          <w:sz w:val="24"/>
          <w:szCs w:val="24"/>
        </w:rPr>
      </w:pPr>
      <w:r>
        <w:rPr>
          <w:noProof/>
          <w:sz w:val="24"/>
          <w:szCs w:val="24"/>
        </w:rPr>
        <w:t xml:space="preserve">23 </w:t>
      </w:r>
      <w:r w:rsidR="00E25C01">
        <w:rPr>
          <w:noProof/>
          <w:sz w:val="24"/>
          <w:szCs w:val="24"/>
        </w:rPr>
        <w:t>avril 2018</w:t>
      </w:r>
    </w:p>
    <w:p w:rsidR="00763745" w:rsidRDefault="00763745">
      <w:pPr>
        <w:jc w:val="right"/>
        <w:rPr>
          <w:sz w:val="24"/>
          <w:szCs w:val="24"/>
        </w:rPr>
      </w:pPr>
    </w:p>
    <w:p w:rsidR="00763745" w:rsidRDefault="00E25C01">
      <w:pPr>
        <w:rPr>
          <w:sz w:val="24"/>
          <w:szCs w:val="24"/>
          <w:lang w:val="fr-CH"/>
        </w:rPr>
      </w:pPr>
      <w:r>
        <w:rPr>
          <w:sz w:val="24"/>
          <w:szCs w:val="24"/>
          <w:lang w:val="fr-CH"/>
        </w:rPr>
        <w:t>Excellence,</w:t>
      </w:r>
    </w:p>
    <w:p w:rsidR="00763745" w:rsidRDefault="00763745">
      <w:pPr>
        <w:tabs>
          <w:tab w:val="left" w:pos="680"/>
          <w:tab w:val="left" w:pos="1360"/>
          <w:tab w:val="left" w:pos="1984"/>
          <w:tab w:val="left" w:pos="6349"/>
          <w:tab w:val="left" w:pos="6916"/>
        </w:tabs>
        <w:rPr>
          <w:sz w:val="24"/>
          <w:szCs w:val="24"/>
          <w:lang w:val="fr-CH"/>
        </w:rPr>
      </w:pPr>
    </w:p>
    <w:p w:rsidR="00763745" w:rsidRDefault="00E25C01">
      <w:pPr>
        <w:ind w:firstLine="709"/>
        <w:jc w:val="both"/>
        <w:rPr>
          <w:sz w:val="24"/>
          <w:szCs w:val="24"/>
          <w:lang w:val="fr-FR"/>
        </w:rPr>
      </w:pPr>
      <w:r>
        <w:rPr>
          <w:sz w:val="24"/>
          <w:szCs w:val="24"/>
          <w:lang w:val="fr-FR"/>
        </w:rPr>
        <w:t xml:space="preserve">Nous avons l’honneur de nous adresser à vous en nos qualités de </w:t>
      </w:r>
      <w:r w:rsidR="00603A96">
        <w:rPr>
          <w:noProof/>
          <w:sz w:val="24"/>
          <w:szCs w:val="24"/>
          <w:lang w:val="fr-FR"/>
        </w:rPr>
        <w:t>Groupe de travail sur la détention arbitraire; Rapporteuse spéciale sur le logement convenable en tant qu'élément du droit à un niveau de vie suffisant, ainsi que sur le droit à la non-discrimination à cet égard; Rapporteur spécial sur la situation des défenseurs des droits de l'homme; Rapporteur spécial sur les droits de l'homme des migrants; Rapporteur spécial sur les formes contemporaines de racisme, de discrimination raciale, de xénophobie et de l’intolérance qui y est associée; Rapporteur spécial sur la torture et autres peines ou traitements cruels, inhumains ou dégradants; et Rapporteur spécial sur les droits à l'eau potable et l'assainissement</w:t>
      </w:r>
      <w:r w:rsidR="00603A96">
        <w:rPr>
          <w:sz w:val="24"/>
          <w:szCs w:val="24"/>
          <w:lang w:val="fr-FR"/>
        </w:rPr>
        <w:t xml:space="preserve">, </w:t>
      </w:r>
      <w:r w:rsidR="00603A96">
        <w:rPr>
          <w:bCs/>
          <w:sz w:val="24"/>
          <w:szCs w:val="24"/>
          <w:lang w:val="fr-FR"/>
        </w:rPr>
        <w:t>conformément aux résolutions 33/30, 34/9, 34/5, 34/21, 34/35, 34/19 et 33/10</w:t>
      </w:r>
      <w:r w:rsidR="00603A96">
        <w:rPr>
          <w:sz w:val="24"/>
          <w:szCs w:val="24"/>
          <w:lang w:val="fr-FR"/>
        </w:rPr>
        <w:t xml:space="preserve"> du Conseil des droits de l’homme</w:t>
      </w:r>
      <w:r>
        <w:rPr>
          <w:sz w:val="24"/>
          <w:szCs w:val="24"/>
          <w:lang w:val="fr-FR"/>
        </w:rPr>
        <w:t>.</w:t>
      </w:r>
    </w:p>
    <w:p w:rsidR="00763745" w:rsidRDefault="00763745">
      <w:pPr>
        <w:tabs>
          <w:tab w:val="left" w:pos="680"/>
          <w:tab w:val="left" w:pos="1360"/>
          <w:tab w:val="left" w:pos="1984"/>
          <w:tab w:val="left" w:pos="6349"/>
          <w:tab w:val="left" w:pos="6916"/>
        </w:tabs>
        <w:ind w:firstLine="709"/>
        <w:jc w:val="both"/>
        <w:rPr>
          <w:sz w:val="24"/>
          <w:szCs w:val="24"/>
          <w:lang w:val="fr-FR"/>
        </w:rPr>
      </w:pPr>
    </w:p>
    <w:p w:rsidR="00794ADD" w:rsidRPr="005317E6" w:rsidRDefault="00794ADD" w:rsidP="00794ADD">
      <w:pPr>
        <w:ind w:firstLine="680"/>
        <w:jc w:val="both"/>
        <w:rPr>
          <w:b/>
          <w:kern w:val="2"/>
          <w:sz w:val="24"/>
          <w:szCs w:val="24"/>
          <w:lang w:val="fr-CH"/>
        </w:rPr>
      </w:pPr>
      <w:r>
        <w:rPr>
          <w:kern w:val="2"/>
          <w:sz w:val="24"/>
          <w:szCs w:val="24"/>
          <w:lang w:val="fr-FR"/>
        </w:rPr>
        <w:t>Dans ce contexte, nous souhaiterions attirer l’attention du Gouvernement de votre Excellence sur des informations que nous avons reçues concernant</w:t>
      </w:r>
      <w:r w:rsidRPr="003C2328">
        <w:rPr>
          <w:kern w:val="2"/>
          <w:sz w:val="24"/>
          <w:szCs w:val="24"/>
          <w:lang w:val="fr-CH"/>
        </w:rPr>
        <w:t xml:space="preserve"> </w:t>
      </w:r>
      <w:r w:rsidRPr="009D6774">
        <w:rPr>
          <w:b/>
          <w:kern w:val="2"/>
          <w:sz w:val="24"/>
          <w:szCs w:val="24"/>
          <w:lang w:val="fr-CH"/>
        </w:rPr>
        <w:t>l’adoption</w:t>
      </w:r>
      <w:r w:rsidR="004E2263">
        <w:rPr>
          <w:b/>
          <w:kern w:val="2"/>
          <w:sz w:val="24"/>
          <w:szCs w:val="24"/>
          <w:lang w:val="fr-CH"/>
        </w:rPr>
        <w:t xml:space="preserve"> </w:t>
      </w:r>
      <w:r w:rsidR="00DC6AC7" w:rsidRPr="009D6774">
        <w:rPr>
          <w:b/>
          <w:kern w:val="2"/>
          <w:sz w:val="24"/>
          <w:szCs w:val="24"/>
          <w:lang w:val="fr-CH"/>
        </w:rPr>
        <w:t>en</w:t>
      </w:r>
      <w:r w:rsidR="00DC6AC7">
        <w:rPr>
          <w:b/>
          <w:kern w:val="2"/>
          <w:sz w:val="24"/>
          <w:szCs w:val="24"/>
          <w:lang w:val="fr-CH"/>
        </w:rPr>
        <w:t xml:space="preserve"> procédure</w:t>
      </w:r>
      <w:r w:rsidR="005F385E">
        <w:rPr>
          <w:b/>
          <w:kern w:val="2"/>
          <w:sz w:val="24"/>
          <w:szCs w:val="24"/>
          <w:lang w:val="fr-CH"/>
        </w:rPr>
        <w:t xml:space="preserve"> accélérée </w:t>
      </w:r>
      <w:r w:rsidRPr="009D6774">
        <w:rPr>
          <w:b/>
          <w:kern w:val="2"/>
          <w:sz w:val="24"/>
          <w:szCs w:val="24"/>
          <w:lang w:val="fr-CH"/>
        </w:rPr>
        <w:t xml:space="preserve">du  projet de </w:t>
      </w:r>
      <w:r w:rsidRPr="001D3FFB">
        <w:rPr>
          <w:b/>
          <w:kern w:val="2"/>
          <w:sz w:val="24"/>
          <w:szCs w:val="24"/>
          <w:lang w:val="fr-CH"/>
        </w:rPr>
        <w:t xml:space="preserve">loi n° 714 </w:t>
      </w:r>
      <w:r>
        <w:rPr>
          <w:b/>
          <w:kern w:val="2"/>
          <w:sz w:val="24"/>
          <w:szCs w:val="24"/>
          <w:lang w:val="fr-CH"/>
        </w:rPr>
        <w:t>« </w:t>
      </w:r>
      <w:r w:rsidRPr="001D3FFB">
        <w:rPr>
          <w:b/>
          <w:kern w:val="2"/>
          <w:sz w:val="24"/>
          <w:szCs w:val="24"/>
          <w:lang w:val="fr-CH"/>
        </w:rPr>
        <w:t xml:space="preserve">pour une </w:t>
      </w:r>
      <w:r w:rsidRPr="009D6774">
        <w:rPr>
          <w:b/>
          <w:kern w:val="2"/>
          <w:sz w:val="24"/>
          <w:szCs w:val="24"/>
          <w:lang w:val="fr-CH"/>
        </w:rPr>
        <w:t>immigration maîtrisé</w:t>
      </w:r>
      <w:r w:rsidR="00F707C9">
        <w:rPr>
          <w:b/>
          <w:kern w:val="2"/>
          <w:sz w:val="24"/>
          <w:szCs w:val="24"/>
          <w:lang w:val="fr-CH"/>
        </w:rPr>
        <w:t>e</w:t>
      </w:r>
      <w:r w:rsidRPr="009D6774">
        <w:rPr>
          <w:b/>
          <w:kern w:val="2"/>
          <w:sz w:val="24"/>
          <w:szCs w:val="24"/>
          <w:lang w:val="fr-CH"/>
        </w:rPr>
        <w:t xml:space="preserve"> et un droit d’asile effectif</w:t>
      </w:r>
      <w:r w:rsidR="00A9576B">
        <w:rPr>
          <w:b/>
          <w:kern w:val="2"/>
          <w:sz w:val="24"/>
          <w:szCs w:val="24"/>
          <w:lang w:val="fr-CH"/>
        </w:rPr>
        <w:t> », qui devrait être examiné par l’assemblée nationale à partir du 16 avril 2018</w:t>
      </w:r>
      <w:r w:rsidR="000B717D">
        <w:rPr>
          <w:b/>
          <w:sz w:val="24"/>
          <w:szCs w:val="24"/>
          <w:lang w:val="fr-FR"/>
        </w:rPr>
        <w:t xml:space="preserve">. </w:t>
      </w:r>
      <w:r w:rsidR="000B717D">
        <w:rPr>
          <w:b/>
          <w:kern w:val="2"/>
          <w:sz w:val="24"/>
          <w:szCs w:val="24"/>
          <w:lang w:val="fr-CH"/>
        </w:rPr>
        <w:t>Certaines mesures incluses dans le projet de loi</w:t>
      </w:r>
      <w:r w:rsidRPr="009D6774">
        <w:rPr>
          <w:b/>
          <w:kern w:val="2"/>
          <w:sz w:val="24"/>
          <w:szCs w:val="24"/>
          <w:lang w:val="fr-CH"/>
        </w:rPr>
        <w:t xml:space="preserve"> rend</w:t>
      </w:r>
      <w:r w:rsidR="000B717D">
        <w:rPr>
          <w:b/>
          <w:kern w:val="2"/>
          <w:sz w:val="24"/>
          <w:szCs w:val="24"/>
          <w:lang w:val="fr-CH"/>
        </w:rPr>
        <w:t>raient</w:t>
      </w:r>
      <w:r w:rsidRPr="005317E6">
        <w:rPr>
          <w:b/>
          <w:kern w:val="2"/>
          <w:sz w:val="24"/>
          <w:szCs w:val="24"/>
          <w:lang w:val="fr-CH"/>
        </w:rPr>
        <w:t xml:space="preserve"> l’accès à l’asile et à un recours efficace plus difficile, </w:t>
      </w:r>
      <w:r>
        <w:rPr>
          <w:b/>
          <w:kern w:val="2"/>
          <w:sz w:val="24"/>
          <w:szCs w:val="24"/>
          <w:lang w:val="fr-CH"/>
        </w:rPr>
        <w:t>accroît</w:t>
      </w:r>
      <w:r w:rsidR="000B717D">
        <w:rPr>
          <w:b/>
          <w:kern w:val="2"/>
          <w:sz w:val="24"/>
          <w:szCs w:val="24"/>
          <w:lang w:val="fr-CH"/>
        </w:rPr>
        <w:t>raient</w:t>
      </w:r>
      <w:r>
        <w:rPr>
          <w:b/>
          <w:kern w:val="2"/>
          <w:sz w:val="24"/>
          <w:szCs w:val="24"/>
          <w:lang w:val="fr-CH"/>
        </w:rPr>
        <w:t xml:space="preserve"> la durée </w:t>
      </w:r>
      <w:r w:rsidR="00B6694B">
        <w:rPr>
          <w:b/>
          <w:kern w:val="2"/>
          <w:sz w:val="24"/>
          <w:szCs w:val="24"/>
          <w:lang w:val="fr-CH"/>
        </w:rPr>
        <w:t xml:space="preserve">maximale </w:t>
      </w:r>
      <w:r>
        <w:rPr>
          <w:b/>
          <w:kern w:val="2"/>
          <w:sz w:val="24"/>
          <w:szCs w:val="24"/>
          <w:lang w:val="fr-CH"/>
        </w:rPr>
        <w:t>de r</w:t>
      </w:r>
      <w:r w:rsidRPr="005317E6">
        <w:rPr>
          <w:b/>
          <w:kern w:val="2"/>
          <w:sz w:val="24"/>
          <w:szCs w:val="24"/>
          <w:lang w:val="fr-CH"/>
        </w:rPr>
        <w:t xml:space="preserve">étention, </w:t>
      </w:r>
      <w:r>
        <w:rPr>
          <w:b/>
          <w:kern w:val="2"/>
          <w:sz w:val="24"/>
          <w:szCs w:val="24"/>
          <w:lang w:val="fr-CH"/>
        </w:rPr>
        <w:t xml:space="preserve">et </w:t>
      </w:r>
      <w:r w:rsidRPr="005317E6">
        <w:rPr>
          <w:b/>
          <w:kern w:val="2"/>
          <w:sz w:val="24"/>
          <w:szCs w:val="24"/>
          <w:lang w:val="fr-CH"/>
        </w:rPr>
        <w:t>contien</w:t>
      </w:r>
      <w:r w:rsidR="000B717D">
        <w:rPr>
          <w:b/>
          <w:kern w:val="2"/>
          <w:sz w:val="24"/>
          <w:szCs w:val="24"/>
          <w:lang w:val="fr-CH"/>
        </w:rPr>
        <w:t>draient</w:t>
      </w:r>
      <w:r w:rsidRPr="005317E6">
        <w:rPr>
          <w:b/>
          <w:kern w:val="2"/>
          <w:sz w:val="24"/>
          <w:szCs w:val="24"/>
          <w:lang w:val="fr-CH"/>
        </w:rPr>
        <w:t xml:space="preserve"> des dispositions </w:t>
      </w:r>
      <w:r w:rsidR="00B6694B">
        <w:rPr>
          <w:b/>
          <w:kern w:val="2"/>
          <w:sz w:val="24"/>
          <w:szCs w:val="24"/>
          <w:lang w:val="fr-CH"/>
        </w:rPr>
        <w:t>de</w:t>
      </w:r>
      <w:r w:rsidR="00B6694B" w:rsidRPr="005317E6">
        <w:rPr>
          <w:b/>
          <w:kern w:val="2"/>
          <w:sz w:val="24"/>
          <w:szCs w:val="24"/>
          <w:lang w:val="fr-CH"/>
        </w:rPr>
        <w:t xml:space="preserve"> </w:t>
      </w:r>
      <w:r w:rsidRPr="005317E6">
        <w:rPr>
          <w:b/>
          <w:kern w:val="2"/>
          <w:sz w:val="24"/>
          <w:szCs w:val="24"/>
          <w:lang w:val="fr-CH"/>
        </w:rPr>
        <w:t>suspension ou de refus des conditions matérielles d’accueil</w:t>
      </w:r>
      <w:r>
        <w:rPr>
          <w:b/>
          <w:kern w:val="2"/>
          <w:sz w:val="24"/>
          <w:szCs w:val="24"/>
          <w:lang w:val="fr-CH"/>
        </w:rPr>
        <w:t>.</w:t>
      </w:r>
    </w:p>
    <w:p w:rsidR="00794ADD" w:rsidRPr="005317E6" w:rsidRDefault="00794ADD" w:rsidP="00794ADD">
      <w:pPr>
        <w:ind w:firstLine="680"/>
        <w:jc w:val="both"/>
        <w:rPr>
          <w:kern w:val="2"/>
          <w:sz w:val="24"/>
          <w:szCs w:val="24"/>
          <w:lang w:val="fr-CH"/>
        </w:rPr>
      </w:pPr>
    </w:p>
    <w:p w:rsidR="00794ADD" w:rsidRDefault="00794ADD" w:rsidP="00794ADD">
      <w:pPr>
        <w:ind w:firstLine="680"/>
        <w:jc w:val="both"/>
        <w:rPr>
          <w:sz w:val="24"/>
          <w:szCs w:val="24"/>
          <w:lang w:val="fr-FR"/>
        </w:rPr>
      </w:pPr>
      <w:r>
        <w:rPr>
          <w:sz w:val="24"/>
          <w:szCs w:val="24"/>
          <w:lang w:val="fr-FR"/>
        </w:rPr>
        <w:t xml:space="preserve">Nous constatons que le projet de loi numéro 714 du 21 février 2018 </w:t>
      </w:r>
      <w:r w:rsidR="00E52473">
        <w:rPr>
          <w:sz w:val="24"/>
          <w:szCs w:val="24"/>
          <w:lang w:val="fr-FR"/>
        </w:rPr>
        <w:t>ayant</w:t>
      </w:r>
      <w:r w:rsidR="005F385E">
        <w:rPr>
          <w:sz w:val="24"/>
          <w:szCs w:val="24"/>
          <w:lang w:val="fr-FR"/>
        </w:rPr>
        <w:t xml:space="preserve"> pour but de</w:t>
      </w:r>
      <w:r>
        <w:rPr>
          <w:sz w:val="24"/>
          <w:szCs w:val="24"/>
          <w:lang w:val="fr-FR"/>
        </w:rPr>
        <w:t xml:space="preserve"> réformer l</w:t>
      </w:r>
      <w:r w:rsidRPr="00B20F26">
        <w:rPr>
          <w:sz w:val="24"/>
          <w:szCs w:val="24"/>
          <w:lang w:val="fr-FR"/>
        </w:rPr>
        <w:t>es dispositions du code d</w:t>
      </w:r>
      <w:r w:rsidR="005F385E">
        <w:rPr>
          <w:sz w:val="24"/>
          <w:szCs w:val="24"/>
          <w:lang w:val="fr-FR"/>
        </w:rPr>
        <w:t>e l</w:t>
      </w:r>
      <w:r w:rsidRPr="00B20F26">
        <w:rPr>
          <w:sz w:val="24"/>
          <w:szCs w:val="24"/>
          <w:lang w:val="fr-FR"/>
        </w:rPr>
        <w:t>’entrée et du séjour des étrangers et du droit d’asile (CES</w:t>
      </w:r>
      <w:r>
        <w:rPr>
          <w:sz w:val="24"/>
          <w:szCs w:val="24"/>
          <w:lang w:val="fr-FR"/>
        </w:rPr>
        <w:t>EDA</w:t>
      </w:r>
      <w:r w:rsidRPr="00B20F26">
        <w:rPr>
          <w:sz w:val="24"/>
          <w:szCs w:val="24"/>
          <w:lang w:val="fr-FR"/>
        </w:rPr>
        <w:t>)</w:t>
      </w:r>
      <w:r>
        <w:rPr>
          <w:sz w:val="24"/>
          <w:szCs w:val="24"/>
          <w:lang w:val="fr-FR"/>
        </w:rPr>
        <w:t xml:space="preserve"> contient un </w:t>
      </w:r>
      <w:r w:rsidRPr="00CA1B58">
        <w:rPr>
          <w:sz w:val="24"/>
          <w:szCs w:val="24"/>
          <w:lang w:val="fr-FR"/>
        </w:rPr>
        <w:t>certain nombre de mesures visant à</w:t>
      </w:r>
      <w:r>
        <w:rPr>
          <w:sz w:val="24"/>
          <w:szCs w:val="24"/>
          <w:lang w:val="fr-FR"/>
        </w:rPr>
        <w:t xml:space="preserve"> protéger les droits de l’homme de</w:t>
      </w:r>
      <w:r w:rsidR="000B717D">
        <w:rPr>
          <w:sz w:val="24"/>
          <w:szCs w:val="24"/>
          <w:lang w:val="fr-FR"/>
        </w:rPr>
        <w:t>s</w:t>
      </w:r>
      <w:r>
        <w:rPr>
          <w:sz w:val="24"/>
          <w:szCs w:val="24"/>
          <w:lang w:val="fr-FR"/>
        </w:rPr>
        <w:t xml:space="preserve"> migrants ; </w:t>
      </w:r>
    </w:p>
    <w:p w:rsidR="00794ADD" w:rsidRDefault="00794ADD" w:rsidP="00794ADD">
      <w:pPr>
        <w:ind w:firstLine="680"/>
        <w:jc w:val="both"/>
        <w:rPr>
          <w:sz w:val="24"/>
          <w:szCs w:val="24"/>
          <w:lang w:val="fr-FR"/>
        </w:rPr>
      </w:pPr>
    </w:p>
    <w:p w:rsidR="00DF500E" w:rsidRDefault="00794ADD" w:rsidP="00603A96">
      <w:pPr>
        <w:ind w:left="709"/>
        <w:jc w:val="both"/>
        <w:rPr>
          <w:sz w:val="24"/>
          <w:szCs w:val="24"/>
          <w:lang w:val="fr-CH"/>
        </w:rPr>
      </w:pPr>
      <w:r w:rsidRPr="00EF1618">
        <w:rPr>
          <w:sz w:val="24"/>
          <w:szCs w:val="24"/>
          <w:lang w:val="fr-FR"/>
        </w:rPr>
        <w:t>L</w:t>
      </w:r>
      <w:r w:rsidR="00F65921">
        <w:rPr>
          <w:sz w:val="24"/>
          <w:szCs w:val="24"/>
          <w:lang w:val="fr-FR"/>
        </w:rPr>
        <w:t xml:space="preserve">es </w:t>
      </w:r>
      <w:r w:rsidRPr="00EF1618">
        <w:rPr>
          <w:sz w:val="24"/>
          <w:szCs w:val="24"/>
          <w:lang w:val="fr-FR"/>
        </w:rPr>
        <w:t>article</w:t>
      </w:r>
      <w:r w:rsidR="00F65921">
        <w:rPr>
          <w:sz w:val="24"/>
          <w:szCs w:val="24"/>
          <w:lang w:val="fr-FR"/>
        </w:rPr>
        <w:t>s</w:t>
      </w:r>
      <w:r w:rsidRPr="00EF1618">
        <w:rPr>
          <w:sz w:val="24"/>
          <w:szCs w:val="24"/>
          <w:lang w:val="fr-FR"/>
        </w:rPr>
        <w:t xml:space="preserve"> 1 et 2 du projet de loi, </w:t>
      </w:r>
      <w:r w:rsidR="00DF500E">
        <w:rPr>
          <w:sz w:val="24"/>
          <w:szCs w:val="24"/>
          <w:lang w:val="fr-FR"/>
        </w:rPr>
        <w:t>prévoi</w:t>
      </w:r>
      <w:r w:rsidR="00F90230">
        <w:rPr>
          <w:sz w:val="24"/>
          <w:szCs w:val="24"/>
          <w:lang w:val="fr-FR"/>
        </w:rPr>
        <w:t>en</w:t>
      </w:r>
      <w:r w:rsidR="00DF500E">
        <w:rPr>
          <w:sz w:val="24"/>
          <w:szCs w:val="24"/>
          <w:lang w:val="fr-FR"/>
        </w:rPr>
        <w:t xml:space="preserve">t </w:t>
      </w:r>
      <w:r w:rsidR="00DF500E" w:rsidRPr="00BF1DDB">
        <w:rPr>
          <w:sz w:val="24"/>
          <w:szCs w:val="24"/>
          <w:lang w:val="fr-CH"/>
        </w:rPr>
        <w:t xml:space="preserve">la création d’une carte </w:t>
      </w:r>
      <w:r w:rsidR="00F90230">
        <w:rPr>
          <w:sz w:val="24"/>
          <w:szCs w:val="24"/>
          <w:lang w:val="fr-CH"/>
        </w:rPr>
        <w:t>de séjour</w:t>
      </w:r>
      <w:r w:rsidR="00DF500E" w:rsidRPr="00BF1DDB">
        <w:rPr>
          <w:sz w:val="24"/>
          <w:szCs w:val="24"/>
          <w:lang w:val="fr-CH"/>
        </w:rPr>
        <w:t xml:space="preserve"> de 4 ans dès la première admission au séjour pour les bénéficiaires de la protection subsidiaire, les apatrides et les membres de leur famille et non plus une carte de séjour d’un an</w:t>
      </w:r>
      <w:r w:rsidR="00DF500E">
        <w:rPr>
          <w:sz w:val="24"/>
          <w:szCs w:val="24"/>
          <w:lang w:val="fr-CH"/>
        </w:rPr>
        <w:t>.</w:t>
      </w:r>
      <w:r w:rsidR="00DF500E" w:rsidRPr="00BF1DDB">
        <w:rPr>
          <w:lang w:val="fr-CH"/>
        </w:rPr>
        <w:t xml:space="preserve"> </w:t>
      </w:r>
      <w:r w:rsidR="00DF500E" w:rsidRPr="00DF500E">
        <w:rPr>
          <w:sz w:val="24"/>
          <w:szCs w:val="24"/>
          <w:lang w:val="fr-CH"/>
        </w:rPr>
        <w:t>Les modifications e</w:t>
      </w:r>
      <w:r w:rsidR="00DF500E">
        <w:rPr>
          <w:sz w:val="24"/>
          <w:szCs w:val="24"/>
          <w:lang w:val="fr-CH"/>
        </w:rPr>
        <w:t xml:space="preserve">nvisagées par le projet de loi pourront sécuriser le </w:t>
      </w:r>
      <w:r w:rsidR="00DF500E" w:rsidRPr="00DF500E">
        <w:rPr>
          <w:sz w:val="24"/>
          <w:szCs w:val="24"/>
          <w:lang w:val="fr-CH"/>
        </w:rPr>
        <w:t>droit au séjour des bénéficiaires de la protection subsidiaire et des apatrides.</w:t>
      </w:r>
    </w:p>
    <w:p w:rsidR="00DF500E" w:rsidRDefault="00DF500E" w:rsidP="00603A96">
      <w:pPr>
        <w:ind w:left="709"/>
        <w:jc w:val="both"/>
        <w:rPr>
          <w:sz w:val="24"/>
          <w:szCs w:val="24"/>
          <w:lang w:val="fr-FR"/>
        </w:rPr>
      </w:pPr>
    </w:p>
    <w:p w:rsidR="00794ADD" w:rsidRPr="00A21C16" w:rsidRDefault="00794ADD" w:rsidP="00603A96">
      <w:pPr>
        <w:ind w:left="709"/>
        <w:jc w:val="both"/>
        <w:rPr>
          <w:sz w:val="24"/>
          <w:szCs w:val="24"/>
          <w:lang w:val="fr-FR"/>
        </w:rPr>
      </w:pPr>
      <w:r w:rsidRPr="00EF1618">
        <w:rPr>
          <w:sz w:val="24"/>
          <w:szCs w:val="24"/>
          <w:lang w:val="fr-FR"/>
        </w:rPr>
        <w:t>L</w:t>
      </w:r>
      <w:r w:rsidR="00F65921">
        <w:rPr>
          <w:sz w:val="24"/>
          <w:szCs w:val="24"/>
          <w:lang w:val="fr-FR"/>
        </w:rPr>
        <w:t xml:space="preserve">es </w:t>
      </w:r>
      <w:r w:rsidRPr="00EF1618">
        <w:rPr>
          <w:sz w:val="24"/>
          <w:szCs w:val="24"/>
          <w:lang w:val="fr-FR"/>
        </w:rPr>
        <w:t>article</w:t>
      </w:r>
      <w:r w:rsidR="00F65921">
        <w:rPr>
          <w:sz w:val="24"/>
          <w:szCs w:val="24"/>
          <w:lang w:val="fr-FR"/>
        </w:rPr>
        <w:t>s</w:t>
      </w:r>
      <w:r w:rsidRPr="00EF1618">
        <w:rPr>
          <w:sz w:val="24"/>
          <w:szCs w:val="24"/>
          <w:lang w:val="fr-FR"/>
        </w:rPr>
        <w:t xml:space="preserve"> 2 </w:t>
      </w:r>
      <w:r w:rsidR="00F65921">
        <w:rPr>
          <w:sz w:val="24"/>
          <w:szCs w:val="24"/>
          <w:lang w:val="fr-FR"/>
        </w:rPr>
        <w:t>et</w:t>
      </w:r>
      <w:r w:rsidR="00DF500E">
        <w:rPr>
          <w:sz w:val="24"/>
          <w:szCs w:val="24"/>
          <w:lang w:val="fr-FR"/>
        </w:rPr>
        <w:t xml:space="preserve"> </w:t>
      </w:r>
      <w:r w:rsidR="00DF500E" w:rsidRPr="00A21C16">
        <w:rPr>
          <w:sz w:val="24"/>
          <w:szCs w:val="24"/>
          <w:lang w:val="fr-FR"/>
        </w:rPr>
        <w:t xml:space="preserve">3 du </w:t>
      </w:r>
      <w:r w:rsidR="00DF500E">
        <w:rPr>
          <w:sz w:val="24"/>
          <w:szCs w:val="24"/>
          <w:lang w:val="fr-FR"/>
        </w:rPr>
        <w:t>projet de loi</w:t>
      </w:r>
      <w:r w:rsidR="00DF500E" w:rsidRPr="00A21C16">
        <w:rPr>
          <w:sz w:val="24"/>
          <w:szCs w:val="24"/>
          <w:lang w:val="fr-FR"/>
        </w:rPr>
        <w:t xml:space="preserve"> </w:t>
      </w:r>
      <w:r>
        <w:rPr>
          <w:sz w:val="24"/>
          <w:szCs w:val="24"/>
          <w:lang w:val="fr-FR"/>
        </w:rPr>
        <w:t xml:space="preserve">prévoient </w:t>
      </w:r>
      <w:r w:rsidR="007A3279">
        <w:rPr>
          <w:sz w:val="24"/>
          <w:szCs w:val="24"/>
          <w:lang w:val="fr-FR"/>
        </w:rPr>
        <w:t>la sécurisation</w:t>
      </w:r>
      <w:r>
        <w:rPr>
          <w:sz w:val="24"/>
          <w:szCs w:val="24"/>
          <w:lang w:val="fr-FR"/>
        </w:rPr>
        <w:t xml:space="preserve"> du droit à la réunification familiale. </w:t>
      </w:r>
      <w:r w:rsidR="00985865">
        <w:rPr>
          <w:sz w:val="24"/>
          <w:szCs w:val="24"/>
          <w:lang w:val="fr-FR"/>
        </w:rPr>
        <w:t>Par exemple l</w:t>
      </w:r>
      <w:r w:rsidR="00DF500E">
        <w:rPr>
          <w:sz w:val="24"/>
          <w:szCs w:val="24"/>
          <w:lang w:val="fr-FR"/>
        </w:rPr>
        <w:t>’article 2 du</w:t>
      </w:r>
      <w:r w:rsidR="007A3279">
        <w:rPr>
          <w:sz w:val="24"/>
          <w:szCs w:val="24"/>
          <w:lang w:val="fr-FR"/>
        </w:rPr>
        <w:t xml:space="preserve"> </w:t>
      </w:r>
      <w:r w:rsidR="00DF500E">
        <w:rPr>
          <w:sz w:val="24"/>
          <w:szCs w:val="24"/>
          <w:lang w:val="fr-FR"/>
        </w:rPr>
        <w:t xml:space="preserve">projet de loi </w:t>
      </w:r>
      <w:r w:rsidR="00DF1B13">
        <w:rPr>
          <w:sz w:val="24"/>
          <w:szCs w:val="24"/>
          <w:lang w:val="fr-FR"/>
        </w:rPr>
        <w:t xml:space="preserve">prévoit </w:t>
      </w:r>
      <w:r w:rsidR="00DF500E">
        <w:rPr>
          <w:sz w:val="24"/>
          <w:szCs w:val="24"/>
          <w:lang w:val="fr-FR"/>
        </w:rPr>
        <w:t xml:space="preserve">que le </w:t>
      </w:r>
      <w:r w:rsidRPr="00CA1B58">
        <w:rPr>
          <w:sz w:val="24"/>
          <w:szCs w:val="24"/>
          <w:lang w:val="fr-FR"/>
        </w:rPr>
        <w:t>bénéfice de la réunification familiale</w:t>
      </w:r>
      <w:r>
        <w:rPr>
          <w:sz w:val="24"/>
          <w:szCs w:val="24"/>
          <w:lang w:val="fr-FR"/>
        </w:rPr>
        <w:t xml:space="preserve"> </w:t>
      </w:r>
      <w:r w:rsidR="007A3279">
        <w:rPr>
          <w:sz w:val="24"/>
          <w:szCs w:val="24"/>
          <w:lang w:val="fr-FR"/>
        </w:rPr>
        <w:t xml:space="preserve">ne sera plus limité </w:t>
      </w:r>
      <w:r w:rsidRPr="00CA1B58">
        <w:rPr>
          <w:sz w:val="24"/>
          <w:szCs w:val="24"/>
          <w:lang w:val="fr-FR"/>
        </w:rPr>
        <w:t>aux parents mais</w:t>
      </w:r>
      <w:r w:rsidR="007A3279">
        <w:rPr>
          <w:sz w:val="24"/>
          <w:szCs w:val="24"/>
          <w:lang w:val="fr-FR"/>
        </w:rPr>
        <w:t xml:space="preserve"> sera étendu</w:t>
      </w:r>
      <w:r w:rsidRPr="00CA1B58">
        <w:rPr>
          <w:sz w:val="24"/>
          <w:szCs w:val="24"/>
          <w:lang w:val="fr-FR"/>
        </w:rPr>
        <w:t xml:space="preserve"> </w:t>
      </w:r>
      <w:r>
        <w:rPr>
          <w:sz w:val="24"/>
          <w:szCs w:val="24"/>
          <w:lang w:val="fr-FR"/>
        </w:rPr>
        <w:t xml:space="preserve">au partenaire, </w:t>
      </w:r>
      <w:r w:rsidRPr="00CA1B58">
        <w:rPr>
          <w:sz w:val="24"/>
          <w:szCs w:val="24"/>
          <w:lang w:val="fr-FR"/>
        </w:rPr>
        <w:t>aux frères et sœurs mineurs des enfants mineurs reconnus</w:t>
      </w:r>
      <w:r>
        <w:rPr>
          <w:sz w:val="24"/>
          <w:szCs w:val="24"/>
          <w:lang w:val="fr-FR"/>
        </w:rPr>
        <w:t xml:space="preserve"> </w:t>
      </w:r>
      <w:r w:rsidRPr="00CA1B58">
        <w:rPr>
          <w:sz w:val="24"/>
          <w:szCs w:val="24"/>
          <w:lang w:val="fr-FR"/>
        </w:rPr>
        <w:t>réfugiés ou admis au bénéfice de la p</w:t>
      </w:r>
      <w:r>
        <w:rPr>
          <w:sz w:val="24"/>
          <w:szCs w:val="24"/>
          <w:lang w:val="fr-FR"/>
        </w:rPr>
        <w:t>rotection subsidiaire</w:t>
      </w:r>
      <w:r w:rsidR="007A3279">
        <w:rPr>
          <w:sz w:val="24"/>
          <w:szCs w:val="24"/>
          <w:lang w:val="fr-FR"/>
        </w:rPr>
        <w:t xml:space="preserve">. </w:t>
      </w:r>
    </w:p>
    <w:p w:rsidR="00794ADD" w:rsidRDefault="00794ADD" w:rsidP="00603A96">
      <w:pPr>
        <w:ind w:left="709"/>
        <w:jc w:val="both"/>
        <w:rPr>
          <w:sz w:val="24"/>
          <w:szCs w:val="24"/>
          <w:lang w:val="fr-FR"/>
        </w:rPr>
      </w:pPr>
    </w:p>
    <w:p w:rsidR="00794ADD" w:rsidRPr="00CF6E99" w:rsidRDefault="00B672C1" w:rsidP="00603A96">
      <w:pPr>
        <w:ind w:left="709"/>
        <w:jc w:val="both"/>
        <w:rPr>
          <w:sz w:val="24"/>
          <w:szCs w:val="24"/>
          <w:lang w:val="fr-FR"/>
        </w:rPr>
      </w:pPr>
      <w:r>
        <w:rPr>
          <w:sz w:val="24"/>
          <w:szCs w:val="24"/>
          <w:lang w:val="fr-FR"/>
        </w:rPr>
        <w:t xml:space="preserve">Par contre, </w:t>
      </w:r>
      <w:r w:rsidRPr="00B672C1">
        <w:rPr>
          <w:sz w:val="24"/>
          <w:szCs w:val="24"/>
          <w:lang w:val="fr-FR"/>
        </w:rPr>
        <w:t xml:space="preserve">plusieurs éléments de ce projet de loi </w:t>
      </w:r>
      <w:r>
        <w:rPr>
          <w:sz w:val="24"/>
          <w:szCs w:val="24"/>
          <w:lang w:val="fr-FR"/>
        </w:rPr>
        <w:t>nous</w:t>
      </w:r>
      <w:r w:rsidRPr="00B672C1">
        <w:rPr>
          <w:sz w:val="24"/>
          <w:szCs w:val="24"/>
          <w:lang w:val="fr-FR"/>
        </w:rPr>
        <w:t xml:space="preserve"> semblent poser des problèmes sérieux en matière de respect des droits de l'homme. </w:t>
      </w:r>
      <w:r w:rsidR="007D737F">
        <w:rPr>
          <w:sz w:val="24"/>
          <w:szCs w:val="24"/>
          <w:lang w:val="fr-FR"/>
        </w:rPr>
        <w:t xml:space="preserve">Nous énonçons ci-dessous les articles du projet de loi et du CESEDA concernés, </w:t>
      </w:r>
      <w:r w:rsidR="0013246B">
        <w:rPr>
          <w:sz w:val="24"/>
          <w:szCs w:val="24"/>
          <w:lang w:val="fr-FR"/>
        </w:rPr>
        <w:t>et aimerions partager nos</w:t>
      </w:r>
      <w:r w:rsidR="007D737F">
        <w:rPr>
          <w:sz w:val="24"/>
          <w:szCs w:val="24"/>
          <w:lang w:val="fr-FR"/>
        </w:rPr>
        <w:t xml:space="preserve"> </w:t>
      </w:r>
      <w:r w:rsidR="0013246B">
        <w:rPr>
          <w:sz w:val="24"/>
          <w:szCs w:val="24"/>
          <w:lang w:val="fr-FR"/>
        </w:rPr>
        <w:t>préoccupations</w:t>
      </w:r>
      <w:r w:rsidR="007D737F">
        <w:rPr>
          <w:sz w:val="24"/>
          <w:szCs w:val="24"/>
          <w:lang w:val="fr-FR"/>
        </w:rPr>
        <w:t xml:space="preserve"> ;  </w:t>
      </w:r>
    </w:p>
    <w:p w:rsidR="00794ADD" w:rsidRDefault="00794ADD" w:rsidP="00603A96">
      <w:pPr>
        <w:ind w:left="709"/>
        <w:jc w:val="both"/>
        <w:rPr>
          <w:i/>
          <w:sz w:val="24"/>
          <w:szCs w:val="24"/>
          <w:lang w:val="fr-FR"/>
        </w:rPr>
      </w:pPr>
    </w:p>
    <w:p w:rsidR="00794ADD" w:rsidRPr="002D72B4" w:rsidRDefault="00BC5835" w:rsidP="00603A96">
      <w:pPr>
        <w:ind w:left="709"/>
        <w:jc w:val="both"/>
        <w:rPr>
          <w:sz w:val="24"/>
          <w:szCs w:val="24"/>
          <w:u w:val="single"/>
          <w:lang w:val="fr-FR"/>
        </w:rPr>
      </w:pPr>
      <w:r w:rsidRPr="002D72B4">
        <w:rPr>
          <w:sz w:val="24"/>
          <w:szCs w:val="24"/>
          <w:u w:val="single"/>
          <w:lang w:val="fr-FR"/>
        </w:rPr>
        <w:t>Les a</w:t>
      </w:r>
      <w:r w:rsidR="009B7C32" w:rsidRPr="002D72B4">
        <w:rPr>
          <w:sz w:val="24"/>
          <w:szCs w:val="24"/>
          <w:u w:val="single"/>
          <w:lang w:val="fr-FR"/>
        </w:rPr>
        <w:t>rticle</w:t>
      </w:r>
      <w:r w:rsidR="00DB2B78">
        <w:rPr>
          <w:sz w:val="24"/>
          <w:szCs w:val="24"/>
          <w:u w:val="single"/>
          <w:lang w:val="fr-FR"/>
        </w:rPr>
        <w:t>s</w:t>
      </w:r>
      <w:r w:rsidRPr="002D72B4">
        <w:rPr>
          <w:sz w:val="24"/>
          <w:szCs w:val="24"/>
          <w:u w:val="single"/>
          <w:lang w:val="fr-FR"/>
        </w:rPr>
        <w:t xml:space="preserve"> </w:t>
      </w:r>
      <w:r w:rsidR="00794ADD" w:rsidRPr="002D72B4">
        <w:rPr>
          <w:sz w:val="24"/>
          <w:szCs w:val="24"/>
          <w:u w:val="single"/>
          <w:lang w:val="fr-FR"/>
        </w:rPr>
        <w:t>5-I 1 ° et 38-I 3°</w:t>
      </w:r>
      <w:r w:rsidRPr="002D72B4">
        <w:rPr>
          <w:sz w:val="24"/>
          <w:szCs w:val="24"/>
          <w:u w:val="single"/>
          <w:lang w:val="fr-FR"/>
        </w:rPr>
        <w:t xml:space="preserve"> du projet de loi</w:t>
      </w:r>
      <w:r w:rsidR="00794ADD" w:rsidRPr="002D72B4">
        <w:rPr>
          <w:sz w:val="24"/>
          <w:szCs w:val="24"/>
          <w:u w:val="single"/>
          <w:lang w:val="fr-FR"/>
        </w:rPr>
        <w:t>, concern</w:t>
      </w:r>
      <w:r w:rsidRPr="002D72B4">
        <w:rPr>
          <w:sz w:val="24"/>
          <w:szCs w:val="24"/>
          <w:u w:val="single"/>
          <w:lang w:val="fr-FR"/>
        </w:rPr>
        <w:t>a</w:t>
      </w:r>
      <w:r w:rsidR="00794ADD" w:rsidRPr="002D72B4">
        <w:rPr>
          <w:sz w:val="24"/>
          <w:szCs w:val="24"/>
          <w:u w:val="single"/>
          <w:lang w:val="fr-FR"/>
        </w:rPr>
        <w:t>nt</w:t>
      </w:r>
      <w:r w:rsidRPr="002D72B4">
        <w:rPr>
          <w:sz w:val="24"/>
          <w:szCs w:val="24"/>
          <w:u w:val="single"/>
          <w:lang w:val="fr-FR"/>
        </w:rPr>
        <w:t xml:space="preserve"> les articles </w:t>
      </w:r>
      <w:r w:rsidR="00DB2B78">
        <w:rPr>
          <w:sz w:val="24"/>
          <w:szCs w:val="24"/>
          <w:u w:val="single"/>
          <w:lang w:val="fr-FR"/>
        </w:rPr>
        <w:t>L. 723-2 et L. </w:t>
      </w:r>
      <w:r w:rsidR="00794ADD" w:rsidRPr="002D72B4">
        <w:rPr>
          <w:sz w:val="24"/>
          <w:szCs w:val="24"/>
          <w:u w:val="single"/>
          <w:lang w:val="fr-FR"/>
        </w:rPr>
        <w:t xml:space="preserve">744-8 du CESEDA ; </w:t>
      </w:r>
      <w:r w:rsidRPr="002D72B4">
        <w:rPr>
          <w:sz w:val="24"/>
          <w:szCs w:val="24"/>
          <w:u w:val="single"/>
          <w:lang w:val="fr-FR"/>
        </w:rPr>
        <w:t>l’a</w:t>
      </w:r>
      <w:r w:rsidR="009B7C32" w:rsidRPr="002D72B4">
        <w:rPr>
          <w:sz w:val="24"/>
          <w:szCs w:val="24"/>
          <w:u w:val="single"/>
          <w:lang w:val="fr-FR"/>
        </w:rPr>
        <w:t>rticle</w:t>
      </w:r>
      <w:r w:rsidRPr="002D72B4">
        <w:rPr>
          <w:sz w:val="24"/>
          <w:szCs w:val="24"/>
          <w:u w:val="single"/>
          <w:lang w:val="fr-FR"/>
        </w:rPr>
        <w:t xml:space="preserve"> </w:t>
      </w:r>
      <w:r w:rsidR="00794ADD" w:rsidRPr="002D72B4">
        <w:rPr>
          <w:sz w:val="24"/>
          <w:szCs w:val="24"/>
          <w:u w:val="single"/>
          <w:lang w:val="fr-FR"/>
        </w:rPr>
        <w:t>6 du projet de loi, concernant l’</w:t>
      </w:r>
      <w:r w:rsidRPr="002D72B4">
        <w:rPr>
          <w:sz w:val="24"/>
          <w:szCs w:val="24"/>
          <w:u w:val="single"/>
          <w:lang w:val="fr-FR"/>
        </w:rPr>
        <w:t>a</w:t>
      </w:r>
      <w:r w:rsidR="009B7C32" w:rsidRPr="002D72B4">
        <w:rPr>
          <w:sz w:val="24"/>
          <w:szCs w:val="24"/>
          <w:u w:val="single"/>
          <w:lang w:val="fr-FR"/>
        </w:rPr>
        <w:t>rticle</w:t>
      </w:r>
      <w:r w:rsidRPr="002D72B4">
        <w:rPr>
          <w:sz w:val="24"/>
          <w:szCs w:val="24"/>
          <w:u w:val="single"/>
          <w:lang w:val="fr-FR"/>
        </w:rPr>
        <w:t xml:space="preserve"> </w:t>
      </w:r>
      <w:r w:rsidR="00794ADD" w:rsidRPr="002D72B4">
        <w:rPr>
          <w:sz w:val="24"/>
          <w:szCs w:val="24"/>
          <w:u w:val="single"/>
          <w:lang w:val="fr-FR"/>
        </w:rPr>
        <w:t xml:space="preserve">L. 731-2 du CESEDA ; </w:t>
      </w:r>
      <w:r w:rsidR="00897484" w:rsidRPr="002D72B4">
        <w:rPr>
          <w:sz w:val="24"/>
          <w:szCs w:val="24"/>
          <w:u w:val="single"/>
          <w:lang w:val="fr-FR"/>
        </w:rPr>
        <w:t>l’a</w:t>
      </w:r>
      <w:r w:rsidR="009B7C32" w:rsidRPr="002D72B4">
        <w:rPr>
          <w:sz w:val="24"/>
          <w:szCs w:val="24"/>
          <w:u w:val="single"/>
          <w:lang w:val="fr-FR"/>
        </w:rPr>
        <w:t>rticle</w:t>
      </w:r>
      <w:r w:rsidRPr="002D72B4">
        <w:rPr>
          <w:sz w:val="24"/>
          <w:szCs w:val="24"/>
          <w:u w:val="single"/>
          <w:lang w:val="fr-FR"/>
        </w:rPr>
        <w:t xml:space="preserve"> </w:t>
      </w:r>
      <w:r w:rsidR="00794ADD" w:rsidRPr="002D72B4">
        <w:rPr>
          <w:sz w:val="24"/>
          <w:szCs w:val="24"/>
          <w:u w:val="single"/>
          <w:lang w:val="fr-FR"/>
        </w:rPr>
        <w:t>7 °2 et concernant</w:t>
      </w:r>
      <w:r w:rsidRPr="002D72B4">
        <w:rPr>
          <w:sz w:val="24"/>
          <w:szCs w:val="24"/>
          <w:u w:val="single"/>
          <w:lang w:val="fr-FR"/>
        </w:rPr>
        <w:t xml:space="preserve"> l’article</w:t>
      </w:r>
      <w:r w:rsidR="00794ADD" w:rsidRPr="002D72B4">
        <w:rPr>
          <w:sz w:val="24"/>
          <w:szCs w:val="24"/>
          <w:u w:val="single"/>
          <w:lang w:val="fr-FR"/>
        </w:rPr>
        <w:t xml:space="preserve"> L. 723-6 du CESEDA</w:t>
      </w:r>
      <w:r w:rsidR="002D72B4">
        <w:rPr>
          <w:sz w:val="24"/>
          <w:szCs w:val="24"/>
          <w:u w:val="single"/>
          <w:lang w:val="fr-FR"/>
        </w:rPr>
        <w:t xml:space="preserve"> ; </w:t>
      </w:r>
    </w:p>
    <w:p w:rsidR="00794ADD" w:rsidRPr="006C11A3" w:rsidRDefault="00794ADD" w:rsidP="00603A96">
      <w:pPr>
        <w:ind w:left="709"/>
        <w:jc w:val="both"/>
        <w:rPr>
          <w:i/>
          <w:sz w:val="24"/>
          <w:szCs w:val="24"/>
          <w:lang w:val="fr-FR"/>
        </w:rPr>
      </w:pPr>
    </w:p>
    <w:p w:rsidR="000B58BD" w:rsidRDefault="005C4CAC" w:rsidP="00603A96">
      <w:pPr>
        <w:ind w:left="709"/>
        <w:jc w:val="both"/>
        <w:rPr>
          <w:sz w:val="24"/>
          <w:szCs w:val="24"/>
          <w:lang w:val="fr-FR"/>
        </w:rPr>
      </w:pPr>
      <w:r>
        <w:rPr>
          <w:sz w:val="24"/>
          <w:szCs w:val="24"/>
          <w:lang w:val="fr-FR"/>
        </w:rPr>
        <w:t>Les</w:t>
      </w:r>
      <w:r w:rsidR="007B0DA9">
        <w:rPr>
          <w:sz w:val="24"/>
          <w:szCs w:val="24"/>
          <w:lang w:val="fr-FR"/>
        </w:rPr>
        <w:t xml:space="preserve"> article</w:t>
      </w:r>
      <w:r>
        <w:rPr>
          <w:sz w:val="24"/>
          <w:szCs w:val="24"/>
          <w:lang w:val="fr-FR"/>
        </w:rPr>
        <w:t>s</w:t>
      </w:r>
      <w:r w:rsidR="007B0DA9">
        <w:rPr>
          <w:sz w:val="24"/>
          <w:szCs w:val="24"/>
          <w:lang w:val="fr-FR"/>
        </w:rPr>
        <w:t xml:space="preserve"> </w:t>
      </w:r>
      <w:r w:rsidR="00F77EEF">
        <w:rPr>
          <w:sz w:val="24"/>
          <w:szCs w:val="24"/>
          <w:lang w:val="fr-FR"/>
        </w:rPr>
        <w:t>5-I</w:t>
      </w:r>
      <w:r w:rsidR="007A74F6">
        <w:rPr>
          <w:sz w:val="24"/>
          <w:szCs w:val="24"/>
          <w:lang w:val="fr-FR"/>
        </w:rPr>
        <w:t>,</w:t>
      </w:r>
      <w:r w:rsidR="00F77EEF">
        <w:rPr>
          <w:sz w:val="24"/>
          <w:szCs w:val="24"/>
          <w:lang w:val="fr-FR"/>
        </w:rPr>
        <w:t xml:space="preserve"> 1°</w:t>
      </w:r>
      <w:r w:rsidR="000B58BD">
        <w:rPr>
          <w:sz w:val="24"/>
          <w:szCs w:val="24"/>
          <w:lang w:val="fr-FR"/>
        </w:rPr>
        <w:t xml:space="preserve"> et</w:t>
      </w:r>
      <w:r w:rsidR="00F77EEF">
        <w:rPr>
          <w:sz w:val="24"/>
          <w:szCs w:val="24"/>
          <w:lang w:val="fr-FR"/>
        </w:rPr>
        <w:t xml:space="preserve"> 38-I</w:t>
      </w:r>
      <w:r w:rsidR="007A74F6">
        <w:rPr>
          <w:sz w:val="24"/>
          <w:szCs w:val="24"/>
          <w:lang w:val="fr-FR"/>
        </w:rPr>
        <w:t>,</w:t>
      </w:r>
      <w:r w:rsidR="00F77EEF">
        <w:rPr>
          <w:sz w:val="24"/>
          <w:szCs w:val="24"/>
          <w:lang w:val="fr-FR"/>
        </w:rPr>
        <w:t xml:space="preserve"> 3°</w:t>
      </w:r>
      <w:r w:rsidR="000B58BD">
        <w:rPr>
          <w:sz w:val="24"/>
          <w:szCs w:val="24"/>
          <w:lang w:val="fr-FR"/>
        </w:rPr>
        <w:t xml:space="preserve"> </w:t>
      </w:r>
      <w:r w:rsidR="00F77EEF">
        <w:rPr>
          <w:sz w:val="24"/>
          <w:szCs w:val="24"/>
          <w:lang w:val="fr-FR"/>
        </w:rPr>
        <w:t xml:space="preserve">prévoient </w:t>
      </w:r>
      <w:r w:rsidR="00F90230">
        <w:rPr>
          <w:sz w:val="24"/>
          <w:szCs w:val="24"/>
          <w:lang w:val="fr-FR"/>
        </w:rPr>
        <w:t>de ré</w:t>
      </w:r>
      <w:r w:rsidR="00F77EEF">
        <w:rPr>
          <w:sz w:val="24"/>
          <w:szCs w:val="24"/>
          <w:lang w:val="fr-FR"/>
        </w:rPr>
        <w:t>duire</w:t>
      </w:r>
      <w:r w:rsidR="00794ADD">
        <w:rPr>
          <w:sz w:val="24"/>
          <w:szCs w:val="24"/>
          <w:lang w:val="fr-FR"/>
        </w:rPr>
        <w:t xml:space="preserve"> </w:t>
      </w:r>
      <w:r w:rsidR="00985865">
        <w:rPr>
          <w:sz w:val="24"/>
          <w:szCs w:val="24"/>
          <w:lang w:val="fr-FR"/>
        </w:rPr>
        <w:t xml:space="preserve">le délai </w:t>
      </w:r>
      <w:r w:rsidR="00985865" w:rsidRPr="00A502B6">
        <w:rPr>
          <w:sz w:val="24"/>
          <w:szCs w:val="24"/>
          <w:lang w:val="fr-FR"/>
        </w:rPr>
        <w:t>pour déposer une demande d’asile</w:t>
      </w:r>
      <w:r w:rsidR="00985865" w:rsidRPr="00A502B6" w:rsidDel="00985865">
        <w:rPr>
          <w:sz w:val="24"/>
          <w:szCs w:val="24"/>
          <w:lang w:val="fr-FR"/>
        </w:rPr>
        <w:t xml:space="preserve"> </w:t>
      </w:r>
      <w:r w:rsidR="00794ADD" w:rsidRPr="00A502B6">
        <w:rPr>
          <w:sz w:val="24"/>
          <w:szCs w:val="24"/>
          <w:lang w:val="fr-FR"/>
        </w:rPr>
        <w:t>de 120 jours à 90 jours</w:t>
      </w:r>
      <w:r w:rsidR="00F01EB4">
        <w:rPr>
          <w:sz w:val="24"/>
          <w:szCs w:val="24"/>
          <w:lang w:val="fr-FR"/>
        </w:rPr>
        <w:t xml:space="preserve"> et à 60 jours en Guyane</w:t>
      </w:r>
      <w:r w:rsidR="00F90230">
        <w:rPr>
          <w:sz w:val="24"/>
          <w:szCs w:val="24"/>
          <w:lang w:val="fr-FR"/>
        </w:rPr>
        <w:t xml:space="preserve"> dès l’entrée sur le territoire</w:t>
      </w:r>
      <w:r w:rsidR="00BC5835">
        <w:rPr>
          <w:sz w:val="24"/>
          <w:szCs w:val="24"/>
          <w:lang w:val="fr-FR"/>
        </w:rPr>
        <w:t>.</w:t>
      </w:r>
      <w:r w:rsidR="00F01EB4">
        <w:rPr>
          <w:sz w:val="24"/>
          <w:szCs w:val="24"/>
          <w:lang w:val="fr-FR"/>
        </w:rPr>
        <w:t xml:space="preserve"> </w:t>
      </w:r>
      <w:r w:rsidR="00F90230">
        <w:rPr>
          <w:sz w:val="24"/>
          <w:szCs w:val="24"/>
          <w:lang w:val="fr-FR"/>
        </w:rPr>
        <w:t xml:space="preserve">Les demandes d’asile déposées au-delà d’un délai de 90 ou 60 jours </w:t>
      </w:r>
      <w:r w:rsidR="000951AC">
        <w:rPr>
          <w:sz w:val="24"/>
          <w:szCs w:val="24"/>
          <w:lang w:val="fr-FR"/>
        </w:rPr>
        <w:t>respectivement</w:t>
      </w:r>
      <w:r w:rsidR="00F90230">
        <w:rPr>
          <w:sz w:val="24"/>
          <w:szCs w:val="24"/>
          <w:lang w:val="fr-FR"/>
        </w:rPr>
        <w:t xml:space="preserve">, pourront mener à un </w:t>
      </w:r>
      <w:r w:rsidR="00F90230" w:rsidRPr="00F01EB4">
        <w:rPr>
          <w:sz w:val="24"/>
          <w:szCs w:val="24"/>
          <w:lang w:val="fr-FR"/>
        </w:rPr>
        <w:t xml:space="preserve">examen de la demande d’asile selon la procédure accélérée et </w:t>
      </w:r>
      <w:r w:rsidR="00F90230">
        <w:rPr>
          <w:sz w:val="24"/>
          <w:szCs w:val="24"/>
          <w:lang w:val="fr-FR"/>
        </w:rPr>
        <w:t xml:space="preserve">à la </w:t>
      </w:r>
      <w:r w:rsidR="00F90230" w:rsidRPr="00F01EB4">
        <w:rPr>
          <w:sz w:val="24"/>
          <w:szCs w:val="24"/>
          <w:lang w:val="fr-FR"/>
        </w:rPr>
        <w:t>possibilité de refuser le bénéfice des conditions matérielles d’accueil</w:t>
      </w:r>
      <w:r w:rsidR="00F90230">
        <w:rPr>
          <w:sz w:val="24"/>
          <w:szCs w:val="24"/>
          <w:lang w:val="fr-FR"/>
        </w:rPr>
        <w:t xml:space="preserve">. </w:t>
      </w:r>
      <w:r w:rsidR="00F01EB4" w:rsidRPr="00F01EB4">
        <w:rPr>
          <w:sz w:val="24"/>
          <w:szCs w:val="24"/>
          <w:lang w:val="fr-FR"/>
        </w:rPr>
        <w:t>L’</w:t>
      </w:r>
      <w:r w:rsidR="00F01EB4">
        <w:rPr>
          <w:sz w:val="24"/>
          <w:szCs w:val="24"/>
          <w:lang w:val="fr-FR"/>
        </w:rPr>
        <w:t>article</w:t>
      </w:r>
      <w:r w:rsidR="00F01EB4" w:rsidRPr="00F01EB4">
        <w:rPr>
          <w:sz w:val="24"/>
          <w:szCs w:val="24"/>
          <w:lang w:val="fr-FR"/>
        </w:rPr>
        <w:t xml:space="preserve"> 6 du projet de loi </w:t>
      </w:r>
      <w:r w:rsidR="00F01EB4">
        <w:rPr>
          <w:sz w:val="24"/>
          <w:szCs w:val="24"/>
          <w:lang w:val="fr-FR"/>
        </w:rPr>
        <w:t>réduit</w:t>
      </w:r>
      <w:r w:rsidR="00F01EB4" w:rsidRPr="00F01EB4">
        <w:rPr>
          <w:sz w:val="24"/>
          <w:szCs w:val="24"/>
          <w:lang w:val="fr-FR"/>
        </w:rPr>
        <w:t xml:space="preserve"> le délai de recours à 15 jours devant la Cour nationale du droit d’asile (CNDA</w:t>
      </w:r>
      <w:r w:rsidR="00F01EB4">
        <w:rPr>
          <w:sz w:val="24"/>
          <w:szCs w:val="24"/>
          <w:lang w:val="fr-FR"/>
        </w:rPr>
        <w:t xml:space="preserve">). </w:t>
      </w:r>
    </w:p>
    <w:p w:rsidR="000B58BD" w:rsidRDefault="000B58BD" w:rsidP="00603A96">
      <w:pPr>
        <w:ind w:left="709"/>
        <w:jc w:val="both"/>
        <w:rPr>
          <w:sz w:val="24"/>
          <w:szCs w:val="24"/>
          <w:lang w:val="fr-FR"/>
        </w:rPr>
      </w:pPr>
    </w:p>
    <w:p w:rsidR="00F65921" w:rsidRDefault="00F90230" w:rsidP="00603A96">
      <w:pPr>
        <w:ind w:left="709"/>
        <w:jc w:val="both"/>
        <w:rPr>
          <w:sz w:val="24"/>
          <w:szCs w:val="24"/>
          <w:lang w:val="fr-FR"/>
        </w:rPr>
      </w:pPr>
      <w:r>
        <w:rPr>
          <w:sz w:val="24"/>
          <w:szCs w:val="24"/>
          <w:lang w:val="fr-FR"/>
        </w:rPr>
        <w:t xml:space="preserve">Nous sommes préoccupés par ces mesures, </w:t>
      </w:r>
      <w:r w:rsidR="00F65921">
        <w:rPr>
          <w:sz w:val="24"/>
          <w:szCs w:val="24"/>
          <w:lang w:val="fr-FR"/>
        </w:rPr>
        <w:t xml:space="preserve">pour </w:t>
      </w:r>
      <w:r w:rsidR="004E2263">
        <w:rPr>
          <w:sz w:val="24"/>
          <w:szCs w:val="24"/>
          <w:lang w:val="fr-FR"/>
        </w:rPr>
        <w:t xml:space="preserve">les </w:t>
      </w:r>
      <w:r w:rsidR="00D12484">
        <w:rPr>
          <w:sz w:val="24"/>
          <w:szCs w:val="24"/>
          <w:lang w:val="fr-FR"/>
        </w:rPr>
        <w:t>raisons</w:t>
      </w:r>
      <w:r w:rsidR="004E2263">
        <w:rPr>
          <w:sz w:val="24"/>
          <w:szCs w:val="24"/>
          <w:lang w:val="fr-FR"/>
        </w:rPr>
        <w:t xml:space="preserve"> suivantes</w:t>
      </w:r>
      <w:r w:rsidR="00D12484">
        <w:rPr>
          <w:sz w:val="24"/>
          <w:szCs w:val="24"/>
          <w:lang w:val="fr-FR"/>
        </w:rPr>
        <w:t xml:space="preserve">; </w:t>
      </w:r>
    </w:p>
    <w:p w:rsidR="00767369" w:rsidRDefault="00767369" w:rsidP="00603A96">
      <w:pPr>
        <w:ind w:left="709"/>
        <w:jc w:val="both"/>
        <w:rPr>
          <w:sz w:val="24"/>
          <w:szCs w:val="24"/>
          <w:lang w:val="fr-FR"/>
        </w:rPr>
      </w:pPr>
    </w:p>
    <w:p w:rsidR="00F65921" w:rsidRDefault="00D12484" w:rsidP="00603A96">
      <w:pPr>
        <w:ind w:left="709"/>
        <w:jc w:val="both"/>
        <w:rPr>
          <w:sz w:val="24"/>
          <w:szCs w:val="24"/>
          <w:lang w:val="fr-FR"/>
        </w:rPr>
      </w:pPr>
      <w:r>
        <w:rPr>
          <w:sz w:val="24"/>
          <w:szCs w:val="24"/>
          <w:lang w:val="fr-FR"/>
        </w:rPr>
        <w:t xml:space="preserve">Premièrement, </w:t>
      </w:r>
      <w:r w:rsidR="00F65921">
        <w:rPr>
          <w:sz w:val="24"/>
          <w:szCs w:val="24"/>
          <w:lang w:val="fr-FR"/>
        </w:rPr>
        <w:t xml:space="preserve">nous sommes préoccupés que </w:t>
      </w:r>
      <w:r>
        <w:rPr>
          <w:sz w:val="24"/>
          <w:szCs w:val="24"/>
          <w:lang w:val="fr-FR"/>
        </w:rPr>
        <w:t xml:space="preserve">ces mesures sont </w:t>
      </w:r>
      <w:r w:rsidR="00BC5835">
        <w:rPr>
          <w:sz w:val="24"/>
          <w:szCs w:val="24"/>
          <w:lang w:val="fr-FR"/>
        </w:rPr>
        <w:t>susceptible</w:t>
      </w:r>
      <w:r w:rsidR="00F90230">
        <w:rPr>
          <w:sz w:val="24"/>
          <w:szCs w:val="24"/>
          <w:lang w:val="fr-FR"/>
        </w:rPr>
        <w:t>s</w:t>
      </w:r>
      <w:r w:rsidR="00BC5835">
        <w:rPr>
          <w:sz w:val="24"/>
          <w:szCs w:val="24"/>
          <w:lang w:val="fr-FR"/>
        </w:rPr>
        <w:t xml:space="preserve"> d’</w:t>
      </w:r>
      <w:r w:rsidR="00794ADD">
        <w:rPr>
          <w:sz w:val="24"/>
          <w:szCs w:val="24"/>
          <w:lang w:val="fr-FR"/>
        </w:rPr>
        <w:t>avoir un effet préjudiciable sur les demandeurs d’asile, surtout les personnes en situation de vulnérabilité</w:t>
      </w:r>
      <w:r w:rsidR="00985865">
        <w:rPr>
          <w:sz w:val="24"/>
          <w:szCs w:val="24"/>
          <w:lang w:val="fr-FR"/>
        </w:rPr>
        <w:t xml:space="preserve">. </w:t>
      </w:r>
      <w:r w:rsidR="00F01EB4">
        <w:rPr>
          <w:sz w:val="24"/>
          <w:szCs w:val="24"/>
          <w:lang w:val="fr-FR"/>
        </w:rPr>
        <w:t>En</w:t>
      </w:r>
      <w:r w:rsidR="002413AB">
        <w:rPr>
          <w:sz w:val="24"/>
          <w:szCs w:val="24"/>
          <w:lang w:val="fr-FR"/>
        </w:rPr>
        <w:t xml:space="preserve"> vu</w:t>
      </w:r>
      <w:r w:rsidR="00B6694B">
        <w:rPr>
          <w:sz w:val="24"/>
          <w:szCs w:val="24"/>
          <w:lang w:val="fr-FR"/>
        </w:rPr>
        <w:t>e</w:t>
      </w:r>
      <w:r w:rsidR="002413AB">
        <w:rPr>
          <w:sz w:val="24"/>
          <w:szCs w:val="24"/>
          <w:lang w:val="fr-FR"/>
        </w:rPr>
        <w:t xml:space="preserve"> de </w:t>
      </w:r>
      <w:r w:rsidR="00794ADD">
        <w:rPr>
          <w:sz w:val="24"/>
          <w:szCs w:val="24"/>
          <w:lang w:val="fr-FR"/>
        </w:rPr>
        <w:t>la saturation du dispositif</w:t>
      </w:r>
      <w:r w:rsidR="00794ADD" w:rsidRPr="00A502B6">
        <w:rPr>
          <w:sz w:val="24"/>
          <w:szCs w:val="24"/>
          <w:lang w:val="fr-FR"/>
        </w:rPr>
        <w:t xml:space="preserve"> national d’accueil, des requérants d’asile doivent </w:t>
      </w:r>
      <w:r w:rsidR="00794ADD">
        <w:rPr>
          <w:sz w:val="24"/>
          <w:szCs w:val="24"/>
          <w:lang w:val="fr-FR"/>
        </w:rPr>
        <w:t xml:space="preserve">souvent </w:t>
      </w:r>
      <w:r w:rsidR="00794ADD" w:rsidRPr="00A502B6">
        <w:rPr>
          <w:sz w:val="24"/>
          <w:szCs w:val="24"/>
          <w:lang w:val="fr-FR"/>
        </w:rPr>
        <w:t>attendre plusieurs mois avant de pouvoir enregistrer leurs demandes</w:t>
      </w:r>
      <w:r w:rsidR="00B6694B">
        <w:rPr>
          <w:sz w:val="24"/>
          <w:szCs w:val="24"/>
          <w:lang w:val="fr-FR"/>
        </w:rPr>
        <w:t xml:space="preserve">. En effet, </w:t>
      </w:r>
      <w:r w:rsidR="007D737F">
        <w:rPr>
          <w:sz w:val="24"/>
          <w:szCs w:val="24"/>
          <w:lang w:val="fr-FR"/>
        </w:rPr>
        <w:t>ce</w:t>
      </w:r>
      <w:r w:rsidR="00B6694B">
        <w:rPr>
          <w:sz w:val="24"/>
          <w:szCs w:val="24"/>
          <w:lang w:val="fr-FR"/>
        </w:rPr>
        <w:t>la</w:t>
      </w:r>
      <w:r w:rsidR="007D737F">
        <w:rPr>
          <w:sz w:val="24"/>
          <w:szCs w:val="24"/>
          <w:lang w:val="fr-FR"/>
        </w:rPr>
        <w:t xml:space="preserve"> risque de maintenir</w:t>
      </w:r>
      <w:r w:rsidR="00794ADD" w:rsidRPr="00A502B6">
        <w:rPr>
          <w:sz w:val="24"/>
          <w:szCs w:val="24"/>
          <w:lang w:val="fr-FR"/>
        </w:rPr>
        <w:t xml:space="preserve"> en situation irrégulière des personnes en quête d’une protection internationale, les exposant </w:t>
      </w:r>
      <w:r w:rsidR="002D72B4">
        <w:rPr>
          <w:sz w:val="24"/>
          <w:szCs w:val="24"/>
          <w:lang w:val="fr-FR"/>
        </w:rPr>
        <w:t xml:space="preserve">potentiellement </w:t>
      </w:r>
      <w:r w:rsidR="00794ADD" w:rsidRPr="00A502B6">
        <w:rPr>
          <w:sz w:val="24"/>
          <w:szCs w:val="24"/>
          <w:lang w:val="fr-FR"/>
        </w:rPr>
        <w:t>au risque d’être interpelées et éloignées</w:t>
      </w:r>
      <w:r w:rsidR="00EB4C3F">
        <w:rPr>
          <w:sz w:val="24"/>
          <w:szCs w:val="24"/>
          <w:lang w:val="fr-FR"/>
        </w:rPr>
        <w:t>, ce qui pourrait constituer une violation du principe de non-refoulement</w:t>
      </w:r>
      <w:r w:rsidR="00794ADD" w:rsidRPr="00A502B6">
        <w:rPr>
          <w:sz w:val="24"/>
          <w:szCs w:val="24"/>
          <w:lang w:val="fr-FR"/>
        </w:rPr>
        <w:t>. Faute de pouvoir faire enregistrer leur demande, ces personnes ne peuvent accéder aux conditions matérielles</w:t>
      </w:r>
      <w:r w:rsidR="002628C5">
        <w:rPr>
          <w:sz w:val="24"/>
          <w:szCs w:val="24"/>
          <w:lang w:val="fr-FR"/>
        </w:rPr>
        <w:t xml:space="preserve"> d’accueil, tels</w:t>
      </w:r>
      <w:r w:rsidR="00AD186D">
        <w:rPr>
          <w:sz w:val="24"/>
          <w:szCs w:val="24"/>
          <w:lang w:val="fr-FR"/>
        </w:rPr>
        <w:t xml:space="preserve"> que </w:t>
      </w:r>
      <w:r w:rsidR="00B6694B">
        <w:rPr>
          <w:sz w:val="24"/>
          <w:szCs w:val="24"/>
          <w:lang w:val="fr-FR"/>
        </w:rPr>
        <w:t xml:space="preserve">le </w:t>
      </w:r>
      <w:r w:rsidR="00AD186D">
        <w:rPr>
          <w:sz w:val="24"/>
          <w:szCs w:val="24"/>
          <w:lang w:val="fr-FR"/>
        </w:rPr>
        <w:t>logement d’urgence</w:t>
      </w:r>
      <w:r w:rsidR="00794ADD">
        <w:rPr>
          <w:sz w:val="24"/>
          <w:szCs w:val="24"/>
          <w:lang w:val="fr-FR"/>
        </w:rPr>
        <w:t xml:space="preserve"> </w:t>
      </w:r>
      <w:r w:rsidR="00794ADD" w:rsidRPr="00A502B6">
        <w:rPr>
          <w:sz w:val="24"/>
          <w:szCs w:val="24"/>
          <w:lang w:val="fr-FR"/>
        </w:rPr>
        <w:t xml:space="preserve">et </w:t>
      </w:r>
      <w:r w:rsidR="00B6694B">
        <w:rPr>
          <w:sz w:val="24"/>
          <w:szCs w:val="24"/>
          <w:lang w:val="fr-FR"/>
        </w:rPr>
        <w:t>l’</w:t>
      </w:r>
      <w:r w:rsidR="00794ADD" w:rsidRPr="00A502B6">
        <w:rPr>
          <w:sz w:val="24"/>
          <w:szCs w:val="24"/>
          <w:lang w:val="fr-FR"/>
        </w:rPr>
        <w:t xml:space="preserve">accès au travail. </w:t>
      </w:r>
      <w:r w:rsidR="00985865">
        <w:rPr>
          <w:sz w:val="24"/>
          <w:szCs w:val="24"/>
          <w:lang w:val="fr-FR"/>
        </w:rPr>
        <w:t xml:space="preserve"> </w:t>
      </w:r>
    </w:p>
    <w:p w:rsidR="008F635A" w:rsidRDefault="008F635A" w:rsidP="00603A96">
      <w:pPr>
        <w:ind w:left="709"/>
        <w:jc w:val="both"/>
        <w:rPr>
          <w:sz w:val="24"/>
          <w:szCs w:val="24"/>
          <w:lang w:val="fr-FR"/>
        </w:rPr>
      </w:pPr>
    </w:p>
    <w:p w:rsidR="00794ADD" w:rsidRDefault="00D12484" w:rsidP="00603A96">
      <w:pPr>
        <w:ind w:left="709"/>
        <w:jc w:val="both"/>
        <w:rPr>
          <w:sz w:val="24"/>
          <w:szCs w:val="24"/>
          <w:lang w:val="fr-FR"/>
        </w:rPr>
      </w:pPr>
      <w:r>
        <w:rPr>
          <w:sz w:val="24"/>
          <w:szCs w:val="24"/>
          <w:lang w:val="fr-FR"/>
        </w:rPr>
        <w:t>Deuxièmement, n</w:t>
      </w:r>
      <w:r w:rsidR="00F90230">
        <w:rPr>
          <w:sz w:val="24"/>
          <w:szCs w:val="24"/>
          <w:lang w:val="fr-FR"/>
        </w:rPr>
        <w:t xml:space="preserve">ous sommes </w:t>
      </w:r>
      <w:r w:rsidR="00B6694B">
        <w:rPr>
          <w:sz w:val="24"/>
          <w:szCs w:val="24"/>
          <w:lang w:val="fr-FR"/>
        </w:rPr>
        <w:t>préoccupés par l’automaticité du</w:t>
      </w:r>
      <w:r w:rsidR="00F90230">
        <w:rPr>
          <w:sz w:val="24"/>
          <w:szCs w:val="24"/>
          <w:lang w:val="fr-FR"/>
        </w:rPr>
        <w:t xml:space="preserve"> placement en procédure accélérée, </w:t>
      </w:r>
      <w:r>
        <w:rPr>
          <w:sz w:val="24"/>
          <w:szCs w:val="24"/>
          <w:lang w:val="fr-FR"/>
        </w:rPr>
        <w:t>car une</w:t>
      </w:r>
      <w:r w:rsidR="00794ADD">
        <w:rPr>
          <w:sz w:val="24"/>
          <w:szCs w:val="24"/>
          <w:lang w:val="fr-FR"/>
        </w:rPr>
        <w:t xml:space="preserve"> </w:t>
      </w:r>
      <w:r w:rsidR="00794ADD" w:rsidRPr="003264B2">
        <w:rPr>
          <w:sz w:val="24"/>
          <w:szCs w:val="24"/>
          <w:lang w:val="fr-FR"/>
        </w:rPr>
        <w:t xml:space="preserve">procédure accélérée en cas de demande tardive </w:t>
      </w:r>
      <w:r w:rsidR="00794ADD">
        <w:rPr>
          <w:sz w:val="24"/>
          <w:szCs w:val="24"/>
          <w:lang w:val="fr-FR"/>
        </w:rPr>
        <w:t xml:space="preserve">et un délai d’appel raccourci ne </w:t>
      </w:r>
      <w:r w:rsidR="00B6694B">
        <w:rPr>
          <w:sz w:val="24"/>
          <w:szCs w:val="24"/>
          <w:lang w:val="fr-FR"/>
        </w:rPr>
        <w:t xml:space="preserve">permettront </w:t>
      </w:r>
      <w:r w:rsidR="00794ADD">
        <w:rPr>
          <w:sz w:val="24"/>
          <w:szCs w:val="24"/>
          <w:lang w:val="fr-FR"/>
        </w:rPr>
        <w:t>pas de</w:t>
      </w:r>
      <w:r w:rsidR="00794ADD" w:rsidRPr="003264B2">
        <w:rPr>
          <w:sz w:val="24"/>
          <w:szCs w:val="24"/>
          <w:lang w:val="fr-FR"/>
        </w:rPr>
        <w:t xml:space="preserve"> procéder à un examen approfondi de la situation individuelle </w:t>
      </w:r>
      <w:r w:rsidR="00794ADD">
        <w:rPr>
          <w:sz w:val="24"/>
          <w:szCs w:val="24"/>
          <w:lang w:val="fr-FR"/>
        </w:rPr>
        <w:t>des migrants</w:t>
      </w:r>
      <w:r>
        <w:rPr>
          <w:sz w:val="24"/>
          <w:szCs w:val="24"/>
          <w:lang w:val="fr-FR"/>
        </w:rPr>
        <w:t>, ce qui réduit l</w:t>
      </w:r>
      <w:r w:rsidR="00DF1B13">
        <w:rPr>
          <w:sz w:val="24"/>
          <w:szCs w:val="24"/>
          <w:lang w:val="fr-FR"/>
        </w:rPr>
        <w:t>eurs</w:t>
      </w:r>
      <w:r>
        <w:rPr>
          <w:sz w:val="24"/>
          <w:szCs w:val="24"/>
          <w:lang w:val="fr-FR"/>
        </w:rPr>
        <w:t xml:space="preserve"> garanties procédurales accordées aux migrants</w:t>
      </w:r>
      <w:r w:rsidR="00794ADD">
        <w:rPr>
          <w:sz w:val="24"/>
          <w:szCs w:val="24"/>
          <w:lang w:val="fr-FR"/>
        </w:rPr>
        <w:t xml:space="preserve">. </w:t>
      </w:r>
      <w:r w:rsidR="00F01EB4">
        <w:rPr>
          <w:sz w:val="24"/>
          <w:szCs w:val="24"/>
          <w:lang w:val="fr-FR"/>
        </w:rPr>
        <w:t>L</w:t>
      </w:r>
      <w:r w:rsidR="00794ADD" w:rsidRPr="00703320">
        <w:rPr>
          <w:sz w:val="24"/>
          <w:szCs w:val="24"/>
          <w:lang w:val="fr-FR"/>
        </w:rPr>
        <w:t xml:space="preserve">’impossibilité pour les migrants de faire valoir leurs arguments, en exposant les risques qu’ils </w:t>
      </w:r>
      <w:r w:rsidR="00B6694B" w:rsidRPr="00703320">
        <w:rPr>
          <w:sz w:val="24"/>
          <w:szCs w:val="24"/>
          <w:lang w:val="fr-FR"/>
        </w:rPr>
        <w:t>encoure</w:t>
      </w:r>
      <w:r w:rsidR="00B6694B">
        <w:rPr>
          <w:sz w:val="24"/>
          <w:szCs w:val="24"/>
          <w:lang w:val="fr-FR"/>
        </w:rPr>
        <w:t xml:space="preserve">nt </w:t>
      </w:r>
      <w:r w:rsidR="00794ADD" w:rsidRPr="00703320">
        <w:rPr>
          <w:sz w:val="24"/>
          <w:szCs w:val="24"/>
          <w:lang w:val="fr-FR"/>
        </w:rPr>
        <w:t xml:space="preserve">s’ils étaient renvoyés dans leur pays d’origine, </w:t>
      </w:r>
      <w:r w:rsidR="00B6694B" w:rsidRPr="00703320">
        <w:rPr>
          <w:sz w:val="24"/>
          <w:szCs w:val="24"/>
          <w:lang w:val="fr-FR"/>
        </w:rPr>
        <w:t>pe</w:t>
      </w:r>
      <w:r w:rsidR="00B6694B">
        <w:rPr>
          <w:sz w:val="24"/>
          <w:szCs w:val="24"/>
          <w:lang w:val="fr-FR"/>
        </w:rPr>
        <w:t>u</w:t>
      </w:r>
      <w:r w:rsidR="00B6694B" w:rsidRPr="00703320">
        <w:rPr>
          <w:sz w:val="24"/>
          <w:szCs w:val="24"/>
          <w:lang w:val="fr-FR"/>
        </w:rPr>
        <w:t xml:space="preserve">t </w:t>
      </w:r>
      <w:r w:rsidR="00794ADD" w:rsidRPr="00703320">
        <w:rPr>
          <w:sz w:val="24"/>
          <w:szCs w:val="24"/>
          <w:lang w:val="fr-FR"/>
        </w:rPr>
        <w:t xml:space="preserve">constituer une violation du principe international de non-refoulement. Des procédures d’évaluation de chaque individu sont nécessaires pour établir réellement les vulnérabilités de chacun et </w:t>
      </w:r>
      <w:r w:rsidR="00794ADD">
        <w:rPr>
          <w:sz w:val="24"/>
          <w:szCs w:val="24"/>
          <w:lang w:val="fr-FR"/>
        </w:rPr>
        <w:t xml:space="preserve">pour </w:t>
      </w:r>
      <w:r w:rsidR="00794ADD" w:rsidRPr="00703320">
        <w:rPr>
          <w:sz w:val="24"/>
          <w:szCs w:val="24"/>
          <w:lang w:val="fr-FR"/>
        </w:rPr>
        <w:t>déterminer les cadres de protection juridique qui répondent à leurs besoins.</w:t>
      </w:r>
      <w:r w:rsidR="00F01EB4">
        <w:rPr>
          <w:sz w:val="24"/>
          <w:szCs w:val="24"/>
          <w:lang w:val="fr-FR"/>
        </w:rPr>
        <w:t xml:space="preserve"> </w:t>
      </w:r>
      <w:r w:rsidR="00334EE1">
        <w:rPr>
          <w:sz w:val="24"/>
          <w:szCs w:val="24"/>
          <w:lang w:val="fr-FR"/>
        </w:rPr>
        <w:t xml:space="preserve">A cet égard nous souhaiterions également exprimer nos préoccupations par rapport à d’autres articles du projet de loi qui visent à accélérer le traitement des demandes, tels que </w:t>
      </w:r>
      <w:r w:rsidR="00334EE1" w:rsidRPr="00407AF6">
        <w:rPr>
          <w:sz w:val="24"/>
          <w:szCs w:val="24"/>
          <w:lang w:val="fr-FR"/>
        </w:rPr>
        <w:t>les</w:t>
      </w:r>
      <w:r w:rsidR="00334EE1">
        <w:rPr>
          <w:sz w:val="24"/>
          <w:szCs w:val="24"/>
          <w:lang w:val="fr-FR"/>
        </w:rPr>
        <w:t xml:space="preserve"> articles 7</w:t>
      </w:r>
      <w:r w:rsidR="0088597C">
        <w:rPr>
          <w:sz w:val="24"/>
          <w:szCs w:val="24"/>
          <w:lang w:val="fr-FR"/>
        </w:rPr>
        <w:t>,</w:t>
      </w:r>
      <w:r w:rsidR="00334EE1">
        <w:rPr>
          <w:sz w:val="24"/>
          <w:szCs w:val="24"/>
          <w:lang w:val="fr-FR"/>
        </w:rPr>
        <w:t xml:space="preserve"> 10 et 11</w:t>
      </w:r>
      <w:r w:rsidR="008B1C4C">
        <w:rPr>
          <w:sz w:val="24"/>
          <w:szCs w:val="24"/>
          <w:lang w:val="fr-FR"/>
        </w:rPr>
        <w:t xml:space="preserve">. Nous observons que les dispositions </w:t>
      </w:r>
      <w:r w:rsidR="0088597C">
        <w:rPr>
          <w:sz w:val="24"/>
          <w:szCs w:val="24"/>
          <w:lang w:val="fr-FR"/>
        </w:rPr>
        <w:t xml:space="preserve">contenus dans </w:t>
      </w:r>
      <w:r w:rsidR="00D84920">
        <w:rPr>
          <w:sz w:val="24"/>
          <w:szCs w:val="24"/>
          <w:lang w:val="fr-FR"/>
        </w:rPr>
        <w:t xml:space="preserve">tous </w:t>
      </w:r>
      <w:r w:rsidR="0088597C">
        <w:rPr>
          <w:sz w:val="24"/>
          <w:szCs w:val="24"/>
          <w:lang w:val="fr-FR"/>
        </w:rPr>
        <w:t xml:space="preserve">ces articles, risquent de mener à un amoindrissement des garanties </w:t>
      </w:r>
      <w:r w:rsidR="00326E38">
        <w:rPr>
          <w:sz w:val="24"/>
          <w:szCs w:val="24"/>
          <w:lang w:val="fr-FR"/>
        </w:rPr>
        <w:t>procédurales</w:t>
      </w:r>
      <w:r w:rsidR="00DF1B13">
        <w:rPr>
          <w:sz w:val="24"/>
          <w:szCs w:val="24"/>
          <w:lang w:val="fr-FR"/>
        </w:rPr>
        <w:t xml:space="preserve"> pour les demandeurs d’asile, p</w:t>
      </w:r>
      <w:r w:rsidR="0088597C">
        <w:rPr>
          <w:sz w:val="24"/>
          <w:szCs w:val="24"/>
          <w:lang w:val="fr-FR"/>
        </w:rPr>
        <w:t xml:space="preserve">ar exemple, </w:t>
      </w:r>
      <w:r w:rsidR="00DF1B13">
        <w:rPr>
          <w:sz w:val="24"/>
          <w:szCs w:val="24"/>
          <w:lang w:val="fr-FR"/>
        </w:rPr>
        <w:t xml:space="preserve">les dispositions </w:t>
      </w:r>
      <w:r w:rsidR="00334EE1">
        <w:rPr>
          <w:sz w:val="24"/>
          <w:szCs w:val="24"/>
          <w:lang w:val="fr-FR"/>
        </w:rPr>
        <w:t>prévoyant des conférences vidéos</w:t>
      </w:r>
      <w:r w:rsidR="0088597C">
        <w:rPr>
          <w:sz w:val="24"/>
          <w:szCs w:val="24"/>
          <w:lang w:val="fr-FR"/>
        </w:rPr>
        <w:t xml:space="preserve"> (article 10 et 11</w:t>
      </w:r>
      <w:r w:rsidR="00326E38">
        <w:rPr>
          <w:sz w:val="24"/>
          <w:szCs w:val="24"/>
          <w:lang w:val="fr-FR"/>
        </w:rPr>
        <w:t xml:space="preserve"> du projet de loi</w:t>
      </w:r>
      <w:r w:rsidR="00D45425">
        <w:rPr>
          <w:sz w:val="24"/>
          <w:szCs w:val="24"/>
          <w:lang w:val="fr-FR"/>
        </w:rPr>
        <w:t xml:space="preserve">) dans les procédures d’asile ou </w:t>
      </w:r>
      <w:r w:rsidR="008B1C4C">
        <w:rPr>
          <w:sz w:val="24"/>
          <w:szCs w:val="24"/>
          <w:lang w:val="fr-FR"/>
        </w:rPr>
        <w:t xml:space="preserve"> des procédures </w:t>
      </w:r>
      <w:r w:rsidR="00476141">
        <w:rPr>
          <w:sz w:val="24"/>
          <w:szCs w:val="24"/>
          <w:lang w:val="fr-FR"/>
        </w:rPr>
        <w:t xml:space="preserve">menées </w:t>
      </w:r>
      <w:r w:rsidR="008B1C4C">
        <w:rPr>
          <w:sz w:val="24"/>
          <w:szCs w:val="24"/>
          <w:lang w:val="fr-FR"/>
        </w:rPr>
        <w:t xml:space="preserve">dans une autre langue que la langue maternelle d’un </w:t>
      </w:r>
      <w:r w:rsidR="00334EE1">
        <w:rPr>
          <w:sz w:val="24"/>
          <w:szCs w:val="24"/>
          <w:lang w:val="fr-FR"/>
        </w:rPr>
        <w:t xml:space="preserve"> </w:t>
      </w:r>
      <w:r w:rsidR="00334EE1" w:rsidRPr="00334EE1">
        <w:rPr>
          <w:sz w:val="24"/>
          <w:szCs w:val="24"/>
          <w:lang w:val="fr-FR"/>
        </w:rPr>
        <w:t xml:space="preserve">demandeur d’asile </w:t>
      </w:r>
      <w:r w:rsidR="0088597C">
        <w:rPr>
          <w:sz w:val="24"/>
          <w:szCs w:val="24"/>
          <w:lang w:val="fr-FR"/>
        </w:rPr>
        <w:t>(article 7</w:t>
      </w:r>
      <w:r w:rsidR="00326E38">
        <w:rPr>
          <w:sz w:val="24"/>
          <w:szCs w:val="24"/>
          <w:lang w:val="fr-FR"/>
        </w:rPr>
        <w:t xml:space="preserve"> du projet de loi</w:t>
      </w:r>
      <w:r w:rsidR="0088597C">
        <w:rPr>
          <w:sz w:val="24"/>
          <w:szCs w:val="24"/>
          <w:lang w:val="fr-FR"/>
        </w:rPr>
        <w:t>).</w:t>
      </w:r>
      <w:r w:rsidR="00767369">
        <w:rPr>
          <w:sz w:val="24"/>
          <w:szCs w:val="24"/>
          <w:lang w:val="fr-FR"/>
        </w:rPr>
        <w:t xml:space="preserve"> </w:t>
      </w:r>
      <w:r w:rsidR="00B6694B">
        <w:rPr>
          <w:sz w:val="24"/>
          <w:szCs w:val="24"/>
          <w:lang w:val="fr-FR"/>
        </w:rPr>
        <w:t>En</w:t>
      </w:r>
      <w:r w:rsidR="00F65921">
        <w:rPr>
          <w:sz w:val="24"/>
          <w:szCs w:val="24"/>
          <w:lang w:val="fr-FR"/>
        </w:rPr>
        <w:t xml:space="preserve"> ce</w:t>
      </w:r>
      <w:r w:rsidR="00334EE1">
        <w:rPr>
          <w:sz w:val="24"/>
          <w:szCs w:val="24"/>
          <w:lang w:val="fr-FR"/>
        </w:rPr>
        <w:t xml:space="preserve"> qui concerne le droit à des garanties</w:t>
      </w:r>
      <w:r w:rsidR="00DF1B13">
        <w:rPr>
          <w:sz w:val="24"/>
          <w:szCs w:val="24"/>
          <w:lang w:val="fr-FR"/>
        </w:rPr>
        <w:t xml:space="preserve"> procédurales</w:t>
      </w:r>
      <w:r w:rsidR="00F65921">
        <w:rPr>
          <w:sz w:val="24"/>
          <w:szCs w:val="24"/>
          <w:lang w:val="fr-FR"/>
        </w:rPr>
        <w:t>,</w:t>
      </w:r>
      <w:r w:rsidR="00334EE1">
        <w:rPr>
          <w:sz w:val="24"/>
          <w:szCs w:val="24"/>
          <w:lang w:val="fr-FR"/>
        </w:rPr>
        <w:t xml:space="preserve"> n</w:t>
      </w:r>
      <w:r w:rsidR="00794ADD" w:rsidRPr="00B647D5">
        <w:rPr>
          <w:sz w:val="24"/>
          <w:szCs w:val="24"/>
          <w:lang w:val="fr-FR"/>
        </w:rPr>
        <w:t xml:space="preserve">ous </w:t>
      </w:r>
      <w:r w:rsidR="00794ADD">
        <w:rPr>
          <w:sz w:val="24"/>
          <w:szCs w:val="24"/>
          <w:lang w:val="fr-FR"/>
        </w:rPr>
        <w:t xml:space="preserve">aimerions </w:t>
      </w:r>
      <w:r w:rsidR="00794ADD" w:rsidRPr="00B647D5">
        <w:rPr>
          <w:sz w:val="24"/>
          <w:szCs w:val="24"/>
          <w:lang w:val="fr-FR"/>
        </w:rPr>
        <w:t xml:space="preserve">attirer l’attention </w:t>
      </w:r>
      <w:r w:rsidR="00767369">
        <w:rPr>
          <w:sz w:val="24"/>
          <w:szCs w:val="24"/>
          <w:lang w:val="fr-FR"/>
        </w:rPr>
        <w:t xml:space="preserve">sur les </w:t>
      </w:r>
      <w:r w:rsidR="008B1C4C">
        <w:rPr>
          <w:sz w:val="24"/>
          <w:szCs w:val="24"/>
          <w:lang w:val="fr-FR"/>
        </w:rPr>
        <w:t>article</w:t>
      </w:r>
      <w:r w:rsidR="00767369">
        <w:rPr>
          <w:sz w:val="24"/>
          <w:szCs w:val="24"/>
          <w:lang w:val="fr-FR"/>
        </w:rPr>
        <w:t xml:space="preserve"> </w:t>
      </w:r>
      <w:r w:rsidR="00331132">
        <w:rPr>
          <w:sz w:val="24"/>
          <w:szCs w:val="24"/>
          <w:lang w:val="fr-FR"/>
        </w:rPr>
        <w:t>9 et 14</w:t>
      </w:r>
      <w:r w:rsidR="00767369">
        <w:rPr>
          <w:sz w:val="24"/>
          <w:szCs w:val="24"/>
          <w:lang w:val="fr-FR"/>
        </w:rPr>
        <w:t xml:space="preserve"> </w:t>
      </w:r>
      <w:r w:rsidR="00794ADD" w:rsidRPr="00B647D5">
        <w:rPr>
          <w:sz w:val="24"/>
          <w:szCs w:val="24"/>
          <w:lang w:val="fr-FR"/>
        </w:rPr>
        <w:t>du Pacte international relatif aux droits civils et politiques</w:t>
      </w:r>
      <w:r w:rsidR="00794ADD" w:rsidRPr="00CF67B7">
        <w:rPr>
          <w:sz w:val="24"/>
          <w:szCs w:val="24"/>
          <w:lang w:val="fr-FR"/>
        </w:rPr>
        <w:t xml:space="preserve"> </w:t>
      </w:r>
      <w:r w:rsidR="00794ADD">
        <w:rPr>
          <w:sz w:val="24"/>
          <w:szCs w:val="24"/>
          <w:lang w:val="fr-FR"/>
        </w:rPr>
        <w:t>(PIDCP</w:t>
      </w:r>
      <w:r w:rsidR="007A74F6">
        <w:rPr>
          <w:sz w:val="24"/>
          <w:szCs w:val="24"/>
          <w:lang w:val="fr-FR"/>
        </w:rPr>
        <w:t>)</w:t>
      </w:r>
      <w:r w:rsidR="00767369">
        <w:rPr>
          <w:sz w:val="24"/>
          <w:szCs w:val="24"/>
          <w:lang w:val="fr-FR"/>
        </w:rPr>
        <w:t xml:space="preserve">. </w:t>
      </w:r>
      <w:r w:rsidR="00794ADD" w:rsidRPr="00CF67B7">
        <w:rPr>
          <w:sz w:val="24"/>
          <w:szCs w:val="24"/>
          <w:lang w:val="fr-FR"/>
        </w:rPr>
        <w:t xml:space="preserve">La jouissance des droits garantis par le PIDCP ne se limite pas aux citoyens des États parties mais doit également être accessible à tous les individus, sans distinction de nationalité ou d'apatridie, tels que </w:t>
      </w:r>
      <w:r w:rsidR="00B6694B">
        <w:rPr>
          <w:sz w:val="24"/>
          <w:szCs w:val="24"/>
          <w:lang w:val="fr-FR"/>
        </w:rPr>
        <w:t xml:space="preserve">les </w:t>
      </w:r>
      <w:r w:rsidR="00794ADD" w:rsidRPr="00CF67B7">
        <w:rPr>
          <w:sz w:val="24"/>
          <w:szCs w:val="24"/>
          <w:lang w:val="fr-FR"/>
        </w:rPr>
        <w:t>demandeurs d'asile, réfugiés, travailleurs migrants et autres personnes susceptibles de se trouver sur le territoire ou soumis à l</w:t>
      </w:r>
      <w:r w:rsidR="00794ADD">
        <w:rPr>
          <w:sz w:val="24"/>
          <w:szCs w:val="24"/>
          <w:lang w:val="fr-FR"/>
        </w:rPr>
        <w:t xml:space="preserve">a juridiction de l'État partie </w:t>
      </w:r>
      <w:r w:rsidR="00794ADD" w:rsidRPr="00CF67B7">
        <w:rPr>
          <w:sz w:val="24"/>
          <w:szCs w:val="24"/>
          <w:lang w:val="fr-FR"/>
        </w:rPr>
        <w:t>(CCPR / C / 21 / Rev.1 / Add.13 (2004), paragraphe 10).</w:t>
      </w:r>
      <w:r w:rsidR="00794ADD" w:rsidRPr="00B647D5">
        <w:rPr>
          <w:sz w:val="24"/>
          <w:szCs w:val="24"/>
          <w:lang w:val="fr-FR"/>
        </w:rPr>
        <w:t xml:space="preserve"> </w:t>
      </w:r>
    </w:p>
    <w:p w:rsidR="00794ADD" w:rsidRDefault="00794ADD" w:rsidP="00603A96">
      <w:pPr>
        <w:ind w:left="709"/>
        <w:jc w:val="both"/>
        <w:rPr>
          <w:sz w:val="24"/>
          <w:szCs w:val="24"/>
          <w:lang w:val="fr-FR"/>
        </w:rPr>
      </w:pPr>
    </w:p>
    <w:p w:rsidR="00794ADD" w:rsidRDefault="00B6694B" w:rsidP="00603A96">
      <w:pPr>
        <w:ind w:left="709"/>
        <w:jc w:val="both"/>
        <w:rPr>
          <w:sz w:val="24"/>
          <w:szCs w:val="24"/>
          <w:lang w:val="fr-FR"/>
        </w:rPr>
      </w:pPr>
      <w:r>
        <w:rPr>
          <w:sz w:val="24"/>
          <w:szCs w:val="24"/>
          <w:lang w:val="fr-FR"/>
        </w:rPr>
        <w:t>Enfin</w:t>
      </w:r>
      <w:r w:rsidR="00794ADD" w:rsidRPr="00AB3057">
        <w:rPr>
          <w:sz w:val="24"/>
          <w:szCs w:val="24"/>
          <w:lang w:val="fr-FR"/>
        </w:rPr>
        <w:t xml:space="preserve">, nous sommes </w:t>
      </w:r>
      <w:r w:rsidR="00F65921">
        <w:rPr>
          <w:sz w:val="24"/>
          <w:szCs w:val="24"/>
          <w:lang w:val="fr-FR"/>
        </w:rPr>
        <w:t xml:space="preserve">aussi </w:t>
      </w:r>
      <w:r w:rsidR="00794ADD" w:rsidRPr="00AB3057">
        <w:rPr>
          <w:sz w:val="24"/>
          <w:szCs w:val="24"/>
          <w:lang w:val="fr-FR"/>
        </w:rPr>
        <w:t>préoccupés</w:t>
      </w:r>
      <w:r w:rsidR="00F90230">
        <w:rPr>
          <w:sz w:val="24"/>
          <w:szCs w:val="24"/>
          <w:lang w:val="fr-FR"/>
        </w:rPr>
        <w:t xml:space="preserve"> </w:t>
      </w:r>
      <w:r w:rsidR="00D12484">
        <w:rPr>
          <w:sz w:val="24"/>
          <w:szCs w:val="24"/>
          <w:lang w:val="fr-FR"/>
        </w:rPr>
        <w:t xml:space="preserve">par le fait </w:t>
      </w:r>
      <w:r w:rsidR="00F90230">
        <w:rPr>
          <w:sz w:val="24"/>
          <w:szCs w:val="24"/>
          <w:lang w:val="fr-FR"/>
        </w:rPr>
        <w:t>que</w:t>
      </w:r>
      <w:r w:rsidR="00794ADD" w:rsidRPr="00AB3057">
        <w:rPr>
          <w:sz w:val="24"/>
          <w:szCs w:val="24"/>
          <w:lang w:val="fr-FR"/>
        </w:rPr>
        <w:t xml:space="preserve"> </w:t>
      </w:r>
      <w:r w:rsidR="00F90230" w:rsidRPr="00AB3057">
        <w:rPr>
          <w:sz w:val="24"/>
          <w:szCs w:val="24"/>
          <w:lang w:val="fr-FR"/>
        </w:rPr>
        <w:t>lorsqu’une personne voit sa situation examinée en procédure accélérée</w:t>
      </w:r>
      <w:r w:rsidR="00F90230">
        <w:rPr>
          <w:sz w:val="24"/>
          <w:szCs w:val="24"/>
          <w:lang w:val="fr-FR"/>
        </w:rPr>
        <w:t xml:space="preserve">, elle </w:t>
      </w:r>
      <w:r w:rsidR="00E679FB">
        <w:rPr>
          <w:sz w:val="24"/>
          <w:szCs w:val="24"/>
          <w:lang w:val="fr-FR"/>
        </w:rPr>
        <w:t>risque</w:t>
      </w:r>
      <w:r w:rsidR="00F90230">
        <w:rPr>
          <w:sz w:val="24"/>
          <w:szCs w:val="24"/>
          <w:lang w:val="fr-FR"/>
        </w:rPr>
        <w:t xml:space="preserve"> de ne pas recevoir d</w:t>
      </w:r>
      <w:r w:rsidR="00794ADD" w:rsidRPr="00AB3057">
        <w:rPr>
          <w:sz w:val="24"/>
          <w:szCs w:val="24"/>
          <w:lang w:val="fr-FR"/>
        </w:rPr>
        <w:t>es conditions matérielles d’accueil</w:t>
      </w:r>
      <w:r w:rsidR="00510157">
        <w:rPr>
          <w:sz w:val="24"/>
          <w:szCs w:val="24"/>
          <w:lang w:val="fr-FR"/>
        </w:rPr>
        <w:t xml:space="preserve">. </w:t>
      </w:r>
      <w:r w:rsidR="00F90230">
        <w:rPr>
          <w:sz w:val="24"/>
          <w:szCs w:val="24"/>
          <w:lang w:val="fr-FR"/>
        </w:rPr>
        <w:t>Cela signifie qu’elle</w:t>
      </w:r>
      <w:r w:rsidR="00794ADD" w:rsidRPr="00AB3057">
        <w:rPr>
          <w:sz w:val="24"/>
          <w:szCs w:val="24"/>
          <w:lang w:val="fr-FR"/>
        </w:rPr>
        <w:t xml:space="preserve"> n’a droit ni à l’hébergement, ni à l’allocation, ce qui potentiellement pourra mettre un nombre de personnes en risque de destitution et ce qui est en violation des provisions du Pacte international relatif aux droits éc</w:t>
      </w:r>
      <w:r w:rsidR="00794ADD">
        <w:rPr>
          <w:sz w:val="24"/>
          <w:szCs w:val="24"/>
          <w:lang w:val="fr-FR"/>
        </w:rPr>
        <w:t xml:space="preserve">onomiques, sociaux et culturels </w:t>
      </w:r>
      <w:r w:rsidR="00A15864">
        <w:rPr>
          <w:sz w:val="24"/>
          <w:szCs w:val="24"/>
          <w:lang w:val="fr-FR"/>
        </w:rPr>
        <w:t>(PIDESC)</w:t>
      </w:r>
      <w:r w:rsidR="00730458">
        <w:rPr>
          <w:sz w:val="24"/>
          <w:szCs w:val="24"/>
          <w:lang w:val="fr-FR"/>
        </w:rPr>
        <w:t>, ratifié par le Gouvernement de votre Excellence le 4 novembre 1980</w:t>
      </w:r>
      <w:r w:rsidR="00794ADD">
        <w:rPr>
          <w:sz w:val="24"/>
          <w:szCs w:val="24"/>
          <w:lang w:val="fr-FR"/>
        </w:rPr>
        <w:t xml:space="preserve">. </w:t>
      </w:r>
    </w:p>
    <w:p w:rsidR="00794ADD" w:rsidRDefault="00794ADD" w:rsidP="00603A96">
      <w:pPr>
        <w:ind w:left="709"/>
        <w:jc w:val="both"/>
        <w:rPr>
          <w:sz w:val="24"/>
          <w:szCs w:val="24"/>
          <w:lang w:val="fr-FR"/>
        </w:rPr>
      </w:pPr>
    </w:p>
    <w:p w:rsidR="00794ADD" w:rsidRPr="009E4493" w:rsidRDefault="00794ADD" w:rsidP="00603A96">
      <w:pPr>
        <w:ind w:left="709"/>
        <w:jc w:val="both"/>
        <w:rPr>
          <w:sz w:val="24"/>
          <w:szCs w:val="24"/>
          <w:u w:val="single"/>
          <w:lang w:val="fr-FR"/>
        </w:rPr>
      </w:pPr>
      <w:r w:rsidRPr="009E4493">
        <w:rPr>
          <w:sz w:val="24"/>
          <w:szCs w:val="24"/>
          <w:u w:val="single"/>
          <w:lang w:val="fr-FR"/>
        </w:rPr>
        <w:t>L’</w:t>
      </w:r>
      <w:r w:rsidR="00E679FB" w:rsidRPr="009E4493">
        <w:rPr>
          <w:sz w:val="24"/>
          <w:szCs w:val="24"/>
          <w:u w:val="single"/>
          <w:lang w:val="fr-FR"/>
        </w:rPr>
        <w:t>a</w:t>
      </w:r>
      <w:r w:rsidR="009B7C32" w:rsidRPr="009E4493">
        <w:rPr>
          <w:sz w:val="24"/>
          <w:szCs w:val="24"/>
          <w:u w:val="single"/>
          <w:lang w:val="fr-FR"/>
        </w:rPr>
        <w:t>rticle</w:t>
      </w:r>
      <w:r w:rsidR="00E679FB" w:rsidRPr="009E4493">
        <w:rPr>
          <w:sz w:val="24"/>
          <w:szCs w:val="24"/>
          <w:u w:val="single"/>
          <w:lang w:val="fr-FR"/>
        </w:rPr>
        <w:t xml:space="preserve"> </w:t>
      </w:r>
      <w:r w:rsidRPr="009E4493">
        <w:rPr>
          <w:sz w:val="24"/>
          <w:szCs w:val="24"/>
          <w:u w:val="single"/>
          <w:lang w:val="fr-FR"/>
        </w:rPr>
        <w:t>8</w:t>
      </w:r>
      <w:r w:rsidR="00E679FB" w:rsidRPr="009E4493">
        <w:rPr>
          <w:sz w:val="24"/>
          <w:szCs w:val="24"/>
          <w:u w:val="single"/>
          <w:lang w:val="fr-FR"/>
        </w:rPr>
        <w:t xml:space="preserve"> du projet de loi</w:t>
      </w:r>
      <w:r w:rsidRPr="009E4493">
        <w:rPr>
          <w:sz w:val="24"/>
          <w:szCs w:val="24"/>
          <w:u w:val="single"/>
          <w:lang w:val="fr-FR"/>
        </w:rPr>
        <w:t>, concernant L-743-3 CESEDA</w:t>
      </w:r>
      <w:r w:rsidR="009E4493">
        <w:rPr>
          <w:sz w:val="24"/>
          <w:szCs w:val="24"/>
          <w:u w:val="single"/>
          <w:lang w:val="fr-FR"/>
        </w:rPr>
        <w:t> ;</w:t>
      </w:r>
    </w:p>
    <w:p w:rsidR="00794ADD" w:rsidRDefault="00794ADD" w:rsidP="00603A96">
      <w:pPr>
        <w:ind w:left="709"/>
        <w:jc w:val="both"/>
        <w:rPr>
          <w:sz w:val="24"/>
          <w:szCs w:val="24"/>
          <w:lang w:val="fr-FR"/>
        </w:rPr>
      </w:pPr>
    </w:p>
    <w:p w:rsidR="00794ADD" w:rsidRDefault="00767369" w:rsidP="00603A96">
      <w:pPr>
        <w:ind w:left="709"/>
        <w:jc w:val="both"/>
        <w:rPr>
          <w:sz w:val="24"/>
          <w:szCs w:val="24"/>
          <w:lang w:val="fr-FR"/>
        </w:rPr>
      </w:pPr>
      <w:r>
        <w:rPr>
          <w:sz w:val="24"/>
          <w:szCs w:val="24"/>
          <w:lang w:val="fr-FR"/>
        </w:rPr>
        <w:t>L</w:t>
      </w:r>
      <w:r w:rsidR="00F65921">
        <w:rPr>
          <w:sz w:val="24"/>
          <w:szCs w:val="24"/>
          <w:lang w:val="fr-FR"/>
        </w:rPr>
        <w:t>’</w:t>
      </w:r>
      <w:r w:rsidR="0088597C">
        <w:rPr>
          <w:sz w:val="24"/>
          <w:szCs w:val="24"/>
          <w:lang w:val="fr-FR"/>
        </w:rPr>
        <w:t>article 8 du projet de loi</w:t>
      </w:r>
      <w:r>
        <w:rPr>
          <w:sz w:val="24"/>
          <w:szCs w:val="24"/>
          <w:lang w:val="fr-FR"/>
        </w:rPr>
        <w:t xml:space="preserve"> vise</w:t>
      </w:r>
      <w:r w:rsidR="0088597C">
        <w:rPr>
          <w:sz w:val="24"/>
          <w:szCs w:val="24"/>
          <w:lang w:val="fr-FR"/>
        </w:rPr>
        <w:t xml:space="preserve"> </w:t>
      </w:r>
      <w:r w:rsidR="00794ADD">
        <w:rPr>
          <w:sz w:val="24"/>
          <w:szCs w:val="24"/>
          <w:lang w:val="fr-FR"/>
        </w:rPr>
        <w:t>la</w:t>
      </w:r>
      <w:r w:rsidR="00794ADD" w:rsidRPr="00CA1B58">
        <w:rPr>
          <w:sz w:val="24"/>
          <w:szCs w:val="24"/>
          <w:lang w:val="fr-FR"/>
        </w:rPr>
        <w:t xml:space="preserve"> suppression du</w:t>
      </w:r>
      <w:r w:rsidR="00794ADD">
        <w:rPr>
          <w:sz w:val="24"/>
          <w:szCs w:val="24"/>
          <w:lang w:val="fr-FR"/>
        </w:rPr>
        <w:t xml:space="preserve"> </w:t>
      </w:r>
      <w:r w:rsidR="00794ADD" w:rsidRPr="00CA1B58">
        <w:rPr>
          <w:sz w:val="24"/>
          <w:szCs w:val="24"/>
          <w:lang w:val="fr-FR"/>
        </w:rPr>
        <w:t>caractère automatiquement suspensif des recours déposés par</w:t>
      </w:r>
      <w:r>
        <w:rPr>
          <w:sz w:val="24"/>
          <w:szCs w:val="24"/>
          <w:lang w:val="fr-FR"/>
        </w:rPr>
        <w:t xml:space="preserve"> certaines catégories de </w:t>
      </w:r>
      <w:r w:rsidR="00794ADD" w:rsidRPr="00CA1B58">
        <w:rPr>
          <w:sz w:val="24"/>
          <w:szCs w:val="24"/>
          <w:lang w:val="fr-FR"/>
        </w:rPr>
        <w:t xml:space="preserve">demandeurs </w:t>
      </w:r>
      <w:r w:rsidR="0088597C">
        <w:rPr>
          <w:sz w:val="24"/>
          <w:szCs w:val="24"/>
          <w:lang w:val="fr-FR"/>
        </w:rPr>
        <w:t>d’asile</w:t>
      </w:r>
      <w:r w:rsidR="00B6694B">
        <w:rPr>
          <w:sz w:val="24"/>
          <w:szCs w:val="24"/>
          <w:lang w:val="fr-FR"/>
        </w:rPr>
        <w:t xml:space="preserve">. Les individus concernés </w:t>
      </w:r>
      <w:r w:rsidR="00116187">
        <w:rPr>
          <w:sz w:val="24"/>
          <w:szCs w:val="24"/>
          <w:lang w:val="fr-FR"/>
        </w:rPr>
        <w:t>sont des</w:t>
      </w:r>
      <w:r w:rsidR="00BB0628">
        <w:rPr>
          <w:sz w:val="24"/>
          <w:szCs w:val="24"/>
          <w:lang w:val="fr-FR"/>
        </w:rPr>
        <w:t xml:space="preserve"> ressortiss</w:t>
      </w:r>
      <w:r w:rsidR="00B6694B">
        <w:rPr>
          <w:sz w:val="24"/>
          <w:szCs w:val="24"/>
          <w:lang w:val="fr-FR"/>
        </w:rPr>
        <w:t>ants</w:t>
      </w:r>
      <w:r w:rsidR="00BB0628">
        <w:rPr>
          <w:sz w:val="24"/>
          <w:szCs w:val="24"/>
          <w:lang w:val="fr-FR"/>
        </w:rPr>
        <w:t xml:space="preserve"> </w:t>
      </w:r>
      <w:r w:rsidR="0088597C">
        <w:rPr>
          <w:sz w:val="24"/>
          <w:szCs w:val="24"/>
          <w:lang w:val="fr-FR"/>
        </w:rPr>
        <w:t>d’un</w:t>
      </w:r>
      <w:r w:rsidR="00794ADD" w:rsidRPr="00CA1B58">
        <w:rPr>
          <w:sz w:val="24"/>
          <w:szCs w:val="24"/>
          <w:lang w:val="fr-FR"/>
        </w:rPr>
        <w:t xml:space="preserve"> « pays</w:t>
      </w:r>
      <w:r w:rsidR="00794ADD">
        <w:rPr>
          <w:sz w:val="24"/>
          <w:szCs w:val="24"/>
          <w:lang w:val="fr-FR"/>
        </w:rPr>
        <w:t xml:space="preserve"> </w:t>
      </w:r>
      <w:r w:rsidR="00794ADD" w:rsidRPr="00CA1B58">
        <w:rPr>
          <w:sz w:val="24"/>
          <w:szCs w:val="24"/>
          <w:lang w:val="fr-FR"/>
        </w:rPr>
        <w:t xml:space="preserve">d’origine sûrs », </w:t>
      </w:r>
      <w:r w:rsidR="00754215">
        <w:rPr>
          <w:sz w:val="24"/>
          <w:szCs w:val="24"/>
          <w:lang w:val="fr-FR"/>
        </w:rPr>
        <w:t xml:space="preserve">des individus </w:t>
      </w:r>
      <w:r w:rsidR="00794ADD" w:rsidRPr="00CA1B58">
        <w:rPr>
          <w:sz w:val="24"/>
          <w:szCs w:val="24"/>
          <w:lang w:val="fr-FR"/>
        </w:rPr>
        <w:t>dont la demande de réexamen aura été rejetée</w:t>
      </w:r>
      <w:r w:rsidR="00794ADD">
        <w:rPr>
          <w:sz w:val="24"/>
          <w:szCs w:val="24"/>
          <w:lang w:val="fr-FR"/>
        </w:rPr>
        <w:t>,</w:t>
      </w:r>
      <w:r w:rsidR="00794ADD" w:rsidRPr="00CA1B58">
        <w:rPr>
          <w:sz w:val="24"/>
          <w:szCs w:val="24"/>
          <w:lang w:val="fr-FR"/>
        </w:rPr>
        <w:t xml:space="preserve"> et </w:t>
      </w:r>
      <w:r w:rsidR="00754215">
        <w:rPr>
          <w:sz w:val="24"/>
          <w:szCs w:val="24"/>
          <w:lang w:val="fr-FR"/>
        </w:rPr>
        <w:t>des individus</w:t>
      </w:r>
      <w:r w:rsidR="00794ADD" w:rsidRPr="00CA1B58">
        <w:rPr>
          <w:sz w:val="24"/>
          <w:szCs w:val="24"/>
          <w:lang w:val="fr-FR"/>
        </w:rPr>
        <w:t xml:space="preserve"> présentant une</w:t>
      </w:r>
      <w:r w:rsidR="00794ADD">
        <w:rPr>
          <w:sz w:val="24"/>
          <w:szCs w:val="24"/>
          <w:lang w:val="fr-FR"/>
        </w:rPr>
        <w:t xml:space="preserve"> </w:t>
      </w:r>
      <w:r w:rsidR="00794ADD" w:rsidRPr="00CA1B58">
        <w:rPr>
          <w:sz w:val="24"/>
          <w:szCs w:val="24"/>
          <w:lang w:val="fr-FR"/>
        </w:rPr>
        <w:t>me</w:t>
      </w:r>
      <w:r w:rsidR="00794ADD">
        <w:rPr>
          <w:sz w:val="24"/>
          <w:szCs w:val="24"/>
          <w:lang w:val="fr-FR"/>
        </w:rPr>
        <w:t>nace grave pour l’ordre public</w:t>
      </w:r>
      <w:r w:rsidR="00E679FB">
        <w:rPr>
          <w:sz w:val="24"/>
          <w:szCs w:val="24"/>
          <w:lang w:val="fr-FR"/>
        </w:rPr>
        <w:t>.</w:t>
      </w:r>
      <w:r w:rsidR="00794ADD">
        <w:rPr>
          <w:sz w:val="24"/>
          <w:szCs w:val="24"/>
          <w:lang w:val="fr-FR"/>
        </w:rPr>
        <w:t xml:space="preserve"> </w:t>
      </w:r>
      <w:r w:rsidR="00754215">
        <w:rPr>
          <w:sz w:val="24"/>
          <w:szCs w:val="24"/>
          <w:lang w:val="fr-FR"/>
        </w:rPr>
        <w:t>Par</w:t>
      </w:r>
      <w:r w:rsidR="00E679FB">
        <w:rPr>
          <w:sz w:val="24"/>
          <w:szCs w:val="24"/>
          <w:lang w:val="fr-FR"/>
        </w:rPr>
        <w:t xml:space="preserve"> cette suppression</w:t>
      </w:r>
      <w:r w:rsidR="00326E38">
        <w:rPr>
          <w:sz w:val="24"/>
          <w:szCs w:val="24"/>
          <w:lang w:val="fr-FR"/>
        </w:rPr>
        <w:t xml:space="preserve">, </w:t>
      </w:r>
      <w:r w:rsidR="00476141">
        <w:rPr>
          <w:sz w:val="24"/>
          <w:szCs w:val="24"/>
          <w:lang w:val="fr-FR"/>
        </w:rPr>
        <w:t xml:space="preserve">ainsi </w:t>
      </w:r>
      <w:r w:rsidR="00BB0628">
        <w:rPr>
          <w:sz w:val="24"/>
          <w:szCs w:val="24"/>
          <w:lang w:val="fr-FR"/>
        </w:rPr>
        <w:t>prévoyant</w:t>
      </w:r>
      <w:r w:rsidR="00326E38">
        <w:rPr>
          <w:sz w:val="24"/>
          <w:szCs w:val="24"/>
          <w:lang w:val="fr-FR"/>
        </w:rPr>
        <w:t xml:space="preserve"> la possibilité de</w:t>
      </w:r>
      <w:r w:rsidR="00BB0628">
        <w:rPr>
          <w:sz w:val="24"/>
          <w:szCs w:val="24"/>
          <w:lang w:val="fr-FR"/>
        </w:rPr>
        <w:t xml:space="preserve"> renvoi de </w:t>
      </w:r>
      <w:r w:rsidR="00476141">
        <w:rPr>
          <w:sz w:val="24"/>
          <w:szCs w:val="24"/>
          <w:lang w:val="fr-FR"/>
        </w:rPr>
        <w:t xml:space="preserve">certaines catégories de </w:t>
      </w:r>
      <w:r w:rsidR="00BB0628">
        <w:rPr>
          <w:sz w:val="24"/>
          <w:szCs w:val="24"/>
          <w:lang w:val="fr-FR"/>
        </w:rPr>
        <w:t>demandeurs d’asile qui se retro</w:t>
      </w:r>
      <w:r w:rsidR="00476141">
        <w:rPr>
          <w:sz w:val="24"/>
          <w:szCs w:val="24"/>
          <w:lang w:val="fr-FR"/>
        </w:rPr>
        <w:t xml:space="preserve">uvent </w:t>
      </w:r>
      <w:r w:rsidR="00754215">
        <w:rPr>
          <w:sz w:val="24"/>
          <w:szCs w:val="24"/>
          <w:lang w:val="fr-FR"/>
        </w:rPr>
        <w:t>en</w:t>
      </w:r>
      <w:r w:rsidR="00BB0628">
        <w:rPr>
          <w:sz w:val="24"/>
          <w:szCs w:val="24"/>
          <w:lang w:val="fr-FR"/>
        </w:rPr>
        <w:t xml:space="preserve"> procédure de recours,</w:t>
      </w:r>
      <w:r w:rsidR="00E679FB">
        <w:rPr>
          <w:sz w:val="24"/>
          <w:szCs w:val="24"/>
          <w:lang w:val="fr-FR"/>
        </w:rPr>
        <w:t xml:space="preserve"> </w:t>
      </w:r>
      <w:r w:rsidR="00794ADD">
        <w:rPr>
          <w:sz w:val="24"/>
          <w:szCs w:val="24"/>
          <w:lang w:val="fr-FR"/>
        </w:rPr>
        <w:t xml:space="preserve">le Gouvernement de votre Excellence risque de violer le principe de non-refoulement. </w:t>
      </w:r>
      <w:r w:rsidR="00754215">
        <w:rPr>
          <w:sz w:val="24"/>
          <w:szCs w:val="24"/>
          <w:lang w:val="fr-FR"/>
        </w:rPr>
        <w:t xml:space="preserve">Dans </w:t>
      </w:r>
      <w:r w:rsidR="00794ADD">
        <w:rPr>
          <w:sz w:val="24"/>
          <w:szCs w:val="24"/>
          <w:lang w:val="fr-FR"/>
        </w:rPr>
        <w:t>ce contexte, nous aimerions attirer l’attention</w:t>
      </w:r>
      <w:r w:rsidR="00794ADD" w:rsidRPr="006C11A3">
        <w:rPr>
          <w:sz w:val="24"/>
          <w:szCs w:val="24"/>
          <w:lang w:val="fr-FR"/>
        </w:rPr>
        <w:t xml:space="preserve"> du Gouvernement de votre Excellence </w:t>
      </w:r>
      <w:r w:rsidR="00794ADD">
        <w:rPr>
          <w:sz w:val="24"/>
          <w:szCs w:val="24"/>
          <w:lang w:val="fr-FR"/>
        </w:rPr>
        <w:t xml:space="preserve">sur le fait que </w:t>
      </w:r>
      <w:r w:rsidR="00794ADD" w:rsidRPr="00E963A4">
        <w:rPr>
          <w:sz w:val="24"/>
          <w:szCs w:val="24"/>
          <w:lang w:val="fr-FR"/>
        </w:rPr>
        <w:t>ce principe, tel qu’envisagé dans la Convention contre la torture et autres peines ou traitements cruels, inhumains ou dégradants</w:t>
      </w:r>
      <w:r w:rsidR="00FC5A07">
        <w:rPr>
          <w:sz w:val="24"/>
          <w:szCs w:val="24"/>
          <w:lang w:val="fr-FR"/>
        </w:rPr>
        <w:t>, ratifiée par le Gouvernement de votre Excellence le 18 février 1986</w:t>
      </w:r>
      <w:r w:rsidR="00E679FB">
        <w:rPr>
          <w:sz w:val="24"/>
          <w:szCs w:val="24"/>
          <w:lang w:val="fr-FR"/>
        </w:rPr>
        <w:t>,</w:t>
      </w:r>
      <w:r w:rsidR="00794ADD" w:rsidRPr="00E963A4">
        <w:rPr>
          <w:sz w:val="24"/>
          <w:szCs w:val="24"/>
          <w:lang w:val="fr-FR"/>
        </w:rPr>
        <w:t xml:space="preserve"> est absolu et n’admet aucune exception</w:t>
      </w:r>
      <w:r w:rsidR="00990475">
        <w:rPr>
          <w:sz w:val="24"/>
          <w:szCs w:val="24"/>
          <w:lang w:val="fr-FR"/>
        </w:rPr>
        <w:t>. Cette prescription est plus absolue que</w:t>
      </w:r>
      <w:r w:rsidR="00794ADD" w:rsidRPr="00E963A4">
        <w:rPr>
          <w:sz w:val="24"/>
          <w:szCs w:val="24"/>
          <w:lang w:val="fr-FR"/>
        </w:rPr>
        <w:t xml:space="preserve"> dans le droit des réfugiés</w:t>
      </w:r>
      <w:r w:rsidR="00990475">
        <w:rPr>
          <w:sz w:val="24"/>
          <w:szCs w:val="24"/>
          <w:lang w:val="fr-FR"/>
        </w:rPr>
        <w:t>:</w:t>
      </w:r>
      <w:r w:rsidR="00794ADD" w:rsidRPr="00E963A4">
        <w:rPr>
          <w:sz w:val="24"/>
          <w:szCs w:val="24"/>
          <w:lang w:val="fr-FR"/>
        </w:rPr>
        <w:t xml:space="preserve"> cela signifie que nul ne peut être renvoyé, même s’il ne peut prétendre au statut de réfugié prévu par la Convention relative au statut des réfugiés ou par la loi nationale et ce, même lorsque la sécurité nationale est en jeu. En conséquence, le principe de non-refoulement au titre de la Convention contre la torture doit être apprécié indépendamment de la détermination du statut de réfugié ou de bénéficiaire du droit d’asile, de façon à garantir le respect du droit fondamental de ne pas être soumis à la torture ou à d’autres formes de mauvais traitements, même dans les cas où la protection contre le refoulement en vertu du droit des réfugiés ne peut être appliquée.</w:t>
      </w:r>
    </w:p>
    <w:p w:rsidR="00794ADD" w:rsidRDefault="00794ADD" w:rsidP="00603A96">
      <w:pPr>
        <w:ind w:left="709"/>
        <w:jc w:val="both"/>
        <w:rPr>
          <w:i/>
          <w:sz w:val="24"/>
          <w:szCs w:val="24"/>
          <w:lang w:val="fr-FR"/>
        </w:rPr>
      </w:pPr>
    </w:p>
    <w:p w:rsidR="00794ADD" w:rsidRPr="009E4493" w:rsidRDefault="00794ADD" w:rsidP="00603A96">
      <w:pPr>
        <w:ind w:left="709"/>
        <w:jc w:val="both"/>
        <w:rPr>
          <w:sz w:val="24"/>
          <w:szCs w:val="24"/>
          <w:u w:val="single"/>
          <w:lang w:val="fr-FR"/>
        </w:rPr>
      </w:pPr>
      <w:r w:rsidRPr="009E4493">
        <w:rPr>
          <w:sz w:val="24"/>
          <w:szCs w:val="24"/>
          <w:u w:val="single"/>
          <w:lang w:val="fr-FR"/>
        </w:rPr>
        <w:t>L’</w:t>
      </w:r>
      <w:r w:rsidR="009B7C32" w:rsidRPr="009E4493">
        <w:rPr>
          <w:sz w:val="24"/>
          <w:szCs w:val="24"/>
          <w:u w:val="single"/>
          <w:lang w:val="fr-FR"/>
        </w:rPr>
        <w:t>Article</w:t>
      </w:r>
      <w:r w:rsidR="00990475" w:rsidRPr="009E4493">
        <w:rPr>
          <w:sz w:val="24"/>
          <w:szCs w:val="24"/>
          <w:u w:val="single"/>
          <w:lang w:val="fr-FR"/>
        </w:rPr>
        <w:t xml:space="preserve"> </w:t>
      </w:r>
      <w:r w:rsidRPr="009E4493">
        <w:rPr>
          <w:sz w:val="24"/>
          <w:szCs w:val="24"/>
          <w:u w:val="single"/>
          <w:lang w:val="fr-FR"/>
        </w:rPr>
        <w:t>9 1°, 2°, 4°, 5° et 6</w:t>
      </w:r>
      <w:r w:rsidR="00AB601C" w:rsidRPr="009E4493">
        <w:rPr>
          <w:sz w:val="24"/>
          <w:szCs w:val="24"/>
          <w:u w:val="single"/>
          <w:lang w:val="fr-FR"/>
        </w:rPr>
        <w:t xml:space="preserve">° </w:t>
      </w:r>
      <w:r w:rsidR="00476141">
        <w:rPr>
          <w:sz w:val="24"/>
          <w:szCs w:val="24"/>
          <w:u w:val="single"/>
          <w:lang w:val="fr-FR"/>
        </w:rPr>
        <w:t xml:space="preserve">et l’article 8 </w:t>
      </w:r>
      <w:r w:rsidR="00AB601C" w:rsidRPr="009E4493">
        <w:rPr>
          <w:sz w:val="24"/>
          <w:szCs w:val="24"/>
          <w:u w:val="single"/>
          <w:lang w:val="fr-FR"/>
        </w:rPr>
        <w:t>du projet de loi</w:t>
      </w:r>
      <w:r w:rsidRPr="009E4493">
        <w:rPr>
          <w:sz w:val="24"/>
          <w:szCs w:val="24"/>
          <w:u w:val="single"/>
          <w:lang w:val="fr-FR"/>
        </w:rPr>
        <w:t>, concernant une modification de l’article L. 744-6, L.744-7 et L.744-8 du CESEDA</w:t>
      </w:r>
      <w:r w:rsidR="009E4493">
        <w:rPr>
          <w:sz w:val="24"/>
          <w:szCs w:val="24"/>
          <w:u w:val="single"/>
          <w:lang w:val="fr-FR"/>
        </w:rPr>
        <w:t xml:space="preserve"> ; </w:t>
      </w:r>
    </w:p>
    <w:p w:rsidR="00794ADD" w:rsidRDefault="00794ADD" w:rsidP="00603A96">
      <w:pPr>
        <w:ind w:left="709"/>
        <w:jc w:val="both"/>
        <w:rPr>
          <w:sz w:val="24"/>
          <w:szCs w:val="24"/>
          <w:lang w:val="fr-FR"/>
        </w:rPr>
      </w:pPr>
    </w:p>
    <w:p w:rsidR="00794ADD" w:rsidRDefault="00794ADD" w:rsidP="00603A96">
      <w:pPr>
        <w:ind w:left="709"/>
        <w:jc w:val="both"/>
        <w:rPr>
          <w:sz w:val="24"/>
          <w:szCs w:val="24"/>
          <w:lang w:val="fr-FR"/>
        </w:rPr>
      </w:pPr>
      <w:r>
        <w:rPr>
          <w:sz w:val="24"/>
          <w:szCs w:val="24"/>
          <w:lang w:val="fr-FR"/>
        </w:rPr>
        <w:t>En ce qui concerne</w:t>
      </w:r>
      <w:r w:rsidR="00510157">
        <w:rPr>
          <w:sz w:val="24"/>
          <w:szCs w:val="24"/>
          <w:lang w:val="fr-FR"/>
        </w:rPr>
        <w:t xml:space="preserve"> l’</w:t>
      </w:r>
      <w:r w:rsidR="00476141">
        <w:rPr>
          <w:sz w:val="24"/>
          <w:szCs w:val="24"/>
          <w:lang w:val="fr-FR"/>
        </w:rPr>
        <w:t>article 9</w:t>
      </w:r>
      <w:r w:rsidR="007B0DA9">
        <w:rPr>
          <w:sz w:val="24"/>
          <w:szCs w:val="24"/>
          <w:lang w:val="fr-FR"/>
        </w:rPr>
        <w:t xml:space="preserve">, 1°, 4° </w:t>
      </w:r>
      <w:r w:rsidR="00476141">
        <w:rPr>
          <w:sz w:val="24"/>
          <w:szCs w:val="24"/>
          <w:lang w:val="fr-FR"/>
        </w:rPr>
        <w:t xml:space="preserve">et 5° </w:t>
      </w:r>
      <w:r w:rsidR="00510157">
        <w:rPr>
          <w:sz w:val="24"/>
          <w:szCs w:val="24"/>
          <w:lang w:val="fr-FR"/>
        </w:rPr>
        <w:t xml:space="preserve">du projet de loi </w:t>
      </w:r>
      <w:r w:rsidR="00476141">
        <w:rPr>
          <w:sz w:val="24"/>
          <w:szCs w:val="24"/>
          <w:lang w:val="fr-FR"/>
        </w:rPr>
        <w:t xml:space="preserve">qui prévoit </w:t>
      </w:r>
      <w:r>
        <w:rPr>
          <w:sz w:val="24"/>
          <w:szCs w:val="24"/>
          <w:lang w:val="fr-FR"/>
        </w:rPr>
        <w:t>la répartition de demandeurs d’asile sur l’ensemble du territoire, nous aimerions attirer l’attention du Gouvernement de votre Excellence sur le</w:t>
      </w:r>
      <w:r w:rsidRPr="00385805">
        <w:rPr>
          <w:sz w:val="24"/>
          <w:szCs w:val="24"/>
          <w:lang w:val="fr-FR"/>
        </w:rPr>
        <w:t xml:space="preserve"> principe de </w:t>
      </w:r>
      <w:r>
        <w:rPr>
          <w:sz w:val="24"/>
          <w:szCs w:val="24"/>
          <w:lang w:val="fr-FR"/>
        </w:rPr>
        <w:t xml:space="preserve">l’intérêt supérieur de l’enfant, ainsi que </w:t>
      </w:r>
      <w:r w:rsidR="000E49D9">
        <w:rPr>
          <w:sz w:val="24"/>
          <w:szCs w:val="24"/>
          <w:lang w:val="fr-FR"/>
        </w:rPr>
        <w:t>sur celui de l’unité</w:t>
      </w:r>
      <w:r>
        <w:rPr>
          <w:sz w:val="24"/>
          <w:szCs w:val="24"/>
          <w:lang w:val="fr-FR"/>
        </w:rPr>
        <w:t xml:space="preserve"> de la famille et la nécessité d’examiner la situation individuelle de chaque migrant et les besoins de protection respectif, plus particulièrement des migrants en situation de vulnérabilité.</w:t>
      </w:r>
      <w:r w:rsidR="00FF0E23">
        <w:rPr>
          <w:sz w:val="24"/>
          <w:szCs w:val="24"/>
          <w:lang w:val="fr-FR"/>
        </w:rPr>
        <w:t xml:space="preserve"> </w:t>
      </w:r>
      <w:r w:rsidR="00476141">
        <w:rPr>
          <w:sz w:val="24"/>
          <w:szCs w:val="24"/>
          <w:lang w:val="fr-FR"/>
        </w:rPr>
        <w:t>N</w:t>
      </w:r>
      <w:r>
        <w:rPr>
          <w:sz w:val="24"/>
          <w:szCs w:val="24"/>
          <w:lang w:val="fr-FR"/>
        </w:rPr>
        <w:t>ous souhaiterions</w:t>
      </w:r>
      <w:r w:rsidRPr="009B3575">
        <w:rPr>
          <w:sz w:val="24"/>
          <w:szCs w:val="24"/>
          <w:lang w:val="fr-FR"/>
        </w:rPr>
        <w:t xml:space="preserve"> </w:t>
      </w:r>
      <w:r w:rsidR="00FF0E23">
        <w:rPr>
          <w:sz w:val="24"/>
          <w:szCs w:val="24"/>
          <w:lang w:val="fr-FR"/>
        </w:rPr>
        <w:t xml:space="preserve">également </w:t>
      </w:r>
      <w:r w:rsidRPr="009B3575">
        <w:rPr>
          <w:sz w:val="24"/>
          <w:szCs w:val="24"/>
          <w:lang w:val="fr-FR"/>
        </w:rPr>
        <w:t>attirer l’attention de votre Gouvernement sur le P</w:t>
      </w:r>
      <w:r w:rsidR="008044AF">
        <w:rPr>
          <w:sz w:val="24"/>
          <w:szCs w:val="24"/>
          <w:lang w:val="fr-FR"/>
        </w:rPr>
        <w:t>IDCP</w:t>
      </w:r>
      <w:r w:rsidRPr="009B3575">
        <w:rPr>
          <w:sz w:val="24"/>
          <w:szCs w:val="24"/>
          <w:lang w:val="fr-FR"/>
        </w:rPr>
        <w:t xml:space="preserve"> dont l’article 12</w:t>
      </w:r>
      <w:r w:rsidR="00767369">
        <w:rPr>
          <w:sz w:val="24"/>
          <w:szCs w:val="24"/>
          <w:lang w:val="fr-FR"/>
        </w:rPr>
        <w:t xml:space="preserve">.1 </w:t>
      </w:r>
      <w:r w:rsidRPr="009B3575">
        <w:rPr>
          <w:sz w:val="24"/>
          <w:szCs w:val="24"/>
          <w:lang w:val="fr-FR"/>
        </w:rPr>
        <w:t xml:space="preserve">prévoit </w:t>
      </w:r>
      <w:r w:rsidR="00767369">
        <w:rPr>
          <w:sz w:val="24"/>
          <w:szCs w:val="24"/>
          <w:lang w:val="fr-FR"/>
        </w:rPr>
        <w:t>que q</w:t>
      </w:r>
      <w:r w:rsidRPr="009B3575">
        <w:rPr>
          <w:sz w:val="24"/>
          <w:szCs w:val="24"/>
          <w:lang w:val="fr-FR"/>
        </w:rPr>
        <w:t>uiconque se trouve légalement sur le territoire d'un Etat a le droit d'y circuler librement et d'y c</w:t>
      </w:r>
      <w:r w:rsidR="00767369">
        <w:rPr>
          <w:sz w:val="24"/>
          <w:szCs w:val="24"/>
          <w:lang w:val="fr-FR"/>
        </w:rPr>
        <w:t>hoisir librement sa résidence.</w:t>
      </w:r>
    </w:p>
    <w:p w:rsidR="00794ADD" w:rsidRPr="00DA7074" w:rsidRDefault="00794ADD" w:rsidP="00603A96">
      <w:pPr>
        <w:ind w:left="709"/>
        <w:jc w:val="both"/>
        <w:rPr>
          <w:sz w:val="24"/>
          <w:szCs w:val="24"/>
          <w:lang w:val="fr-FR"/>
        </w:rPr>
      </w:pPr>
    </w:p>
    <w:p w:rsidR="00794ADD" w:rsidRDefault="00767369" w:rsidP="00603A96">
      <w:pPr>
        <w:ind w:left="709"/>
        <w:jc w:val="both"/>
        <w:rPr>
          <w:sz w:val="24"/>
          <w:szCs w:val="24"/>
          <w:lang w:val="fr-FR"/>
        </w:rPr>
      </w:pPr>
      <w:r>
        <w:rPr>
          <w:sz w:val="24"/>
          <w:szCs w:val="24"/>
          <w:lang w:val="fr-FR"/>
        </w:rPr>
        <w:t>Les a</w:t>
      </w:r>
      <w:r w:rsidR="00476141">
        <w:rPr>
          <w:sz w:val="24"/>
          <w:szCs w:val="24"/>
          <w:lang w:val="fr-FR"/>
        </w:rPr>
        <w:t>rticle</w:t>
      </w:r>
      <w:r w:rsidR="00DB2B78">
        <w:rPr>
          <w:sz w:val="24"/>
          <w:szCs w:val="24"/>
          <w:lang w:val="fr-FR"/>
        </w:rPr>
        <w:t>s</w:t>
      </w:r>
      <w:r w:rsidR="00476141">
        <w:rPr>
          <w:sz w:val="24"/>
          <w:szCs w:val="24"/>
          <w:lang w:val="fr-FR"/>
        </w:rPr>
        <w:t xml:space="preserve"> 9</w:t>
      </w:r>
      <w:r w:rsidR="00754215">
        <w:rPr>
          <w:sz w:val="24"/>
          <w:szCs w:val="24"/>
          <w:lang w:val="fr-FR"/>
        </w:rPr>
        <w:t>,</w:t>
      </w:r>
      <w:r w:rsidR="00476141">
        <w:rPr>
          <w:sz w:val="24"/>
          <w:szCs w:val="24"/>
          <w:lang w:val="fr-FR"/>
        </w:rPr>
        <w:t xml:space="preserve"> 2° et 6°</w:t>
      </w:r>
      <w:r w:rsidR="00754215">
        <w:rPr>
          <w:sz w:val="24"/>
          <w:szCs w:val="24"/>
          <w:lang w:val="fr-FR"/>
        </w:rPr>
        <w:t>,</w:t>
      </w:r>
      <w:r w:rsidR="00476141">
        <w:rPr>
          <w:sz w:val="24"/>
          <w:szCs w:val="24"/>
          <w:lang w:val="fr-FR"/>
        </w:rPr>
        <w:t xml:space="preserve"> </w:t>
      </w:r>
      <w:r w:rsidR="00754215">
        <w:rPr>
          <w:sz w:val="24"/>
          <w:szCs w:val="24"/>
          <w:lang w:val="fr-FR"/>
        </w:rPr>
        <w:t xml:space="preserve">combiné </w:t>
      </w:r>
      <w:r w:rsidR="00476141">
        <w:rPr>
          <w:sz w:val="24"/>
          <w:szCs w:val="24"/>
          <w:lang w:val="fr-FR"/>
        </w:rPr>
        <w:t>avec les dispositions de l’article 8 prévoi</w:t>
      </w:r>
      <w:r>
        <w:rPr>
          <w:sz w:val="24"/>
          <w:szCs w:val="24"/>
          <w:lang w:val="fr-FR"/>
        </w:rPr>
        <w:t>en</w:t>
      </w:r>
      <w:r w:rsidR="00476141">
        <w:rPr>
          <w:sz w:val="24"/>
          <w:szCs w:val="24"/>
          <w:lang w:val="fr-FR"/>
        </w:rPr>
        <w:t xml:space="preserve">t </w:t>
      </w:r>
      <w:r w:rsidR="00754215">
        <w:rPr>
          <w:sz w:val="24"/>
          <w:szCs w:val="24"/>
          <w:lang w:val="fr-FR"/>
        </w:rPr>
        <w:t xml:space="preserve">l’accès aux </w:t>
      </w:r>
      <w:r w:rsidR="00794ADD">
        <w:rPr>
          <w:sz w:val="24"/>
          <w:szCs w:val="24"/>
          <w:lang w:val="fr-FR"/>
        </w:rPr>
        <w:t xml:space="preserve">conditions matérielles d’accueil seulement sous certaines conditions et </w:t>
      </w:r>
      <w:r w:rsidR="008C01CA">
        <w:rPr>
          <w:sz w:val="24"/>
          <w:szCs w:val="24"/>
          <w:lang w:val="fr-FR"/>
        </w:rPr>
        <w:t>uniquement</w:t>
      </w:r>
      <w:r w:rsidR="00794ADD">
        <w:rPr>
          <w:sz w:val="24"/>
          <w:szCs w:val="24"/>
          <w:lang w:val="fr-FR"/>
        </w:rPr>
        <w:t xml:space="preserve"> </w:t>
      </w:r>
      <w:r w:rsidR="008C01CA">
        <w:rPr>
          <w:sz w:val="24"/>
          <w:szCs w:val="24"/>
          <w:lang w:val="fr-FR"/>
        </w:rPr>
        <w:t xml:space="preserve">à </w:t>
      </w:r>
      <w:r w:rsidR="00794ADD">
        <w:rPr>
          <w:sz w:val="24"/>
          <w:szCs w:val="24"/>
          <w:lang w:val="fr-FR"/>
        </w:rPr>
        <w:t xml:space="preserve">des migrants en situation régulière. </w:t>
      </w:r>
      <w:r w:rsidR="005D34ED">
        <w:rPr>
          <w:sz w:val="24"/>
          <w:szCs w:val="24"/>
          <w:lang w:val="fr-FR"/>
        </w:rPr>
        <w:t>L</w:t>
      </w:r>
      <w:r w:rsidR="00794ADD">
        <w:rPr>
          <w:sz w:val="24"/>
          <w:szCs w:val="24"/>
          <w:lang w:val="fr-FR"/>
        </w:rPr>
        <w:t xml:space="preserve">es dispositions </w:t>
      </w:r>
      <w:r w:rsidR="00754215">
        <w:rPr>
          <w:sz w:val="24"/>
          <w:szCs w:val="24"/>
          <w:lang w:val="fr-FR"/>
        </w:rPr>
        <w:t xml:space="preserve">de </w:t>
      </w:r>
      <w:r w:rsidR="00476141">
        <w:rPr>
          <w:sz w:val="24"/>
          <w:szCs w:val="24"/>
          <w:lang w:val="fr-FR"/>
        </w:rPr>
        <w:t>l’article 9, 3° du</w:t>
      </w:r>
      <w:r w:rsidR="00794ADD">
        <w:rPr>
          <w:sz w:val="24"/>
          <w:szCs w:val="24"/>
          <w:lang w:val="fr-FR"/>
        </w:rPr>
        <w:t xml:space="preserve"> le projet de lois prévoient un échange </w:t>
      </w:r>
      <w:r w:rsidR="00794ADD" w:rsidRPr="00CF67B7">
        <w:rPr>
          <w:sz w:val="24"/>
          <w:szCs w:val="24"/>
          <w:lang w:val="fr-FR"/>
        </w:rPr>
        <w:t>d’informations entre l’Office français de l’immigration et de l’intégration (OFII) et le service intégré d’accueil et d’orientation</w:t>
      </w:r>
      <w:r w:rsidR="00794ADD">
        <w:rPr>
          <w:sz w:val="24"/>
          <w:szCs w:val="24"/>
          <w:lang w:val="fr-FR"/>
        </w:rPr>
        <w:t>. L</w:t>
      </w:r>
      <w:r w:rsidR="00794ADD" w:rsidRPr="00CF67B7">
        <w:rPr>
          <w:sz w:val="24"/>
          <w:szCs w:val="24"/>
          <w:lang w:val="fr-FR"/>
        </w:rPr>
        <w:t>’accès aux services publics tels que les soins de santé, l’éducation, la police locale,</w:t>
      </w:r>
      <w:r w:rsidR="00794ADD">
        <w:rPr>
          <w:sz w:val="24"/>
          <w:szCs w:val="24"/>
          <w:lang w:val="fr-FR"/>
        </w:rPr>
        <w:t xml:space="preserve"> </w:t>
      </w:r>
      <w:r w:rsidR="00794ADD" w:rsidRPr="00CF67B7">
        <w:rPr>
          <w:sz w:val="24"/>
          <w:szCs w:val="24"/>
          <w:lang w:val="fr-FR"/>
        </w:rPr>
        <w:t>les services sociaux, les logements publics, l’inspection du travai</w:t>
      </w:r>
      <w:r w:rsidR="00794ADD">
        <w:rPr>
          <w:sz w:val="24"/>
          <w:szCs w:val="24"/>
          <w:lang w:val="fr-FR"/>
        </w:rPr>
        <w:t xml:space="preserve">l et l’inspection de la santé et </w:t>
      </w:r>
      <w:r w:rsidR="00794ADD" w:rsidRPr="00CF67B7">
        <w:rPr>
          <w:sz w:val="24"/>
          <w:szCs w:val="24"/>
          <w:lang w:val="fr-FR"/>
        </w:rPr>
        <w:t>de la sécurité est essentiel pour s’assurer que ces services sont en mesure de s’acquitter de leur</w:t>
      </w:r>
      <w:r w:rsidR="00794ADD">
        <w:rPr>
          <w:sz w:val="24"/>
          <w:szCs w:val="24"/>
          <w:lang w:val="fr-FR"/>
        </w:rPr>
        <w:t xml:space="preserve"> </w:t>
      </w:r>
      <w:r w:rsidR="00794ADD" w:rsidRPr="00CF67B7">
        <w:rPr>
          <w:sz w:val="24"/>
          <w:szCs w:val="24"/>
          <w:lang w:val="fr-FR"/>
        </w:rPr>
        <w:t xml:space="preserve">mission </w:t>
      </w:r>
      <w:r w:rsidR="00794ADD">
        <w:rPr>
          <w:sz w:val="24"/>
          <w:szCs w:val="24"/>
          <w:lang w:val="fr-FR"/>
        </w:rPr>
        <w:t xml:space="preserve">y compris </w:t>
      </w:r>
      <w:r w:rsidR="00754215">
        <w:rPr>
          <w:sz w:val="24"/>
          <w:szCs w:val="24"/>
          <w:lang w:val="fr-FR"/>
        </w:rPr>
        <w:t xml:space="preserve">auprès </w:t>
      </w:r>
      <w:r w:rsidR="00794ADD">
        <w:rPr>
          <w:sz w:val="24"/>
          <w:szCs w:val="24"/>
          <w:lang w:val="fr-FR"/>
        </w:rPr>
        <w:t xml:space="preserve">des migrants. Afin que les migrants soient en mesure de jouir de tous leurs droits humains, il est nécessaire que </w:t>
      </w:r>
      <w:r w:rsidR="00794ADD" w:rsidRPr="00CF67B7">
        <w:rPr>
          <w:sz w:val="24"/>
          <w:szCs w:val="24"/>
          <w:lang w:val="fr-FR"/>
        </w:rPr>
        <w:t xml:space="preserve">les services publics </w:t>
      </w:r>
      <w:r w:rsidR="00794ADD">
        <w:rPr>
          <w:sz w:val="24"/>
          <w:szCs w:val="24"/>
          <w:lang w:val="fr-FR"/>
        </w:rPr>
        <w:t xml:space="preserve">ne soient pas tenus d’échanger des données personnelles avec </w:t>
      </w:r>
      <w:r w:rsidR="00794ADD" w:rsidRPr="00CF67B7">
        <w:rPr>
          <w:sz w:val="24"/>
          <w:szCs w:val="24"/>
          <w:lang w:val="fr-FR"/>
        </w:rPr>
        <w:t>le contrôle de l’immigration</w:t>
      </w:r>
      <w:r w:rsidR="00794ADD">
        <w:rPr>
          <w:sz w:val="24"/>
          <w:szCs w:val="24"/>
          <w:lang w:val="fr-FR"/>
        </w:rPr>
        <w:t>.  Dans ce contexte, n</w:t>
      </w:r>
      <w:r w:rsidR="00794ADD" w:rsidRPr="00913AB7">
        <w:rPr>
          <w:sz w:val="24"/>
          <w:szCs w:val="24"/>
          <w:lang w:val="fr-FR"/>
        </w:rPr>
        <w:t>ous souhaiterions attirer</w:t>
      </w:r>
      <w:r w:rsidR="009E4493">
        <w:rPr>
          <w:sz w:val="24"/>
          <w:szCs w:val="24"/>
          <w:lang w:val="fr-FR"/>
        </w:rPr>
        <w:t xml:space="preserve"> à nouveau</w:t>
      </w:r>
      <w:r w:rsidR="00794ADD" w:rsidRPr="00913AB7">
        <w:rPr>
          <w:sz w:val="24"/>
          <w:szCs w:val="24"/>
          <w:lang w:val="fr-FR"/>
        </w:rPr>
        <w:t xml:space="preserve"> l’attention du Gouvernement de votre Excellence sur les provisions contenues dans le </w:t>
      </w:r>
      <w:r w:rsidR="009E4493">
        <w:rPr>
          <w:sz w:val="24"/>
          <w:szCs w:val="24"/>
          <w:lang w:val="fr-FR"/>
        </w:rPr>
        <w:t>PI</w:t>
      </w:r>
      <w:r w:rsidR="00A15864">
        <w:rPr>
          <w:sz w:val="24"/>
          <w:szCs w:val="24"/>
          <w:lang w:val="fr-FR"/>
        </w:rPr>
        <w:t>DESC.</w:t>
      </w:r>
      <w:r w:rsidR="00794ADD" w:rsidRPr="00913AB7">
        <w:rPr>
          <w:sz w:val="24"/>
          <w:szCs w:val="24"/>
          <w:lang w:val="fr-FR"/>
        </w:rPr>
        <w:t xml:space="preserve"> L’article 11.1 affirme que « les Etats parties au présent Pacte reconnaissent le droit de toute personne à un niveau de </w:t>
      </w:r>
      <w:r w:rsidR="00794ADD" w:rsidRPr="00B97628">
        <w:rPr>
          <w:sz w:val="24"/>
          <w:szCs w:val="24"/>
          <w:lang w:val="fr-FR"/>
        </w:rPr>
        <w:t>vie suffisant pour elle-même et sa famille, y compris une nourriture, un vêtement et un logement suffisants, ainsi qu'à une amélioration constante de ses conditions d'existence ».</w:t>
      </w:r>
      <w:r w:rsidR="00B97628" w:rsidRPr="00B97628">
        <w:rPr>
          <w:sz w:val="24"/>
          <w:szCs w:val="24"/>
          <w:lang w:val="fr-CH"/>
        </w:rPr>
        <w:t xml:space="preserve"> </w:t>
      </w:r>
      <w:r w:rsidR="00B97628">
        <w:rPr>
          <w:sz w:val="24"/>
          <w:szCs w:val="24"/>
          <w:lang w:val="fr-CH"/>
        </w:rPr>
        <w:t>En outre, l</w:t>
      </w:r>
      <w:r w:rsidR="00B97628" w:rsidRPr="00B97628">
        <w:rPr>
          <w:sz w:val="24"/>
          <w:szCs w:val="24"/>
          <w:lang w:val="fr-CH"/>
        </w:rPr>
        <w:t>e Conseil des droits de l’homme et l’Assemblée Générale des Nations Unies on</w:t>
      </w:r>
      <w:r w:rsidR="00B97628">
        <w:rPr>
          <w:sz w:val="24"/>
          <w:szCs w:val="24"/>
          <w:lang w:val="fr-CH"/>
        </w:rPr>
        <w:t>t</w:t>
      </w:r>
      <w:r w:rsidR="00B97628" w:rsidRPr="00B97628">
        <w:rPr>
          <w:sz w:val="24"/>
          <w:szCs w:val="24"/>
          <w:lang w:val="fr-CH"/>
        </w:rPr>
        <w:t xml:space="preserve"> également explic</w:t>
      </w:r>
      <w:r w:rsidR="00B97628">
        <w:rPr>
          <w:sz w:val="24"/>
          <w:szCs w:val="24"/>
          <w:lang w:val="fr-CH"/>
        </w:rPr>
        <w:t>it</w:t>
      </w:r>
      <w:r w:rsidR="00B97628" w:rsidRPr="00B97628">
        <w:rPr>
          <w:sz w:val="24"/>
          <w:szCs w:val="24"/>
          <w:lang w:val="fr-CH"/>
        </w:rPr>
        <w:t>ement reconnu q</w:t>
      </w:r>
      <w:r w:rsidR="00B97628" w:rsidRPr="00B97628">
        <w:rPr>
          <w:sz w:val="24"/>
          <w:szCs w:val="24"/>
          <w:lang w:val="fr-FR"/>
        </w:rPr>
        <w:t>ue les droits à l’eau potable et</w:t>
      </w:r>
      <w:r w:rsidR="00B97628">
        <w:rPr>
          <w:sz w:val="24"/>
          <w:szCs w:val="24"/>
          <w:lang w:val="fr-FR"/>
        </w:rPr>
        <w:t xml:space="preserve"> </w:t>
      </w:r>
      <w:r w:rsidR="00B97628" w:rsidRPr="00B97628">
        <w:rPr>
          <w:sz w:val="24"/>
          <w:szCs w:val="24"/>
          <w:lang w:val="fr-FR"/>
        </w:rPr>
        <w:t xml:space="preserve">à l’assainissement sont </w:t>
      </w:r>
      <w:r w:rsidR="00B97628">
        <w:rPr>
          <w:sz w:val="24"/>
          <w:szCs w:val="24"/>
          <w:lang w:val="fr-FR"/>
        </w:rPr>
        <w:t>des é</w:t>
      </w:r>
      <w:r w:rsidR="00B97628" w:rsidRPr="00B97628">
        <w:rPr>
          <w:sz w:val="24"/>
          <w:szCs w:val="24"/>
          <w:lang w:val="fr-FR"/>
        </w:rPr>
        <w:t>lément</w:t>
      </w:r>
      <w:r w:rsidR="00B97628">
        <w:rPr>
          <w:sz w:val="24"/>
          <w:szCs w:val="24"/>
          <w:lang w:val="fr-FR"/>
        </w:rPr>
        <w:t>s</w:t>
      </w:r>
      <w:r w:rsidR="00B97628" w:rsidRPr="00B97628">
        <w:rPr>
          <w:sz w:val="24"/>
          <w:szCs w:val="24"/>
          <w:lang w:val="fr-FR"/>
        </w:rPr>
        <w:t xml:space="preserve"> </w:t>
      </w:r>
      <w:r w:rsidR="00B97628">
        <w:rPr>
          <w:sz w:val="24"/>
          <w:szCs w:val="24"/>
          <w:lang w:val="fr-FR"/>
        </w:rPr>
        <w:t xml:space="preserve">indispensables </w:t>
      </w:r>
      <w:r w:rsidR="00B97628" w:rsidRPr="00B97628">
        <w:rPr>
          <w:sz w:val="24"/>
          <w:szCs w:val="24"/>
          <w:lang w:val="fr-FR"/>
        </w:rPr>
        <w:t>du droit à un niveau de vie suffisant</w:t>
      </w:r>
      <w:r w:rsidR="00B97628">
        <w:rPr>
          <w:sz w:val="24"/>
          <w:szCs w:val="24"/>
          <w:lang w:val="fr-FR"/>
        </w:rPr>
        <w:t xml:space="preserve">. </w:t>
      </w:r>
      <w:r w:rsidR="00794ADD" w:rsidRPr="00B97628">
        <w:rPr>
          <w:sz w:val="24"/>
          <w:szCs w:val="24"/>
          <w:lang w:val="fr-FR"/>
        </w:rPr>
        <w:t>Nous aimerions également attirer l’attention de votre Excellence sur la Déclaration du Comité des droits</w:t>
      </w:r>
      <w:r w:rsidR="00794ADD" w:rsidRPr="00451485">
        <w:rPr>
          <w:sz w:val="24"/>
          <w:szCs w:val="24"/>
          <w:lang w:val="fr-FR"/>
        </w:rPr>
        <w:t xml:space="preserve"> éc</w:t>
      </w:r>
      <w:r w:rsidR="00794ADD">
        <w:rPr>
          <w:sz w:val="24"/>
          <w:szCs w:val="24"/>
          <w:lang w:val="fr-FR"/>
        </w:rPr>
        <w:t>onomiques, sociaux et culturels concernant les d</w:t>
      </w:r>
      <w:r w:rsidR="00794ADD" w:rsidRPr="00451485">
        <w:rPr>
          <w:sz w:val="24"/>
          <w:szCs w:val="24"/>
          <w:lang w:val="fr-FR"/>
        </w:rPr>
        <w:t xml:space="preserve">evoirs des États envers les réfugiés et les migrants au titre du </w:t>
      </w:r>
      <w:r w:rsidR="00A15864">
        <w:rPr>
          <w:sz w:val="24"/>
          <w:szCs w:val="24"/>
          <w:lang w:val="fr-FR"/>
        </w:rPr>
        <w:t>PIDESC</w:t>
      </w:r>
      <w:r w:rsidR="00794ADD">
        <w:rPr>
          <w:sz w:val="24"/>
          <w:szCs w:val="24"/>
          <w:lang w:val="fr-FR"/>
        </w:rPr>
        <w:t xml:space="preserve"> qui dit « e</w:t>
      </w:r>
      <w:r w:rsidR="00794ADD" w:rsidRPr="00451485">
        <w:rPr>
          <w:sz w:val="24"/>
          <w:szCs w:val="24"/>
          <w:lang w:val="fr-FR"/>
        </w:rPr>
        <w:t>n toutes circonstances, le contenu essentiel minimum de chaque droit devrait être respecté, et la portée des obligations correspondantes devrait être étendue à toutes les personnes se trouvant sous le contrôle effectif de l’État, sans exception. Le Comité a souligné par le passé que les obligations consistant à mettre chacun à l’abri de la faim</w:t>
      </w:r>
      <w:r w:rsidR="00794ADD" w:rsidRPr="00451485">
        <w:rPr>
          <w:sz w:val="24"/>
          <w:szCs w:val="24"/>
          <w:vertAlign w:val="superscript"/>
          <w:lang w:val="fr-CH"/>
        </w:rPr>
        <w:footnoteReference w:id="2"/>
      </w:r>
      <w:r w:rsidR="00794ADD" w:rsidRPr="00451485">
        <w:rPr>
          <w:sz w:val="24"/>
          <w:szCs w:val="24"/>
          <w:lang w:val="fr-FR"/>
        </w:rPr>
        <w:t>, à assurer un accès à l’eau suffisant pour satisfaire les besoins de base</w:t>
      </w:r>
      <w:r w:rsidR="00794ADD" w:rsidRPr="00451485">
        <w:rPr>
          <w:sz w:val="24"/>
          <w:szCs w:val="24"/>
          <w:vertAlign w:val="superscript"/>
          <w:lang w:val="fr-CH"/>
        </w:rPr>
        <w:footnoteReference w:id="3"/>
      </w:r>
      <w:r w:rsidR="00794ADD" w:rsidRPr="00451485">
        <w:rPr>
          <w:sz w:val="24"/>
          <w:szCs w:val="24"/>
          <w:lang w:val="fr-FR"/>
        </w:rPr>
        <w:t>, l’accès aux médicaments essentiels</w:t>
      </w:r>
      <w:r w:rsidR="00794ADD" w:rsidRPr="00451485">
        <w:rPr>
          <w:sz w:val="24"/>
          <w:szCs w:val="24"/>
          <w:vertAlign w:val="superscript"/>
          <w:lang w:val="fr-CH"/>
        </w:rPr>
        <w:footnoteReference w:id="4"/>
      </w:r>
      <w:r w:rsidR="00794ADD" w:rsidRPr="00451485">
        <w:rPr>
          <w:sz w:val="24"/>
          <w:szCs w:val="24"/>
          <w:lang w:val="fr-FR"/>
        </w:rPr>
        <w:t xml:space="preserve"> et l’accès à une éducation conforme aux « normes minimales » en la matière</w:t>
      </w:r>
      <w:r w:rsidR="00794ADD" w:rsidRPr="00451485">
        <w:rPr>
          <w:sz w:val="24"/>
          <w:szCs w:val="24"/>
          <w:vertAlign w:val="superscript"/>
          <w:lang w:val="fr-CH"/>
        </w:rPr>
        <w:footnoteReference w:id="5"/>
      </w:r>
      <w:r w:rsidR="00794ADD" w:rsidRPr="00451485">
        <w:rPr>
          <w:sz w:val="24"/>
          <w:szCs w:val="24"/>
          <w:lang w:val="fr-FR"/>
        </w:rPr>
        <w:t>, sont des obligations fondamentales de l’État et que leur portée ne devrait donc pas être restreinte pour des raisons de nationalité ou de statut juridique.</w:t>
      </w:r>
      <w:r w:rsidR="00794ADD">
        <w:rPr>
          <w:sz w:val="24"/>
          <w:szCs w:val="24"/>
          <w:lang w:val="fr-FR"/>
        </w:rPr>
        <w:t> »</w:t>
      </w:r>
      <w:r w:rsidR="00794ADD" w:rsidRPr="00451485">
        <w:rPr>
          <w:sz w:val="24"/>
          <w:szCs w:val="24"/>
          <w:lang w:val="fr-FR"/>
        </w:rPr>
        <w:t xml:space="preserve"> </w:t>
      </w:r>
    </w:p>
    <w:p w:rsidR="00794ADD" w:rsidRDefault="00794ADD" w:rsidP="00603A96">
      <w:pPr>
        <w:ind w:left="709"/>
        <w:jc w:val="both"/>
        <w:rPr>
          <w:i/>
          <w:sz w:val="24"/>
          <w:szCs w:val="24"/>
          <w:lang w:val="fr-FR"/>
        </w:rPr>
      </w:pPr>
    </w:p>
    <w:p w:rsidR="00794ADD" w:rsidRPr="00A15864" w:rsidRDefault="009B7C32" w:rsidP="00603A96">
      <w:pPr>
        <w:ind w:left="709"/>
        <w:jc w:val="both"/>
        <w:rPr>
          <w:sz w:val="24"/>
          <w:szCs w:val="24"/>
          <w:u w:val="single"/>
          <w:lang w:val="fr-FR"/>
        </w:rPr>
      </w:pPr>
      <w:r w:rsidRPr="00A15864">
        <w:rPr>
          <w:sz w:val="24"/>
          <w:szCs w:val="24"/>
          <w:u w:val="single"/>
          <w:lang w:val="fr-FR"/>
        </w:rPr>
        <w:t>Article</w:t>
      </w:r>
      <w:r w:rsidR="00A15864" w:rsidRPr="00A15864">
        <w:rPr>
          <w:sz w:val="24"/>
          <w:szCs w:val="24"/>
          <w:u w:val="single"/>
          <w:lang w:val="fr-FR"/>
        </w:rPr>
        <w:t xml:space="preserve"> </w:t>
      </w:r>
      <w:r w:rsidR="00794ADD" w:rsidRPr="00A15864">
        <w:rPr>
          <w:sz w:val="24"/>
          <w:szCs w:val="24"/>
          <w:u w:val="single"/>
          <w:lang w:val="fr-FR"/>
        </w:rPr>
        <w:t>16</w:t>
      </w:r>
      <w:r w:rsidR="00A15864" w:rsidRPr="00A15864">
        <w:rPr>
          <w:sz w:val="24"/>
          <w:szCs w:val="24"/>
          <w:u w:val="single"/>
          <w:lang w:val="fr-FR"/>
        </w:rPr>
        <w:t xml:space="preserve">, </w:t>
      </w:r>
      <w:r w:rsidR="00794ADD" w:rsidRPr="00A15864">
        <w:rPr>
          <w:sz w:val="24"/>
          <w:szCs w:val="24"/>
          <w:u w:val="single"/>
          <w:lang w:val="fr-FR"/>
        </w:rPr>
        <w:t>7°</w:t>
      </w:r>
      <w:r w:rsidR="00A15864" w:rsidRPr="00A15864">
        <w:rPr>
          <w:sz w:val="24"/>
          <w:szCs w:val="24"/>
          <w:u w:val="single"/>
          <w:lang w:val="fr-CH"/>
        </w:rPr>
        <w:t xml:space="preserve"> du projet de loi,</w:t>
      </w:r>
      <w:r w:rsidR="00794ADD" w:rsidRPr="00A15864">
        <w:rPr>
          <w:sz w:val="24"/>
          <w:szCs w:val="24"/>
          <w:u w:val="single"/>
          <w:lang w:val="fr-CH"/>
        </w:rPr>
        <w:t xml:space="preserve"> concernant </w:t>
      </w:r>
      <w:r w:rsidR="00794ADD" w:rsidRPr="00A15864">
        <w:rPr>
          <w:sz w:val="24"/>
          <w:szCs w:val="24"/>
          <w:u w:val="single"/>
          <w:lang w:val="fr-FR"/>
        </w:rPr>
        <w:t xml:space="preserve">L.552-7 du CESEDA et </w:t>
      </w:r>
      <w:r w:rsidRPr="00A15864">
        <w:rPr>
          <w:sz w:val="24"/>
          <w:szCs w:val="24"/>
          <w:u w:val="single"/>
          <w:lang w:val="fr-FR"/>
        </w:rPr>
        <w:t>Article</w:t>
      </w:r>
      <w:r w:rsidR="00794ADD" w:rsidRPr="00A15864">
        <w:rPr>
          <w:sz w:val="24"/>
          <w:szCs w:val="24"/>
          <w:u w:val="single"/>
          <w:lang w:val="fr-FR"/>
        </w:rPr>
        <w:t>19, concernant L.611-1-1 CESEDA</w:t>
      </w:r>
      <w:r w:rsidR="00A15864">
        <w:rPr>
          <w:sz w:val="24"/>
          <w:szCs w:val="24"/>
          <w:u w:val="single"/>
          <w:lang w:val="fr-FR"/>
        </w:rPr>
        <w:t> ;</w:t>
      </w:r>
    </w:p>
    <w:p w:rsidR="00794ADD" w:rsidRPr="00CF6E99" w:rsidRDefault="00794ADD" w:rsidP="00603A96">
      <w:pPr>
        <w:ind w:left="709"/>
        <w:jc w:val="both"/>
        <w:rPr>
          <w:i/>
          <w:sz w:val="24"/>
          <w:szCs w:val="24"/>
          <w:lang w:val="fr-FR"/>
        </w:rPr>
      </w:pPr>
    </w:p>
    <w:p w:rsidR="00794ADD" w:rsidRPr="00FF0E23" w:rsidRDefault="00CB28D6" w:rsidP="00603A96">
      <w:pPr>
        <w:ind w:left="709"/>
        <w:jc w:val="both"/>
        <w:rPr>
          <w:i/>
          <w:sz w:val="24"/>
          <w:szCs w:val="24"/>
          <w:lang w:val="fr-FR"/>
        </w:rPr>
      </w:pPr>
      <w:r>
        <w:rPr>
          <w:sz w:val="24"/>
          <w:szCs w:val="24"/>
          <w:lang w:val="fr-FR"/>
        </w:rPr>
        <w:t>L’article 16 vise à augmenter la durée maximale de rétention à 90 jour</w:t>
      </w:r>
      <w:r w:rsidR="00DF1B13">
        <w:rPr>
          <w:sz w:val="24"/>
          <w:szCs w:val="24"/>
          <w:lang w:val="fr-FR"/>
        </w:rPr>
        <w:t>s</w:t>
      </w:r>
      <w:r w:rsidR="005D3360">
        <w:rPr>
          <w:sz w:val="24"/>
          <w:szCs w:val="24"/>
          <w:lang w:val="fr-FR"/>
        </w:rPr>
        <w:t>.</w:t>
      </w:r>
      <w:r>
        <w:rPr>
          <w:sz w:val="24"/>
          <w:szCs w:val="24"/>
          <w:lang w:val="fr-FR"/>
        </w:rPr>
        <w:t xml:space="preserve"> </w:t>
      </w:r>
      <w:r w:rsidRPr="00BF1DDB">
        <w:rPr>
          <w:sz w:val="24"/>
          <w:szCs w:val="24"/>
          <w:lang w:val="fr-FR"/>
        </w:rPr>
        <w:t>En outre, il est prévu que la rétention puisse, au terme de ces 90 jours, être prolongée pour une durée de 15 jours supplémentaires, renouvelable trois fois</w:t>
      </w:r>
      <w:r>
        <w:rPr>
          <w:i/>
          <w:sz w:val="24"/>
          <w:szCs w:val="24"/>
          <w:lang w:val="fr-FR"/>
        </w:rPr>
        <w:t xml:space="preserve">. </w:t>
      </w:r>
      <w:r w:rsidR="00531B09">
        <w:rPr>
          <w:sz w:val="24"/>
          <w:szCs w:val="24"/>
          <w:lang w:val="fr-FR"/>
        </w:rPr>
        <w:t>C</w:t>
      </w:r>
      <w:r w:rsidR="00794ADD" w:rsidRPr="00170003">
        <w:rPr>
          <w:sz w:val="24"/>
          <w:szCs w:val="24"/>
          <w:lang w:val="fr-FR"/>
        </w:rPr>
        <w:t>onformément au droit international des droits</w:t>
      </w:r>
      <w:r w:rsidR="00794ADD">
        <w:rPr>
          <w:sz w:val="24"/>
          <w:szCs w:val="24"/>
          <w:lang w:val="fr-FR"/>
        </w:rPr>
        <w:t xml:space="preserve"> </w:t>
      </w:r>
      <w:r w:rsidR="00794ADD" w:rsidRPr="00170003">
        <w:rPr>
          <w:sz w:val="24"/>
          <w:szCs w:val="24"/>
          <w:lang w:val="fr-FR"/>
        </w:rPr>
        <w:t>de l’homme,</w:t>
      </w:r>
      <w:r w:rsidR="008508CF">
        <w:rPr>
          <w:sz w:val="24"/>
          <w:szCs w:val="24"/>
          <w:lang w:val="fr-FR"/>
        </w:rPr>
        <w:t xml:space="preserve"> et plus particulièrement à la </w:t>
      </w:r>
      <w:r w:rsidR="008508CF" w:rsidRPr="00170003">
        <w:rPr>
          <w:sz w:val="24"/>
          <w:szCs w:val="24"/>
          <w:lang w:val="fr-FR"/>
        </w:rPr>
        <w:t>Délibération</w:t>
      </w:r>
      <w:r w:rsidR="008508CF">
        <w:rPr>
          <w:sz w:val="24"/>
          <w:szCs w:val="24"/>
          <w:lang w:val="fr-FR"/>
        </w:rPr>
        <w:t xml:space="preserve"> No. 5 sur la privation de liberté des migrants du </w:t>
      </w:r>
      <w:r w:rsidR="008508CF" w:rsidRPr="00170003">
        <w:rPr>
          <w:sz w:val="24"/>
          <w:szCs w:val="24"/>
          <w:lang w:val="fr-FR"/>
        </w:rPr>
        <w:t>Groupe de travail sur la détention arbitraire</w:t>
      </w:r>
      <w:r w:rsidR="008508CF">
        <w:rPr>
          <w:sz w:val="24"/>
          <w:szCs w:val="24"/>
          <w:lang w:val="fr-FR"/>
        </w:rPr>
        <w:t>,</w:t>
      </w:r>
      <w:r w:rsidR="008508CF" w:rsidRPr="00170003">
        <w:rPr>
          <w:sz w:val="24"/>
          <w:szCs w:val="24"/>
          <w:lang w:val="fr-FR"/>
        </w:rPr>
        <w:t xml:space="preserve"> </w:t>
      </w:r>
      <w:r w:rsidR="00794ADD" w:rsidRPr="00170003">
        <w:rPr>
          <w:sz w:val="24"/>
          <w:szCs w:val="24"/>
          <w:lang w:val="fr-FR"/>
        </w:rPr>
        <w:t>la liberté doit être la situation par défaut et la détention, à laquelle il ne doit être</w:t>
      </w:r>
      <w:r w:rsidR="00794ADD">
        <w:rPr>
          <w:sz w:val="24"/>
          <w:szCs w:val="24"/>
          <w:lang w:val="fr-FR"/>
        </w:rPr>
        <w:t xml:space="preserve"> </w:t>
      </w:r>
      <w:r w:rsidR="00794ADD" w:rsidRPr="00170003">
        <w:rPr>
          <w:sz w:val="24"/>
          <w:szCs w:val="24"/>
          <w:lang w:val="fr-FR"/>
        </w:rPr>
        <w:t>recouru qu’en dernier ressort, doit être l’exception. La détention doit être raisonnable,</w:t>
      </w:r>
      <w:r w:rsidR="00794ADD">
        <w:rPr>
          <w:sz w:val="24"/>
          <w:szCs w:val="24"/>
          <w:lang w:val="fr-FR"/>
        </w:rPr>
        <w:t xml:space="preserve"> </w:t>
      </w:r>
      <w:r w:rsidR="00794ADD" w:rsidRPr="00170003">
        <w:rPr>
          <w:sz w:val="24"/>
          <w:szCs w:val="24"/>
          <w:lang w:val="fr-FR"/>
        </w:rPr>
        <w:t>nécessaire, proportionnée, décidée au cas par cas et appliquée pour la durée la plus brève</w:t>
      </w:r>
      <w:r w:rsidR="00794ADD">
        <w:rPr>
          <w:sz w:val="24"/>
          <w:szCs w:val="24"/>
          <w:lang w:val="fr-FR"/>
        </w:rPr>
        <w:t xml:space="preserve"> </w:t>
      </w:r>
      <w:r w:rsidR="00794ADD" w:rsidRPr="00170003">
        <w:rPr>
          <w:sz w:val="24"/>
          <w:szCs w:val="24"/>
          <w:lang w:val="fr-FR"/>
        </w:rPr>
        <w:t>possible. La détention administrative ne peut être justifiée que lorsque la personne qui y est</w:t>
      </w:r>
      <w:r w:rsidR="00794ADD">
        <w:rPr>
          <w:sz w:val="24"/>
          <w:szCs w:val="24"/>
          <w:lang w:val="fr-FR"/>
        </w:rPr>
        <w:t xml:space="preserve"> </w:t>
      </w:r>
      <w:r w:rsidR="00794ADD" w:rsidRPr="00170003">
        <w:rPr>
          <w:sz w:val="24"/>
          <w:szCs w:val="24"/>
          <w:lang w:val="fr-FR"/>
        </w:rPr>
        <w:t>soumise présente un danger pour autrui ou risque de s’enfuir alors que sa présence est requise</w:t>
      </w:r>
      <w:r w:rsidR="00794ADD">
        <w:rPr>
          <w:sz w:val="24"/>
          <w:szCs w:val="24"/>
          <w:lang w:val="fr-FR"/>
        </w:rPr>
        <w:t xml:space="preserve"> </w:t>
      </w:r>
      <w:r w:rsidR="00794ADD" w:rsidRPr="00170003">
        <w:rPr>
          <w:sz w:val="24"/>
          <w:szCs w:val="24"/>
          <w:lang w:val="fr-FR"/>
        </w:rPr>
        <w:t>pour la suite de la procédure, et de telles décisions doivent être prises au cas par cas et sur la</w:t>
      </w:r>
      <w:r w:rsidR="00794ADD">
        <w:rPr>
          <w:sz w:val="24"/>
          <w:szCs w:val="24"/>
          <w:lang w:val="fr-FR"/>
        </w:rPr>
        <w:t xml:space="preserve"> </w:t>
      </w:r>
      <w:r w:rsidR="00794ADD" w:rsidRPr="00170003">
        <w:rPr>
          <w:sz w:val="24"/>
          <w:szCs w:val="24"/>
          <w:lang w:val="fr-FR"/>
        </w:rPr>
        <w:t>base d’éléments de preuve. En outre, lorsque la détention devient un dispositif courant de</w:t>
      </w:r>
      <w:r w:rsidR="00794ADD">
        <w:rPr>
          <w:sz w:val="24"/>
          <w:szCs w:val="24"/>
          <w:lang w:val="fr-FR"/>
        </w:rPr>
        <w:t xml:space="preserve"> </w:t>
      </w:r>
      <w:r w:rsidR="00794ADD" w:rsidRPr="00170003">
        <w:rPr>
          <w:sz w:val="24"/>
          <w:szCs w:val="24"/>
          <w:lang w:val="fr-FR"/>
        </w:rPr>
        <w:t>contrôle des frontières, elle peut être en soi arbitraire dans la mesure où il ne s’agit pas d’une</w:t>
      </w:r>
      <w:r w:rsidR="00794ADD">
        <w:rPr>
          <w:sz w:val="24"/>
          <w:szCs w:val="24"/>
          <w:lang w:val="fr-FR"/>
        </w:rPr>
        <w:t xml:space="preserve"> </w:t>
      </w:r>
      <w:r w:rsidR="00794ADD" w:rsidRPr="00170003">
        <w:rPr>
          <w:sz w:val="24"/>
          <w:szCs w:val="24"/>
          <w:lang w:val="fr-FR"/>
        </w:rPr>
        <w:t>mesure exceptionnelle de dernier ressort et qu’elle n’est pas fondée sur une véritable</w:t>
      </w:r>
      <w:r w:rsidR="00794ADD">
        <w:rPr>
          <w:sz w:val="24"/>
          <w:szCs w:val="24"/>
          <w:lang w:val="fr-FR"/>
        </w:rPr>
        <w:t xml:space="preserve"> </w:t>
      </w:r>
      <w:r w:rsidR="00794ADD" w:rsidRPr="00170003">
        <w:rPr>
          <w:sz w:val="24"/>
          <w:szCs w:val="24"/>
          <w:lang w:val="fr-FR"/>
        </w:rPr>
        <w:t>évaluation personnalisée des risques.</w:t>
      </w:r>
      <w:r w:rsidR="00794ADD">
        <w:rPr>
          <w:sz w:val="24"/>
          <w:szCs w:val="24"/>
          <w:lang w:val="fr-FR"/>
        </w:rPr>
        <w:t xml:space="preserve"> Nous aimerions également attirer l’attention du Gouvernement de votre Excellence sur l</w:t>
      </w:r>
      <w:r w:rsidR="00794ADD" w:rsidRPr="00BD5E72">
        <w:rPr>
          <w:sz w:val="24"/>
          <w:szCs w:val="24"/>
          <w:lang w:val="fr-FR"/>
        </w:rPr>
        <w:t>a Déclaration universelle des droits de l’homme garantit à tout un chacun, y</w:t>
      </w:r>
      <w:r w:rsidR="00794ADD">
        <w:rPr>
          <w:sz w:val="24"/>
          <w:szCs w:val="24"/>
          <w:lang w:val="fr-FR"/>
        </w:rPr>
        <w:t xml:space="preserve"> </w:t>
      </w:r>
      <w:r w:rsidR="00794ADD" w:rsidRPr="00BD5E72">
        <w:rPr>
          <w:sz w:val="24"/>
          <w:szCs w:val="24"/>
          <w:lang w:val="fr-FR"/>
        </w:rPr>
        <w:t>compris les migrants en situation irrégulière, le droit à la vie, à la liberté et à la sûreté de sa</w:t>
      </w:r>
      <w:r w:rsidR="00794ADD">
        <w:rPr>
          <w:sz w:val="24"/>
          <w:szCs w:val="24"/>
          <w:lang w:val="fr-FR"/>
        </w:rPr>
        <w:t xml:space="preserve"> </w:t>
      </w:r>
      <w:r w:rsidR="00794ADD" w:rsidRPr="00BD5E72">
        <w:rPr>
          <w:sz w:val="24"/>
          <w:szCs w:val="24"/>
          <w:lang w:val="fr-FR"/>
        </w:rPr>
        <w:t>personne (</w:t>
      </w:r>
      <w:r w:rsidR="009B7C32">
        <w:rPr>
          <w:sz w:val="24"/>
          <w:szCs w:val="24"/>
          <w:lang w:val="fr-FR"/>
        </w:rPr>
        <w:t>article</w:t>
      </w:r>
      <w:r w:rsidR="008508CF">
        <w:rPr>
          <w:sz w:val="24"/>
          <w:szCs w:val="24"/>
          <w:lang w:val="fr-FR"/>
        </w:rPr>
        <w:t xml:space="preserve"> </w:t>
      </w:r>
      <w:r w:rsidR="00794ADD" w:rsidRPr="00BD5E72">
        <w:rPr>
          <w:sz w:val="24"/>
          <w:szCs w:val="24"/>
          <w:lang w:val="fr-FR"/>
        </w:rPr>
        <w:t>3) et précise que «nul ne peut être arbitrairement arrêté, détenu ni exilé»</w:t>
      </w:r>
      <w:r w:rsidR="00794ADD">
        <w:rPr>
          <w:sz w:val="24"/>
          <w:szCs w:val="24"/>
          <w:lang w:val="fr-FR"/>
        </w:rPr>
        <w:t xml:space="preserve"> </w:t>
      </w:r>
      <w:r w:rsidR="00794ADD" w:rsidRPr="00BD5E72">
        <w:rPr>
          <w:sz w:val="24"/>
          <w:szCs w:val="24"/>
          <w:lang w:val="fr-FR"/>
        </w:rPr>
        <w:t>(</w:t>
      </w:r>
      <w:r w:rsidR="009B7C32">
        <w:rPr>
          <w:sz w:val="24"/>
          <w:szCs w:val="24"/>
          <w:lang w:val="fr-FR"/>
        </w:rPr>
        <w:t>article</w:t>
      </w:r>
      <w:r w:rsidR="008508CF">
        <w:rPr>
          <w:sz w:val="24"/>
          <w:szCs w:val="24"/>
          <w:lang w:val="fr-FR"/>
        </w:rPr>
        <w:t xml:space="preserve"> </w:t>
      </w:r>
      <w:r w:rsidR="00794ADD" w:rsidRPr="00BD5E72">
        <w:rPr>
          <w:sz w:val="24"/>
          <w:szCs w:val="24"/>
          <w:lang w:val="fr-FR"/>
        </w:rPr>
        <w:t>9). Le paragraphe 1 de l’article 9 du P</w:t>
      </w:r>
      <w:r w:rsidR="008508CF">
        <w:rPr>
          <w:sz w:val="24"/>
          <w:szCs w:val="24"/>
          <w:lang w:val="fr-FR"/>
        </w:rPr>
        <w:t>IDCP</w:t>
      </w:r>
      <w:r w:rsidR="00794ADD" w:rsidRPr="00BD5E72">
        <w:rPr>
          <w:sz w:val="24"/>
          <w:szCs w:val="24"/>
          <w:lang w:val="fr-FR"/>
        </w:rPr>
        <w:t xml:space="preserve"> dispose que tout individu a droit à la liberté et la sécurité de sa personne, que nul</w:t>
      </w:r>
      <w:r w:rsidR="00794ADD">
        <w:rPr>
          <w:sz w:val="24"/>
          <w:szCs w:val="24"/>
          <w:lang w:val="fr-FR"/>
        </w:rPr>
        <w:t xml:space="preserve"> </w:t>
      </w:r>
      <w:r w:rsidR="00794ADD" w:rsidRPr="00BD5E72">
        <w:rPr>
          <w:sz w:val="24"/>
          <w:szCs w:val="24"/>
          <w:lang w:val="fr-FR"/>
        </w:rPr>
        <w:t>ne peut faire l’objet d’une arrestation ou d’une détention arbitraire, ni ne peut être privé de</w:t>
      </w:r>
      <w:r w:rsidR="00794ADD">
        <w:rPr>
          <w:sz w:val="24"/>
          <w:szCs w:val="24"/>
          <w:lang w:val="fr-FR"/>
        </w:rPr>
        <w:t xml:space="preserve"> </w:t>
      </w:r>
      <w:r w:rsidR="00794ADD" w:rsidRPr="00BD5E72">
        <w:rPr>
          <w:sz w:val="24"/>
          <w:szCs w:val="24"/>
          <w:lang w:val="fr-FR"/>
        </w:rPr>
        <w:t>sa liberté, si ce n’est pour des motifs et conformément à la procédure prévu</w:t>
      </w:r>
      <w:r w:rsidR="00353383">
        <w:rPr>
          <w:sz w:val="24"/>
          <w:szCs w:val="24"/>
          <w:lang w:val="fr-FR"/>
        </w:rPr>
        <w:t>e</w:t>
      </w:r>
      <w:r w:rsidR="00794ADD" w:rsidRPr="00BD5E72">
        <w:rPr>
          <w:sz w:val="24"/>
          <w:szCs w:val="24"/>
          <w:lang w:val="fr-FR"/>
        </w:rPr>
        <w:t xml:space="preserve"> par la loi.</w:t>
      </w:r>
      <w:r w:rsidR="00EA122B">
        <w:rPr>
          <w:sz w:val="24"/>
          <w:szCs w:val="24"/>
          <w:lang w:val="fr-FR"/>
        </w:rPr>
        <w:t xml:space="preserve"> Nous souhaitons également rappeler que l</w:t>
      </w:r>
      <w:r w:rsidR="00EA122B" w:rsidRPr="00EA122B">
        <w:rPr>
          <w:sz w:val="24"/>
          <w:szCs w:val="24"/>
          <w:lang w:val="fr-FR"/>
        </w:rPr>
        <w:t>es Principes de base et lignes directrices des Nations Unies sur les voies et procédures permettant aux personnes privées de liberté d’introduire un recours devant un tribunal</w:t>
      </w:r>
      <w:r w:rsidR="00EA122B">
        <w:rPr>
          <w:sz w:val="24"/>
          <w:szCs w:val="24"/>
          <w:lang w:val="fr-FR"/>
        </w:rPr>
        <w:t xml:space="preserve"> s’appliquent également aux migrants.</w:t>
      </w:r>
    </w:p>
    <w:p w:rsidR="00794ADD" w:rsidRDefault="00794ADD" w:rsidP="00603A96">
      <w:pPr>
        <w:ind w:left="709"/>
        <w:jc w:val="both"/>
        <w:rPr>
          <w:sz w:val="24"/>
          <w:szCs w:val="24"/>
          <w:lang w:val="fr-FR"/>
        </w:rPr>
      </w:pPr>
    </w:p>
    <w:p w:rsidR="00794ADD" w:rsidRPr="009B3575" w:rsidRDefault="00794ADD" w:rsidP="00603A96">
      <w:pPr>
        <w:ind w:left="709"/>
        <w:jc w:val="both"/>
        <w:rPr>
          <w:sz w:val="24"/>
          <w:szCs w:val="24"/>
          <w:lang w:val="fr-FR"/>
        </w:rPr>
      </w:pPr>
      <w:r>
        <w:rPr>
          <w:sz w:val="24"/>
          <w:szCs w:val="24"/>
          <w:lang w:val="fr-FR"/>
        </w:rPr>
        <w:t>L</w:t>
      </w:r>
      <w:r w:rsidRPr="00B840A9">
        <w:rPr>
          <w:sz w:val="24"/>
          <w:szCs w:val="24"/>
          <w:lang w:val="fr-FR"/>
        </w:rPr>
        <w:t>es enfants migrants non accompagnés et les familles avec enfants ne doivent jamais être détenus pour des motifs liés à leur statut migratoire. La détention des enfants, même pour de courtes périodes, peut avoir des séquelles psychologiques graves et nuire à leur développement.</w:t>
      </w:r>
      <w:r>
        <w:rPr>
          <w:sz w:val="24"/>
          <w:szCs w:val="24"/>
          <w:lang w:val="fr-FR"/>
        </w:rPr>
        <w:t xml:space="preserve"> Nous attirons</w:t>
      </w:r>
      <w:r w:rsidRPr="00CA1B58">
        <w:rPr>
          <w:sz w:val="24"/>
          <w:szCs w:val="24"/>
          <w:lang w:val="fr-FR"/>
        </w:rPr>
        <w:t xml:space="preserve"> votre attention sur le fait que, </w:t>
      </w:r>
      <w:r w:rsidR="00A15864">
        <w:rPr>
          <w:sz w:val="24"/>
          <w:szCs w:val="24"/>
          <w:lang w:val="fr-FR"/>
        </w:rPr>
        <w:t xml:space="preserve">dans </w:t>
      </w:r>
      <w:r w:rsidR="00A15864" w:rsidRPr="00A15864">
        <w:rPr>
          <w:sz w:val="24"/>
          <w:szCs w:val="24"/>
          <w:lang w:val="fr-FR"/>
        </w:rPr>
        <w:t>la Délibération No. 5 sur la privation de liberté des migrants du Groupe de travail sur la détention arbitraire</w:t>
      </w:r>
      <w:r w:rsidR="00A15864">
        <w:rPr>
          <w:sz w:val="24"/>
          <w:szCs w:val="24"/>
          <w:lang w:val="fr-FR"/>
        </w:rPr>
        <w:t xml:space="preserve">, ainsi que </w:t>
      </w:r>
      <w:r w:rsidRPr="00CA1B58">
        <w:rPr>
          <w:sz w:val="24"/>
          <w:szCs w:val="24"/>
          <w:lang w:val="fr-FR"/>
        </w:rPr>
        <w:t>dans</w:t>
      </w:r>
      <w:r>
        <w:rPr>
          <w:sz w:val="24"/>
          <w:szCs w:val="24"/>
          <w:lang w:val="fr-FR"/>
        </w:rPr>
        <w:t xml:space="preserve"> </w:t>
      </w:r>
      <w:r w:rsidR="00A15864">
        <w:rPr>
          <w:sz w:val="24"/>
          <w:szCs w:val="24"/>
          <w:lang w:val="fr-FR"/>
        </w:rPr>
        <w:t>l’</w:t>
      </w:r>
      <w:r w:rsidRPr="00CA1B58">
        <w:rPr>
          <w:sz w:val="24"/>
          <w:szCs w:val="24"/>
          <w:lang w:val="fr-FR"/>
        </w:rPr>
        <w:t>Observation générale conjointe de novembre 2017 sur les obligations des États en matière de droits de</w:t>
      </w:r>
      <w:r>
        <w:rPr>
          <w:sz w:val="24"/>
          <w:szCs w:val="24"/>
          <w:lang w:val="fr-FR"/>
        </w:rPr>
        <w:t xml:space="preserve"> </w:t>
      </w:r>
      <w:r w:rsidRPr="00CA1B58">
        <w:rPr>
          <w:sz w:val="24"/>
          <w:szCs w:val="24"/>
          <w:lang w:val="fr-FR"/>
        </w:rPr>
        <w:t>l’homme des enfants dans le contexte des migrations internationales dans les pays d’origine, de transit, de</w:t>
      </w:r>
      <w:r>
        <w:rPr>
          <w:sz w:val="24"/>
          <w:szCs w:val="24"/>
          <w:lang w:val="fr-FR"/>
        </w:rPr>
        <w:t xml:space="preserve"> </w:t>
      </w:r>
      <w:r w:rsidRPr="00CA1B58">
        <w:rPr>
          <w:sz w:val="24"/>
          <w:szCs w:val="24"/>
          <w:lang w:val="fr-FR"/>
        </w:rPr>
        <w:t>destination et de retour, le Comité pour la protection des droits de tous les travailleurs migrants et des</w:t>
      </w:r>
      <w:r>
        <w:rPr>
          <w:sz w:val="24"/>
          <w:szCs w:val="24"/>
          <w:lang w:val="fr-FR"/>
        </w:rPr>
        <w:t xml:space="preserve"> </w:t>
      </w:r>
      <w:r w:rsidRPr="00CA1B58">
        <w:rPr>
          <w:sz w:val="24"/>
          <w:szCs w:val="24"/>
          <w:lang w:val="fr-FR"/>
        </w:rPr>
        <w:t>membres de leur famille et le Comité des droits de l’enfant des Nations Unies ont affirmé le droit de tout</w:t>
      </w:r>
      <w:r>
        <w:rPr>
          <w:sz w:val="24"/>
          <w:szCs w:val="24"/>
          <w:lang w:val="fr-FR"/>
        </w:rPr>
        <w:t xml:space="preserve"> </w:t>
      </w:r>
      <w:r w:rsidRPr="00CA1B58">
        <w:rPr>
          <w:sz w:val="24"/>
          <w:szCs w:val="24"/>
          <w:lang w:val="fr-FR"/>
        </w:rPr>
        <w:t>enfant « de ne pas être placé en détention pour des motifs d’im</w:t>
      </w:r>
      <w:r w:rsidR="00DB2B78">
        <w:rPr>
          <w:sz w:val="24"/>
          <w:szCs w:val="24"/>
          <w:lang w:val="fr-FR"/>
        </w:rPr>
        <w:t>migration » et recommandé que « </w:t>
      </w:r>
      <w:r w:rsidRPr="00CA1B58">
        <w:rPr>
          <w:sz w:val="24"/>
          <w:szCs w:val="24"/>
          <w:lang w:val="fr-FR"/>
        </w:rPr>
        <w:t>tout type</w:t>
      </w:r>
      <w:r>
        <w:rPr>
          <w:sz w:val="24"/>
          <w:szCs w:val="24"/>
          <w:lang w:val="fr-FR"/>
        </w:rPr>
        <w:t xml:space="preserve"> </w:t>
      </w:r>
      <w:r w:rsidRPr="00CA1B58">
        <w:rPr>
          <w:sz w:val="24"/>
          <w:szCs w:val="24"/>
          <w:lang w:val="fr-FR"/>
        </w:rPr>
        <w:t xml:space="preserve">de détention d’enfants liée à l’immigration [soit] interdit dans la loi ». </w:t>
      </w:r>
    </w:p>
    <w:p w:rsidR="00794ADD" w:rsidRDefault="00794ADD" w:rsidP="00603A96">
      <w:pPr>
        <w:ind w:left="709"/>
        <w:jc w:val="both"/>
        <w:rPr>
          <w:sz w:val="24"/>
          <w:szCs w:val="24"/>
          <w:lang w:val="fr-FR"/>
        </w:rPr>
      </w:pPr>
    </w:p>
    <w:p w:rsidR="00794ADD" w:rsidRDefault="00794ADD" w:rsidP="00603A96">
      <w:pPr>
        <w:ind w:left="709"/>
        <w:jc w:val="both"/>
        <w:rPr>
          <w:sz w:val="24"/>
          <w:szCs w:val="24"/>
          <w:lang w:val="fr-FR"/>
        </w:rPr>
      </w:pPr>
      <w:r>
        <w:rPr>
          <w:sz w:val="24"/>
          <w:szCs w:val="24"/>
          <w:lang w:val="fr-FR"/>
        </w:rPr>
        <w:t xml:space="preserve">Nous vous invitons également à développer </w:t>
      </w:r>
      <w:r w:rsidRPr="00CA1B58">
        <w:rPr>
          <w:sz w:val="24"/>
          <w:szCs w:val="24"/>
          <w:lang w:val="fr-FR"/>
        </w:rPr>
        <w:t>des alternat</w:t>
      </w:r>
      <w:r>
        <w:rPr>
          <w:sz w:val="24"/>
          <w:szCs w:val="24"/>
          <w:lang w:val="fr-FR"/>
        </w:rPr>
        <w:t xml:space="preserve">ives à la rétention, </w:t>
      </w:r>
      <w:r w:rsidRPr="00CA1B58">
        <w:rPr>
          <w:sz w:val="24"/>
          <w:szCs w:val="24"/>
          <w:lang w:val="fr-FR"/>
        </w:rPr>
        <w:t>telles que</w:t>
      </w:r>
      <w:r>
        <w:rPr>
          <w:sz w:val="24"/>
          <w:szCs w:val="24"/>
          <w:lang w:val="fr-FR"/>
        </w:rPr>
        <w:t xml:space="preserve"> décri</w:t>
      </w:r>
      <w:r w:rsidR="0089045E">
        <w:rPr>
          <w:sz w:val="24"/>
          <w:szCs w:val="24"/>
          <w:lang w:val="fr-FR"/>
        </w:rPr>
        <w:t>te</w:t>
      </w:r>
      <w:r>
        <w:rPr>
          <w:sz w:val="24"/>
          <w:szCs w:val="24"/>
          <w:lang w:val="fr-FR"/>
        </w:rPr>
        <w:t xml:space="preserve">s dans le rapport du </w:t>
      </w:r>
      <w:r w:rsidR="0089045E">
        <w:rPr>
          <w:sz w:val="24"/>
          <w:szCs w:val="24"/>
          <w:lang w:val="fr-FR"/>
        </w:rPr>
        <w:t>R</w:t>
      </w:r>
      <w:r>
        <w:rPr>
          <w:sz w:val="24"/>
          <w:szCs w:val="24"/>
          <w:lang w:val="fr-FR"/>
        </w:rPr>
        <w:t>apporteur spécial sur les droits de l’homme de migrants présenté au Conseil des droits de l’homme en 2012 (</w:t>
      </w:r>
      <w:r w:rsidRPr="00BD5E72">
        <w:rPr>
          <w:sz w:val="24"/>
          <w:szCs w:val="24"/>
          <w:lang w:val="fr-FR"/>
        </w:rPr>
        <w:t>A/HRC/20/24</w:t>
      </w:r>
      <w:r>
        <w:rPr>
          <w:sz w:val="24"/>
          <w:szCs w:val="24"/>
          <w:lang w:val="fr-FR"/>
        </w:rPr>
        <w:t xml:space="preserve">). </w:t>
      </w:r>
    </w:p>
    <w:p w:rsidR="00794ADD" w:rsidRDefault="00794ADD" w:rsidP="00603A96">
      <w:pPr>
        <w:ind w:left="709"/>
        <w:jc w:val="both"/>
        <w:rPr>
          <w:sz w:val="24"/>
          <w:szCs w:val="24"/>
          <w:lang w:val="fr-FR"/>
        </w:rPr>
      </w:pPr>
    </w:p>
    <w:p w:rsidR="00794ADD" w:rsidRPr="00A15864" w:rsidRDefault="009B7C32" w:rsidP="00603A96">
      <w:pPr>
        <w:ind w:left="709"/>
        <w:jc w:val="both"/>
        <w:rPr>
          <w:sz w:val="24"/>
          <w:szCs w:val="24"/>
          <w:u w:val="single"/>
          <w:lang w:val="fr-FR"/>
        </w:rPr>
      </w:pPr>
      <w:r w:rsidRPr="00A15864">
        <w:rPr>
          <w:sz w:val="24"/>
          <w:szCs w:val="24"/>
          <w:u w:val="single"/>
          <w:lang w:val="fr-FR"/>
        </w:rPr>
        <w:t>Article</w:t>
      </w:r>
      <w:r w:rsidR="00A15864" w:rsidRPr="00A15864">
        <w:rPr>
          <w:sz w:val="24"/>
          <w:szCs w:val="24"/>
          <w:u w:val="single"/>
          <w:lang w:val="fr-FR"/>
        </w:rPr>
        <w:t xml:space="preserve"> 19-I 2 du projet de loi,</w:t>
      </w:r>
      <w:r w:rsidR="00794ADD" w:rsidRPr="00A15864">
        <w:rPr>
          <w:sz w:val="24"/>
          <w:szCs w:val="24"/>
          <w:u w:val="single"/>
          <w:lang w:val="fr-FR"/>
        </w:rPr>
        <w:t xml:space="preserve"> modifi</w:t>
      </w:r>
      <w:r w:rsidR="00A15864" w:rsidRPr="00A15864">
        <w:rPr>
          <w:sz w:val="24"/>
          <w:szCs w:val="24"/>
          <w:u w:val="single"/>
          <w:lang w:val="fr-FR"/>
        </w:rPr>
        <w:t>ant</w:t>
      </w:r>
      <w:r w:rsidR="00794ADD" w:rsidRPr="00A15864">
        <w:rPr>
          <w:sz w:val="24"/>
          <w:szCs w:val="24"/>
          <w:u w:val="single"/>
          <w:lang w:val="fr-FR"/>
        </w:rPr>
        <w:t xml:space="preserve"> l'article L.611-3 du CESEDA, et 19-II du projet de loi et l’article 441-8 du code pénal</w:t>
      </w:r>
      <w:r w:rsidR="00A15864">
        <w:rPr>
          <w:sz w:val="24"/>
          <w:szCs w:val="24"/>
          <w:u w:val="single"/>
          <w:lang w:val="fr-FR"/>
        </w:rPr>
        <w:t> ;</w:t>
      </w:r>
    </w:p>
    <w:p w:rsidR="00794ADD" w:rsidRDefault="00794ADD" w:rsidP="00603A96">
      <w:pPr>
        <w:ind w:left="709"/>
        <w:jc w:val="both"/>
        <w:rPr>
          <w:i/>
          <w:sz w:val="24"/>
          <w:szCs w:val="24"/>
          <w:u w:val="single"/>
          <w:lang w:val="fr-FR"/>
        </w:rPr>
      </w:pPr>
    </w:p>
    <w:p w:rsidR="00794ADD" w:rsidRDefault="00DA2F72" w:rsidP="00603A96">
      <w:pPr>
        <w:ind w:left="709"/>
        <w:jc w:val="both"/>
        <w:rPr>
          <w:sz w:val="24"/>
          <w:szCs w:val="24"/>
          <w:lang w:val="fr-FR"/>
        </w:rPr>
      </w:pPr>
      <w:r w:rsidRPr="00BF1DDB">
        <w:rPr>
          <w:sz w:val="24"/>
          <w:szCs w:val="24"/>
          <w:lang w:val="fr-FR"/>
        </w:rPr>
        <w:t xml:space="preserve">L’article 19 </w:t>
      </w:r>
      <w:r>
        <w:rPr>
          <w:sz w:val="24"/>
          <w:szCs w:val="24"/>
          <w:lang w:val="fr-FR"/>
        </w:rPr>
        <w:t xml:space="preserve">vise une interdiction du territoire français </w:t>
      </w:r>
      <w:r w:rsidR="00D50C93">
        <w:rPr>
          <w:sz w:val="24"/>
          <w:szCs w:val="24"/>
          <w:lang w:val="fr-FR"/>
        </w:rPr>
        <w:t xml:space="preserve">d’un étranger </w:t>
      </w:r>
      <w:r>
        <w:rPr>
          <w:sz w:val="24"/>
          <w:szCs w:val="24"/>
          <w:lang w:val="fr-FR"/>
        </w:rPr>
        <w:t xml:space="preserve">pendant une durée de trois ans en cas de refus de prise d’empreintes ou de photographie. En outre, cet article vise à créer </w:t>
      </w:r>
      <w:r w:rsidRPr="00DA2F72">
        <w:rPr>
          <w:sz w:val="24"/>
          <w:szCs w:val="24"/>
          <w:lang w:val="fr-FR"/>
        </w:rPr>
        <w:t>une retenue aux fins de vérification du droit au séjour</w:t>
      </w:r>
      <w:r>
        <w:rPr>
          <w:sz w:val="24"/>
          <w:szCs w:val="24"/>
          <w:lang w:val="fr-FR"/>
        </w:rPr>
        <w:t xml:space="preserve"> </w:t>
      </w:r>
      <w:r w:rsidR="003927A3">
        <w:rPr>
          <w:sz w:val="24"/>
          <w:szCs w:val="24"/>
          <w:lang w:val="fr-FR"/>
        </w:rPr>
        <w:t xml:space="preserve">d’un étranger </w:t>
      </w:r>
      <w:r w:rsidRPr="00DA2F72">
        <w:rPr>
          <w:sz w:val="24"/>
          <w:szCs w:val="24"/>
          <w:lang w:val="fr-FR"/>
        </w:rPr>
        <w:t>qui serait</w:t>
      </w:r>
      <w:r w:rsidR="00754215">
        <w:rPr>
          <w:sz w:val="24"/>
          <w:szCs w:val="24"/>
          <w:lang w:val="fr-FR"/>
        </w:rPr>
        <w:t xml:space="preserve"> d’une durée maximale </w:t>
      </w:r>
      <w:r>
        <w:rPr>
          <w:sz w:val="24"/>
          <w:szCs w:val="24"/>
          <w:lang w:val="fr-FR"/>
        </w:rPr>
        <w:t xml:space="preserve">de 24 heures. </w:t>
      </w:r>
      <w:r w:rsidR="00794ADD">
        <w:rPr>
          <w:sz w:val="24"/>
          <w:szCs w:val="24"/>
          <w:lang w:val="fr-FR"/>
        </w:rPr>
        <w:t xml:space="preserve">Nous sommes préoccupés par ces propositions, </w:t>
      </w:r>
      <w:r w:rsidR="00754215">
        <w:rPr>
          <w:sz w:val="24"/>
          <w:szCs w:val="24"/>
          <w:lang w:val="fr-FR"/>
        </w:rPr>
        <w:t>qui aggraveraient</w:t>
      </w:r>
      <w:r w:rsidR="00794ADD" w:rsidRPr="00DE0F0B">
        <w:rPr>
          <w:sz w:val="24"/>
          <w:szCs w:val="24"/>
          <w:lang w:val="fr-FR"/>
        </w:rPr>
        <w:t xml:space="preserve"> certaines des sanctions pénales visant exclusivement les étrangers.</w:t>
      </w:r>
      <w:r w:rsidR="00794ADD" w:rsidRPr="00DE0F0B">
        <w:rPr>
          <w:lang w:val="fr-CH"/>
        </w:rPr>
        <w:t xml:space="preserve"> </w:t>
      </w:r>
      <w:r w:rsidR="00794ADD" w:rsidRPr="00DE0F0B">
        <w:rPr>
          <w:sz w:val="24"/>
          <w:szCs w:val="24"/>
          <w:lang w:val="fr-FR"/>
        </w:rPr>
        <w:t>A</w:t>
      </w:r>
      <w:r w:rsidR="00DF1B13">
        <w:rPr>
          <w:sz w:val="24"/>
          <w:szCs w:val="24"/>
          <w:lang w:val="fr-FR"/>
        </w:rPr>
        <w:t xml:space="preserve"> </w:t>
      </w:r>
      <w:r w:rsidR="00794ADD" w:rsidRPr="00DE0F0B">
        <w:rPr>
          <w:sz w:val="24"/>
          <w:szCs w:val="24"/>
          <w:lang w:val="fr-FR"/>
        </w:rPr>
        <w:t xml:space="preserve">cet égard, nous souhaitons attirer l’attention du Gouvernement de votre Excellence sur le principe de non-discrimination inscrit dans l’article 2 de la Déclaration Universelle des Droits de l’Homme, dans les articles 2 et 26 du </w:t>
      </w:r>
      <w:r w:rsidR="00794ADD">
        <w:rPr>
          <w:sz w:val="24"/>
          <w:szCs w:val="24"/>
          <w:lang w:val="fr-FR"/>
        </w:rPr>
        <w:t>PIDCP</w:t>
      </w:r>
      <w:r w:rsidR="00FC5A07">
        <w:rPr>
          <w:sz w:val="24"/>
          <w:szCs w:val="24"/>
          <w:lang w:val="fr-FR"/>
        </w:rPr>
        <w:t>, énoncé</w:t>
      </w:r>
      <w:r>
        <w:rPr>
          <w:sz w:val="24"/>
          <w:szCs w:val="24"/>
          <w:lang w:val="fr-FR"/>
        </w:rPr>
        <w:t xml:space="preserve"> ci-dessus,</w:t>
      </w:r>
      <w:r w:rsidR="00794ADD" w:rsidRPr="00DE0F0B">
        <w:rPr>
          <w:sz w:val="24"/>
          <w:szCs w:val="24"/>
          <w:lang w:val="fr-FR"/>
        </w:rPr>
        <w:t xml:space="preserve"> ainsi que dans plusieurs autres déclarations et conventions des Nations Unies, qui stipulent que chaque individu a droit à la protection de ses droits et libertés, sans discrimination ou distinction d’aucune sorte, et que l’accès égal et efficace à la justice pour la revendication de ces droits et libertés soit garanti à tous.</w:t>
      </w:r>
    </w:p>
    <w:p w:rsidR="00794ADD" w:rsidRDefault="00794ADD" w:rsidP="00603A96">
      <w:pPr>
        <w:ind w:left="709"/>
        <w:jc w:val="both"/>
        <w:rPr>
          <w:sz w:val="24"/>
          <w:szCs w:val="24"/>
          <w:lang w:val="fr-FR"/>
        </w:rPr>
      </w:pPr>
    </w:p>
    <w:p w:rsidR="00794ADD" w:rsidRPr="00A15864" w:rsidRDefault="009B7C32" w:rsidP="00603A96">
      <w:pPr>
        <w:ind w:left="709"/>
        <w:jc w:val="both"/>
        <w:rPr>
          <w:sz w:val="24"/>
          <w:szCs w:val="24"/>
          <w:u w:val="single"/>
          <w:lang w:val="fr-FR"/>
        </w:rPr>
      </w:pPr>
      <w:r w:rsidRPr="00A15864">
        <w:rPr>
          <w:sz w:val="24"/>
          <w:szCs w:val="24"/>
          <w:u w:val="single"/>
          <w:lang w:val="fr-FR"/>
        </w:rPr>
        <w:t>Article</w:t>
      </w:r>
      <w:r w:rsidR="00A15864" w:rsidRPr="00A15864">
        <w:rPr>
          <w:sz w:val="24"/>
          <w:szCs w:val="24"/>
          <w:u w:val="single"/>
          <w:lang w:val="fr-FR"/>
        </w:rPr>
        <w:t xml:space="preserve"> </w:t>
      </w:r>
      <w:r w:rsidR="00794ADD" w:rsidRPr="00A15864">
        <w:rPr>
          <w:sz w:val="24"/>
          <w:szCs w:val="24"/>
          <w:u w:val="single"/>
          <w:lang w:val="fr-FR"/>
        </w:rPr>
        <w:t>23</w:t>
      </w:r>
      <w:r w:rsidR="00A15864" w:rsidRPr="00A15864">
        <w:rPr>
          <w:sz w:val="24"/>
          <w:szCs w:val="24"/>
          <w:u w:val="single"/>
          <w:lang w:val="fr-FR"/>
        </w:rPr>
        <w:t xml:space="preserve"> du projet de loi</w:t>
      </w:r>
      <w:r w:rsidR="00794ADD" w:rsidRPr="00A15864">
        <w:rPr>
          <w:sz w:val="24"/>
          <w:szCs w:val="24"/>
          <w:u w:val="single"/>
          <w:lang w:val="fr-FR"/>
        </w:rPr>
        <w:t>, concernant L. 311-6 CESEDA</w:t>
      </w:r>
      <w:r w:rsidR="00A15864">
        <w:rPr>
          <w:sz w:val="24"/>
          <w:szCs w:val="24"/>
          <w:u w:val="single"/>
          <w:lang w:val="fr-FR"/>
        </w:rPr>
        <w:t> ;</w:t>
      </w:r>
    </w:p>
    <w:p w:rsidR="00794ADD" w:rsidRDefault="00794ADD" w:rsidP="00603A96">
      <w:pPr>
        <w:ind w:left="709"/>
        <w:jc w:val="both"/>
        <w:rPr>
          <w:sz w:val="24"/>
          <w:szCs w:val="24"/>
          <w:lang w:val="fr-FR"/>
        </w:rPr>
      </w:pPr>
    </w:p>
    <w:p w:rsidR="00794ADD" w:rsidRPr="00445A1C" w:rsidRDefault="00794ADD" w:rsidP="00603A96">
      <w:pPr>
        <w:ind w:left="709"/>
        <w:jc w:val="both"/>
        <w:rPr>
          <w:sz w:val="24"/>
          <w:szCs w:val="24"/>
          <w:lang w:val="fr-FR"/>
        </w:rPr>
      </w:pPr>
      <w:r w:rsidRPr="00BF1DDB">
        <w:rPr>
          <w:sz w:val="24"/>
          <w:szCs w:val="24"/>
          <w:lang w:val="fr-FR"/>
        </w:rPr>
        <w:t>L’article 23</w:t>
      </w:r>
      <w:r w:rsidR="00B72292" w:rsidRPr="00BF1DDB">
        <w:rPr>
          <w:sz w:val="24"/>
          <w:szCs w:val="24"/>
          <w:lang w:val="fr-FR"/>
        </w:rPr>
        <w:t xml:space="preserve"> prévoit qu</w:t>
      </w:r>
      <w:r w:rsidR="00DA2F72" w:rsidRPr="00BF1DDB">
        <w:rPr>
          <w:sz w:val="24"/>
          <w:szCs w:val="24"/>
          <w:lang w:val="fr-FR"/>
        </w:rPr>
        <w:t>’un demandeur d’asile pourra</w:t>
      </w:r>
      <w:r w:rsidR="00B72292" w:rsidRPr="00BF1DDB">
        <w:rPr>
          <w:sz w:val="24"/>
          <w:szCs w:val="24"/>
          <w:lang w:val="fr-FR"/>
        </w:rPr>
        <w:t xml:space="preserve"> </w:t>
      </w:r>
      <w:r w:rsidRPr="00BF1DDB">
        <w:rPr>
          <w:sz w:val="24"/>
          <w:szCs w:val="24"/>
          <w:lang w:val="fr-FR"/>
        </w:rPr>
        <w:t xml:space="preserve">dans un délai </w:t>
      </w:r>
      <w:r w:rsidR="00DA2F72" w:rsidRPr="00BF1DDB">
        <w:rPr>
          <w:sz w:val="24"/>
          <w:szCs w:val="24"/>
          <w:lang w:val="fr-FR"/>
        </w:rPr>
        <w:t xml:space="preserve">fixé </w:t>
      </w:r>
      <w:r w:rsidRPr="00BF1DDB">
        <w:rPr>
          <w:sz w:val="24"/>
          <w:szCs w:val="24"/>
          <w:lang w:val="fr-FR"/>
        </w:rPr>
        <w:t xml:space="preserve">déposer une demande de titre de séjour pour un autre motif. </w:t>
      </w:r>
      <w:r w:rsidR="00DA2F72">
        <w:rPr>
          <w:sz w:val="24"/>
          <w:szCs w:val="24"/>
          <w:lang w:val="fr-FR"/>
        </w:rPr>
        <w:t>Ainsi, un</w:t>
      </w:r>
      <w:r w:rsidRPr="00BF1DDB">
        <w:rPr>
          <w:sz w:val="24"/>
          <w:szCs w:val="24"/>
          <w:lang w:val="fr-FR"/>
        </w:rPr>
        <w:t xml:space="preserve"> ressortissant étranger faisant l’objet d’une mesure d’éloignement fondée sur le rejet de sa demande d’asile ne pourra plus solliciter un titre de séjour hors du délai fixé, sauf circonstances nouvelles. </w:t>
      </w:r>
      <w:r w:rsidR="002628C5">
        <w:rPr>
          <w:sz w:val="24"/>
          <w:szCs w:val="24"/>
          <w:lang w:val="fr-FR"/>
        </w:rPr>
        <w:t>Bien</w:t>
      </w:r>
      <w:r>
        <w:rPr>
          <w:sz w:val="24"/>
          <w:szCs w:val="24"/>
          <w:lang w:val="fr-FR"/>
        </w:rPr>
        <w:t xml:space="preserve"> que nous </w:t>
      </w:r>
      <w:r w:rsidR="001A1ED7">
        <w:rPr>
          <w:sz w:val="24"/>
          <w:szCs w:val="24"/>
          <w:lang w:val="fr-FR"/>
        </w:rPr>
        <w:t>sommes favorables aux</w:t>
      </w:r>
      <w:r>
        <w:rPr>
          <w:sz w:val="24"/>
          <w:szCs w:val="24"/>
          <w:lang w:val="fr-FR"/>
        </w:rPr>
        <w:t xml:space="preserve"> dispositions qui visent la régularisation de migrants en parallèle de l’instruction d’une demande d’asile en France</w:t>
      </w:r>
      <w:r w:rsidR="00531B09">
        <w:rPr>
          <w:sz w:val="24"/>
          <w:szCs w:val="24"/>
          <w:lang w:val="fr-FR"/>
        </w:rPr>
        <w:t>,</w:t>
      </w:r>
      <w:r>
        <w:rPr>
          <w:sz w:val="24"/>
          <w:szCs w:val="24"/>
          <w:lang w:val="fr-FR"/>
        </w:rPr>
        <w:t xml:space="preserve"> nous sommes préoccupés </w:t>
      </w:r>
      <w:r w:rsidR="00E63DBE">
        <w:rPr>
          <w:sz w:val="24"/>
          <w:szCs w:val="24"/>
          <w:lang w:val="fr-FR"/>
        </w:rPr>
        <w:t>par le fait que</w:t>
      </w:r>
      <w:r w:rsidRPr="00CA3E82">
        <w:rPr>
          <w:sz w:val="24"/>
          <w:szCs w:val="24"/>
          <w:lang w:val="fr-FR"/>
        </w:rPr>
        <w:t xml:space="preserve"> cette modification porte une atteinte significative</w:t>
      </w:r>
      <w:r>
        <w:rPr>
          <w:sz w:val="24"/>
          <w:szCs w:val="24"/>
          <w:lang w:val="fr-FR"/>
        </w:rPr>
        <w:t xml:space="preserve"> au droit des étrangers malades, si des demandes à un titre de séjour sont déposé</w:t>
      </w:r>
      <w:r w:rsidR="00C81142">
        <w:rPr>
          <w:sz w:val="24"/>
          <w:szCs w:val="24"/>
          <w:lang w:val="fr-FR"/>
        </w:rPr>
        <w:t>e</w:t>
      </w:r>
      <w:r>
        <w:rPr>
          <w:sz w:val="24"/>
          <w:szCs w:val="24"/>
          <w:lang w:val="fr-FR"/>
        </w:rPr>
        <w:t>s après le rejet de leur demande d’asile</w:t>
      </w:r>
      <w:r w:rsidR="00C81142">
        <w:rPr>
          <w:sz w:val="24"/>
          <w:szCs w:val="24"/>
          <w:lang w:val="fr-FR"/>
        </w:rPr>
        <w:t>. Nous</w:t>
      </w:r>
      <w:r>
        <w:rPr>
          <w:sz w:val="24"/>
          <w:szCs w:val="24"/>
          <w:lang w:val="fr-FR"/>
        </w:rPr>
        <w:t xml:space="preserve"> souhaiterions attirer à nouveau l’attention du Gouvernement de votre Excellence </w:t>
      </w:r>
      <w:r w:rsidR="00C81142">
        <w:rPr>
          <w:sz w:val="24"/>
          <w:szCs w:val="24"/>
          <w:lang w:val="fr-FR"/>
        </w:rPr>
        <w:t>sur</w:t>
      </w:r>
      <w:r>
        <w:rPr>
          <w:sz w:val="24"/>
          <w:szCs w:val="24"/>
          <w:lang w:val="fr-FR"/>
        </w:rPr>
        <w:t xml:space="preserve"> son obligation de mener une </w:t>
      </w:r>
      <w:r w:rsidRPr="00445A1C">
        <w:rPr>
          <w:sz w:val="24"/>
          <w:szCs w:val="24"/>
          <w:lang w:val="fr-FR"/>
        </w:rPr>
        <w:t xml:space="preserve">véritable évaluation personnalisée </w:t>
      </w:r>
      <w:r w:rsidR="00754215">
        <w:rPr>
          <w:sz w:val="24"/>
          <w:szCs w:val="24"/>
          <w:lang w:val="fr-FR"/>
        </w:rPr>
        <w:t xml:space="preserve">de </w:t>
      </w:r>
      <w:r>
        <w:rPr>
          <w:sz w:val="24"/>
          <w:szCs w:val="24"/>
          <w:lang w:val="fr-FR"/>
        </w:rPr>
        <w:t xml:space="preserve">chaque personne afin d’établir les risques </w:t>
      </w:r>
      <w:r w:rsidR="00C81142">
        <w:rPr>
          <w:sz w:val="24"/>
          <w:szCs w:val="24"/>
          <w:lang w:val="fr-FR"/>
        </w:rPr>
        <w:t>encourus</w:t>
      </w:r>
      <w:r w:rsidRPr="00445A1C">
        <w:rPr>
          <w:sz w:val="24"/>
          <w:szCs w:val="24"/>
          <w:lang w:val="fr-FR"/>
        </w:rPr>
        <w:t xml:space="preserve"> s’ils étaient renvoyés dans leur pays d’origine</w:t>
      </w:r>
      <w:r>
        <w:rPr>
          <w:sz w:val="24"/>
          <w:szCs w:val="24"/>
          <w:lang w:val="fr-FR"/>
        </w:rPr>
        <w:t>. Dans ce contexte nous aimerions attirer l’attention du Gouvern</w:t>
      </w:r>
      <w:r w:rsidR="00B97628">
        <w:rPr>
          <w:sz w:val="24"/>
          <w:szCs w:val="24"/>
          <w:lang w:val="fr-FR"/>
        </w:rPr>
        <w:t>e</w:t>
      </w:r>
      <w:r>
        <w:rPr>
          <w:sz w:val="24"/>
          <w:szCs w:val="24"/>
          <w:lang w:val="fr-FR"/>
        </w:rPr>
        <w:t xml:space="preserve">ment de votre Excellence sur la jurisprudence de la Cour </w:t>
      </w:r>
      <w:r w:rsidR="00461214">
        <w:rPr>
          <w:sz w:val="24"/>
          <w:szCs w:val="24"/>
          <w:lang w:val="fr-FR"/>
        </w:rPr>
        <w:t>e</w:t>
      </w:r>
      <w:r>
        <w:rPr>
          <w:sz w:val="24"/>
          <w:szCs w:val="24"/>
          <w:lang w:val="fr-FR"/>
        </w:rPr>
        <w:t>uropéenne des droits de l’homme et ses jugements dans l’</w:t>
      </w:r>
      <w:r w:rsidR="00C81142">
        <w:rPr>
          <w:sz w:val="24"/>
          <w:szCs w:val="24"/>
          <w:lang w:val="fr-FR"/>
        </w:rPr>
        <w:t>a</w:t>
      </w:r>
      <w:r>
        <w:rPr>
          <w:sz w:val="24"/>
          <w:szCs w:val="24"/>
          <w:lang w:val="fr-FR"/>
        </w:rPr>
        <w:t xml:space="preserve">ffaire </w:t>
      </w:r>
      <w:r w:rsidRPr="00445A1C">
        <w:rPr>
          <w:sz w:val="24"/>
          <w:szCs w:val="24"/>
          <w:lang w:val="fr-FR"/>
        </w:rPr>
        <w:t xml:space="preserve">N. c. </w:t>
      </w:r>
      <w:r>
        <w:rPr>
          <w:sz w:val="24"/>
          <w:szCs w:val="24"/>
          <w:lang w:val="fr-FR"/>
        </w:rPr>
        <w:t xml:space="preserve">Royaume-Uni </w:t>
      </w:r>
      <w:r w:rsidRPr="00445A1C">
        <w:rPr>
          <w:sz w:val="24"/>
          <w:szCs w:val="24"/>
          <w:lang w:val="fr-FR"/>
        </w:rPr>
        <w:t xml:space="preserve">(Requête no 26565/05) </w:t>
      </w:r>
      <w:r>
        <w:rPr>
          <w:sz w:val="24"/>
          <w:szCs w:val="24"/>
          <w:lang w:val="fr-FR"/>
        </w:rPr>
        <w:t xml:space="preserve">et l’affaire Paposhvili c. Belgique  </w:t>
      </w:r>
      <w:r w:rsidRPr="00445A1C">
        <w:rPr>
          <w:sz w:val="24"/>
          <w:szCs w:val="24"/>
          <w:lang w:val="fr-FR"/>
        </w:rPr>
        <w:t>(Requête no 41738/10)</w:t>
      </w:r>
      <w:r>
        <w:rPr>
          <w:sz w:val="24"/>
          <w:szCs w:val="24"/>
          <w:lang w:val="fr-FR"/>
        </w:rPr>
        <w:t xml:space="preserve">, où la Cour </w:t>
      </w:r>
      <w:r w:rsidRPr="00445A1C">
        <w:rPr>
          <w:sz w:val="24"/>
          <w:szCs w:val="24"/>
          <w:lang w:val="fr-FR"/>
        </w:rPr>
        <w:t>considérait</w:t>
      </w:r>
      <w:r>
        <w:rPr>
          <w:sz w:val="24"/>
          <w:szCs w:val="24"/>
          <w:lang w:val="fr-FR"/>
        </w:rPr>
        <w:t xml:space="preserve"> que</w:t>
      </w:r>
      <w:r w:rsidRPr="00445A1C">
        <w:rPr>
          <w:sz w:val="24"/>
          <w:szCs w:val="24"/>
          <w:lang w:val="fr-FR"/>
        </w:rPr>
        <w:t xml:space="preserve"> le renvoi d'un étranger gravement malade dans son pays </w:t>
      </w:r>
      <w:r w:rsidR="00754215">
        <w:rPr>
          <w:sz w:val="24"/>
          <w:szCs w:val="24"/>
          <w:lang w:val="fr-FR"/>
        </w:rPr>
        <w:t xml:space="preserve">était </w:t>
      </w:r>
      <w:r w:rsidRPr="00445A1C">
        <w:rPr>
          <w:sz w:val="24"/>
          <w:szCs w:val="24"/>
          <w:lang w:val="fr-FR"/>
        </w:rPr>
        <w:t>constitutif d'un traitement inhumain ou dégradant contraire à l'article 3 de la Convention européenne des droits de l’Homme</w:t>
      </w:r>
      <w:r w:rsidR="00531B09">
        <w:rPr>
          <w:sz w:val="24"/>
          <w:szCs w:val="24"/>
          <w:lang w:val="fr-FR"/>
        </w:rPr>
        <w:t>.</w:t>
      </w:r>
    </w:p>
    <w:p w:rsidR="00794ADD" w:rsidRPr="000A4DC6" w:rsidRDefault="00794ADD" w:rsidP="00603A96">
      <w:pPr>
        <w:ind w:left="709"/>
        <w:jc w:val="both"/>
        <w:rPr>
          <w:sz w:val="24"/>
          <w:szCs w:val="24"/>
          <w:lang w:val="fr-CH"/>
        </w:rPr>
      </w:pPr>
    </w:p>
    <w:p w:rsidR="00794ADD" w:rsidRPr="00A15864" w:rsidRDefault="009B7C32" w:rsidP="00603A96">
      <w:pPr>
        <w:ind w:left="709"/>
        <w:jc w:val="both"/>
        <w:rPr>
          <w:sz w:val="24"/>
          <w:szCs w:val="24"/>
          <w:u w:val="single"/>
          <w:lang w:val="fr-FR"/>
        </w:rPr>
      </w:pPr>
      <w:r w:rsidRPr="00A15864">
        <w:rPr>
          <w:sz w:val="24"/>
          <w:szCs w:val="24"/>
          <w:u w:val="single"/>
          <w:lang w:val="fr-FR"/>
        </w:rPr>
        <w:t>Article</w:t>
      </w:r>
      <w:r w:rsidR="00A15864" w:rsidRPr="00A15864">
        <w:rPr>
          <w:sz w:val="24"/>
          <w:szCs w:val="24"/>
          <w:u w:val="single"/>
          <w:lang w:val="fr-FR"/>
        </w:rPr>
        <w:t xml:space="preserve"> </w:t>
      </w:r>
      <w:r w:rsidR="00794ADD" w:rsidRPr="00A15864">
        <w:rPr>
          <w:sz w:val="24"/>
          <w:szCs w:val="24"/>
          <w:u w:val="single"/>
          <w:lang w:val="fr-FR"/>
        </w:rPr>
        <w:t>30</w:t>
      </w:r>
      <w:r w:rsidR="00A15864">
        <w:rPr>
          <w:sz w:val="24"/>
          <w:szCs w:val="24"/>
          <w:u w:val="single"/>
          <w:lang w:val="fr-FR"/>
        </w:rPr>
        <w:t xml:space="preserve"> I du projet de loi, </w:t>
      </w:r>
      <w:r w:rsidR="00794ADD" w:rsidRPr="00A15864">
        <w:rPr>
          <w:sz w:val="24"/>
          <w:szCs w:val="24"/>
          <w:u w:val="single"/>
          <w:lang w:val="fr-FR"/>
        </w:rPr>
        <w:t xml:space="preserve"> modifiant l’article L.313-11 6° du CESEDA </w:t>
      </w:r>
      <w:r w:rsidR="00794ADD" w:rsidRPr="00A15864">
        <w:rPr>
          <w:sz w:val="22"/>
          <w:szCs w:val="22"/>
          <w:u w:val="single"/>
          <w:lang w:val="fr-CH"/>
        </w:rPr>
        <w:t xml:space="preserve">et </w:t>
      </w:r>
      <w:r w:rsidRPr="00A15864">
        <w:rPr>
          <w:sz w:val="22"/>
          <w:szCs w:val="22"/>
          <w:u w:val="single"/>
          <w:lang w:val="fr-CH"/>
        </w:rPr>
        <w:t>Article</w:t>
      </w:r>
      <w:r w:rsidR="00A15864">
        <w:rPr>
          <w:sz w:val="22"/>
          <w:szCs w:val="22"/>
          <w:u w:val="single"/>
          <w:lang w:val="fr-CH"/>
        </w:rPr>
        <w:t xml:space="preserve"> </w:t>
      </w:r>
      <w:r w:rsidR="00794ADD" w:rsidRPr="00A15864">
        <w:rPr>
          <w:sz w:val="22"/>
          <w:szCs w:val="22"/>
          <w:u w:val="single"/>
          <w:lang w:val="fr-CH"/>
        </w:rPr>
        <w:t>30 II</w:t>
      </w:r>
      <w:r w:rsidR="00A15864">
        <w:rPr>
          <w:sz w:val="22"/>
          <w:szCs w:val="22"/>
          <w:u w:val="single"/>
          <w:lang w:val="fr-CH"/>
        </w:rPr>
        <w:t xml:space="preserve"> du projet de loi</w:t>
      </w:r>
      <w:r w:rsidR="00794ADD" w:rsidRPr="00A15864">
        <w:rPr>
          <w:sz w:val="22"/>
          <w:szCs w:val="22"/>
          <w:u w:val="single"/>
          <w:lang w:val="fr-CH"/>
        </w:rPr>
        <w:t>, modifiant L.314-9 2° du CESEDA</w:t>
      </w:r>
    </w:p>
    <w:p w:rsidR="00794ADD" w:rsidRPr="00314064" w:rsidRDefault="00794ADD" w:rsidP="00603A96">
      <w:pPr>
        <w:ind w:left="709"/>
        <w:jc w:val="both"/>
        <w:rPr>
          <w:sz w:val="24"/>
          <w:szCs w:val="24"/>
          <w:lang w:val="fr-FR"/>
        </w:rPr>
      </w:pPr>
    </w:p>
    <w:p w:rsidR="00794ADD" w:rsidRPr="00314064" w:rsidRDefault="00E4044F" w:rsidP="00603A96">
      <w:pPr>
        <w:ind w:left="709"/>
        <w:jc w:val="both"/>
        <w:rPr>
          <w:sz w:val="24"/>
          <w:szCs w:val="24"/>
          <w:lang w:val="fr-FR"/>
        </w:rPr>
      </w:pPr>
      <w:r w:rsidRPr="00E4044F">
        <w:rPr>
          <w:sz w:val="24"/>
          <w:szCs w:val="24"/>
          <w:lang w:val="fr-CH"/>
        </w:rPr>
        <w:t>Le projet de loi</w:t>
      </w:r>
      <w:r>
        <w:rPr>
          <w:sz w:val="24"/>
          <w:szCs w:val="24"/>
          <w:lang w:val="fr-CH"/>
        </w:rPr>
        <w:t xml:space="preserve"> dans ses articles 30 I 6° et 30 II 2°</w:t>
      </w:r>
      <w:r w:rsidRPr="00E4044F">
        <w:rPr>
          <w:sz w:val="24"/>
          <w:szCs w:val="24"/>
          <w:lang w:val="fr-CH"/>
        </w:rPr>
        <w:t xml:space="preserve"> prévoit d’importantes restrictions à l’égard des ressortissants étrangers parents d’enfants français, tant en ce qui concerne leur droit au séjour que le droit à la filiation de leurs enfants. Ces modifications législatives sont particulièrement préoccupantes et clairement contraires à l’intérêt supérieur de l’enfant</w:t>
      </w:r>
      <w:r>
        <w:rPr>
          <w:sz w:val="24"/>
          <w:szCs w:val="24"/>
          <w:lang w:val="fr-CH"/>
        </w:rPr>
        <w:t xml:space="preserve">, </w:t>
      </w:r>
      <w:r w:rsidR="00794ADD" w:rsidRPr="00314064">
        <w:rPr>
          <w:sz w:val="24"/>
          <w:szCs w:val="24"/>
          <w:lang w:val="fr-CH"/>
        </w:rPr>
        <w:t>tel que stipulé dans</w:t>
      </w:r>
      <w:r w:rsidR="00FC5A07">
        <w:rPr>
          <w:sz w:val="24"/>
          <w:szCs w:val="24"/>
          <w:lang w:val="fr-CH"/>
        </w:rPr>
        <w:t xml:space="preserve"> l’ar</w:t>
      </w:r>
      <w:r w:rsidR="00754215">
        <w:rPr>
          <w:sz w:val="24"/>
          <w:szCs w:val="24"/>
          <w:lang w:val="fr-CH"/>
        </w:rPr>
        <w:t>ticle 3</w:t>
      </w:r>
      <w:r w:rsidR="00FC5A07">
        <w:rPr>
          <w:sz w:val="24"/>
          <w:szCs w:val="24"/>
          <w:lang w:val="fr-CH"/>
        </w:rPr>
        <w:t xml:space="preserve"> de</w:t>
      </w:r>
      <w:r w:rsidR="00794ADD" w:rsidRPr="00314064">
        <w:rPr>
          <w:sz w:val="24"/>
          <w:szCs w:val="24"/>
          <w:lang w:val="fr-CH"/>
        </w:rPr>
        <w:t xml:space="preserve"> la Convention de droits de l’enfant</w:t>
      </w:r>
      <w:r w:rsidR="007E535C">
        <w:rPr>
          <w:sz w:val="24"/>
          <w:szCs w:val="24"/>
          <w:lang w:val="fr-CH"/>
        </w:rPr>
        <w:t xml:space="preserve"> et risque de violer les dispositions de l’article 23 du PIDCP, </w:t>
      </w:r>
      <w:r w:rsidR="007E535C" w:rsidRPr="007E535C">
        <w:rPr>
          <w:sz w:val="24"/>
          <w:szCs w:val="24"/>
          <w:lang w:val="fr-CH"/>
        </w:rPr>
        <w:t xml:space="preserve">qui </w:t>
      </w:r>
      <w:r w:rsidR="00611D45">
        <w:rPr>
          <w:sz w:val="24"/>
          <w:szCs w:val="24"/>
          <w:lang w:val="fr-CH"/>
        </w:rPr>
        <w:t>vise à protéger l’unité familiale</w:t>
      </w:r>
      <w:r w:rsidR="007E535C" w:rsidRPr="007E535C">
        <w:rPr>
          <w:sz w:val="24"/>
          <w:szCs w:val="24"/>
          <w:lang w:val="fr-CH"/>
        </w:rPr>
        <w:t xml:space="preserve">.  </w:t>
      </w:r>
    </w:p>
    <w:p w:rsidR="00794ADD" w:rsidRDefault="00794ADD" w:rsidP="00794ADD">
      <w:pPr>
        <w:jc w:val="both"/>
        <w:rPr>
          <w:sz w:val="24"/>
          <w:szCs w:val="24"/>
          <w:lang w:val="fr-FR"/>
        </w:rPr>
      </w:pPr>
    </w:p>
    <w:p w:rsidR="00794ADD" w:rsidRDefault="00794ADD" w:rsidP="00794ADD">
      <w:pPr>
        <w:ind w:firstLine="720"/>
        <w:jc w:val="both"/>
        <w:rPr>
          <w:sz w:val="24"/>
          <w:szCs w:val="24"/>
          <w:lang w:val="fr-FR"/>
        </w:rPr>
      </w:pPr>
      <w:r>
        <w:rPr>
          <w:sz w:val="24"/>
          <w:szCs w:val="24"/>
          <w:lang w:val="fr-FR"/>
        </w:rPr>
        <w:t>Pour conclure, n</w:t>
      </w:r>
      <w:r w:rsidRPr="00B20F26">
        <w:rPr>
          <w:sz w:val="24"/>
          <w:szCs w:val="24"/>
          <w:lang w:val="fr-FR"/>
        </w:rPr>
        <w:t xml:space="preserve">ous sommes particulièrement préoccupés </w:t>
      </w:r>
      <w:r>
        <w:rPr>
          <w:sz w:val="24"/>
          <w:szCs w:val="24"/>
          <w:lang w:val="fr-FR"/>
        </w:rPr>
        <w:t xml:space="preserve">que </w:t>
      </w:r>
      <w:r w:rsidRPr="00A502B6">
        <w:rPr>
          <w:sz w:val="24"/>
          <w:szCs w:val="24"/>
          <w:lang w:val="fr-FR"/>
        </w:rPr>
        <w:t>l’ensemble des</w:t>
      </w:r>
      <w:r>
        <w:rPr>
          <w:sz w:val="24"/>
          <w:szCs w:val="24"/>
          <w:lang w:val="fr-FR"/>
        </w:rPr>
        <w:t xml:space="preserve"> mesures envisagées, </w:t>
      </w:r>
      <w:r w:rsidRPr="00B20F26">
        <w:rPr>
          <w:sz w:val="24"/>
          <w:szCs w:val="24"/>
          <w:lang w:val="fr-FR"/>
        </w:rPr>
        <w:t>s’inscrivent dans le contexte d’un durcisse</w:t>
      </w:r>
      <w:r>
        <w:rPr>
          <w:sz w:val="24"/>
          <w:szCs w:val="24"/>
          <w:lang w:val="fr-FR"/>
        </w:rPr>
        <w:t>ment de la politique migratoire en France et</w:t>
      </w:r>
      <w:r w:rsidRPr="00A502B6">
        <w:rPr>
          <w:sz w:val="24"/>
          <w:szCs w:val="24"/>
          <w:lang w:val="fr-FR"/>
        </w:rPr>
        <w:t xml:space="preserve"> dans une logique de pénalisation et de sanction des </w:t>
      </w:r>
      <w:r>
        <w:rPr>
          <w:sz w:val="24"/>
          <w:szCs w:val="24"/>
          <w:lang w:val="fr-FR"/>
        </w:rPr>
        <w:t>migrants. Ces mesures entravent</w:t>
      </w:r>
      <w:r w:rsidRPr="00B20F26">
        <w:rPr>
          <w:sz w:val="24"/>
          <w:szCs w:val="24"/>
          <w:lang w:val="fr-FR"/>
        </w:rPr>
        <w:t xml:space="preserve"> les droits des migrants et rend</w:t>
      </w:r>
      <w:r>
        <w:rPr>
          <w:sz w:val="24"/>
          <w:szCs w:val="24"/>
          <w:lang w:val="fr-FR"/>
        </w:rPr>
        <w:t>ent</w:t>
      </w:r>
      <w:r w:rsidRPr="00B20F26">
        <w:rPr>
          <w:sz w:val="24"/>
          <w:szCs w:val="24"/>
          <w:lang w:val="fr-FR"/>
        </w:rPr>
        <w:t xml:space="preserve"> l’accès aux services de plus en plus difficile.</w:t>
      </w:r>
      <w:r>
        <w:rPr>
          <w:sz w:val="24"/>
          <w:szCs w:val="24"/>
          <w:lang w:val="fr-FR"/>
        </w:rPr>
        <w:t xml:space="preserve"> </w:t>
      </w:r>
    </w:p>
    <w:p w:rsidR="00794ADD" w:rsidRPr="003B1810" w:rsidRDefault="00794ADD" w:rsidP="00794ADD">
      <w:pPr>
        <w:spacing w:line="240" w:lineRule="atLeast"/>
        <w:ind w:firstLine="720"/>
        <w:jc w:val="both"/>
        <w:rPr>
          <w:sz w:val="24"/>
          <w:szCs w:val="24"/>
          <w:lang w:val="fr-CH"/>
        </w:rPr>
      </w:pPr>
    </w:p>
    <w:p w:rsidR="00794ADD" w:rsidRPr="00D76CCF" w:rsidRDefault="00794ADD" w:rsidP="00794ADD">
      <w:pPr>
        <w:ind w:right="6" w:firstLine="709"/>
        <w:jc w:val="both"/>
        <w:rPr>
          <w:rFonts w:ascii="Times New (W1)" w:hAnsi="Times New (W1)"/>
          <w:sz w:val="24"/>
          <w:szCs w:val="24"/>
          <w:lang w:val="fr-CH"/>
        </w:rPr>
      </w:pPr>
      <w:r w:rsidRPr="00D76CCF">
        <w:rPr>
          <w:rFonts w:ascii="Times New (W1)" w:hAnsi="Times New (W1)"/>
          <w:sz w:val="24"/>
          <w:szCs w:val="24"/>
          <w:lang w:val="fr-CH"/>
        </w:rPr>
        <w:t xml:space="preserve">Comme il est de </w:t>
      </w:r>
      <w:r>
        <w:rPr>
          <w:rFonts w:ascii="Times New (W1)" w:hAnsi="Times New (W1)"/>
          <w:sz w:val="24"/>
          <w:szCs w:val="24"/>
          <w:lang w:val="fr-CH"/>
        </w:rPr>
        <w:t>notre</w:t>
      </w:r>
      <w:r w:rsidRPr="00D76CCF">
        <w:rPr>
          <w:rFonts w:ascii="Times New (W1)" w:hAnsi="Times New (W1)"/>
          <w:sz w:val="24"/>
          <w:szCs w:val="24"/>
          <w:lang w:val="fr-CH"/>
        </w:rPr>
        <w:t xml:space="preserve"> responsabilité, en vertu d</w:t>
      </w:r>
      <w:r>
        <w:rPr>
          <w:rFonts w:ascii="Times New (W1)" w:hAnsi="Times New (W1)"/>
          <w:sz w:val="24"/>
          <w:szCs w:val="24"/>
          <w:lang w:val="fr-CH"/>
        </w:rPr>
        <w:t xml:space="preserve">es </w:t>
      </w:r>
      <w:r w:rsidRPr="00D76CCF">
        <w:rPr>
          <w:rFonts w:ascii="Times New (W1)" w:hAnsi="Times New (W1)"/>
          <w:sz w:val="24"/>
          <w:szCs w:val="24"/>
          <w:lang w:val="fr-CH"/>
        </w:rPr>
        <w:t>mandat</w:t>
      </w:r>
      <w:r>
        <w:rPr>
          <w:rFonts w:ascii="Times New (W1)" w:hAnsi="Times New (W1)"/>
          <w:sz w:val="24"/>
          <w:szCs w:val="24"/>
          <w:lang w:val="fr-CH"/>
        </w:rPr>
        <w:t>s</w:t>
      </w:r>
      <w:r w:rsidRPr="00D76CCF">
        <w:rPr>
          <w:rFonts w:ascii="Times New (W1)" w:hAnsi="Times New (W1)"/>
          <w:sz w:val="24"/>
          <w:szCs w:val="24"/>
          <w:lang w:val="fr-CH"/>
        </w:rPr>
        <w:t xml:space="preserve"> qui </w:t>
      </w:r>
      <w:r>
        <w:rPr>
          <w:rFonts w:ascii="Times New (W1)" w:hAnsi="Times New (W1)"/>
          <w:sz w:val="24"/>
          <w:szCs w:val="24"/>
          <w:lang w:val="fr-CH"/>
        </w:rPr>
        <w:t xml:space="preserve">nous ont été confiés </w:t>
      </w:r>
      <w:r w:rsidRPr="00D76CCF">
        <w:rPr>
          <w:rFonts w:ascii="Times New (W1)" w:hAnsi="Times New (W1)"/>
          <w:sz w:val="24"/>
          <w:szCs w:val="24"/>
          <w:lang w:val="fr-CH"/>
        </w:rPr>
        <w:t xml:space="preserve">par le Conseil des droits de l’homme, de solliciter votre coopération pour tirer au clair les cas qui ont été portés à </w:t>
      </w:r>
      <w:r w:rsidR="00754215">
        <w:rPr>
          <w:rFonts w:ascii="Times New (W1)" w:hAnsi="Times New (W1)"/>
          <w:sz w:val="24"/>
          <w:szCs w:val="24"/>
          <w:lang w:val="fr-CH"/>
        </w:rPr>
        <w:t>notre</w:t>
      </w:r>
      <w:r w:rsidR="00754215" w:rsidRPr="00D76CCF">
        <w:rPr>
          <w:rFonts w:ascii="Times New (W1)" w:hAnsi="Times New (W1)"/>
          <w:sz w:val="24"/>
          <w:szCs w:val="24"/>
          <w:lang w:val="fr-CH"/>
        </w:rPr>
        <w:t xml:space="preserve"> </w:t>
      </w:r>
      <w:r w:rsidRPr="00D76CCF">
        <w:rPr>
          <w:rFonts w:ascii="Times New (W1)" w:hAnsi="Times New (W1)"/>
          <w:sz w:val="24"/>
          <w:szCs w:val="24"/>
          <w:lang w:val="fr-CH"/>
        </w:rPr>
        <w:t xml:space="preserve">attention, </w:t>
      </w:r>
      <w:r>
        <w:rPr>
          <w:rFonts w:ascii="Times New (W1)" w:hAnsi="Times New (W1)"/>
          <w:sz w:val="24"/>
          <w:szCs w:val="24"/>
          <w:lang w:val="fr-CH"/>
        </w:rPr>
        <w:t>nous serions reconnaissants</w:t>
      </w:r>
      <w:r w:rsidRPr="00D76CCF">
        <w:rPr>
          <w:rFonts w:ascii="Times New (W1)" w:hAnsi="Times New (W1)"/>
          <w:sz w:val="24"/>
          <w:szCs w:val="24"/>
          <w:lang w:val="fr-CH"/>
        </w:rPr>
        <w:t xml:space="preserve"> au Gouvernement de votre Excellence de ses observations sur les points suivants:</w:t>
      </w:r>
    </w:p>
    <w:p w:rsidR="00794ADD" w:rsidRDefault="00794ADD" w:rsidP="00794ADD">
      <w:pPr>
        <w:jc w:val="both"/>
        <w:rPr>
          <w:sz w:val="24"/>
          <w:szCs w:val="24"/>
          <w:lang w:val="fr-FR"/>
        </w:rPr>
      </w:pPr>
    </w:p>
    <w:p w:rsidR="00230082" w:rsidRPr="00230082" w:rsidRDefault="00794ADD" w:rsidP="00DB2B78">
      <w:pPr>
        <w:numPr>
          <w:ilvl w:val="0"/>
          <w:numId w:val="6"/>
        </w:numPr>
        <w:ind w:left="1418" w:hanging="709"/>
        <w:jc w:val="both"/>
        <w:rPr>
          <w:rFonts w:ascii="Times New (W1)" w:hAnsi="Times New (W1)"/>
          <w:sz w:val="24"/>
          <w:szCs w:val="24"/>
          <w:lang w:val="fr-CH"/>
        </w:rPr>
      </w:pPr>
      <w:r w:rsidRPr="00D76CCF">
        <w:rPr>
          <w:rFonts w:ascii="Times New (W1)" w:hAnsi="Times New (W1)"/>
          <w:sz w:val="24"/>
          <w:szCs w:val="24"/>
          <w:lang w:val="fr-CH"/>
        </w:rPr>
        <w:t xml:space="preserve">Veuillez </w:t>
      </w:r>
      <w:r>
        <w:rPr>
          <w:rFonts w:ascii="Times New (W1)" w:hAnsi="Times New (W1)"/>
          <w:sz w:val="24"/>
          <w:szCs w:val="24"/>
          <w:lang w:val="fr-CH"/>
        </w:rPr>
        <w:t xml:space="preserve">nous </w:t>
      </w:r>
      <w:r w:rsidRPr="00D76CCF">
        <w:rPr>
          <w:rFonts w:ascii="Times New (W1)" w:hAnsi="Times New (W1)"/>
          <w:sz w:val="24"/>
          <w:szCs w:val="24"/>
          <w:lang w:val="fr-CH"/>
        </w:rPr>
        <w:t xml:space="preserve">fournir toute information </w:t>
      </w:r>
      <w:r>
        <w:rPr>
          <w:rFonts w:ascii="Times New (W1)" w:hAnsi="Times New (W1)"/>
          <w:sz w:val="24"/>
          <w:szCs w:val="24"/>
          <w:lang w:val="fr-CH"/>
        </w:rPr>
        <w:t xml:space="preserve">ou tout commentaire </w:t>
      </w:r>
      <w:r w:rsidRPr="00D76CCF">
        <w:rPr>
          <w:rFonts w:ascii="Times New (W1)" w:hAnsi="Times New (W1)"/>
          <w:sz w:val="24"/>
          <w:szCs w:val="24"/>
          <w:lang w:val="fr-CH"/>
        </w:rPr>
        <w:t>complémentaire</w:t>
      </w:r>
      <w:r>
        <w:rPr>
          <w:rFonts w:ascii="Times New (W1)" w:hAnsi="Times New (W1)"/>
          <w:sz w:val="24"/>
          <w:szCs w:val="24"/>
          <w:lang w:val="fr-CH"/>
        </w:rPr>
        <w:t xml:space="preserve"> en relation avec les allégations susmentionnées.</w:t>
      </w:r>
      <w:r w:rsidRPr="00856BF1">
        <w:rPr>
          <w:sz w:val="24"/>
          <w:szCs w:val="24"/>
          <w:lang w:val="fr-FR"/>
        </w:rPr>
        <w:t xml:space="preserve"> </w:t>
      </w:r>
    </w:p>
    <w:p w:rsidR="00230082" w:rsidRPr="00230082" w:rsidRDefault="00230082" w:rsidP="00DB2B78">
      <w:pPr>
        <w:ind w:left="1418" w:hanging="709"/>
        <w:jc w:val="both"/>
        <w:rPr>
          <w:rFonts w:ascii="Times New (W1)" w:hAnsi="Times New (W1)"/>
          <w:sz w:val="24"/>
          <w:szCs w:val="24"/>
          <w:lang w:val="fr-CH"/>
        </w:rPr>
      </w:pPr>
    </w:p>
    <w:p w:rsidR="00230082" w:rsidRDefault="00794ADD" w:rsidP="00DB2B78">
      <w:pPr>
        <w:numPr>
          <w:ilvl w:val="0"/>
          <w:numId w:val="6"/>
        </w:numPr>
        <w:ind w:left="1418" w:hanging="709"/>
        <w:jc w:val="both"/>
        <w:rPr>
          <w:rFonts w:ascii="Times New (W1)" w:hAnsi="Times New (W1)"/>
          <w:sz w:val="24"/>
          <w:szCs w:val="24"/>
          <w:lang w:val="fr-CH"/>
        </w:rPr>
      </w:pPr>
      <w:r w:rsidRPr="00230082">
        <w:rPr>
          <w:sz w:val="24"/>
          <w:szCs w:val="24"/>
          <w:lang w:val="fr-FR"/>
        </w:rPr>
        <w:t>Veuillez fournir des précisions quant aux mesures prises par le Gouvernement afin d’assurer la stricte compatibilité du Projet de loi avec les normes internationales en matière de droits de l’Homme telles que prévues dans les traités ratifiés par la France, surtout par le droit à la vie, à la liberté et à la sûreté de sa personne ; par rapport aux garanties d’une procédure équitable et  au principe de non-refoulement ; et par rapport au droit</w:t>
      </w:r>
      <w:r w:rsidR="00CA5B7C">
        <w:rPr>
          <w:sz w:val="24"/>
          <w:szCs w:val="24"/>
          <w:lang w:val="fr-FR"/>
        </w:rPr>
        <w:t>s</w:t>
      </w:r>
      <w:r w:rsidRPr="00230082">
        <w:rPr>
          <w:sz w:val="24"/>
          <w:szCs w:val="24"/>
          <w:lang w:val="fr-FR"/>
        </w:rPr>
        <w:t xml:space="preserve"> </w:t>
      </w:r>
      <w:r w:rsidR="00230082" w:rsidRPr="00230082">
        <w:rPr>
          <w:sz w:val="24"/>
          <w:szCs w:val="24"/>
          <w:lang w:val="fr-FR"/>
        </w:rPr>
        <w:t>pour chacun à un logement</w:t>
      </w:r>
      <w:r w:rsidR="00754215">
        <w:rPr>
          <w:sz w:val="24"/>
          <w:szCs w:val="24"/>
          <w:lang w:val="fr-FR"/>
        </w:rPr>
        <w:t xml:space="preserve">, </w:t>
      </w:r>
      <w:r w:rsidR="00531B09">
        <w:rPr>
          <w:sz w:val="24"/>
          <w:szCs w:val="24"/>
          <w:lang w:val="fr-FR"/>
        </w:rPr>
        <w:t>à</w:t>
      </w:r>
      <w:r w:rsidR="00230082" w:rsidRPr="00230082">
        <w:rPr>
          <w:sz w:val="24"/>
          <w:szCs w:val="24"/>
          <w:lang w:val="fr-FR"/>
        </w:rPr>
        <w:t xml:space="preserve"> l’eau et l'assainissement.</w:t>
      </w:r>
      <w:r w:rsidR="00230082" w:rsidRPr="000B717D">
        <w:rPr>
          <w:rFonts w:ascii="Arial" w:hAnsi="Arial" w:cs="Arial"/>
          <w:color w:val="3C3C3C"/>
          <w:sz w:val="18"/>
          <w:szCs w:val="18"/>
          <w:lang w:val="fr-CH" w:eastAsia="ja-JP"/>
        </w:rPr>
        <w:t xml:space="preserve"> </w:t>
      </w:r>
    </w:p>
    <w:p w:rsidR="00230082" w:rsidRDefault="00230082" w:rsidP="00DB2B78">
      <w:pPr>
        <w:pStyle w:val="ListParagraph"/>
        <w:ind w:left="1418" w:hanging="709"/>
        <w:rPr>
          <w:sz w:val="24"/>
          <w:szCs w:val="24"/>
          <w:lang w:val="fr-FR"/>
        </w:rPr>
      </w:pPr>
    </w:p>
    <w:p w:rsidR="002A7604" w:rsidRPr="00BF1DDB" w:rsidRDefault="00531B09" w:rsidP="00DB2B78">
      <w:pPr>
        <w:numPr>
          <w:ilvl w:val="0"/>
          <w:numId w:val="6"/>
        </w:numPr>
        <w:ind w:left="1418" w:hanging="709"/>
        <w:jc w:val="both"/>
        <w:rPr>
          <w:rFonts w:ascii="Times New (W1)" w:hAnsi="Times New (W1)"/>
          <w:sz w:val="24"/>
          <w:szCs w:val="24"/>
          <w:lang w:val="fr-CH"/>
        </w:rPr>
      </w:pPr>
      <w:r w:rsidRPr="00BF1DDB">
        <w:rPr>
          <w:sz w:val="24"/>
          <w:szCs w:val="24"/>
          <w:lang w:val="fr-FR"/>
        </w:rPr>
        <w:t xml:space="preserve">Veuillez fournir des </w:t>
      </w:r>
      <w:r w:rsidRPr="00531B09">
        <w:rPr>
          <w:sz w:val="24"/>
          <w:szCs w:val="24"/>
          <w:lang w:val="fr-FR"/>
        </w:rPr>
        <w:t>précisions</w:t>
      </w:r>
      <w:r w:rsidRPr="00BF1DDB">
        <w:rPr>
          <w:sz w:val="24"/>
          <w:szCs w:val="24"/>
          <w:lang w:val="fr-FR"/>
        </w:rPr>
        <w:t xml:space="preserve"> quant aux mesures prises par le </w:t>
      </w:r>
      <w:r w:rsidRPr="00531B09">
        <w:rPr>
          <w:sz w:val="24"/>
          <w:szCs w:val="24"/>
          <w:lang w:val="fr-FR"/>
        </w:rPr>
        <w:t>Gouvernement</w:t>
      </w:r>
      <w:r w:rsidRPr="00BF1DDB">
        <w:rPr>
          <w:sz w:val="24"/>
          <w:szCs w:val="24"/>
          <w:lang w:val="fr-FR"/>
        </w:rPr>
        <w:t xml:space="preserve"> pour mieux protéger les droits de l’homme de migrants et des requérants d’asile pendant </w:t>
      </w:r>
      <w:r w:rsidR="00754215">
        <w:rPr>
          <w:sz w:val="24"/>
          <w:szCs w:val="24"/>
          <w:lang w:val="fr-FR"/>
        </w:rPr>
        <w:t>le délai d’enregistrement de</w:t>
      </w:r>
      <w:r>
        <w:rPr>
          <w:sz w:val="24"/>
          <w:szCs w:val="24"/>
          <w:lang w:val="fr-FR"/>
        </w:rPr>
        <w:t xml:space="preserve"> leurs demandes d’asile</w:t>
      </w:r>
      <w:r w:rsidR="00DF1B13">
        <w:rPr>
          <w:sz w:val="24"/>
          <w:szCs w:val="24"/>
          <w:lang w:val="fr-FR"/>
        </w:rPr>
        <w:t>.</w:t>
      </w:r>
    </w:p>
    <w:p w:rsidR="002A7604" w:rsidRPr="00BF1DDB" w:rsidRDefault="002A7604" w:rsidP="00DB2B78">
      <w:pPr>
        <w:pStyle w:val="ListParagraph"/>
        <w:ind w:left="1418" w:hanging="709"/>
        <w:rPr>
          <w:sz w:val="24"/>
          <w:szCs w:val="24"/>
          <w:lang w:val="fr-CH"/>
        </w:rPr>
      </w:pPr>
    </w:p>
    <w:p w:rsidR="00CA5B7C" w:rsidRPr="00CA5B7C" w:rsidRDefault="00794ADD" w:rsidP="00DB2B78">
      <w:pPr>
        <w:numPr>
          <w:ilvl w:val="0"/>
          <w:numId w:val="6"/>
        </w:numPr>
        <w:ind w:left="1418" w:hanging="709"/>
        <w:jc w:val="both"/>
        <w:rPr>
          <w:rFonts w:ascii="Times New (W1)" w:hAnsi="Times New (W1)"/>
          <w:sz w:val="24"/>
          <w:szCs w:val="24"/>
          <w:lang w:val="fr-CH"/>
        </w:rPr>
      </w:pPr>
      <w:r w:rsidRPr="00230082">
        <w:rPr>
          <w:sz w:val="24"/>
          <w:szCs w:val="24"/>
          <w:lang w:val="fr-FR"/>
        </w:rPr>
        <w:t>Quelles procédures sont en place pour garantir l’accès aux services</w:t>
      </w:r>
      <w:r w:rsidR="00FD17F0">
        <w:rPr>
          <w:sz w:val="24"/>
          <w:szCs w:val="24"/>
          <w:lang w:val="fr-FR"/>
        </w:rPr>
        <w:t xml:space="preserve">, tels qu’hébergement et </w:t>
      </w:r>
      <w:r w:rsidR="00754215">
        <w:rPr>
          <w:sz w:val="24"/>
          <w:szCs w:val="24"/>
          <w:lang w:val="fr-FR"/>
        </w:rPr>
        <w:t>l’</w:t>
      </w:r>
      <w:r w:rsidR="004951EE">
        <w:rPr>
          <w:sz w:val="24"/>
          <w:szCs w:val="24"/>
          <w:lang w:val="fr-FR"/>
        </w:rPr>
        <w:t>allocation</w:t>
      </w:r>
      <w:r w:rsidRPr="00230082">
        <w:rPr>
          <w:sz w:val="24"/>
          <w:szCs w:val="24"/>
          <w:lang w:val="fr-FR"/>
        </w:rPr>
        <w:t xml:space="preserve"> aux migrants, indépendamment de leurs statuts ?</w:t>
      </w:r>
    </w:p>
    <w:p w:rsidR="00CA5B7C" w:rsidRDefault="00CA5B7C" w:rsidP="00DB2B78">
      <w:pPr>
        <w:pStyle w:val="ListParagraph"/>
        <w:ind w:left="1418" w:hanging="709"/>
        <w:rPr>
          <w:rFonts w:ascii="Times New (W1)" w:hAnsi="Times New (W1)"/>
          <w:sz w:val="24"/>
          <w:szCs w:val="24"/>
          <w:lang w:val="fr-CH"/>
        </w:rPr>
      </w:pPr>
    </w:p>
    <w:p w:rsidR="00FC7489" w:rsidRPr="00BF1DDB" w:rsidRDefault="00531B09" w:rsidP="00DB2B78">
      <w:pPr>
        <w:numPr>
          <w:ilvl w:val="0"/>
          <w:numId w:val="6"/>
        </w:numPr>
        <w:ind w:left="1418" w:hanging="709"/>
        <w:jc w:val="both"/>
        <w:rPr>
          <w:sz w:val="24"/>
          <w:szCs w:val="24"/>
          <w:lang w:val="fr-CH"/>
        </w:rPr>
      </w:pPr>
      <w:r w:rsidRPr="00BF1DDB">
        <w:rPr>
          <w:sz w:val="24"/>
          <w:szCs w:val="24"/>
          <w:lang w:val="fr-CH"/>
        </w:rPr>
        <w:t>Quelles mesures sont en place pour garantir l’accès à la justice, y compr</w:t>
      </w:r>
      <w:r w:rsidR="00FD17F0">
        <w:rPr>
          <w:sz w:val="24"/>
          <w:szCs w:val="24"/>
          <w:lang w:val="fr-CH"/>
        </w:rPr>
        <w:t xml:space="preserve">is </w:t>
      </w:r>
      <w:r w:rsidRPr="00BF1DDB">
        <w:rPr>
          <w:sz w:val="24"/>
          <w:szCs w:val="24"/>
          <w:lang w:val="fr-CH"/>
        </w:rPr>
        <w:t>l’aide jurid</w:t>
      </w:r>
      <w:r>
        <w:rPr>
          <w:sz w:val="24"/>
          <w:szCs w:val="24"/>
          <w:lang w:val="fr-CH"/>
        </w:rPr>
        <w:t>ique</w:t>
      </w:r>
      <w:r w:rsidRPr="00BF1DDB">
        <w:rPr>
          <w:sz w:val="24"/>
          <w:szCs w:val="24"/>
          <w:lang w:val="fr-CH"/>
        </w:rPr>
        <w:t xml:space="preserve"> et un recours efficace pour les migrants</w:t>
      </w:r>
      <w:r w:rsidR="00FC7489" w:rsidRPr="00BF1DDB">
        <w:rPr>
          <w:sz w:val="24"/>
          <w:szCs w:val="24"/>
          <w:lang w:val="fr-CH"/>
        </w:rPr>
        <w:t>?</w:t>
      </w:r>
    </w:p>
    <w:p w:rsidR="00230082" w:rsidRPr="00BF1DDB" w:rsidRDefault="00230082" w:rsidP="00DB2B78">
      <w:pPr>
        <w:pStyle w:val="ListParagraph"/>
        <w:ind w:left="1418" w:hanging="709"/>
        <w:rPr>
          <w:sz w:val="24"/>
          <w:szCs w:val="24"/>
          <w:lang w:val="fr-CH"/>
        </w:rPr>
      </w:pPr>
    </w:p>
    <w:p w:rsidR="00794ADD" w:rsidRPr="00230082" w:rsidRDefault="00794ADD" w:rsidP="00DB2B78">
      <w:pPr>
        <w:numPr>
          <w:ilvl w:val="0"/>
          <w:numId w:val="6"/>
        </w:numPr>
        <w:ind w:left="1418" w:hanging="709"/>
        <w:jc w:val="both"/>
        <w:rPr>
          <w:rFonts w:ascii="Times New (W1)" w:hAnsi="Times New (W1)"/>
          <w:sz w:val="24"/>
          <w:szCs w:val="24"/>
          <w:lang w:val="fr-CH"/>
        </w:rPr>
      </w:pPr>
      <w:r w:rsidRPr="00230082">
        <w:rPr>
          <w:sz w:val="24"/>
          <w:szCs w:val="24"/>
          <w:lang w:val="fr-FR"/>
        </w:rPr>
        <w:t xml:space="preserve">Veuillez nous fournir plus d’information sur des procédures de régularisation systématiques, ceci aussi dans le but de maintenir l’unité familiale ? </w:t>
      </w:r>
    </w:p>
    <w:p w:rsidR="00230082" w:rsidRDefault="00230082" w:rsidP="00301F63">
      <w:pPr>
        <w:ind w:left="1069"/>
        <w:jc w:val="both"/>
        <w:rPr>
          <w:rFonts w:ascii="Times New (W1)" w:hAnsi="Times New (W1)"/>
          <w:color w:val="000000"/>
          <w:sz w:val="24"/>
          <w:szCs w:val="24"/>
          <w:lang w:val="fr-FR"/>
        </w:rPr>
      </w:pPr>
    </w:p>
    <w:p w:rsidR="00301F63" w:rsidRPr="00301F63" w:rsidRDefault="00794ADD" w:rsidP="00BF1DDB">
      <w:pPr>
        <w:ind w:firstLine="709"/>
        <w:jc w:val="both"/>
        <w:rPr>
          <w:sz w:val="24"/>
          <w:szCs w:val="24"/>
          <w:lang w:val="fr-FR"/>
        </w:rPr>
      </w:pPr>
      <w:r>
        <w:rPr>
          <w:rFonts w:ascii="Times New (W1)" w:hAnsi="Times New (W1)" w:hint="cs"/>
          <w:color w:val="000000"/>
          <w:sz w:val="24"/>
          <w:szCs w:val="24"/>
          <w:lang w:val="fr-FR"/>
        </w:rPr>
        <w:t>Dans l’attente d’une réponse de votre part,</w:t>
      </w:r>
      <w:r>
        <w:rPr>
          <w:rFonts w:ascii="Times New (W1)" w:hAnsi="Times New (W1)"/>
          <w:color w:val="000000"/>
          <w:sz w:val="24"/>
          <w:szCs w:val="24"/>
          <w:lang w:val="fr-FR"/>
        </w:rPr>
        <w:t xml:space="preserve"> nous prions</w:t>
      </w:r>
      <w:r>
        <w:rPr>
          <w:rFonts w:ascii="Times New (W1)" w:hAnsi="Times New (W1)" w:hint="cs"/>
          <w:color w:val="000000"/>
          <w:sz w:val="24"/>
          <w:szCs w:val="24"/>
          <w:lang w:val="fr-FR"/>
        </w:rPr>
        <w:t xml:space="preserve"> le </w:t>
      </w:r>
      <w:r>
        <w:rPr>
          <w:color w:val="000000"/>
          <w:sz w:val="24"/>
          <w:szCs w:val="24"/>
          <w:lang w:val="fr-FR"/>
        </w:rPr>
        <w:t>Gouvernement de votre Excellence</w:t>
      </w:r>
      <w:r>
        <w:rPr>
          <w:rFonts w:ascii="Times New (W1)" w:hAnsi="Times New (W1)" w:hint="cs"/>
          <w:color w:val="000000"/>
          <w:sz w:val="24"/>
          <w:szCs w:val="24"/>
          <w:lang w:val="fr-FR"/>
        </w:rPr>
        <w:t xml:space="preserve"> de prendre toutes les mesures nécessaires pour assurer la protection des droits et des libertés des individus mentionnés, de diligenter des enquêtes sur les violations qui auraient été perpétrées et de traduire les responsables en justice. </w:t>
      </w:r>
      <w:r>
        <w:rPr>
          <w:rFonts w:ascii="Times New (W1)" w:hAnsi="Times New (W1)"/>
          <w:color w:val="000000"/>
          <w:sz w:val="24"/>
          <w:szCs w:val="24"/>
          <w:lang w:val="fr-FR"/>
        </w:rPr>
        <w:t>Nous prions</w:t>
      </w:r>
      <w:r>
        <w:rPr>
          <w:rFonts w:ascii="Times New (W1)" w:hAnsi="Times New (W1)" w:hint="cs"/>
          <w:color w:val="000000"/>
          <w:sz w:val="24"/>
          <w:szCs w:val="24"/>
          <w:lang w:val="fr-FR"/>
        </w:rPr>
        <w:t xml:space="preserve"> aussi votre Gouvernement d’adopter, le cas échéant, toutes les mesures nécessaires pour prévenir la répétition des faits mentionnés.</w:t>
      </w:r>
      <w:r w:rsidR="00301F63" w:rsidRPr="00301F63">
        <w:rPr>
          <w:sz w:val="24"/>
          <w:szCs w:val="24"/>
          <w:lang w:val="fr-FR"/>
        </w:rPr>
        <w:t xml:space="preserve"> Enfin, nous souhaitons informer votre gouvernement que cette communication sera mise à la disposition du public et affichée sur les pages Web du mandat du Rapporteur spécial sur le</w:t>
      </w:r>
      <w:r w:rsidR="00301F63">
        <w:rPr>
          <w:sz w:val="24"/>
          <w:szCs w:val="24"/>
          <w:lang w:val="fr-FR"/>
        </w:rPr>
        <w:t>s droits de l’homme de</w:t>
      </w:r>
      <w:r w:rsidR="00995A5D">
        <w:rPr>
          <w:sz w:val="24"/>
          <w:szCs w:val="24"/>
          <w:lang w:val="fr-FR"/>
        </w:rPr>
        <w:t>s</w:t>
      </w:r>
      <w:r w:rsidR="00301F63">
        <w:rPr>
          <w:sz w:val="24"/>
          <w:szCs w:val="24"/>
          <w:lang w:val="fr-FR"/>
        </w:rPr>
        <w:t xml:space="preserve"> migrants. </w:t>
      </w:r>
    </w:p>
    <w:p w:rsidR="00230082" w:rsidRDefault="00230082" w:rsidP="00301F63">
      <w:pPr>
        <w:ind w:firstLine="709"/>
        <w:jc w:val="both"/>
        <w:rPr>
          <w:sz w:val="24"/>
          <w:szCs w:val="24"/>
          <w:lang w:val="fr-FR"/>
        </w:rPr>
      </w:pPr>
    </w:p>
    <w:p w:rsidR="00301F63" w:rsidRDefault="00301F63" w:rsidP="00301F63">
      <w:pPr>
        <w:ind w:firstLine="709"/>
        <w:jc w:val="both"/>
        <w:rPr>
          <w:sz w:val="24"/>
          <w:szCs w:val="24"/>
          <w:lang w:val="fr-FR"/>
        </w:rPr>
      </w:pPr>
      <w:r>
        <w:rPr>
          <w:sz w:val="24"/>
          <w:szCs w:val="24"/>
          <w:lang w:val="fr-FR"/>
        </w:rPr>
        <w:t>Elle se</w:t>
      </w:r>
      <w:r w:rsidR="009C6845">
        <w:rPr>
          <w:sz w:val="24"/>
          <w:szCs w:val="24"/>
          <w:lang w:val="fr-FR"/>
        </w:rPr>
        <w:t>ra également inclu</w:t>
      </w:r>
      <w:r w:rsidR="004951EE">
        <w:rPr>
          <w:sz w:val="24"/>
          <w:szCs w:val="24"/>
          <w:lang w:val="fr-FR"/>
        </w:rPr>
        <w:t>se</w:t>
      </w:r>
      <w:r w:rsidRPr="00301F63">
        <w:rPr>
          <w:sz w:val="24"/>
          <w:szCs w:val="24"/>
          <w:lang w:val="fr-FR"/>
        </w:rPr>
        <w:t xml:space="preserve"> dans les rapports de communication périodiques des Procédures spéciales au Conseil des droits de l'Homme. Toute réponse du Gouvernement de Votre Excellence sera par ailleurs rendue publique de la même manière.</w:t>
      </w:r>
    </w:p>
    <w:p w:rsidR="00301F63" w:rsidRDefault="00301F63" w:rsidP="00301F63">
      <w:pPr>
        <w:ind w:firstLine="709"/>
        <w:jc w:val="both"/>
        <w:rPr>
          <w:sz w:val="24"/>
          <w:szCs w:val="24"/>
          <w:lang w:val="fr-FR"/>
        </w:rPr>
      </w:pPr>
    </w:p>
    <w:p w:rsidR="00763745" w:rsidRDefault="00E25C01" w:rsidP="00CC6573">
      <w:pPr>
        <w:ind w:right="6" w:firstLine="709"/>
        <w:rPr>
          <w:color w:val="000000"/>
          <w:sz w:val="24"/>
          <w:szCs w:val="24"/>
          <w:lang w:val="fr-CH"/>
        </w:rPr>
      </w:pPr>
      <w:r>
        <w:rPr>
          <w:color w:val="000000"/>
          <w:sz w:val="24"/>
          <w:szCs w:val="24"/>
          <w:lang w:val="fr-CH"/>
        </w:rPr>
        <w:t>Veuillez agréer, Excellence, l'assurance de notre haute considération.</w:t>
      </w:r>
    </w:p>
    <w:p w:rsidR="0050572F" w:rsidRDefault="0050572F">
      <w:pPr>
        <w:jc w:val="center"/>
      </w:pPr>
      <w:bookmarkStart w:id="0" w:name="Signatures"/>
      <w:bookmarkEnd w:id="0"/>
    </w:p>
    <w:p w:rsidR="0050572F" w:rsidRPr="00794ADD" w:rsidRDefault="00794ADD">
      <w:pPr>
        <w:jc w:val="center"/>
        <w:rPr>
          <w:lang w:val="fr-CH"/>
        </w:rPr>
      </w:pPr>
      <w:r w:rsidRPr="00794ADD">
        <w:rPr>
          <w:sz w:val="24"/>
          <w:szCs w:val="24"/>
          <w:lang w:val="fr-CH"/>
        </w:rPr>
        <w:t>Elina Steinerte</w:t>
      </w:r>
    </w:p>
    <w:p w:rsidR="0050572F" w:rsidRDefault="005D27FE">
      <w:pPr>
        <w:jc w:val="center"/>
        <w:rPr>
          <w:sz w:val="24"/>
          <w:szCs w:val="24"/>
          <w:lang w:val="fr-CH"/>
        </w:rPr>
      </w:pPr>
      <w:r w:rsidRPr="00794ADD">
        <w:rPr>
          <w:sz w:val="24"/>
          <w:szCs w:val="24"/>
          <w:lang w:val="fr-CH"/>
        </w:rPr>
        <w:t>Vice-présidente</w:t>
      </w:r>
      <w:r w:rsidR="00794ADD" w:rsidRPr="00794ADD">
        <w:rPr>
          <w:sz w:val="24"/>
          <w:szCs w:val="24"/>
          <w:lang w:val="fr-CH"/>
        </w:rPr>
        <w:t xml:space="preserve"> du Groupe de travail sur la détention arbitraire</w:t>
      </w:r>
    </w:p>
    <w:p w:rsidR="0050572F" w:rsidRDefault="0050572F">
      <w:pPr>
        <w:jc w:val="center"/>
      </w:pPr>
    </w:p>
    <w:p w:rsidR="0050572F" w:rsidRPr="00794ADD" w:rsidRDefault="00794ADD">
      <w:pPr>
        <w:jc w:val="center"/>
        <w:rPr>
          <w:lang w:val="fr-CH"/>
        </w:rPr>
      </w:pPr>
      <w:r w:rsidRPr="00794ADD">
        <w:rPr>
          <w:sz w:val="24"/>
          <w:szCs w:val="24"/>
          <w:lang w:val="fr-CH"/>
        </w:rPr>
        <w:t>Leilani Farha</w:t>
      </w:r>
    </w:p>
    <w:p w:rsidR="00603A96" w:rsidRDefault="00794ADD" w:rsidP="00603A96">
      <w:pPr>
        <w:jc w:val="center"/>
        <w:rPr>
          <w:noProof/>
          <w:lang w:val="en-GB" w:eastAsia="en-GB"/>
        </w:rPr>
      </w:pPr>
      <w:r w:rsidRPr="00794ADD">
        <w:rPr>
          <w:sz w:val="24"/>
          <w:szCs w:val="24"/>
          <w:lang w:val="fr-CH"/>
        </w:rPr>
        <w:t>Rapporteuse spéciale sur le logement convenable en tant qu'élément du droit à un niveau de vie suffisant, ainsi que sur le droit à la non-discrimination à cet égard</w:t>
      </w:r>
    </w:p>
    <w:p w:rsidR="00E64CD9" w:rsidRPr="00603A96" w:rsidRDefault="00E64CD9" w:rsidP="00603A96">
      <w:pPr>
        <w:jc w:val="center"/>
        <w:rPr>
          <w:lang w:val="fr-FR"/>
        </w:rPr>
      </w:pPr>
    </w:p>
    <w:p w:rsidR="00603A96" w:rsidRPr="006E66E5" w:rsidRDefault="00603A96" w:rsidP="00603A96">
      <w:pPr>
        <w:jc w:val="center"/>
        <w:rPr>
          <w:lang w:val="fr-CH"/>
        </w:rPr>
      </w:pPr>
      <w:r w:rsidRPr="006E66E5">
        <w:rPr>
          <w:sz w:val="24"/>
          <w:szCs w:val="24"/>
          <w:lang w:val="fr-CH"/>
        </w:rPr>
        <w:t>Michel Forst</w:t>
      </w:r>
    </w:p>
    <w:p w:rsidR="0050572F" w:rsidRDefault="00603A96" w:rsidP="00E64CD9">
      <w:pPr>
        <w:jc w:val="center"/>
        <w:rPr>
          <w:sz w:val="24"/>
          <w:szCs w:val="24"/>
          <w:lang w:val="fr-CH"/>
        </w:rPr>
      </w:pPr>
      <w:r w:rsidRPr="006E66E5">
        <w:rPr>
          <w:sz w:val="24"/>
          <w:szCs w:val="24"/>
          <w:lang w:val="fr-CH"/>
        </w:rPr>
        <w:t>Rapporteur spécial sur la situation des défenseurs des droits de l'homme</w:t>
      </w:r>
    </w:p>
    <w:p w:rsidR="00E64CD9" w:rsidRDefault="00E64CD9" w:rsidP="00E64CD9">
      <w:pPr>
        <w:jc w:val="center"/>
      </w:pPr>
      <w:bookmarkStart w:id="1" w:name="_GoBack"/>
      <w:bookmarkEnd w:id="1"/>
    </w:p>
    <w:p w:rsidR="0050572F" w:rsidRPr="00794ADD" w:rsidRDefault="00794ADD">
      <w:pPr>
        <w:jc w:val="center"/>
        <w:rPr>
          <w:lang w:val="fr-CH"/>
        </w:rPr>
      </w:pPr>
      <w:r w:rsidRPr="00794ADD">
        <w:rPr>
          <w:sz w:val="24"/>
          <w:szCs w:val="24"/>
          <w:lang w:val="fr-CH"/>
        </w:rPr>
        <w:t>Felipe González Morales</w:t>
      </w:r>
    </w:p>
    <w:p w:rsidR="00603A96" w:rsidRDefault="00794ADD" w:rsidP="00603A96">
      <w:pPr>
        <w:jc w:val="center"/>
        <w:rPr>
          <w:sz w:val="24"/>
          <w:szCs w:val="24"/>
          <w:lang w:val="fr-CH"/>
        </w:rPr>
      </w:pPr>
      <w:r w:rsidRPr="00794ADD">
        <w:rPr>
          <w:sz w:val="24"/>
          <w:szCs w:val="24"/>
          <w:lang w:val="fr-CH"/>
        </w:rPr>
        <w:t>Rapporteur spécial sur les droits de l'homme des migrants</w:t>
      </w:r>
    </w:p>
    <w:p w:rsidR="00E64CD9" w:rsidRPr="00603A96" w:rsidRDefault="00E64CD9" w:rsidP="00603A96">
      <w:pPr>
        <w:jc w:val="center"/>
        <w:rPr>
          <w:lang w:val="fr-FR"/>
        </w:rPr>
      </w:pPr>
    </w:p>
    <w:p w:rsidR="00603A96" w:rsidRPr="00D72A64" w:rsidRDefault="00603A96" w:rsidP="00603A96">
      <w:pPr>
        <w:jc w:val="center"/>
        <w:rPr>
          <w:lang w:val="fr-FR"/>
        </w:rPr>
      </w:pPr>
      <w:r w:rsidRPr="00D72A64">
        <w:rPr>
          <w:sz w:val="24"/>
          <w:szCs w:val="24"/>
          <w:lang w:val="fr-FR"/>
        </w:rPr>
        <w:t>E. Tendayi Achiume</w:t>
      </w:r>
    </w:p>
    <w:p w:rsidR="00603A96" w:rsidRPr="00D72A64" w:rsidRDefault="00603A96" w:rsidP="00603A96">
      <w:pPr>
        <w:jc w:val="center"/>
        <w:rPr>
          <w:lang w:val="fr-FR"/>
        </w:rPr>
      </w:pPr>
      <w:r w:rsidRPr="00D72A64">
        <w:rPr>
          <w:sz w:val="24"/>
          <w:szCs w:val="24"/>
          <w:lang w:val="fr-FR"/>
        </w:rPr>
        <w:t>Rapporteur spécial sur les formes contemporaines de racisme, de discrimination raciale, de xénophobie et de l’intolérance qui y est associée</w:t>
      </w:r>
    </w:p>
    <w:p w:rsidR="0050572F" w:rsidRDefault="0050572F">
      <w:pPr>
        <w:jc w:val="center"/>
      </w:pPr>
    </w:p>
    <w:p w:rsidR="0050572F" w:rsidRPr="00794ADD" w:rsidRDefault="00794ADD">
      <w:pPr>
        <w:jc w:val="center"/>
        <w:rPr>
          <w:lang w:val="fr-CH"/>
        </w:rPr>
      </w:pPr>
      <w:r w:rsidRPr="00794ADD">
        <w:rPr>
          <w:sz w:val="24"/>
          <w:szCs w:val="24"/>
          <w:lang w:val="fr-CH"/>
        </w:rPr>
        <w:t>Nils Melzer</w:t>
      </w:r>
    </w:p>
    <w:p w:rsidR="0050572F" w:rsidRPr="00794ADD" w:rsidRDefault="00794ADD">
      <w:pPr>
        <w:jc w:val="center"/>
        <w:rPr>
          <w:lang w:val="fr-CH"/>
        </w:rPr>
      </w:pPr>
      <w:r w:rsidRPr="00794ADD">
        <w:rPr>
          <w:sz w:val="24"/>
          <w:szCs w:val="24"/>
          <w:lang w:val="fr-CH"/>
        </w:rPr>
        <w:t>Rapporteur spécial sur la torture et autres peines ou traitements cruels, inhumains ou dégradants</w:t>
      </w:r>
    </w:p>
    <w:p w:rsidR="0050572F" w:rsidRDefault="0050572F">
      <w:pPr>
        <w:jc w:val="center"/>
      </w:pPr>
    </w:p>
    <w:p w:rsidR="0050572F" w:rsidRPr="00794ADD" w:rsidRDefault="00794ADD">
      <w:pPr>
        <w:jc w:val="center"/>
        <w:rPr>
          <w:lang w:val="fr-CH"/>
        </w:rPr>
      </w:pPr>
      <w:r w:rsidRPr="00794ADD">
        <w:rPr>
          <w:sz w:val="24"/>
          <w:szCs w:val="24"/>
          <w:lang w:val="fr-CH"/>
        </w:rPr>
        <w:t>Léo Heller</w:t>
      </w:r>
    </w:p>
    <w:p w:rsidR="00763745" w:rsidRDefault="00794ADD" w:rsidP="00D621EF">
      <w:pPr>
        <w:jc w:val="center"/>
        <w:rPr>
          <w:sz w:val="24"/>
          <w:szCs w:val="24"/>
          <w:lang w:val="fr-CH"/>
        </w:rPr>
      </w:pPr>
      <w:r w:rsidRPr="00794ADD">
        <w:rPr>
          <w:sz w:val="24"/>
          <w:szCs w:val="24"/>
          <w:lang w:val="fr-CH"/>
        </w:rPr>
        <w:t>Rapporteur spécial sur les droits à l'eau potable et l'assainissement</w:t>
      </w:r>
      <w:bookmarkStart w:id="2" w:name="Summary"/>
      <w:bookmarkEnd w:id="2"/>
    </w:p>
    <w:sectPr w:rsidR="00763745" w:rsidSect="00FB168A">
      <w:footerReference w:type="default" r:id="rId11"/>
      <w:pgSz w:w="12240" w:h="15840"/>
      <w:pgMar w:top="1440" w:right="1797" w:bottom="1134"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B09" w:rsidRDefault="00531B09">
      <w:r>
        <w:separator/>
      </w:r>
    </w:p>
  </w:endnote>
  <w:endnote w:type="continuationSeparator" w:id="0">
    <w:p w:rsidR="00531B09" w:rsidRDefault="00531B09">
      <w:r>
        <w:continuationSeparator/>
      </w:r>
    </w:p>
  </w:endnote>
  <w:endnote w:type="continuationNotice" w:id="1">
    <w:p w:rsidR="00531B09" w:rsidRDefault="00531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auto"/>
    <w:notTrueType/>
    <w:pitch w:val="default"/>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09" w:rsidRDefault="00531B09">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E64CD9">
      <w:rPr>
        <w:rStyle w:val="PageNumber"/>
        <w:noProof/>
        <w:sz w:val="24"/>
        <w:szCs w:val="24"/>
      </w:rPr>
      <w:t>8</w:t>
    </w:r>
    <w:r>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B09" w:rsidRDefault="00531B09">
      <w:r>
        <w:separator/>
      </w:r>
    </w:p>
  </w:footnote>
  <w:footnote w:type="continuationSeparator" w:id="0">
    <w:p w:rsidR="00531B09" w:rsidRDefault="00531B09">
      <w:r>
        <w:continuationSeparator/>
      </w:r>
    </w:p>
  </w:footnote>
  <w:footnote w:type="continuationNotice" w:id="1">
    <w:p w:rsidR="00531B09" w:rsidRDefault="00531B09"/>
  </w:footnote>
  <w:footnote w:id="2">
    <w:p w:rsidR="00531B09" w:rsidRPr="001241A2" w:rsidRDefault="00531B09" w:rsidP="00DB2B78">
      <w:pPr>
        <w:pStyle w:val="FootnoteText"/>
        <w:ind w:left="709" w:hanging="283"/>
        <w:rPr>
          <w:lang w:val="fr-FR"/>
        </w:rPr>
      </w:pPr>
      <w:r w:rsidRPr="003C00AF">
        <w:rPr>
          <w:rStyle w:val="FootnoteReference"/>
        </w:rPr>
        <w:footnoteRef/>
      </w:r>
      <w:r>
        <w:rPr>
          <w:rStyle w:val="FootnoteReference"/>
        </w:rPr>
        <w:t xml:space="preserve"> </w:t>
      </w:r>
      <w:r w:rsidR="00DB2B78" w:rsidRPr="004E2263">
        <w:rPr>
          <w:lang w:val="fr-FR"/>
        </w:rPr>
        <w:tab/>
      </w:r>
      <w:r>
        <w:rPr>
          <w:lang w:val="fr-FR"/>
        </w:rPr>
        <w:t>Voir l’observation générale n</w:t>
      </w:r>
      <w:r w:rsidRPr="001241A2">
        <w:rPr>
          <w:vertAlign w:val="superscript"/>
          <w:lang w:val="fr-FR"/>
        </w:rPr>
        <w:t>o</w:t>
      </w:r>
      <w:r>
        <w:rPr>
          <w:lang w:val="fr-FR"/>
        </w:rPr>
        <w:t> </w:t>
      </w:r>
      <w:r w:rsidRPr="00F70046">
        <w:rPr>
          <w:lang w:val="fr-FR"/>
        </w:rPr>
        <w:t>12 (1999) sur le droit à une</w:t>
      </w:r>
      <w:r>
        <w:rPr>
          <w:lang w:val="fr-FR"/>
        </w:rPr>
        <w:t xml:space="preserve"> nourriture</w:t>
      </w:r>
      <w:r w:rsidRPr="00F70046">
        <w:rPr>
          <w:lang w:val="fr-FR"/>
        </w:rPr>
        <w:t xml:space="preserve"> suffisante</w:t>
      </w:r>
      <w:r>
        <w:rPr>
          <w:lang w:val="fr-FR"/>
        </w:rPr>
        <w:t>, par. </w:t>
      </w:r>
      <w:r w:rsidRPr="001241A2">
        <w:rPr>
          <w:lang w:val="fr-FR"/>
        </w:rPr>
        <w:t>6, 14 et 17.</w:t>
      </w:r>
    </w:p>
  </w:footnote>
  <w:footnote w:id="3">
    <w:p w:rsidR="00531B09" w:rsidRPr="001241A2" w:rsidRDefault="00531B09" w:rsidP="00DB2B78">
      <w:pPr>
        <w:pStyle w:val="FootnoteText"/>
        <w:ind w:left="709" w:hanging="283"/>
        <w:rPr>
          <w:lang w:val="fr-FR"/>
        </w:rPr>
      </w:pPr>
      <w:r w:rsidRPr="001241A2">
        <w:rPr>
          <w:rStyle w:val="FootnoteReference"/>
        </w:rPr>
        <w:footnoteRef/>
      </w:r>
      <w:r>
        <w:rPr>
          <w:rStyle w:val="FootnoteReference"/>
          <w:lang w:val="fr-FR"/>
        </w:rPr>
        <w:t xml:space="preserve"> </w:t>
      </w:r>
      <w:r w:rsidR="00DB2B78">
        <w:rPr>
          <w:lang w:val="fr-FR"/>
        </w:rPr>
        <w:tab/>
      </w:r>
      <w:r>
        <w:rPr>
          <w:lang w:val="fr-FR"/>
        </w:rPr>
        <w:t>Voir l’observation générale n</w:t>
      </w:r>
      <w:r w:rsidRPr="001241A2">
        <w:rPr>
          <w:vertAlign w:val="superscript"/>
          <w:lang w:val="fr-FR"/>
        </w:rPr>
        <w:t>o</w:t>
      </w:r>
      <w:r>
        <w:rPr>
          <w:lang w:val="fr-FR"/>
        </w:rPr>
        <w:t> </w:t>
      </w:r>
      <w:r w:rsidRPr="001241A2">
        <w:rPr>
          <w:lang w:val="fr-FR"/>
        </w:rPr>
        <w:t>15, par.</w:t>
      </w:r>
      <w:r>
        <w:rPr>
          <w:lang w:val="fr-FR"/>
        </w:rPr>
        <w:t> </w:t>
      </w:r>
      <w:r w:rsidRPr="001241A2">
        <w:rPr>
          <w:lang w:val="fr-FR"/>
        </w:rPr>
        <w:t>37.</w:t>
      </w:r>
    </w:p>
  </w:footnote>
  <w:footnote w:id="4">
    <w:p w:rsidR="00531B09" w:rsidRPr="001241A2" w:rsidRDefault="00531B09" w:rsidP="00DB2B78">
      <w:pPr>
        <w:pStyle w:val="FootnoteText"/>
        <w:ind w:left="709" w:hanging="283"/>
        <w:rPr>
          <w:lang w:val="fr-FR"/>
        </w:rPr>
      </w:pPr>
      <w:r w:rsidRPr="001241A2">
        <w:rPr>
          <w:rStyle w:val="FootnoteReference"/>
        </w:rPr>
        <w:footnoteRef/>
      </w:r>
      <w:r>
        <w:rPr>
          <w:rStyle w:val="FootnoteReference"/>
          <w:lang w:val="fr-FR"/>
        </w:rPr>
        <w:t xml:space="preserve"> </w:t>
      </w:r>
      <w:r w:rsidR="00DB2B78">
        <w:rPr>
          <w:lang w:val="fr-FR"/>
        </w:rPr>
        <w:tab/>
      </w:r>
      <w:r w:rsidRPr="00451485">
        <w:rPr>
          <w:lang w:val="fr-CH"/>
        </w:rPr>
        <w:t>Voir l’observation générale n</w:t>
      </w:r>
      <w:r w:rsidRPr="00451485">
        <w:rPr>
          <w:vertAlign w:val="superscript"/>
          <w:lang w:val="fr-CH"/>
        </w:rPr>
        <w:t>o</w:t>
      </w:r>
      <w:r w:rsidRPr="00451485">
        <w:rPr>
          <w:lang w:val="fr-CH"/>
        </w:rPr>
        <w:t> 14 (2000) sur le droit au meilleur état de santé susceptible d’être atteint, par. 43.</w:t>
      </w:r>
    </w:p>
  </w:footnote>
  <w:footnote w:id="5">
    <w:p w:rsidR="00531B09" w:rsidRPr="00B74CDC" w:rsidRDefault="00531B09" w:rsidP="00DB2B78">
      <w:pPr>
        <w:pStyle w:val="FootnoteText"/>
        <w:ind w:left="709" w:hanging="283"/>
        <w:rPr>
          <w:lang w:val="fr-CH"/>
        </w:rPr>
      </w:pPr>
      <w:r w:rsidRPr="001241A2">
        <w:rPr>
          <w:rStyle w:val="FootnoteReference"/>
        </w:rPr>
        <w:footnoteRef/>
      </w:r>
      <w:r>
        <w:rPr>
          <w:rStyle w:val="FootnoteReference"/>
          <w:lang w:val="fr-FR"/>
        </w:rPr>
        <w:t xml:space="preserve"> </w:t>
      </w:r>
      <w:r w:rsidR="00DB2B78">
        <w:rPr>
          <w:lang w:val="fr-FR"/>
        </w:rPr>
        <w:tab/>
      </w:r>
      <w:r>
        <w:rPr>
          <w:lang w:val="fr-FR"/>
        </w:rPr>
        <w:t>Voir l’observation générale n</w:t>
      </w:r>
      <w:r w:rsidRPr="00936546">
        <w:rPr>
          <w:vertAlign w:val="superscript"/>
          <w:lang w:val="fr-FR"/>
        </w:rPr>
        <w:t>o</w:t>
      </w:r>
      <w:r>
        <w:rPr>
          <w:lang w:val="fr-FR"/>
        </w:rPr>
        <w:t> </w:t>
      </w:r>
      <w:r w:rsidRPr="001241A2">
        <w:rPr>
          <w:lang w:val="fr-FR"/>
        </w:rPr>
        <w:t xml:space="preserve">13 (1999) sur </w:t>
      </w:r>
      <w:r>
        <w:rPr>
          <w:lang w:val="fr-FR"/>
        </w:rPr>
        <w:t>le droit à l’éducation, par.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510"/>
    <w:multiLevelType w:val="hybridMultilevel"/>
    <w:tmpl w:val="7D8E363C"/>
    <w:lvl w:ilvl="0" w:tplc="D1C4E29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A3A0E1E"/>
    <w:multiLevelType w:val="hybridMultilevel"/>
    <w:tmpl w:val="9DFEA3C8"/>
    <w:lvl w:ilvl="0" w:tplc="9BC8AD3E">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F350B"/>
    <w:multiLevelType w:val="hybridMultilevel"/>
    <w:tmpl w:val="704C6C2C"/>
    <w:lvl w:ilvl="0" w:tplc="141CEB84">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A16D0"/>
    <w:multiLevelType w:val="hybridMultilevel"/>
    <w:tmpl w:val="C516629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6E39508F"/>
    <w:multiLevelType w:val="hybridMultilevel"/>
    <w:tmpl w:val="A8007BE0"/>
    <w:lvl w:ilvl="0" w:tplc="FBBACAB4">
      <w:start w:val="1"/>
      <w:numFmt w:val="upperLetter"/>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A32E97"/>
    <w:multiLevelType w:val="hybridMultilevel"/>
    <w:tmpl w:val="704C6C2C"/>
    <w:lvl w:ilvl="0" w:tplc="141CEB84">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5"/>
    <w:rsid w:val="00021603"/>
    <w:rsid w:val="00087918"/>
    <w:rsid w:val="000951AC"/>
    <w:rsid w:val="000B58BD"/>
    <w:rsid w:val="000B717D"/>
    <w:rsid w:val="000E49D9"/>
    <w:rsid w:val="00106E2F"/>
    <w:rsid w:val="00116187"/>
    <w:rsid w:val="0013246B"/>
    <w:rsid w:val="00133F4F"/>
    <w:rsid w:val="00147844"/>
    <w:rsid w:val="001758AF"/>
    <w:rsid w:val="00180589"/>
    <w:rsid w:val="00195D80"/>
    <w:rsid w:val="001A1ED7"/>
    <w:rsid w:val="001F260E"/>
    <w:rsid w:val="00230082"/>
    <w:rsid w:val="00234CFD"/>
    <w:rsid w:val="002413AB"/>
    <w:rsid w:val="002628C5"/>
    <w:rsid w:val="00296831"/>
    <w:rsid w:val="002A2592"/>
    <w:rsid w:val="002A3A6F"/>
    <w:rsid w:val="002A7604"/>
    <w:rsid w:val="002D72B4"/>
    <w:rsid w:val="00301F63"/>
    <w:rsid w:val="00326E38"/>
    <w:rsid w:val="00331132"/>
    <w:rsid w:val="00334EE1"/>
    <w:rsid w:val="00353383"/>
    <w:rsid w:val="003927A3"/>
    <w:rsid w:val="003A435C"/>
    <w:rsid w:val="003A6E15"/>
    <w:rsid w:val="003B2458"/>
    <w:rsid w:val="003F1445"/>
    <w:rsid w:val="00407AF6"/>
    <w:rsid w:val="00427FC5"/>
    <w:rsid w:val="00461214"/>
    <w:rsid w:val="00476141"/>
    <w:rsid w:val="0047768B"/>
    <w:rsid w:val="00481D73"/>
    <w:rsid w:val="004951EE"/>
    <w:rsid w:val="004A7819"/>
    <w:rsid w:val="004E2263"/>
    <w:rsid w:val="0050572F"/>
    <w:rsid w:val="00510157"/>
    <w:rsid w:val="00531B09"/>
    <w:rsid w:val="005B7870"/>
    <w:rsid w:val="005C4CAC"/>
    <w:rsid w:val="005D27FE"/>
    <w:rsid w:val="005D3360"/>
    <w:rsid w:val="005D34ED"/>
    <w:rsid w:val="005E40BC"/>
    <w:rsid w:val="005F385E"/>
    <w:rsid w:val="005F420F"/>
    <w:rsid w:val="005F71B7"/>
    <w:rsid w:val="00603A96"/>
    <w:rsid w:val="00611D45"/>
    <w:rsid w:val="006B68EC"/>
    <w:rsid w:val="006C324B"/>
    <w:rsid w:val="006E7C8A"/>
    <w:rsid w:val="00730458"/>
    <w:rsid w:val="00754215"/>
    <w:rsid w:val="00763745"/>
    <w:rsid w:val="00767369"/>
    <w:rsid w:val="00794ADD"/>
    <w:rsid w:val="007A3279"/>
    <w:rsid w:val="007A74F6"/>
    <w:rsid w:val="007B0DA9"/>
    <w:rsid w:val="007C08CE"/>
    <w:rsid w:val="007C721B"/>
    <w:rsid w:val="007D41A0"/>
    <w:rsid w:val="007D737F"/>
    <w:rsid w:val="007E535C"/>
    <w:rsid w:val="008044AF"/>
    <w:rsid w:val="008174A2"/>
    <w:rsid w:val="0084725A"/>
    <w:rsid w:val="008508CF"/>
    <w:rsid w:val="0088597C"/>
    <w:rsid w:val="0089045E"/>
    <w:rsid w:val="00897484"/>
    <w:rsid w:val="008B1C4C"/>
    <w:rsid w:val="008C01CA"/>
    <w:rsid w:val="008C1E49"/>
    <w:rsid w:val="008F635A"/>
    <w:rsid w:val="00985865"/>
    <w:rsid w:val="00990475"/>
    <w:rsid w:val="00995A5D"/>
    <w:rsid w:val="009B7C32"/>
    <w:rsid w:val="009C6845"/>
    <w:rsid w:val="009E0612"/>
    <w:rsid w:val="009E4493"/>
    <w:rsid w:val="009F5132"/>
    <w:rsid w:val="00A15864"/>
    <w:rsid w:val="00A450CC"/>
    <w:rsid w:val="00A9576B"/>
    <w:rsid w:val="00AB601C"/>
    <w:rsid w:val="00AD186D"/>
    <w:rsid w:val="00AF10E9"/>
    <w:rsid w:val="00B2214C"/>
    <w:rsid w:val="00B6694B"/>
    <w:rsid w:val="00B672C1"/>
    <w:rsid w:val="00B72292"/>
    <w:rsid w:val="00B97628"/>
    <w:rsid w:val="00BB0628"/>
    <w:rsid w:val="00BC5835"/>
    <w:rsid w:val="00BE57F8"/>
    <w:rsid w:val="00BF1DDB"/>
    <w:rsid w:val="00C14378"/>
    <w:rsid w:val="00C323F2"/>
    <w:rsid w:val="00C42D59"/>
    <w:rsid w:val="00C7437E"/>
    <w:rsid w:val="00C81142"/>
    <w:rsid w:val="00CA5B7C"/>
    <w:rsid w:val="00CB28D6"/>
    <w:rsid w:val="00CC52F1"/>
    <w:rsid w:val="00CC6573"/>
    <w:rsid w:val="00CD3DD9"/>
    <w:rsid w:val="00D12484"/>
    <w:rsid w:val="00D17A29"/>
    <w:rsid w:val="00D45425"/>
    <w:rsid w:val="00D50C93"/>
    <w:rsid w:val="00D621EF"/>
    <w:rsid w:val="00D84920"/>
    <w:rsid w:val="00DA2F72"/>
    <w:rsid w:val="00DB2B78"/>
    <w:rsid w:val="00DC6AC7"/>
    <w:rsid w:val="00DE67BC"/>
    <w:rsid w:val="00DF1B13"/>
    <w:rsid w:val="00DF500E"/>
    <w:rsid w:val="00E25C01"/>
    <w:rsid w:val="00E31D4F"/>
    <w:rsid w:val="00E4044F"/>
    <w:rsid w:val="00E52473"/>
    <w:rsid w:val="00E63DBE"/>
    <w:rsid w:val="00E64CD9"/>
    <w:rsid w:val="00E679FB"/>
    <w:rsid w:val="00EA122B"/>
    <w:rsid w:val="00EB2245"/>
    <w:rsid w:val="00EB40B9"/>
    <w:rsid w:val="00EB4C3F"/>
    <w:rsid w:val="00EB6FAD"/>
    <w:rsid w:val="00EC61C1"/>
    <w:rsid w:val="00F01EB4"/>
    <w:rsid w:val="00F338A4"/>
    <w:rsid w:val="00F65921"/>
    <w:rsid w:val="00F707C9"/>
    <w:rsid w:val="00F71ABC"/>
    <w:rsid w:val="00F71CB8"/>
    <w:rsid w:val="00F77EEF"/>
    <w:rsid w:val="00F90230"/>
    <w:rsid w:val="00F96698"/>
    <w:rsid w:val="00FA0A0E"/>
    <w:rsid w:val="00FB168A"/>
    <w:rsid w:val="00FC5A07"/>
    <w:rsid w:val="00FC7489"/>
    <w:rsid w:val="00FD17F0"/>
    <w:rsid w:val="00FF0E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9CBA6"/>
  <w15:docId w15:val="{744229A8-7C3A-4BC0-A5B0-56B509A0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293"/>
      <w:jc w:val="center"/>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S TOC 1"/>
    <w:basedOn w:val="Heading1"/>
    <w:next w:val="Normal"/>
    <w:autoRedefine/>
    <w:semiHidden/>
    <w:pPr>
      <w:keepNext w:val="0"/>
      <w:numPr>
        <w:numId w:val="1"/>
      </w:numPr>
      <w:tabs>
        <w:tab w:val="clear" w:pos="720"/>
        <w:tab w:val="num" w:pos="792"/>
      </w:tabs>
      <w:spacing w:before="100" w:beforeAutospacing="1" w:after="360"/>
      <w:ind w:left="792" w:hanging="432"/>
      <w:outlineLvl w:val="9"/>
    </w:pPr>
    <w:rPr>
      <w:rFonts w:ascii="Times New Roman" w:hAnsi="Times New Roman" w:cs="Times New Roman"/>
      <w:caps/>
      <w:kern w:val="0"/>
      <w:sz w:val="20"/>
      <w:szCs w:val="20"/>
      <w:lang w:val="es-ES" w:eastAsia="es-ES"/>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customStyle="1" w:styleId="ref">
    <w:name w:val="ref"/>
    <w:basedOn w:val="Normal"/>
    <w:pPr>
      <w:tabs>
        <w:tab w:val="left" w:pos="6030"/>
        <w:tab w:val="left" w:pos="8100"/>
      </w:tabs>
      <w:ind w:left="-567" w:right="206"/>
    </w:pPr>
    <w:rPr>
      <w:sz w:val="14"/>
      <w:lang w:val="en-GB"/>
    </w:rPr>
  </w:style>
  <w:style w:type="paragraph" w:customStyle="1" w:styleId="1para">
    <w:name w:val="1para"/>
    <w:basedOn w:val="Normal"/>
    <w:pPr>
      <w:tabs>
        <w:tab w:val="left" w:pos="680"/>
        <w:tab w:val="left" w:pos="1247"/>
        <w:tab w:val="left" w:pos="1814"/>
      </w:tabs>
      <w:ind w:right="-23" w:firstLine="709"/>
      <w:jc w:val="both"/>
    </w:pPr>
    <w:rPr>
      <w:lang w:val="en-GB"/>
    </w:rPr>
  </w:style>
  <w:style w:type="paragraph" w:styleId="Footer">
    <w:name w:val="footer"/>
    <w:basedOn w:val="Normal"/>
    <w:pPr>
      <w:tabs>
        <w:tab w:val="center" w:pos="4320"/>
        <w:tab w:val="right" w:pos="8640"/>
      </w:tabs>
    </w:pPr>
  </w:style>
  <w:style w:type="paragraph" w:styleId="BodyText">
    <w:name w:val="Body Text"/>
    <w:basedOn w:val="Normal"/>
    <w:pPr>
      <w:tabs>
        <w:tab w:val="center" w:pos="968"/>
        <w:tab w:val="left" w:pos="7740"/>
      </w:tabs>
    </w:pPr>
    <w:rPr>
      <w:sz w:val="24"/>
      <w:lang w:val="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erChar">
    <w:name w:val="Header Char"/>
    <w:link w:val="Header"/>
    <w:uiPriority w:val="99"/>
    <w:rPr>
      <w:snapToGrid w:val="0"/>
      <w:lang w:val="en-AU" w:eastAsia="en-US"/>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US" w:eastAsia="en-US"/>
    </w:rPr>
  </w:style>
  <w:style w:type="paragraph" w:styleId="ListParagraph">
    <w:name w:val="List Paragraph"/>
    <w:basedOn w:val="Normal"/>
    <w:uiPriority w:val="34"/>
    <w:qFormat/>
    <w:rsid w:val="00E25C01"/>
    <w:pPr>
      <w:ind w:left="720"/>
      <w:contextualSpacing/>
    </w:pPr>
  </w:style>
  <w:style w:type="paragraph" w:styleId="FootnoteText">
    <w:name w:val="footnote text"/>
    <w:basedOn w:val="Normal"/>
    <w:link w:val="FootnoteTextChar"/>
    <w:rsid w:val="00794ADD"/>
  </w:style>
  <w:style w:type="character" w:customStyle="1" w:styleId="FootnoteTextChar">
    <w:name w:val="Footnote Text Char"/>
    <w:basedOn w:val="DefaultParagraphFont"/>
    <w:link w:val="FootnoteText"/>
    <w:rsid w:val="00794ADD"/>
    <w:rPr>
      <w:lang w:val="en-US" w:eastAsia="en-US"/>
    </w:rPr>
  </w:style>
  <w:style w:type="character" w:styleId="FootnoteReference">
    <w:name w:val="footnote reference"/>
    <w:aliases w:val="4_G"/>
    <w:qFormat/>
    <w:rsid w:val="00794ADD"/>
    <w:rPr>
      <w:rFonts w:ascii="Times New Roman" w:hAnsi="Times New Roman"/>
      <w:sz w:val="18"/>
      <w:vertAlign w:val="superscript"/>
      <w:lang w:val="fr-CH"/>
    </w:rPr>
  </w:style>
  <w:style w:type="paragraph" w:styleId="Revision">
    <w:name w:val="Revision"/>
    <w:hidden/>
    <w:uiPriority w:val="99"/>
    <w:semiHidden/>
    <w:rsid w:val="00AB601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68793">
      <w:bodyDiv w:val="1"/>
      <w:marLeft w:val="0"/>
      <w:marRight w:val="0"/>
      <w:marTop w:val="0"/>
      <w:marBottom w:val="0"/>
      <w:divBdr>
        <w:top w:val="none" w:sz="0" w:space="0" w:color="auto"/>
        <w:left w:val="none" w:sz="0" w:space="0" w:color="auto"/>
        <w:bottom w:val="none" w:sz="0" w:space="0" w:color="auto"/>
        <w:right w:val="none" w:sz="0" w:space="0" w:color="auto"/>
      </w:divBdr>
    </w:div>
    <w:div w:id="524713936">
      <w:bodyDiv w:val="1"/>
      <w:marLeft w:val="0"/>
      <w:marRight w:val="0"/>
      <w:marTop w:val="0"/>
      <w:marBottom w:val="0"/>
      <w:divBdr>
        <w:top w:val="none" w:sz="0" w:space="0" w:color="auto"/>
        <w:left w:val="none" w:sz="0" w:space="0" w:color="auto"/>
        <w:bottom w:val="none" w:sz="0" w:space="0" w:color="auto"/>
        <w:right w:val="none" w:sz="0" w:space="0" w:color="auto"/>
      </w:divBdr>
    </w:div>
    <w:div w:id="817654266">
      <w:bodyDiv w:val="1"/>
      <w:marLeft w:val="0"/>
      <w:marRight w:val="0"/>
      <w:marTop w:val="0"/>
      <w:marBottom w:val="0"/>
      <w:divBdr>
        <w:top w:val="none" w:sz="0" w:space="0" w:color="auto"/>
        <w:left w:val="none" w:sz="0" w:space="0" w:color="auto"/>
        <w:bottom w:val="none" w:sz="0" w:space="0" w:color="auto"/>
        <w:right w:val="none" w:sz="0" w:space="0" w:color="auto"/>
      </w:divBdr>
    </w:div>
    <w:div w:id="1125582024">
      <w:bodyDiv w:val="1"/>
      <w:marLeft w:val="0"/>
      <w:marRight w:val="0"/>
      <w:marTop w:val="0"/>
      <w:marBottom w:val="0"/>
      <w:divBdr>
        <w:top w:val="none" w:sz="0" w:space="0" w:color="auto"/>
        <w:left w:val="none" w:sz="0" w:space="0" w:color="auto"/>
        <w:bottom w:val="none" w:sz="0" w:space="0" w:color="auto"/>
        <w:right w:val="none" w:sz="0" w:space="0" w:color="auto"/>
      </w:divBdr>
    </w:div>
    <w:div w:id="1818304483">
      <w:bodyDiv w:val="1"/>
      <w:marLeft w:val="0"/>
      <w:marRight w:val="0"/>
      <w:marTop w:val="0"/>
      <w:marBottom w:val="0"/>
      <w:divBdr>
        <w:top w:val="none" w:sz="0" w:space="0" w:color="auto"/>
        <w:left w:val="none" w:sz="0" w:space="0" w:color="auto"/>
        <w:bottom w:val="none" w:sz="0" w:space="0" w:color="auto"/>
        <w:right w:val="none" w:sz="0" w:space="0" w:color="auto"/>
      </w:divBdr>
    </w:div>
    <w:div w:id="1877160048">
      <w:bodyDiv w:val="1"/>
      <w:marLeft w:val="0"/>
      <w:marRight w:val="0"/>
      <w:marTop w:val="0"/>
      <w:marBottom w:val="0"/>
      <w:divBdr>
        <w:top w:val="none" w:sz="0" w:space="0" w:color="auto"/>
        <w:left w:val="none" w:sz="0" w:space="0" w:color="auto"/>
        <w:bottom w:val="none" w:sz="0" w:space="0" w:color="auto"/>
        <w:right w:val="none" w:sz="0" w:space="0" w:color="auto"/>
      </w:divBdr>
      <w:divsChild>
        <w:div w:id="1850294870">
          <w:marLeft w:val="0"/>
          <w:marRight w:val="0"/>
          <w:marTop w:val="0"/>
          <w:marBottom w:val="0"/>
          <w:divBdr>
            <w:top w:val="none" w:sz="0" w:space="0" w:color="auto"/>
            <w:left w:val="none" w:sz="0" w:space="0" w:color="auto"/>
            <w:bottom w:val="none" w:sz="0" w:space="0" w:color="auto"/>
            <w:right w:val="none" w:sz="0" w:space="0" w:color="auto"/>
          </w:divBdr>
          <w:divsChild>
            <w:div w:id="1080634644">
              <w:marLeft w:val="0"/>
              <w:marRight w:val="0"/>
              <w:marTop w:val="0"/>
              <w:marBottom w:val="0"/>
              <w:divBdr>
                <w:top w:val="none" w:sz="0" w:space="0" w:color="auto"/>
                <w:left w:val="none" w:sz="0" w:space="0" w:color="auto"/>
                <w:bottom w:val="none" w:sz="0" w:space="0" w:color="auto"/>
                <w:right w:val="none" w:sz="0" w:space="0" w:color="auto"/>
              </w:divBdr>
              <w:divsChild>
                <w:div w:id="393896865">
                  <w:marLeft w:val="0"/>
                  <w:marRight w:val="0"/>
                  <w:marTop w:val="0"/>
                  <w:marBottom w:val="0"/>
                  <w:divBdr>
                    <w:top w:val="none" w:sz="0" w:space="0" w:color="auto"/>
                    <w:left w:val="none" w:sz="0" w:space="0" w:color="auto"/>
                    <w:bottom w:val="none" w:sz="0" w:space="0" w:color="auto"/>
                    <w:right w:val="none" w:sz="0" w:space="0" w:color="auto"/>
                  </w:divBdr>
                  <w:divsChild>
                    <w:div w:id="1981107129">
                      <w:marLeft w:val="0"/>
                      <w:marRight w:val="0"/>
                      <w:marTop w:val="0"/>
                      <w:marBottom w:val="0"/>
                      <w:divBdr>
                        <w:top w:val="none" w:sz="0" w:space="0" w:color="auto"/>
                        <w:left w:val="none" w:sz="0" w:space="0" w:color="auto"/>
                        <w:bottom w:val="none" w:sz="0" w:space="0" w:color="auto"/>
                        <w:right w:val="none" w:sz="0" w:space="0" w:color="auto"/>
                      </w:divBdr>
                      <w:divsChild>
                        <w:div w:id="898788282">
                          <w:marLeft w:val="0"/>
                          <w:marRight w:val="0"/>
                          <w:marTop w:val="0"/>
                          <w:marBottom w:val="0"/>
                          <w:divBdr>
                            <w:top w:val="none" w:sz="0" w:space="0" w:color="auto"/>
                            <w:left w:val="none" w:sz="0" w:space="0" w:color="auto"/>
                            <w:bottom w:val="none" w:sz="0" w:space="0" w:color="auto"/>
                            <w:right w:val="none" w:sz="0" w:space="0" w:color="auto"/>
                          </w:divBdr>
                          <w:divsChild>
                            <w:div w:id="1349797280">
                              <w:marLeft w:val="0"/>
                              <w:marRight w:val="0"/>
                              <w:marTop w:val="0"/>
                              <w:marBottom w:val="0"/>
                              <w:divBdr>
                                <w:top w:val="none" w:sz="0" w:space="0" w:color="auto"/>
                                <w:left w:val="none" w:sz="0" w:space="0" w:color="auto"/>
                                <w:bottom w:val="none" w:sz="0" w:space="0" w:color="auto"/>
                                <w:right w:val="none" w:sz="0" w:space="0" w:color="auto"/>
                              </w:divBdr>
                              <w:divsChild>
                                <w:div w:id="696929177">
                                  <w:marLeft w:val="0"/>
                                  <w:marRight w:val="0"/>
                                  <w:marTop w:val="30"/>
                                  <w:marBottom w:val="2250"/>
                                  <w:divBdr>
                                    <w:top w:val="none" w:sz="0" w:space="0" w:color="auto"/>
                                    <w:left w:val="none" w:sz="0" w:space="0" w:color="auto"/>
                                    <w:bottom w:val="none" w:sz="0" w:space="0" w:color="auto"/>
                                    <w:right w:val="none" w:sz="0" w:space="0" w:color="auto"/>
                                  </w:divBdr>
                                  <w:divsChild>
                                    <w:div w:id="173804372">
                                      <w:marLeft w:val="0"/>
                                      <w:marRight w:val="0"/>
                                      <w:marTop w:val="0"/>
                                      <w:marBottom w:val="0"/>
                                      <w:divBdr>
                                        <w:top w:val="none" w:sz="0" w:space="0" w:color="auto"/>
                                        <w:left w:val="none" w:sz="0" w:space="0" w:color="auto"/>
                                        <w:bottom w:val="none" w:sz="0" w:space="0" w:color="auto"/>
                                        <w:right w:val="none" w:sz="0" w:space="0" w:color="auto"/>
                                      </w:divBdr>
                                      <w:divsChild>
                                        <w:div w:id="1406757235">
                                          <w:marLeft w:val="0"/>
                                          <w:marRight w:val="0"/>
                                          <w:marTop w:val="0"/>
                                          <w:marBottom w:val="0"/>
                                          <w:divBdr>
                                            <w:top w:val="none" w:sz="0" w:space="0" w:color="auto"/>
                                            <w:left w:val="none" w:sz="0" w:space="0" w:color="auto"/>
                                            <w:bottom w:val="none" w:sz="0" w:space="0" w:color="auto"/>
                                            <w:right w:val="none" w:sz="0" w:space="0" w:color="auto"/>
                                          </w:divBdr>
                                          <w:divsChild>
                                            <w:div w:id="836962850">
                                              <w:marLeft w:val="0"/>
                                              <w:marRight w:val="0"/>
                                              <w:marTop w:val="0"/>
                                              <w:marBottom w:val="0"/>
                                              <w:divBdr>
                                                <w:top w:val="none" w:sz="0" w:space="0" w:color="auto"/>
                                                <w:left w:val="none" w:sz="0" w:space="0" w:color="auto"/>
                                                <w:bottom w:val="none" w:sz="0" w:space="0" w:color="auto"/>
                                                <w:right w:val="none" w:sz="0" w:space="0" w:color="auto"/>
                                              </w:divBdr>
                                              <w:divsChild>
                                                <w:div w:id="1148209717">
                                                  <w:marLeft w:val="0"/>
                                                  <w:marRight w:val="0"/>
                                                  <w:marTop w:val="0"/>
                                                  <w:marBottom w:val="0"/>
                                                  <w:divBdr>
                                                    <w:top w:val="none" w:sz="0" w:space="0" w:color="auto"/>
                                                    <w:left w:val="none" w:sz="0" w:space="0" w:color="auto"/>
                                                    <w:bottom w:val="none" w:sz="0" w:space="0" w:color="auto"/>
                                                    <w:right w:val="none" w:sz="0" w:space="0" w:color="auto"/>
                                                  </w:divBdr>
                                                  <w:divsChild>
                                                    <w:div w:id="9818843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02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AD5E-E070-4063-83F2-8CCA044BBD6A}"/>
</file>

<file path=customXml/itemProps2.xml><?xml version="1.0" encoding="utf-8"?>
<ds:datastoreItem xmlns:ds="http://schemas.openxmlformats.org/officeDocument/2006/customXml" ds:itemID="{E3E9E5FF-B8DC-486C-BEFC-D9FEE118C05E}">
  <ds:schemaRefs>
    <ds:schemaRef ds:uri="http://purl.org/dc/terms/"/>
    <ds:schemaRef ds:uri="http://schemas.openxmlformats.org/package/2006/metadata/core-properties"/>
    <ds:schemaRef ds:uri="http://purl.org/dc/dcmitype/"/>
    <ds:schemaRef ds:uri="http://schemas.microsoft.com/office/infopath/2007/PartnerControls"/>
    <ds:schemaRef ds:uri="0b0150ae-dd0c-48a5-a47b-ace445f42a38"/>
    <ds:schemaRef ds:uri="http://purl.org/dc/elements/1.1/"/>
    <ds:schemaRef ds:uri="http://schemas.microsoft.com/office/2006/metadata/properties"/>
    <ds:schemaRef ds:uri="8df6bd5a-3254-4fe3-9b80-d4805769a8d5"/>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70BC506-1F7F-4DEE-A494-794B65A61FC5}">
  <ds:schemaRefs>
    <ds:schemaRef ds:uri="http://schemas.microsoft.com/sharepoint/v3/contenttype/forms"/>
  </ds:schemaRefs>
</ds:datastoreItem>
</file>

<file path=customXml/itemProps4.xml><?xml version="1.0" encoding="utf-8"?>
<ds:datastoreItem xmlns:ds="http://schemas.openxmlformats.org/officeDocument/2006/customXml" ds:itemID="{EE48127F-030C-4C17-8592-AED428BC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Internal Communication Clearance Form</vt:lpstr>
    </vt:vector>
  </TitlesOfParts>
  <Company>International Computing Centre</Company>
  <LinksUpToDate>false</LinksUpToDate>
  <CharactersWithSpaces>23718</CharactersWithSpaces>
  <SharedDoc>false</SharedDoc>
  <HLinks>
    <vt:vector size="6" baseType="variant">
      <vt:variant>
        <vt:i4>6946906</vt:i4>
      </vt:variant>
      <vt:variant>
        <vt:i4>48</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Ochsenbein</dc:creator>
  <cp:lastModifiedBy>OCHSENBEIN Alice</cp:lastModifiedBy>
  <cp:revision>3</cp:revision>
  <cp:lastPrinted>2018-04-17T13:37:00Z</cp:lastPrinted>
  <dcterms:created xsi:type="dcterms:W3CDTF">2018-04-24T07:25:00Z</dcterms:created>
  <dcterms:modified xsi:type="dcterms:W3CDTF">2018-04-24T07:27:00Z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