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A5F2E" w14:textId="4F269705" w:rsidR="00034EAA" w:rsidRPr="006E25F5" w:rsidRDefault="002A17D4">
      <w:pPr>
        <w:numPr>
          <w:ilvl w:val="0"/>
          <w:numId w:val="1"/>
        </w:numPr>
        <w:spacing w:after="0" w:line="240" w:lineRule="auto"/>
        <w:jc w:val="both"/>
        <w:rPr>
          <w:rFonts w:ascii="Arial" w:eastAsia="Times New Roman" w:hAnsi="Arial" w:cs="Arial"/>
        </w:rPr>
      </w:pPr>
      <w:r w:rsidRPr="006E25F5">
        <w:rPr>
          <w:rFonts w:ascii="Arial" w:eastAsia="Times New Roman" w:hAnsi="Arial" w:cs="Arial"/>
        </w:rPr>
        <w:t xml:space="preserve">The </w:t>
      </w:r>
      <w:bookmarkStart w:id="0" w:name="_GoBack"/>
      <w:r w:rsidRPr="006E25F5">
        <w:rPr>
          <w:rFonts w:ascii="Arial" w:eastAsia="Times New Roman" w:hAnsi="Arial" w:cs="Arial"/>
        </w:rPr>
        <w:t xml:space="preserve">Commission on Human Rights of the Philippines (herewith the </w:t>
      </w:r>
      <w:bookmarkEnd w:id="0"/>
      <w:r w:rsidRPr="006E25F5">
        <w:rPr>
          <w:rFonts w:ascii="Arial" w:eastAsia="Times New Roman" w:hAnsi="Arial" w:cs="Arial"/>
        </w:rPr>
        <w:t>Commission)</w:t>
      </w:r>
      <w:r w:rsidR="008B7A3C">
        <w:rPr>
          <w:rStyle w:val="FootnoteReference"/>
          <w:rFonts w:ascii="Arial" w:eastAsia="Times New Roman" w:hAnsi="Arial" w:cs="Arial"/>
        </w:rPr>
        <w:footnoteReference w:id="1"/>
      </w:r>
      <w:r w:rsidR="008B7A3C">
        <w:rPr>
          <w:rFonts w:ascii="Arial" w:eastAsia="Times New Roman" w:hAnsi="Arial" w:cs="Arial"/>
        </w:rPr>
        <w:t xml:space="preserve"> </w:t>
      </w:r>
      <w:r w:rsidRPr="006E25F5">
        <w:rPr>
          <w:rFonts w:ascii="Arial" w:eastAsia="Times New Roman" w:hAnsi="Arial" w:cs="Arial"/>
        </w:rPr>
        <w:t>hereby submits to the Independent Expert on the protection against violence and discrimination based on sexual orientation and gender identity, its inputs relative to the latter’s thematic report at the 41st session of the Human Rights Council</w:t>
      </w:r>
      <w:r w:rsidR="00A77C4E">
        <w:rPr>
          <w:rFonts w:ascii="Arial" w:eastAsia="Times New Roman" w:hAnsi="Arial" w:cs="Arial"/>
        </w:rPr>
        <w:t>,</w:t>
      </w:r>
      <w:r w:rsidRPr="006E25F5">
        <w:rPr>
          <w:rFonts w:ascii="Arial" w:eastAsia="Times New Roman" w:hAnsi="Arial" w:cs="Arial"/>
        </w:rPr>
        <w:t xml:space="preserve"> which will focus on data as a means to create heightened awareness about violence and discrimination based on sexual orientation and gender identity.</w:t>
      </w:r>
    </w:p>
    <w:p w14:paraId="49826A63" w14:textId="77777777" w:rsidR="00034EAA" w:rsidRPr="006E25F5" w:rsidRDefault="00034EAA">
      <w:pPr>
        <w:spacing w:after="0" w:line="240" w:lineRule="auto"/>
        <w:ind w:left="720"/>
        <w:jc w:val="both"/>
        <w:rPr>
          <w:rFonts w:ascii="Arial" w:eastAsia="Times New Roman" w:hAnsi="Arial" w:cs="Arial"/>
        </w:rPr>
      </w:pPr>
    </w:p>
    <w:p w14:paraId="2B38296A" w14:textId="77777777" w:rsidR="00034EAA" w:rsidRPr="006E25F5" w:rsidRDefault="002A17D4">
      <w:pPr>
        <w:numPr>
          <w:ilvl w:val="0"/>
          <w:numId w:val="1"/>
        </w:numPr>
        <w:spacing w:after="0" w:line="240" w:lineRule="auto"/>
        <w:jc w:val="both"/>
        <w:rPr>
          <w:rFonts w:ascii="Arial" w:eastAsia="Times New Roman" w:hAnsi="Arial" w:cs="Arial"/>
        </w:rPr>
      </w:pPr>
      <w:r w:rsidRPr="006E25F5">
        <w:rPr>
          <w:rFonts w:ascii="Arial" w:eastAsia="Times New Roman" w:hAnsi="Arial" w:cs="Arial"/>
        </w:rPr>
        <w:t xml:space="preserve">This submission took into consideration local and international reports from government, civil society, the media, and international non-government organizations. This submission also utilized the Commission’s own documentation of independent monitoring activities and statements on the rights of persons with diverse sexual orientation and gender identity, primarily the inputs from the Commission’s Gender Equality and Women’s Human Rights Center (GEWHRC), which has undergone internal deliberations of the Commission </w:t>
      </w:r>
      <w:proofErr w:type="spellStart"/>
      <w:r w:rsidRPr="006E25F5">
        <w:rPr>
          <w:rFonts w:ascii="Arial" w:eastAsia="Times New Roman" w:hAnsi="Arial" w:cs="Arial"/>
        </w:rPr>
        <w:t>En</w:t>
      </w:r>
      <w:proofErr w:type="spellEnd"/>
      <w:r w:rsidRPr="006E25F5">
        <w:rPr>
          <w:rFonts w:ascii="Arial" w:eastAsia="Times New Roman" w:hAnsi="Arial" w:cs="Arial"/>
        </w:rPr>
        <w:t xml:space="preserve"> Banc.</w:t>
      </w:r>
    </w:p>
    <w:p w14:paraId="24998BFF" w14:textId="77777777" w:rsidR="00034EAA" w:rsidRPr="006E25F5" w:rsidRDefault="00034EAA">
      <w:pPr>
        <w:spacing w:after="0" w:line="240" w:lineRule="auto"/>
        <w:jc w:val="both"/>
        <w:rPr>
          <w:rFonts w:ascii="Arial" w:eastAsia="Times New Roman" w:hAnsi="Arial" w:cs="Arial"/>
        </w:rPr>
      </w:pPr>
    </w:p>
    <w:p w14:paraId="319C69DD" w14:textId="77777777" w:rsidR="00034EAA" w:rsidRPr="006E25F5" w:rsidRDefault="002A17D4">
      <w:pPr>
        <w:spacing w:after="0" w:line="240" w:lineRule="auto"/>
        <w:jc w:val="both"/>
        <w:rPr>
          <w:rFonts w:ascii="Arial" w:eastAsia="Times New Roman" w:hAnsi="Arial" w:cs="Arial"/>
          <w:b/>
          <w:i/>
        </w:rPr>
      </w:pPr>
      <w:r w:rsidRPr="006E25F5">
        <w:rPr>
          <w:rFonts w:ascii="Arial" w:eastAsia="Times New Roman" w:hAnsi="Arial" w:cs="Arial"/>
          <w:b/>
          <w:i/>
        </w:rPr>
        <w:t>Current Situation in the Philippines: LGBT-specific data collection and documentation</w:t>
      </w:r>
    </w:p>
    <w:p w14:paraId="58960DEA" w14:textId="77777777" w:rsidR="00034EAA" w:rsidRPr="006E25F5" w:rsidRDefault="00034EAA">
      <w:pPr>
        <w:spacing w:after="0" w:line="240" w:lineRule="auto"/>
        <w:jc w:val="both"/>
        <w:rPr>
          <w:rFonts w:ascii="Arial" w:eastAsia="Times New Roman" w:hAnsi="Arial" w:cs="Arial"/>
          <w:b/>
        </w:rPr>
      </w:pPr>
    </w:p>
    <w:p w14:paraId="0FA0A08E" w14:textId="77777777" w:rsidR="00034EAA" w:rsidRPr="006E25F5" w:rsidRDefault="002A17D4" w:rsidP="00B750DF">
      <w:pPr>
        <w:numPr>
          <w:ilvl w:val="0"/>
          <w:numId w:val="2"/>
        </w:numPr>
        <w:spacing w:after="0" w:line="240" w:lineRule="auto"/>
        <w:jc w:val="both"/>
        <w:rPr>
          <w:rFonts w:ascii="Arial" w:eastAsia="Times New Roman" w:hAnsi="Arial" w:cs="Arial"/>
        </w:rPr>
      </w:pPr>
      <w:r w:rsidRPr="006E25F5">
        <w:rPr>
          <w:rFonts w:ascii="Arial" w:eastAsia="Times New Roman" w:hAnsi="Arial" w:cs="Arial"/>
        </w:rPr>
        <w:t xml:space="preserve">Generally, the government currently has no existing mechanism </w:t>
      </w:r>
      <w:r w:rsidR="00B750DF" w:rsidRPr="006E25F5">
        <w:rPr>
          <w:rFonts w:ascii="Arial" w:eastAsia="Times New Roman" w:hAnsi="Arial" w:cs="Arial"/>
        </w:rPr>
        <w:t>for documenting</w:t>
      </w:r>
      <w:r w:rsidRPr="006E25F5">
        <w:rPr>
          <w:rFonts w:ascii="Arial" w:eastAsia="Times New Roman" w:hAnsi="Arial" w:cs="Arial"/>
        </w:rPr>
        <w:t xml:space="preserve"> or collecting data relative to the </w:t>
      </w:r>
      <w:r w:rsidR="00B750DF" w:rsidRPr="006E25F5">
        <w:rPr>
          <w:rFonts w:ascii="Arial" w:eastAsia="Times New Roman" w:hAnsi="Arial" w:cs="Arial"/>
        </w:rPr>
        <w:t>lesbian</w:t>
      </w:r>
      <w:r w:rsidRPr="006E25F5">
        <w:rPr>
          <w:rFonts w:ascii="Arial" w:eastAsia="Times New Roman" w:hAnsi="Arial" w:cs="Arial"/>
        </w:rPr>
        <w:t xml:space="preserve">, gay, bisexual, and transgender (LGBTI) population and to date, there are no </w:t>
      </w:r>
      <w:r w:rsidR="00F85DB7">
        <w:rPr>
          <w:rFonts w:ascii="Arial" w:eastAsia="Times New Roman" w:hAnsi="Arial" w:cs="Arial"/>
        </w:rPr>
        <w:t>concerted and visible</w:t>
      </w:r>
      <w:r w:rsidRPr="006E25F5">
        <w:rPr>
          <w:rFonts w:ascii="Arial" w:eastAsia="Times New Roman" w:hAnsi="Arial" w:cs="Arial"/>
        </w:rPr>
        <w:t xml:space="preserve"> initiatives to establish such</w:t>
      </w:r>
      <w:r w:rsidR="00F85DB7">
        <w:rPr>
          <w:rFonts w:ascii="Arial" w:eastAsia="Times New Roman" w:hAnsi="Arial" w:cs="Arial"/>
        </w:rPr>
        <w:t xml:space="preserve"> mechanism</w:t>
      </w:r>
      <w:r w:rsidRPr="006E25F5">
        <w:rPr>
          <w:rFonts w:ascii="Arial" w:eastAsia="Times New Roman" w:hAnsi="Arial" w:cs="Arial"/>
        </w:rPr>
        <w:t>.</w:t>
      </w:r>
    </w:p>
    <w:p w14:paraId="203C1332" w14:textId="77777777" w:rsidR="00034EAA" w:rsidRPr="006E25F5" w:rsidRDefault="00034EAA">
      <w:pPr>
        <w:spacing w:after="0" w:line="240" w:lineRule="auto"/>
        <w:ind w:left="720"/>
        <w:jc w:val="both"/>
        <w:rPr>
          <w:rFonts w:ascii="Arial" w:eastAsia="Times New Roman" w:hAnsi="Arial" w:cs="Arial"/>
        </w:rPr>
      </w:pPr>
    </w:p>
    <w:p w14:paraId="3BB93410" w14:textId="77777777" w:rsidR="00034EAA" w:rsidRPr="006E25F5" w:rsidRDefault="002A17D4">
      <w:pPr>
        <w:numPr>
          <w:ilvl w:val="0"/>
          <w:numId w:val="2"/>
        </w:numPr>
        <w:spacing w:after="0" w:line="276" w:lineRule="auto"/>
        <w:jc w:val="both"/>
        <w:rPr>
          <w:rFonts w:ascii="Arial" w:eastAsia="Times New Roman" w:hAnsi="Arial" w:cs="Arial"/>
        </w:rPr>
      </w:pPr>
      <w:r w:rsidRPr="006E25F5">
        <w:rPr>
          <w:rFonts w:ascii="Arial" w:eastAsia="Times New Roman" w:hAnsi="Arial" w:cs="Arial"/>
        </w:rPr>
        <w:t xml:space="preserve">In terms of identification in legal documents, unlike in other progressive </w:t>
      </w:r>
      <w:proofErr w:type="gramStart"/>
      <w:r w:rsidRPr="006E25F5">
        <w:rPr>
          <w:rFonts w:ascii="Arial" w:eastAsia="Times New Roman" w:hAnsi="Arial" w:cs="Arial"/>
        </w:rPr>
        <w:t>jurisdictions</w:t>
      </w:r>
      <w:proofErr w:type="gramEnd"/>
      <w:r w:rsidRPr="006E25F5">
        <w:rPr>
          <w:rFonts w:ascii="Arial" w:eastAsia="Times New Roman" w:hAnsi="Arial" w:cs="Arial"/>
        </w:rPr>
        <w:t xml:space="preserve"> where citizens are able to change entries in legal documents aside from clerical errors, such does not apply in Philippine setting. There are no options for transgender people to change their first names or their gender markers on official documents, as there is no legal gender recognition law, policy, or regulation enabling this to happen. </w:t>
      </w:r>
    </w:p>
    <w:p w14:paraId="4B0F2DEB" w14:textId="77777777" w:rsidR="00034EAA" w:rsidRPr="006E25F5" w:rsidRDefault="00034EAA">
      <w:pPr>
        <w:spacing w:after="0" w:line="240" w:lineRule="auto"/>
        <w:ind w:left="720"/>
        <w:jc w:val="both"/>
        <w:rPr>
          <w:rFonts w:ascii="Arial" w:eastAsia="Times New Roman" w:hAnsi="Arial" w:cs="Arial"/>
        </w:rPr>
      </w:pPr>
    </w:p>
    <w:p w14:paraId="20615DA0" w14:textId="77777777" w:rsidR="00034EAA" w:rsidRPr="006E25F5" w:rsidRDefault="002A17D4" w:rsidP="00F85DB7">
      <w:pPr>
        <w:spacing w:after="0" w:line="240" w:lineRule="auto"/>
        <w:jc w:val="both"/>
        <w:rPr>
          <w:rFonts w:ascii="Arial" w:eastAsia="Times New Roman" w:hAnsi="Arial" w:cs="Arial"/>
          <w:b/>
          <w:i/>
        </w:rPr>
      </w:pPr>
      <w:r w:rsidRPr="006E25F5">
        <w:rPr>
          <w:rFonts w:ascii="Arial" w:eastAsia="Times New Roman" w:hAnsi="Arial" w:cs="Arial"/>
          <w:b/>
          <w:i/>
        </w:rPr>
        <w:lastRenderedPageBreak/>
        <w:t>Data collection relative to violence and discrimination based on sexual orientation and gender identity</w:t>
      </w:r>
    </w:p>
    <w:p w14:paraId="52518104" w14:textId="77777777" w:rsidR="00034EAA" w:rsidRPr="006E25F5" w:rsidRDefault="00034EAA">
      <w:pPr>
        <w:spacing w:after="0" w:line="240" w:lineRule="auto"/>
        <w:ind w:left="720"/>
        <w:jc w:val="both"/>
        <w:rPr>
          <w:rFonts w:ascii="Arial" w:eastAsia="Times New Roman" w:hAnsi="Arial" w:cs="Arial"/>
        </w:rPr>
      </w:pPr>
    </w:p>
    <w:p w14:paraId="1BCF51A5" w14:textId="77777777" w:rsidR="00034EAA" w:rsidRPr="006E25F5" w:rsidRDefault="002A17D4">
      <w:pPr>
        <w:numPr>
          <w:ilvl w:val="0"/>
          <w:numId w:val="2"/>
        </w:numPr>
        <w:spacing w:after="0" w:line="240" w:lineRule="auto"/>
        <w:jc w:val="both"/>
        <w:rPr>
          <w:rFonts w:ascii="Arial" w:eastAsia="Times New Roman" w:hAnsi="Arial" w:cs="Arial"/>
        </w:rPr>
      </w:pPr>
      <w:r w:rsidRPr="006E25F5">
        <w:rPr>
          <w:rFonts w:ascii="Arial" w:eastAsia="Times New Roman" w:hAnsi="Arial" w:cs="Arial"/>
        </w:rPr>
        <w:t xml:space="preserve">Violations against the rights of LGBT persons is prevalent in the country although rarely (or not properly) documented. While the Philippines inches towards acknowledging different forms of violence based on sexual orientation gender identity and expression (SOGIE), there remains </w:t>
      </w:r>
      <w:r w:rsidR="00264B27">
        <w:rPr>
          <w:rFonts w:ascii="Arial" w:eastAsia="Times New Roman" w:hAnsi="Arial" w:cs="Arial"/>
        </w:rPr>
        <w:t xml:space="preserve">a dearth of </w:t>
      </w:r>
      <w:r w:rsidRPr="006E25F5">
        <w:rPr>
          <w:rFonts w:ascii="Arial" w:eastAsia="Times New Roman" w:hAnsi="Arial" w:cs="Arial"/>
        </w:rPr>
        <w:t>data and monitoring from the government.</w:t>
      </w:r>
      <w:r w:rsidRPr="006E25F5">
        <w:rPr>
          <w:rFonts w:ascii="Arial" w:eastAsia="Times New Roman" w:hAnsi="Arial" w:cs="Arial"/>
          <w:vertAlign w:val="superscript"/>
        </w:rPr>
        <w:footnoteReference w:id="2"/>
      </w:r>
    </w:p>
    <w:p w14:paraId="7B7BDC96" w14:textId="77777777" w:rsidR="00034EAA" w:rsidRPr="006E25F5" w:rsidRDefault="00034EAA">
      <w:pPr>
        <w:spacing w:after="0" w:line="240" w:lineRule="auto"/>
        <w:ind w:left="720"/>
        <w:jc w:val="both"/>
        <w:rPr>
          <w:rFonts w:ascii="Arial" w:eastAsia="Times New Roman" w:hAnsi="Arial" w:cs="Arial"/>
        </w:rPr>
      </w:pPr>
    </w:p>
    <w:p w14:paraId="59CA68CB" w14:textId="77777777" w:rsidR="00034EAA" w:rsidRPr="006E25F5" w:rsidRDefault="002A17D4">
      <w:pPr>
        <w:numPr>
          <w:ilvl w:val="0"/>
          <w:numId w:val="2"/>
        </w:numPr>
        <w:spacing w:after="0" w:line="276" w:lineRule="auto"/>
        <w:jc w:val="both"/>
        <w:rPr>
          <w:rFonts w:ascii="Arial" w:eastAsia="Times New Roman" w:hAnsi="Arial" w:cs="Arial"/>
        </w:rPr>
      </w:pPr>
      <w:r w:rsidRPr="006E25F5">
        <w:rPr>
          <w:rFonts w:ascii="Arial" w:eastAsia="Times New Roman" w:hAnsi="Arial" w:cs="Arial"/>
        </w:rPr>
        <w:t>In the absence of a national anti-discrimination law</w:t>
      </w:r>
      <w:r w:rsidRPr="006E25F5">
        <w:rPr>
          <w:rFonts w:ascii="Arial" w:eastAsia="Times New Roman" w:hAnsi="Arial" w:cs="Arial"/>
          <w:vertAlign w:val="superscript"/>
        </w:rPr>
        <w:footnoteReference w:id="3"/>
      </w:r>
      <w:r w:rsidRPr="006E25F5">
        <w:rPr>
          <w:rFonts w:ascii="Arial" w:eastAsia="Times New Roman" w:hAnsi="Arial" w:cs="Arial"/>
        </w:rPr>
        <w:t xml:space="preserve"> or any government mechanism or intervention directed to monitor, let alone address incidents of discrimination, prejudice and violence against the LGBT community in the </w:t>
      </w:r>
      <w:r w:rsidR="00A51DE4" w:rsidRPr="006E25F5">
        <w:rPr>
          <w:rFonts w:ascii="Arial" w:eastAsia="Times New Roman" w:hAnsi="Arial" w:cs="Arial"/>
        </w:rPr>
        <w:t>Philippines</w:t>
      </w:r>
      <w:r w:rsidRPr="006E25F5">
        <w:rPr>
          <w:rFonts w:ascii="Arial" w:eastAsia="Times New Roman" w:hAnsi="Arial" w:cs="Arial"/>
        </w:rPr>
        <w:t>, many LGBT victims refrain from reporting untoward incidents for fear of further harassment, prejudicial treatment or violent reprisal. Resultantly, LGBT people are left without protection as access to justice and to remedies remain elusive. Furthermore, the absence of government generated data on LGBT people has rendered the community invisible to policy makers and many government duty bearers.</w:t>
      </w:r>
      <w:r w:rsidRPr="006E25F5">
        <w:rPr>
          <w:rFonts w:ascii="Arial" w:eastAsia="Times New Roman" w:hAnsi="Arial" w:cs="Arial"/>
          <w:vertAlign w:val="superscript"/>
        </w:rPr>
        <w:footnoteReference w:id="4"/>
      </w:r>
    </w:p>
    <w:p w14:paraId="452308CA" w14:textId="77777777" w:rsidR="00034EAA" w:rsidRPr="006E25F5" w:rsidRDefault="00034EAA">
      <w:pPr>
        <w:spacing w:after="0" w:line="276" w:lineRule="auto"/>
        <w:ind w:left="720"/>
        <w:jc w:val="both"/>
        <w:rPr>
          <w:rFonts w:ascii="Arial" w:eastAsia="Times New Roman" w:hAnsi="Arial" w:cs="Arial"/>
        </w:rPr>
      </w:pPr>
    </w:p>
    <w:p w14:paraId="6C150D70" w14:textId="77777777" w:rsidR="00034EAA" w:rsidRPr="006E25F5" w:rsidRDefault="002A17D4">
      <w:pPr>
        <w:numPr>
          <w:ilvl w:val="0"/>
          <w:numId w:val="2"/>
        </w:numPr>
        <w:spacing w:after="0" w:line="276" w:lineRule="auto"/>
        <w:jc w:val="both"/>
        <w:rPr>
          <w:rFonts w:ascii="Arial" w:eastAsia="Times New Roman" w:hAnsi="Arial" w:cs="Arial"/>
        </w:rPr>
      </w:pPr>
      <w:r w:rsidRPr="006E25F5">
        <w:rPr>
          <w:rFonts w:ascii="Arial" w:eastAsia="Times New Roman" w:hAnsi="Arial" w:cs="Arial"/>
        </w:rPr>
        <w:t>The Congress, recognizing the fact that there is an absence of government mechanisms to monitor incidence of violence against members of the LGBT community, is working towards the passage of an act establishing</w:t>
      </w:r>
      <w:r w:rsidR="004D10EE">
        <w:rPr>
          <w:rFonts w:ascii="Arial" w:eastAsia="Times New Roman" w:hAnsi="Arial" w:cs="Arial"/>
        </w:rPr>
        <w:t xml:space="preserve"> a</w:t>
      </w:r>
      <w:r w:rsidRPr="006E25F5">
        <w:rPr>
          <w:rFonts w:ascii="Arial" w:eastAsia="Times New Roman" w:hAnsi="Arial" w:cs="Arial"/>
        </w:rPr>
        <w:t xml:space="preserve"> LGBT protection desks in all Philippine National Police (PNP) nationwide. The objective of the proposed law is to encourage members of the LGBT community to report the incidents of crime committed against them and to discourage further harassment and prejudicial treatment.</w:t>
      </w:r>
      <w:r w:rsidRPr="006E25F5">
        <w:rPr>
          <w:rFonts w:ascii="Arial" w:eastAsia="Times New Roman" w:hAnsi="Arial" w:cs="Arial"/>
          <w:vertAlign w:val="superscript"/>
        </w:rPr>
        <w:footnoteReference w:id="5"/>
      </w:r>
      <w:r w:rsidRPr="006E25F5">
        <w:rPr>
          <w:rFonts w:ascii="Arial" w:eastAsia="Times New Roman" w:hAnsi="Arial" w:cs="Arial"/>
        </w:rPr>
        <w:t xml:space="preserve"> The bill also seeks to create a police organization that is able and eager to respond to any criminal or emergency incident, regardless of the SOGIE of the people involved.</w:t>
      </w:r>
      <w:r w:rsidRPr="006E25F5">
        <w:rPr>
          <w:rFonts w:ascii="Arial" w:eastAsia="Times New Roman" w:hAnsi="Arial" w:cs="Arial"/>
          <w:vertAlign w:val="superscript"/>
        </w:rPr>
        <w:footnoteReference w:id="6"/>
      </w:r>
      <w:r w:rsidRPr="006E25F5">
        <w:rPr>
          <w:rFonts w:ascii="Arial" w:eastAsia="Times New Roman" w:hAnsi="Arial" w:cs="Arial"/>
        </w:rPr>
        <w:t xml:space="preserve"> </w:t>
      </w:r>
    </w:p>
    <w:p w14:paraId="7EB17CA4" w14:textId="77777777" w:rsidR="00034EAA" w:rsidRPr="006E25F5" w:rsidRDefault="00034EAA">
      <w:pPr>
        <w:spacing w:after="0" w:line="240" w:lineRule="auto"/>
        <w:jc w:val="both"/>
        <w:rPr>
          <w:rFonts w:ascii="Arial" w:eastAsia="Times New Roman" w:hAnsi="Arial" w:cs="Arial"/>
          <w:i/>
        </w:rPr>
      </w:pPr>
    </w:p>
    <w:p w14:paraId="7A07A2A0" w14:textId="77777777" w:rsidR="00034EAA" w:rsidRPr="006E25F5" w:rsidRDefault="002A17D4">
      <w:pPr>
        <w:spacing w:after="0" w:line="240" w:lineRule="auto"/>
        <w:jc w:val="both"/>
        <w:rPr>
          <w:rFonts w:ascii="Arial" w:eastAsia="Times New Roman" w:hAnsi="Arial" w:cs="Arial"/>
          <w:b/>
          <w:i/>
        </w:rPr>
      </w:pPr>
      <w:r w:rsidRPr="006E25F5">
        <w:rPr>
          <w:rFonts w:ascii="Arial" w:eastAsia="Times New Roman" w:hAnsi="Arial" w:cs="Arial"/>
          <w:b/>
          <w:i/>
        </w:rPr>
        <w:t xml:space="preserve">The Role of the Commission on Human Rights of the Philippines as Gender </w:t>
      </w:r>
      <w:proofErr w:type="spellStart"/>
      <w:r w:rsidRPr="006E25F5">
        <w:rPr>
          <w:rFonts w:ascii="Arial" w:eastAsia="Times New Roman" w:hAnsi="Arial" w:cs="Arial"/>
          <w:b/>
          <w:i/>
        </w:rPr>
        <w:t>Ombud</w:t>
      </w:r>
      <w:proofErr w:type="spellEnd"/>
      <w:r w:rsidRPr="006E25F5">
        <w:rPr>
          <w:rFonts w:ascii="Arial" w:eastAsia="Times New Roman" w:hAnsi="Arial" w:cs="Arial"/>
          <w:b/>
          <w:i/>
          <w:vertAlign w:val="superscript"/>
        </w:rPr>
        <w:footnoteReference w:id="7"/>
      </w:r>
    </w:p>
    <w:p w14:paraId="11F6C87E" w14:textId="77777777" w:rsidR="00034EAA" w:rsidRPr="006E25F5" w:rsidRDefault="00034EAA">
      <w:pPr>
        <w:spacing w:after="0" w:line="240" w:lineRule="auto"/>
        <w:jc w:val="both"/>
        <w:rPr>
          <w:rFonts w:ascii="Arial" w:eastAsia="Times New Roman" w:hAnsi="Arial" w:cs="Arial"/>
          <w:b/>
          <w:i/>
        </w:rPr>
      </w:pPr>
    </w:p>
    <w:p w14:paraId="437640B2" w14:textId="0D9601B2" w:rsidR="00034EAA" w:rsidRPr="006E25F5" w:rsidRDefault="002A17D4" w:rsidP="00B750DF">
      <w:pPr>
        <w:numPr>
          <w:ilvl w:val="0"/>
          <w:numId w:val="6"/>
        </w:numPr>
        <w:spacing w:after="0" w:line="276" w:lineRule="auto"/>
        <w:jc w:val="both"/>
        <w:rPr>
          <w:rFonts w:ascii="Arial" w:eastAsia="Times New Roman" w:hAnsi="Arial" w:cs="Arial"/>
        </w:rPr>
      </w:pPr>
      <w:r w:rsidRPr="006E25F5">
        <w:rPr>
          <w:rFonts w:ascii="Arial" w:eastAsia="Times New Roman" w:hAnsi="Arial" w:cs="Arial"/>
        </w:rPr>
        <w:t xml:space="preserve">The Commission on Human Rights, as Gender </w:t>
      </w:r>
      <w:proofErr w:type="spellStart"/>
      <w:r w:rsidRPr="006E25F5">
        <w:rPr>
          <w:rFonts w:ascii="Arial" w:eastAsia="Times New Roman" w:hAnsi="Arial" w:cs="Arial"/>
        </w:rPr>
        <w:t>Ombud</w:t>
      </w:r>
      <w:proofErr w:type="spellEnd"/>
      <w:r w:rsidRPr="006E25F5">
        <w:rPr>
          <w:rFonts w:ascii="Arial" w:eastAsia="Times New Roman" w:hAnsi="Arial" w:cs="Arial"/>
        </w:rPr>
        <w:t xml:space="preserve">, under the Magna Carta of Women (RA 9710) and as a National Human Rights Institution (NHRI) is committed to the protection and promotion of the rights of persons with diverse </w:t>
      </w:r>
      <w:r w:rsidRPr="006E25F5">
        <w:rPr>
          <w:rFonts w:ascii="Arial" w:eastAsia="Times New Roman" w:hAnsi="Arial" w:cs="Arial"/>
        </w:rPr>
        <w:lastRenderedPageBreak/>
        <w:t>SOGIE. The Commission recognizes the various forms of discrimination and violence that persons face on grounds of sexual orientation and gender identity and how these are linked with other forms of discrimination. The Commission works with LGBT</w:t>
      </w:r>
      <w:r w:rsidR="00986268">
        <w:rPr>
          <w:rFonts w:ascii="Arial" w:eastAsia="Times New Roman" w:hAnsi="Arial" w:cs="Arial"/>
        </w:rPr>
        <w:t xml:space="preserve"> rights</w:t>
      </w:r>
      <w:r w:rsidRPr="006E25F5">
        <w:rPr>
          <w:rFonts w:ascii="Arial" w:eastAsia="Times New Roman" w:hAnsi="Arial" w:cs="Arial"/>
        </w:rPr>
        <w:t xml:space="preserve"> </w:t>
      </w:r>
      <w:r w:rsidR="0076360D" w:rsidRPr="006E25F5">
        <w:rPr>
          <w:rFonts w:ascii="Arial" w:eastAsia="Times New Roman" w:hAnsi="Arial" w:cs="Arial"/>
        </w:rPr>
        <w:t xml:space="preserve">organizations and </w:t>
      </w:r>
      <w:r w:rsidRPr="006E25F5">
        <w:rPr>
          <w:rFonts w:ascii="Arial" w:eastAsia="Times New Roman" w:hAnsi="Arial" w:cs="Arial"/>
        </w:rPr>
        <w:t>communities in mainstreaming gender and in the protection and promotion of the human rights of LGBT</w:t>
      </w:r>
      <w:r w:rsidR="00986268">
        <w:rPr>
          <w:rFonts w:ascii="Arial" w:eastAsia="Times New Roman" w:hAnsi="Arial" w:cs="Arial"/>
        </w:rPr>
        <w:t xml:space="preserve"> persons</w:t>
      </w:r>
      <w:r w:rsidRPr="006E25F5">
        <w:rPr>
          <w:rFonts w:ascii="Arial" w:eastAsia="Times New Roman" w:hAnsi="Arial" w:cs="Arial"/>
        </w:rPr>
        <w:t xml:space="preserve">. It has been consistent in advocating for the rights of persons with diverse SOGIE </w:t>
      </w:r>
      <w:r w:rsidR="00727DD7" w:rsidRPr="006E25F5">
        <w:rPr>
          <w:rFonts w:ascii="Arial" w:eastAsia="Times New Roman" w:hAnsi="Arial" w:cs="Arial"/>
        </w:rPr>
        <w:t>particularly in pushing for the</w:t>
      </w:r>
      <w:r w:rsidRPr="006E25F5">
        <w:rPr>
          <w:rFonts w:ascii="Arial" w:eastAsia="Times New Roman" w:hAnsi="Arial" w:cs="Arial"/>
        </w:rPr>
        <w:t xml:space="preserve"> passage of an</w:t>
      </w:r>
      <w:r w:rsidR="00727DD7" w:rsidRPr="006E25F5">
        <w:rPr>
          <w:rFonts w:ascii="Arial" w:eastAsia="Times New Roman" w:hAnsi="Arial" w:cs="Arial"/>
        </w:rPr>
        <w:t xml:space="preserve"> </w:t>
      </w:r>
      <w:r w:rsidRPr="006E25F5">
        <w:rPr>
          <w:rFonts w:ascii="Arial" w:eastAsia="Times New Roman" w:hAnsi="Arial" w:cs="Arial"/>
        </w:rPr>
        <w:t>Anti-Discrimination Law.</w:t>
      </w:r>
    </w:p>
    <w:p w14:paraId="2A9CCBF9" w14:textId="77777777" w:rsidR="00034EAA" w:rsidRPr="006E25F5" w:rsidRDefault="00034EAA">
      <w:pPr>
        <w:spacing w:after="0" w:line="276" w:lineRule="auto"/>
        <w:ind w:left="720"/>
        <w:jc w:val="both"/>
        <w:rPr>
          <w:rFonts w:ascii="Arial" w:eastAsia="Times New Roman" w:hAnsi="Arial" w:cs="Arial"/>
        </w:rPr>
      </w:pPr>
    </w:p>
    <w:p w14:paraId="5C49EB18" w14:textId="7E1B6F63" w:rsidR="00034EAA" w:rsidRPr="006E25F5" w:rsidRDefault="002A17D4" w:rsidP="00B750DF">
      <w:pPr>
        <w:numPr>
          <w:ilvl w:val="0"/>
          <w:numId w:val="4"/>
        </w:numPr>
        <w:spacing w:after="0" w:line="240" w:lineRule="auto"/>
        <w:jc w:val="both"/>
        <w:rPr>
          <w:rFonts w:ascii="Arial" w:eastAsia="Times New Roman" w:hAnsi="Arial" w:cs="Arial"/>
        </w:rPr>
      </w:pPr>
      <w:r w:rsidRPr="006E25F5">
        <w:rPr>
          <w:rFonts w:ascii="Arial" w:eastAsia="Times New Roman" w:hAnsi="Arial" w:cs="Arial"/>
        </w:rPr>
        <w:t xml:space="preserve">The Commission </w:t>
      </w:r>
      <w:proofErr w:type="spellStart"/>
      <w:r w:rsidR="00727DD7" w:rsidRPr="006E25F5">
        <w:rPr>
          <w:rFonts w:ascii="Arial" w:eastAsia="Times New Roman" w:hAnsi="Arial" w:cs="Arial"/>
        </w:rPr>
        <w:t>endeavors</w:t>
      </w:r>
      <w:proofErr w:type="spellEnd"/>
      <w:r w:rsidR="00727DD7" w:rsidRPr="006E25F5">
        <w:rPr>
          <w:rFonts w:ascii="Arial" w:eastAsia="Times New Roman" w:hAnsi="Arial" w:cs="Arial"/>
        </w:rPr>
        <w:t xml:space="preserve"> to give particular attention to</w:t>
      </w:r>
      <w:r w:rsidRPr="006E25F5">
        <w:rPr>
          <w:rFonts w:ascii="Arial" w:eastAsia="Times New Roman" w:hAnsi="Arial" w:cs="Arial"/>
        </w:rPr>
        <w:t xml:space="preserve"> the rights of LGBTI</w:t>
      </w:r>
      <w:r w:rsidR="00986268">
        <w:rPr>
          <w:rFonts w:ascii="Arial" w:eastAsia="Times New Roman" w:hAnsi="Arial" w:cs="Arial"/>
        </w:rPr>
        <w:t xml:space="preserve"> persons</w:t>
      </w:r>
      <w:r w:rsidRPr="006E25F5">
        <w:rPr>
          <w:rFonts w:ascii="Arial" w:eastAsia="Times New Roman" w:hAnsi="Arial" w:cs="Arial"/>
        </w:rPr>
        <w:t xml:space="preserve"> </w:t>
      </w:r>
      <w:r w:rsidR="00727DD7" w:rsidRPr="006E25F5">
        <w:rPr>
          <w:rFonts w:ascii="Arial" w:eastAsia="Times New Roman" w:hAnsi="Arial" w:cs="Arial"/>
        </w:rPr>
        <w:t>along</w:t>
      </w:r>
      <w:r w:rsidR="00986268">
        <w:rPr>
          <w:rFonts w:ascii="Arial" w:eastAsia="Times New Roman" w:hAnsi="Arial" w:cs="Arial"/>
        </w:rPr>
        <w:t xml:space="preserve"> with</w:t>
      </w:r>
      <w:r w:rsidR="00727DD7" w:rsidRPr="006E25F5">
        <w:rPr>
          <w:rFonts w:ascii="Arial" w:eastAsia="Times New Roman" w:hAnsi="Arial" w:cs="Arial"/>
        </w:rPr>
        <w:t xml:space="preserve"> its </w:t>
      </w:r>
      <w:r w:rsidRPr="006E25F5">
        <w:rPr>
          <w:rFonts w:ascii="Arial" w:eastAsia="Times New Roman" w:hAnsi="Arial" w:cs="Arial"/>
        </w:rPr>
        <w:t xml:space="preserve">mandate </w:t>
      </w:r>
      <w:r w:rsidR="00564659" w:rsidRPr="006E25F5">
        <w:rPr>
          <w:rFonts w:ascii="Arial" w:eastAsia="Times New Roman" w:hAnsi="Arial" w:cs="Arial"/>
        </w:rPr>
        <w:t>to protect</w:t>
      </w:r>
      <w:r w:rsidR="00727DD7" w:rsidRPr="006E25F5">
        <w:rPr>
          <w:rFonts w:ascii="Arial" w:eastAsia="Times New Roman" w:hAnsi="Arial" w:cs="Arial"/>
        </w:rPr>
        <w:t xml:space="preserve"> and</w:t>
      </w:r>
      <w:r w:rsidRPr="006E25F5">
        <w:rPr>
          <w:rFonts w:ascii="Arial" w:eastAsia="Times New Roman" w:hAnsi="Arial" w:cs="Arial"/>
        </w:rPr>
        <w:t xml:space="preserve"> promot</w:t>
      </w:r>
      <w:r w:rsidR="00727DD7" w:rsidRPr="006E25F5">
        <w:rPr>
          <w:rFonts w:ascii="Arial" w:eastAsia="Times New Roman" w:hAnsi="Arial" w:cs="Arial"/>
        </w:rPr>
        <w:t>e their rights,</w:t>
      </w:r>
      <w:r w:rsidRPr="006E25F5">
        <w:rPr>
          <w:rFonts w:ascii="Arial" w:eastAsia="Times New Roman" w:hAnsi="Arial" w:cs="Arial"/>
        </w:rPr>
        <w:t xml:space="preserve"> and issuance of policy advisories to </w:t>
      </w:r>
      <w:r w:rsidR="00727DD7" w:rsidRPr="006E25F5">
        <w:rPr>
          <w:rFonts w:ascii="Arial" w:eastAsia="Times New Roman" w:hAnsi="Arial" w:cs="Arial"/>
        </w:rPr>
        <w:t xml:space="preserve">concerned </w:t>
      </w:r>
      <w:r w:rsidRPr="006E25F5">
        <w:rPr>
          <w:rFonts w:ascii="Arial" w:eastAsia="Times New Roman" w:hAnsi="Arial" w:cs="Arial"/>
        </w:rPr>
        <w:t>government</w:t>
      </w:r>
      <w:r w:rsidR="00727DD7" w:rsidRPr="006E25F5">
        <w:rPr>
          <w:rFonts w:ascii="Arial" w:eastAsia="Times New Roman" w:hAnsi="Arial" w:cs="Arial"/>
        </w:rPr>
        <w:t xml:space="preserve"> agencies</w:t>
      </w:r>
      <w:r w:rsidRPr="006E25F5">
        <w:rPr>
          <w:rFonts w:ascii="Arial" w:eastAsia="Times New Roman" w:hAnsi="Arial" w:cs="Arial"/>
        </w:rPr>
        <w:t xml:space="preserve">. This has been </w:t>
      </w:r>
      <w:r w:rsidR="00727DD7" w:rsidRPr="006E25F5">
        <w:rPr>
          <w:rFonts w:ascii="Arial" w:eastAsia="Times New Roman" w:hAnsi="Arial" w:cs="Arial"/>
        </w:rPr>
        <w:t>concretize</w:t>
      </w:r>
      <w:r w:rsidR="00564659" w:rsidRPr="006E25F5">
        <w:rPr>
          <w:rFonts w:ascii="Arial" w:eastAsia="Times New Roman" w:hAnsi="Arial" w:cs="Arial"/>
        </w:rPr>
        <w:t>d</w:t>
      </w:r>
      <w:r w:rsidR="00727DD7" w:rsidRPr="006E25F5">
        <w:rPr>
          <w:rFonts w:ascii="Arial" w:eastAsia="Times New Roman" w:hAnsi="Arial" w:cs="Arial"/>
        </w:rPr>
        <w:t xml:space="preserve"> through the adoption of </w:t>
      </w:r>
      <w:r w:rsidRPr="006E25F5">
        <w:rPr>
          <w:rFonts w:ascii="Arial" w:eastAsia="Times New Roman" w:hAnsi="Arial" w:cs="Arial"/>
        </w:rPr>
        <w:t xml:space="preserve">Gender </w:t>
      </w:r>
      <w:proofErr w:type="spellStart"/>
      <w:r w:rsidRPr="006E25F5">
        <w:rPr>
          <w:rFonts w:ascii="Arial" w:eastAsia="Times New Roman" w:hAnsi="Arial" w:cs="Arial"/>
        </w:rPr>
        <w:t>Ombud</w:t>
      </w:r>
      <w:proofErr w:type="spellEnd"/>
      <w:r w:rsidRPr="006E25F5">
        <w:rPr>
          <w:rFonts w:ascii="Arial" w:eastAsia="Times New Roman" w:hAnsi="Arial" w:cs="Arial"/>
        </w:rPr>
        <w:t xml:space="preserve"> Guidelines in 2015</w:t>
      </w:r>
      <w:r w:rsidR="00727DD7" w:rsidRPr="006E25F5">
        <w:rPr>
          <w:rFonts w:ascii="Arial" w:eastAsia="Times New Roman" w:hAnsi="Arial" w:cs="Arial"/>
        </w:rPr>
        <w:t>.  T</w:t>
      </w:r>
      <w:r w:rsidRPr="006E25F5">
        <w:rPr>
          <w:rFonts w:ascii="Arial" w:eastAsia="Times New Roman" w:hAnsi="Arial" w:cs="Arial"/>
        </w:rPr>
        <w:t xml:space="preserve">he </w:t>
      </w:r>
      <w:r w:rsidR="00727DD7" w:rsidRPr="006E25F5">
        <w:rPr>
          <w:rFonts w:ascii="Arial" w:eastAsia="Times New Roman" w:hAnsi="Arial" w:cs="Arial"/>
        </w:rPr>
        <w:t>Guidelines underscores that any form of abuse, exploitation and discrimination</w:t>
      </w:r>
      <w:r w:rsidRPr="006E25F5">
        <w:rPr>
          <w:rFonts w:ascii="Arial" w:eastAsia="Times New Roman" w:hAnsi="Arial" w:cs="Arial"/>
        </w:rPr>
        <w:t xml:space="preserve"> </w:t>
      </w:r>
      <w:r w:rsidR="00986268">
        <w:rPr>
          <w:rFonts w:ascii="Arial" w:eastAsia="Times New Roman" w:hAnsi="Arial" w:cs="Arial"/>
        </w:rPr>
        <w:t>against</w:t>
      </w:r>
      <w:r w:rsidR="00727DD7" w:rsidRPr="006E25F5">
        <w:rPr>
          <w:rFonts w:ascii="Arial" w:eastAsia="Times New Roman" w:hAnsi="Arial" w:cs="Arial"/>
        </w:rPr>
        <w:t xml:space="preserve"> mem</w:t>
      </w:r>
      <w:r w:rsidR="007538D6" w:rsidRPr="006E25F5">
        <w:rPr>
          <w:rFonts w:ascii="Arial" w:eastAsia="Times New Roman" w:hAnsi="Arial" w:cs="Arial"/>
        </w:rPr>
        <w:t>bers of the LGBTI community are</w:t>
      </w:r>
      <w:r w:rsidR="00727DD7" w:rsidRPr="006E25F5">
        <w:rPr>
          <w:rFonts w:ascii="Arial" w:eastAsia="Times New Roman" w:hAnsi="Arial" w:cs="Arial"/>
        </w:rPr>
        <w:t xml:space="preserve"> human rights vio</w:t>
      </w:r>
      <w:r w:rsidR="007538D6" w:rsidRPr="006E25F5">
        <w:rPr>
          <w:rFonts w:ascii="Arial" w:eastAsia="Times New Roman" w:hAnsi="Arial" w:cs="Arial"/>
        </w:rPr>
        <w:t xml:space="preserve">lations.  These are among the cases the Commission </w:t>
      </w:r>
      <w:r w:rsidR="00564659" w:rsidRPr="006E25F5">
        <w:rPr>
          <w:rFonts w:ascii="Arial" w:eastAsia="Times New Roman" w:hAnsi="Arial" w:cs="Arial"/>
        </w:rPr>
        <w:t>investigates and</w:t>
      </w:r>
      <w:r w:rsidR="007538D6" w:rsidRPr="006E25F5">
        <w:rPr>
          <w:rFonts w:ascii="Arial" w:eastAsia="Times New Roman" w:hAnsi="Arial" w:cs="Arial"/>
        </w:rPr>
        <w:t xml:space="preserve"> </w:t>
      </w:r>
      <w:r w:rsidRPr="006E25F5">
        <w:rPr>
          <w:rFonts w:ascii="Arial" w:eastAsia="Times New Roman" w:hAnsi="Arial" w:cs="Arial"/>
        </w:rPr>
        <w:t>renders legal assistance</w:t>
      </w:r>
      <w:r w:rsidR="00986268">
        <w:rPr>
          <w:rFonts w:ascii="Arial" w:eastAsia="Times New Roman" w:hAnsi="Arial" w:cs="Arial"/>
        </w:rPr>
        <w:t xml:space="preserve"> to</w:t>
      </w:r>
      <w:r w:rsidR="007538D6" w:rsidRPr="006E25F5">
        <w:rPr>
          <w:rFonts w:ascii="Arial" w:eastAsia="Times New Roman" w:hAnsi="Arial" w:cs="Arial"/>
        </w:rPr>
        <w:t xml:space="preserve">.  The Guidelines also </w:t>
      </w:r>
      <w:r w:rsidR="00564659" w:rsidRPr="006E25F5">
        <w:rPr>
          <w:rFonts w:ascii="Arial" w:eastAsia="Times New Roman" w:hAnsi="Arial" w:cs="Arial"/>
        </w:rPr>
        <w:t>outlines protocols</w:t>
      </w:r>
      <w:r w:rsidR="007538D6" w:rsidRPr="006E25F5">
        <w:rPr>
          <w:rFonts w:ascii="Arial" w:eastAsia="Times New Roman" w:hAnsi="Arial" w:cs="Arial"/>
        </w:rPr>
        <w:t xml:space="preserve"> on handling and</w:t>
      </w:r>
      <w:r w:rsidRPr="006E25F5">
        <w:rPr>
          <w:rFonts w:ascii="Arial" w:eastAsia="Times New Roman" w:hAnsi="Arial" w:cs="Arial"/>
        </w:rPr>
        <w:t xml:space="preserve"> investi</w:t>
      </w:r>
      <w:r w:rsidR="007538D6" w:rsidRPr="006E25F5">
        <w:rPr>
          <w:rFonts w:ascii="Arial" w:eastAsia="Times New Roman" w:hAnsi="Arial" w:cs="Arial"/>
        </w:rPr>
        <w:t>gating said</w:t>
      </w:r>
      <w:r w:rsidRPr="006E25F5">
        <w:rPr>
          <w:rFonts w:ascii="Arial" w:eastAsia="Times New Roman" w:hAnsi="Arial" w:cs="Arial"/>
        </w:rPr>
        <w:t xml:space="preserve"> cases</w:t>
      </w:r>
      <w:r w:rsidR="007538D6" w:rsidRPr="006E25F5">
        <w:rPr>
          <w:rFonts w:ascii="Arial" w:eastAsia="Times New Roman" w:hAnsi="Arial" w:cs="Arial"/>
        </w:rPr>
        <w:t xml:space="preserve">. </w:t>
      </w:r>
    </w:p>
    <w:p w14:paraId="1ACCD72E" w14:textId="77777777" w:rsidR="00034EAA" w:rsidRPr="006E25F5" w:rsidRDefault="00034EAA">
      <w:pPr>
        <w:spacing w:after="0" w:line="240" w:lineRule="auto"/>
        <w:ind w:left="720"/>
        <w:jc w:val="both"/>
        <w:rPr>
          <w:rFonts w:ascii="Arial" w:eastAsia="Times New Roman" w:hAnsi="Arial" w:cs="Arial"/>
        </w:rPr>
      </w:pPr>
    </w:p>
    <w:p w14:paraId="3F67C2EC" w14:textId="3495D5A3" w:rsidR="00034EAA" w:rsidRPr="006E25F5" w:rsidRDefault="002A17D4">
      <w:pPr>
        <w:numPr>
          <w:ilvl w:val="0"/>
          <w:numId w:val="4"/>
        </w:numPr>
        <w:spacing w:after="0" w:line="240" w:lineRule="auto"/>
        <w:jc w:val="both"/>
        <w:rPr>
          <w:rFonts w:ascii="Arial" w:eastAsia="Times New Roman" w:hAnsi="Arial" w:cs="Arial"/>
        </w:rPr>
      </w:pPr>
      <w:r w:rsidRPr="006E25F5">
        <w:rPr>
          <w:rFonts w:ascii="Arial" w:eastAsia="Times New Roman" w:hAnsi="Arial" w:cs="Arial"/>
        </w:rPr>
        <w:t xml:space="preserve">In terms of legislative advocacy and </w:t>
      </w:r>
      <w:r w:rsidR="00763D5E">
        <w:rPr>
          <w:rFonts w:ascii="Arial" w:eastAsia="Times New Roman" w:hAnsi="Arial" w:cs="Arial"/>
        </w:rPr>
        <w:t>the</w:t>
      </w:r>
      <w:r w:rsidRPr="006E25F5">
        <w:rPr>
          <w:rFonts w:ascii="Arial" w:eastAsia="Times New Roman" w:hAnsi="Arial" w:cs="Arial"/>
        </w:rPr>
        <w:t xml:space="preserve"> role of issuing policy advisory to the government, the Commission has convened the Stop the Discrimination Coalition aimed at pushing for the passage of the Comprehensive Anti-Discrimination Law.</w:t>
      </w:r>
      <w:r w:rsidRPr="006E25F5">
        <w:rPr>
          <w:rFonts w:ascii="Arial" w:eastAsia="Times New Roman" w:hAnsi="Arial" w:cs="Arial"/>
          <w:vertAlign w:val="superscript"/>
        </w:rPr>
        <w:footnoteReference w:id="8"/>
      </w:r>
    </w:p>
    <w:p w14:paraId="0AADAEF4" w14:textId="77777777" w:rsidR="00034EAA" w:rsidRPr="006E25F5" w:rsidRDefault="00034EAA">
      <w:pPr>
        <w:spacing w:after="0" w:line="276" w:lineRule="auto"/>
        <w:ind w:left="720"/>
        <w:jc w:val="both"/>
        <w:rPr>
          <w:rFonts w:ascii="Arial" w:eastAsia="Times New Roman" w:hAnsi="Arial" w:cs="Arial"/>
        </w:rPr>
      </w:pPr>
    </w:p>
    <w:p w14:paraId="441D8A9A" w14:textId="59FC2B47" w:rsidR="00034EAA" w:rsidRPr="006E25F5" w:rsidRDefault="002A17D4">
      <w:pPr>
        <w:numPr>
          <w:ilvl w:val="0"/>
          <w:numId w:val="4"/>
        </w:numPr>
        <w:spacing w:after="0" w:line="240" w:lineRule="auto"/>
        <w:jc w:val="both"/>
        <w:rPr>
          <w:rFonts w:ascii="Arial" w:eastAsia="Times New Roman" w:hAnsi="Arial" w:cs="Arial"/>
        </w:rPr>
      </w:pPr>
      <w:r w:rsidRPr="006E25F5">
        <w:rPr>
          <w:rFonts w:ascii="Arial" w:eastAsia="Times New Roman" w:hAnsi="Arial" w:cs="Arial"/>
        </w:rPr>
        <w:t>In 2010, the Commission</w:t>
      </w:r>
      <w:r w:rsidR="00D12C69">
        <w:rPr>
          <w:rFonts w:ascii="Arial" w:eastAsia="Times New Roman" w:hAnsi="Arial" w:cs="Arial"/>
        </w:rPr>
        <w:t xml:space="preserve"> </w:t>
      </w:r>
      <w:r w:rsidRPr="006E25F5">
        <w:rPr>
          <w:rFonts w:ascii="Arial" w:eastAsia="Times New Roman" w:hAnsi="Arial" w:cs="Arial"/>
        </w:rPr>
        <w:t>signed memorand</w:t>
      </w:r>
      <w:r w:rsidR="00D12C69">
        <w:rPr>
          <w:rFonts w:ascii="Arial" w:eastAsia="Times New Roman" w:hAnsi="Arial" w:cs="Arial"/>
        </w:rPr>
        <w:t>a of understanding (MoU)</w:t>
      </w:r>
      <w:r w:rsidRPr="006E25F5">
        <w:rPr>
          <w:rFonts w:ascii="Arial" w:eastAsia="Times New Roman" w:hAnsi="Arial" w:cs="Arial"/>
        </w:rPr>
        <w:t xml:space="preserve"> with partner civil society organizations (CSOs). Through the </w:t>
      </w:r>
      <w:r w:rsidR="00D12C69">
        <w:rPr>
          <w:rFonts w:ascii="Arial" w:eastAsia="Times New Roman" w:hAnsi="Arial" w:cs="Arial"/>
        </w:rPr>
        <w:t>MoU</w:t>
      </w:r>
      <w:r w:rsidRPr="006E25F5">
        <w:rPr>
          <w:rFonts w:ascii="Arial" w:eastAsia="Times New Roman" w:hAnsi="Arial" w:cs="Arial"/>
        </w:rPr>
        <w:t xml:space="preserve">, the Commission commits to undertake projects that will strengthen protection programs for human rights based on sexual orientation and gender identity. As of now, the collection of data for SOGIE is purely based on investigation and Legal Aid.  </w:t>
      </w:r>
    </w:p>
    <w:p w14:paraId="3C5B061E" w14:textId="77777777" w:rsidR="00034EAA" w:rsidRPr="006E25F5" w:rsidRDefault="00034EAA">
      <w:pPr>
        <w:spacing w:after="0" w:line="240" w:lineRule="auto"/>
        <w:ind w:left="720"/>
        <w:jc w:val="both"/>
        <w:rPr>
          <w:rFonts w:ascii="Arial" w:eastAsia="Times New Roman" w:hAnsi="Arial" w:cs="Arial"/>
        </w:rPr>
      </w:pPr>
    </w:p>
    <w:p w14:paraId="0B069461" w14:textId="5CE18F7A" w:rsidR="00034EAA" w:rsidRPr="006E25F5" w:rsidRDefault="002A17D4" w:rsidP="007538D6">
      <w:pPr>
        <w:numPr>
          <w:ilvl w:val="0"/>
          <w:numId w:val="4"/>
        </w:numPr>
        <w:spacing w:after="0" w:line="276" w:lineRule="auto"/>
        <w:jc w:val="both"/>
        <w:rPr>
          <w:rFonts w:ascii="Arial" w:eastAsia="Times New Roman" w:hAnsi="Arial" w:cs="Arial"/>
        </w:rPr>
      </w:pPr>
      <w:r w:rsidRPr="006E25F5">
        <w:rPr>
          <w:rFonts w:ascii="Arial" w:eastAsia="Times New Roman" w:hAnsi="Arial" w:cs="Arial"/>
        </w:rPr>
        <w:t>I</w:t>
      </w:r>
      <w:r w:rsidR="00B42CFE">
        <w:rPr>
          <w:rFonts w:ascii="Arial" w:eastAsia="Times New Roman" w:hAnsi="Arial" w:cs="Arial"/>
        </w:rPr>
        <w:t>n</w:t>
      </w:r>
      <w:r w:rsidRPr="006E25F5">
        <w:rPr>
          <w:rFonts w:ascii="Arial" w:eastAsia="Times New Roman" w:hAnsi="Arial" w:cs="Arial"/>
        </w:rPr>
        <w:t xml:space="preserve"> 2015 and 2016, two (2) trainings were conducted on the Gender </w:t>
      </w:r>
      <w:proofErr w:type="spellStart"/>
      <w:r w:rsidRPr="006E25F5">
        <w:rPr>
          <w:rFonts w:ascii="Arial" w:eastAsia="Times New Roman" w:hAnsi="Arial" w:cs="Arial"/>
        </w:rPr>
        <w:t>Ombud</w:t>
      </w:r>
      <w:proofErr w:type="spellEnd"/>
      <w:r w:rsidRPr="006E25F5">
        <w:rPr>
          <w:rFonts w:ascii="Arial" w:eastAsia="Times New Roman" w:hAnsi="Arial" w:cs="Arial"/>
        </w:rPr>
        <w:t xml:space="preserve"> Guidelines. The three-day training consisted of an introduction to the role of the Commission as Gender </w:t>
      </w:r>
      <w:proofErr w:type="spellStart"/>
      <w:r w:rsidRPr="006E25F5">
        <w:rPr>
          <w:rFonts w:ascii="Arial" w:eastAsia="Times New Roman" w:hAnsi="Arial" w:cs="Arial"/>
        </w:rPr>
        <w:t>Ombud</w:t>
      </w:r>
      <w:proofErr w:type="spellEnd"/>
      <w:r w:rsidRPr="006E25F5">
        <w:rPr>
          <w:rFonts w:ascii="Arial" w:eastAsia="Times New Roman" w:hAnsi="Arial" w:cs="Arial"/>
        </w:rPr>
        <w:t xml:space="preserve">, the Gender </w:t>
      </w:r>
      <w:proofErr w:type="spellStart"/>
      <w:r w:rsidRPr="006E25F5">
        <w:rPr>
          <w:rFonts w:ascii="Arial" w:eastAsia="Times New Roman" w:hAnsi="Arial" w:cs="Arial"/>
        </w:rPr>
        <w:t>Ombud</w:t>
      </w:r>
      <w:proofErr w:type="spellEnd"/>
      <w:r w:rsidRPr="006E25F5">
        <w:rPr>
          <w:rFonts w:ascii="Arial" w:eastAsia="Times New Roman" w:hAnsi="Arial" w:cs="Arial"/>
        </w:rPr>
        <w:t xml:space="preserve"> Guidelines including the investigation protocols and the monitoring of Regional Women’s and </w:t>
      </w:r>
      <w:r w:rsidR="00B750DF" w:rsidRPr="006E25F5">
        <w:rPr>
          <w:rFonts w:ascii="Arial" w:eastAsia="Times New Roman" w:hAnsi="Arial" w:cs="Arial"/>
        </w:rPr>
        <w:t>LGBTI Human</w:t>
      </w:r>
      <w:r w:rsidRPr="006E25F5">
        <w:rPr>
          <w:rFonts w:ascii="Arial" w:eastAsia="Times New Roman" w:hAnsi="Arial" w:cs="Arial"/>
        </w:rPr>
        <w:t xml:space="preserve"> Rights profile, SOGIE, Convention on the Elimination of All Forms of Discrimination Against Women (CEDAW) and the resolutions of the</w:t>
      </w:r>
      <w:r w:rsidR="00B42CFE">
        <w:rPr>
          <w:rFonts w:ascii="Arial" w:eastAsia="Times New Roman" w:hAnsi="Arial" w:cs="Arial"/>
        </w:rPr>
        <w:t xml:space="preserve"> CEDAW</w:t>
      </w:r>
      <w:r w:rsidRPr="006E25F5">
        <w:rPr>
          <w:rFonts w:ascii="Arial" w:eastAsia="Times New Roman" w:hAnsi="Arial" w:cs="Arial"/>
        </w:rPr>
        <w:t xml:space="preserve"> Committee, and Gender Planning and Budgeting.</w:t>
      </w:r>
      <w:r w:rsidR="007538D6" w:rsidRPr="006E25F5">
        <w:rPr>
          <w:rFonts w:ascii="Arial" w:eastAsia="Times New Roman" w:hAnsi="Arial" w:cs="Arial"/>
        </w:rPr>
        <w:t xml:space="preserve"> While recently (2018</w:t>
      </w:r>
      <w:r w:rsidR="00054254" w:rsidRPr="006E25F5">
        <w:rPr>
          <w:rFonts w:ascii="Arial" w:eastAsia="Times New Roman" w:hAnsi="Arial" w:cs="Arial"/>
        </w:rPr>
        <w:t>), the</w:t>
      </w:r>
      <w:r w:rsidR="007538D6" w:rsidRPr="006E25F5">
        <w:rPr>
          <w:rFonts w:ascii="Arial" w:eastAsia="Times New Roman" w:hAnsi="Arial" w:cs="Arial"/>
        </w:rPr>
        <w:t xml:space="preserve"> Commission commissioned a gender audit team to gauge the compliance of the </w:t>
      </w:r>
      <w:r w:rsidR="00564659" w:rsidRPr="006E25F5">
        <w:rPr>
          <w:rFonts w:ascii="Arial" w:eastAsia="Times New Roman" w:hAnsi="Arial" w:cs="Arial"/>
        </w:rPr>
        <w:t>Commission in</w:t>
      </w:r>
      <w:r w:rsidR="007538D6" w:rsidRPr="006E25F5">
        <w:rPr>
          <w:rFonts w:ascii="Arial" w:eastAsia="Times New Roman" w:hAnsi="Arial" w:cs="Arial"/>
        </w:rPr>
        <w:t xml:space="preserve"> mainstreaming gender in its structures,</w:t>
      </w:r>
      <w:r w:rsidR="00B42CFE">
        <w:rPr>
          <w:rFonts w:ascii="Arial" w:eastAsia="Times New Roman" w:hAnsi="Arial" w:cs="Arial"/>
        </w:rPr>
        <w:t xml:space="preserve"> </w:t>
      </w:r>
      <w:r w:rsidR="007538D6" w:rsidRPr="006E25F5">
        <w:rPr>
          <w:rFonts w:ascii="Arial" w:eastAsia="Times New Roman" w:hAnsi="Arial" w:cs="Arial"/>
        </w:rPr>
        <w:t>mechanisms (i.e., policies, programs and services), processes and pe</w:t>
      </w:r>
      <w:r w:rsidR="00B42CFE">
        <w:rPr>
          <w:rFonts w:ascii="Arial" w:eastAsia="Times New Roman" w:hAnsi="Arial" w:cs="Arial"/>
        </w:rPr>
        <w:t>rsonnel</w:t>
      </w:r>
      <w:r w:rsidR="007538D6" w:rsidRPr="006E25F5">
        <w:rPr>
          <w:rFonts w:ascii="Arial" w:eastAsia="Times New Roman" w:hAnsi="Arial" w:cs="Arial"/>
        </w:rPr>
        <w:t xml:space="preserve">.  The gender audit </w:t>
      </w:r>
      <w:r w:rsidR="00B42CFE">
        <w:rPr>
          <w:rFonts w:ascii="Arial" w:eastAsia="Times New Roman" w:hAnsi="Arial" w:cs="Arial"/>
        </w:rPr>
        <w:t xml:space="preserve">has </w:t>
      </w:r>
      <w:r w:rsidR="007538D6" w:rsidRPr="006E25F5">
        <w:rPr>
          <w:rFonts w:ascii="Arial" w:eastAsia="Times New Roman" w:hAnsi="Arial" w:cs="Arial"/>
        </w:rPr>
        <w:t>surface</w:t>
      </w:r>
      <w:r w:rsidR="00B42CFE">
        <w:rPr>
          <w:rFonts w:ascii="Arial" w:eastAsia="Times New Roman" w:hAnsi="Arial" w:cs="Arial"/>
        </w:rPr>
        <w:t>d</w:t>
      </w:r>
      <w:r w:rsidR="007538D6" w:rsidRPr="006E25F5">
        <w:rPr>
          <w:rFonts w:ascii="Arial" w:eastAsia="Times New Roman" w:hAnsi="Arial" w:cs="Arial"/>
        </w:rPr>
        <w:t xml:space="preserve"> significant recommendations on how the </w:t>
      </w:r>
      <w:r w:rsidR="00054254" w:rsidRPr="006E25F5">
        <w:rPr>
          <w:rFonts w:ascii="Arial" w:eastAsia="Times New Roman" w:hAnsi="Arial" w:cs="Arial"/>
        </w:rPr>
        <w:t>Commission could</w:t>
      </w:r>
      <w:r w:rsidR="00236B49" w:rsidRPr="006E25F5">
        <w:rPr>
          <w:rFonts w:ascii="Arial" w:eastAsia="Times New Roman" w:hAnsi="Arial" w:cs="Arial"/>
        </w:rPr>
        <w:t xml:space="preserve"> further</w:t>
      </w:r>
      <w:r w:rsidR="007538D6" w:rsidRPr="006E25F5">
        <w:rPr>
          <w:rFonts w:ascii="Arial" w:eastAsia="Times New Roman" w:hAnsi="Arial" w:cs="Arial"/>
        </w:rPr>
        <w:t xml:space="preserve"> strengthen its capacity</w:t>
      </w:r>
      <w:r w:rsidR="00236B49" w:rsidRPr="006E25F5">
        <w:rPr>
          <w:rFonts w:ascii="Arial" w:eastAsia="Times New Roman" w:hAnsi="Arial" w:cs="Arial"/>
        </w:rPr>
        <w:t xml:space="preserve"> </w:t>
      </w:r>
      <w:r w:rsidR="007538D6" w:rsidRPr="006E25F5">
        <w:rPr>
          <w:rFonts w:ascii="Arial" w:eastAsia="Times New Roman" w:hAnsi="Arial" w:cs="Arial"/>
        </w:rPr>
        <w:t xml:space="preserve">as Gender </w:t>
      </w:r>
      <w:proofErr w:type="spellStart"/>
      <w:r w:rsidR="007538D6" w:rsidRPr="006E25F5">
        <w:rPr>
          <w:rFonts w:ascii="Arial" w:eastAsia="Times New Roman" w:hAnsi="Arial" w:cs="Arial"/>
        </w:rPr>
        <w:t>Ombud</w:t>
      </w:r>
      <w:proofErr w:type="spellEnd"/>
      <w:r w:rsidR="007538D6" w:rsidRPr="006E25F5">
        <w:rPr>
          <w:rFonts w:ascii="Arial" w:eastAsia="Times New Roman" w:hAnsi="Arial" w:cs="Arial"/>
        </w:rPr>
        <w:t xml:space="preserve"> and mainstream gender.  The initial steps done include capacit</w:t>
      </w:r>
      <w:r w:rsidR="00236B49" w:rsidRPr="006E25F5">
        <w:rPr>
          <w:rFonts w:ascii="Arial" w:eastAsia="Times New Roman" w:hAnsi="Arial" w:cs="Arial"/>
        </w:rPr>
        <w:t>y building activities in C</w:t>
      </w:r>
      <w:r w:rsidR="00B42CFE">
        <w:rPr>
          <w:rFonts w:ascii="Arial" w:eastAsia="Times New Roman" w:hAnsi="Arial" w:cs="Arial"/>
        </w:rPr>
        <w:t>ommission’s</w:t>
      </w:r>
      <w:r w:rsidR="00236B49" w:rsidRPr="006E25F5">
        <w:rPr>
          <w:rFonts w:ascii="Arial" w:eastAsia="Times New Roman" w:hAnsi="Arial" w:cs="Arial"/>
        </w:rPr>
        <w:t xml:space="preserve"> central office and four pilot regional offices. The capacity building with the remainin</w:t>
      </w:r>
      <w:r w:rsidR="00B42CFE">
        <w:rPr>
          <w:rFonts w:ascii="Arial" w:eastAsia="Times New Roman" w:hAnsi="Arial" w:cs="Arial"/>
        </w:rPr>
        <w:t>g</w:t>
      </w:r>
      <w:r w:rsidR="00236B49" w:rsidRPr="006E25F5">
        <w:rPr>
          <w:rFonts w:ascii="Arial" w:eastAsia="Times New Roman" w:hAnsi="Arial" w:cs="Arial"/>
        </w:rPr>
        <w:t xml:space="preserve"> regional offices will proceed this 2019. </w:t>
      </w:r>
    </w:p>
    <w:p w14:paraId="1676FACC" w14:textId="77777777" w:rsidR="00034EAA" w:rsidRPr="006E25F5" w:rsidRDefault="00034EAA">
      <w:pPr>
        <w:spacing w:after="0" w:line="276" w:lineRule="auto"/>
        <w:jc w:val="both"/>
        <w:rPr>
          <w:rFonts w:ascii="Arial" w:eastAsia="Times New Roman" w:hAnsi="Arial" w:cs="Arial"/>
        </w:rPr>
      </w:pPr>
    </w:p>
    <w:p w14:paraId="6D80285E" w14:textId="77777777" w:rsidR="00034EAA" w:rsidRPr="00763D5E" w:rsidRDefault="002A17D4">
      <w:pPr>
        <w:spacing w:after="0" w:line="276" w:lineRule="auto"/>
        <w:jc w:val="both"/>
        <w:rPr>
          <w:rFonts w:ascii="Arial" w:eastAsia="Times New Roman" w:hAnsi="Arial" w:cs="Arial"/>
          <w:b/>
          <w:i/>
        </w:rPr>
      </w:pPr>
      <w:r w:rsidRPr="00763D5E">
        <w:rPr>
          <w:rFonts w:ascii="Arial" w:eastAsia="Times New Roman" w:hAnsi="Arial" w:cs="Arial"/>
          <w:b/>
          <w:i/>
        </w:rPr>
        <w:lastRenderedPageBreak/>
        <w:t>Monitoring and Reporting</w:t>
      </w:r>
    </w:p>
    <w:p w14:paraId="68998A31" w14:textId="77777777" w:rsidR="00034EAA" w:rsidRPr="006E25F5" w:rsidRDefault="00034EAA">
      <w:pPr>
        <w:spacing w:after="0" w:line="240" w:lineRule="auto"/>
        <w:ind w:left="720"/>
        <w:jc w:val="both"/>
        <w:rPr>
          <w:rFonts w:ascii="Arial" w:eastAsia="Times New Roman" w:hAnsi="Arial" w:cs="Arial"/>
        </w:rPr>
      </w:pPr>
    </w:p>
    <w:p w14:paraId="6557774E" w14:textId="77777777" w:rsidR="00034EAA" w:rsidRPr="006E25F5" w:rsidRDefault="002A17D4">
      <w:pPr>
        <w:numPr>
          <w:ilvl w:val="0"/>
          <w:numId w:val="4"/>
        </w:numPr>
        <w:spacing w:after="0" w:line="240" w:lineRule="auto"/>
        <w:jc w:val="both"/>
        <w:rPr>
          <w:rFonts w:ascii="Arial" w:eastAsia="Times New Roman" w:hAnsi="Arial" w:cs="Arial"/>
        </w:rPr>
      </w:pPr>
      <w:r w:rsidRPr="006E25F5">
        <w:rPr>
          <w:rFonts w:ascii="Arial" w:eastAsia="Times New Roman" w:hAnsi="Arial" w:cs="Arial"/>
        </w:rPr>
        <w:t xml:space="preserve">Pursuant to its mandate as Gender </w:t>
      </w:r>
      <w:proofErr w:type="spellStart"/>
      <w:r w:rsidRPr="006E25F5">
        <w:rPr>
          <w:rFonts w:ascii="Arial" w:eastAsia="Times New Roman" w:hAnsi="Arial" w:cs="Arial"/>
        </w:rPr>
        <w:t>Ombud</w:t>
      </w:r>
      <w:proofErr w:type="spellEnd"/>
      <w:r w:rsidRPr="006E25F5">
        <w:rPr>
          <w:rFonts w:ascii="Arial" w:eastAsia="Times New Roman" w:hAnsi="Arial" w:cs="Arial"/>
        </w:rPr>
        <w:t xml:space="preserve">, the Commission has adopted its own set of protocols in </w:t>
      </w:r>
      <w:r w:rsidR="00236B49" w:rsidRPr="006E25F5">
        <w:rPr>
          <w:rFonts w:ascii="Arial" w:eastAsia="Times New Roman" w:hAnsi="Arial" w:cs="Arial"/>
        </w:rPr>
        <w:t>handling and investigating</w:t>
      </w:r>
      <w:r w:rsidRPr="006E25F5">
        <w:rPr>
          <w:rFonts w:ascii="Arial" w:eastAsia="Times New Roman" w:hAnsi="Arial" w:cs="Arial"/>
        </w:rPr>
        <w:t xml:space="preserve"> cases of persons with diverse SOGIE and encourages other frontline government agencies to replicate such practice.  </w:t>
      </w:r>
    </w:p>
    <w:p w14:paraId="6788CEB0" w14:textId="77777777" w:rsidR="00034EAA" w:rsidRPr="006E25F5" w:rsidRDefault="00034EAA">
      <w:pPr>
        <w:spacing w:after="0" w:line="240" w:lineRule="auto"/>
        <w:ind w:left="720"/>
        <w:jc w:val="both"/>
        <w:rPr>
          <w:rFonts w:ascii="Arial" w:eastAsia="Times New Roman" w:hAnsi="Arial" w:cs="Arial"/>
        </w:rPr>
      </w:pPr>
    </w:p>
    <w:p w14:paraId="066E3099" w14:textId="30AC645F" w:rsidR="00C8066D" w:rsidRPr="006E25F5" w:rsidRDefault="002A17D4" w:rsidP="00C8066D">
      <w:pPr>
        <w:numPr>
          <w:ilvl w:val="0"/>
          <w:numId w:val="4"/>
        </w:numPr>
        <w:spacing w:after="0" w:line="240" w:lineRule="auto"/>
        <w:jc w:val="both"/>
        <w:rPr>
          <w:rFonts w:ascii="Arial" w:eastAsia="Times New Roman" w:hAnsi="Arial" w:cs="Arial"/>
        </w:rPr>
      </w:pPr>
      <w:r w:rsidRPr="006E25F5">
        <w:rPr>
          <w:rFonts w:ascii="Arial" w:eastAsia="Times New Roman" w:hAnsi="Arial" w:cs="Arial"/>
        </w:rPr>
        <w:t>The Commission, together with its Regional Offices</w:t>
      </w:r>
      <w:r w:rsidR="00B4740C" w:rsidRPr="006E25F5">
        <w:rPr>
          <w:rFonts w:ascii="Arial" w:eastAsia="Times New Roman" w:hAnsi="Arial" w:cs="Arial"/>
        </w:rPr>
        <w:t xml:space="preserve"> monitor the </w:t>
      </w:r>
      <w:r w:rsidR="00564659" w:rsidRPr="006E25F5">
        <w:rPr>
          <w:rFonts w:ascii="Arial" w:eastAsia="Times New Roman" w:hAnsi="Arial" w:cs="Arial"/>
        </w:rPr>
        <w:t>implementation and</w:t>
      </w:r>
      <w:r w:rsidR="00B4740C" w:rsidRPr="006E25F5">
        <w:rPr>
          <w:rFonts w:ascii="Arial" w:eastAsia="Times New Roman" w:hAnsi="Arial" w:cs="Arial"/>
        </w:rPr>
        <w:t xml:space="preserve"> </w:t>
      </w:r>
      <w:r w:rsidRPr="006E25F5">
        <w:rPr>
          <w:rFonts w:ascii="Arial" w:eastAsia="Times New Roman" w:hAnsi="Arial" w:cs="Arial"/>
        </w:rPr>
        <w:t>investigate violations of the</w:t>
      </w:r>
      <w:r w:rsidR="00236B49" w:rsidRPr="006E25F5">
        <w:rPr>
          <w:rFonts w:ascii="Arial" w:eastAsia="Times New Roman" w:hAnsi="Arial" w:cs="Arial"/>
        </w:rPr>
        <w:t xml:space="preserve"> provisions of the</w:t>
      </w:r>
      <w:r w:rsidRPr="006E25F5">
        <w:rPr>
          <w:rFonts w:ascii="Arial" w:eastAsia="Times New Roman" w:hAnsi="Arial" w:cs="Arial"/>
        </w:rPr>
        <w:t xml:space="preserve"> </w:t>
      </w:r>
      <w:r w:rsidR="00236B49" w:rsidRPr="006E25F5">
        <w:rPr>
          <w:rFonts w:ascii="Arial" w:eastAsia="Times New Roman" w:hAnsi="Arial" w:cs="Arial"/>
        </w:rPr>
        <w:t xml:space="preserve">Magna Carta of Women, the most comprehensive domestic </w:t>
      </w:r>
      <w:r w:rsidR="00564659" w:rsidRPr="006E25F5">
        <w:rPr>
          <w:rFonts w:ascii="Arial" w:eastAsia="Times New Roman" w:hAnsi="Arial" w:cs="Arial"/>
        </w:rPr>
        <w:t>legislation on</w:t>
      </w:r>
      <w:r w:rsidR="00236B49" w:rsidRPr="006E25F5">
        <w:rPr>
          <w:rFonts w:ascii="Arial" w:eastAsia="Times New Roman" w:hAnsi="Arial" w:cs="Arial"/>
        </w:rPr>
        <w:t xml:space="preserve"> the human rights of women in the country</w:t>
      </w:r>
      <w:r w:rsidRPr="006E25F5">
        <w:rPr>
          <w:rFonts w:ascii="Arial" w:eastAsia="Times New Roman" w:hAnsi="Arial" w:cs="Arial"/>
        </w:rPr>
        <w:t xml:space="preserve">. The </w:t>
      </w:r>
      <w:r w:rsidR="00B4740C" w:rsidRPr="006E25F5">
        <w:rPr>
          <w:rFonts w:ascii="Arial" w:eastAsia="Times New Roman" w:hAnsi="Arial" w:cs="Arial"/>
        </w:rPr>
        <w:t>data and information gathered from</w:t>
      </w:r>
      <w:r w:rsidRPr="006E25F5">
        <w:rPr>
          <w:rFonts w:ascii="Arial" w:eastAsia="Times New Roman" w:hAnsi="Arial" w:cs="Arial"/>
        </w:rPr>
        <w:t xml:space="preserve"> the monitoring forms part of the Regional Women’s Human Rights Profile </w:t>
      </w:r>
      <w:r w:rsidR="00B4740C" w:rsidRPr="006E25F5">
        <w:rPr>
          <w:rFonts w:ascii="Arial" w:eastAsia="Times New Roman" w:hAnsi="Arial" w:cs="Arial"/>
        </w:rPr>
        <w:t>in their respective regions</w:t>
      </w:r>
      <w:r w:rsidR="00C8066D" w:rsidRPr="006E25F5">
        <w:rPr>
          <w:rFonts w:ascii="Arial" w:eastAsia="Times New Roman" w:hAnsi="Arial" w:cs="Arial"/>
        </w:rPr>
        <w:t xml:space="preserve">. </w:t>
      </w:r>
    </w:p>
    <w:p w14:paraId="4C4B1E52" w14:textId="77777777" w:rsidR="00C8066D" w:rsidRPr="006E25F5" w:rsidRDefault="00C8066D" w:rsidP="00054254">
      <w:pPr>
        <w:pStyle w:val="ListParagraph"/>
        <w:rPr>
          <w:rFonts w:ascii="Arial" w:eastAsia="Times New Roman" w:hAnsi="Arial" w:cs="Arial"/>
        </w:rPr>
      </w:pPr>
    </w:p>
    <w:p w14:paraId="78D7073A" w14:textId="5EF49893" w:rsidR="00034EAA" w:rsidRPr="006E25F5" w:rsidRDefault="00C8066D" w:rsidP="00985529">
      <w:pPr>
        <w:numPr>
          <w:ilvl w:val="0"/>
          <w:numId w:val="4"/>
        </w:numPr>
        <w:spacing w:after="0" w:line="240" w:lineRule="auto"/>
        <w:jc w:val="both"/>
        <w:rPr>
          <w:rFonts w:ascii="Arial" w:eastAsia="Times New Roman" w:hAnsi="Arial" w:cs="Arial"/>
        </w:rPr>
      </w:pPr>
      <w:r w:rsidRPr="006E25F5">
        <w:rPr>
          <w:rFonts w:ascii="Arial" w:eastAsia="Times New Roman" w:hAnsi="Arial" w:cs="Arial"/>
        </w:rPr>
        <w:t>The Women’s and LGBTI Human Rights Profile Monitoring Tool consist</w:t>
      </w:r>
      <w:r w:rsidR="00054254" w:rsidRPr="006E25F5">
        <w:rPr>
          <w:rFonts w:ascii="Arial" w:eastAsia="Times New Roman" w:hAnsi="Arial" w:cs="Arial"/>
        </w:rPr>
        <w:t xml:space="preserve">s </w:t>
      </w:r>
      <w:r w:rsidRPr="006E25F5">
        <w:rPr>
          <w:rFonts w:ascii="Arial" w:eastAsia="Times New Roman" w:hAnsi="Arial" w:cs="Arial"/>
        </w:rPr>
        <w:t>of (a) monitoring results of</w:t>
      </w:r>
      <w:r w:rsidR="007041A2">
        <w:rPr>
          <w:rFonts w:ascii="Arial" w:eastAsia="Times New Roman" w:hAnsi="Arial" w:cs="Arial"/>
        </w:rPr>
        <w:t xml:space="preserve"> </w:t>
      </w:r>
      <w:r w:rsidRPr="006E25F5">
        <w:rPr>
          <w:rFonts w:ascii="Arial" w:eastAsia="Times New Roman" w:hAnsi="Arial" w:cs="Arial"/>
        </w:rPr>
        <w:t>indicators</w:t>
      </w:r>
      <w:r w:rsidR="007041A2">
        <w:rPr>
          <w:rFonts w:ascii="Arial" w:eastAsia="Times New Roman" w:hAnsi="Arial" w:cs="Arial"/>
        </w:rPr>
        <w:t xml:space="preserve"> of the Philippine Commission on Women</w:t>
      </w:r>
      <w:r w:rsidRPr="006E25F5">
        <w:rPr>
          <w:rFonts w:ascii="Arial" w:eastAsia="Times New Roman" w:hAnsi="Arial" w:cs="Arial"/>
        </w:rPr>
        <w:t xml:space="preserve">; (b) Gender </w:t>
      </w:r>
      <w:proofErr w:type="spellStart"/>
      <w:r w:rsidRPr="006E25F5">
        <w:rPr>
          <w:rFonts w:ascii="Arial" w:eastAsia="Times New Roman" w:hAnsi="Arial" w:cs="Arial"/>
        </w:rPr>
        <w:t>Ombud</w:t>
      </w:r>
      <w:proofErr w:type="spellEnd"/>
      <w:r w:rsidRPr="006E25F5">
        <w:rPr>
          <w:rFonts w:ascii="Arial" w:eastAsia="Times New Roman" w:hAnsi="Arial" w:cs="Arial"/>
        </w:rPr>
        <w:t xml:space="preserve"> cases handled by the Regional Office; (c) women’s human rights advisories issued; (d) analysis of issues and challenges on the fulfilment of women’s human rights in the region; and (d) recommendations and call for compliance with CEDAW and MCW.  </w:t>
      </w:r>
      <w:r w:rsidR="00985529" w:rsidRPr="006E25F5">
        <w:rPr>
          <w:rFonts w:ascii="Arial" w:eastAsia="Times New Roman" w:hAnsi="Arial" w:cs="Arial"/>
        </w:rPr>
        <w:t>The Regional Women’s Human Rights Profile, the outcome document of th</w:t>
      </w:r>
      <w:r w:rsidR="007041A2">
        <w:rPr>
          <w:rFonts w:ascii="Arial" w:eastAsia="Times New Roman" w:hAnsi="Arial" w:cs="Arial"/>
        </w:rPr>
        <w:t xml:space="preserve">e </w:t>
      </w:r>
      <w:r w:rsidR="00985529" w:rsidRPr="006E25F5">
        <w:rPr>
          <w:rFonts w:ascii="Arial" w:eastAsia="Times New Roman" w:hAnsi="Arial" w:cs="Arial"/>
        </w:rPr>
        <w:t>monitoring activity forms</w:t>
      </w:r>
      <w:r w:rsidR="00B4740C" w:rsidRPr="006E25F5">
        <w:rPr>
          <w:rFonts w:ascii="Arial" w:eastAsia="Times New Roman" w:hAnsi="Arial" w:cs="Arial"/>
        </w:rPr>
        <w:t xml:space="preserve"> comprise the </w:t>
      </w:r>
      <w:r w:rsidR="00054254" w:rsidRPr="006E25F5">
        <w:rPr>
          <w:rFonts w:ascii="Arial" w:eastAsia="Times New Roman" w:hAnsi="Arial" w:cs="Arial"/>
        </w:rPr>
        <w:t xml:space="preserve">comprehensive </w:t>
      </w:r>
      <w:r w:rsidR="00564659" w:rsidRPr="006E25F5">
        <w:rPr>
          <w:rFonts w:ascii="Arial" w:eastAsia="Times New Roman" w:hAnsi="Arial" w:cs="Arial"/>
        </w:rPr>
        <w:t>report called</w:t>
      </w:r>
      <w:r w:rsidR="00B4740C" w:rsidRPr="006E25F5">
        <w:rPr>
          <w:rFonts w:ascii="Arial" w:eastAsia="Times New Roman" w:hAnsi="Arial" w:cs="Arial"/>
        </w:rPr>
        <w:t xml:space="preserve"> Gender </w:t>
      </w:r>
      <w:proofErr w:type="spellStart"/>
      <w:r w:rsidR="00B4740C" w:rsidRPr="006E25F5">
        <w:rPr>
          <w:rFonts w:ascii="Arial" w:eastAsia="Times New Roman" w:hAnsi="Arial" w:cs="Arial"/>
        </w:rPr>
        <w:t>Ombud</w:t>
      </w:r>
      <w:proofErr w:type="spellEnd"/>
      <w:r w:rsidR="00B4740C" w:rsidRPr="006E25F5">
        <w:rPr>
          <w:rFonts w:ascii="Arial" w:eastAsia="Times New Roman" w:hAnsi="Arial" w:cs="Arial"/>
        </w:rPr>
        <w:t xml:space="preserve"> Report.  </w:t>
      </w:r>
      <w:r w:rsidR="00985529" w:rsidRPr="006E25F5">
        <w:rPr>
          <w:rFonts w:ascii="Arial" w:eastAsia="Times New Roman" w:hAnsi="Arial" w:cs="Arial"/>
        </w:rPr>
        <w:t xml:space="preserve">This report provides a birds-eye-view of the implementation of the MCW which include the accomplishments and good </w:t>
      </w:r>
      <w:r w:rsidR="00054254" w:rsidRPr="006E25F5">
        <w:rPr>
          <w:rFonts w:ascii="Arial" w:eastAsia="Times New Roman" w:hAnsi="Arial" w:cs="Arial"/>
        </w:rPr>
        <w:t>practices, gaps</w:t>
      </w:r>
      <w:r w:rsidR="00985529" w:rsidRPr="006E25F5">
        <w:rPr>
          <w:rFonts w:ascii="Arial" w:eastAsia="Times New Roman" w:hAnsi="Arial" w:cs="Arial"/>
        </w:rPr>
        <w:t xml:space="preserve"> and challenges, and recommendations specific to branches of the government and their instrumentalities. </w:t>
      </w:r>
    </w:p>
    <w:p w14:paraId="6C3D3B4C" w14:textId="77777777" w:rsidR="00034EAA" w:rsidRPr="006E25F5" w:rsidRDefault="00034EAA">
      <w:pPr>
        <w:spacing w:after="0" w:line="240" w:lineRule="auto"/>
        <w:ind w:left="720"/>
        <w:jc w:val="both"/>
        <w:rPr>
          <w:rFonts w:ascii="Arial" w:eastAsia="Times New Roman" w:hAnsi="Arial" w:cs="Arial"/>
        </w:rPr>
      </w:pPr>
    </w:p>
    <w:p w14:paraId="0418BCF0" w14:textId="77777777" w:rsidR="00034EAA" w:rsidRDefault="002A17D4">
      <w:pPr>
        <w:numPr>
          <w:ilvl w:val="0"/>
          <w:numId w:val="4"/>
        </w:numPr>
        <w:spacing w:after="0" w:line="240" w:lineRule="auto"/>
        <w:jc w:val="both"/>
        <w:rPr>
          <w:rFonts w:ascii="Arial" w:eastAsia="Times New Roman" w:hAnsi="Arial" w:cs="Arial"/>
        </w:rPr>
      </w:pPr>
      <w:r w:rsidRPr="006E25F5">
        <w:rPr>
          <w:rFonts w:ascii="Arial" w:eastAsia="Times New Roman" w:hAnsi="Arial" w:cs="Arial"/>
        </w:rPr>
        <w:t>In coordination the Regional Offices of the DILG, the relevant offices of the Philippine National Police, the Department of Social Work and Development (DSWD), Municipal Social Work and Development Officers (MSWDO) and making use of inter-agency committees/mechanisms in their respective regional areas of responsibilities (</w:t>
      </w:r>
      <w:proofErr w:type="spellStart"/>
      <w:r w:rsidRPr="006E25F5">
        <w:rPr>
          <w:rFonts w:ascii="Arial" w:eastAsia="Times New Roman" w:hAnsi="Arial" w:cs="Arial"/>
        </w:rPr>
        <w:t>AoRs</w:t>
      </w:r>
      <w:proofErr w:type="spellEnd"/>
      <w:r w:rsidRPr="006E25F5">
        <w:rPr>
          <w:rFonts w:ascii="Arial" w:eastAsia="Times New Roman" w:hAnsi="Arial" w:cs="Arial"/>
        </w:rPr>
        <w:t>), the Regional Offices monitor the following:</w:t>
      </w:r>
    </w:p>
    <w:p w14:paraId="4414ED13" w14:textId="77777777" w:rsidR="006E25F5" w:rsidRPr="006E25F5" w:rsidRDefault="006E25F5" w:rsidP="006E25F5">
      <w:pPr>
        <w:spacing w:after="0" w:line="240" w:lineRule="auto"/>
        <w:ind w:left="720"/>
        <w:jc w:val="both"/>
        <w:rPr>
          <w:rFonts w:ascii="Arial" w:eastAsia="Times New Roman" w:hAnsi="Arial" w:cs="Arial"/>
        </w:rPr>
      </w:pPr>
    </w:p>
    <w:p w14:paraId="71D7B9FB" w14:textId="77777777" w:rsidR="00034EAA" w:rsidRPr="006E25F5" w:rsidRDefault="002A17D4" w:rsidP="00B750DF">
      <w:pPr>
        <w:spacing w:after="0" w:line="240" w:lineRule="auto"/>
        <w:jc w:val="center"/>
        <w:rPr>
          <w:rFonts w:ascii="Arial" w:eastAsia="Times New Roman" w:hAnsi="Arial" w:cs="Arial"/>
        </w:rPr>
      </w:pPr>
      <w:r w:rsidRPr="006E25F5">
        <w:rPr>
          <w:rFonts w:ascii="Arial" w:eastAsia="Times New Roman" w:hAnsi="Arial" w:cs="Arial"/>
          <w:noProof/>
          <w:lang w:eastAsia="en-GB"/>
        </w:rPr>
        <w:lastRenderedPageBreak/>
        <w:drawing>
          <wp:inline distT="114300" distB="114300" distL="114300" distR="114300" wp14:anchorId="3E3A840C" wp14:editId="65E8A6A2">
            <wp:extent cx="4791075" cy="5137150"/>
            <wp:effectExtent l="0" t="0" r="9525" b="635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791075" cy="5137150"/>
                    </a:xfrm>
                    <a:prstGeom prst="rect">
                      <a:avLst/>
                    </a:prstGeom>
                    <a:ln/>
                  </pic:spPr>
                </pic:pic>
              </a:graphicData>
            </a:graphic>
          </wp:inline>
        </w:drawing>
      </w:r>
    </w:p>
    <w:p w14:paraId="7C06C858" w14:textId="77777777" w:rsidR="00034EAA" w:rsidRPr="006E25F5" w:rsidRDefault="00034EAA">
      <w:pPr>
        <w:spacing w:after="0" w:line="240" w:lineRule="auto"/>
        <w:ind w:left="720"/>
        <w:jc w:val="both"/>
        <w:rPr>
          <w:rFonts w:ascii="Arial" w:eastAsia="Times New Roman" w:hAnsi="Arial" w:cs="Arial"/>
        </w:rPr>
      </w:pPr>
    </w:p>
    <w:p w14:paraId="2B40C30B" w14:textId="688E34E3" w:rsidR="00034EAA" w:rsidRPr="006E25F5" w:rsidRDefault="002A17D4">
      <w:pPr>
        <w:spacing w:after="0" w:line="276" w:lineRule="auto"/>
        <w:jc w:val="both"/>
        <w:rPr>
          <w:rFonts w:ascii="Arial" w:eastAsia="Times New Roman" w:hAnsi="Arial" w:cs="Arial"/>
          <w:b/>
          <w:i/>
        </w:rPr>
      </w:pPr>
      <w:r w:rsidRPr="006E25F5">
        <w:rPr>
          <w:rFonts w:ascii="Arial" w:eastAsia="Times New Roman" w:hAnsi="Arial" w:cs="Arial"/>
          <w:b/>
          <w:i/>
        </w:rPr>
        <w:t>Involvement and participation of civil society in data gathering programs/activities</w:t>
      </w:r>
    </w:p>
    <w:p w14:paraId="6E874633" w14:textId="77777777" w:rsidR="00034EAA" w:rsidRPr="006E25F5" w:rsidRDefault="00034EAA">
      <w:pPr>
        <w:spacing w:after="0" w:line="276" w:lineRule="auto"/>
        <w:jc w:val="both"/>
        <w:rPr>
          <w:rFonts w:ascii="Arial" w:eastAsia="Times New Roman" w:hAnsi="Arial" w:cs="Arial"/>
          <w:b/>
        </w:rPr>
      </w:pPr>
    </w:p>
    <w:p w14:paraId="569CFE20" w14:textId="5D46E9B1" w:rsidR="00034EAA" w:rsidRPr="006E25F5" w:rsidRDefault="002A17D4" w:rsidP="00B750DF">
      <w:pPr>
        <w:numPr>
          <w:ilvl w:val="0"/>
          <w:numId w:val="5"/>
        </w:numPr>
        <w:spacing w:after="0" w:line="276" w:lineRule="auto"/>
        <w:jc w:val="both"/>
        <w:rPr>
          <w:rFonts w:ascii="Arial" w:eastAsia="Times New Roman" w:hAnsi="Arial" w:cs="Arial"/>
        </w:rPr>
      </w:pPr>
      <w:r w:rsidRPr="006E25F5">
        <w:rPr>
          <w:rFonts w:ascii="Arial" w:eastAsia="Times New Roman" w:hAnsi="Arial" w:cs="Arial"/>
        </w:rPr>
        <w:t xml:space="preserve">Civil society organizations (CSOs) act independently from the government in terms of data gathering activities. Most, if not all CSO-initiated activities focus more on monitoring </w:t>
      </w:r>
      <w:r w:rsidR="007041A2">
        <w:rPr>
          <w:rFonts w:ascii="Arial" w:eastAsia="Times New Roman" w:hAnsi="Arial" w:cs="Arial"/>
        </w:rPr>
        <w:t xml:space="preserve">of protection of </w:t>
      </w:r>
      <w:r w:rsidRPr="006E25F5">
        <w:rPr>
          <w:rFonts w:ascii="Arial" w:eastAsia="Times New Roman" w:hAnsi="Arial" w:cs="Arial"/>
        </w:rPr>
        <w:t xml:space="preserve">rights rather than population census. </w:t>
      </w:r>
    </w:p>
    <w:p w14:paraId="5FCDE52B" w14:textId="77777777" w:rsidR="00034EAA" w:rsidRPr="006E25F5" w:rsidRDefault="00034EAA">
      <w:pPr>
        <w:pBdr>
          <w:top w:val="nil"/>
          <w:left w:val="nil"/>
          <w:bottom w:val="nil"/>
          <w:right w:val="nil"/>
          <w:between w:val="nil"/>
        </w:pBdr>
        <w:spacing w:after="0" w:line="276" w:lineRule="auto"/>
        <w:jc w:val="both"/>
        <w:rPr>
          <w:rFonts w:ascii="Arial" w:eastAsia="Times New Roman" w:hAnsi="Arial" w:cs="Arial"/>
          <w:color w:val="0000FF"/>
        </w:rPr>
      </w:pPr>
    </w:p>
    <w:p w14:paraId="78DD90C3" w14:textId="77777777" w:rsidR="00034EAA" w:rsidRPr="006E25F5" w:rsidRDefault="002A17D4">
      <w:pPr>
        <w:spacing w:after="0" w:line="240" w:lineRule="auto"/>
        <w:jc w:val="both"/>
        <w:rPr>
          <w:rFonts w:ascii="Arial" w:eastAsia="Times New Roman" w:hAnsi="Arial" w:cs="Arial"/>
          <w:b/>
          <w:i/>
        </w:rPr>
      </w:pPr>
      <w:r w:rsidRPr="006E25F5">
        <w:rPr>
          <w:rFonts w:ascii="Arial" w:eastAsia="Times New Roman" w:hAnsi="Arial" w:cs="Arial"/>
          <w:b/>
          <w:i/>
        </w:rPr>
        <w:t>Recommendations for data collection:</w:t>
      </w:r>
    </w:p>
    <w:p w14:paraId="6707897D" w14:textId="77777777" w:rsidR="00034EAA" w:rsidRPr="006E25F5" w:rsidRDefault="00034EAA">
      <w:pPr>
        <w:spacing w:after="0" w:line="240" w:lineRule="auto"/>
        <w:jc w:val="both"/>
        <w:rPr>
          <w:rFonts w:ascii="Arial" w:eastAsia="Times New Roman" w:hAnsi="Arial" w:cs="Arial"/>
          <w:b/>
          <w:i/>
        </w:rPr>
      </w:pPr>
    </w:p>
    <w:p w14:paraId="27327BF8" w14:textId="77777777" w:rsidR="00034EAA" w:rsidRPr="006E25F5" w:rsidRDefault="002A17D4">
      <w:pPr>
        <w:spacing w:after="0" w:line="240" w:lineRule="auto"/>
        <w:jc w:val="both"/>
        <w:rPr>
          <w:rFonts w:ascii="Arial" w:eastAsia="Times New Roman" w:hAnsi="Arial" w:cs="Arial"/>
        </w:rPr>
      </w:pPr>
      <w:r w:rsidRPr="006E25F5">
        <w:rPr>
          <w:rFonts w:ascii="Arial" w:eastAsia="Times New Roman" w:hAnsi="Arial" w:cs="Arial"/>
        </w:rPr>
        <w:t>To improve the government’s collection of data regarding the LGBT population and cases of violence and discrimination against the community, the Commission recommends the following:</w:t>
      </w:r>
    </w:p>
    <w:p w14:paraId="56CAA0B9" w14:textId="77777777" w:rsidR="00034EAA" w:rsidRPr="006E25F5" w:rsidRDefault="00034EAA">
      <w:pPr>
        <w:spacing w:after="0" w:line="240" w:lineRule="auto"/>
        <w:jc w:val="both"/>
        <w:rPr>
          <w:rFonts w:ascii="Arial" w:eastAsia="Times New Roman" w:hAnsi="Arial" w:cs="Arial"/>
          <w:b/>
          <w:i/>
        </w:rPr>
      </w:pPr>
    </w:p>
    <w:p w14:paraId="3684CBEC" w14:textId="03E817EF" w:rsidR="00034EAA" w:rsidRPr="006E25F5" w:rsidRDefault="002A17D4" w:rsidP="00B750DF">
      <w:pPr>
        <w:numPr>
          <w:ilvl w:val="0"/>
          <w:numId w:val="7"/>
        </w:numPr>
        <w:spacing w:after="0" w:line="240" w:lineRule="auto"/>
        <w:jc w:val="both"/>
        <w:rPr>
          <w:rFonts w:ascii="Arial" w:eastAsia="Times New Roman" w:hAnsi="Arial" w:cs="Arial"/>
        </w:rPr>
      </w:pPr>
      <w:r w:rsidRPr="006E25F5">
        <w:rPr>
          <w:rFonts w:ascii="Arial" w:eastAsia="Times New Roman" w:hAnsi="Arial" w:cs="Arial"/>
        </w:rPr>
        <w:t>For the government to work towards legal gender recognition and consider the same in the implementation of the national ID system by reflecting SOGI</w:t>
      </w:r>
      <w:r w:rsidR="006667CD">
        <w:rPr>
          <w:rFonts w:ascii="Arial" w:eastAsia="Times New Roman" w:hAnsi="Arial" w:cs="Arial"/>
        </w:rPr>
        <w:t>E</w:t>
      </w:r>
      <w:r w:rsidRPr="006E25F5">
        <w:rPr>
          <w:rFonts w:ascii="Arial" w:eastAsia="Times New Roman" w:hAnsi="Arial" w:cs="Arial"/>
        </w:rPr>
        <w:t xml:space="preserve"> in the national IDs issued;</w:t>
      </w:r>
    </w:p>
    <w:p w14:paraId="1F8FFA19" w14:textId="77777777" w:rsidR="00034EAA" w:rsidRPr="006E25F5" w:rsidRDefault="002A17D4" w:rsidP="00B750DF">
      <w:pPr>
        <w:numPr>
          <w:ilvl w:val="0"/>
          <w:numId w:val="7"/>
        </w:numPr>
        <w:spacing w:after="0" w:line="240" w:lineRule="auto"/>
        <w:jc w:val="both"/>
        <w:rPr>
          <w:rFonts w:ascii="Arial" w:eastAsia="Times New Roman" w:hAnsi="Arial" w:cs="Arial"/>
        </w:rPr>
      </w:pPr>
      <w:r w:rsidRPr="006E25F5">
        <w:rPr>
          <w:rFonts w:ascii="Arial" w:eastAsia="Times New Roman" w:hAnsi="Arial" w:cs="Arial"/>
        </w:rPr>
        <w:t>For the government to work towards the amendment of laws that deny legal gender recognition;</w:t>
      </w:r>
    </w:p>
    <w:p w14:paraId="717A50FE" w14:textId="5329E322" w:rsidR="00034EAA" w:rsidRPr="006E25F5" w:rsidRDefault="002A17D4" w:rsidP="00B750DF">
      <w:pPr>
        <w:numPr>
          <w:ilvl w:val="0"/>
          <w:numId w:val="7"/>
        </w:numPr>
        <w:spacing w:after="0" w:line="240" w:lineRule="auto"/>
        <w:jc w:val="both"/>
        <w:rPr>
          <w:rFonts w:ascii="Arial" w:eastAsia="Times New Roman" w:hAnsi="Arial" w:cs="Arial"/>
        </w:rPr>
      </w:pPr>
      <w:r w:rsidRPr="006E25F5">
        <w:rPr>
          <w:rFonts w:ascii="Arial" w:eastAsia="Times New Roman" w:hAnsi="Arial" w:cs="Arial"/>
        </w:rPr>
        <w:t xml:space="preserve">For the government to systematize and institutionalize collection of data </w:t>
      </w:r>
      <w:r w:rsidR="006667CD">
        <w:rPr>
          <w:rFonts w:ascii="Arial" w:eastAsia="Times New Roman" w:hAnsi="Arial" w:cs="Arial"/>
        </w:rPr>
        <w:t>concerning</w:t>
      </w:r>
      <w:r w:rsidRPr="006E25F5">
        <w:rPr>
          <w:rFonts w:ascii="Arial" w:eastAsia="Times New Roman" w:hAnsi="Arial" w:cs="Arial"/>
        </w:rPr>
        <w:t xml:space="preserve"> LGBTI</w:t>
      </w:r>
      <w:r w:rsidR="006667CD">
        <w:rPr>
          <w:rFonts w:ascii="Arial" w:eastAsia="Times New Roman" w:hAnsi="Arial" w:cs="Arial"/>
        </w:rPr>
        <w:t xml:space="preserve"> persons</w:t>
      </w:r>
      <w:r w:rsidRPr="006E25F5">
        <w:rPr>
          <w:rFonts w:ascii="Arial" w:eastAsia="Times New Roman" w:hAnsi="Arial" w:cs="Arial"/>
        </w:rPr>
        <w:t xml:space="preserve">, particularly on the different forms of violence and discrimination directed against </w:t>
      </w:r>
      <w:r w:rsidR="00054254" w:rsidRPr="006E25F5">
        <w:rPr>
          <w:rFonts w:ascii="Arial" w:eastAsia="Times New Roman" w:hAnsi="Arial" w:cs="Arial"/>
        </w:rPr>
        <w:t>LGBTI</w:t>
      </w:r>
      <w:r w:rsidR="00392ED5">
        <w:rPr>
          <w:rFonts w:ascii="Arial" w:eastAsia="Times New Roman" w:hAnsi="Arial" w:cs="Arial"/>
        </w:rPr>
        <w:t xml:space="preserve"> persons</w:t>
      </w:r>
      <w:r w:rsidR="00054254" w:rsidRPr="006E25F5">
        <w:rPr>
          <w:rFonts w:ascii="Arial" w:eastAsia="Times New Roman" w:hAnsi="Arial" w:cs="Arial"/>
        </w:rPr>
        <w:t xml:space="preserve"> on</w:t>
      </w:r>
      <w:r w:rsidRPr="006E25F5">
        <w:rPr>
          <w:rFonts w:ascii="Arial" w:eastAsia="Times New Roman" w:hAnsi="Arial" w:cs="Arial"/>
        </w:rPr>
        <w:t xml:space="preserve"> the basis of their SOGIESC;</w:t>
      </w:r>
    </w:p>
    <w:p w14:paraId="7C821E26" w14:textId="6045EDE6" w:rsidR="00034EAA" w:rsidRPr="006E25F5" w:rsidRDefault="002A17D4" w:rsidP="00B750DF">
      <w:pPr>
        <w:numPr>
          <w:ilvl w:val="0"/>
          <w:numId w:val="7"/>
        </w:numPr>
        <w:spacing w:after="0" w:line="240" w:lineRule="auto"/>
        <w:jc w:val="both"/>
        <w:rPr>
          <w:rFonts w:ascii="Arial" w:eastAsia="Times New Roman" w:hAnsi="Arial" w:cs="Arial"/>
        </w:rPr>
      </w:pPr>
      <w:r w:rsidRPr="006E25F5">
        <w:rPr>
          <w:rFonts w:ascii="Arial" w:eastAsia="Times New Roman" w:hAnsi="Arial" w:cs="Arial"/>
        </w:rPr>
        <w:lastRenderedPageBreak/>
        <w:t>That efforts to gather data on LGBTI</w:t>
      </w:r>
      <w:r w:rsidR="006C6918">
        <w:rPr>
          <w:rFonts w:ascii="Arial" w:eastAsia="Times New Roman" w:hAnsi="Arial" w:cs="Arial"/>
        </w:rPr>
        <w:t xml:space="preserve"> communities</w:t>
      </w:r>
      <w:r w:rsidRPr="006E25F5">
        <w:rPr>
          <w:rFonts w:ascii="Arial" w:eastAsia="Times New Roman" w:hAnsi="Arial" w:cs="Arial"/>
        </w:rPr>
        <w:t xml:space="preserve"> should ensure protection of privacy and should be accompanied by continuing mainstreaming of human rights in relation to SOGIESC, gender sensitivity, and clear protocols in handling cases of LGBTI</w:t>
      </w:r>
      <w:r w:rsidR="006C6918">
        <w:rPr>
          <w:rFonts w:ascii="Arial" w:eastAsia="Times New Roman" w:hAnsi="Arial" w:cs="Arial"/>
        </w:rPr>
        <w:t xml:space="preserve"> persons</w:t>
      </w:r>
      <w:r w:rsidRPr="006E25F5">
        <w:rPr>
          <w:rFonts w:ascii="Arial" w:eastAsia="Times New Roman" w:hAnsi="Arial" w:cs="Arial"/>
        </w:rPr>
        <w:t xml:space="preserve"> anchored on dignity and full respect for human rights; and</w:t>
      </w:r>
    </w:p>
    <w:p w14:paraId="26CB9E01" w14:textId="77777777" w:rsidR="00034EAA" w:rsidRPr="006E25F5" w:rsidRDefault="002A17D4" w:rsidP="00B750DF">
      <w:pPr>
        <w:numPr>
          <w:ilvl w:val="0"/>
          <w:numId w:val="7"/>
        </w:numPr>
        <w:spacing w:after="0" w:line="240" w:lineRule="auto"/>
        <w:jc w:val="both"/>
        <w:rPr>
          <w:rFonts w:ascii="Arial" w:eastAsia="Times New Roman" w:hAnsi="Arial" w:cs="Arial"/>
        </w:rPr>
      </w:pPr>
      <w:r w:rsidRPr="006E25F5">
        <w:rPr>
          <w:rFonts w:ascii="Arial" w:eastAsia="Times New Roman" w:hAnsi="Arial" w:cs="Arial"/>
        </w:rPr>
        <w:t>For the Philippine government to strengthen partnership with civil society organizations and the Commission in terms of data collection and analysis.</w:t>
      </w:r>
    </w:p>
    <w:p w14:paraId="6C794C20" w14:textId="77777777" w:rsidR="00034EAA" w:rsidRPr="006E25F5" w:rsidRDefault="00034EAA">
      <w:pPr>
        <w:spacing w:after="0" w:line="240" w:lineRule="auto"/>
        <w:ind w:left="720"/>
        <w:jc w:val="both"/>
        <w:rPr>
          <w:rFonts w:ascii="Arial" w:eastAsia="Times New Roman" w:hAnsi="Arial" w:cs="Arial"/>
        </w:rPr>
      </w:pPr>
    </w:p>
    <w:p w14:paraId="046A5792" w14:textId="77777777" w:rsidR="00034EAA" w:rsidRPr="006E25F5" w:rsidRDefault="00034EAA">
      <w:pPr>
        <w:spacing w:after="0" w:line="240" w:lineRule="auto"/>
        <w:jc w:val="both"/>
        <w:rPr>
          <w:rFonts w:ascii="Arial" w:eastAsia="Times New Roman" w:hAnsi="Arial" w:cs="Arial"/>
        </w:rPr>
      </w:pPr>
    </w:p>
    <w:p w14:paraId="7EAE3DE6" w14:textId="77777777" w:rsidR="00034EAA" w:rsidRPr="006E25F5" w:rsidRDefault="00034EAA">
      <w:pPr>
        <w:spacing w:after="0" w:line="240" w:lineRule="auto"/>
        <w:jc w:val="both"/>
        <w:rPr>
          <w:rFonts w:ascii="Arial" w:eastAsia="Times New Roman" w:hAnsi="Arial" w:cs="Arial"/>
        </w:rPr>
      </w:pPr>
    </w:p>
    <w:sectPr w:rsidR="00034EAA" w:rsidRPr="006E25F5">
      <w:headerReference w:type="default" r:id="rId9"/>
      <w:footerReference w:type="default" r:id="rId10"/>
      <w:headerReference w:type="first" r:id="rId11"/>
      <w:footerReference w:type="first" r:id="rId12"/>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9342" w14:textId="77777777" w:rsidR="003D0DB7" w:rsidRDefault="003D0DB7">
      <w:pPr>
        <w:spacing w:after="0" w:line="240" w:lineRule="auto"/>
      </w:pPr>
      <w:r>
        <w:separator/>
      </w:r>
    </w:p>
  </w:endnote>
  <w:endnote w:type="continuationSeparator" w:id="0">
    <w:p w14:paraId="3BE3ABC2" w14:textId="77777777" w:rsidR="003D0DB7" w:rsidRDefault="003D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51425"/>
      <w:docPartObj>
        <w:docPartGallery w:val="Page Numbers (Bottom of Page)"/>
        <w:docPartUnique/>
      </w:docPartObj>
    </w:sdtPr>
    <w:sdtEndPr>
      <w:rPr>
        <w:noProof/>
      </w:rPr>
    </w:sdtEndPr>
    <w:sdtContent>
      <w:p w14:paraId="23505A48" w14:textId="22665E5B" w:rsidR="00B750DF" w:rsidRDefault="00B750DF">
        <w:pPr>
          <w:pStyle w:val="Footer"/>
        </w:pPr>
        <w:r>
          <w:fldChar w:fldCharType="begin"/>
        </w:r>
        <w:r>
          <w:instrText xml:space="preserve"> PAGE   \* MERGEFORMAT </w:instrText>
        </w:r>
        <w:r>
          <w:fldChar w:fldCharType="separate"/>
        </w:r>
        <w:r w:rsidR="00C43545">
          <w:rPr>
            <w:noProof/>
          </w:rPr>
          <w:t>6</w:t>
        </w:r>
        <w:r>
          <w:rPr>
            <w:noProof/>
          </w:rPr>
          <w:fldChar w:fldCharType="end"/>
        </w:r>
      </w:p>
    </w:sdtContent>
  </w:sdt>
  <w:p w14:paraId="5CA43FBD" w14:textId="77777777" w:rsidR="00B750DF" w:rsidRDefault="00B75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1A58" w14:textId="77777777" w:rsidR="00034EAA" w:rsidRDefault="00034EAA">
    <w:pPr>
      <w:pBdr>
        <w:top w:val="nil"/>
        <w:left w:val="nil"/>
        <w:bottom w:val="nil"/>
        <w:right w:val="nil"/>
        <w:between w:val="nil"/>
      </w:pBdr>
      <w:tabs>
        <w:tab w:val="center" w:pos="4513"/>
        <w:tab w:val="right" w:pos="9026"/>
      </w:tabs>
      <w:spacing w:after="0" w:line="240" w:lineRule="auto"/>
      <w:rPr>
        <w:color w:val="000000"/>
      </w:rPr>
    </w:pPr>
  </w:p>
  <w:p w14:paraId="550A7AC2" w14:textId="77777777" w:rsidR="00034EAA" w:rsidRDefault="00034EAA">
    <w:pPr>
      <w:pBdr>
        <w:top w:val="nil"/>
        <w:left w:val="nil"/>
        <w:bottom w:val="nil"/>
        <w:right w:val="nil"/>
        <w:between w:val="nil"/>
      </w:pBdr>
      <w:tabs>
        <w:tab w:val="center" w:pos="4513"/>
        <w:tab w:val="right" w:pos="9026"/>
      </w:tabs>
      <w:spacing w:after="0" w:line="240" w:lineRule="auto"/>
      <w:rPr>
        <w:color w:val="000000"/>
      </w:rPr>
    </w:pPr>
  </w:p>
  <w:p w14:paraId="0E1447AF" w14:textId="77777777" w:rsidR="00034EAA" w:rsidRDefault="00034EAA">
    <w:pPr>
      <w:pBdr>
        <w:top w:val="nil"/>
        <w:left w:val="nil"/>
        <w:bottom w:val="nil"/>
        <w:right w:val="nil"/>
        <w:between w:val="nil"/>
      </w:pBdr>
      <w:tabs>
        <w:tab w:val="center" w:pos="4513"/>
        <w:tab w:val="right" w:pos="9026"/>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C377" w14:textId="77777777" w:rsidR="003D0DB7" w:rsidRDefault="003D0DB7">
      <w:pPr>
        <w:spacing w:after="0" w:line="240" w:lineRule="auto"/>
      </w:pPr>
      <w:r>
        <w:separator/>
      </w:r>
    </w:p>
  </w:footnote>
  <w:footnote w:type="continuationSeparator" w:id="0">
    <w:p w14:paraId="5FFE567A" w14:textId="77777777" w:rsidR="003D0DB7" w:rsidRDefault="003D0DB7">
      <w:pPr>
        <w:spacing w:after="0" w:line="240" w:lineRule="auto"/>
      </w:pPr>
      <w:r>
        <w:continuationSeparator/>
      </w:r>
    </w:p>
  </w:footnote>
  <w:footnote w:id="1">
    <w:p w14:paraId="167C88BD" w14:textId="7FB2C419" w:rsidR="008B7A3C" w:rsidRPr="008B7A3C" w:rsidRDefault="008B7A3C">
      <w:pPr>
        <w:pStyle w:val="FootnoteText"/>
        <w:rPr>
          <w:lang w:val="en-PH"/>
        </w:rPr>
      </w:pPr>
      <w:r>
        <w:rPr>
          <w:rStyle w:val="FootnoteReference"/>
        </w:rPr>
        <w:footnoteRef/>
      </w:r>
      <w:r>
        <w:t xml:space="preserve"> </w:t>
      </w:r>
      <w:r w:rsidRPr="008B7A3C">
        <w:t>As the National Human Rights Institution (NHRI) of the Philippines, the Commission on Human Rights of has the mandate vested by the 1987 Philippine Constitution and the Paris Principles to promote and protect the full range of human rights including civil and political rights, and economic, social and cultural rights. It has the responsibility to regularly report and monitor human rights situations and violations</w:t>
      </w:r>
      <w:proofErr w:type="gramStart"/>
      <w:r w:rsidRPr="008B7A3C">
        <w:t xml:space="preserve">, </w:t>
      </w:r>
      <w:r>
        <w:t xml:space="preserve"> </w:t>
      </w:r>
      <w:r w:rsidRPr="008B7A3C">
        <w:t>and</w:t>
      </w:r>
      <w:proofErr w:type="gramEnd"/>
      <w:r w:rsidRPr="008B7A3C">
        <w:t xml:space="preserve"> recommend steps in advancing the realization of human rights and dignity of all. The Commission has “A”-status accreditation from the Sub-Committee for Accreditation, and it is a full member of the Global Alliance of National Human Rights Institutions (GANHRI) and the Asia-Pacific Forum of National Human Rights Institutions.</w:t>
      </w:r>
    </w:p>
  </w:footnote>
  <w:footnote w:id="2">
    <w:p w14:paraId="03A5C178" w14:textId="77777777" w:rsidR="00034EAA" w:rsidRDefault="002A17D4" w:rsidP="00B750DF">
      <w:pPr>
        <w:spacing w:after="0" w:line="240" w:lineRule="auto"/>
        <w:jc w:val="both"/>
        <w:rPr>
          <w:sz w:val="20"/>
          <w:szCs w:val="20"/>
        </w:rPr>
      </w:pPr>
      <w:r>
        <w:rPr>
          <w:vertAlign w:val="superscript"/>
        </w:rPr>
        <w:footnoteRef/>
      </w:r>
      <w:r>
        <w:rPr>
          <w:sz w:val="20"/>
          <w:szCs w:val="20"/>
        </w:rPr>
        <w:t xml:space="preserve"> Commission on Human Rights of the Philippines,</w:t>
      </w:r>
      <w:r>
        <w:rPr>
          <w:i/>
          <w:sz w:val="20"/>
          <w:szCs w:val="20"/>
        </w:rPr>
        <w:t xml:space="preserve"> Inputs on Protection Against Violence and Discrimination Based on Sexual Orientation and Gender Identity,</w:t>
      </w:r>
      <w:r>
        <w:rPr>
          <w:sz w:val="20"/>
          <w:szCs w:val="20"/>
        </w:rPr>
        <w:t xml:space="preserve"> June 9, 2017. </w:t>
      </w:r>
    </w:p>
  </w:footnote>
  <w:footnote w:id="3">
    <w:p w14:paraId="08FBB871" w14:textId="77777777" w:rsidR="00034EAA" w:rsidRDefault="002A17D4" w:rsidP="00B750DF">
      <w:pPr>
        <w:spacing w:after="0" w:line="240" w:lineRule="auto"/>
        <w:jc w:val="both"/>
        <w:rPr>
          <w:sz w:val="20"/>
          <w:szCs w:val="20"/>
        </w:rPr>
      </w:pPr>
      <w:r>
        <w:rPr>
          <w:vertAlign w:val="superscript"/>
        </w:rPr>
        <w:footnoteRef/>
      </w:r>
      <w:r>
        <w:rPr>
          <w:sz w:val="20"/>
          <w:szCs w:val="20"/>
        </w:rPr>
        <w:t xml:space="preserve"> An Act Prohibiting Discrimination on the Basis of Sexual Orientation and Gender Identity or Expression (SOGIE) and Providing Penalties Therefore [Anti-Discrimination Act], Senate Bill No. 1271, available at </w:t>
      </w:r>
      <w:hyperlink r:id="rId1">
        <w:r>
          <w:rPr>
            <w:color w:val="1155CC"/>
            <w:sz w:val="20"/>
            <w:szCs w:val="20"/>
            <w:u w:val="single"/>
          </w:rPr>
          <w:t>https://www.senate.gov.ph/lisdata/2517921693!.pdf</w:t>
        </w:r>
      </w:hyperlink>
      <w:r>
        <w:rPr>
          <w:sz w:val="20"/>
          <w:szCs w:val="20"/>
        </w:rPr>
        <w:t>, (last accessed March 15, 2019).</w:t>
      </w:r>
    </w:p>
  </w:footnote>
  <w:footnote w:id="4">
    <w:p w14:paraId="3BDF8218" w14:textId="77777777" w:rsidR="00034EAA" w:rsidRDefault="002A17D4" w:rsidP="00B750DF">
      <w:pPr>
        <w:spacing w:after="0" w:line="240" w:lineRule="auto"/>
        <w:jc w:val="both"/>
        <w:rPr>
          <w:sz w:val="20"/>
          <w:szCs w:val="20"/>
        </w:rPr>
      </w:pPr>
      <w:r>
        <w:rPr>
          <w:vertAlign w:val="superscript"/>
        </w:rPr>
        <w:footnoteRef/>
      </w:r>
      <w:r>
        <w:rPr>
          <w:sz w:val="20"/>
          <w:szCs w:val="20"/>
        </w:rPr>
        <w:t xml:space="preserve"> Commission on Human Rights, Inputs on the Protection Against Violence and Discrimination Based on Sexual Orientation and Gender Identity, June 9, 2017. </w:t>
      </w:r>
    </w:p>
  </w:footnote>
  <w:footnote w:id="5">
    <w:p w14:paraId="088EB1A8" w14:textId="77777777" w:rsidR="00034EAA" w:rsidRDefault="002A17D4" w:rsidP="00B750DF">
      <w:pPr>
        <w:spacing w:after="0" w:line="240" w:lineRule="auto"/>
        <w:jc w:val="both"/>
        <w:rPr>
          <w:sz w:val="20"/>
          <w:szCs w:val="20"/>
        </w:rPr>
      </w:pPr>
      <w:r>
        <w:rPr>
          <w:vertAlign w:val="superscript"/>
        </w:rPr>
        <w:footnoteRef/>
      </w:r>
      <w:r>
        <w:rPr>
          <w:sz w:val="20"/>
          <w:szCs w:val="20"/>
        </w:rPr>
        <w:t xml:space="preserve"> An Act Establishing Women's and Lesbian, Gay, Bisexual and Transgender (LGBT) Protection Desks in all Philippine National Police Stations Nationwide, Amending for the Purpose Title VII of the Republic Act Number 8551, as Amended Otherwise Known as the ‘Philippine National Police Reform and Reorganization Act of 1998, House Bill No. 5082 (2016) and Senate Bill No. 926 (2016), available at </w:t>
      </w:r>
      <w:hyperlink r:id="rId2">
        <w:r>
          <w:rPr>
            <w:color w:val="1155CC"/>
            <w:sz w:val="20"/>
            <w:szCs w:val="20"/>
            <w:u w:val="single"/>
          </w:rPr>
          <w:t>http://www.congress.gov.ph/legisdocs/first_17/CR00123.pdf</w:t>
        </w:r>
      </w:hyperlink>
      <w:r>
        <w:rPr>
          <w:sz w:val="20"/>
          <w:szCs w:val="20"/>
        </w:rPr>
        <w:t xml:space="preserve"> (last accessed 20 February 2019)</w:t>
      </w:r>
    </w:p>
  </w:footnote>
  <w:footnote w:id="6">
    <w:p w14:paraId="654232D3" w14:textId="77777777" w:rsidR="00034EAA" w:rsidRDefault="002A17D4" w:rsidP="00B750DF">
      <w:pPr>
        <w:spacing w:after="0" w:line="240" w:lineRule="auto"/>
        <w:jc w:val="both"/>
        <w:rPr>
          <w:sz w:val="20"/>
          <w:szCs w:val="20"/>
        </w:rPr>
      </w:pPr>
      <w:r>
        <w:rPr>
          <w:vertAlign w:val="superscript"/>
        </w:rPr>
        <w:footnoteRef/>
      </w:r>
      <w:r>
        <w:rPr>
          <w:sz w:val="20"/>
          <w:szCs w:val="20"/>
        </w:rPr>
        <w:t xml:space="preserve"> Id.</w:t>
      </w:r>
    </w:p>
  </w:footnote>
  <w:footnote w:id="7">
    <w:p w14:paraId="37A4BCB8" w14:textId="77777777" w:rsidR="00034EAA" w:rsidRDefault="002A17D4" w:rsidP="00B750DF">
      <w:pPr>
        <w:spacing w:after="0" w:line="240" w:lineRule="auto"/>
        <w:jc w:val="both"/>
        <w:rPr>
          <w:sz w:val="20"/>
          <w:szCs w:val="20"/>
        </w:rPr>
      </w:pPr>
      <w:r>
        <w:rPr>
          <w:vertAlign w:val="superscript"/>
        </w:rPr>
        <w:footnoteRef/>
      </w:r>
      <w:r>
        <w:rPr>
          <w:sz w:val="20"/>
          <w:szCs w:val="20"/>
        </w:rPr>
        <w:t xml:space="preserve"> Commission on Human Rights, </w:t>
      </w:r>
      <w:r>
        <w:rPr>
          <w:i/>
          <w:sz w:val="20"/>
          <w:szCs w:val="20"/>
        </w:rPr>
        <w:t xml:space="preserve">CHR Gender </w:t>
      </w:r>
      <w:proofErr w:type="spellStart"/>
      <w:r>
        <w:rPr>
          <w:i/>
          <w:sz w:val="20"/>
          <w:szCs w:val="20"/>
        </w:rPr>
        <w:t>Ombud</w:t>
      </w:r>
      <w:proofErr w:type="spellEnd"/>
      <w:r>
        <w:rPr>
          <w:i/>
          <w:sz w:val="20"/>
          <w:szCs w:val="20"/>
        </w:rPr>
        <w:t xml:space="preserve"> Guidelines, </w:t>
      </w:r>
      <w:r>
        <w:rPr>
          <w:sz w:val="20"/>
          <w:szCs w:val="20"/>
        </w:rPr>
        <w:t xml:space="preserve">2016, available at </w:t>
      </w:r>
      <w:hyperlink r:id="rId3">
        <w:r>
          <w:rPr>
            <w:color w:val="1155CC"/>
            <w:sz w:val="20"/>
            <w:szCs w:val="20"/>
            <w:u w:val="single"/>
          </w:rPr>
          <w:t>http://chr.gov.ph/wp-content/uploads/2018/09/CHR-Gender-Ombud-Guidelines.pdf</w:t>
        </w:r>
      </w:hyperlink>
      <w:r>
        <w:rPr>
          <w:sz w:val="20"/>
          <w:szCs w:val="20"/>
        </w:rPr>
        <w:t xml:space="preserve"> (last accessed 15 March 2019).</w:t>
      </w:r>
    </w:p>
  </w:footnote>
  <w:footnote w:id="8">
    <w:p w14:paraId="45E8A02E" w14:textId="79574D7E" w:rsidR="00034EAA" w:rsidRDefault="002A17D4" w:rsidP="00B750DF">
      <w:pPr>
        <w:spacing w:after="0" w:line="240" w:lineRule="auto"/>
        <w:jc w:val="both"/>
        <w:rPr>
          <w:sz w:val="20"/>
          <w:szCs w:val="20"/>
        </w:rPr>
      </w:pPr>
      <w:r>
        <w:rPr>
          <w:vertAlign w:val="superscript"/>
        </w:rPr>
        <w:footnoteRef/>
      </w:r>
      <w:r>
        <w:rPr>
          <w:sz w:val="20"/>
          <w:szCs w:val="20"/>
        </w:rPr>
        <w:t xml:space="preserve"> Commission on Human Rights, Position Paper on the Pending Bills on Anti-Discrimination on the Basis of Sexual Orientation and Gender Identity</w:t>
      </w:r>
      <w:r w:rsidR="00763D5E">
        <w:rPr>
          <w:sz w:val="20"/>
          <w:szCs w:val="20"/>
        </w:rPr>
        <w:t xml:space="preserve">, 8 October 2018, available at </w:t>
      </w:r>
      <w:hyperlink r:id="rId4" w:history="1">
        <w:r w:rsidR="00763D5E" w:rsidRPr="005C2A1B">
          <w:rPr>
            <w:rStyle w:val="Hyperlink"/>
            <w:sz w:val="20"/>
            <w:szCs w:val="20"/>
          </w:rPr>
          <w:t>http://chr.gov.ph/position-paper-on-the-anti-discrimination-on-the-basis-of-sexual-orientation-and-gender-identity-or-expression-bill/</w:t>
        </w:r>
      </w:hyperlink>
      <w:r w:rsidR="00763D5E">
        <w:rPr>
          <w:sz w:val="20"/>
          <w:szCs w:val="20"/>
        </w:rPr>
        <w:t xml:space="preserve"> (last accessed 15 March 2019). See also the Commission’s submissions to OHCHR</w:t>
      </w:r>
      <w:r w:rsidR="000A0648">
        <w:rPr>
          <w:sz w:val="20"/>
          <w:szCs w:val="20"/>
        </w:rPr>
        <w:t xml:space="preserve"> about discrimination of minorities</w:t>
      </w:r>
      <w:r w:rsidR="00763D5E">
        <w:rPr>
          <w:sz w:val="20"/>
          <w:szCs w:val="20"/>
        </w:rPr>
        <w:t>:</w:t>
      </w:r>
      <w:r w:rsidR="000A0648">
        <w:rPr>
          <w:sz w:val="20"/>
          <w:szCs w:val="20"/>
        </w:rPr>
        <w:t xml:space="preserve"> </w:t>
      </w:r>
      <w:hyperlink r:id="rId5" w:history="1">
        <w:r w:rsidR="000A0648" w:rsidRPr="005C2A1B">
          <w:rPr>
            <w:rStyle w:val="Hyperlink"/>
            <w:sz w:val="20"/>
            <w:szCs w:val="20"/>
          </w:rPr>
          <w:t>https://bit.ly/2FDV4vK</w:t>
        </w:r>
      </w:hyperlink>
      <w:r w:rsidR="000A0648">
        <w:rPr>
          <w:sz w:val="20"/>
          <w:szCs w:val="20"/>
        </w:rPr>
        <w:t xml:space="preserve"> </w:t>
      </w:r>
      <w:r w:rsidR="00763D5E">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7E92" w14:textId="77777777" w:rsidR="00034EAA" w:rsidRDefault="002A17D4">
    <w:pPr>
      <w:pBdr>
        <w:top w:val="nil"/>
        <w:left w:val="nil"/>
        <w:bottom w:val="nil"/>
        <w:right w:val="nil"/>
        <w:between w:val="nil"/>
      </w:pBdr>
      <w:tabs>
        <w:tab w:val="right" w:pos="9214"/>
      </w:tabs>
      <w:spacing w:before="360" w:after="84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7B90" w14:textId="77777777" w:rsidR="00034EAA" w:rsidRPr="006E25F5" w:rsidRDefault="00B750DF">
    <w:pPr>
      <w:pBdr>
        <w:top w:val="nil"/>
        <w:left w:val="nil"/>
        <w:bottom w:val="nil"/>
        <w:right w:val="nil"/>
        <w:between w:val="nil"/>
      </w:pBdr>
      <w:tabs>
        <w:tab w:val="right" w:pos="3686"/>
        <w:tab w:val="left" w:pos="5812"/>
      </w:tabs>
      <w:spacing w:before="80" w:after="0" w:line="240" w:lineRule="auto"/>
      <w:jc w:val="center"/>
      <w:rPr>
        <w:rFonts w:ascii="Arial" w:hAnsi="Arial" w:cs="Arial"/>
      </w:rPr>
    </w:pPr>
    <w:r w:rsidRPr="006E25F5">
      <w:rPr>
        <w:rFonts w:ascii="Arial" w:hAnsi="Arial" w:cs="Arial"/>
        <w:noProof/>
        <w:lang w:eastAsia="en-GB"/>
      </w:rPr>
      <w:drawing>
        <wp:inline distT="0" distB="0" distL="0" distR="0" wp14:anchorId="3247E487" wp14:editId="0B16EEF4">
          <wp:extent cx="1320800" cy="132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p logo.jpg"/>
                  <pic:cNvPicPr/>
                </pic:nvPicPr>
                <pic:blipFill>
                  <a:blip r:embed="rId1">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inline>
      </w:drawing>
    </w:r>
  </w:p>
  <w:p w14:paraId="0A36155D" w14:textId="77777777" w:rsidR="006E25F5" w:rsidRPr="006E25F5" w:rsidRDefault="006E25F5">
    <w:pPr>
      <w:pBdr>
        <w:top w:val="nil"/>
        <w:left w:val="nil"/>
        <w:bottom w:val="nil"/>
        <w:right w:val="nil"/>
        <w:between w:val="nil"/>
      </w:pBdr>
      <w:tabs>
        <w:tab w:val="right" w:pos="3686"/>
        <w:tab w:val="left" w:pos="5812"/>
      </w:tabs>
      <w:spacing w:before="80" w:after="0" w:line="240" w:lineRule="auto"/>
      <w:jc w:val="center"/>
      <w:rPr>
        <w:rFonts w:ascii="Arial" w:eastAsia="Georgia" w:hAnsi="Arial" w:cs="Arial"/>
        <w:b/>
      </w:rPr>
    </w:pPr>
  </w:p>
  <w:p w14:paraId="57DE404A" w14:textId="77777777" w:rsidR="00034EAA" w:rsidRPr="006E25F5" w:rsidRDefault="002A17D4">
    <w:pPr>
      <w:pBdr>
        <w:top w:val="nil"/>
        <w:left w:val="nil"/>
        <w:bottom w:val="nil"/>
        <w:right w:val="nil"/>
        <w:between w:val="nil"/>
      </w:pBdr>
      <w:tabs>
        <w:tab w:val="right" w:pos="3686"/>
        <w:tab w:val="left" w:pos="5812"/>
      </w:tabs>
      <w:spacing w:before="80" w:after="0" w:line="240" w:lineRule="auto"/>
      <w:jc w:val="center"/>
      <w:rPr>
        <w:rFonts w:ascii="Arial" w:eastAsia="Georgia" w:hAnsi="Arial" w:cs="Arial"/>
        <w:b/>
      </w:rPr>
    </w:pPr>
    <w:r w:rsidRPr="006E25F5">
      <w:rPr>
        <w:rFonts w:ascii="Arial" w:eastAsia="Georgia" w:hAnsi="Arial" w:cs="Arial"/>
        <w:b/>
      </w:rPr>
      <w:t>COMMISSION ON HUMAN RIGHTS OF THE PHILIPPINES</w:t>
    </w:r>
  </w:p>
  <w:p w14:paraId="045536DF" w14:textId="77777777" w:rsidR="00034EAA" w:rsidRPr="006E25F5" w:rsidRDefault="002A17D4">
    <w:pPr>
      <w:pBdr>
        <w:top w:val="nil"/>
        <w:left w:val="nil"/>
        <w:bottom w:val="nil"/>
        <w:right w:val="nil"/>
        <w:between w:val="nil"/>
      </w:pBdr>
      <w:tabs>
        <w:tab w:val="right" w:pos="3686"/>
        <w:tab w:val="left" w:pos="5812"/>
      </w:tabs>
      <w:spacing w:before="80" w:after="360" w:line="240" w:lineRule="auto"/>
      <w:jc w:val="center"/>
      <w:rPr>
        <w:rFonts w:ascii="Arial" w:eastAsia="Georgia" w:hAnsi="Arial" w:cs="Arial"/>
        <w:b/>
      </w:rPr>
    </w:pPr>
    <w:r w:rsidRPr="006E25F5">
      <w:rPr>
        <w:rFonts w:ascii="Arial" w:eastAsia="Georgia" w:hAnsi="Arial" w:cs="Arial"/>
        <w:b/>
      </w:rPr>
      <w:t xml:space="preserve">INPUTS ON PROTECTION AGAINST VIOLENCE AND DISCRIMINATION BASED ON SEXUAL ORIENTATION AND GENDER IDENTITY WITH FOCUS ON DATA COLLECTION </w:t>
    </w:r>
  </w:p>
  <w:p w14:paraId="5426B046" w14:textId="77777777" w:rsidR="00034EAA" w:rsidRPr="006E25F5" w:rsidRDefault="00E37F18">
    <w:pPr>
      <w:pBdr>
        <w:top w:val="nil"/>
        <w:left w:val="nil"/>
        <w:bottom w:val="nil"/>
        <w:right w:val="nil"/>
        <w:between w:val="nil"/>
      </w:pBdr>
      <w:tabs>
        <w:tab w:val="center" w:pos="4513"/>
        <w:tab w:val="right" w:pos="9026"/>
      </w:tabs>
      <w:spacing w:after="0" w:line="240" w:lineRule="auto"/>
      <w:jc w:val="center"/>
      <w:rPr>
        <w:rFonts w:ascii="Arial" w:eastAsia="Georgia" w:hAnsi="Arial" w:cs="Arial"/>
      </w:rPr>
    </w:pPr>
    <w:r>
      <w:rPr>
        <w:rFonts w:ascii="Arial" w:eastAsia="Georgia" w:hAnsi="Arial" w:cs="Arial"/>
      </w:rPr>
      <w:t xml:space="preserve">31 </w:t>
    </w:r>
    <w:r w:rsidR="002A17D4" w:rsidRPr="006E25F5">
      <w:rPr>
        <w:rFonts w:ascii="Arial" w:eastAsia="Georgia" w:hAnsi="Arial" w:cs="Arial"/>
      </w:rPr>
      <w:t>March 2019</w:t>
    </w:r>
  </w:p>
  <w:p w14:paraId="6B454E29" w14:textId="77777777" w:rsidR="00034EAA" w:rsidRPr="006E25F5" w:rsidRDefault="00C43545">
    <w:pPr>
      <w:pBdr>
        <w:top w:val="nil"/>
        <w:left w:val="nil"/>
        <w:bottom w:val="nil"/>
        <w:right w:val="nil"/>
        <w:between w:val="nil"/>
      </w:pBdr>
      <w:tabs>
        <w:tab w:val="center" w:pos="4513"/>
        <w:tab w:val="right" w:pos="9026"/>
      </w:tabs>
      <w:spacing w:after="0" w:line="240" w:lineRule="auto"/>
      <w:jc w:val="center"/>
      <w:rPr>
        <w:rFonts w:ascii="Arial" w:eastAsia="Georgia" w:hAnsi="Arial" w:cs="Arial"/>
      </w:rPr>
    </w:pPr>
    <w:r>
      <w:rPr>
        <w:rFonts w:ascii="Arial" w:hAnsi="Arial" w:cs="Arial"/>
      </w:rPr>
      <w:pict w14:anchorId="09D9CD4D">
        <v:rect id="_x0000_i1025" style="width:0;height:1.5pt" o:hralign="center" o:hrstd="t" o:hr="t" fillcolor="#a0a0a0" stroked="f"/>
      </w:pict>
    </w:r>
  </w:p>
  <w:p w14:paraId="5CD467D7" w14:textId="77777777" w:rsidR="00034EAA" w:rsidRPr="006E25F5" w:rsidRDefault="00034EAA">
    <w:pPr>
      <w:pBdr>
        <w:top w:val="nil"/>
        <w:left w:val="nil"/>
        <w:bottom w:val="nil"/>
        <w:right w:val="nil"/>
        <w:between w:val="nil"/>
      </w:pBdr>
      <w:tabs>
        <w:tab w:val="center" w:pos="4513"/>
        <w:tab w:val="right" w:pos="9026"/>
      </w:tabs>
      <w:spacing w:after="0" w:line="240" w:lineRule="auto"/>
      <w:jc w:val="center"/>
      <w:rPr>
        <w:rFonts w:ascii="Arial" w:eastAsia="Georgia"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035"/>
    <w:multiLevelType w:val="multilevel"/>
    <w:tmpl w:val="9834822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8A3279"/>
    <w:multiLevelType w:val="multilevel"/>
    <w:tmpl w:val="05B06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8639EC"/>
    <w:multiLevelType w:val="multilevel"/>
    <w:tmpl w:val="9F10C6B8"/>
    <w:lvl w:ilvl="0">
      <w:start w:val="1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3B7005C9"/>
    <w:multiLevelType w:val="multilevel"/>
    <w:tmpl w:val="0E6A535A"/>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60EC798D"/>
    <w:multiLevelType w:val="multilevel"/>
    <w:tmpl w:val="0E6EF65A"/>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63EF11A4"/>
    <w:multiLevelType w:val="multilevel"/>
    <w:tmpl w:val="7E46B7AA"/>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79B67F46"/>
    <w:multiLevelType w:val="multilevel"/>
    <w:tmpl w:val="F89E8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AA"/>
    <w:rsid w:val="00034EAA"/>
    <w:rsid w:val="00054254"/>
    <w:rsid w:val="000A0648"/>
    <w:rsid w:val="00175F62"/>
    <w:rsid w:val="001A4776"/>
    <w:rsid w:val="00236B49"/>
    <w:rsid w:val="00264B27"/>
    <w:rsid w:val="002A17D4"/>
    <w:rsid w:val="00392ED5"/>
    <w:rsid w:val="003D0DB7"/>
    <w:rsid w:val="004D10EE"/>
    <w:rsid w:val="00564659"/>
    <w:rsid w:val="006667CD"/>
    <w:rsid w:val="006C6918"/>
    <w:rsid w:val="006E25F5"/>
    <w:rsid w:val="007041A2"/>
    <w:rsid w:val="00727DD7"/>
    <w:rsid w:val="007538D6"/>
    <w:rsid w:val="0076360D"/>
    <w:rsid w:val="00763D5E"/>
    <w:rsid w:val="00846F84"/>
    <w:rsid w:val="008B7A3C"/>
    <w:rsid w:val="00985529"/>
    <w:rsid w:val="00986268"/>
    <w:rsid w:val="00A51DE4"/>
    <w:rsid w:val="00A77C4E"/>
    <w:rsid w:val="00B42CFE"/>
    <w:rsid w:val="00B4740C"/>
    <w:rsid w:val="00B750DF"/>
    <w:rsid w:val="00C11F66"/>
    <w:rsid w:val="00C20E7E"/>
    <w:rsid w:val="00C43545"/>
    <w:rsid w:val="00C8066D"/>
    <w:rsid w:val="00D12C69"/>
    <w:rsid w:val="00D6725C"/>
    <w:rsid w:val="00E37F18"/>
    <w:rsid w:val="00F85D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44F8260"/>
  <w15:docId w15:val="{EF767421-97BB-4719-8A13-0E00AB9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7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0DF"/>
  </w:style>
  <w:style w:type="paragraph" w:styleId="Footer">
    <w:name w:val="footer"/>
    <w:basedOn w:val="Normal"/>
    <w:link w:val="FooterChar"/>
    <w:uiPriority w:val="99"/>
    <w:unhideWhenUsed/>
    <w:rsid w:val="00B7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0DF"/>
  </w:style>
  <w:style w:type="paragraph" w:styleId="BalloonText">
    <w:name w:val="Balloon Text"/>
    <w:basedOn w:val="Normal"/>
    <w:link w:val="BalloonTextChar"/>
    <w:uiPriority w:val="99"/>
    <w:semiHidden/>
    <w:unhideWhenUsed/>
    <w:rsid w:val="00727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DD7"/>
    <w:rPr>
      <w:rFonts w:ascii="Segoe UI" w:hAnsi="Segoe UI" w:cs="Segoe UI"/>
      <w:sz w:val="18"/>
      <w:szCs w:val="18"/>
    </w:rPr>
  </w:style>
  <w:style w:type="paragraph" w:styleId="ListParagraph">
    <w:name w:val="List Paragraph"/>
    <w:basedOn w:val="Normal"/>
    <w:uiPriority w:val="34"/>
    <w:qFormat/>
    <w:rsid w:val="00C8066D"/>
    <w:pPr>
      <w:ind w:left="720"/>
      <w:contextualSpacing/>
    </w:pPr>
  </w:style>
  <w:style w:type="character" w:styleId="Hyperlink">
    <w:name w:val="Hyperlink"/>
    <w:basedOn w:val="DefaultParagraphFont"/>
    <w:uiPriority w:val="99"/>
    <w:unhideWhenUsed/>
    <w:rsid w:val="00763D5E"/>
    <w:rPr>
      <w:color w:val="0000FF" w:themeColor="hyperlink"/>
      <w:u w:val="single"/>
    </w:rPr>
  </w:style>
  <w:style w:type="character" w:customStyle="1" w:styleId="UnresolvedMention">
    <w:name w:val="Unresolved Mention"/>
    <w:basedOn w:val="DefaultParagraphFont"/>
    <w:uiPriority w:val="99"/>
    <w:semiHidden/>
    <w:unhideWhenUsed/>
    <w:rsid w:val="00763D5E"/>
    <w:rPr>
      <w:color w:val="605E5C"/>
      <w:shd w:val="clear" w:color="auto" w:fill="E1DFDD"/>
    </w:rPr>
  </w:style>
  <w:style w:type="paragraph" w:styleId="FootnoteText">
    <w:name w:val="footnote text"/>
    <w:basedOn w:val="Normal"/>
    <w:link w:val="FootnoteTextChar"/>
    <w:uiPriority w:val="99"/>
    <w:semiHidden/>
    <w:unhideWhenUsed/>
    <w:rsid w:val="008B7A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A3C"/>
    <w:rPr>
      <w:sz w:val="20"/>
      <w:szCs w:val="20"/>
    </w:rPr>
  </w:style>
  <w:style w:type="character" w:styleId="FootnoteReference">
    <w:name w:val="footnote reference"/>
    <w:basedOn w:val="DefaultParagraphFont"/>
    <w:uiPriority w:val="99"/>
    <w:semiHidden/>
    <w:unhideWhenUsed/>
    <w:rsid w:val="008B7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hr.gov.ph/wp-content/uploads/2018/09/CHR-Gender-Ombud-Guidelines.pdf" TargetMode="External"/><Relationship Id="rId2" Type="http://schemas.openxmlformats.org/officeDocument/2006/relationships/hyperlink" Target="http://www.congress.gov.ph/legisdocs/first_17/CR00123.pdf" TargetMode="External"/><Relationship Id="rId1" Type="http://schemas.openxmlformats.org/officeDocument/2006/relationships/hyperlink" Target="https://www.senate.gov.ph/lisdata/2517921693!.pdf" TargetMode="External"/><Relationship Id="rId5" Type="http://schemas.openxmlformats.org/officeDocument/2006/relationships/hyperlink" Target="https://bit.ly/2FDV4vK" TargetMode="External"/><Relationship Id="rId4" Type="http://schemas.openxmlformats.org/officeDocument/2006/relationships/hyperlink" Target="http://chr.gov.ph/position-paper-on-the-anti-discrimination-on-the-basis-of-sexual-orientation-and-gender-identity-or-expression-bi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96EBCA-5426-4171-BE46-B51343D1DA8E}">
  <ds:schemaRefs>
    <ds:schemaRef ds:uri="http://schemas.openxmlformats.org/officeDocument/2006/bibliography"/>
  </ds:schemaRefs>
</ds:datastoreItem>
</file>

<file path=customXml/itemProps2.xml><?xml version="1.0" encoding="utf-8"?>
<ds:datastoreItem xmlns:ds="http://schemas.openxmlformats.org/officeDocument/2006/customXml" ds:itemID="{13136E45-4238-44CB-B8C8-45E9ACD8D242}"/>
</file>

<file path=customXml/itemProps3.xml><?xml version="1.0" encoding="utf-8"?>
<ds:datastoreItem xmlns:ds="http://schemas.openxmlformats.org/officeDocument/2006/customXml" ds:itemID="{6757F10A-C7DA-4C48-82B9-420EC16A36AF}"/>
</file>

<file path=customXml/itemProps4.xml><?xml version="1.0" encoding="utf-8"?>
<ds:datastoreItem xmlns:ds="http://schemas.openxmlformats.org/officeDocument/2006/customXml" ds:itemID="{DA3A4686-CBF1-4AEA-83CB-C2032891AE79}"/>
</file>

<file path=docProps/app.xml><?xml version="1.0" encoding="utf-8"?>
<Properties xmlns="http://schemas.openxmlformats.org/officeDocument/2006/extended-properties" xmlns:vt="http://schemas.openxmlformats.org/officeDocument/2006/docPropsVTypes">
  <Template>Normal.dotm</Template>
  <TotalTime>0</TotalTime>
  <Pages>6</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dc:creator>
  <cp:lastModifiedBy>OCHSENBEIN Alice</cp:lastModifiedBy>
  <cp:revision>2</cp:revision>
  <dcterms:created xsi:type="dcterms:W3CDTF">2019-05-21T17:31:00Z</dcterms:created>
  <dcterms:modified xsi:type="dcterms:W3CDTF">2019-05-21T17:31:00Z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