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452" w:rsidRDefault="00A45452" w:rsidP="00A45452">
      <w:pPr>
        <w:spacing w:line="360" w:lineRule="auto"/>
        <w:jc w:val="both"/>
        <w:rPr>
          <w:rFonts w:ascii="Calibri Light" w:eastAsia="Calibri" w:hAnsi="Calibri Light" w:cs="Calibri Light"/>
          <w:b/>
          <w:bCs/>
          <w:sz w:val="24"/>
          <w:szCs w:val="24"/>
        </w:rPr>
      </w:pPr>
    </w:p>
    <w:p w:rsidR="00A45452" w:rsidRDefault="00A45452" w:rsidP="00A45452">
      <w:pPr>
        <w:spacing w:line="360" w:lineRule="auto"/>
        <w:jc w:val="both"/>
        <w:rPr>
          <w:rFonts w:ascii="Calibri Light" w:eastAsia="Calibri" w:hAnsi="Calibri Light" w:cs="Calibri Light"/>
          <w:b/>
          <w:bCs/>
          <w:sz w:val="24"/>
          <w:szCs w:val="24"/>
        </w:rPr>
      </w:pPr>
    </w:p>
    <w:p w:rsidR="00A45452" w:rsidRPr="00A45452" w:rsidRDefault="00A45452" w:rsidP="00A45452">
      <w:pPr>
        <w:spacing w:line="360" w:lineRule="auto"/>
        <w:jc w:val="both"/>
        <w:rPr>
          <w:rFonts w:ascii="Calibri Light" w:eastAsia="Calibri" w:hAnsi="Calibri Light" w:cs="Calibri Light"/>
          <w:b/>
          <w:bCs/>
          <w:sz w:val="24"/>
          <w:szCs w:val="24"/>
        </w:rPr>
      </w:pPr>
      <w:r w:rsidRPr="00A45452">
        <w:rPr>
          <w:rFonts w:ascii="Calibri Light" w:eastAsia="Calibri" w:hAnsi="Calibri Light" w:cs="Calibri Light"/>
          <w:b/>
          <w:bCs/>
          <w:sz w:val="24"/>
          <w:szCs w:val="24"/>
        </w:rPr>
        <w:t>CONTRIBUCIONES ASILEGAL AL EXPERTO INDEPENDIENTE SOBRE ORIENTACIÓN SEXUAL E IDENTIDAD DE GÉNERO SOBRE LA PROTECCIÓN CONTRA LA VIOLENCIA Y LA DISCRIMINACIÓN POR ORIENTACIÓN SEXUAL E IDENTIDAD DE GÉNERO, CON ESPECIAL ATENCIÓN A LAS PRÁCTICAS DENOMINADAS “TERAPIAS DE CONVERSIÓN”</w:t>
      </w:r>
    </w:p>
    <w:p w:rsidR="00A45452" w:rsidRPr="00A45452" w:rsidRDefault="00A45452" w:rsidP="00A45452">
      <w:pPr>
        <w:spacing w:line="360" w:lineRule="auto"/>
        <w:jc w:val="both"/>
        <w:rPr>
          <w:rFonts w:ascii="Calibri Light" w:eastAsia="Calibri" w:hAnsi="Calibri Light" w:cs="Calibri Light"/>
          <w:sz w:val="24"/>
          <w:szCs w:val="24"/>
        </w:rPr>
      </w:pPr>
      <w:r w:rsidRPr="00A45452">
        <w:rPr>
          <w:rFonts w:ascii="Calibri Light" w:eastAsia="Calibri" w:hAnsi="Calibri Light" w:cs="Calibri Light"/>
          <w:sz w:val="24"/>
          <w:szCs w:val="24"/>
        </w:rPr>
        <w:t>Asistencia Legal por los Derechos Humanos (</w:t>
      </w:r>
      <w:proofErr w:type="spellStart"/>
      <w:r w:rsidRPr="00A45452">
        <w:rPr>
          <w:rFonts w:ascii="Calibri Light" w:eastAsia="Calibri" w:hAnsi="Calibri Light" w:cs="Calibri Light"/>
          <w:sz w:val="24"/>
          <w:szCs w:val="24"/>
        </w:rPr>
        <w:t>AsiLEGAL</w:t>
      </w:r>
      <w:proofErr w:type="spellEnd"/>
      <w:r w:rsidRPr="00A45452">
        <w:rPr>
          <w:rFonts w:ascii="Calibri Light" w:eastAsia="Calibri" w:hAnsi="Calibri Light" w:cs="Calibri Light"/>
          <w:sz w:val="24"/>
          <w:szCs w:val="24"/>
        </w:rPr>
        <w:t>) tiene el honor de dirigirse al experto Independiente sobre la protección contra la violencia y la discriminación por orientación sexual e identidad de género, con el objeto de transmitir sus contribuciones a fin de contribuir a la elaboración del informe temático para la 44° sesión del Consejo de Derechos Humanos, sobre las llamadas terapias de conversión o Esfuerzos por ECOSIG.</w:t>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 xml:space="preserve">Las terapias de conversión en México continúan siendo una práctica actual, en razón de los estigmas y discriminación persistentes que afectan a las personas lesbianas, gay, bisexuales, transgénero, trasvestis, transexuales, </w:t>
      </w:r>
      <w:proofErr w:type="spellStart"/>
      <w:r w:rsidRPr="00A45452">
        <w:rPr>
          <w:rFonts w:ascii="Calibri Light" w:eastAsia="Calibri" w:hAnsi="Calibri Light" w:cs="Calibri Light"/>
          <w:color w:val="000000"/>
          <w:sz w:val="24"/>
          <w:szCs w:val="24"/>
        </w:rPr>
        <w:t>intersex</w:t>
      </w:r>
      <w:proofErr w:type="spellEnd"/>
      <w:r w:rsidRPr="00A45452">
        <w:rPr>
          <w:rFonts w:ascii="Calibri Light" w:eastAsia="Calibri" w:hAnsi="Calibri Light" w:cs="Calibri Light"/>
          <w:color w:val="000000"/>
          <w:sz w:val="24"/>
          <w:szCs w:val="24"/>
        </w:rPr>
        <w:t xml:space="preserve">, </w:t>
      </w:r>
      <w:proofErr w:type="spellStart"/>
      <w:r w:rsidRPr="00A45452">
        <w:rPr>
          <w:rFonts w:ascii="Calibri Light" w:eastAsia="Calibri" w:hAnsi="Calibri Light" w:cs="Calibri Light"/>
          <w:color w:val="000000"/>
          <w:sz w:val="24"/>
          <w:szCs w:val="24"/>
        </w:rPr>
        <w:t>queer</w:t>
      </w:r>
      <w:proofErr w:type="spellEnd"/>
      <w:r w:rsidRPr="00A45452">
        <w:rPr>
          <w:rFonts w:ascii="Calibri Light" w:eastAsia="Calibri" w:hAnsi="Calibri Light" w:cs="Calibri Light"/>
          <w:color w:val="000000"/>
          <w:sz w:val="24"/>
          <w:szCs w:val="24"/>
        </w:rPr>
        <w:t xml:space="preserve">, pansexuales, asexuales, entre </w:t>
      </w:r>
      <w:proofErr w:type="spellStart"/>
      <w:r w:rsidRPr="00A45452">
        <w:rPr>
          <w:rFonts w:ascii="Calibri Light" w:eastAsia="Calibri" w:hAnsi="Calibri Light" w:cs="Calibri Light"/>
          <w:color w:val="000000"/>
          <w:sz w:val="24"/>
          <w:szCs w:val="24"/>
        </w:rPr>
        <w:t>otres</w:t>
      </w:r>
      <w:proofErr w:type="spellEnd"/>
      <w:r w:rsidRPr="00A45452">
        <w:rPr>
          <w:rFonts w:ascii="Calibri Light" w:eastAsia="Calibri" w:hAnsi="Calibri Light" w:cs="Calibri Light"/>
          <w:color w:val="000000"/>
          <w:sz w:val="24"/>
          <w:szCs w:val="24"/>
        </w:rPr>
        <w:t xml:space="preserve"> (en adelante LGBTTTIQPA+) o que son percibidas como tales, son actuaciones que se fundan en la patologización o carga de índole moral-religioso contra las personas que tienen una orientación sexual diferente a la heteronorma o que su identidad de género no se rige por la </w:t>
      </w:r>
      <w:proofErr w:type="spellStart"/>
      <w:r w:rsidRPr="00A45452">
        <w:rPr>
          <w:rFonts w:ascii="Calibri Light" w:eastAsia="Calibri" w:hAnsi="Calibri Light" w:cs="Calibri Light"/>
          <w:color w:val="000000"/>
          <w:sz w:val="24"/>
          <w:szCs w:val="24"/>
        </w:rPr>
        <w:t>cisnormatividad</w:t>
      </w:r>
      <w:proofErr w:type="spellEnd"/>
      <w:r w:rsidRPr="00A45452">
        <w:rPr>
          <w:rFonts w:ascii="Calibri Light" w:eastAsia="Calibri" w:hAnsi="Calibri Light" w:cs="Calibri Light"/>
          <w:color w:val="000000"/>
          <w:sz w:val="24"/>
          <w:szCs w:val="24"/>
        </w:rPr>
        <w:t>, algunos estudios periodísticos realizados durante 2018 indican que el Consejo Nacional para Prevenir la Discriminación (en adelante CONAPRED), no tiene registro de quejas iniciadas formales sobre el tema, sin embargo, han atendido 21 planteamientos relativos a terapias de conversión en su departamento de orientación entre 2017 y 2019.</w:t>
      </w:r>
      <w:r w:rsidRPr="00A45452">
        <w:rPr>
          <w:rFonts w:ascii="Calibri Light" w:eastAsia="Calibri" w:hAnsi="Calibri Light" w:cs="Calibri Light"/>
          <w:color w:val="000000"/>
          <w:sz w:val="24"/>
          <w:szCs w:val="24"/>
          <w:vertAlign w:val="superscript"/>
        </w:rPr>
        <w:footnoteReference w:id="1"/>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 xml:space="preserve">Al respecto, Asistencia Legal por los Derechos Humanos (en adelante </w:t>
      </w:r>
      <w:proofErr w:type="spellStart"/>
      <w:r w:rsidRPr="00A45452">
        <w:rPr>
          <w:rFonts w:ascii="Calibri Light" w:eastAsia="Calibri" w:hAnsi="Calibri Light" w:cs="Calibri Light"/>
          <w:color w:val="000000"/>
          <w:sz w:val="24"/>
          <w:szCs w:val="24"/>
        </w:rPr>
        <w:t>AsiLEGAL</w:t>
      </w:r>
      <w:proofErr w:type="spellEnd"/>
      <w:r w:rsidRPr="00A45452">
        <w:rPr>
          <w:rFonts w:ascii="Calibri Light" w:eastAsia="Calibri" w:hAnsi="Calibri Light" w:cs="Calibri Light"/>
          <w:color w:val="000000"/>
          <w:sz w:val="24"/>
          <w:szCs w:val="24"/>
        </w:rPr>
        <w:t xml:space="preserve">) en 8 años de trabajo con jóvenes LGBTTTIQPA+ hemos identificado que dichas terapias de conversión y su falta de regulación en México generan un obstáculo para el pleno ejercicio del derecho a la </w:t>
      </w: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salud, integridad personal, libre desarrollo de la personalidad, dignidad e igualdad y no discriminación</w:t>
      </w:r>
      <w:r w:rsidRPr="00A45452">
        <w:rPr>
          <w:rFonts w:ascii="Calibri Light" w:eastAsia="Calibri" w:hAnsi="Calibri Light" w:cs="Calibri Light"/>
          <w:color w:val="000000"/>
          <w:sz w:val="24"/>
          <w:szCs w:val="24"/>
          <w:vertAlign w:val="superscript"/>
        </w:rPr>
        <w:footnoteReference w:id="2"/>
      </w:r>
      <w:r w:rsidRPr="00A45452">
        <w:rPr>
          <w:rFonts w:ascii="Calibri Light" w:eastAsia="Calibri" w:hAnsi="Calibri Light" w:cs="Calibri Light"/>
          <w:color w:val="000000"/>
          <w:sz w:val="24"/>
          <w:szCs w:val="24"/>
        </w:rPr>
        <w:t>, todos derechos contemplados en la Constitución mexicana</w:t>
      </w:r>
      <w:r w:rsidRPr="00A45452">
        <w:rPr>
          <w:rFonts w:ascii="Calibri Light" w:eastAsia="Calibri" w:hAnsi="Calibri Light" w:cs="Calibri Light"/>
          <w:color w:val="000000"/>
          <w:sz w:val="24"/>
          <w:szCs w:val="24"/>
          <w:vertAlign w:val="superscript"/>
        </w:rPr>
        <w:footnoteReference w:id="3"/>
      </w:r>
      <w:r w:rsidRPr="00A45452">
        <w:rPr>
          <w:rFonts w:ascii="Calibri Light" w:eastAsia="Calibri" w:hAnsi="Calibri Light" w:cs="Calibri Light"/>
          <w:color w:val="000000"/>
          <w:sz w:val="24"/>
          <w:szCs w:val="24"/>
        </w:rPr>
        <w:t>, la Convención Americana de Derechos Humanos</w:t>
      </w:r>
      <w:r w:rsidRPr="00A45452">
        <w:rPr>
          <w:rFonts w:ascii="Calibri Light" w:eastAsia="Calibri" w:hAnsi="Calibri Light" w:cs="Calibri Light"/>
          <w:color w:val="000000"/>
          <w:sz w:val="24"/>
          <w:szCs w:val="24"/>
          <w:vertAlign w:val="superscript"/>
        </w:rPr>
        <w:footnoteReference w:id="4"/>
      </w:r>
      <w:r w:rsidRPr="00A45452">
        <w:rPr>
          <w:rFonts w:ascii="Calibri Light" w:eastAsia="Calibri" w:hAnsi="Calibri Light" w:cs="Calibri Light"/>
          <w:color w:val="000000"/>
          <w:sz w:val="24"/>
          <w:szCs w:val="24"/>
        </w:rPr>
        <w:t>, el Pacto Internacional de Derechos Civiles y Políticos (ICCPR)</w:t>
      </w:r>
      <w:r w:rsidRPr="00A45452">
        <w:rPr>
          <w:rFonts w:ascii="Calibri Light" w:eastAsia="Calibri" w:hAnsi="Calibri Light" w:cs="Calibri Light"/>
          <w:color w:val="000000"/>
          <w:sz w:val="24"/>
          <w:szCs w:val="24"/>
          <w:vertAlign w:val="superscript"/>
        </w:rPr>
        <w:footnoteReference w:id="5"/>
      </w:r>
      <w:r w:rsidRPr="00A45452">
        <w:rPr>
          <w:rFonts w:ascii="Calibri Light" w:eastAsia="Calibri" w:hAnsi="Calibri Light" w:cs="Calibri Light"/>
          <w:color w:val="000000"/>
          <w:sz w:val="24"/>
          <w:szCs w:val="24"/>
        </w:rPr>
        <w:t>, Principios de Yogyakarta</w:t>
      </w:r>
      <w:r w:rsidRPr="00A45452">
        <w:rPr>
          <w:rFonts w:ascii="Calibri Light" w:eastAsia="Calibri" w:hAnsi="Calibri Light" w:cs="Calibri Light"/>
          <w:color w:val="000000"/>
          <w:sz w:val="24"/>
          <w:szCs w:val="24"/>
          <w:vertAlign w:val="superscript"/>
        </w:rPr>
        <w:footnoteReference w:id="6"/>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 xml:space="preserve">A continuación, se ahondará en la temática abordada a la luz de los derechos vulnerados, a partir de la contestación a las preguntas puntuales que se solicita para las contribuciones. </w:t>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Pr="00A45452" w:rsidRDefault="00A45452" w:rsidP="00A45452">
      <w:pPr>
        <w:numPr>
          <w:ilvl w:val="0"/>
          <w:numId w:val="2"/>
        </w:numPr>
        <w:autoSpaceDE w:val="0"/>
        <w:autoSpaceDN w:val="0"/>
        <w:adjustRightInd w:val="0"/>
        <w:spacing w:after="0" w:line="360" w:lineRule="auto"/>
        <w:jc w:val="both"/>
        <w:rPr>
          <w:rFonts w:ascii="Calibri Light" w:eastAsia="Calibri" w:hAnsi="Calibri Light" w:cs="Calibri Light"/>
          <w:b/>
          <w:bCs/>
          <w:color w:val="000000"/>
          <w:sz w:val="24"/>
          <w:szCs w:val="24"/>
        </w:rPr>
      </w:pPr>
      <w:r w:rsidRPr="00A45452">
        <w:rPr>
          <w:rFonts w:ascii="Calibri Light" w:eastAsia="Calibri" w:hAnsi="Calibri Light" w:cs="Calibri Light"/>
          <w:b/>
          <w:bCs/>
          <w:color w:val="000000"/>
          <w:sz w:val="24"/>
          <w:szCs w:val="24"/>
        </w:rPr>
        <w:t xml:space="preserve">¿Cuáles son las diferentes prácticas que entran en el ámbito de las llamadas "terapias de conversión" y cuál es el denominador común que permite agruparlas bajo este nombre? </w:t>
      </w: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Algunas de las prácticas de ECOSIG consisten en: supuestos tratamientos psicoterapéuticos, periodos de encierro en supuestas clínicas o campamentos, violaciones correctivas</w:t>
      </w:r>
      <w:r w:rsidRPr="00A45452">
        <w:rPr>
          <w:rFonts w:ascii="Calibri Light" w:eastAsia="Calibri" w:hAnsi="Calibri Light" w:cs="Calibri Light"/>
          <w:color w:val="000000"/>
          <w:sz w:val="24"/>
          <w:szCs w:val="24"/>
          <w:vertAlign w:val="superscript"/>
        </w:rPr>
        <w:footnoteReference w:id="7"/>
      </w:r>
      <w:r w:rsidRPr="00A45452">
        <w:rPr>
          <w:rFonts w:ascii="Calibri Light" w:eastAsia="Calibri" w:hAnsi="Calibri Light" w:cs="Calibri Light"/>
          <w:color w:val="000000"/>
          <w:sz w:val="24"/>
          <w:szCs w:val="24"/>
        </w:rPr>
        <w:t xml:space="preserve">, supuestas terapias reparativas por parte del personal de salud a base de electrochoques, bajo un fundamento científico inexistente, las personas suelen ser encerradas en un centro, la mayoría de veces contra su voluntad o por medio de engaños y sometidos a regímenes </w:t>
      </w: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muy estrictos, que suelen incluir tratos inhumanos o degradantes e incluso actos de violencia sexual como parte del “procedimiento”</w:t>
      </w:r>
      <w:r w:rsidRPr="00A45452">
        <w:rPr>
          <w:rFonts w:ascii="Calibri Light" w:eastAsia="Calibri" w:hAnsi="Calibri Light" w:cs="Calibri Light"/>
          <w:color w:val="000000"/>
          <w:sz w:val="24"/>
          <w:szCs w:val="24"/>
          <w:vertAlign w:val="superscript"/>
        </w:rPr>
        <w:footnoteReference w:id="8"/>
      </w:r>
      <w:r w:rsidRPr="00A45452">
        <w:rPr>
          <w:rFonts w:ascii="Calibri Light" w:eastAsia="Calibri" w:hAnsi="Calibri Light" w:cs="Calibri Light"/>
          <w:color w:val="000000"/>
          <w:sz w:val="24"/>
          <w:szCs w:val="24"/>
        </w:rPr>
        <w:t>.</w:t>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A partir de lo anterior, nos parece que los elementos comunes para identificar este tipo de prácticas son:</w:t>
      </w:r>
    </w:p>
    <w:p w:rsidR="00A45452" w:rsidRPr="00A45452" w:rsidRDefault="00A45452" w:rsidP="00A45452">
      <w:pPr>
        <w:numPr>
          <w:ilvl w:val="0"/>
          <w:numId w:val="3"/>
        </w:num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Prácticas que buscan modificar la orientación sexual o la identidad de género de las personas.</w:t>
      </w:r>
    </w:p>
    <w:p w:rsidR="00A45452" w:rsidRPr="00A45452" w:rsidRDefault="00A45452" w:rsidP="00A45452">
      <w:pPr>
        <w:numPr>
          <w:ilvl w:val="0"/>
          <w:numId w:val="3"/>
        </w:numPr>
        <w:spacing w:line="360" w:lineRule="auto"/>
        <w:contextualSpacing/>
        <w:jc w:val="both"/>
        <w:rPr>
          <w:rFonts w:ascii="Calibri Light" w:eastAsia="Calibri" w:hAnsi="Calibri Light" w:cs="Calibri Light"/>
          <w:sz w:val="24"/>
          <w:szCs w:val="24"/>
        </w:rPr>
      </w:pPr>
      <w:r w:rsidRPr="00A45452">
        <w:rPr>
          <w:rFonts w:ascii="Calibri Light" w:eastAsia="Calibri" w:hAnsi="Calibri Light" w:cs="Calibri Light"/>
          <w:sz w:val="24"/>
          <w:szCs w:val="24"/>
        </w:rPr>
        <w:t xml:space="preserve">Las llamadas </w:t>
      </w:r>
      <w:r w:rsidRPr="00A45452">
        <w:rPr>
          <w:rFonts w:ascii="Calibri Light" w:eastAsia="Calibri" w:hAnsi="Calibri Light" w:cs="Calibri Light"/>
          <w:i/>
          <w:iCs/>
          <w:sz w:val="24"/>
          <w:szCs w:val="24"/>
        </w:rPr>
        <w:t>Terapias de conversión</w:t>
      </w:r>
      <w:r w:rsidRPr="00A45452">
        <w:rPr>
          <w:rFonts w:ascii="Calibri Light" w:eastAsia="Calibri" w:hAnsi="Calibri Light" w:cs="Calibri Light"/>
          <w:sz w:val="24"/>
          <w:szCs w:val="24"/>
        </w:rPr>
        <w:t xml:space="preserve"> parten de que la homosexualidad es una enfermedad o un desorden mental </w:t>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Pr="00A45452" w:rsidRDefault="00A45452" w:rsidP="00A45452">
      <w:pPr>
        <w:numPr>
          <w:ilvl w:val="0"/>
          <w:numId w:val="2"/>
        </w:num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¿Existen definiciones adoptadas y utilizadas por los Estados sobre las prácticas de la llamada "terapia de conversión"? En caso afirmativo, ¿cuáles son esas definiciones y cuál fue el proceso mediante el cual se crearon o adoptaron?</w:t>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No existe una postura estatal más allá de algunos comunicados de Instituciones Protectoras de los Derechos Humanos</w:t>
      </w:r>
      <w:r w:rsidRPr="00A45452">
        <w:rPr>
          <w:rFonts w:ascii="Calibri Light" w:eastAsia="Calibri" w:hAnsi="Calibri Light" w:cs="Calibri Light"/>
          <w:color w:val="000000"/>
          <w:sz w:val="24"/>
          <w:szCs w:val="24"/>
          <w:vertAlign w:val="superscript"/>
        </w:rPr>
        <w:footnoteReference w:id="9"/>
      </w:r>
      <w:r w:rsidRPr="00A45452">
        <w:rPr>
          <w:rFonts w:ascii="Calibri Light" w:eastAsia="Calibri" w:hAnsi="Calibri Light" w:cs="Calibri Light"/>
          <w:color w:val="000000"/>
          <w:sz w:val="24"/>
          <w:szCs w:val="24"/>
        </w:rPr>
        <w:t xml:space="preserve"> como la Comisión Nacional de Derechos Humanos o el Consejo para Prevenir la Discriminación, sin embargo, no es un pronunciamiento de Estado, un esfuerzo por definir éstas prácticas se encuentra en la iniciativa las llamadas terapias de conversión</w:t>
      </w:r>
      <w:r w:rsidRPr="00A45452">
        <w:rPr>
          <w:rFonts w:ascii="Calibri Light" w:eastAsia="Calibri" w:hAnsi="Calibri Light" w:cs="Calibri Light"/>
          <w:color w:val="000000"/>
          <w:sz w:val="24"/>
          <w:szCs w:val="24"/>
          <w:vertAlign w:val="superscript"/>
        </w:rPr>
        <w:footnoteReference w:id="10"/>
      </w:r>
      <w:r w:rsidRPr="00A45452">
        <w:rPr>
          <w:rFonts w:ascii="Calibri Light" w:eastAsia="Calibri" w:hAnsi="Calibri Light" w:cs="Calibri Light"/>
          <w:color w:val="000000"/>
          <w:sz w:val="24"/>
          <w:szCs w:val="24"/>
        </w:rPr>
        <w:t xml:space="preserve"> consisten en cualquier esfuerzo dirigido promover, aplicar, obligar o financiar al tratamiento, terapia o cualquier tipo de servicio o práctica no quirúrgica con el objetivo de obstaculizar, restringir, impedir, menoscabar o anular o modificar la orientación sexual, identidad o expresión de género de una persona</w:t>
      </w:r>
      <w:r w:rsidRPr="00A45452">
        <w:rPr>
          <w:rFonts w:ascii="Calibri Light" w:eastAsia="Calibri" w:hAnsi="Calibri Light" w:cs="Calibri Light"/>
          <w:color w:val="000000"/>
          <w:sz w:val="24"/>
          <w:szCs w:val="24"/>
          <w:vertAlign w:val="superscript"/>
        </w:rPr>
        <w:footnoteReference w:id="11"/>
      </w:r>
      <w:r w:rsidRPr="00A45452">
        <w:rPr>
          <w:rFonts w:ascii="Calibri Light" w:eastAsia="Calibri" w:hAnsi="Calibri Light" w:cs="Calibri Light"/>
          <w:color w:val="000000"/>
          <w:sz w:val="24"/>
          <w:szCs w:val="24"/>
        </w:rPr>
        <w:t xml:space="preserve">. </w:t>
      </w: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Pr="00A45452" w:rsidRDefault="00A45452" w:rsidP="00A45452">
      <w:pPr>
        <w:numPr>
          <w:ilvl w:val="0"/>
          <w:numId w:val="2"/>
        </w:num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 xml:space="preserve">¿Cuáles son los esfuerzos actuales de los Estados para aumentar su conocimiento de las prácticas de la llamada "terapia de conversión"? ¿Existen esfuerzos para producir información y datos sobre estas prácticas? </w:t>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En cuanto a los esfuerzos que puede haber tenido el Estado mexicano para el combate o para aumentar su conocimiento sobre éste tipo de prácticas, reconocemos algunos protocolos que en materia de salud han existido para la atención de las personas LGBT, a saber, Protocolo para el Acceso sin Discriminación a la Prestación de Servicios de Atención Médica, de las Personas Lésbico, Gay, Bisexual, Transexual, Travesti, Transgénero e Intersexual LGBTI y Guías de Atención Específica</w:t>
      </w:r>
      <w:r w:rsidRPr="00A45452">
        <w:rPr>
          <w:rFonts w:ascii="Calibri Light" w:eastAsia="Calibri" w:hAnsi="Calibri Light" w:cs="Calibri Light"/>
          <w:color w:val="000000"/>
          <w:sz w:val="24"/>
          <w:szCs w:val="24"/>
          <w:vertAlign w:val="superscript"/>
        </w:rPr>
        <w:footnoteReference w:id="12"/>
      </w:r>
      <w:r w:rsidRPr="00A45452">
        <w:rPr>
          <w:rFonts w:ascii="Calibri Light" w:eastAsia="Calibri" w:hAnsi="Calibri Light" w:cs="Calibri Light"/>
          <w:color w:val="000000"/>
          <w:sz w:val="24"/>
          <w:szCs w:val="24"/>
        </w:rPr>
        <w:t>, Protocolo para el Acceso sin Discriminación a la Prestación de Servicios de Atención Médica de las personas LGBTTT.</w:t>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 xml:space="preserve">Sin embargo, se hace notar que los comunicados de las instituciones federales protectoras de derechos humanos, así como, protocolos especializados para el personal de salud no son documentos accesibles para un alcance y el efectivo derecho de acceso a la información de la mayoría de la población en general, por lo que se indica que existen amplias carencias para que la información sobre la existencia de terapias y su combate desde el Estado aun </w:t>
      </w:r>
      <w:proofErr w:type="gramStart"/>
      <w:r w:rsidRPr="00A45452">
        <w:rPr>
          <w:rFonts w:ascii="Calibri Light" w:eastAsia="Calibri" w:hAnsi="Calibri Light" w:cs="Calibri Light"/>
          <w:color w:val="000000"/>
          <w:sz w:val="24"/>
          <w:szCs w:val="24"/>
        </w:rPr>
        <w:t>continua</w:t>
      </w:r>
      <w:proofErr w:type="gramEnd"/>
      <w:r w:rsidRPr="00A45452">
        <w:rPr>
          <w:rFonts w:ascii="Calibri Light" w:eastAsia="Calibri" w:hAnsi="Calibri Light" w:cs="Calibri Light"/>
          <w:color w:val="000000"/>
          <w:sz w:val="24"/>
          <w:szCs w:val="24"/>
        </w:rPr>
        <w:t xml:space="preserve"> siendo débil. </w:t>
      </w: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Pr="00A45452" w:rsidRDefault="00A45452" w:rsidP="00A45452">
      <w:pPr>
        <w:numPr>
          <w:ilvl w:val="0"/>
          <w:numId w:val="2"/>
        </w:numPr>
        <w:autoSpaceDE w:val="0"/>
        <w:autoSpaceDN w:val="0"/>
        <w:adjustRightInd w:val="0"/>
        <w:spacing w:after="0" w:line="360" w:lineRule="auto"/>
        <w:jc w:val="both"/>
        <w:rPr>
          <w:rFonts w:ascii="Calibri Light" w:eastAsia="Calibri" w:hAnsi="Calibri Light" w:cs="Calibri Light"/>
          <w:b/>
          <w:bCs/>
          <w:color w:val="000000"/>
          <w:sz w:val="24"/>
          <w:szCs w:val="24"/>
        </w:rPr>
      </w:pPr>
      <w:r w:rsidRPr="00A45452">
        <w:rPr>
          <w:rFonts w:ascii="Calibri Light" w:eastAsia="Calibri" w:hAnsi="Calibri Light" w:cs="Calibri Light"/>
          <w:b/>
          <w:bCs/>
          <w:color w:val="000000"/>
          <w:sz w:val="24"/>
          <w:szCs w:val="24"/>
        </w:rPr>
        <w:t xml:space="preserve">¿Qué tipo de información y datos recopilan los Estados para comprender la naturaleza y el alcance de las llamadas "terapias de conversión" (por ejemplo, mediante inspecciones, investigaciones, encuestas)? </w:t>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No existen mediciones que a partir del estado mexicano se generen y que permitan visibilizar la magnitud de la temática, únicamente la CONAPRED indicó que entre 2017 a 2019 se han atendido 21 planteamientos relativos a terapias de conversión en su departamento de orientación.</w:t>
      </w:r>
      <w:r w:rsidRPr="00A45452">
        <w:rPr>
          <w:rFonts w:ascii="Calibri Light" w:eastAsia="Calibri" w:hAnsi="Calibri Light" w:cs="Calibri Light"/>
          <w:color w:val="000000"/>
          <w:sz w:val="24"/>
          <w:szCs w:val="24"/>
          <w:vertAlign w:val="superscript"/>
        </w:rPr>
        <w:footnoteReference w:id="13"/>
      </w:r>
      <w:r w:rsidRPr="00A45452">
        <w:rPr>
          <w:rFonts w:ascii="Calibri Light" w:eastAsia="Calibri" w:hAnsi="Calibri Light" w:cs="Calibri Light"/>
          <w:color w:val="000000"/>
          <w:sz w:val="24"/>
          <w:szCs w:val="24"/>
        </w:rPr>
        <w:t xml:space="preserve">  Sin embargo, es claro que no es prioridad para el Estado mexicano atender ésta problemática que afecta de forma diferenciada a las personas LGBTTTIQPA+ en razón de que dichas prácticas, a pesar de los esfuerzos, aún no están prohibidas y sancionadas en México.</w:t>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b/>
          <w:bCs/>
          <w:color w:val="000000"/>
          <w:sz w:val="24"/>
          <w:szCs w:val="24"/>
        </w:rPr>
      </w:pP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b/>
          <w:bCs/>
          <w:color w:val="000000"/>
          <w:sz w:val="24"/>
          <w:szCs w:val="24"/>
        </w:rPr>
      </w:pPr>
      <w:r w:rsidRPr="00A45452">
        <w:rPr>
          <w:rFonts w:ascii="Calibri Light" w:eastAsia="Calibri" w:hAnsi="Calibri Light" w:cs="Calibri Light"/>
          <w:b/>
          <w:bCs/>
          <w:color w:val="000000"/>
          <w:sz w:val="24"/>
          <w:szCs w:val="24"/>
        </w:rPr>
        <w:t xml:space="preserve">5. ¿Se han identificado los riesgos asociados a las prácticas de la llamada "terapia de conversión"? </w:t>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Se ha identificado que al realizar las prácticas de ECOSIG existen riesgos de vulneración a los derechos humanos de las personas LGBTTTIQPA+, en razón de que, al someterlos a prácticas de encierro en supuestas clínicas, terapias de electrochoques, supuestos tratamientos médicos, se causa una vulneración en los derechos de integridad personal, dignidad y pudiéndose configurar tratos crueles, inhumanos y degradantes, e incluso tortura.</w:t>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Por otro lado, cuando se ha documentado que instituciones de salud utilizan prácticas que contribuyen a las ECOSIG dentro de su ejercicio profesional, a partir de considerar conocimientos supuestamente científicos, también se puede menoscabar el derecho a la salud de las personas LGBTTTIQPA+.</w:t>
      </w: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b/>
          <w:bCs/>
          <w:color w:val="000000"/>
          <w:sz w:val="24"/>
          <w:szCs w:val="24"/>
        </w:rPr>
      </w:pPr>
      <w:r w:rsidRPr="00A45452">
        <w:rPr>
          <w:rFonts w:ascii="Calibri Light" w:eastAsia="Calibri" w:hAnsi="Calibri Light" w:cs="Calibri Light"/>
          <w:b/>
          <w:bCs/>
          <w:color w:val="000000"/>
          <w:sz w:val="24"/>
          <w:szCs w:val="24"/>
        </w:rPr>
        <w:t xml:space="preserve">6. ¿Existe una posición del Estado sobre qué salvaguardias son necesarias y qué salvaguardias existen para proteger los derechos humanos de las personas en relación con las prácticas de la llamada "terapia de conversión"? Esta pregunta incluye lo siguiente: </w:t>
      </w:r>
    </w:p>
    <w:p w:rsidR="00A45452" w:rsidRPr="00A45452" w:rsidRDefault="00A45452" w:rsidP="00A45452">
      <w:pPr>
        <w:autoSpaceDE w:val="0"/>
        <w:autoSpaceDN w:val="0"/>
        <w:adjustRightInd w:val="0"/>
        <w:spacing w:after="0" w:line="360" w:lineRule="auto"/>
        <w:jc w:val="both"/>
        <w:rPr>
          <w:rFonts w:ascii="Calibri Light" w:eastAsia="Calibri" w:hAnsi="Calibri Light" w:cs="Calibri Light"/>
          <w:color w:val="000000"/>
          <w:sz w:val="24"/>
          <w:szCs w:val="24"/>
        </w:rPr>
      </w:pPr>
      <w:r w:rsidRPr="00A45452">
        <w:rPr>
          <w:rFonts w:ascii="Calibri Light" w:eastAsia="Calibri" w:hAnsi="Calibri Light" w:cs="Calibri Light"/>
          <w:color w:val="000000"/>
          <w:sz w:val="24"/>
          <w:szCs w:val="24"/>
        </w:rPr>
        <w:t xml:space="preserve">a. Medidas de protección para evitar que las personas sean sometidas a "terapias de conversión". </w:t>
      </w:r>
    </w:p>
    <w:p w:rsidR="00A45452" w:rsidRPr="00A45452" w:rsidRDefault="00A45452" w:rsidP="00A45452">
      <w:pPr>
        <w:spacing w:line="360" w:lineRule="auto"/>
        <w:jc w:val="both"/>
        <w:rPr>
          <w:rFonts w:ascii="Calibri Light" w:eastAsia="Calibri" w:hAnsi="Calibri Light" w:cs="Calibri Light"/>
          <w:sz w:val="24"/>
          <w:szCs w:val="24"/>
        </w:rPr>
      </w:pPr>
      <w:r w:rsidRPr="00A45452">
        <w:rPr>
          <w:rFonts w:ascii="Calibri Light" w:eastAsia="Calibri" w:hAnsi="Calibri Light" w:cs="Calibri Light"/>
          <w:sz w:val="24"/>
          <w:szCs w:val="24"/>
        </w:rPr>
        <w:t>Existen los dos protocolos médicos para personal de salud citado anteriormente.</w:t>
      </w:r>
    </w:p>
    <w:p w:rsidR="00A45452" w:rsidRPr="00A45452" w:rsidRDefault="00A45452" w:rsidP="00A45452">
      <w:pPr>
        <w:spacing w:line="360" w:lineRule="auto"/>
        <w:jc w:val="both"/>
        <w:rPr>
          <w:rFonts w:ascii="Calibri Light" w:eastAsia="Calibri" w:hAnsi="Calibri Light" w:cs="Calibri Light"/>
          <w:sz w:val="24"/>
          <w:szCs w:val="24"/>
        </w:rPr>
      </w:pPr>
      <w:r w:rsidRPr="00A45452">
        <w:rPr>
          <w:rFonts w:ascii="Calibri Light" w:eastAsia="Calibri" w:hAnsi="Calibri Light" w:cs="Calibri Light"/>
          <w:sz w:val="24"/>
          <w:szCs w:val="24"/>
        </w:rPr>
        <w:t>Igualmente, en el último informe de la CNDH sobre personas Lesbianas, Gay, bisexuales, transexuales, trasvestis, transgénero e intersexuales se apuntan algunas recomendaciones no vinculantes a la temática.</w:t>
      </w:r>
      <w:r w:rsidRPr="00A45452">
        <w:rPr>
          <w:rFonts w:ascii="Calibri Light" w:eastAsia="Calibri" w:hAnsi="Calibri Light" w:cs="Calibri Light"/>
          <w:sz w:val="24"/>
          <w:szCs w:val="24"/>
          <w:vertAlign w:val="superscript"/>
        </w:rPr>
        <w:footnoteReference w:id="14"/>
      </w:r>
    </w:p>
    <w:p w:rsidR="00A45452" w:rsidRPr="00A45452" w:rsidRDefault="00A45452" w:rsidP="00A45452">
      <w:pPr>
        <w:spacing w:line="360" w:lineRule="auto"/>
        <w:jc w:val="both"/>
        <w:rPr>
          <w:rFonts w:ascii="Calibri Light" w:eastAsia="Calibri" w:hAnsi="Calibri Light" w:cs="Calibri Light"/>
          <w:b/>
          <w:bCs/>
          <w:sz w:val="24"/>
          <w:szCs w:val="24"/>
        </w:rPr>
      </w:pPr>
      <w:r w:rsidRPr="00A45452">
        <w:rPr>
          <w:rFonts w:ascii="Calibri Light" w:eastAsia="Calibri" w:hAnsi="Calibri Light" w:cs="Calibri Light"/>
          <w:b/>
          <w:bCs/>
          <w:sz w:val="24"/>
          <w:szCs w:val="24"/>
        </w:rPr>
        <w:t>b. Extensión de las normas legales o políticas administrativas para hacer responsables a los proveedores de atención médica y a otras personas involucradas en dichas "terapias de conversión”.</w:t>
      </w:r>
    </w:p>
    <w:p w:rsidR="00A45452" w:rsidRDefault="00A45452" w:rsidP="00A45452">
      <w:pPr>
        <w:spacing w:line="360" w:lineRule="auto"/>
        <w:jc w:val="both"/>
        <w:rPr>
          <w:rFonts w:ascii="Calibri Light" w:eastAsia="Calibri" w:hAnsi="Calibri Light" w:cs="Calibri Light"/>
          <w:sz w:val="24"/>
          <w:szCs w:val="24"/>
        </w:rPr>
      </w:pPr>
      <w:r w:rsidRPr="00A45452">
        <w:rPr>
          <w:rFonts w:ascii="Calibri Light" w:eastAsia="Calibri" w:hAnsi="Calibri Light" w:cs="Calibri Light"/>
          <w:sz w:val="24"/>
          <w:szCs w:val="24"/>
        </w:rPr>
        <w:t>No existen, únicamente existen dos iniciativas de ley en el marco del Gobierno Federal, en específico en la cámara de senadores</w:t>
      </w:r>
      <w:r w:rsidRPr="00A45452">
        <w:rPr>
          <w:rFonts w:ascii="Calibri Light" w:eastAsia="Calibri" w:hAnsi="Calibri Light" w:cs="Calibri Light"/>
          <w:sz w:val="24"/>
          <w:szCs w:val="24"/>
          <w:vertAlign w:val="superscript"/>
        </w:rPr>
        <w:footnoteReference w:id="15"/>
      </w:r>
      <w:r w:rsidRPr="00A45452">
        <w:rPr>
          <w:rFonts w:ascii="Calibri Light" w:eastAsia="Calibri" w:hAnsi="Calibri Light" w:cs="Calibri Light"/>
          <w:sz w:val="24"/>
          <w:szCs w:val="24"/>
        </w:rPr>
        <w:t xml:space="preserve"> iniciativa que busca prohibir las terapias de conversión asimiladas a ECOSIG, </w:t>
      </w:r>
      <w:proofErr w:type="spellStart"/>
      <w:r w:rsidRPr="00A45452">
        <w:rPr>
          <w:rFonts w:ascii="Calibri Light" w:eastAsia="Calibri" w:hAnsi="Calibri Light" w:cs="Calibri Light"/>
          <w:sz w:val="24"/>
          <w:szCs w:val="24"/>
        </w:rPr>
        <w:t>asi</w:t>
      </w:r>
      <w:proofErr w:type="spellEnd"/>
      <w:r w:rsidRPr="00A45452">
        <w:rPr>
          <w:rFonts w:ascii="Calibri Light" w:eastAsia="Calibri" w:hAnsi="Calibri Light" w:cs="Calibri Light"/>
          <w:sz w:val="24"/>
          <w:szCs w:val="24"/>
        </w:rPr>
        <w:t xml:space="preserve"> como, la iniciativa de ley para el congreso de Jalisco que igualmente busca prohibir dichas prácticas, cabe destacar que la sociedad civil está detrás de dichas iniciativas, en específico la organización Yaaj México</w:t>
      </w:r>
      <w:r w:rsidRPr="00A45452">
        <w:rPr>
          <w:rFonts w:ascii="Calibri Light" w:eastAsia="Calibri" w:hAnsi="Calibri Light" w:cs="Calibri Light"/>
          <w:sz w:val="24"/>
          <w:szCs w:val="24"/>
          <w:vertAlign w:val="superscript"/>
        </w:rPr>
        <w:footnoteReference w:id="16"/>
      </w:r>
      <w:r w:rsidRPr="00A45452">
        <w:rPr>
          <w:rFonts w:ascii="Calibri Light" w:eastAsia="Calibri" w:hAnsi="Calibri Light" w:cs="Calibri Light"/>
          <w:sz w:val="24"/>
          <w:szCs w:val="24"/>
        </w:rPr>
        <w:t xml:space="preserve">. </w:t>
      </w:r>
    </w:p>
    <w:p w:rsidR="00A45452" w:rsidRDefault="00A45452" w:rsidP="00A45452">
      <w:pPr>
        <w:spacing w:line="360" w:lineRule="auto"/>
        <w:jc w:val="both"/>
        <w:rPr>
          <w:rFonts w:ascii="Calibri Light" w:eastAsia="Calibri" w:hAnsi="Calibri Light" w:cs="Calibri Light"/>
          <w:sz w:val="24"/>
          <w:szCs w:val="24"/>
        </w:rPr>
      </w:pPr>
    </w:p>
    <w:p w:rsidR="00A45452" w:rsidRDefault="00A45452" w:rsidP="00A45452">
      <w:pPr>
        <w:spacing w:line="360" w:lineRule="auto"/>
        <w:jc w:val="both"/>
        <w:rPr>
          <w:rFonts w:ascii="Calibri Light" w:eastAsia="Calibri" w:hAnsi="Calibri Light" w:cs="Calibri Light"/>
          <w:sz w:val="24"/>
          <w:szCs w:val="24"/>
        </w:rPr>
      </w:pPr>
    </w:p>
    <w:p w:rsid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b/>
          <w:bCs/>
          <w:sz w:val="24"/>
          <w:szCs w:val="24"/>
        </w:rPr>
      </w:pPr>
      <w:r w:rsidRPr="00A45452">
        <w:rPr>
          <w:rFonts w:ascii="Calibri Light" w:eastAsia="Calibri" w:hAnsi="Calibri Light" w:cs="Calibri Light"/>
          <w:b/>
          <w:bCs/>
          <w:sz w:val="24"/>
          <w:szCs w:val="24"/>
        </w:rPr>
        <w:t xml:space="preserve">7. ¿Existen instituciones, organizaciones o entidades estatales involucradas en la ejecución de las prácticas de la llamada "terapia de conversión"? En caso afirmativo ¿qué criterios se han seguido para considerarlos como una forma válida de acción estatal? </w:t>
      </w:r>
    </w:p>
    <w:p w:rsidR="00A45452" w:rsidRPr="00A45452" w:rsidRDefault="00A45452" w:rsidP="00A45452">
      <w:pPr>
        <w:spacing w:line="360" w:lineRule="auto"/>
        <w:jc w:val="both"/>
        <w:rPr>
          <w:rFonts w:ascii="Calibri Light" w:eastAsia="Calibri" w:hAnsi="Calibri Light" w:cs="Calibri Light"/>
          <w:sz w:val="24"/>
          <w:szCs w:val="24"/>
        </w:rPr>
      </w:pPr>
      <w:r w:rsidRPr="00A45452">
        <w:rPr>
          <w:rFonts w:ascii="Calibri Light" w:eastAsia="Calibri" w:hAnsi="Calibri Light" w:cs="Calibri Light"/>
          <w:sz w:val="24"/>
          <w:szCs w:val="24"/>
        </w:rPr>
        <w:t>No se ha identificado una política estatal en ese sentido en el caso de México.</w:t>
      </w:r>
    </w:p>
    <w:p w:rsidR="00A45452" w:rsidRPr="00A45452" w:rsidRDefault="00A45452" w:rsidP="00A45452">
      <w:pPr>
        <w:spacing w:line="360" w:lineRule="auto"/>
        <w:jc w:val="both"/>
        <w:rPr>
          <w:rFonts w:ascii="Calibri Light" w:eastAsia="Calibri" w:hAnsi="Calibri Light" w:cs="Calibri Light"/>
          <w:b/>
          <w:bCs/>
          <w:sz w:val="24"/>
          <w:szCs w:val="24"/>
        </w:rPr>
      </w:pPr>
      <w:r w:rsidRPr="00A45452">
        <w:rPr>
          <w:rFonts w:ascii="Calibri Light" w:eastAsia="Calibri" w:hAnsi="Calibri Light" w:cs="Calibri Light"/>
          <w:b/>
          <w:bCs/>
          <w:sz w:val="24"/>
          <w:szCs w:val="24"/>
        </w:rPr>
        <w:t xml:space="preserve">8. ¿Alguna institución del Estado ha adoptado una posición en relación con las prácticas de la llamada "terapia de conversión", por ejemplo; </w:t>
      </w:r>
    </w:p>
    <w:p w:rsidR="00A45452" w:rsidRPr="00A45452" w:rsidRDefault="00A45452" w:rsidP="00A45452">
      <w:pPr>
        <w:spacing w:line="360" w:lineRule="auto"/>
        <w:jc w:val="both"/>
        <w:rPr>
          <w:rFonts w:ascii="Calibri Light" w:eastAsia="Calibri" w:hAnsi="Calibri Light" w:cs="Calibri Light"/>
          <w:b/>
          <w:bCs/>
          <w:sz w:val="24"/>
          <w:szCs w:val="24"/>
        </w:rPr>
      </w:pPr>
      <w:r w:rsidRPr="00A45452">
        <w:rPr>
          <w:rFonts w:ascii="Calibri Light" w:eastAsia="Calibri" w:hAnsi="Calibri Light" w:cs="Calibri Light"/>
          <w:b/>
          <w:bCs/>
          <w:sz w:val="24"/>
          <w:szCs w:val="24"/>
        </w:rPr>
        <w:t xml:space="preserve">a. entidades o dependencias del Estado encargadas de las políticas públicas; </w:t>
      </w:r>
    </w:p>
    <w:p w:rsidR="00A45452" w:rsidRPr="00A45452" w:rsidRDefault="00A45452" w:rsidP="00A45452">
      <w:pPr>
        <w:spacing w:line="360" w:lineRule="auto"/>
        <w:jc w:val="both"/>
        <w:rPr>
          <w:rFonts w:ascii="Calibri Light" w:eastAsia="Calibri" w:hAnsi="Calibri Light" w:cs="Calibri Light"/>
          <w:sz w:val="24"/>
          <w:szCs w:val="24"/>
        </w:rPr>
      </w:pPr>
      <w:r w:rsidRPr="00A45452">
        <w:rPr>
          <w:rFonts w:ascii="Calibri Light" w:eastAsia="Calibri" w:hAnsi="Calibri Light" w:cs="Calibri Light"/>
          <w:sz w:val="24"/>
          <w:szCs w:val="24"/>
        </w:rPr>
        <w:t>no aplica.</w:t>
      </w:r>
    </w:p>
    <w:p w:rsidR="00A45452" w:rsidRPr="00A45452" w:rsidRDefault="00A45452" w:rsidP="00A45452">
      <w:pPr>
        <w:spacing w:line="360" w:lineRule="auto"/>
        <w:jc w:val="both"/>
        <w:rPr>
          <w:rFonts w:ascii="Calibri Light" w:eastAsia="Calibri" w:hAnsi="Calibri Light" w:cs="Calibri Light"/>
          <w:b/>
          <w:bCs/>
          <w:sz w:val="24"/>
          <w:szCs w:val="24"/>
        </w:rPr>
      </w:pPr>
      <w:r w:rsidRPr="00A45452">
        <w:rPr>
          <w:rFonts w:ascii="Calibri Light" w:eastAsia="Calibri" w:hAnsi="Calibri Light" w:cs="Calibri Light"/>
          <w:b/>
          <w:bCs/>
          <w:sz w:val="24"/>
          <w:szCs w:val="24"/>
        </w:rPr>
        <w:t xml:space="preserve">b. órganos parlamentarios; </w:t>
      </w:r>
    </w:p>
    <w:p w:rsidR="00A45452" w:rsidRPr="00A45452" w:rsidRDefault="00A45452" w:rsidP="00A45452">
      <w:pPr>
        <w:spacing w:line="360" w:lineRule="auto"/>
        <w:jc w:val="both"/>
        <w:rPr>
          <w:rFonts w:ascii="Calibri Light" w:eastAsia="Calibri" w:hAnsi="Calibri Light" w:cs="Calibri Light"/>
          <w:sz w:val="24"/>
          <w:szCs w:val="24"/>
        </w:rPr>
      </w:pPr>
      <w:r w:rsidRPr="00A45452">
        <w:rPr>
          <w:rFonts w:ascii="Calibri Light" w:eastAsia="Calibri" w:hAnsi="Calibri Light" w:cs="Calibri Light"/>
          <w:sz w:val="24"/>
          <w:szCs w:val="24"/>
        </w:rPr>
        <w:t>únicamente las dos iniciativas citadas arriba que buscan prohibir las prácticas de ECOSIG, a saber, Ley que adiciona un artículo 202 TER al Código Penal para el estado libre y Soberano de Jalisco</w:t>
      </w:r>
      <w:r w:rsidRPr="00A45452">
        <w:rPr>
          <w:rFonts w:ascii="Calibri Light" w:eastAsia="Calibri" w:hAnsi="Calibri Light" w:cs="Calibri Light"/>
          <w:sz w:val="24"/>
          <w:szCs w:val="24"/>
          <w:vertAlign w:val="superscript"/>
        </w:rPr>
        <w:footnoteReference w:id="17"/>
      </w:r>
      <w:r w:rsidRPr="00A45452">
        <w:rPr>
          <w:rFonts w:ascii="Calibri Light" w:eastAsia="Calibri" w:hAnsi="Calibri Light" w:cs="Calibri Light"/>
          <w:sz w:val="24"/>
          <w:szCs w:val="24"/>
        </w:rPr>
        <w:t xml:space="preserve"> y el proyecto de decreto que adiciona un artículo 149 </w:t>
      </w:r>
      <w:proofErr w:type="spellStart"/>
      <w:r w:rsidRPr="00A45452">
        <w:rPr>
          <w:rFonts w:ascii="Calibri Light" w:eastAsia="Calibri" w:hAnsi="Calibri Light" w:cs="Calibri Light"/>
          <w:sz w:val="24"/>
          <w:szCs w:val="24"/>
        </w:rPr>
        <w:t>quater</w:t>
      </w:r>
      <w:proofErr w:type="spellEnd"/>
      <w:r w:rsidRPr="00A45452">
        <w:rPr>
          <w:rFonts w:ascii="Calibri Light" w:eastAsia="Calibri" w:hAnsi="Calibri Light" w:cs="Calibri Light"/>
          <w:sz w:val="24"/>
          <w:szCs w:val="24"/>
        </w:rPr>
        <w:t xml:space="preserve"> al código penal federal y un artículo 465 bis a la ley general de salud</w:t>
      </w:r>
      <w:r w:rsidRPr="00A45452">
        <w:rPr>
          <w:rFonts w:ascii="Calibri Light" w:eastAsia="Calibri" w:hAnsi="Calibri Light" w:cs="Calibri Light"/>
          <w:sz w:val="24"/>
          <w:szCs w:val="24"/>
          <w:vertAlign w:val="superscript"/>
        </w:rPr>
        <w:footnoteReference w:id="18"/>
      </w:r>
      <w:r w:rsidRPr="00A45452">
        <w:rPr>
          <w:rFonts w:ascii="Calibri Light" w:eastAsia="Calibri" w:hAnsi="Calibri Light" w:cs="Calibri Light"/>
          <w:sz w:val="24"/>
          <w:szCs w:val="24"/>
        </w:rPr>
        <w:t xml:space="preserve">, </w:t>
      </w:r>
    </w:p>
    <w:p w:rsidR="00A45452" w:rsidRPr="00A45452" w:rsidRDefault="00A45452" w:rsidP="00A45452">
      <w:pPr>
        <w:spacing w:line="360" w:lineRule="auto"/>
        <w:jc w:val="both"/>
        <w:rPr>
          <w:rFonts w:ascii="Calibri Light" w:eastAsia="Calibri" w:hAnsi="Calibri Light" w:cs="Calibri Light"/>
          <w:b/>
          <w:bCs/>
          <w:sz w:val="24"/>
          <w:szCs w:val="24"/>
        </w:rPr>
      </w:pPr>
      <w:r w:rsidRPr="00A45452">
        <w:rPr>
          <w:rFonts w:ascii="Calibri Light" w:eastAsia="Calibri" w:hAnsi="Calibri Light" w:cs="Calibri Light"/>
          <w:b/>
          <w:bCs/>
          <w:sz w:val="24"/>
          <w:szCs w:val="24"/>
        </w:rPr>
        <w:t xml:space="preserve">c. el poder judicial; </w:t>
      </w:r>
    </w:p>
    <w:p w:rsidR="00A45452" w:rsidRDefault="00A45452" w:rsidP="00A45452">
      <w:pPr>
        <w:spacing w:line="360" w:lineRule="auto"/>
        <w:jc w:val="both"/>
        <w:rPr>
          <w:rFonts w:ascii="Calibri Light" w:eastAsia="Calibri" w:hAnsi="Calibri Light" w:cs="Calibri Light"/>
          <w:sz w:val="24"/>
          <w:szCs w:val="24"/>
        </w:rPr>
      </w:pPr>
      <w:r w:rsidRPr="00A45452">
        <w:rPr>
          <w:rFonts w:ascii="Calibri Light" w:eastAsia="Calibri" w:hAnsi="Calibri Light" w:cs="Calibri Light"/>
          <w:sz w:val="24"/>
          <w:szCs w:val="24"/>
        </w:rPr>
        <w:t>No existe ninguna declaración al tema en específico, aunado a la política del estado mexicano de no transparentar las resoluciones judiciales y no ir acorde a los estándares y recomendaciones de organismos internacionales sobre justicia abierta.</w:t>
      </w:r>
    </w:p>
    <w:p w:rsidR="00A45452" w:rsidRDefault="00A45452" w:rsidP="00A45452">
      <w:pPr>
        <w:spacing w:line="360" w:lineRule="auto"/>
        <w:jc w:val="both"/>
        <w:rPr>
          <w:rFonts w:ascii="Calibri Light" w:eastAsia="Calibri" w:hAnsi="Calibri Light" w:cs="Calibri Light"/>
          <w:sz w:val="24"/>
          <w:szCs w:val="24"/>
        </w:rPr>
      </w:pPr>
    </w:p>
    <w:p w:rsid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b/>
          <w:bCs/>
          <w:sz w:val="24"/>
          <w:szCs w:val="24"/>
        </w:rPr>
      </w:pPr>
      <w:r w:rsidRPr="00A45452">
        <w:rPr>
          <w:rFonts w:ascii="Calibri Light" w:eastAsia="Calibri" w:hAnsi="Calibri Light" w:cs="Calibri Light"/>
          <w:b/>
          <w:bCs/>
          <w:sz w:val="24"/>
          <w:szCs w:val="24"/>
        </w:rPr>
        <w:t xml:space="preserve">d. Instituciones Nacionales de Derechos Humanos u otras instituciones del Estado; </w:t>
      </w:r>
    </w:p>
    <w:p w:rsidR="00A45452" w:rsidRPr="00A45452" w:rsidRDefault="00A45452" w:rsidP="00A45452">
      <w:pPr>
        <w:spacing w:line="360" w:lineRule="auto"/>
        <w:jc w:val="both"/>
        <w:rPr>
          <w:rFonts w:ascii="Calibri Light" w:eastAsia="Calibri" w:hAnsi="Calibri Light" w:cs="Calibri Light"/>
          <w:sz w:val="24"/>
          <w:szCs w:val="24"/>
        </w:rPr>
      </w:pPr>
      <w:r w:rsidRPr="00A45452">
        <w:rPr>
          <w:rFonts w:ascii="Calibri Light" w:eastAsia="Calibri" w:hAnsi="Calibri Light" w:cs="Calibri Light"/>
          <w:sz w:val="24"/>
          <w:szCs w:val="24"/>
        </w:rPr>
        <w:t>Pronunciamientos de CNDH</w:t>
      </w:r>
      <w:r w:rsidRPr="00A45452">
        <w:rPr>
          <w:rFonts w:ascii="Calibri Light" w:eastAsia="Calibri" w:hAnsi="Calibri Light" w:cs="Calibri Light"/>
          <w:sz w:val="24"/>
          <w:szCs w:val="24"/>
          <w:vertAlign w:val="superscript"/>
        </w:rPr>
        <w:footnoteReference w:id="19"/>
      </w:r>
      <w:r w:rsidRPr="00A45452">
        <w:rPr>
          <w:rFonts w:ascii="Calibri Light" w:eastAsia="Calibri" w:hAnsi="Calibri Light" w:cs="Calibri Light"/>
          <w:sz w:val="24"/>
          <w:szCs w:val="24"/>
        </w:rPr>
        <w:t xml:space="preserve"> y del CONAPRED</w:t>
      </w:r>
      <w:r w:rsidRPr="00A45452">
        <w:rPr>
          <w:rFonts w:ascii="Calibri Light" w:eastAsia="Calibri" w:hAnsi="Calibri Light" w:cs="Calibri Light"/>
          <w:sz w:val="24"/>
          <w:szCs w:val="24"/>
          <w:vertAlign w:val="superscript"/>
        </w:rPr>
        <w:footnoteReference w:id="20"/>
      </w:r>
      <w:r w:rsidRPr="00A45452">
        <w:rPr>
          <w:rFonts w:ascii="Calibri Light" w:eastAsia="Calibri" w:hAnsi="Calibri Light" w:cs="Calibri Light"/>
          <w:sz w:val="24"/>
          <w:szCs w:val="24"/>
        </w:rPr>
        <w:t>.</w:t>
      </w:r>
    </w:p>
    <w:p w:rsidR="00A45452" w:rsidRPr="00A45452" w:rsidRDefault="00A45452" w:rsidP="00A45452">
      <w:pPr>
        <w:spacing w:line="360" w:lineRule="auto"/>
        <w:jc w:val="both"/>
        <w:rPr>
          <w:rFonts w:ascii="Calibri Light" w:eastAsia="Calibri" w:hAnsi="Calibri Light" w:cs="Calibri Light"/>
          <w:b/>
          <w:bCs/>
          <w:sz w:val="24"/>
          <w:szCs w:val="24"/>
        </w:rPr>
      </w:pPr>
      <w:r w:rsidRPr="00A45452">
        <w:rPr>
          <w:rFonts w:ascii="Calibri Light" w:eastAsia="Calibri" w:hAnsi="Calibri Light" w:cs="Calibri Light"/>
          <w:b/>
          <w:bCs/>
          <w:sz w:val="24"/>
          <w:szCs w:val="24"/>
        </w:rPr>
        <w:t xml:space="preserve">e. cualquier otra entidad u organización. </w:t>
      </w:r>
    </w:p>
    <w:p w:rsidR="00A45452" w:rsidRPr="00A45452" w:rsidRDefault="00A45452" w:rsidP="00A45452">
      <w:pPr>
        <w:spacing w:line="360" w:lineRule="auto"/>
        <w:jc w:val="both"/>
        <w:rPr>
          <w:rFonts w:ascii="Calibri Light" w:eastAsia="Calibri" w:hAnsi="Calibri Light" w:cs="Calibri Light"/>
          <w:sz w:val="24"/>
          <w:szCs w:val="24"/>
        </w:rPr>
      </w:pPr>
      <w:r w:rsidRPr="00A45452">
        <w:rPr>
          <w:rFonts w:ascii="Calibri Light" w:eastAsia="Calibri" w:hAnsi="Calibri Light" w:cs="Calibri Light"/>
          <w:sz w:val="24"/>
          <w:szCs w:val="24"/>
        </w:rPr>
        <w:t>No aplica.</w:t>
      </w: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sz w:val="24"/>
          <w:szCs w:val="24"/>
        </w:rPr>
      </w:pPr>
    </w:p>
    <w:p w:rsidR="00A45452" w:rsidRPr="00A45452" w:rsidRDefault="00A45452" w:rsidP="00A45452">
      <w:pPr>
        <w:spacing w:line="360" w:lineRule="auto"/>
        <w:jc w:val="both"/>
        <w:rPr>
          <w:rFonts w:ascii="Calibri Light" w:eastAsia="Calibri" w:hAnsi="Calibri Light" w:cs="Calibri Light"/>
          <w:b/>
          <w:bCs/>
          <w:sz w:val="24"/>
          <w:szCs w:val="24"/>
        </w:rPr>
      </w:pPr>
      <w:r w:rsidRPr="00A45452">
        <w:rPr>
          <w:rFonts w:ascii="Calibri Light" w:eastAsia="Calibri" w:hAnsi="Calibri Light" w:cs="Calibri Light"/>
          <w:b/>
          <w:bCs/>
          <w:sz w:val="24"/>
          <w:szCs w:val="24"/>
        </w:rPr>
        <w:t>FUENTES DE INFORMACIÓN:</w:t>
      </w:r>
    </w:p>
    <w:p w:rsidR="00A45452" w:rsidRPr="00A45452" w:rsidRDefault="00A45452" w:rsidP="00A45452">
      <w:pPr>
        <w:numPr>
          <w:ilvl w:val="0"/>
          <w:numId w:val="4"/>
        </w:numPr>
        <w:spacing w:line="240" w:lineRule="auto"/>
        <w:contextualSpacing/>
        <w:jc w:val="both"/>
        <w:rPr>
          <w:rFonts w:ascii="Calibri Light" w:eastAsia="Calibri" w:hAnsi="Calibri Light" w:cs="Calibri Light"/>
          <w:sz w:val="24"/>
          <w:szCs w:val="24"/>
        </w:rPr>
      </w:pPr>
      <w:r w:rsidRPr="00A45452">
        <w:rPr>
          <w:rFonts w:ascii="Calibri Light" w:eastAsia="Calibri" w:hAnsi="Calibri Light" w:cs="Calibri Light"/>
          <w:sz w:val="24"/>
          <w:szCs w:val="24"/>
        </w:rPr>
        <w:t xml:space="preserve">Asistencia Legal por los Derechos Humanos, </w:t>
      </w:r>
      <w:r w:rsidRPr="00A45452">
        <w:rPr>
          <w:rFonts w:ascii="Calibri Light" w:eastAsia="Calibri" w:hAnsi="Calibri Light" w:cs="Calibri Light"/>
          <w:i/>
          <w:iCs/>
          <w:sz w:val="24"/>
          <w:szCs w:val="24"/>
        </w:rPr>
        <w:t>Tortura en México: Elemento estructural del sistema de justicia</w:t>
      </w:r>
      <w:r w:rsidRPr="00A45452">
        <w:rPr>
          <w:rFonts w:ascii="Calibri Light" w:eastAsia="Calibri" w:hAnsi="Calibri Light" w:cs="Calibri Light"/>
          <w:sz w:val="24"/>
          <w:szCs w:val="24"/>
        </w:rPr>
        <w:t xml:space="preserve">, </w:t>
      </w:r>
      <w:proofErr w:type="spellStart"/>
      <w:r w:rsidRPr="00A45452">
        <w:rPr>
          <w:rFonts w:ascii="Calibri Light" w:eastAsia="Calibri" w:hAnsi="Calibri Light" w:cs="Calibri Light"/>
          <w:sz w:val="24"/>
          <w:szCs w:val="24"/>
        </w:rPr>
        <w:t>AsiLEGAL</w:t>
      </w:r>
      <w:proofErr w:type="spellEnd"/>
      <w:r w:rsidRPr="00A45452">
        <w:rPr>
          <w:rFonts w:ascii="Calibri Light" w:eastAsia="Calibri" w:hAnsi="Calibri Light" w:cs="Calibri Light"/>
          <w:sz w:val="24"/>
          <w:szCs w:val="24"/>
        </w:rPr>
        <w:t>-USAID, Ciudad de México, pág. 40, abril 2019.</w:t>
      </w:r>
    </w:p>
    <w:p w:rsidR="00A45452" w:rsidRPr="00A45452" w:rsidRDefault="00A45452" w:rsidP="00A45452">
      <w:pPr>
        <w:numPr>
          <w:ilvl w:val="0"/>
          <w:numId w:val="4"/>
        </w:numPr>
        <w:spacing w:line="240" w:lineRule="auto"/>
        <w:contextualSpacing/>
        <w:jc w:val="both"/>
        <w:rPr>
          <w:rFonts w:ascii="Calibri Light" w:eastAsia="Calibri" w:hAnsi="Calibri Light" w:cs="Calibri Light"/>
          <w:sz w:val="24"/>
          <w:szCs w:val="24"/>
        </w:rPr>
      </w:pPr>
      <w:r w:rsidRPr="00A45452">
        <w:rPr>
          <w:rFonts w:ascii="Calibri Light" w:eastAsia="Calibri" w:hAnsi="Calibri Light" w:cs="Calibri Light"/>
          <w:sz w:val="24"/>
          <w:szCs w:val="24"/>
        </w:rPr>
        <w:t xml:space="preserve">CIDH, </w:t>
      </w:r>
      <w:r w:rsidRPr="00A45452">
        <w:rPr>
          <w:rFonts w:ascii="Calibri Light" w:eastAsia="Calibri" w:hAnsi="Calibri Light" w:cs="Calibri Light"/>
          <w:i/>
          <w:iCs/>
          <w:sz w:val="24"/>
          <w:szCs w:val="24"/>
        </w:rPr>
        <w:t>Violencia contra las personas LGBT</w:t>
      </w:r>
      <w:r w:rsidRPr="00A45452">
        <w:rPr>
          <w:rFonts w:ascii="Calibri Light" w:eastAsia="Calibri" w:hAnsi="Calibri Light" w:cs="Calibri Light"/>
          <w:sz w:val="24"/>
          <w:szCs w:val="24"/>
        </w:rPr>
        <w:t>, OEA, noviembre de 2015.</w:t>
      </w:r>
    </w:p>
    <w:p w:rsidR="00A45452" w:rsidRPr="00A45452" w:rsidRDefault="00A45452" w:rsidP="00A45452">
      <w:pPr>
        <w:numPr>
          <w:ilvl w:val="0"/>
          <w:numId w:val="4"/>
        </w:numPr>
        <w:spacing w:line="240" w:lineRule="auto"/>
        <w:contextualSpacing/>
        <w:jc w:val="both"/>
        <w:rPr>
          <w:rFonts w:ascii="Calibri Light" w:eastAsia="Calibri" w:hAnsi="Calibri Light" w:cs="Calibri Light"/>
          <w:sz w:val="24"/>
          <w:szCs w:val="24"/>
        </w:rPr>
      </w:pPr>
      <w:r w:rsidRPr="00A45452">
        <w:rPr>
          <w:rFonts w:ascii="Calibri Light" w:eastAsia="Calibri" w:hAnsi="Calibri Light" w:cs="Calibri Light"/>
          <w:sz w:val="24"/>
          <w:szCs w:val="24"/>
        </w:rPr>
        <w:t>CNDH, Informe Especial sobre la situación de los derechos Humanos de las personas, Lesbianas, Gay, bisexuales, transexuales, trasvestis, transgénero e intersexuales en LGBT en México.</w:t>
      </w:r>
    </w:p>
    <w:p w:rsidR="00A45452" w:rsidRPr="00A45452" w:rsidRDefault="00A45452" w:rsidP="00A45452">
      <w:pPr>
        <w:numPr>
          <w:ilvl w:val="0"/>
          <w:numId w:val="4"/>
        </w:numPr>
        <w:spacing w:line="240" w:lineRule="auto"/>
        <w:contextualSpacing/>
        <w:jc w:val="both"/>
        <w:rPr>
          <w:rFonts w:ascii="Calibri Light" w:eastAsia="Calibri" w:hAnsi="Calibri Light" w:cs="Calibri Light"/>
          <w:sz w:val="24"/>
          <w:szCs w:val="24"/>
        </w:rPr>
      </w:pPr>
      <w:r w:rsidRPr="00A45452">
        <w:rPr>
          <w:rFonts w:ascii="Calibri Light" w:eastAsia="Calibri" w:hAnsi="Calibri Light" w:cs="Calibri Light"/>
          <w:sz w:val="24"/>
          <w:szCs w:val="24"/>
        </w:rPr>
        <w:t xml:space="preserve">Comunicado de CNDH contra los ECOSIG, comunicado de CONAPRED contra los ECOSIG, 2019. </w:t>
      </w:r>
    </w:p>
    <w:p w:rsidR="00A45452" w:rsidRPr="00A45452" w:rsidRDefault="00A45452" w:rsidP="00A45452">
      <w:pPr>
        <w:numPr>
          <w:ilvl w:val="0"/>
          <w:numId w:val="4"/>
        </w:numPr>
        <w:spacing w:line="240" w:lineRule="auto"/>
        <w:contextualSpacing/>
        <w:jc w:val="both"/>
        <w:rPr>
          <w:rFonts w:ascii="Calibri Light" w:eastAsia="Calibri" w:hAnsi="Calibri Light" w:cs="Calibri Light"/>
          <w:sz w:val="24"/>
          <w:szCs w:val="24"/>
        </w:rPr>
      </w:pPr>
      <w:r w:rsidRPr="00A45452">
        <w:rPr>
          <w:rFonts w:ascii="Calibri Light" w:eastAsia="Calibri" w:hAnsi="Calibri Light" w:cs="Calibri Light"/>
          <w:sz w:val="24"/>
          <w:szCs w:val="24"/>
        </w:rPr>
        <w:t>Constitución Política de los Estados Unidos Mexicanos, artículo 1 control de convencionalidad en materia de Derechos Humanos, 10 sobre igualdad y no discriminación, 12 sobre la integridad personal.</w:t>
      </w:r>
    </w:p>
    <w:p w:rsidR="00A45452" w:rsidRPr="00A45452" w:rsidRDefault="00A45452" w:rsidP="00A45452">
      <w:pPr>
        <w:numPr>
          <w:ilvl w:val="0"/>
          <w:numId w:val="4"/>
        </w:numPr>
        <w:spacing w:line="240" w:lineRule="auto"/>
        <w:contextualSpacing/>
        <w:jc w:val="both"/>
        <w:rPr>
          <w:rFonts w:ascii="Calibri Light" w:eastAsia="Calibri" w:hAnsi="Calibri Light" w:cs="Calibri Light"/>
          <w:sz w:val="24"/>
          <w:szCs w:val="24"/>
        </w:rPr>
      </w:pPr>
      <w:r w:rsidRPr="00A45452">
        <w:rPr>
          <w:rFonts w:ascii="Calibri Light" w:eastAsia="Calibri" w:hAnsi="Calibri Light" w:cs="Calibri Light"/>
          <w:sz w:val="24"/>
          <w:szCs w:val="24"/>
        </w:rPr>
        <w:t>Convención Americana de Derechos Humanos, artículo 4 sobre el derecho a la vida, artículo 5 sobre la integridad personal, derecho a la libertad personal 7, derecho de reunión artículo 15, artículo 24 igualdad ante la ley.</w:t>
      </w:r>
    </w:p>
    <w:p w:rsidR="00A45452" w:rsidRPr="00A45452" w:rsidRDefault="00A45452" w:rsidP="00A45452">
      <w:pPr>
        <w:numPr>
          <w:ilvl w:val="0"/>
          <w:numId w:val="4"/>
        </w:numPr>
        <w:spacing w:line="240" w:lineRule="auto"/>
        <w:contextualSpacing/>
        <w:jc w:val="both"/>
        <w:rPr>
          <w:rFonts w:ascii="Calibri Light" w:eastAsia="Calibri" w:hAnsi="Calibri Light" w:cs="Calibri Light"/>
          <w:sz w:val="24"/>
          <w:szCs w:val="24"/>
        </w:rPr>
      </w:pPr>
      <w:r w:rsidRPr="00A45452">
        <w:rPr>
          <w:rFonts w:ascii="Calibri Light" w:eastAsia="Calibri" w:hAnsi="Calibri Light" w:cs="Calibri Light"/>
          <w:sz w:val="24"/>
          <w:szCs w:val="24"/>
        </w:rPr>
        <w:t xml:space="preserve">Javier Risco, </w:t>
      </w:r>
      <w:r w:rsidRPr="00A45452">
        <w:rPr>
          <w:rFonts w:ascii="Calibri Light" w:eastAsia="Calibri" w:hAnsi="Calibri Light" w:cs="Calibri Light"/>
          <w:i/>
          <w:iCs/>
          <w:sz w:val="24"/>
          <w:szCs w:val="24"/>
        </w:rPr>
        <w:t>La nota dura: La terapia del Fraude</w:t>
      </w:r>
      <w:r w:rsidRPr="00A45452">
        <w:rPr>
          <w:rFonts w:ascii="Calibri Light" w:eastAsia="Calibri" w:hAnsi="Calibri Light" w:cs="Calibri Light"/>
          <w:sz w:val="24"/>
          <w:szCs w:val="24"/>
        </w:rPr>
        <w:t xml:space="preserve">, periódico: El financiero, abril 2019, consultado en: </w:t>
      </w:r>
      <w:hyperlink r:id="rId8" w:history="1">
        <w:r w:rsidRPr="00A45452">
          <w:rPr>
            <w:rFonts w:ascii="Calibri Light" w:eastAsia="Calibri" w:hAnsi="Calibri Light" w:cs="Calibri Light"/>
            <w:color w:val="0000FF"/>
            <w:sz w:val="24"/>
            <w:szCs w:val="24"/>
            <w:u w:val="single"/>
          </w:rPr>
          <w:t>https://elfinanciero.com.mx/opinion/javier-risco/la-terapia-del-fraude</w:t>
        </w:r>
      </w:hyperlink>
    </w:p>
    <w:p w:rsidR="00A45452" w:rsidRPr="00A45452" w:rsidRDefault="00A45452" w:rsidP="00A45452">
      <w:pPr>
        <w:numPr>
          <w:ilvl w:val="0"/>
          <w:numId w:val="4"/>
        </w:numPr>
        <w:spacing w:line="240" w:lineRule="auto"/>
        <w:contextualSpacing/>
        <w:jc w:val="both"/>
        <w:rPr>
          <w:rFonts w:ascii="Calibri Light" w:eastAsia="Calibri" w:hAnsi="Calibri Light" w:cs="Calibri Light"/>
          <w:sz w:val="24"/>
          <w:szCs w:val="24"/>
        </w:rPr>
      </w:pPr>
      <w:r w:rsidRPr="00A45452">
        <w:rPr>
          <w:rFonts w:ascii="Calibri Light" w:eastAsia="Calibri" w:hAnsi="Calibri Light" w:cs="Calibri Light"/>
          <w:sz w:val="24"/>
          <w:szCs w:val="24"/>
        </w:rPr>
        <w:t>Pacto Internacional de Derechos Civiles y Políticos artículo 3 sobre el derecho a la igualdad entre hombres y mujeres en el disfrute de sus derechos civiles y políticos, prohibición de tratos inhumanos o degradantes 7, derechos de los niños, niñas y adolescentes (en adelante NNA) 24.</w:t>
      </w:r>
    </w:p>
    <w:p w:rsidR="00A45452" w:rsidRPr="00A45452" w:rsidRDefault="00A45452" w:rsidP="00A45452">
      <w:pPr>
        <w:numPr>
          <w:ilvl w:val="0"/>
          <w:numId w:val="4"/>
        </w:numPr>
        <w:spacing w:line="240" w:lineRule="auto"/>
        <w:contextualSpacing/>
        <w:jc w:val="both"/>
        <w:rPr>
          <w:rFonts w:ascii="Calibri Light" w:eastAsia="Calibri" w:hAnsi="Calibri Light" w:cs="Calibri Light"/>
          <w:sz w:val="24"/>
          <w:szCs w:val="24"/>
        </w:rPr>
      </w:pPr>
      <w:r w:rsidRPr="00A45452">
        <w:rPr>
          <w:rFonts w:ascii="Calibri Light" w:eastAsia="Calibri" w:hAnsi="Calibri Light" w:cs="Calibri Light"/>
          <w:sz w:val="24"/>
          <w:szCs w:val="24"/>
        </w:rPr>
        <w:t>Principios de Yogyakarta 2 sobre el derecho a la igualdad y no discriminación, el derecho a la vida principio 4, el derecho a la seguridad personal principio 5, derecho de toda persona a no ser sometida a torturas ni a penas o tratos crueles, inhumanos o degradantes</w:t>
      </w:r>
      <w:r>
        <w:rPr>
          <w:rFonts w:ascii="Calibri Light" w:eastAsia="Calibri" w:hAnsi="Calibri Light" w:cs="Calibri Light"/>
          <w:sz w:val="24"/>
          <w:szCs w:val="24"/>
        </w:rPr>
        <w:t xml:space="preserve">, </w:t>
      </w:r>
      <w:r w:rsidRPr="00A45452">
        <w:rPr>
          <w:rFonts w:ascii="Calibri Light" w:eastAsia="Calibri" w:hAnsi="Calibri Light" w:cs="Calibri Light"/>
          <w:sz w:val="24"/>
          <w:szCs w:val="24"/>
        </w:rPr>
        <w:t>principio 10, principio 17 sobre el derecho a la salud, principio 18 protección contra los abusos médicos</w:t>
      </w:r>
      <w:r>
        <w:rPr>
          <w:rFonts w:ascii="Calibri Light" w:eastAsia="Calibri" w:hAnsi="Calibri Light" w:cs="Calibri Light"/>
          <w:sz w:val="24"/>
          <w:szCs w:val="24"/>
        </w:rPr>
        <w:t>.</w:t>
      </w:r>
    </w:p>
    <w:p w:rsidR="00A45452" w:rsidRDefault="00A45452" w:rsidP="00A45452">
      <w:pPr>
        <w:numPr>
          <w:ilvl w:val="0"/>
          <w:numId w:val="4"/>
        </w:numPr>
        <w:spacing w:line="240" w:lineRule="auto"/>
        <w:contextualSpacing/>
        <w:jc w:val="both"/>
        <w:rPr>
          <w:rFonts w:ascii="Calibri Light" w:eastAsia="Calibri" w:hAnsi="Calibri Light" w:cs="Calibri Light"/>
          <w:sz w:val="24"/>
          <w:szCs w:val="24"/>
        </w:rPr>
      </w:pPr>
      <w:r w:rsidRPr="00A45452">
        <w:rPr>
          <w:rFonts w:ascii="Calibri Light" w:eastAsia="Calibri" w:hAnsi="Calibri Light" w:cs="Calibri Light"/>
          <w:sz w:val="24"/>
          <w:szCs w:val="24"/>
        </w:rPr>
        <w:t xml:space="preserve">Secretaría de Salud de México, 2017. Protocolo para el Acceso sin Discriminación a la Prestación de Servicios de Atención Médica de las personas Lésbico, Gay, Bisexual, Transexual, Travesti, Transgénero e Intersexual y Guías de Atención Específicas. Recuperado de https://www.gob.mx/cms/uploads/attachment/file/233408/210617Protocolo_Comunidad_LGBTTI_DT_Ver si_n_III_17_3.pdf consultado el 18 de febrero de 2019. </w:t>
      </w:r>
    </w:p>
    <w:p w:rsidR="00A45452" w:rsidRDefault="00A45452" w:rsidP="00A45452">
      <w:pPr>
        <w:spacing w:line="240" w:lineRule="auto"/>
        <w:contextualSpacing/>
        <w:jc w:val="both"/>
        <w:rPr>
          <w:rFonts w:ascii="Calibri Light" w:eastAsia="Calibri" w:hAnsi="Calibri Light" w:cs="Calibri Light"/>
          <w:sz w:val="24"/>
          <w:szCs w:val="24"/>
        </w:rPr>
      </w:pPr>
    </w:p>
    <w:p w:rsidR="00A45452" w:rsidRDefault="00A45452" w:rsidP="00A45452">
      <w:pPr>
        <w:spacing w:line="240" w:lineRule="auto"/>
        <w:contextualSpacing/>
        <w:jc w:val="both"/>
        <w:rPr>
          <w:rFonts w:ascii="Calibri Light" w:eastAsia="Calibri" w:hAnsi="Calibri Light" w:cs="Calibri Light"/>
          <w:sz w:val="24"/>
          <w:szCs w:val="24"/>
        </w:rPr>
      </w:pPr>
    </w:p>
    <w:p w:rsidR="00A45452" w:rsidRDefault="00A45452" w:rsidP="00A45452">
      <w:pPr>
        <w:spacing w:line="240" w:lineRule="auto"/>
        <w:contextualSpacing/>
        <w:jc w:val="both"/>
        <w:rPr>
          <w:rFonts w:ascii="Calibri Light" w:eastAsia="Calibri" w:hAnsi="Calibri Light" w:cs="Calibri Light"/>
          <w:sz w:val="24"/>
          <w:szCs w:val="24"/>
        </w:rPr>
      </w:pPr>
    </w:p>
    <w:p w:rsidR="00A45452" w:rsidRDefault="00A45452" w:rsidP="00A45452">
      <w:pPr>
        <w:spacing w:line="240" w:lineRule="auto"/>
        <w:contextualSpacing/>
        <w:jc w:val="both"/>
        <w:rPr>
          <w:rFonts w:ascii="Calibri Light" w:eastAsia="Calibri" w:hAnsi="Calibri Light" w:cs="Calibri Light"/>
          <w:sz w:val="24"/>
          <w:szCs w:val="24"/>
        </w:rPr>
      </w:pPr>
    </w:p>
    <w:p w:rsidR="00A45452" w:rsidRDefault="00A45452" w:rsidP="00A45452">
      <w:pPr>
        <w:spacing w:line="240" w:lineRule="auto"/>
        <w:contextualSpacing/>
        <w:jc w:val="both"/>
        <w:rPr>
          <w:rFonts w:ascii="Calibri Light" w:eastAsia="Calibri" w:hAnsi="Calibri Light" w:cs="Calibri Light"/>
          <w:sz w:val="24"/>
          <w:szCs w:val="24"/>
        </w:rPr>
      </w:pPr>
    </w:p>
    <w:p w:rsidR="00A45452" w:rsidRDefault="00A45452" w:rsidP="00A45452">
      <w:pPr>
        <w:spacing w:line="240" w:lineRule="auto"/>
        <w:contextualSpacing/>
        <w:jc w:val="both"/>
        <w:rPr>
          <w:rFonts w:ascii="Calibri Light" w:eastAsia="Calibri" w:hAnsi="Calibri Light" w:cs="Calibri Light"/>
          <w:sz w:val="24"/>
          <w:szCs w:val="24"/>
        </w:rPr>
      </w:pPr>
      <w:bookmarkStart w:id="2" w:name="_GoBack"/>
      <w:bookmarkEnd w:id="2"/>
    </w:p>
    <w:p w:rsidR="00A45452" w:rsidRDefault="00A45452" w:rsidP="00A45452">
      <w:pPr>
        <w:spacing w:line="240" w:lineRule="auto"/>
        <w:contextualSpacing/>
        <w:jc w:val="both"/>
        <w:rPr>
          <w:rFonts w:ascii="Calibri Light" w:eastAsia="Calibri" w:hAnsi="Calibri Light" w:cs="Calibri Light"/>
          <w:sz w:val="24"/>
          <w:szCs w:val="24"/>
        </w:rPr>
      </w:pPr>
    </w:p>
    <w:p w:rsidR="00A45452" w:rsidRDefault="00A45452" w:rsidP="00A45452">
      <w:pPr>
        <w:spacing w:line="240" w:lineRule="auto"/>
        <w:contextualSpacing/>
        <w:jc w:val="both"/>
        <w:rPr>
          <w:rFonts w:ascii="Calibri Light" w:eastAsia="Calibri" w:hAnsi="Calibri Light" w:cs="Calibri Light"/>
          <w:sz w:val="24"/>
          <w:szCs w:val="24"/>
        </w:rPr>
      </w:pPr>
    </w:p>
    <w:p w:rsidR="00A45452" w:rsidRPr="00A45452" w:rsidRDefault="00A45452" w:rsidP="00A45452">
      <w:pPr>
        <w:spacing w:line="240" w:lineRule="auto"/>
        <w:contextualSpacing/>
        <w:jc w:val="both"/>
        <w:rPr>
          <w:rFonts w:ascii="Calibri Light" w:eastAsia="Calibri" w:hAnsi="Calibri Light" w:cs="Calibri Light"/>
          <w:sz w:val="24"/>
          <w:szCs w:val="24"/>
        </w:rPr>
      </w:pPr>
    </w:p>
    <w:p w:rsidR="00A45452" w:rsidRPr="00A45452" w:rsidRDefault="00A45452" w:rsidP="00A45452">
      <w:pPr>
        <w:numPr>
          <w:ilvl w:val="0"/>
          <w:numId w:val="4"/>
        </w:numPr>
        <w:spacing w:line="240" w:lineRule="auto"/>
        <w:contextualSpacing/>
        <w:jc w:val="both"/>
        <w:rPr>
          <w:rFonts w:ascii="Calibri Light" w:eastAsia="Calibri" w:hAnsi="Calibri Light" w:cs="Calibri Light"/>
          <w:sz w:val="24"/>
          <w:szCs w:val="24"/>
        </w:rPr>
      </w:pPr>
      <w:r w:rsidRPr="00A45452">
        <w:rPr>
          <w:rFonts w:ascii="Calibri Light" w:eastAsia="Calibri" w:hAnsi="Calibri Light" w:cs="Calibri Light"/>
          <w:sz w:val="24"/>
          <w:szCs w:val="24"/>
        </w:rPr>
        <w:t xml:space="preserve">Sistema de Información Legislativa de la Secretaría de Gobernación, Iniciativa de las senadoras Minerva Citlali Hernández Mora (et al), proyecto de decreto que adiciona un artículo 149 </w:t>
      </w:r>
      <w:proofErr w:type="spellStart"/>
      <w:r w:rsidRPr="00A45452">
        <w:rPr>
          <w:rFonts w:ascii="Calibri Light" w:eastAsia="Calibri" w:hAnsi="Calibri Light" w:cs="Calibri Light"/>
          <w:sz w:val="24"/>
          <w:szCs w:val="24"/>
        </w:rPr>
        <w:t>quter</w:t>
      </w:r>
      <w:proofErr w:type="spellEnd"/>
      <w:r w:rsidRPr="00A45452">
        <w:rPr>
          <w:rFonts w:ascii="Calibri Light" w:eastAsia="Calibri" w:hAnsi="Calibri Light" w:cs="Calibri Light"/>
          <w:sz w:val="24"/>
          <w:szCs w:val="24"/>
        </w:rPr>
        <w:t xml:space="preserve"> al código penal federal y un artículo 465 bis a la ley general de salud, SEGOB, octubre de 2018. </w:t>
      </w:r>
    </w:p>
    <w:p w:rsidR="00A45452" w:rsidRDefault="00A45452" w:rsidP="00A45452">
      <w:pPr>
        <w:spacing w:line="240" w:lineRule="auto"/>
        <w:jc w:val="both"/>
        <w:rPr>
          <w:rFonts w:ascii="Calibri Light" w:eastAsia="Calibri" w:hAnsi="Calibri Light" w:cs="Calibri Light"/>
          <w:sz w:val="24"/>
          <w:szCs w:val="24"/>
        </w:rPr>
      </w:pPr>
    </w:p>
    <w:p w:rsidR="00A45452" w:rsidRPr="00A45452" w:rsidRDefault="00A45452" w:rsidP="00A45452">
      <w:pPr>
        <w:spacing w:line="240" w:lineRule="auto"/>
        <w:jc w:val="both"/>
        <w:rPr>
          <w:rFonts w:ascii="Calibri Light" w:eastAsia="Calibri" w:hAnsi="Calibri Light" w:cs="Calibri Light"/>
          <w:sz w:val="24"/>
          <w:szCs w:val="24"/>
        </w:rPr>
      </w:pPr>
      <w:r w:rsidRPr="00A45452">
        <w:rPr>
          <w:rFonts w:ascii="Calibri Light" w:eastAsia="Calibri" w:hAnsi="Calibri Light" w:cs="Calibri Light"/>
          <w:sz w:val="24"/>
          <w:szCs w:val="24"/>
        </w:rPr>
        <w:t>DIRECCIONES WEB:</w:t>
      </w:r>
    </w:p>
    <w:p w:rsidR="00A45452" w:rsidRPr="00A45452" w:rsidRDefault="00A45452" w:rsidP="00A45452">
      <w:pPr>
        <w:numPr>
          <w:ilvl w:val="0"/>
          <w:numId w:val="5"/>
        </w:numPr>
        <w:spacing w:line="240" w:lineRule="auto"/>
        <w:contextualSpacing/>
        <w:jc w:val="both"/>
        <w:rPr>
          <w:rFonts w:ascii="Calibri Light" w:eastAsia="Calibri" w:hAnsi="Calibri Light" w:cs="Calibri Light"/>
          <w:sz w:val="24"/>
          <w:szCs w:val="24"/>
        </w:rPr>
      </w:pPr>
      <w:hyperlink r:id="rId9" w:history="1">
        <w:r w:rsidRPr="00A45452">
          <w:rPr>
            <w:rFonts w:ascii="Calibri Light" w:eastAsia="Calibri" w:hAnsi="Calibri Light" w:cs="Calibri Light"/>
            <w:color w:val="0000FF"/>
            <w:sz w:val="24"/>
            <w:szCs w:val="24"/>
            <w:u w:val="single"/>
          </w:rPr>
          <w:t>http://yaajmexico.org/</w:t>
        </w:r>
      </w:hyperlink>
      <w:r w:rsidRPr="00A45452">
        <w:rPr>
          <w:rFonts w:ascii="Calibri Light" w:eastAsia="Calibri" w:hAnsi="Calibri Light" w:cs="Calibri Light"/>
          <w:sz w:val="24"/>
          <w:szCs w:val="24"/>
        </w:rPr>
        <w:t xml:space="preserve"> </w:t>
      </w:r>
    </w:p>
    <w:p w:rsidR="00A45452" w:rsidRPr="00A45452" w:rsidRDefault="00A45452" w:rsidP="00A45452">
      <w:pPr>
        <w:numPr>
          <w:ilvl w:val="0"/>
          <w:numId w:val="5"/>
        </w:numPr>
        <w:spacing w:line="240" w:lineRule="auto"/>
        <w:contextualSpacing/>
        <w:jc w:val="both"/>
        <w:rPr>
          <w:rFonts w:ascii="Calibri Light" w:eastAsia="Calibri" w:hAnsi="Calibri Light" w:cs="Calibri Light"/>
          <w:sz w:val="24"/>
          <w:szCs w:val="24"/>
        </w:rPr>
      </w:pPr>
      <w:hyperlink r:id="rId10" w:history="1">
        <w:r w:rsidRPr="00A45452">
          <w:rPr>
            <w:rFonts w:ascii="Calibri Light" w:eastAsia="Calibri" w:hAnsi="Calibri Light" w:cs="Calibri Light"/>
            <w:color w:val="0000FF"/>
            <w:sz w:val="24"/>
            <w:szCs w:val="24"/>
            <w:u w:val="single"/>
          </w:rPr>
          <w:t>https://congresoweb.congresojal.gob.mx/infolej/agendakioskos/documentos/sistemaintegral/estados/103211.pdf</w:t>
        </w:r>
      </w:hyperlink>
      <w:r w:rsidRPr="00A45452">
        <w:rPr>
          <w:rFonts w:ascii="Calibri Light" w:eastAsia="Calibri" w:hAnsi="Calibri Light" w:cs="Calibri Light"/>
          <w:sz w:val="24"/>
          <w:szCs w:val="24"/>
        </w:rPr>
        <w:t xml:space="preserve"> </w:t>
      </w:r>
      <w:hyperlink r:id="rId11" w:history="1">
        <w:r w:rsidRPr="00A45452">
          <w:rPr>
            <w:rFonts w:ascii="Calibri Light" w:eastAsia="Calibri" w:hAnsi="Calibri Light" w:cs="Calibri Light"/>
            <w:color w:val="0000FF"/>
            <w:sz w:val="24"/>
            <w:szCs w:val="24"/>
            <w:u w:val="single"/>
          </w:rPr>
          <w:t>https://congresoweb.congresojal.gob.mx/infolej/agendakioskos/documentos/sistemaintegral/estados/103211.pdf</w:t>
        </w:r>
      </w:hyperlink>
    </w:p>
    <w:p w:rsidR="00A45452" w:rsidRPr="00A45452" w:rsidRDefault="00A45452" w:rsidP="00A45452">
      <w:pPr>
        <w:numPr>
          <w:ilvl w:val="0"/>
          <w:numId w:val="5"/>
        </w:numPr>
        <w:spacing w:line="240" w:lineRule="auto"/>
        <w:contextualSpacing/>
        <w:jc w:val="both"/>
        <w:rPr>
          <w:rFonts w:ascii="Calibri Light" w:eastAsia="Calibri" w:hAnsi="Calibri Light" w:cs="Calibri Light"/>
          <w:sz w:val="24"/>
          <w:szCs w:val="24"/>
        </w:rPr>
      </w:pPr>
      <w:hyperlink r:id="rId12" w:history="1">
        <w:r w:rsidRPr="00A45452">
          <w:rPr>
            <w:rFonts w:ascii="Calibri Light" w:eastAsia="Calibri" w:hAnsi="Calibri Light" w:cs="Calibri Light"/>
            <w:color w:val="0000FF"/>
            <w:sz w:val="24"/>
            <w:szCs w:val="24"/>
            <w:u w:val="single"/>
          </w:rPr>
          <w:t>https://infosen.senado.gob.mx/sgsp/gaceta/64/1/2018-10-04-1/assets/documentos/Inic_Sen_Citlalli_Hdz_Orientacion_Sexual_041018.pdf</w:t>
        </w:r>
      </w:hyperlink>
    </w:p>
    <w:p w:rsidR="00A45452" w:rsidRPr="00A45452" w:rsidRDefault="00A45452" w:rsidP="00A45452">
      <w:pPr>
        <w:numPr>
          <w:ilvl w:val="0"/>
          <w:numId w:val="5"/>
        </w:numPr>
        <w:spacing w:line="240" w:lineRule="auto"/>
        <w:contextualSpacing/>
        <w:jc w:val="both"/>
        <w:rPr>
          <w:rFonts w:ascii="Calibri Light" w:eastAsia="Calibri" w:hAnsi="Calibri Light" w:cs="Calibri Light"/>
          <w:sz w:val="24"/>
          <w:szCs w:val="24"/>
        </w:rPr>
      </w:pPr>
      <w:hyperlink r:id="rId13" w:history="1">
        <w:r w:rsidRPr="00A45452">
          <w:rPr>
            <w:rFonts w:ascii="Calibri Light" w:eastAsia="Calibri" w:hAnsi="Calibri Light" w:cs="Calibri Light"/>
            <w:color w:val="0000FF"/>
            <w:sz w:val="24"/>
            <w:szCs w:val="24"/>
            <w:u w:val="single"/>
          </w:rPr>
          <w:t>http://yaajmexico.org/tag/conversion/</w:t>
        </w:r>
      </w:hyperlink>
    </w:p>
    <w:p w:rsidR="00A45452" w:rsidRPr="00A45452" w:rsidRDefault="00A45452" w:rsidP="00A45452">
      <w:pPr>
        <w:numPr>
          <w:ilvl w:val="0"/>
          <w:numId w:val="5"/>
        </w:numPr>
        <w:spacing w:line="240" w:lineRule="auto"/>
        <w:contextualSpacing/>
        <w:jc w:val="both"/>
        <w:rPr>
          <w:rFonts w:ascii="Calibri Light" w:eastAsia="Calibri" w:hAnsi="Calibri Light" w:cs="Calibri Light"/>
          <w:sz w:val="24"/>
          <w:szCs w:val="24"/>
        </w:rPr>
      </w:pPr>
      <w:hyperlink r:id="rId14" w:history="1">
        <w:r w:rsidRPr="00A45452">
          <w:rPr>
            <w:rFonts w:ascii="Calibri Light" w:eastAsia="Calibri" w:hAnsi="Calibri Light" w:cs="Calibri Light"/>
            <w:color w:val="0000FF"/>
            <w:sz w:val="24"/>
            <w:szCs w:val="24"/>
            <w:u w:val="single"/>
          </w:rPr>
          <w:t>https://www.conapred.org.mx/index.php?contenido=boletin&amp;id=1101&amp;id_opcion=&amp;op=213</w:t>
        </w:r>
      </w:hyperlink>
    </w:p>
    <w:p w:rsidR="00A45452" w:rsidRPr="00A45452" w:rsidRDefault="00A45452" w:rsidP="00A45452">
      <w:pPr>
        <w:spacing w:line="360" w:lineRule="auto"/>
        <w:jc w:val="both"/>
        <w:rPr>
          <w:rFonts w:ascii="Calibri Light" w:eastAsia="Calibri" w:hAnsi="Calibri Light" w:cs="Calibri Light"/>
          <w:sz w:val="24"/>
          <w:szCs w:val="24"/>
        </w:rPr>
      </w:pPr>
    </w:p>
    <w:p w:rsidR="003562DC" w:rsidRPr="00B54C89" w:rsidRDefault="003562DC" w:rsidP="00B54C89">
      <w:pPr>
        <w:rPr>
          <w:rFonts w:ascii="Garamond" w:hAnsi="Garamond"/>
          <w:sz w:val="20"/>
        </w:rPr>
      </w:pPr>
    </w:p>
    <w:sectPr w:rsidR="003562DC" w:rsidRPr="00B54C89" w:rsidSect="00306E9E">
      <w:headerReference w:type="default" r:id="rId15"/>
      <w:footerReference w:type="default" r:id="rId16"/>
      <w:pgSz w:w="12240" w:h="15840"/>
      <w:pgMar w:top="1417" w:right="1701" w:bottom="1417" w:left="1701"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BE6" w:rsidRDefault="00390BE6" w:rsidP="00BC7FDD">
      <w:pPr>
        <w:spacing w:after="0" w:line="240" w:lineRule="auto"/>
      </w:pPr>
      <w:r>
        <w:separator/>
      </w:r>
    </w:p>
  </w:endnote>
  <w:endnote w:type="continuationSeparator" w:id="0">
    <w:p w:rsidR="00390BE6" w:rsidRDefault="00390BE6" w:rsidP="00BC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DA3" w:rsidRPr="00306E9E" w:rsidRDefault="00306E9E" w:rsidP="00306E9E">
    <w:pPr>
      <w:pStyle w:val="Piedepgina"/>
      <w:spacing w:line="288" w:lineRule="auto"/>
      <w:jc w:val="center"/>
      <w:rPr>
        <w:rFonts w:ascii="Arial" w:hAnsi="Arial" w:cs="Arial"/>
        <w:b/>
      </w:rPr>
    </w:pPr>
    <w:r w:rsidRPr="00306E9E">
      <w:rPr>
        <w:rFonts w:ascii="Arial" w:hAnsi="Arial" w:cs="Arial"/>
        <w:b/>
      </w:rPr>
      <w:t>As</w:t>
    </w:r>
    <w:r w:rsidR="00A37DA3" w:rsidRPr="00306E9E">
      <w:rPr>
        <w:rFonts w:ascii="Arial" w:hAnsi="Arial" w:cs="Arial"/>
        <w:b/>
      </w:rPr>
      <w:t>istencia Legal por los Derechos Humanos, A.C.</w:t>
    </w:r>
    <w:r w:rsidRPr="00306E9E">
      <w:rPr>
        <w:rFonts w:ascii="Arial" w:hAnsi="Arial" w:cs="Arial"/>
        <w:b/>
      </w:rPr>
      <w:t xml:space="preserve"> ASILEGAL</w:t>
    </w:r>
  </w:p>
  <w:p w:rsidR="00A37DA3" w:rsidRPr="00306E9E" w:rsidRDefault="00A37DA3" w:rsidP="00306E9E">
    <w:pPr>
      <w:pStyle w:val="Piedepgina"/>
      <w:spacing w:line="288" w:lineRule="auto"/>
      <w:jc w:val="center"/>
      <w:rPr>
        <w:rFonts w:ascii="Arial" w:hAnsi="Arial" w:cs="Arial"/>
        <w:sz w:val="19"/>
        <w:szCs w:val="19"/>
      </w:rPr>
    </w:pPr>
    <w:r w:rsidRPr="00306E9E">
      <w:rPr>
        <w:rFonts w:ascii="Arial" w:hAnsi="Arial" w:cs="Arial"/>
        <w:sz w:val="19"/>
        <w:szCs w:val="19"/>
      </w:rPr>
      <w:t>Pitágoras 920, Del Valle Centro, Benito Juárez, 03100, Ciudad de México.</w:t>
    </w:r>
    <w:r w:rsidR="00306E9E" w:rsidRPr="00306E9E">
      <w:rPr>
        <w:rFonts w:ascii="Arial" w:hAnsi="Arial" w:cs="Arial"/>
        <w:sz w:val="19"/>
        <w:szCs w:val="19"/>
      </w:rPr>
      <w:br/>
      <w:t>5687 8759 | 5639 6755 | 5523 2690 | 5536 4642</w:t>
    </w:r>
  </w:p>
  <w:p w:rsidR="00951139" w:rsidRPr="00306E9E" w:rsidRDefault="00390BE6" w:rsidP="00306E9E">
    <w:pPr>
      <w:pStyle w:val="Piedepgina"/>
      <w:spacing w:line="288" w:lineRule="auto"/>
      <w:jc w:val="center"/>
      <w:rPr>
        <w:rFonts w:ascii="Arial" w:hAnsi="Arial" w:cs="Arial"/>
        <w:sz w:val="19"/>
        <w:szCs w:val="19"/>
      </w:rPr>
    </w:pPr>
    <w:hyperlink r:id="rId1" w:history="1">
      <w:r w:rsidR="00951139" w:rsidRPr="00306E9E">
        <w:rPr>
          <w:rStyle w:val="Hipervnculo"/>
          <w:rFonts w:ascii="Arial" w:hAnsi="Arial" w:cs="Arial"/>
          <w:sz w:val="19"/>
          <w:szCs w:val="19"/>
        </w:rPr>
        <w:t>www.asilegal.org.mx</w:t>
      </w:r>
    </w:hyperlink>
  </w:p>
  <w:p w:rsidR="00BC7FDD" w:rsidRPr="00A37DA3" w:rsidRDefault="00BC7FDD" w:rsidP="00A37D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BE6" w:rsidRDefault="00390BE6" w:rsidP="00BC7FDD">
      <w:pPr>
        <w:spacing w:after="0" w:line="240" w:lineRule="auto"/>
      </w:pPr>
      <w:r>
        <w:separator/>
      </w:r>
    </w:p>
  </w:footnote>
  <w:footnote w:type="continuationSeparator" w:id="0">
    <w:p w:rsidR="00390BE6" w:rsidRDefault="00390BE6" w:rsidP="00BC7FDD">
      <w:pPr>
        <w:spacing w:after="0" w:line="240" w:lineRule="auto"/>
      </w:pPr>
      <w:r>
        <w:continuationSeparator/>
      </w:r>
    </w:p>
  </w:footnote>
  <w:footnote w:id="1">
    <w:p w:rsidR="00A45452" w:rsidRPr="00A45452" w:rsidRDefault="00A45452" w:rsidP="00A45452">
      <w:pPr>
        <w:pStyle w:val="Textonotapie1"/>
        <w:spacing w:line="276" w:lineRule="auto"/>
        <w:jc w:val="both"/>
        <w:rPr>
          <w:rFonts w:ascii="Calibri Light" w:hAnsi="Calibri Light" w:cs="Calibri Light"/>
        </w:rPr>
      </w:pPr>
      <w:bookmarkStart w:id="0" w:name="_Hlk27750051"/>
      <w:bookmarkStart w:id="1" w:name="_Hlk27750052"/>
      <w:r w:rsidRPr="00A45452">
        <w:rPr>
          <w:rStyle w:val="Refdenotaalpie"/>
          <w:rFonts w:ascii="Calibri Light" w:hAnsi="Calibri Light" w:cs="Calibri Light"/>
        </w:rPr>
        <w:footnoteRef/>
      </w:r>
      <w:r w:rsidRPr="00A45452">
        <w:rPr>
          <w:rFonts w:ascii="Calibri Light" w:hAnsi="Calibri Light" w:cs="Calibri Light"/>
        </w:rPr>
        <w:t xml:space="preserve"> Javier Risco, </w:t>
      </w:r>
      <w:r w:rsidRPr="00A45452">
        <w:rPr>
          <w:rFonts w:ascii="Calibri Light" w:hAnsi="Calibri Light" w:cs="Calibri Light"/>
          <w:i/>
          <w:iCs/>
        </w:rPr>
        <w:t>La nota dura: La terapia del Fraude</w:t>
      </w:r>
      <w:r w:rsidRPr="00A45452">
        <w:rPr>
          <w:rFonts w:ascii="Calibri Light" w:hAnsi="Calibri Light" w:cs="Calibri Light"/>
        </w:rPr>
        <w:t xml:space="preserve">, periódico: El financiero, abril 2019, consultado en: </w:t>
      </w:r>
      <w:hyperlink r:id="rId1" w:history="1">
        <w:r w:rsidRPr="00A45452">
          <w:rPr>
            <w:rFonts w:ascii="Calibri Light" w:hAnsi="Calibri Light" w:cs="Calibri Light"/>
            <w:color w:val="0000FF"/>
            <w:u w:val="single"/>
          </w:rPr>
          <w:t>https://elfinanciero.com.mx/opinion/javier-risco/la-terapia-del-fraude</w:t>
        </w:r>
      </w:hyperlink>
    </w:p>
  </w:footnote>
  <w:footnote w:id="2">
    <w:p w:rsidR="00A45452" w:rsidRPr="00A45452" w:rsidRDefault="00A45452" w:rsidP="00A45452">
      <w:pPr>
        <w:pStyle w:val="Textonotapie1"/>
        <w:spacing w:line="276" w:lineRule="auto"/>
        <w:jc w:val="both"/>
        <w:rPr>
          <w:rFonts w:ascii="Calibri Light" w:hAnsi="Calibri Light" w:cs="Calibri Light"/>
        </w:rPr>
      </w:pPr>
      <w:r w:rsidRPr="00A45452">
        <w:rPr>
          <w:rStyle w:val="Refdenotaalpie"/>
          <w:rFonts w:ascii="Calibri Light" w:hAnsi="Calibri Light" w:cs="Calibri Light"/>
        </w:rPr>
        <w:footnoteRef/>
      </w:r>
      <w:r w:rsidRPr="00A45452">
        <w:rPr>
          <w:rFonts w:ascii="Calibri Light" w:hAnsi="Calibri Light" w:cs="Calibri Light"/>
        </w:rPr>
        <w:t xml:space="preserve"> Asistencia Legal por los Derechos Humanos, </w:t>
      </w:r>
      <w:r w:rsidRPr="00A45452">
        <w:rPr>
          <w:rFonts w:ascii="Calibri Light" w:hAnsi="Calibri Light" w:cs="Calibri Light"/>
          <w:i/>
          <w:iCs/>
        </w:rPr>
        <w:t>Tortura en México: Elemento estructural del sistema de justicia</w:t>
      </w:r>
      <w:r w:rsidRPr="00A45452">
        <w:rPr>
          <w:rFonts w:ascii="Calibri Light" w:hAnsi="Calibri Light" w:cs="Calibri Light"/>
        </w:rPr>
        <w:t xml:space="preserve">, </w:t>
      </w:r>
      <w:proofErr w:type="spellStart"/>
      <w:r w:rsidRPr="00A45452">
        <w:rPr>
          <w:rFonts w:ascii="Calibri Light" w:hAnsi="Calibri Light" w:cs="Calibri Light"/>
        </w:rPr>
        <w:t>AsiLEGAL</w:t>
      </w:r>
      <w:proofErr w:type="spellEnd"/>
      <w:r w:rsidRPr="00A45452">
        <w:rPr>
          <w:rFonts w:ascii="Calibri Light" w:hAnsi="Calibri Light" w:cs="Calibri Light"/>
        </w:rPr>
        <w:t>-USAID, Ciudad de México, pág. 40, abril 2019.</w:t>
      </w:r>
    </w:p>
  </w:footnote>
  <w:footnote w:id="3">
    <w:p w:rsidR="00A45452" w:rsidRPr="00A45452" w:rsidRDefault="00A45452" w:rsidP="00A45452">
      <w:pPr>
        <w:pStyle w:val="Textonotapie1"/>
        <w:jc w:val="both"/>
        <w:rPr>
          <w:rFonts w:ascii="Calibri Light" w:hAnsi="Calibri Light" w:cs="Calibri Light"/>
        </w:rPr>
      </w:pPr>
      <w:r w:rsidRPr="00A45452">
        <w:rPr>
          <w:rStyle w:val="Refdenotaalpie"/>
          <w:rFonts w:ascii="Calibri Light" w:hAnsi="Calibri Light" w:cs="Calibri Light"/>
        </w:rPr>
        <w:footnoteRef/>
      </w:r>
      <w:r w:rsidRPr="00A45452">
        <w:rPr>
          <w:rFonts w:ascii="Calibri Light" w:hAnsi="Calibri Light" w:cs="Calibri Light"/>
        </w:rPr>
        <w:t xml:space="preserve"> Constitución Política de los Estados Unidos Mexicanos, artículo 1 control de convencionalidad en materia de Derechos Humanos, 10 sobre igualdad y no discriminación, 12 sobre la integridad personal.</w:t>
      </w:r>
    </w:p>
  </w:footnote>
  <w:footnote w:id="4">
    <w:p w:rsidR="00A45452" w:rsidRPr="00A45452" w:rsidRDefault="00A45452" w:rsidP="00A45452">
      <w:pPr>
        <w:pStyle w:val="Textonotapie1"/>
        <w:jc w:val="both"/>
        <w:rPr>
          <w:rFonts w:ascii="Calibri Light" w:hAnsi="Calibri Light" w:cs="Calibri Light"/>
        </w:rPr>
      </w:pPr>
      <w:r w:rsidRPr="00A45452">
        <w:rPr>
          <w:rStyle w:val="Refdenotaalpie"/>
          <w:rFonts w:ascii="Calibri Light" w:hAnsi="Calibri Light" w:cs="Calibri Light"/>
        </w:rPr>
        <w:footnoteRef/>
      </w:r>
      <w:r w:rsidRPr="00A45452">
        <w:rPr>
          <w:rFonts w:ascii="Calibri Light" w:hAnsi="Calibri Light" w:cs="Calibri Light"/>
        </w:rPr>
        <w:t xml:space="preserve"> Convención Americana de Derechos Humanos, artículo 4 sobre el derecho a la vida, artículo 5 sobre la integridad personal, derecho a la libertad personal 7, derecho de reunión artículo 15, artículo 24 igualdad ante la ley.</w:t>
      </w:r>
    </w:p>
  </w:footnote>
  <w:footnote w:id="5">
    <w:p w:rsidR="00A45452" w:rsidRPr="00A45452" w:rsidRDefault="00A45452" w:rsidP="00A45452">
      <w:pPr>
        <w:pStyle w:val="Textonotapie1"/>
        <w:jc w:val="both"/>
        <w:rPr>
          <w:rFonts w:ascii="Calibri Light" w:hAnsi="Calibri Light" w:cs="Calibri Light"/>
        </w:rPr>
      </w:pPr>
      <w:r w:rsidRPr="00A45452">
        <w:rPr>
          <w:rStyle w:val="Refdenotaalpie"/>
          <w:rFonts w:ascii="Calibri Light" w:hAnsi="Calibri Light" w:cs="Calibri Light"/>
        </w:rPr>
        <w:footnoteRef/>
      </w:r>
      <w:r w:rsidRPr="00A45452">
        <w:rPr>
          <w:rFonts w:ascii="Calibri Light" w:hAnsi="Calibri Light" w:cs="Calibri Light"/>
        </w:rPr>
        <w:t xml:space="preserve"> Pacto Internacional de Derechos Civiles y Políticos artículo 3 sobre el derecho a la igualdad entre hombres y mujeres en el disfrute de sus derechos civiles y políticos, prohibición de tratos inhumanos o degradantes 7, derechos de los niños, niñas y adolescentes (en adelante NNA) 24.</w:t>
      </w:r>
    </w:p>
  </w:footnote>
  <w:footnote w:id="6">
    <w:p w:rsidR="00A45452" w:rsidRPr="00A45452" w:rsidRDefault="00A45452" w:rsidP="00A45452">
      <w:pPr>
        <w:pStyle w:val="Textonotapie1"/>
        <w:jc w:val="both"/>
        <w:rPr>
          <w:rFonts w:ascii="Calibri Light" w:hAnsi="Calibri Light" w:cs="Calibri Light"/>
        </w:rPr>
      </w:pPr>
      <w:r w:rsidRPr="00A45452">
        <w:rPr>
          <w:rStyle w:val="Refdenotaalpie"/>
          <w:rFonts w:ascii="Calibri Light" w:hAnsi="Calibri Light" w:cs="Calibri Light"/>
        </w:rPr>
        <w:footnoteRef/>
      </w:r>
      <w:r w:rsidRPr="00A45452">
        <w:rPr>
          <w:rFonts w:ascii="Calibri Light" w:hAnsi="Calibri Light" w:cs="Calibri Light"/>
        </w:rPr>
        <w:t xml:space="preserve"> Principios de Yogyakarta 2 sobre el derecho a la igualdad y no discriminación, el derecho a la vida principio 4, el derecho a la seguridad personal principio 5, derecho de toda persona a no ser sometida a torturas ni a penas o tratos crueles, inhumanos o degradantes principio 10, principio 17 sobre el derecho a la salud, principio 18 protección contra los abusos médicos.</w:t>
      </w:r>
    </w:p>
  </w:footnote>
  <w:footnote w:id="7">
    <w:p w:rsidR="00A45452" w:rsidRPr="00A45452" w:rsidRDefault="00A45452" w:rsidP="00A45452">
      <w:pPr>
        <w:pStyle w:val="Textonotapie1"/>
        <w:jc w:val="both"/>
        <w:rPr>
          <w:rFonts w:ascii="Calibri Light" w:hAnsi="Calibri Light" w:cs="Calibri Light"/>
        </w:rPr>
      </w:pPr>
      <w:r w:rsidRPr="00A45452">
        <w:rPr>
          <w:rStyle w:val="Refdenotaalpie"/>
          <w:rFonts w:ascii="Calibri Light" w:hAnsi="Calibri Light" w:cs="Calibri Light"/>
        </w:rPr>
        <w:footnoteRef/>
      </w:r>
      <w:r w:rsidRPr="00A45452">
        <w:rPr>
          <w:rFonts w:ascii="Calibri Light" w:hAnsi="Calibri Light" w:cs="Calibri Light"/>
        </w:rPr>
        <w:t xml:space="preserve"> CIDH, </w:t>
      </w:r>
      <w:r w:rsidRPr="00A45452">
        <w:rPr>
          <w:rFonts w:ascii="Calibri Light" w:hAnsi="Calibri Light" w:cs="Calibri Light"/>
          <w:i/>
          <w:iCs/>
        </w:rPr>
        <w:t>Violencia contra las personas LGBT</w:t>
      </w:r>
      <w:r w:rsidRPr="00A45452">
        <w:rPr>
          <w:rFonts w:ascii="Calibri Light" w:hAnsi="Calibri Light" w:cs="Calibri Light"/>
        </w:rPr>
        <w:t>, OEA, noviembre de 2015, pp. 133-136.</w:t>
      </w:r>
    </w:p>
  </w:footnote>
  <w:footnote w:id="8">
    <w:p w:rsidR="00A45452" w:rsidRPr="00A45452" w:rsidRDefault="00A45452" w:rsidP="00A45452">
      <w:pPr>
        <w:pStyle w:val="Textonotapie1"/>
        <w:jc w:val="both"/>
        <w:rPr>
          <w:rFonts w:ascii="Calibri Light" w:hAnsi="Calibri Light" w:cs="Calibri Light"/>
        </w:rPr>
      </w:pPr>
      <w:r w:rsidRPr="00A45452">
        <w:rPr>
          <w:rStyle w:val="Refdenotaalpie"/>
          <w:rFonts w:ascii="Calibri Light" w:hAnsi="Calibri Light" w:cs="Calibri Light"/>
        </w:rPr>
        <w:footnoteRef/>
      </w:r>
      <w:r w:rsidRPr="00A45452">
        <w:rPr>
          <w:rFonts w:ascii="Calibri Light" w:hAnsi="Calibri Light" w:cs="Calibri Light"/>
        </w:rPr>
        <w:t xml:space="preserve"> </w:t>
      </w:r>
      <w:proofErr w:type="spellStart"/>
      <w:r w:rsidRPr="00A45452">
        <w:rPr>
          <w:rFonts w:ascii="Calibri Light" w:hAnsi="Calibri Light" w:cs="Calibri Light"/>
        </w:rPr>
        <w:t>Op</w:t>
      </w:r>
      <w:proofErr w:type="spellEnd"/>
      <w:r w:rsidRPr="00A45452">
        <w:rPr>
          <w:rFonts w:ascii="Calibri Light" w:hAnsi="Calibri Light" w:cs="Calibri Light"/>
        </w:rPr>
        <w:t xml:space="preserve">. Cit. Cfr. CIDH. </w:t>
      </w:r>
    </w:p>
  </w:footnote>
  <w:footnote w:id="9">
    <w:p w:rsidR="00A45452" w:rsidRPr="00A45452" w:rsidRDefault="00A45452" w:rsidP="00A45452">
      <w:pPr>
        <w:pStyle w:val="Textonotapie1"/>
        <w:jc w:val="both"/>
        <w:rPr>
          <w:rFonts w:ascii="Calibri Light" w:hAnsi="Calibri Light" w:cs="Calibri Light"/>
        </w:rPr>
      </w:pPr>
      <w:r w:rsidRPr="00A45452">
        <w:rPr>
          <w:rStyle w:val="Refdenotaalpie"/>
          <w:rFonts w:ascii="Calibri Light" w:hAnsi="Calibri Light" w:cs="Calibri Light"/>
        </w:rPr>
        <w:footnoteRef/>
      </w:r>
      <w:r w:rsidRPr="00A45452">
        <w:rPr>
          <w:rFonts w:ascii="Calibri Light" w:hAnsi="Calibri Light" w:cs="Calibri Light"/>
        </w:rPr>
        <w:t xml:space="preserve"> Comunicado de CNDH contra los ECOSIG, comunicado de CONAPRED contra los ECOSIG, 2019. </w:t>
      </w:r>
    </w:p>
  </w:footnote>
  <w:footnote w:id="10">
    <w:p w:rsidR="00A45452" w:rsidRPr="00A45452" w:rsidRDefault="00A45452" w:rsidP="00A45452">
      <w:pPr>
        <w:pStyle w:val="Textonotapie1"/>
        <w:jc w:val="both"/>
        <w:rPr>
          <w:rFonts w:ascii="Calibri Light" w:hAnsi="Calibri Light" w:cs="Calibri Light"/>
        </w:rPr>
      </w:pPr>
      <w:r w:rsidRPr="00A45452">
        <w:rPr>
          <w:rStyle w:val="Refdenotaalpie"/>
          <w:rFonts w:ascii="Calibri Light" w:hAnsi="Calibri Light" w:cs="Calibri Light"/>
        </w:rPr>
        <w:footnoteRef/>
      </w:r>
      <w:r w:rsidRPr="00A45452">
        <w:rPr>
          <w:rFonts w:ascii="Calibri Light" w:hAnsi="Calibri Light" w:cs="Calibri Light"/>
        </w:rPr>
        <w:t xml:space="preserve"> También se denominan: terapias de deshomosexualización, terapias de aversión, tratamientos reparativos, terapias para quitar el sentimiento homosexual, y asimilados. </w:t>
      </w:r>
    </w:p>
  </w:footnote>
  <w:footnote w:id="11">
    <w:p w:rsidR="00A45452" w:rsidRPr="00A45452" w:rsidRDefault="00A45452" w:rsidP="00A45452">
      <w:pPr>
        <w:pStyle w:val="Textonotapie1"/>
        <w:jc w:val="both"/>
        <w:rPr>
          <w:rFonts w:ascii="Calibri Light" w:hAnsi="Calibri Light" w:cs="Calibri Light"/>
        </w:rPr>
      </w:pPr>
      <w:r w:rsidRPr="00A45452">
        <w:rPr>
          <w:rStyle w:val="Refdenotaalpie"/>
          <w:rFonts w:ascii="Calibri Light" w:hAnsi="Calibri Light" w:cs="Calibri Light"/>
        </w:rPr>
        <w:footnoteRef/>
      </w:r>
      <w:r w:rsidRPr="00A45452">
        <w:rPr>
          <w:rFonts w:ascii="Calibri Light" w:hAnsi="Calibri Light" w:cs="Calibri Light"/>
        </w:rPr>
        <w:t xml:space="preserve"> Sistema de Información Legislativa de la Secretaría de Gobernación, Iniciativa de las senadoras Minerva Citlali Hernández Mora (et al), proyecto de decreto que adiciona un artículo 149 </w:t>
      </w:r>
      <w:proofErr w:type="spellStart"/>
      <w:r w:rsidRPr="00A45452">
        <w:rPr>
          <w:rFonts w:ascii="Calibri Light" w:hAnsi="Calibri Light" w:cs="Calibri Light"/>
        </w:rPr>
        <w:t>quter</w:t>
      </w:r>
      <w:proofErr w:type="spellEnd"/>
      <w:r w:rsidRPr="00A45452">
        <w:rPr>
          <w:rFonts w:ascii="Calibri Light" w:hAnsi="Calibri Light" w:cs="Calibri Light"/>
        </w:rPr>
        <w:t xml:space="preserve"> al código penal federal y un artículo 465 bis a la ley general de salud, SEGOB, octubre de 2018. </w:t>
      </w:r>
    </w:p>
  </w:footnote>
  <w:footnote w:id="12">
    <w:p w:rsidR="00A45452" w:rsidRPr="00A45452" w:rsidRDefault="00A45452" w:rsidP="00A45452">
      <w:pPr>
        <w:pStyle w:val="Textonotapie1"/>
        <w:jc w:val="both"/>
        <w:rPr>
          <w:rFonts w:ascii="Calibri Light" w:hAnsi="Calibri Light" w:cs="Calibri Light"/>
        </w:rPr>
      </w:pPr>
      <w:r w:rsidRPr="00A45452">
        <w:rPr>
          <w:rStyle w:val="Refdenotaalpie"/>
          <w:rFonts w:ascii="Calibri Light" w:hAnsi="Calibri Light" w:cs="Calibri Light"/>
        </w:rPr>
        <w:footnoteRef/>
      </w:r>
      <w:r w:rsidRPr="00A45452">
        <w:rPr>
          <w:rFonts w:ascii="Calibri Light" w:hAnsi="Calibri Light" w:cs="Calibri Light"/>
        </w:rPr>
        <w:t xml:space="preserve"> Secretaría de Salud de México, 2017. Protocolo para el Acceso sin Discriminación a la Prestación de Servicios de Atención Médica de las personas Lésbico, Gay, Bisexual, Transexual, Travesti, Transgénero e Intersexual y Guías de Atención Específicas. Recuperado de https://www.gob.mx/cms/uploads/attachment/file/233408/210617Protocolo_Comunidad_LGBTTI_DT_Ver si_n_III_17_3.pdf consultado el 18 de febrero de 2019. </w:t>
      </w:r>
    </w:p>
  </w:footnote>
  <w:footnote w:id="13">
    <w:p w:rsidR="00A45452" w:rsidRPr="00A45452" w:rsidRDefault="00A45452" w:rsidP="00A45452">
      <w:pPr>
        <w:pStyle w:val="Textonotapie1"/>
        <w:spacing w:line="276" w:lineRule="auto"/>
        <w:jc w:val="both"/>
        <w:rPr>
          <w:rFonts w:ascii="Calibri Light" w:hAnsi="Calibri Light" w:cs="Calibri Light"/>
        </w:rPr>
      </w:pPr>
      <w:r w:rsidRPr="00A45452">
        <w:rPr>
          <w:rStyle w:val="Refdenotaalpie"/>
          <w:rFonts w:ascii="Calibri Light" w:hAnsi="Calibri Light" w:cs="Calibri Light"/>
        </w:rPr>
        <w:footnoteRef/>
      </w:r>
      <w:r w:rsidRPr="00A45452">
        <w:rPr>
          <w:rFonts w:ascii="Calibri Light" w:hAnsi="Calibri Light" w:cs="Calibri Light"/>
        </w:rPr>
        <w:t xml:space="preserve"> Javier Risco, </w:t>
      </w:r>
      <w:r w:rsidRPr="00A45452">
        <w:rPr>
          <w:rFonts w:ascii="Calibri Light" w:hAnsi="Calibri Light" w:cs="Calibri Light"/>
          <w:i/>
          <w:iCs/>
        </w:rPr>
        <w:t>La nota dura: La terapia del Fraude</w:t>
      </w:r>
      <w:r w:rsidRPr="00A45452">
        <w:rPr>
          <w:rFonts w:ascii="Calibri Light" w:hAnsi="Calibri Light" w:cs="Calibri Light"/>
        </w:rPr>
        <w:t xml:space="preserve">, periódico: El financiero, abril 2019, consultado en: </w:t>
      </w:r>
      <w:hyperlink r:id="rId2" w:history="1">
        <w:r w:rsidRPr="00A45452">
          <w:rPr>
            <w:rFonts w:ascii="Calibri Light" w:hAnsi="Calibri Light" w:cs="Calibri Light"/>
            <w:color w:val="0000FF"/>
            <w:u w:val="single"/>
          </w:rPr>
          <w:t>https://elfinanciero.com.mx/opinion/javier-risco/la-terapia-del-fraude</w:t>
        </w:r>
      </w:hyperlink>
    </w:p>
  </w:footnote>
  <w:footnote w:id="14">
    <w:p w:rsidR="00A45452" w:rsidRDefault="00A45452" w:rsidP="00A45452">
      <w:pPr>
        <w:pStyle w:val="Textonotapie1"/>
      </w:pPr>
      <w:r>
        <w:rPr>
          <w:rStyle w:val="Refdenotaalpie"/>
        </w:rPr>
        <w:footnoteRef/>
      </w:r>
      <w:r>
        <w:t xml:space="preserve"> CNDH, Informe Especial sobre la situación de los derechos Humanos de las personas,</w:t>
      </w:r>
      <w:r w:rsidRPr="00A45452">
        <w:rPr>
          <w:rFonts w:ascii="Calibri Light" w:hAnsi="Calibri Light" w:cs="Calibri Light"/>
          <w:sz w:val="24"/>
          <w:szCs w:val="24"/>
        </w:rPr>
        <w:t xml:space="preserve"> </w:t>
      </w:r>
      <w:r w:rsidRPr="00FC2019">
        <w:t>Lesbianas, Gay, bisexuales, transexuales, trasvestis, transgénero e intersexuales</w:t>
      </w:r>
      <w:r>
        <w:t xml:space="preserve"> en LGBT en México, p. 255</w:t>
      </w:r>
    </w:p>
  </w:footnote>
  <w:footnote w:id="15">
    <w:p w:rsidR="00A45452" w:rsidRDefault="00A45452" w:rsidP="00A45452">
      <w:pPr>
        <w:pStyle w:val="Textonotapie1"/>
      </w:pPr>
      <w:r>
        <w:rPr>
          <w:rStyle w:val="Refdenotaalpie"/>
        </w:rPr>
        <w:footnoteRef/>
      </w:r>
      <w:r>
        <w:t xml:space="preserve"> </w:t>
      </w:r>
      <w:r w:rsidRPr="00A45452">
        <w:rPr>
          <w:rFonts w:ascii="Calibri Light" w:hAnsi="Calibri Light" w:cs="Calibri Light"/>
        </w:rPr>
        <w:t xml:space="preserve">Sistema de Información Legislativa de la Secretaría de Gobernación, Iniciativa de las senadoras Minerva Citlali Hernández Mora (et al), proyecto de decreto que adiciona un artículo 149 </w:t>
      </w:r>
      <w:proofErr w:type="spellStart"/>
      <w:r w:rsidRPr="00A45452">
        <w:rPr>
          <w:rFonts w:ascii="Calibri Light" w:hAnsi="Calibri Light" w:cs="Calibri Light"/>
        </w:rPr>
        <w:t>quter</w:t>
      </w:r>
      <w:proofErr w:type="spellEnd"/>
      <w:r w:rsidRPr="00A45452">
        <w:rPr>
          <w:rFonts w:ascii="Calibri Light" w:hAnsi="Calibri Light" w:cs="Calibri Light"/>
        </w:rPr>
        <w:t xml:space="preserve"> al código penal federal y un artículo 465 bis a la ley general de salud, SEGOB, octubre de 2018.</w:t>
      </w:r>
    </w:p>
  </w:footnote>
  <w:footnote w:id="16">
    <w:p w:rsidR="00A45452" w:rsidRDefault="00A45452" w:rsidP="00A45452">
      <w:pPr>
        <w:pStyle w:val="Textonotapie1"/>
      </w:pPr>
      <w:r>
        <w:rPr>
          <w:rStyle w:val="Refdenotaalpie"/>
        </w:rPr>
        <w:footnoteRef/>
      </w:r>
      <w:r>
        <w:t xml:space="preserve"> Véase </w:t>
      </w:r>
      <w:proofErr w:type="gramStart"/>
      <w:r>
        <w:t>en :</w:t>
      </w:r>
      <w:proofErr w:type="gramEnd"/>
      <w:r>
        <w:t xml:space="preserve"> </w:t>
      </w:r>
      <w:hyperlink r:id="rId3" w:history="1">
        <w:r w:rsidRPr="00FC2019">
          <w:rPr>
            <w:rStyle w:val="Hipervnculo"/>
          </w:rPr>
          <w:t>http://yaajmexico.org/</w:t>
        </w:r>
      </w:hyperlink>
      <w:r>
        <w:t xml:space="preserve"> </w:t>
      </w:r>
    </w:p>
  </w:footnote>
  <w:footnote w:id="17">
    <w:p w:rsidR="00A45452" w:rsidRDefault="00A45452" w:rsidP="00A45452">
      <w:pPr>
        <w:pStyle w:val="Textonotapie1"/>
      </w:pPr>
      <w:r>
        <w:rPr>
          <w:rStyle w:val="Refdenotaalpie"/>
        </w:rPr>
        <w:footnoteRef/>
      </w:r>
      <w:r>
        <w:t xml:space="preserve"> Cfr. </w:t>
      </w:r>
      <w:hyperlink r:id="rId4" w:history="1">
        <w:r w:rsidRPr="00503C62">
          <w:rPr>
            <w:color w:val="0000FF"/>
            <w:sz w:val="22"/>
            <w:szCs w:val="22"/>
            <w:u w:val="single"/>
          </w:rPr>
          <w:t>https://congresoweb.congresojal.gob.mx/infolej/agendakioskos/documentos/sistemaintegral/estados/103211.pdf</w:t>
        </w:r>
      </w:hyperlink>
      <w:r w:rsidRPr="00503C62">
        <w:rPr>
          <w:sz w:val="22"/>
          <w:szCs w:val="22"/>
        </w:rPr>
        <w:t xml:space="preserve"> </w:t>
      </w:r>
      <w:hyperlink r:id="rId5" w:history="1">
        <w:r w:rsidRPr="00503C62">
          <w:rPr>
            <w:color w:val="0000FF"/>
            <w:sz w:val="22"/>
            <w:szCs w:val="22"/>
            <w:u w:val="single"/>
          </w:rPr>
          <w:t>https://congresoweb.congresojal.gob.mx/infolej/agendakioskos/documentos/sistemaintegral/estados/103211.pdf</w:t>
        </w:r>
      </w:hyperlink>
    </w:p>
  </w:footnote>
  <w:footnote w:id="18">
    <w:p w:rsidR="00A45452" w:rsidRDefault="00A45452" w:rsidP="00A45452">
      <w:pPr>
        <w:pStyle w:val="Textonotapie1"/>
      </w:pPr>
      <w:r>
        <w:rPr>
          <w:rStyle w:val="Refdenotaalpie"/>
        </w:rPr>
        <w:footnoteRef/>
      </w:r>
      <w:r>
        <w:t xml:space="preserve"> Cfr. </w:t>
      </w:r>
      <w:hyperlink r:id="rId6" w:history="1">
        <w:r w:rsidRPr="00503C62">
          <w:rPr>
            <w:rStyle w:val="Hipervnculo"/>
          </w:rPr>
          <w:t>https://infosen.senado.gob.mx/sgsp/gaceta/64/1/2018-10-04-1/assets/documentos/Inic_Sen_Citlalli_Hdz_Orientacion_Sexual_041018.pdf</w:t>
        </w:r>
      </w:hyperlink>
    </w:p>
  </w:footnote>
  <w:footnote w:id="19">
    <w:p w:rsidR="00A45452" w:rsidRDefault="00A45452" w:rsidP="00A45452">
      <w:pPr>
        <w:pStyle w:val="Textonotapie1"/>
      </w:pPr>
      <w:r>
        <w:rPr>
          <w:rStyle w:val="Refdenotaalpie"/>
        </w:rPr>
        <w:footnoteRef/>
      </w:r>
      <w:r>
        <w:t xml:space="preserve"> Cfr. </w:t>
      </w:r>
      <w:hyperlink r:id="rId7" w:history="1">
        <w:r w:rsidRPr="00503C62">
          <w:rPr>
            <w:color w:val="0000FF"/>
            <w:sz w:val="22"/>
            <w:szCs w:val="22"/>
            <w:u w:val="single"/>
          </w:rPr>
          <w:t>http://yaajmexico.org/tag/conversion/</w:t>
        </w:r>
      </w:hyperlink>
    </w:p>
  </w:footnote>
  <w:footnote w:id="20">
    <w:p w:rsidR="00A45452" w:rsidRDefault="00A45452" w:rsidP="00A45452">
      <w:pPr>
        <w:pStyle w:val="Textonotapie1"/>
      </w:pPr>
      <w:r>
        <w:rPr>
          <w:rStyle w:val="Refdenotaalpie"/>
        </w:rPr>
        <w:footnoteRef/>
      </w:r>
      <w:r>
        <w:t xml:space="preserve"> Cfr. </w:t>
      </w:r>
      <w:hyperlink r:id="rId8" w:history="1">
        <w:r w:rsidRPr="00503C62">
          <w:rPr>
            <w:color w:val="0000FF"/>
            <w:sz w:val="22"/>
            <w:szCs w:val="22"/>
            <w:u w:val="single"/>
          </w:rPr>
          <w:t>https://www.conapred.org.mx/index.php?contenido=boletin&amp;id=1101&amp;id_opcion=&amp;op=213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FDD" w:rsidRDefault="00BC7FDD">
    <w:pPr>
      <w:pStyle w:val="Encabezado"/>
    </w:pPr>
    <w:r>
      <w:rPr>
        <w:noProof/>
        <w:lang w:eastAsia="es-MX"/>
      </w:rPr>
      <w:drawing>
        <wp:anchor distT="0" distB="0" distL="114300" distR="114300" simplePos="0" relativeHeight="251659264" behindDoc="0" locked="0" layoutInCell="1" allowOverlap="1" wp14:anchorId="4290C8CA" wp14:editId="4773CEA4">
          <wp:simplePos x="0" y="0"/>
          <wp:positionH relativeFrom="margin">
            <wp:posOffset>1701165</wp:posOffset>
          </wp:positionH>
          <wp:positionV relativeFrom="margin">
            <wp:posOffset>-594995</wp:posOffset>
          </wp:positionV>
          <wp:extent cx="1809750" cy="11277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1127760"/>
                  </a:xfrm>
                  <a:prstGeom prst="rect">
                    <a:avLst/>
                  </a:prstGeom>
                </pic:spPr>
              </pic:pic>
            </a:graphicData>
          </a:graphic>
          <wp14:sizeRelH relativeFrom="margin">
            <wp14:pctWidth>0</wp14:pctWidth>
          </wp14:sizeRelH>
          <wp14:sizeRelV relativeFrom="margin">
            <wp14:pctHeight>0</wp14:pctHeight>
          </wp14:sizeRelV>
        </wp:anchor>
      </w:drawing>
    </w:r>
  </w:p>
  <w:p w:rsidR="00BC7FDD" w:rsidRPr="00306E9E" w:rsidRDefault="00BC7FDD">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084"/>
    <w:multiLevelType w:val="hybridMultilevel"/>
    <w:tmpl w:val="EEB2EA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77970"/>
    <w:multiLevelType w:val="hybridMultilevel"/>
    <w:tmpl w:val="CB783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B47C64"/>
    <w:multiLevelType w:val="hybridMultilevel"/>
    <w:tmpl w:val="A68E1092"/>
    <w:lvl w:ilvl="0" w:tplc="93BC1D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E4042B6"/>
    <w:multiLevelType w:val="hybridMultilevel"/>
    <w:tmpl w:val="6D8AC86C"/>
    <w:lvl w:ilvl="0" w:tplc="E280FF78">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C27810"/>
    <w:multiLevelType w:val="hybridMultilevel"/>
    <w:tmpl w:val="FBFC8C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73"/>
    <w:rsid w:val="001C1D61"/>
    <w:rsid w:val="002C4264"/>
    <w:rsid w:val="00306E9E"/>
    <w:rsid w:val="003562DC"/>
    <w:rsid w:val="003706BF"/>
    <w:rsid w:val="00390BE6"/>
    <w:rsid w:val="00405D9F"/>
    <w:rsid w:val="004648F2"/>
    <w:rsid w:val="00535CF0"/>
    <w:rsid w:val="00555D51"/>
    <w:rsid w:val="006270C8"/>
    <w:rsid w:val="00631C3E"/>
    <w:rsid w:val="006D5FC5"/>
    <w:rsid w:val="00833488"/>
    <w:rsid w:val="008E5075"/>
    <w:rsid w:val="00951139"/>
    <w:rsid w:val="00965395"/>
    <w:rsid w:val="009A211A"/>
    <w:rsid w:val="00A23742"/>
    <w:rsid w:val="00A37DA3"/>
    <w:rsid w:val="00A45452"/>
    <w:rsid w:val="00AF382B"/>
    <w:rsid w:val="00B54C89"/>
    <w:rsid w:val="00B61F8B"/>
    <w:rsid w:val="00BA2438"/>
    <w:rsid w:val="00BC7FDD"/>
    <w:rsid w:val="00D765DE"/>
    <w:rsid w:val="00E06D73"/>
    <w:rsid w:val="00E27B72"/>
    <w:rsid w:val="00E77CE9"/>
    <w:rsid w:val="00EC5015"/>
    <w:rsid w:val="00FE08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8FA0F"/>
  <w15:chartTrackingRefBased/>
  <w15:docId w15:val="{626C22CD-DBCA-4871-899A-1C9B9446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06D7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06D73"/>
    <w:rPr>
      <w:rFonts w:eastAsiaTheme="minorEastAsia"/>
      <w:lang w:eastAsia="es-MX"/>
    </w:rPr>
  </w:style>
  <w:style w:type="paragraph" w:styleId="Encabezado">
    <w:name w:val="header"/>
    <w:basedOn w:val="Normal"/>
    <w:link w:val="EncabezadoCar"/>
    <w:uiPriority w:val="99"/>
    <w:unhideWhenUsed/>
    <w:rsid w:val="00BC7F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7FDD"/>
  </w:style>
  <w:style w:type="paragraph" w:styleId="Piedepgina">
    <w:name w:val="footer"/>
    <w:basedOn w:val="Normal"/>
    <w:link w:val="PiedepginaCar"/>
    <w:uiPriority w:val="99"/>
    <w:unhideWhenUsed/>
    <w:rsid w:val="00BC7F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7FDD"/>
  </w:style>
  <w:style w:type="character" w:styleId="Hipervnculo">
    <w:name w:val="Hyperlink"/>
    <w:basedOn w:val="Fuentedeprrafopredeter"/>
    <w:uiPriority w:val="99"/>
    <w:unhideWhenUsed/>
    <w:rsid w:val="00306E9E"/>
    <w:rPr>
      <w:color w:val="0563C1" w:themeColor="hyperlink"/>
      <w:u w:val="single"/>
    </w:rPr>
  </w:style>
  <w:style w:type="paragraph" w:styleId="Prrafodelista">
    <w:name w:val="List Paragraph"/>
    <w:basedOn w:val="Normal"/>
    <w:uiPriority w:val="34"/>
    <w:qFormat/>
    <w:rsid w:val="004648F2"/>
    <w:pPr>
      <w:ind w:left="720"/>
      <w:contextualSpacing/>
    </w:pPr>
  </w:style>
  <w:style w:type="paragraph" w:customStyle="1" w:styleId="Default">
    <w:name w:val="Default"/>
    <w:rsid w:val="004648F2"/>
    <w:pPr>
      <w:autoSpaceDE w:val="0"/>
      <w:autoSpaceDN w:val="0"/>
      <w:adjustRightInd w:val="0"/>
      <w:spacing w:after="0" w:line="240" w:lineRule="auto"/>
    </w:pPr>
    <w:rPr>
      <w:rFonts w:ascii="Arial" w:hAnsi="Arial" w:cs="Arial"/>
      <w:color w:val="000000"/>
      <w:sz w:val="24"/>
      <w:szCs w:val="24"/>
    </w:rPr>
  </w:style>
  <w:style w:type="paragraph" w:customStyle="1" w:styleId="Textonotapie1">
    <w:name w:val="Texto nota pie1"/>
    <w:basedOn w:val="Normal"/>
    <w:next w:val="Textonotapie"/>
    <w:link w:val="TextonotapieCar"/>
    <w:uiPriority w:val="99"/>
    <w:semiHidden/>
    <w:unhideWhenUsed/>
    <w:rsid w:val="00A45452"/>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A45452"/>
    <w:rPr>
      <w:sz w:val="20"/>
      <w:szCs w:val="20"/>
    </w:rPr>
  </w:style>
  <w:style w:type="character" w:styleId="Refdenotaalpie">
    <w:name w:val="footnote reference"/>
    <w:basedOn w:val="Fuentedeprrafopredeter"/>
    <w:uiPriority w:val="99"/>
    <w:semiHidden/>
    <w:unhideWhenUsed/>
    <w:rsid w:val="00A45452"/>
    <w:rPr>
      <w:vertAlign w:val="superscript"/>
    </w:rPr>
  </w:style>
  <w:style w:type="paragraph" w:styleId="Textonotapie">
    <w:name w:val="footnote text"/>
    <w:basedOn w:val="Normal"/>
    <w:link w:val="TextonotapieCar1"/>
    <w:uiPriority w:val="99"/>
    <w:semiHidden/>
    <w:unhideWhenUsed/>
    <w:rsid w:val="00A45452"/>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A454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financiero.com.mx/opinion/javier-risco/la-terapia-del-fraude" TargetMode="External"/><Relationship Id="rId13" Type="http://schemas.openxmlformats.org/officeDocument/2006/relationships/hyperlink" Target="http://yaajmexico.org/tag/conversion/"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infosen.senado.gob.mx/sgsp/gaceta/64/1/2018-10-04-1/assets/documentos/Inic_Sen_Citlalli_Hdz_Orientacion_Sexual_04101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gresoweb.congresojal.gob.mx/infolej/agendakioskos/documentos/sistemaintegral/estados/10321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ngresoweb.congresojal.gob.mx/infolej/agendakioskos/documentos/sistemaintegral/estados/103211.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yaajmexico.org/" TargetMode="External"/><Relationship Id="rId14" Type="http://schemas.openxmlformats.org/officeDocument/2006/relationships/hyperlink" Target="https://www.conapred.org.mx/index.php?contenido=boletin&amp;id=1101&amp;id_opcion=&amp;op=21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Dulce/Desktop/IDENTIDAD/papeleria/HOJA%20MEMBRETADA/FORMAL/www.asilegal.org.m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napred.org.mx/index.php?contenido=boletin&amp;id=1101&amp;id_opcion=&amp;op=213" TargetMode="External"/><Relationship Id="rId3" Type="http://schemas.openxmlformats.org/officeDocument/2006/relationships/hyperlink" Target="http://yaajmexico.org/" TargetMode="External"/><Relationship Id="rId7" Type="http://schemas.openxmlformats.org/officeDocument/2006/relationships/hyperlink" Target="http://yaajmexico.org/tag/conversion/" TargetMode="External"/><Relationship Id="rId2" Type="http://schemas.openxmlformats.org/officeDocument/2006/relationships/hyperlink" Target="https://elfinanciero.com.mx/opinion/javier-risco/la-terapia-del-fraude" TargetMode="External"/><Relationship Id="rId1" Type="http://schemas.openxmlformats.org/officeDocument/2006/relationships/hyperlink" Target="https://elfinanciero.com.mx/opinion/javier-risco/la-terapia-del-fraude" TargetMode="External"/><Relationship Id="rId6" Type="http://schemas.openxmlformats.org/officeDocument/2006/relationships/hyperlink" Target="https://infosen.senado.gob.mx/sgsp/gaceta/64/1/2018-10-04-1/assets/documentos/Inic_Sen_Citlalli_Hdz_Orientacion_Sexual_041018.pdf" TargetMode="External"/><Relationship Id="rId5" Type="http://schemas.openxmlformats.org/officeDocument/2006/relationships/hyperlink" Target="https://congresoweb.congresojal.gob.mx/infolej/agendakioskos/documentos/sistemaintegral/estados/103211.pdf" TargetMode="External"/><Relationship Id="rId4" Type="http://schemas.openxmlformats.org/officeDocument/2006/relationships/hyperlink" Target="https://congresoweb.congresojal.gob.mx/infolej/agendakioskos/documentos/sistemaintegral/estados/1032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B1A53F-B001-4817-9E4E-11A1500EA8CB}">
  <ds:schemaRefs>
    <ds:schemaRef ds:uri="http://schemas.openxmlformats.org/officeDocument/2006/bibliography"/>
  </ds:schemaRefs>
</ds:datastoreItem>
</file>

<file path=customXml/itemProps2.xml><?xml version="1.0" encoding="utf-8"?>
<ds:datastoreItem xmlns:ds="http://schemas.openxmlformats.org/officeDocument/2006/customXml" ds:itemID="{83F4857D-3295-40EC-82A2-313377410951}"/>
</file>

<file path=customXml/itemProps3.xml><?xml version="1.0" encoding="utf-8"?>
<ds:datastoreItem xmlns:ds="http://schemas.openxmlformats.org/officeDocument/2006/customXml" ds:itemID="{4BE91EF5-86CB-489C-B03F-C27B22F41FE4}"/>
</file>

<file path=customXml/itemProps4.xml><?xml version="1.0" encoding="utf-8"?>
<ds:datastoreItem xmlns:ds="http://schemas.openxmlformats.org/officeDocument/2006/customXml" ds:itemID="{DBEF4519-4A27-4926-984D-6BBD3032CFAC}"/>
</file>

<file path=docProps/app.xml><?xml version="1.0" encoding="utf-8"?>
<Properties xmlns="http://schemas.openxmlformats.org/officeDocument/2006/extended-properties" xmlns:vt="http://schemas.openxmlformats.org/officeDocument/2006/docPropsVTypes">
  <Template>Normal</Template>
  <TotalTime>3</TotalTime>
  <Pages>10</Pages>
  <Words>2090</Words>
  <Characters>11497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AsiLEGAL</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dc:creator>
  <cp:keywords/>
  <dc:description/>
  <cp:lastModifiedBy>ASILEGAL</cp:lastModifiedBy>
  <cp:revision>2</cp:revision>
  <dcterms:created xsi:type="dcterms:W3CDTF">2019-12-20T22:12:00Z</dcterms:created>
  <dcterms:modified xsi:type="dcterms:W3CDTF">2019-12-20T22:12:00Z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