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8D00F" w14:textId="77777777" w:rsidR="00EC19BF" w:rsidRPr="00F41C2B" w:rsidRDefault="00EC19BF" w:rsidP="00F41C2B">
      <w:pPr>
        <w:spacing w:line="276" w:lineRule="auto"/>
        <w:jc w:val="center"/>
        <w:rPr>
          <w:rFonts w:ascii="Arial" w:hAnsi="Arial" w:cs="Arial"/>
          <w:b/>
          <w:sz w:val="24"/>
          <w:szCs w:val="24"/>
        </w:rPr>
      </w:pPr>
      <w:r w:rsidRPr="00F41C2B">
        <w:rPr>
          <w:rFonts w:ascii="Arial" w:hAnsi="Arial" w:cs="Arial"/>
          <w:b/>
          <w:sz w:val="24"/>
          <w:szCs w:val="24"/>
        </w:rPr>
        <w:t>Petición del Experto Independiente de las Naciones Unidas sobre Orientación Sexual e Identidad de Género.</w:t>
      </w:r>
    </w:p>
    <w:p w14:paraId="6AE28E16" w14:textId="77777777" w:rsidR="00EC19BF" w:rsidRPr="00F41C2B" w:rsidRDefault="009073D4" w:rsidP="00F41C2B">
      <w:pPr>
        <w:spacing w:line="276" w:lineRule="auto"/>
        <w:jc w:val="center"/>
        <w:rPr>
          <w:rFonts w:ascii="Arial" w:hAnsi="Arial" w:cs="Arial"/>
          <w:b/>
          <w:sz w:val="24"/>
          <w:szCs w:val="24"/>
        </w:rPr>
      </w:pPr>
      <w:r w:rsidRPr="00F41C2B">
        <w:rPr>
          <w:rFonts w:ascii="Arial" w:hAnsi="Arial" w:cs="Arial"/>
          <w:b/>
          <w:sz w:val="24"/>
          <w:szCs w:val="24"/>
        </w:rPr>
        <w:t>Las Terapias de Conversión en México</w:t>
      </w:r>
    </w:p>
    <w:p w14:paraId="1071DC81" w14:textId="77777777" w:rsidR="009073D4" w:rsidRPr="00F41C2B" w:rsidRDefault="009073D4" w:rsidP="00F41C2B">
      <w:pPr>
        <w:spacing w:line="276" w:lineRule="auto"/>
        <w:jc w:val="both"/>
        <w:rPr>
          <w:rFonts w:ascii="Arial" w:hAnsi="Arial" w:cs="Arial"/>
          <w:b/>
          <w:sz w:val="24"/>
          <w:szCs w:val="24"/>
        </w:rPr>
      </w:pPr>
    </w:p>
    <w:p w14:paraId="7B24F3BC" w14:textId="77777777" w:rsidR="00EC19BF" w:rsidRPr="00F41C2B" w:rsidRDefault="00EC19BF" w:rsidP="00F41C2B">
      <w:pPr>
        <w:pStyle w:val="Prrafodelista"/>
        <w:numPr>
          <w:ilvl w:val="0"/>
          <w:numId w:val="1"/>
        </w:numPr>
        <w:spacing w:line="276" w:lineRule="auto"/>
        <w:jc w:val="both"/>
        <w:rPr>
          <w:rFonts w:ascii="Arial" w:hAnsi="Arial" w:cs="Arial"/>
          <w:b/>
          <w:sz w:val="24"/>
          <w:szCs w:val="24"/>
        </w:rPr>
      </w:pPr>
      <w:r w:rsidRPr="00F41C2B">
        <w:rPr>
          <w:rFonts w:ascii="Arial" w:hAnsi="Arial" w:cs="Arial"/>
          <w:b/>
          <w:sz w:val="24"/>
          <w:szCs w:val="24"/>
        </w:rPr>
        <w:t>¿Cuáles son las diferentes prácticas que entran en el ámbito de las llamadas “terapias de conversión” y cuál es el denominador común que permite agruparlas?</w:t>
      </w:r>
    </w:p>
    <w:p w14:paraId="53A78050" w14:textId="77777777" w:rsidR="00C73202" w:rsidRPr="00F41C2B" w:rsidRDefault="00C73202" w:rsidP="00F41C2B">
      <w:pPr>
        <w:pStyle w:val="Prrafodelista"/>
        <w:spacing w:line="276" w:lineRule="auto"/>
        <w:jc w:val="both"/>
        <w:rPr>
          <w:rFonts w:ascii="Arial" w:hAnsi="Arial" w:cs="Arial"/>
          <w:sz w:val="24"/>
          <w:szCs w:val="24"/>
        </w:rPr>
      </w:pPr>
    </w:p>
    <w:p w14:paraId="5BF25135" w14:textId="0B8FC6F6" w:rsidR="00C73202" w:rsidRPr="00F41C2B" w:rsidRDefault="00210852" w:rsidP="00F41C2B">
      <w:pPr>
        <w:pStyle w:val="Prrafodelista"/>
        <w:spacing w:line="276" w:lineRule="auto"/>
        <w:jc w:val="both"/>
        <w:rPr>
          <w:rFonts w:ascii="Arial" w:hAnsi="Arial" w:cs="Arial"/>
          <w:sz w:val="24"/>
          <w:szCs w:val="24"/>
        </w:rPr>
      </w:pPr>
      <w:r w:rsidRPr="00F41C2B">
        <w:rPr>
          <w:rFonts w:ascii="Arial" w:hAnsi="Arial" w:cs="Arial"/>
          <w:sz w:val="24"/>
          <w:szCs w:val="24"/>
        </w:rPr>
        <w:t>Los servicios psicológicos que se ofrecen en relación con las llamadas</w:t>
      </w:r>
      <w:r w:rsidR="00C73202" w:rsidRPr="00F41C2B">
        <w:rPr>
          <w:rFonts w:ascii="Arial" w:hAnsi="Arial" w:cs="Arial"/>
          <w:sz w:val="24"/>
          <w:szCs w:val="24"/>
        </w:rPr>
        <w:t xml:space="preserve"> </w:t>
      </w:r>
      <w:r w:rsidRPr="00F41C2B">
        <w:rPr>
          <w:rFonts w:ascii="Arial" w:hAnsi="Arial" w:cs="Arial"/>
          <w:sz w:val="24"/>
          <w:szCs w:val="24"/>
        </w:rPr>
        <w:t>“</w:t>
      </w:r>
      <w:r w:rsidR="00C73202" w:rsidRPr="00F41C2B">
        <w:rPr>
          <w:rFonts w:ascii="Arial" w:hAnsi="Arial" w:cs="Arial"/>
          <w:sz w:val="24"/>
          <w:szCs w:val="24"/>
        </w:rPr>
        <w:t>terapias de conversión</w:t>
      </w:r>
      <w:r w:rsidRPr="00F41C2B">
        <w:rPr>
          <w:rFonts w:ascii="Arial" w:hAnsi="Arial" w:cs="Arial"/>
          <w:sz w:val="24"/>
          <w:szCs w:val="24"/>
        </w:rPr>
        <w:t>”</w:t>
      </w:r>
      <w:r w:rsidR="00C73202" w:rsidRPr="00F41C2B">
        <w:rPr>
          <w:rFonts w:ascii="Arial" w:hAnsi="Arial" w:cs="Arial"/>
          <w:sz w:val="24"/>
          <w:szCs w:val="24"/>
        </w:rPr>
        <w:t xml:space="preserve">, </w:t>
      </w:r>
      <w:r w:rsidRPr="00F41C2B">
        <w:rPr>
          <w:rFonts w:ascii="Arial" w:hAnsi="Arial" w:cs="Arial"/>
          <w:sz w:val="24"/>
          <w:szCs w:val="24"/>
        </w:rPr>
        <w:t xml:space="preserve">van desde la atención por profesionales de la </w:t>
      </w:r>
      <w:r w:rsidR="00665EA1" w:rsidRPr="00F41C2B">
        <w:rPr>
          <w:rFonts w:ascii="Arial" w:hAnsi="Arial" w:cs="Arial"/>
          <w:sz w:val="24"/>
          <w:szCs w:val="24"/>
        </w:rPr>
        <w:t>p</w:t>
      </w:r>
      <w:r w:rsidRPr="00F41C2B">
        <w:rPr>
          <w:rFonts w:ascii="Arial" w:hAnsi="Arial" w:cs="Arial"/>
          <w:sz w:val="24"/>
          <w:szCs w:val="24"/>
        </w:rPr>
        <w:t>sicología</w:t>
      </w:r>
      <w:r w:rsidR="00665EA1" w:rsidRPr="00F41C2B">
        <w:rPr>
          <w:rFonts w:ascii="Arial" w:hAnsi="Arial" w:cs="Arial"/>
          <w:sz w:val="24"/>
          <w:szCs w:val="24"/>
        </w:rPr>
        <w:t xml:space="preserve"> en sus consultorios privados hasta los servicios de centros de atención donde participan “profesionales” (no está clara su calificación) que pueden ser desde religiosos hasta médicos y psiquiatras. Las personas son internadas en estos centros para rehabilitarse, la gran mayoría de las veces por sus padres, y en otras, de forma “voluntaria”, resultado de la presión de algún cura o docente de escuela religiosa. Algunos de estos centros ofrecen también servicios de rehabilitación de adicciones, que les permiten ocultar servicios de “conversión”.</w:t>
      </w:r>
      <w:r w:rsidR="00F41C2B">
        <w:rPr>
          <w:rFonts w:ascii="Arial" w:hAnsi="Arial" w:cs="Arial"/>
          <w:sz w:val="24"/>
          <w:szCs w:val="24"/>
        </w:rPr>
        <w:t xml:space="preserve"> </w:t>
      </w:r>
      <w:r w:rsidR="00665EA1" w:rsidRPr="00F41C2B">
        <w:rPr>
          <w:rFonts w:ascii="Arial" w:hAnsi="Arial" w:cs="Arial"/>
          <w:sz w:val="24"/>
          <w:szCs w:val="24"/>
        </w:rPr>
        <w:t>Supuestamente, l</w:t>
      </w:r>
      <w:r w:rsidR="00C73202" w:rsidRPr="00F41C2B">
        <w:rPr>
          <w:rFonts w:ascii="Arial" w:hAnsi="Arial" w:cs="Arial"/>
          <w:sz w:val="24"/>
          <w:szCs w:val="24"/>
        </w:rPr>
        <w:t xml:space="preserve">a “terapia de conversión” </w:t>
      </w:r>
      <w:r w:rsidR="00665EA1" w:rsidRPr="00F41C2B">
        <w:rPr>
          <w:rFonts w:ascii="Arial" w:hAnsi="Arial" w:cs="Arial"/>
          <w:sz w:val="24"/>
          <w:szCs w:val="24"/>
        </w:rPr>
        <w:t>ofrece convertir a las personas homosexuales en heterosexuales, a partir de terapias de corte conductual que generarían aversión y rechazo. Con graves consecuencias para su propia valoración. Como se sabe, este tipo de terapias están asociadas con prácticas similares a la tortura para generar la aversión.</w:t>
      </w:r>
    </w:p>
    <w:p w14:paraId="7A22376A" w14:textId="77777777" w:rsidR="00665EA1" w:rsidRPr="00F41C2B" w:rsidRDefault="00665EA1" w:rsidP="00F41C2B">
      <w:pPr>
        <w:pStyle w:val="Prrafodelista"/>
        <w:spacing w:line="276" w:lineRule="auto"/>
        <w:jc w:val="both"/>
        <w:rPr>
          <w:rFonts w:ascii="Arial" w:hAnsi="Arial" w:cs="Arial"/>
          <w:sz w:val="24"/>
          <w:szCs w:val="24"/>
        </w:rPr>
      </w:pPr>
    </w:p>
    <w:p w14:paraId="0DB4E38F" w14:textId="77777777" w:rsidR="00EC19BF" w:rsidRPr="00F41C2B" w:rsidRDefault="00EC19BF" w:rsidP="00F41C2B">
      <w:pPr>
        <w:pStyle w:val="Prrafodelista"/>
        <w:numPr>
          <w:ilvl w:val="0"/>
          <w:numId w:val="1"/>
        </w:numPr>
        <w:spacing w:line="276" w:lineRule="auto"/>
        <w:jc w:val="both"/>
        <w:rPr>
          <w:rFonts w:ascii="Arial" w:hAnsi="Arial" w:cs="Arial"/>
          <w:b/>
          <w:sz w:val="24"/>
          <w:szCs w:val="24"/>
        </w:rPr>
      </w:pPr>
      <w:r w:rsidRPr="00F41C2B">
        <w:rPr>
          <w:rFonts w:ascii="Arial" w:hAnsi="Arial" w:cs="Arial"/>
          <w:b/>
          <w:sz w:val="24"/>
          <w:szCs w:val="24"/>
        </w:rPr>
        <w:t>¿Existen definiciones adoptadas y utilizadas por los Estados sobre las prácticas de la llamada “terapia de conversión? En caso afirmativo, ¿cuáles son esas definiciones y cuál fue el proceso mediante el cual se crearon o adoptaron?</w:t>
      </w:r>
    </w:p>
    <w:p w14:paraId="6F8A96C6" w14:textId="77777777" w:rsidR="00C73202" w:rsidRPr="00F41C2B" w:rsidRDefault="00C73202" w:rsidP="00F41C2B">
      <w:pPr>
        <w:spacing w:line="276" w:lineRule="auto"/>
        <w:ind w:left="708"/>
        <w:jc w:val="both"/>
        <w:rPr>
          <w:rFonts w:ascii="Arial" w:hAnsi="Arial" w:cs="Arial"/>
          <w:sz w:val="24"/>
          <w:szCs w:val="24"/>
        </w:rPr>
      </w:pPr>
      <w:r w:rsidRPr="00F41C2B">
        <w:rPr>
          <w:rFonts w:ascii="Arial" w:hAnsi="Arial" w:cs="Arial"/>
          <w:sz w:val="24"/>
          <w:szCs w:val="24"/>
        </w:rPr>
        <w:t>En México no.</w:t>
      </w:r>
    </w:p>
    <w:p w14:paraId="32C7221E" w14:textId="77777777" w:rsidR="00EC19BF" w:rsidRPr="00F41C2B" w:rsidRDefault="00EC19BF" w:rsidP="00F41C2B">
      <w:pPr>
        <w:pStyle w:val="Prrafodelista"/>
        <w:numPr>
          <w:ilvl w:val="0"/>
          <w:numId w:val="1"/>
        </w:numPr>
        <w:spacing w:line="276" w:lineRule="auto"/>
        <w:jc w:val="both"/>
        <w:rPr>
          <w:rFonts w:ascii="Arial" w:hAnsi="Arial" w:cs="Arial"/>
          <w:b/>
          <w:sz w:val="24"/>
          <w:szCs w:val="24"/>
        </w:rPr>
      </w:pPr>
      <w:r w:rsidRPr="00F41C2B">
        <w:rPr>
          <w:rFonts w:ascii="Arial" w:hAnsi="Arial" w:cs="Arial"/>
          <w:b/>
          <w:sz w:val="24"/>
          <w:szCs w:val="24"/>
        </w:rPr>
        <w:t>¿Cuáles son los esfuerzos actuales de los Estados para aumentar su conocimiento de las prácticas de la llamada “terapia de conversión”? ¿Existen esfuerzos para producir información y datos sobre estas prácticas?</w:t>
      </w:r>
    </w:p>
    <w:p w14:paraId="1C7499DD" w14:textId="77777777" w:rsidR="00E93EEB" w:rsidRPr="00F41C2B" w:rsidRDefault="00E93EEB" w:rsidP="00F41C2B">
      <w:pPr>
        <w:pStyle w:val="Prrafodelista"/>
        <w:spacing w:line="276" w:lineRule="auto"/>
        <w:jc w:val="both"/>
        <w:rPr>
          <w:rFonts w:ascii="Arial" w:hAnsi="Arial" w:cs="Arial"/>
          <w:sz w:val="24"/>
          <w:szCs w:val="24"/>
        </w:rPr>
      </w:pPr>
    </w:p>
    <w:p w14:paraId="403F7945" w14:textId="77777777" w:rsidR="00D20A0D" w:rsidRPr="00F41C2B" w:rsidRDefault="00665EA1" w:rsidP="00F41C2B">
      <w:pPr>
        <w:pStyle w:val="Prrafodelista"/>
        <w:spacing w:line="276" w:lineRule="auto"/>
        <w:jc w:val="both"/>
        <w:rPr>
          <w:rFonts w:ascii="Arial" w:hAnsi="Arial" w:cs="Arial"/>
          <w:sz w:val="24"/>
          <w:szCs w:val="24"/>
        </w:rPr>
      </w:pPr>
      <w:r w:rsidRPr="00F41C2B">
        <w:rPr>
          <w:rFonts w:ascii="Arial" w:hAnsi="Arial" w:cs="Arial"/>
          <w:sz w:val="24"/>
          <w:szCs w:val="24"/>
        </w:rPr>
        <w:lastRenderedPageBreak/>
        <w:t xml:space="preserve">En México, ni las instancias gubernamentales, ni la academia han mostrado interés por indagar y proporcionar información </w:t>
      </w:r>
      <w:r w:rsidR="00D20A0D" w:rsidRPr="00F41C2B">
        <w:rPr>
          <w:rFonts w:ascii="Arial" w:hAnsi="Arial" w:cs="Arial"/>
          <w:sz w:val="24"/>
          <w:szCs w:val="24"/>
        </w:rPr>
        <w:t xml:space="preserve">clara </w:t>
      </w:r>
      <w:r w:rsidRPr="00F41C2B">
        <w:rPr>
          <w:rFonts w:ascii="Arial" w:hAnsi="Arial" w:cs="Arial"/>
          <w:sz w:val="24"/>
          <w:szCs w:val="24"/>
        </w:rPr>
        <w:t>sobre estas pr</w:t>
      </w:r>
      <w:r w:rsidR="00D20A0D" w:rsidRPr="00F41C2B">
        <w:rPr>
          <w:rFonts w:ascii="Arial" w:hAnsi="Arial" w:cs="Arial"/>
          <w:sz w:val="24"/>
          <w:szCs w:val="24"/>
        </w:rPr>
        <w:t>ácticas y sus consecuencias.</w:t>
      </w:r>
    </w:p>
    <w:p w14:paraId="5E1C1891" w14:textId="77777777" w:rsidR="00E93EEB" w:rsidRPr="00F41C2B" w:rsidRDefault="00665EA1" w:rsidP="00F41C2B">
      <w:pPr>
        <w:pStyle w:val="Prrafodelista"/>
        <w:spacing w:line="276" w:lineRule="auto"/>
        <w:jc w:val="both"/>
        <w:rPr>
          <w:rFonts w:ascii="Arial" w:hAnsi="Arial" w:cs="Arial"/>
          <w:sz w:val="24"/>
          <w:szCs w:val="24"/>
        </w:rPr>
      </w:pPr>
      <w:r w:rsidRPr="00F41C2B">
        <w:rPr>
          <w:rFonts w:ascii="Arial" w:hAnsi="Arial" w:cs="Arial"/>
          <w:sz w:val="24"/>
          <w:szCs w:val="24"/>
        </w:rPr>
        <w:t xml:space="preserve"> </w:t>
      </w:r>
    </w:p>
    <w:p w14:paraId="76E75DF8" w14:textId="77777777" w:rsidR="00EC19BF" w:rsidRPr="00F41C2B" w:rsidRDefault="00EC19BF" w:rsidP="00F41C2B">
      <w:pPr>
        <w:pStyle w:val="Prrafodelista"/>
        <w:numPr>
          <w:ilvl w:val="0"/>
          <w:numId w:val="1"/>
        </w:numPr>
        <w:spacing w:line="276" w:lineRule="auto"/>
        <w:jc w:val="both"/>
        <w:rPr>
          <w:rFonts w:ascii="Arial" w:hAnsi="Arial" w:cs="Arial"/>
          <w:b/>
          <w:sz w:val="24"/>
          <w:szCs w:val="24"/>
        </w:rPr>
      </w:pPr>
      <w:r w:rsidRPr="00F41C2B">
        <w:rPr>
          <w:rFonts w:ascii="Arial" w:hAnsi="Arial" w:cs="Arial"/>
          <w:b/>
          <w:sz w:val="24"/>
          <w:szCs w:val="24"/>
        </w:rPr>
        <w:t xml:space="preserve">¿Qué tipo </w:t>
      </w:r>
      <w:r w:rsidR="00E93EEB" w:rsidRPr="00F41C2B">
        <w:rPr>
          <w:rFonts w:ascii="Arial" w:hAnsi="Arial" w:cs="Arial"/>
          <w:b/>
          <w:sz w:val="24"/>
          <w:szCs w:val="24"/>
        </w:rPr>
        <w:t>de información y datos recopilan</w:t>
      </w:r>
      <w:r w:rsidRPr="00F41C2B">
        <w:rPr>
          <w:rFonts w:ascii="Arial" w:hAnsi="Arial" w:cs="Arial"/>
          <w:b/>
          <w:sz w:val="24"/>
          <w:szCs w:val="24"/>
        </w:rPr>
        <w:t xml:space="preserve"> los Estado</w:t>
      </w:r>
      <w:r w:rsidR="00E93EEB" w:rsidRPr="00F41C2B">
        <w:rPr>
          <w:rFonts w:ascii="Arial" w:hAnsi="Arial" w:cs="Arial"/>
          <w:b/>
          <w:sz w:val="24"/>
          <w:szCs w:val="24"/>
        </w:rPr>
        <w:t>s para</w:t>
      </w:r>
      <w:r w:rsidRPr="00F41C2B">
        <w:rPr>
          <w:rFonts w:ascii="Arial" w:hAnsi="Arial" w:cs="Arial"/>
          <w:b/>
          <w:sz w:val="24"/>
          <w:szCs w:val="24"/>
        </w:rPr>
        <w:t xml:space="preserve"> comprender la naturaleza y el alcance de las llamadas “terapias de conversión (por ejemplo, mediante inspecciones, investigaciones, encuestas)?</w:t>
      </w:r>
    </w:p>
    <w:p w14:paraId="250CF77E" w14:textId="77777777" w:rsidR="00E93EEB" w:rsidRPr="00F41C2B" w:rsidRDefault="00E93EEB" w:rsidP="00F41C2B">
      <w:pPr>
        <w:pStyle w:val="Prrafodelista"/>
        <w:spacing w:line="276" w:lineRule="auto"/>
        <w:jc w:val="both"/>
        <w:rPr>
          <w:rFonts w:ascii="Arial" w:hAnsi="Arial" w:cs="Arial"/>
          <w:sz w:val="24"/>
          <w:szCs w:val="24"/>
        </w:rPr>
      </w:pPr>
    </w:p>
    <w:p w14:paraId="7D7F751C" w14:textId="77777777" w:rsidR="00E93EEB" w:rsidRPr="00F41C2B" w:rsidRDefault="00D20A0D" w:rsidP="00F41C2B">
      <w:pPr>
        <w:pStyle w:val="Prrafodelista"/>
        <w:spacing w:line="276" w:lineRule="auto"/>
        <w:jc w:val="both"/>
        <w:rPr>
          <w:rFonts w:ascii="Arial" w:hAnsi="Arial" w:cs="Arial"/>
          <w:sz w:val="24"/>
          <w:szCs w:val="24"/>
        </w:rPr>
      </w:pPr>
      <w:r w:rsidRPr="00F41C2B">
        <w:rPr>
          <w:rFonts w:ascii="Arial" w:hAnsi="Arial" w:cs="Arial"/>
          <w:sz w:val="24"/>
          <w:szCs w:val="24"/>
        </w:rPr>
        <w:t>Hasta donde sabemos, no existe un registro formal de quién y dónde se están realizando. Mucho menos de sus efectos. Algunas organizaciones sociales de defensa de derechos LGBT les dan seguimiento, pero no hay propiamente un registro formal de las mismas.</w:t>
      </w:r>
    </w:p>
    <w:p w14:paraId="1DBCB94C" w14:textId="77777777" w:rsidR="00D20A0D" w:rsidRPr="00F41C2B" w:rsidRDefault="00D20A0D" w:rsidP="00F41C2B">
      <w:pPr>
        <w:pStyle w:val="Prrafodelista"/>
        <w:spacing w:line="276" w:lineRule="auto"/>
        <w:jc w:val="both"/>
        <w:rPr>
          <w:rFonts w:ascii="Arial" w:hAnsi="Arial" w:cs="Arial"/>
          <w:sz w:val="24"/>
          <w:szCs w:val="24"/>
        </w:rPr>
      </w:pPr>
    </w:p>
    <w:p w14:paraId="6C1D517A" w14:textId="77777777" w:rsidR="00EC19BF" w:rsidRPr="00F41C2B" w:rsidRDefault="00EC19BF" w:rsidP="00F41C2B">
      <w:pPr>
        <w:pStyle w:val="Prrafodelista"/>
        <w:numPr>
          <w:ilvl w:val="0"/>
          <w:numId w:val="1"/>
        </w:numPr>
        <w:spacing w:line="276" w:lineRule="auto"/>
        <w:jc w:val="both"/>
        <w:rPr>
          <w:rFonts w:ascii="Arial" w:hAnsi="Arial" w:cs="Arial"/>
          <w:b/>
          <w:sz w:val="24"/>
          <w:szCs w:val="24"/>
        </w:rPr>
      </w:pPr>
      <w:r w:rsidRPr="00F41C2B">
        <w:rPr>
          <w:rFonts w:ascii="Arial" w:hAnsi="Arial" w:cs="Arial"/>
          <w:b/>
          <w:sz w:val="24"/>
          <w:szCs w:val="24"/>
        </w:rPr>
        <w:t>¿Se han identificado los riesgos asociados a las prácticas de la llamada “terapia de conversión”?</w:t>
      </w:r>
    </w:p>
    <w:p w14:paraId="3BCBB05A" w14:textId="77777777" w:rsidR="00111A56" w:rsidRPr="00F41C2B" w:rsidRDefault="00111A56" w:rsidP="00F41C2B">
      <w:pPr>
        <w:pStyle w:val="Prrafodelista"/>
        <w:spacing w:line="276" w:lineRule="auto"/>
        <w:jc w:val="both"/>
        <w:rPr>
          <w:rFonts w:ascii="Arial" w:hAnsi="Arial" w:cs="Arial"/>
          <w:sz w:val="24"/>
          <w:szCs w:val="24"/>
        </w:rPr>
      </w:pPr>
    </w:p>
    <w:p w14:paraId="1039506E" w14:textId="106A56A0" w:rsidR="00D20A0D" w:rsidRPr="00F41C2B" w:rsidRDefault="00D20A0D" w:rsidP="00F41C2B">
      <w:pPr>
        <w:pStyle w:val="Prrafodelista"/>
        <w:spacing w:line="276" w:lineRule="auto"/>
        <w:jc w:val="both"/>
        <w:rPr>
          <w:rFonts w:ascii="Arial" w:hAnsi="Arial" w:cs="Arial"/>
          <w:sz w:val="24"/>
          <w:szCs w:val="24"/>
        </w:rPr>
      </w:pPr>
      <w:r w:rsidRPr="00F41C2B">
        <w:rPr>
          <w:rFonts w:ascii="Arial" w:hAnsi="Arial" w:cs="Arial"/>
          <w:sz w:val="24"/>
          <w:szCs w:val="24"/>
        </w:rPr>
        <w:t xml:space="preserve">Al no tener registro del impacto de las “terapias de conversión” es </w:t>
      </w:r>
      <w:r w:rsidR="009073D4" w:rsidRPr="00F41C2B">
        <w:rPr>
          <w:rFonts w:ascii="Arial" w:hAnsi="Arial" w:cs="Arial"/>
          <w:sz w:val="24"/>
          <w:szCs w:val="24"/>
        </w:rPr>
        <w:t>difícil</w:t>
      </w:r>
      <w:r w:rsidRPr="00F41C2B">
        <w:rPr>
          <w:rFonts w:ascii="Arial" w:hAnsi="Arial" w:cs="Arial"/>
          <w:sz w:val="24"/>
          <w:szCs w:val="24"/>
        </w:rPr>
        <w:t xml:space="preserve"> tener un mejor conocimiento de los riesgos asociados. Las manifestaciones oficiales se han quedado en restringido a algunas declaraciones, como la realizada por la</w:t>
      </w:r>
      <w:r w:rsidR="00111A56" w:rsidRPr="00F41C2B">
        <w:rPr>
          <w:rFonts w:ascii="Arial" w:hAnsi="Arial" w:cs="Arial"/>
          <w:sz w:val="24"/>
          <w:szCs w:val="24"/>
        </w:rPr>
        <w:t xml:space="preserve"> Comisión Nacional de Derechos Humanos, el 17 de mayo de 2019 </w:t>
      </w:r>
      <w:r w:rsidRPr="00F41C2B">
        <w:rPr>
          <w:rFonts w:ascii="Arial" w:hAnsi="Arial" w:cs="Arial"/>
          <w:sz w:val="24"/>
          <w:szCs w:val="24"/>
        </w:rPr>
        <w:t xml:space="preserve">que menciona algunas </w:t>
      </w:r>
      <w:r w:rsidR="00111A56" w:rsidRPr="00F41C2B">
        <w:rPr>
          <w:rFonts w:ascii="Arial" w:hAnsi="Arial" w:cs="Arial"/>
          <w:sz w:val="24"/>
          <w:szCs w:val="24"/>
        </w:rPr>
        <w:t>posibles consecuencias de las “terapias de conversión”</w:t>
      </w:r>
      <w:r w:rsidR="003932BB">
        <w:rPr>
          <w:rStyle w:val="Refdenotaalpie"/>
          <w:rFonts w:ascii="Arial" w:hAnsi="Arial" w:cs="Arial"/>
          <w:sz w:val="24"/>
          <w:szCs w:val="24"/>
        </w:rPr>
        <w:footnoteReference w:id="1"/>
      </w:r>
      <w:r w:rsidR="00111A56" w:rsidRPr="00F41C2B">
        <w:rPr>
          <w:rFonts w:ascii="Arial" w:hAnsi="Arial" w:cs="Arial"/>
          <w:sz w:val="24"/>
          <w:szCs w:val="24"/>
        </w:rPr>
        <w:t xml:space="preserve">. </w:t>
      </w:r>
    </w:p>
    <w:p w14:paraId="01CF3660" w14:textId="77777777" w:rsidR="009073D4" w:rsidRPr="00F41C2B" w:rsidRDefault="009073D4" w:rsidP="00F41C2B">
      <w:pPr>
        <w:pStyle w:val="Prrafodelista"/>
        <w:spacing w:line="276" w:lineRule="auto"/>
        <w:jc w:val="both"/>
        <w:rPr>
          <w:rFonts w:ascii="Arial" w:hAnsi="Arial" w:cs="Arial"/>
          <w:sz w:val="24"/>
          <w:szCs w:val="24"/>
        </w:rPr>
      </w:pPr>
    </w:p>
    <w:p w14:paraId="0565AD03" w14:textId="78893EC9" w:rsidR="00111A56" w:rsidRPr="00F41C2B" w:rsidRDefault="00D20A0D" w:rsidP="00F41C2B">
      <w:pPr>
        <w:pStyle w:val="Prrafodelista"/>
        <w:spacing w:line="276" w:lineRule="auto"/>
        <w:jc w:val="both"/>
        <w:rPr>
          <w:rFonts w:ascii="Arial" w:hAnsi="Arial" w:cs="Arial"/>
          <w:sz w:val="24"/>
          <w:szCs w:val="24"/>
        </w:rPr>
      </w:pPr>
      <w:r w:rsidRPr="00F41C2B">
        <w:rPr>
          <w:rFonts w:ascii="Arial" w:hAnsi="Arial" w:cs="Arial"/>
          <w:sz w:val="24"/>
          <w:szCs w:val="24"/>
        </w:rPr>
        <w:t xml:space="preserve">Desde la Cámara de Diputados y el Senado se han elaborado iniciativas de ley que mencionan estos riesgos y </w:t>
      </w:r>
      <w:r w:rsidR="00111A56" w:rsidRPr="00F41C2B">
        <w:rPr>
          <w:rFonts w:ascii="Arial" w:hAnsi="Arial" w:cs="Arial"/>
          <w:sz w:val="24"/>
          <w:szCs w:val="24"/>
        </w:rPr>
        <w:t>sus posibles consecuencias</w:t>
      </w:r>
      <w:r w:rsidR="003932BB">
        <w:rPr>
          <w:rStyle w:val="Refdenotaalpie"/>
          <w:rFonts w:ascii="Arial" w:hAnsi="Arial" w:cs="Arial"/>
          <w:sz w:val="24"/>
          <w:szCs w:val="24"/>
        </w:rPr>
        <w:footnoteReference w:id="2"/>
      </w:r>
      <w:r w:rsidR="00111A56" w:rsidRPr="00F41C2B">
        <w:rPr>
          <w:rFonts w:ascii="Arial" w:hAnsi="Arial" w:cs="Arial"/>
          <w:sz w:val="24"/>
          <w:szCs w:val="24"/>
        </w:rPr>
        <w:t>.</w:t>
      </w:r>
    </w:p>
    <w:p w14:paraId="28AAFF0C" w14:textId="77777777" w:rsidR="002348D8" w:rsidRPr="00F41C2B" w:rsidRDefault="002348D8" w:rsidP="00F41C2B">
      <w:pPr>
        <w:pStyle w:val="Prrafodelista"/>
        <w:spacing w:line="276" w:lineRule="auto"/>
        <w:jc w:val="both"/>
        <w:rPr>
          <w:rFonts w:ascii="Arial" w:hAnsi="Arial" w:cs="Arial"/>
          <w:sz w:val="24"/>
          <w:szCs w:val="24"/>
        </w:rPr>
      </w:pPr>
    </w:p>
    <w:p w14:paraId="4D6FB657" w14:textId="77777777" w:rsidR="00111A56" w:rsidRPr="00F41C2B" w:rsidRDefault="00111A56" w:rsidP="00F41C2B">
      <w:pPr>
        <w:pStyle w:val="Prrafodelista"/>
        <w:spacing w:line="276" w:lineRule="auto"/>
        <w:jc w:val="both"/>
        <w:rPr>
          <w:rFonts w:ascii="Arial" w:hAnsi="Arial" w:cs="Arial"/>
          <w:sz w:val="24"/>
          <w:szCs w:val="24"/>
        </w:rPr>
      </w:pPr>
    </w:p>
    <w:p w14:paraId="51B2F30F" w14:textId="77777777" w:rsidR="00EC19BF" w:rsidRPr="00F41C2B" w:rsidRDefault="000C723C" w:rsidP="00F41C2B">
      <w:pPr>
        <w:pStyle w:val="Prrafodelista"/>
        <w:numPr>
          <w:ilvl w:val="0"/>
          <w:numId w:val="1"/>
        </w:numPr>
        <w:spacing w:line="276" w:lineRule="auto"/>
        <w:jc w:val="both"/>
        <w:rPr>
          <w:rFonts w:ascii="Arial" w:hAnsi="Arial" w:cs="Arial"/>
          <w:b/>
          <w:sz w:val="24"/>
          <w:szCs w:val="24"/>
        </w:rPr>
      </w:pPr>
      <w:r w:rsidRPr="00F41C2B">
        <w:rPr>
          <w:rFonts w:ascii="Arial" w:hAnsi="Arial" w:cs="Arial"/>
          <w:b/>
          <w:sz w:val="24"/>
          <w:szCs w:val="24"/>
        </w:rPr>
        <w:lastRenderedPageBreak/>
        <w:t>¿Existe una posición del Estado sobre qué salvaguardias son necesarias y que salvaguardias existen para proteger los derechos humanos de las personas en relación con las prácticas de la llamada “terapia de conversión? Esta pregunta incluye lo siguiente:</w:t>
      </w:r>
    </w:p>
    <w:p w14:paraId="59235CEA" w14:textId="77777777" w:rsidR="00305AAB" w:rsidRPr="00F41C2B" w:rsidRDefault="00305AAB" w:rsidP="00F41C2B">
      <w:pPr>
        <w:pStyle w:val="Prrafodelista"/>
        <w:spacing w:line="276" w:lineRule="auto"/>
        <w:jc w:val="both"/>
        <w:rPr>
          <w:rFonts w:ascii="Arial" w:hAnsi="Arial" w:cs="Arial"/>
          <w:sz w:val="24"/>
          <w:szCs w:val="24"/>
        </w:rPr>
      </w:pPr>
    </w:p>
    <w:p w14:paraId="3CB06E60" w14:textId="77777777" w:rsidR="000C723C" w:rsidRPr="00F41C2B" w:rsidRDefault="000C723C" w:rsidP="00F41C2B">
      <w:pPr>
        <w:pStyle w:val="Prrafodelista"/>
        <w:numPr>
          <w:ilvl w:val="1"/>
          <w:numId w:val="1"/>
        </w:numPr>
        <w:spacing w:line="276" w:lineRule="auto"/>
        <w:jc w:val="both"/>
        <w:rPr>
          <w:rFonts w:ascii="Arial" w:hAnsi="Arial" w:cs="Arial"/>
          <w:b/>
          <w:sz w:val="24"/>
          <w:szCs w:val="24"/>
        </w:rPr>
      </w:pPr>
      <w:r w:rsidRPr="00F41C2B">
        <w:rPr>
          <w:rFonts w:ascii="Arial" w:hAnsi="Arial" w:cs="Arial"/>
          <w:b/>
          <w:sz w:val="24"/>
          <w:szCs w:val="24"/>
        </w:rPr>
        <w:t>Medidas de protección para evitar que las personas sean sometidas a “terapia de conversión”.</w:t>
      </w:r>
    </w:p>
    <w:p w14:paraId="57872BE5" w14:textId="77777777" w:rsidR="008604C7" w:rsidRPr="00F41C2B" w:rsidRDefault="008604C7" w:rsidP="00F41C2B">
      <w:pPr>
        <w:pStyle w:val="Prrafodelista"/>
        <w:spacing w:line="276" w:lineRule="auto"/>
        <w:ind w:left="1440"/>
        <w:jc w:val="both"/>
        <w:rPr>
          <w:rFonts w:ascii="Arial" w:hAnsi="Arial" w:cs="Arial"/>
          <w:sz w:val="24"/>
          <w:szCs w:val="24"/>
        </w:rPr>
      </w:pPr>
    </w:p>
    <w:p w14:paraId="77ABD3EB" w14:textId="77777777" w:rsidR="008604C7" w:rsidRPr="00F41C2B" w:rsidRDefault="009073D4" w:rsidP="00F41C2B">
      <w:pPr>
        <w:pStyle w:val="Prrafodelista"/>
        <w:spacing w:line="276" w:lineRule="auto"/>
        <w:ind w:left="1440"/>
        <w:jc w:val="both"/>
        <w:rPr>
          <w:rFonts w:ascii="Arial" w:hAnsi="Arial" w:cs="Arial"/>
          <w:sz w:val="24"/>
          <w:szCs w:val="24"/>
        </w:rPr>
      </w:pPr>
      <w:r w:rsidRPr="00F41C2B">
        <w:rPr>
          <w:rFonts w:ascii="Arial" w:hAnsi="Arial" w:cs="Arial"/>
          <w:sz w:val="24"/>
          <w:szCs w:val="24"/>
        </w:rPr>
        <w:t>La</w:t>
      </w:r>
      <w:r w:rsidR="00D20A0D" w:rsidRPr="00F41C2B">
        <w:rPr>
          <w:rFonts w:ascii="Arial" w:hAnsi="Arial" w:cs="Arial"/>
          <w:sz w:val="24"/>
          <w:szCs w:val="24"/>
        </w:rPr>
        <w:t xml:space="preserve">s </w:t>
      </w:r>
      <w:r w:rsidRPr="00F41C2B">
        <w:rPr>
          <w:rFonts w:ascii="Arial" w:hAnsi="Arial" w:cs="Arial"/>
          <w:sz w:val="24"/>
          <w:szCs w:val="24"/>
        </w:rPr>
        <w:t>entidades gubernamentales</w:t>
      </w:r>
      <w:r w:rsidR="00D20A0D" w:rsidRPr="00F41C2B">
        <w:rPr>
          <w:rFonts w:ascii="Arial" w:hAnsi="Arial" w:cs="Arial"/>
          <w:sz w:val="24"/>
          <w:szCs w:val="24"/>
        </w:rPr>
        <w:t xml:space="preserve"> no han tomado acción alguna, ni siquiera en aquellos Estados donde las organizaciones han alertado de su instalación.</w:t>
      </w:r>
    </w:p>
    <w:p w14:paraId="15EDD583" w14:textId="77777777" w:rsidR="008604C7" w:rsidRPr="00F41C2B" w:rsidRDefault="008604C7" w:rsidP="00F41C2B">
      <w:pPr>
        <w:pStyle w:val="Prrafodelista"/>
        <w:spacing w:line="276" w:lineRule="auto"/>
        <w:ind w:left="1440"/>
        <w:jc w:val="both"/>
        <w:rPr>
          <w:rFonts w:ascii="Arial" w:hAnsi="Arial" w:cs="Arial"/>
          <w:sz w:val="24"/>
          <w:szCs w:val="24"/>
        </w:rPr>
      </w:pPr>
    </w:p>
    <w:p w14:paraId="6024AEDF" w14:textId="77777777" w:rsidR="000C723C" w:rsidRPr="00F41C2B" w:rsidRDefault="000C723C" w:rsidP="00F41C2B">
      <w:pPr>
        <w:pStyle w:val="Prrafodelista"/>
        <w:numPr>
          <w:ilvl w:val="1"/>
          <w:numId w:val="1"/>
        </w:numPr>
        <w:spacing w:line="276" w:lineRule="auto"/>
        <w:jc w:val="both"/>
        <w:rPr>
          <w:rFonts w:ascii="Arial" w:hAnsi="Arial" w:cs="Arial"/>
          <w:b/>
          <w:sz w:val="24"/>
          <w:szCs w:val="24"/>
        </w:rPr>
      </w:pPr>
      <w:r w:rsidRPr="00F41C2B">
        <w:rPr>
          <w:rFonts w:ascii="Arial" w:hAnsi="Arial" w:cs="Arial"/>
          <w:b/>
          <w:sz w:val="24"/>
          <w:szCs w:val="24"/>
        </w:rPr>
        <w:t>Extensión de las normas legales o políticas administrativas para hacer responsables a los proveedores de atención médica y a otras personas involucradas en dichas “terapias de conversión”.</w:t>
      </w:r>
    </w:p>
    <w:p w14:paraId="7A558842" w14:textId="77777777" w:rsidR="008604C7" w:rsidRPr="00F41C2B" w:rsidRDefault="008604C7" w:rsidP="00F41C2B">
      <w:pPr>
        <w:pStyle w:val="Prrafodelista"/>
        <w:spacing w:line="276" w:lineRule="auto"/>
        <w:jc w:val="both"/>
        <w:rPr>
          <w:rFonts w:ascii="Arial" w:hAnsi="Arial" w:cs="Arial"/>
          <w:sz w:val="24"/>
          <w:szCs w:val="24"/>
        </w:rPr>
      </w:pPr>
    </w:p>
    <w:p w14:paraId="3E5957B8" w14:textId="4B46581F" w:rsidR="00CA458B" w:rsidRPr="00F41C2B" w:rsidRDefault="00D20A0D" w:rsidP="00F41C2B">
      <w:pPr>
        <w:autoSpaceDE w:val="0"/>
        <w:autoSpaceDN w:val="0"/>
        <w:adjustRightInd w:val="0"/>
        <w:spacing w:after="0" w:line="276" w:lineRule="auto"/>
        <w:ind w:left="851"/>
        <w:jc w:val="both"/>
        <w:rPr>
          <w:rFonts w:ascii="Arial" w:hAnsi="Arial" w:cs="Arial"/>
          <w:sz w:val="24"/>
          <w:szCs w:val="24"/>
        </w:rPr>
      </w:pPr>
      <w:r w:rsidRPr="00F41C2B">
        <w:rPr>
          <w:rFonts w:ascii="Arial" w:hAnsi="Arial" w:cs="Arial"/>
          <w:sz w:val="24"/>
          <w:szCs w:val="24"/>
        </w:rPr>
        <w:t xml:space="preserve">Como norma, podríamos considerar el </w:t>
      </w:r>
      <w:r w:rsidR="007E790C" w:rsidRPr="00F41C2B">
        <w:rPr>
          <w:rFonts w:ascii="Arial" w:hAnsi="Arial" w:cs="Arial"/>
          <w:i/>
          <w:sz w:val="24"/>
          <w:szCs w:val="24"/>
        </w:rPr>
        <w:t>Protocolo para el acceso sin discriminación a la prestación de servicios de atención médica de las poblaciones lésbico, gay, bisexual, transexual, travesti, transgénero e intersexual</w:t>
      </w:r>
      <w:r w:rsidR="009E445B">
        <w:rPr>
          <w:rStyle w:val="Refdenotaalpie"/>
          <w:rFonts w:ascii="Arial" w:hAnsi="Arial" w:cs="Arial"/>
          <w:i/>
          <w:sz w:val="24"/>
          <w:szCs w:val="24"/>
        </w:rPr>
        <w:footnoteReference w:id="3"/>
      </w:r>
      <w:r w:rsidR="007E790C" w:rsidRPr="00F41C2B">
        <w:rPr>
          <w:rFonts w:ascii="Arial" w:hAnsi="Arial" w:cs="Arial"/>
          <w:i/>
          <w:sz w:val="24"/>
          <w:szCs w:val="24"/>
        </w:rPr>
        <w:t>,</w:t>
      </w:r>
      <w:r w:rsidR="007E790C" w:rsidRPr="00F41C2B">
        <w:rPr>
          <w:rFonts w:ascii="Arial" w:hAnsi="Arial" w:cs="Arial"/>
          <w:sz w:val="24"/>
          <w:szCs w:val="24"/>
        </w:rPr>
        <w:t xml:space="preserve"> </w:t>
      </w:r>
      <w:r w:rsidRPr="00F41C2B">
        <w:rPr>
          <w:rFonts w:ascii="Arial" w:hAnsi="Arial" w:cs="Arial"/>
          <w:sz w:val="24"/>
          <w:szCs w:val="24"/>
        </w:rPr>
        <w:t xml:space="preserve">que ha impulsado la Secretaria de Salud. Si </w:t>
      </w:r>
      <w:r w:rsidR="00CA458B" w:rsidRPr="00F41C2B">
        <w:rPr>
          <w:rFonts w:ascii="Arial" w:hAnsi="Arial" w:cs="Arial"/>
          <w:sz w:val="24"/>
          <w:szCs w:val="24"/>
        </w:rPr>
        <w:t>b</w:t>
      </w:r>
      <w:r w:rsidRPr="00F41C2B">
        <w:rPr>
          <w:rFonts w:ascii="Arial" w:hAnsi="Arial" w:cs="Arial"/>
          <w:sz w:val="24"/>
          <w:szCs w:val="24"/>
        </w:rPr>
        <w:t>ien se trata de un Protocolo que no implica sanción a su incumplimiento, ofrece una guía para atención adecuada de las personas LGBTI y menciona algunos aspectos que podrían relacionarse con las “terapias de conversión</w:t>
      </w:r>
      <w:r w:rsidR="003D5CC5" w:rsidRPr="00F41C2B">
        <w:rPr>
          <w:rFonts w:ascii="Arial" w:hAnsi="Arial" w:cs="Arial"/>
          <w:sz w:val="24"/>
          <w:szCs w:val="24"/>
        </w:rPr>
        <w:t>”</w:t>
      </w:r>
      <w:r w:rsidR="00CA458B" w:rsidRPr="00F41C2B">
        <w:rPr>
          <w:rFonts w:ascii="Arial" w:hAnsi="Arial" w:cs="Arial"/>
          <w:sz w:val="24"/>
          <w:szCs w:val="24"/>
        </w:rPr>
        <w:t>.</w:t>
      </w:r>
    </w:p>
    <w:p w14:paraId="0486FE8C" w14:textId="77777777" w:rsidR="00CA458B" w:rsidRPr="00F41C2B" w:rsidRDefault="00CA458B" w:rsidP="00F41C2B">
      <w:pPr>
        <w:autoSpaceDE w:val="0"/>
        <w:autoSpaceDN w:val="0"/>
        <w:adjustRightInd w:val="0"/>
        <w:spacing w:after="0" w:line="276" w:lineRule="auto"/>
        <w:ind w:left="851"/>
        <w:jc w:val="both"/>
        <w:rPr>
          <w:rFonts w:ascii="Arial" w:hAnsi="Arial" w:cs="Arial"/>
          <w:sz w:val="24"/>
          <w:szCs w:val="24"/>
        </w:rPr>
      </w:pPr>
    </w:p>
    <w:p w14:paraId="49DFE606" w14:textId="0BDE4D3B" w:rsidR="005D06FB" w:rsidRPr="00F41C2B" w:rsidRDefault="00CA458B" w:rsidP="00F41C2B">
      <w:pPr>
        <w:autoSpaceDE w:val="0"/>
        <w:autoSpaceDN w:val="0"/>
        <w:adjustRightInd w:val="0"/>
        <w:spacing w:after="0" w:line="276" w:lineRule="auto"/>
        <w:ind w:left="851"/>
        <w:jc w:val="both"/>
        <w:rPr>
          <w:rFonts w:ascii="Arial" w:hAnsi="Arial" w:cs="Arial"/>
          <w:sz w:val="24"/>
          <w:szCs w:val="24"/>
        </w:rPr>
      </w:pPr>
      <w:r w:rsidRPr="00F41C2B">
        <w:rPr>
          <w:rFonts w:ascii="Arial" w:hAnsi="Arial" w:cs="Arial"/>
          <w:sz w:val="24"/>
          <w:szCs w:val="24"/>
        </w:rPr>
        <w:t>Sus políticas hacen referencia al riesgo de patologizar la orientación sexual como la condición Transgénero e intersexual y convoca al personal de salud al trato digno y sin discriminación, con respeto de las libertades (pág. 32,</w:t>
      </w:r>
      <w:r w:rsidR="009E445B">
        <w:rPr>
          <w:rFonts w:ascii="Arial" w:hAnsi="Arial" w:cs="Arial"/>
          <w:sz w:val="24"/>
          <w:szCs w:val="24"/>
        </w:rPr>
        <w:t xml:space="preserve"> </w:t>
      </w:r>
      <w:r w:rsidRPr="00F41C2B">
        <w:rPr>
          <w:rFonts w:ascii="Arial" w:hAnsi="Arial" w:cs="Arial"/>
          <w:sz w:val="24"/>
          <w:szCs w:val="24"/>
        </w:rPr>
        <w:t>45,</w:t>
      </w:r>
      <w:r w:rsidR="009E445B">
        <w:rPr>
          <w:rFonts w:ascii="Arial" w:hAnsi="Arial" w:cs="Arial"/>
          <w:sz w:val="24"/>
          <w:szCs w:val="24"/>
        </w:rPr>
        <w:t xml:space="preserve"> </w:t>
      </w:r>
      <w:r w:rsidRPr="00F41C2B">
        <w:rPr>
          <w:rFonts w:ascii="Arial" w:hAnsi="Arial" w:cs="Arial"/>
          <w:sz w:val="24"/>
          <w:szCs w:val="24"/>
        </w:rPr>
        <w:t>52 y 54)</w:t>
      </w:r>
      <w:r w:rsidR="005D06FB" w:rsidRPr="00F41C2B">
        <w:rPr>
          <w:rFonts w:ascii="Arial" w:hAnsi="Arial" w:cs="Arial"/>
          <w:sz w:val="24"/>
          <w:szCs w:val="24"/>
        </w:rPr>
        <w:t xml:space="preserve"> e incluso recomienda no prescribir tratamientos y/o evaluaciones psicológicas o psiquiátricas a ninguna persona, sólo por su orientación sexual, identidad y/o expresión de género (p</w:t>
      </w:r>
      <w:r w:rsidR="00E03D9A" w:rsidRPr="00F41C2B">
        <w:rPr>
          <w:rFonts w:ascii="Arial" w:hAnsi="Arial" w:cs="Arial"/>
          <w:sz w:val="24"/>
          <w:szCs w:val="24"/>
        </w:rPr>
        <w:t>ág. 32</w:t>
      </w:r>
      <w:r w:rsidR="005D06FB" w:rsidRPr="00F41C2B">
        <w:rPr>
          <w:rFonts w:ascii="Arial" w:hAnsi="Arial" w:cs="Arial"/>
          <w:sz w:val="24"/>
          <w:szCs w:val="24"/>
        </w:rPr>
        <w:t xml:space="preserve">). </w:t>
      </w:r>
      <w:r w:rsidRPr="00F41C2B">
        <w:rPr>
          <w:rFonts w:ascii="Arial" w:hAnsi="Arial" w:cs="Arial"/>
          <w:sz w:val="24"/>
          <w:szCs w:val="24"/>
        </w:rPr>
        <w:t xml:space="preserve"> </w:t>
      </w:r>
    </w:p>
    <w:p w14:paraId="2D88519E" w14:textId="77777777" w:rsidR="005D06FB" w:rsidRPr="00F41C2B" w:rsidRDefault="005D06FB" w:rsidP="00F41C2B">
      <w:pPr>
        <w:autoSpaceDE w:val="0"/>
        <w:autoSpaceDN w:val="0"/>
        <w:adjustRightInd w:val="0"/>
        <w:spacing w:after="0" w:line="276" w:lineRule="auto"/>
        <w:ind w:left="851"/>
        <w:jc w:val="both"/>
        <w:rPr>
          <w:rFonts w:ascii="Arial" w:hAnsi="Arial" w:cs="Arial"/>
          <w:sz w:val="24"/>
          <w:szCs w:val="24"/>
        </w:rPr>
      </w:pPr>
    </w:p>
    <w:p w14:paraId="61AFE147" w14:textId="0A85D4EE" w:rsidR="00CA458B" w:rsidRPr="00F41C2B" w:rsidRDefault="00CA458B" w:rsidP="00F41C2B">
      <w:pPr>
        <w:autoSpaceDE w:val="0"/>
        <w:autoSpaceDN w:val="0"/>
        <w:adjustRightInd w:val="0"/>
        <w:spacing w:after="0" w:line="276" w:lineRule="auto"/>
        <w:ind w:left="851"/>
        <w:jc w:val="both"/>
        <w:rPr>
          <w:rFonts w:ascii="Arial" w:hAnsi="Arial" w:cs="Arial"/>
          <w:sz w:val="24"/>
          <w:szCs w:val="24"/>
        </w:rPr>
      </w:pPr>
      <w:r w:rsidRPr="00F41C2B">
        <w:rPr>
          <w:rFonts w:ascii="Arial" w:hAnsi="Arial" w:cs="Arial"/>
          <w:sz w:val="24"/>
          <w:szCs w:val="24"/>
        </w:rPr>
        <w:t>Igualmente reconoce la plasticidad del género y la orientación sexual para comprender que puede aparecer a cualquier edad y sufrir cambios (pág. 35) a lo largo de la vida.</w:t>
      </w:r>
      <w:r w:rsidR="005D06FB" w:rsidRPr="00F41C2B">
        <w:rPr>
          <w:rFonts w:ascii="Arial" w:hAnsi="Arial" w:cs="Arial"/>
          <w:sz w:val="24"/>
          <w:szCs w:val="24"/>
        </w:rPr>
        <w:t xml:space="preserve"> Por lo que recomiend</w:t>
      </w:r>
      <w:r w:rsidR="009E445B">
        <w:rPr>
          <w:rFonts w:ascii="Arial" w:hAnsi="Arial" w:cs="Arial"/>
          <w:sz w:val="24"/>
          <w:szCs w:val="24"/>
        </w:rPr>
        <w:t>a</w:t>
      </w:r>
      <w:r w:rsidR="005D06FB" w:rsidRPr="00F41C2B">
        <w:rPr>
          <w:rFonts w:ascii="Arial" w:hAnsi="Arial" w:cs="Arial"/>
          <w:sz w:val="24"/>
          <w:szCs w:val="24"/>
        </w:rPr>
        <w:t xml:space="preserve"> que se consideren acciones </w:t>
      </w:r>
      <w:r w:rsidR="005D06FB" w:rsidRPr="00F41C2B">
        <w:rPr>
          <w:rFonts w:ascii="Arial" w:hAnsi="Arial" w:cs="Arial"/>
          <w:sz w:val="24"/>
          <w:szCs w:val="24"/>
        </w:rPr>
        <w:lastRenderedPageBreak/>
        <w:t>desde edades tempranas que involucren a sus familias (pág. 36); incluso considera en caso necesario recurrir a reportes ante la autoridad cuando se considere que se violentan sus derechos (pág. 37).</w:t>
      </w:r>
    </w:p>
    <w:p w14:paraId="33625A8D" w14:textId="77777777" w:rsidR="00CA458B" w:rsidRPr="00F41C2B" w:rsidRDefault="00CA458B" w:rsidP="00F41C2B">
      <w:pPr>
        <w:autoSpaceDE w:val="0"/>
        <w:autoSpaceDN w:val="0"/>
        <w:adjustRightInd w:val="0"/>
        <w:spacing w:after="0" w:line="276" w:lineRule="auto"/>
        <w:ind w:left="851"/>
        <w:jc w:val="both"/>
        <w:rPr>
          <w:rFonts w:ascii="Arial" w:hAnsi="Arial" w:cs="Arial"/>
          <w:sz w:val="24"/>
          <w:szCs w:val="24"/>
        </w:rPr>
      </w:pPr>
    </w:p>
    <w:p w14:paraId="5F38B36E" w14:textId="77777777" w:rsidR="00CA458B" w:rsidRPr="00F41C2B" w:rsidRDefault="00E03D9A" w:rsidP="00F41C2B">
      <w:pPr>
        <w:autoSpaceDE w:val="0"/>
        <w:autoSpaceDN w:val="0"/>
        <w:adjustRightInd w:val="0"/>
        <w:spacing w:after="0" w:line="276" w:lineRule="auto"/>
        <w:ind w:left="851"/>
        <w:jc w:val="both"/>
        <w:rPr>
          <w:rFonts w:ascii="Arial" w:hAnsi="Arial" w:cs="Arial"/>
          <w:sz w:val="24"/>
          <w:szCs w:val="24"/>
        </w:rPr>
      </w:pPr>
      <w:r w:rsidRPr="00F41C2B">
        <w:rPr>
          <w:rFonts w:ascii="Arial" w:hAnsi="Arial" w:cs="Arial"/>
          <w:sz w:val="24"/>
          <w:szCs w:val="24"/>
        </w:rPr>
        <w:t xml:space="preserve">El Protocolo recomienda también la formación y capacitación para sensibilizar al </w:t>
      </w:r>
      <w:r w:rsidR="0018480E" w:rsidRPr="00F41C2B">
        <w:rPr>
          <w:rFonts w:ascii="Arial" w:hAnsi="Arial" w:cs="Arial"/>
          <w:sz w:val="24"/>
          <w:szCs w:val="24"/>
        </w:rPr>
        <w:t xml:space="preserve">personal </w:t>
      </w:r>
      <w:r w:rsidRPr="00F41C2B">
        <w:rPr>
          <w:rFonts w:ascii="Arial" w:hAnsi="Arial" w:cs="Arial"/>
          <w:sz w:val="24"/>
          <w:szCs w:val="24"/>
        </w:rPr>
        <w:t xml:space="preserve">de salud, </w:t>
      </w:r>
      <w:r w:rsidR="0018480E" w:rsidRPr="00F41C2B">
        <w:rPr>
          <w:rFonts w:ascii="Arial" w:hAnsi="Arial" w:cs="Arial"/>
          <w:sz w:val="24"/>
          <w:szCs w:val="24"/>
        </w:rPr>
        <w:t>médico</w:t>
      </w:r>
      <w:r w:rsidRPr="00F41C2B">
        <w:rPr>
          <w:rFonts w:ascii="Arial" w:hAnsi="Arial" w:cs="Arial"/>
          <w:sz w:val="24"/>
          <w:szCs w:val="24"/>
        </w:rPr>
        <w:t xml:space="preserve">s tratantes e </w:t>
      </w:r>
      <w:r w:rsidR="00505C15" w:rsidRPr="00F41C2B">
        <w:rPr>
          <w:rFonts w:ascii="Arial" w:hAnsi="Arial" w:cs="Arial"/>
          <w:sz w:val="24"/>
          <w:szCs w:val="24"/>
        </w:rPr>
        <w:t>incluyendo el personal administrativo, de servicios médico</w:t>
      </w:r>
      <w:r w:rsidRPr="00F41C2B">
        <w:rPr>
          <w:rFonts w:ascii="Arial" w:hAnsi="Arial" w:cs="Arial"/>
          <w:sz w:val="24"/>
          <w:szCs w:val="24"/>
        </w:rPr>
        <w:t>s y paramédicos; para que los servicios garanticen el</w:t>
      </w:r>
      <w:r w:rsidR="00505C15" w:rsidRPr="00F41C2B">
        <w:rPr>
          <w:rFonts w:ascii="Arial" w:hAnsi="Arial" w:cs="Arial"/>
          <w:sz w:val="24"/>
          <w:szCs w:val="24"/>
        </w:rPr>
        <w:t xml:space="preserve"> respeto a la dignidad humana y b</w:t>
      </w:r>
      <w:r w:rsidRPr="00F41C2B">
        <w:rPr>
          <w:rFonts w:ascii="Arial" w:hAnsi="Arial" w:cs="Arial"/>
          <w:sz w:val="24"/>
          <w:szCs w:val="24"/>
        </w:rPr>
        <w:t>ajo ninguna circunstancia tengan</w:t>
      </w:r>
      <w:r w:rsidR="00505C15" w:rsidRPr="00F41C2B">
        <w:rPr>
          <w:rFonts w:ascii="Arial" w:hAnsi="Arial" w:cs="Arial"/>
          <w:sz w:val="24"/>
          <w:szCs w:val="24"/>
        </w:rPr>
        <w:t xml:space="preserve"> por objeto anular o menoscabar derechos y libertades de las personas</w:t>
      </w:r>
      <w:r w:rsidR="0025783C" w:rsidRPr="00F41C2B">
        <w:rPr>
          <w:rFonts w:ascii="Arial" w:hAnsi="Arial" w:cs="Arial"/>
          <w:sz w:val="24"/>
          <w:szCs w:val="24"/>
        </w:rPr>
        <w:t xml:space="preserve"> (pág. 49)</w:t>
      </w:r>
      <w:r w:rsidR="00505C15" w:rsidRPr="00F41C2B">
        <w:rPr>
          <w:rFonts w:ascii="Arial" w:hAnsi="Arial" w:cs="Arial"/>
          <w:sz w:val="24"/>
          <w:szCs w:val="24"/>
        </w:rPr>
        <w:t>.</w:t>
      </w:r>
      <w:r w:rsidR="0025783C" w:rsidRPr="00F41C2B">
        <w:rPr>
          <w:rFonts w:ascii="Arial" w:hAnsi="Arial" w:cs="Arial"/>
          <w:sz w:val="24"/>
          <w:szCs w:val="24"/>
        </w:rPr>
        <w:t xml:space="preserve"> </w:t>
      </w:r>
    </w:p>
    <w:p w14:paraId="08A28B34" w14:textId="77777777" w:rsidR="008604C7" w:rsidRPr="009E445B" w:rsidRDefault="008604C7" w:rsidP="009E445B">
      <w:pPr>
        <w:spacing w:line="276" w:lineRule="auto"/>
        <w:jc w:val="both"/>
        <w:rPr>
          <w:rFonts w:ascii="Arial" w:hAnsi="Arial" w:cs="Arial"/>
          <w:sz w:val="24"/>
          <w:szCs w:val="24"/>
        </w:rPr>
      </w:pPr>
    </w:p>
    <w:p w14:paraId="5EC303CF" w14:textId="77777777" w:rsidR="000C723C" w:rsidRPr="00F41C2B" w:rsidRDefault="000C723C" w:rsidP="00F41C2B">
      <w:pPr>
        <w:pStyle w:val="Prrafodelista"/>
        <w:numPr>
          <w:ilvl w:val="0"/>
          <w:numId w:val="1"/>
        </w:numPr>
        <w:spacing w:line="276" w:lineRule="auto"/>
        <w:jc w:val="both"/>
        <w:rPr>
          <w:rFonts w:ascii="Arial" w:hAnsi="Arial" w:cs="Arial"/>
          <w:b/>
          <w:sz w:val="24"/>
          <w:szCs w:val="24"/>
        </w:rPr>
      </w:pPr>
      <w:r w:rsidRPr="00F41C2B">
        <w:rPr>
          <w:rFonts w:ascii="Arial" w:hAnsi="Arial" w:cs="Arial"/>
          <w:b/>
          <w:sz w:val="24"/>
          <w:szCs w:val="24"/>
        </w:rPr>
        <w:t>¿Existen instituciones, organizaciones o entidades estatales involucradas en la ejecución de las prácticas de la llamada “terapia de conversión”? En caso afirmativo ¿qué criterios se han seguido para considerarlos como una forma válida de acción estatal?</w:t>
      </w:r>
    </w:p>
    <w:p w14:paraId="7A7605B2" w14:textId="77777777" w:rsidR="008604C7" w:rsidRPr="00F41C2B" w:rsidRDefault="008604C7" w:rsidP="00F41C2B">
      <w:pPr>
        <w:pStyle w:val="Prrafodelista"/>
        <w:spacing w:line="276" w:lineRule="auto"/>
        <w:jc w:val="both"/>
        <w:rPr>
          <w:rFonts w:ascii="Arial" w:hAnsi="Arial" w:cs="Arial"/>
          <w:sz w:val="24"/>
          <w:szCs w:val="24"/>
        </w:rPr>
      </w:pPr>
    </w:p>
    <w:p w14:paraId="1CC57447" w14:textId="77777777" w:rsidR="008604C7" w:rsidRPr="00F41C2B" w:rsidRDefault="00E03D9A" w:rsidP="00F41C2B">
      <w:pPr>
        <w:pStyle w:val="Prrafodelista"/>
        <w:spacing w:line="276" w:lineRule="auto"/>
        <w:ind w:left="1416"/>
        <w:jc w:val="both"/>
        <w:rPr>
          <w:rFonts w:ascii="Arial" w:hAnsi="Arial" w:cs="Arial"/>
          <w:sz w:val="24"/>
          <w:szCs w:val="24"/>
        </w:rPr>
      </w:pPr>
      <w:r w:rsidRPr="00F41C2B">
        <w:rPr>
          <w:rFonts w:ascii="Arial" w:hAnsi="Arial" w:cs="Arial"/>
          <w:sz w:val="24"/>
          <w:szCs w:val="24"/>
        </w:rPr>
        <w:t>No tenemos conocimiento de que entidades públicas realicen estas prácticas.</w:t>
      </w:r>
    </w:p>
    <w:p w14:paraId="5E0A8FF3" w14:textId="77777777" w:rsidR="008604C7" w:rsidRPr="00F41C2B" w:rsidRDefault="008604C7" w:rsidP="00F41C2B">
      <w:pPr>
        <w:pStyle w:val="Prrafodelista"/>
        <w:spacing w:line="276" w:lineRule="auto"/>
        <w:jc w:val="both"/>
        <w:rPr>
          <w:rFonts w:ascii="Arial" w:hAnsi="Arial" w:cs="Arial"/>
          <w:sz w:val="24"/>
          <w:szCs w:val="24"/>
        </w:rPr>
      </w:pPr>
    </w:p>
    <w:p w14:paraId="5641340B" w14:textId="77777777" w:rsidR="000C723C" w:rsidRPr="00F41C2B" w:rsidRDefault="000C723C" w:rsidP="00F41C2B">
      <w:pPr>
        <w:pStyle w:val="Prrafodelista"/>
        <w:numPr>
          <w:ilvl w:val="0"/>
          <w:numId w:val="1"/>
        </w:numPr>
        <w:spacing w:line="276" w:lineRule="auto"/>
        <w:jc w:val="both"/>
        <w:rPr>
          <w:rFonts w:ascii="Arial" w:hAnsi="Arial" w:cs="Arial"/>
          <w:b/>
          <w:sz w:val="24"/>
          <w:szCs w:val="24"/>
        </w:rPr>
      </w:pPr>
      <w:r w:rsidRPr="00F41C2B">
        <w:rPr>
          <w:rFonts w:ascii="Arial" w:hAnsi="Arial" w:cs="Arial"/>
          <w:b/>
          <w:sz w:val="24"/>
          <w:szCs w:val="24"/>
        </w:rPr>
        <w:t>¿Alguna institución del Estado ha adoptado una posición en relación con las prácticas de la llamada “terapia de conversión”, por ejemplo:</w:t>
      </w:r>
    </w:p>
    <w:p w14:paraId="1E7670E0" w14:textId="77777777" w:rsidR="007E790C" w:rsidRPr="00F41C2B" w:rsidRDefault="007E790C" w:rsidP="00F41C2B">
      <w:pPr>
        <w:pStyle w:val="Prrafodelista"/>
        <w:spacing w:line="276" w:lineRule="auto"/>
        <w:jc w:val="both"/>
        <w:rPr>
          <w:rFonts w:ascii="Arial" w:hAnsi="Arial" w:cs="Arial"/>
          <w:sz w:val="24"/>
          <w:szCs w:val="24"/>
        </w:rPr>
      </w:pPr>
    </w:p>
    <w:p w14:paraId="40D503E9" w14:textId="77777777" w:rsidR="007E790C" w:rsidRPr="00F41C2B" w:rsidRDefault="000C723C" w:rsidP="00F41C2B">
      <w:pPr>
        <w:pStyle w:val="Prrafodelista"/>
        <w:numPr>
          <w:ilvl w:val="1"/>
          <w:numId w:val="1"/>
        </w:numPr>
        <w:spacing w:line="276" w:lineRule="auto"/>
        <w:jc w:val="both"/>
        <w:rPr>
          <w:rFonts w:ascii="Arial" w:hAnsi="Arial" w:cs="Arial"/>
          <w:b/>
          <w:sz w:val="24"/>
          <w:szCs w:val="24"/>
        </w:rPr>
      </w:pPr>
      <w:r w:rsidRPr="00F41C2B">
        <w:rPr>
          <w:rFonts w:ascii="Arial" w:hAnsi="Arial" w:cs="Arial"/>
          <w:b/>
          <w:sz w:val="24"/>
          <w:szCs w:val="24"/>
        </w:rPr>
        <w:t>Entidades o dependencias del Estado encargadas de las políticas públicas:</w:t>
      </w:r>
    </w:p>
    <w:p w14:paraId="4703E6DF" w14:textId="77777777" w:rsidR="00E03D9A" w:rsidRPr="00F41C2B" w:rsidRDefault="00E03D9A" w:rsidP="00F41C2B">
      <w:pPr>
        <w:pStyle w:val="Prrafodelista"/>
        <w:spacing w:line="276" w:lineRule="auto"/>
        <w:ind w:left="1440"/>
        <w:jc w:val="both"/>
        <w:rPr>
          <w:rFonts w:ascii="Arial" w:hAnsi="Arial" w:cs="Arial"/>
          <w:b/>
          <w:sz w:val="24"/>
          <w:szCs w:val="24"/>
        </w:rPr>
      </w:pPr>
    </w:p>
    <w:p w14:paraId="18394C9E" w14:textId="32731B5D" w:rsidR="00E03D9A" w:rsidRDefault="00E03D9A" w:rsidP="0065624A">
      <w:pPr>
        <w:pStyle w:val="Prrafodelista"/>
        <w:spacing w:line="276" w:lineRule="auto"/>
        <w:ind w:left="1440"/>
        <w:jc w:val="both"/>
        <w:rPr>
          <w:rFonts w:ascii="Arial" w:hAnsi="Arial" w:cs="Arial"/>
          <w:sz w:val="24"/>
          <w:szCs w:val="24"/>
        </w:rPr>
      </w:pPr>
      <w:r w:rsidRPr="00F41C2B">
        <w:rPr>
          <w:rFonts w:ascii="Arial" w:hAnsi="Arial" w:cs="Arial"/>
          <w:sz w:val="24"/>
          <w:szCs w:val="24"/>
        </w:rPr>
        <w:t>Solo conocemos el Protocolo de atención a la salud LGBTI antes mencionado.</w:t>
      </w:r>
    </w:p>
    <w:p w14:paraId="04ED8812" w14:textId="77777777" w:rsidR="0065624A" w:rsidRPr="0065624A" w:rsidRDefault="0065624A" w:rsidP="0065624A">
      <w:pPr>
        <w:pStyle w:val="Prrafodelista"/>
        <w:spacing w:line="276" w:lineRule="auto"/>
        <w:ind w:left="1440"/>
        <w:jc w:val="both"/>
        <w:rPr>
          <w:rFonts w:ascii="Arial" w:hAnsi="Arial" w:cs="Arial"/>
          <w:sz w:val="24"/>
          <w:szCs w:val="24"/>
        </w:rPr>
      </w:pPr>
    </w:p>
    <w:p w14:paraId="693D03EA" w14:textId="77777777" w:rsidR="00E03D9A" w:rsidRPr="00F41C2B" w:rsidRDefault="000C723C" w:rsidP="00F41C2B">
      <w:pPr>
        <w:pStyle w:val="Prrafodelista"/>
        <w:numPr>
          <w:ilvl w:val="1"/>
          <w:numId w:val="1"/>
        </w:numPr>
        <w:spacing w:line="276" w:lineRule="auto"/>
        <w:jc w:val="both"/>
        <w:rPr>
          <w:rFonts w:ascii="Arial" w:hAnsi="Arial" w:cs="Arial"/>
          <w:sz w:val="24"/>
          <w:szCs w:val="24"/>
        </w:rPr>
      </w:pPr>
      <w:r w:rsidRPr="00F41C2B">
        <w:rPr>
          <w:rFonts w:ascii="Arial" w:hAnsi="Arial" w:cs="Arial"/>
          <w:b/>
          <w:sz w:val="24"/>
          <w:szCs w:val="24"/>
        </w:rPr>
        <w:t>Órganos parlamentarios;</w:t>
      </w:r>
      <w:r w:rsidR="00753475" w:rsidRPr="00F41C2B">
        <w:rPr>
          <w:rFonts w:ascii="Arial" w:hAnsi="Arial" w:cs="Arial"/>
          <w:sz w:val="24"/>
          <w:szCs w:val="24"/>
        </w:rPr>
        <w:t xml:space="preserve"> </w:t>
      </w:r>
    </w:p>
    <w:p w14:paraId="64CC22E3" w14:textId="77777777" w:rsidR="00E03D9A" w:rsidRPr="00F41C2B" w:rsidRDefault="00E03D9A" w:rsidP="00F41C2B">
      <w:pPr>
        <w:pStyle w:val="Prrafodelista"/>
        <w:spacing w:line="276" w:lineRule="auto"/>
        <w:ind w:left="1440"/>
        <w:jc w:val="both"/>
        <w:rPr>
          <w:rFonts w:ascii="Arial" w:hAnsi="Arial" w:cs="Arial"/>
          <w:sz w:val="24"/>
          <w:szCs w:val="24"/>
        </w:rPr>
      </w:pPr>
    </w:p>
    <w:p w14:paraId="06635A7A" w14:textId="57C776F4" w:rsidR="000C723C" w:rsidRPr="00F41C2B" w:rsidRDefault="00E03D9A" w:rsidP="00F41C2B">
      <w:pPr>
        <w:pStyle w:val="Prrafodelista"/>
        <w:spacing w:line="276" w:lineRule="auto"/>
        <w:ind w:left="1440"/>
        <w:jc w:val="both"/>
        <w:rPr>
          <w:rFonts w:ascii="Arial" w:hAnsi="Arial" w:cs="Arial"/>
          <w:sz w:val="24"/>
          <w:szCs w:val="24"/>
        </w:rPr>
      </w:pPr>
      <w:r w:rsidRPr="00F41C2B">
        <w:rPr>
          <w:rFonts w:ascii="Arial" w:hAnsi="Arial" w:cs="Arial"/>
          <w:sz w:val="24"/>
          <w:szCs w:val="24"/>
        </w:rPr>
        <w:t xml:space="preserve">Como mencionamos anteriormente, tanto en </w:t>
      </w:r>
      <w:r w:rsidR="00753475" w:rsidRPr="00F41C2B">
        <w:rPr>
          <w:rFonts w:ascii="Arial" w:hAnsi="Arial" w:cs="Arial"/>
          <w:sz w:val="24"/>
          <w:szCs w:val="24"/>
        </w:rPr>
        <w:t>la Cámara de Diputados</w:t>
      </w:r>
      <w:r w:rsidR="00CF10A7">
        <w:rPr>
          <w:rStyle w:val="Refdenotaalpie"/>
          <w:rFonts w:ascii="Arial" w:hAnsi="Arial" w:cs="Arial"/>
          <w:sz w:val="24"/>
          <w:szCs w:val="24"/>
        </w:rPr>
        <w:footnoteReference w:id="4"/>
      </w:r>
      <w:r w:rsidR="00753475" w:rsidRPr="00F41C2B">
        <w:rPr>
          <w:rFonts w:ascii="Arial" w:hAnsi="Arial" w:cs="Arial"/>
          <w:sz w:val="24"/>
          <w:szCs w:val="24"/>
        </w:rPr>
        <w:t xml:space="preserve"> como en la Cámara de Senadores</w:t>
      </w:r>
      <w:r w:rsidR="00CF10A7">
        <w:rPr>
          <w:rStyle w:val="Refdenotaalpie"/>
          <w:rFonts w:ascii="Arial" w:hAnsi="Arial" w:cs="Arial"/>
          <w:sz w:val="24"/>
          <w:szCs w:val="24"/>
        </w:rPr>
        <w:footnoteReference w:id="5"/>
      </w:r>
      <w:r w:rsidR="00753475" w:rsidRPr="00F41C2B">
        <w:rPr>
          <w:rFonts w:ascii="Arial" w:hAnsi="Arial" w:cs="Arial"/>
          <w:sz w:val="24"/>
          <w:szCs w:val="24"/>
        </w:rPr>
        <w:t xml:space="preserve"> se han elaborado propuestas de </w:t>
      </w:r>
      <w:r w:rsidR="00753475" w:rsidRPr="00F41C2B">
        <w:rPr>
          <w:rFonts w:ascii="Arial" w:hAnsi="Arial" w:cs="Arial"/>
          <w:sz w:val="24"/>
          <w:szCs w:val="24"/>
        </w:rPr>
        <w:lastRenderedPageBreak/>
        <w:t xml:space="preserve">Ley que </w:t>
      </w:r>
      <w:r w:rsidRPr="00F41C2B">
        <w:rPr>
          <w:rFonts w:ascii="Arial" w:hAnsi="Arial" w:cs="Arial"/>
          <w:sz w:val="24"/>
          <w:szCs w:val="24"/>
        </w:rPr>
        <w:t xml:space="preserve">buscan establecer regulaciones </w:t>
      </w:r>
      <w:r w:rsidR="00753475" w:rsidRPr="00F41C2B">
        <w:rPr>
          <w:rFonts w:ascii="Arial" w:hAnsi="Arial" w:cs="Arial"/>
          <w:sz w:val="24"/>
          <w:szCs w:val="24"/>
        </w:rPr>
        <w:t xml:space="preserve">a quienes ofrecen estas terapias. </w:t>
      </w:r>
      <w:r w:rsidRPr="00F41C2B">
        <w:rPr>
          <w:rFonts w:ascii="Arial" w:hAnsi="Arial" w:cs="Arial"/>
          <w:sz w:val="24"/>
          <w:szCs w:val="24"/>
        </w:rPr>
        <w:t>Sin embargo, la discusión en ambas instancias no ha llegado más allá de las comisiones, pareciera no ser un aspecto prioritario en su agenda. Incluso consideramos que hay un gran desconocimiento que dificulta su avance.</w:t>
      </w:r>
    </w:p>
    <w:p w14:paraId="123C48A5" w14:textId="77777777" w:rsidR="00753475" w:rsidRPr="00F41C2B" w:rsidRDefault="00753475" w:rsidP="00F41C2B">
      <w:pPr>
        <w:pStyle w:val="Prrafodelista"/>
        <w:spacing w:line="276" w:lineRule="auto"/>
        <w:ind w:left="1440"/>
        <w:jc w:val="both"/>
        <w:rPr>
          <w:rFonts w:ascii="Arial" w:hAnsi="Arial" w:cs="Arial"/>
          <w:sz w:val="24"/>
          <w:szCs w:val="24"/>
        </w:rPr>
      </w:pPr>
    </w:p>
    <w:p w14:paraId="2DBB8A8E" w14:textId="77777777" w:rsidR="000C723C" w:rsidRPr="00F41C2B" w:rsidRDefault="000C723C" w:rsidP="00F41C2B">
      <w:pPr>
        <w:pStyle w:val="Prrafodelista"/>
        <w:numPr>
          <w:ilvl w:val="1"/>
          <w:numId w:val="1"/>
        </w:numPr>
        <w:spacing w:line="276" w:lineRule="auto"/>
        <w:jc w:val="both"/>
        <w:rPr>
          <w:rFonts w:ascii="Arial" w:hAnsi="Arial" w:cs="Arial"/>
          <w:b/>
          <w:sz w:val="24"/>
          <w:szCs w:val="24"/>
        </w:rPr>
      </w:pPr>
      <w:r w:rsidRPr="00F41C2B">
        <w:rPr>
          <w:rFonts w:ascii="Arial" w:hAnsi="Arial" w:cs="Arial"/>
          <w:b/>
          <w:sz w:val="24"/>
          <w:szCs w:val="24"/>
        </w:rPr>
        <w:t>El poder judicial:</w:t>
      </w:r>
    </w:p>
    <w:p w14:paraId="0EBF2E4C" w14:textId="77777777" w:rsidR="00E03D9A" w:rsidRPr="00F41C2B" w:rsidRDefault="00E03D9A" w:rsidP="00F41C2B">
      <w:pPr>
        <w:pStyle w:val="Prrafodelista"/>
        <w:spacing w:line="276" w:lineRule="auto"/>
        <w:ind w:left="1440"/>
        <w:jc w:val="both"/>
        <w:rPr>
          <w:rFonts w:ascii="Arial" w:hAnsi="Arial" w:cs="Arial"/>
          <w:b/>
          <w:sz w:val="24"/>
          <w:szCs w:val="24"/>
        </w:rPr>
      </w:pPr>
    </w:p>
    <w:p w14:paraId="575FE2BD" w14:textId="77777777" w:rsidR="00E03D9A" w:rsidRPr="00F41C2B" w:rsidRDefault="00E03D9A" w:rsidP="00F41C2B">
      <w:pPr>
        <w:pStyle w:val="Prrafodelista"/>
        <w:spacing w:line="276" w:lineRule="auto"/>
        <w:ind w:left="1440"/>
        <w:jc w:val="both"/>
        <w:rPr>
          <w:rFonts w:ascii="Arial" w:hAnsi="Arial" w:cs="Arial"/>
          <w:sz w:val="24"/>
          <w:szCs w:val="24"/>
        </w:rPr>
      </w:pPr>
      <w:r w:rsidRPr="00F41C2B">
        <w:rPr>
          <w:rFonts w:ascii="Arial" w:hAnsi="Arial" w:cs="Arial"/>
          <w:sz w:val="24"/>
          <w:szCs w:val="24"/>
        </w:rPr>
        <w:t>No tenemos conocimiento</w:t>
      </w:r>
    </w:p>
    <w:p w14:paraId="148A514B" w14:textId="77777777" w:rsidR="00E03D9A" w:rsidRPr="00F41C2B" w:rsidRDefault="00E03D9A" w:rsidP="00F41C2B">
      <w:pPr>
        <w:pStyle w:val="Prrafodelista"/>
        <w:spacing w:line="276" w:lineRule="auto"/>
        <w:ind w:left="1440"/>
        <w:jc w:val="both"/>
        <w:rPr>
          <w:rFonts w:ascii="Arial" w:hAnsi="Arial" w:cs="Arial"/>
          <w:b/>
          <w:sz w:val="24"/>
          <w:szCs w:val="24"/>
        </w:rPr>
      </w:pPr>
    </w:p>
    <w:p w14:paraId="195D5B8D" w14:textId="77777777" w:rsidR="000C723C" w:rsidRPr="00F41C2B" w:rsidRDefault="000C723C" w:rsidP="00F41C2B">
      <w:pPr>
        <w:pStyle w:val="Prrafodelista"/>
        <w:numPr>
          <w:ilvl w:val="1"/>
          <w:numId w:val="1"/>
        </w:numPr>
        <w:spacing w:line="276" w:lineRule="auto"/>
        <w:jc w:val="both"/>
        <w:rPr>
          <w:rFonts w:ascii="Arial" w:hAnsi="Arial" w:cs="Arial"/>
          <w:b/>
          <w:sz w:val="24"/>
          <w:szCs w:val="24"/>
        </w:rPr>
      </w:pPr>
      <w:r w:rsidRPr="00F41C2B">
        <w:rPr>
          <w:rFonts w:ascii="Arial" w:hAnsi="Arial" w:cs="Arial"/>
          <w:b/>
          <w:sz w:val="24"/>
          <w:szCs w:val="24"/>
        </w:rPr>
        <w:t>Instituciones Nacionales de Derechos Humanos u otras instituciones del Estado:</w:t>
      </w:r>
    </w:p>
    <w:p w14:paraId="2DDABAD6" w14:textId="71AA93E3" w:rsidR="00382551" w:rsidRDefault="000D243D" w:rsidP="00CF10A7">
      <w:pPr>
        <w:pStyle w:val="Prrafodelista"/>
        <w:spacing w:line="276" w:lineRule="auto"/>
        <w:ind w:left="1440"/>
        <w:jc w:val="both"/>
        <w:rPr>
          <w:rFonts w:ascii="Arial" w:hAnsi="Arial" w:cs="Arial"/>
          <w:sz w:val="24"/>
          <w:szCs w:val="24"/>
        </w:rPr>
      </w:pPr>
      <w:r w:rsidRPr="00F41C2B">
        <w:rPr>
          <w:rFonts w:ascii="Arial" w:hAnsi="Arial" w:cs="Arial"/>
          <w:sz w:val="24"/>
          <w:szCs w:val="24"/>
        </w:rPr>
        <w:t xml:space="preserve">La declaración de la </w:t>
      </w:r>
      <w:r w:rsidR="00382551" w:rsidRPr="00F41C2B">
        <w:rPr>
          <w:rFonts w:ascii="Arial" w:hAnsi="Arial" w:cs="Arial"/>
          <w:sz w:val="24"/>
          <w:szCs w:val="24"/>
        </w:rPr>
        <w:t xml:space="preserve">Comisión Nacional de Derechos Humanos </w:t>
      </w:r>
      <w:r w:rsidRPr="00F41C2B">
        <w:rPr>
          <w:rFonts w:ascii="Arial" w:hAnsi="Arial" w:cs="Arial"/>
          <w:sz w:val="24"/>
          <w:szCs w:val="24"/>
        </w:rPr>
        <w:t xml:space="preserve">expuesta </w:t>
      </w:r>
      <w:r w:rsidR="00382551" w:rsidRPr="00F41C2B">
        <w:rPr>
          <w:rFonts w:ascii="Arial" w:hAnsi="Arial" w:cs="Arial"/>
          <w:sz w:val="24"/>
          <w:szCs w:val="24"/>
        </w:rPr>
        <w:t>en su comunicado del Día Internacional de Lucha contra la Homofobia, en mayo 17 de 2019</w:t>
      </w:r>
      <w:r w:rsidR="00CF10A7">
        <w:rPr>
          <w:rStyle w:val="Refdenotaalpie"/>
          <w:rFonts w:ascii="Arial" w:hAnsi="Arial" w:cs="Arial"/>
          <w:sz w:val="24"/>
          <w:szCs w:val="24"/>
        </w:rPr>
        <w:footnoteReference w:id="6"/>
      </w:r>
      <w:r w:rsidRPr="00F41C2B">
        <w:rPr>
          <w:rFonts w:ascii="Arial" w:hAnsi="Arial" w:cs="Arial"/>
          <w:sz w:val="24"/>
          <w:szCs w:val="24"/>
        </w:rPr>
        <w:t>, mencionada anteriormente</w:t>
      </w:r>
      <w:r w:rsidR="00382551" w:rsidRPr="00F41C2B">
        <w:rPr>
          <w:rFonts w:ascii="Arial" w:hAnsi="Arial" w:cs="Arial"/>
          <w:sz w:val="24"/>
          <w:szCs w:val="24"/>
        </w:rPr>
        <w:t xml:space="preserve">; </w:t>
      </w:r>
      <w:r w:rsidRPr="00F41C2B">
        <w:rPr>
          <w:rFonts w:ascii="Arial" w:hAnsi="Arial" w:cs="Arial"/>
          <w:sz w:val="24"/>
          <w:szCs w:val="24"/>
        </w:rPr>
        <w:t xml:space="preserve">así como </w:t>
      </w:r>
      <w:r w:rsidR="00382551" w:rsidRPr="00F41C2B">
        <w:rPr>
          <w:rFonts w:ascii="Arial" w:hAnsi="Arial" w:cs="Arial"/>
          <w:sz w:val="24"/>
          <w:szCs w:val="24"/>
        </w:rPr>
        <w:t>en su Informe Especial Sobre la situación de los Derechos Humanos d</w:t>
      </w:r>
      <w:r w:rsidRPr="00F41C2B">
        <w:rPr>
          <w:rFonts w:ascii="Arial" w:hAnsi="Arial" w:cs="Arial"/>
          <w:sz w:val="24"/>
          <w:szCs w:val="24"/>
        </w:rPr>
        <w:t>e las Personas LGBTI</w:t>
      </w:r>
      <w:r w:rsidR="00CF10A7">
        <w:rPr>
          <w:rStyle w:val="Refdenotaalpie"/>
          <w:rFonts w:ascii="Arial" w:hAnsi="Arial" w:cs="Arial"/>
          <w:sz w:val="24"/>
          <w:szCs w:val="24"/>
        </w:rPr>
        <w:footnoteReference w:id="7"/>
      </w:r>
      <w:r w:rsidRPr="00F41C2B">
        <w:rPr>
          <w:rFonts w:ascii="Arial" w:hAnsi="Arial" w:cs="Arial"/>
          <w:sz w:val="24"/>
          <w:szCs w:val="24"/>
        </w:rPr>
        <w:t xml:space="preserve"> (pág. 255), también de reciente publicación.</w:t>
      </w:r>
    </w:p>
    <w:p w14:paraId="37F85BA2" w14:textId="77777777" w:rsidR="00CF10A7" w:rsidRPr="00CF10A7" w:rsidRDefault="00CF10A7" w:rsidP="00CF10A7">
      <w:pPr>
        <w:pStyle w:val="Prrafodelista"/>
        <w:spacing w:line="276" w:lineRule="auto"/>
        <w:ind w:left="1440"/>
        <w:jc w:val="both"/>
        <w:rPr>
          <w:rFonts w:ascii="Arial" w:hAnsi="Arial" w:cs="Arial"/>
          <w:sz w:val="24"/>
          <w:szCs w:val="24"/>
        </w:rPr>
      </w:pPr>
    </w:p>
    <w:p w14:paraId="3B3E5DD0" w14:textId="77777777" w:rsidR="000C723C" w:rsidRPr="00F41C2B" w:rsidRDefault="000C723C" w:rsidP="00F41C2B">
      <w:pPr>
        <w:pStyle w:val="Prrafodelista"/>
        <w:numPr>
          <w:ilvl w:val="1"/>
          <w:numId w:val="1"/>
        </w:numPr>
        <w:spacing w:line="276" w:lineRule="auto"/>
        <w:jc w:val="both"/>
        <w:rPr>
          <w:rFonts w:ascii="Arial" w:hAnsi="Arial" w:cs="Arial"/>
          <w:b/>
          <w:sz w:val="24"/>
          <w:szCs w:val="24"/>
        </w:rPr>
      </w:pPr>
      <w:r w:rsidRPr="00F41C2B">
        <w:rPr>
          <w:rFonts w:ascii="Arial" w:hAnsi="Arial" w:cs="Arial"/>
          <w:b/>
          <w:sz w:val="24"/>
          <w:szCs w:val="24"/>
        </w:rPr>
        <w:t>Cualquier otra entidad u organización.</w:t>
      </w:r>
    </w:p>
    <w:p w14:paraId="06E0CBBC" w14:textId="586E88E4" w:rsidR="0065624A" w:rsidRPr="0065624A" w:rsidRDefault="0065624A" w:rsidP="00F41C2B">
      <w:pPr>
        <w:pStyle w:val="Prrafodelista"/>
        <w:spacing w:line="276" w:lineRule="auto"/>
        <w:ind w:left="1440"/>
        <w:jc w:val="both"/>
        <w:rPr>
          <w:rFonts w:ascii="Arial" w:hAnsi="Arial" w:cs="Arial"/>
          <w:sz w:val="24"/>
          <w:szCs w:val="24"/>
        </w:rPr>
      </w:pPr>
      <w:r>
        <w:rPr>
          <w:rFonts w:ascii="Arial" w:hAnsi="Arial" w:cs="Arial"/>
          <w:sz w:val="24"/>
          <w:szCs w:val="24"/>
        </w:rPr>
        <w:t xml:space="preserve">El Consejo Nacional para Prevenir la Discriminación (CONAPRED) se posicionó desde 2017 con su pronunciamiento </w:t>
      </w:r>
      <w:r w:rsidRPr="0065624A">
        <w:rPr>
          <w:rFonts w:ascii="Arial" w:hAnsi="Arial" w:cs="Arial"/>
          <w:i/>
          <w:iCs/>
          <w:sz w:val="24"/>
          <w:szCs w:val="24"/>
        </w:rPr>
        <w:t>Las “terapias de conversión”, una forma de violencia y discriminación por motivos de orientación sexual e identidad de género</w:t>
      </w:r>
      <w:r>
        <w:rPr>
          <w:rStyle w:val="Refdenotaalpie"/>
          <w:rFonts w:ascii="Arial" w:hAnsi="Arial" w:cs="Arial"/>
          <w:i/>
          <w:iCs/>
          <w:sz w:val="24"/>
          <w:szCs w:val="24"/>
        </w:rPr>
        <w:footnoteReference w:id="8"/>
      </w:r>
      <w:r w:rsidRPr="0065624A">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 xml:space="preserve">Y en 2018, junto con otras organizaciones e instituciones firmaron el </w:t>
      </w:r>
      <w:r w:rsidRPr="0065624A">
        <w:rPr>
          <w:rFonts w:ascii="Arial" w:hAnsi="Arial" w:cs="Arial"/>
          <w:i/>
          <w:iCs/>
          <w:sz w:val="24"/>
          <w:szCs w:val="24"/>
        </w:rPr>
        <w:t>pronunciamiento en contra de los esfuerzos para corregir la orientación sexual e identidad de género (ECOSIG)</w:t>
      </w:r>
      <w:r w:rsidR="00E23178">
        <w:rPr>
          <w:rStyle w:val="Refdenotaalpie"/>
          <w:rFonts w:ascii="Arial" w:hAnsi="Arial" w:cs="Arial"/>
          <w:i/>
          <w:iCs/>
          <w:sz w:val="24"/>
          <w:szCs w:val="24"/>
        </w:rPr>
        <w:footnoteReference w:id="9"/>
      </w:r>
      <w:r>
        <w:rPr>
          <w:rFonts w:ascii="Arial" w:hAnsi="Arial" w:cs="Arial"/>
          <w:i/>
          <w:iCs/>
          <w:sz w:val="24"/>
          <w:szCs w:val="24"/>
        </w:rPr>
        <w:t xml:space="preserve"> </w:t>
      </w:r>
      <w:r>
        <w:rPr>
          <w:rFonts w:ascii="Arial" w:hAnsi="Arial" w:cs="Arial"/>
          <w:sz w:val="24"/>
          <w:szCs w:val="24"/>
        </w:rPr>
        <w:t xml:space="preserve">haciendo énfasis en que niñas, niños, adolescentes y jóvenes son </w:t>
      </w:r>
      <w:r w:rsidR="00E23178">
        <w:rPr>
          <w:rFonts w:ascii="Arial" w:hAnsi="Arial" w:cs="Arial"/>
          <w:sz w:val="24"/>
          <w:szCs w:val="24"/>
        </w:rPr>
        <w:t>las principales víctimas de estas prácticas y exhortando a que, tanto instancias públicas como privadas, lleven a cabo acciones para prevenir y eliminar los ECOSIG.</w:t>
      </w:r>
    </w:p>
    <w:p w14:paraId="6AA618A9" w14:textId="5830C07D" w:rsidR="0065624A" w:rsidRDefault="0065624A" w:rsidP="00F41C2B">
      <w:pPr>
        <w:pStyle w:val="Prrafodelista"/>
        <w:spacing w:line="276" w:lineRule="auto"/>
        <w:ind w:left="1440"/>
        <w:jc w:val="both"/>
        <w:rPr>
          <w:rFonts w:ascii="Arial" w:hAnsi="Arial" w:cs="Arial"/>
          <w:sz w:val="24"/>
          <w:szCs w:val="24"/>
        </w:rPr>
      </w:pPr>
    </w:p>
    <w:p w14:paraId="69DC5CC6" w14:textId="77777777" w:rsidR="0065624A" w:rsidRDefault="0065624A" w:rsidP="00F41C2B">
      <w:pPr>
        <w:pStyle w:val="Prrafodelista"/>
        <w:spacing w:line="276" w:lineRule="auto"/>
        <w:ind w:left="1440"/>
        <w:jc w:val="both"/>
        <w:rPr>
          <w:rFonts w:ascii="Arial" w:hAnsi="Arial" w:cs="Arial"/>
          <w:sz w:val="24"/>
          <w:szCs w:val="24"/>
        </w:rPr>
      </w:pPr>
    </w:p>
    <w:p w14:paraId="62A1C5A2" w14:textId="010CF9EB" w:rsidR="00F17F46" w:rsidRPr="00F41C2B" w:rsidRDefault="00382551" w:rsidP="00F41C2B">
      <w:pPr>
        <w:pStyle w:val="Prrafodelista"/>
        <w:spacing w:line="276" w:lineRule="auto"/>
        <w:ind w:left="1440"/>
        <w:jc w:val="both"/>
        <w:rPr>
          <w:rFonts w:ascii="Arial" w:hAnsi="Arial" w:cs="Arial"/>
          <w:sz w:val="24"/>
          <w:szCs w:val="24"/>
        </w:rPr>
      </w:pPr>
      <w:r w:rsidRPr="00F41C2B">
        <w:rPr>
          <w:rFonts w:ascii="Arial" w:hAnsi="Arial" w:cs="Arial"/>
          <w:sz w:val="24"/>
          <w:szCs w:val="24"/>
        </w:rPr>
        <w:t xml:space="preserve">El Consejo contra la Discriminación de la Ciudad de México </w:t>
      </w:r>
      <w:r w:rsidR="000D243D" w:rsidRPr="00F41C2B">
        <w:rPr>
          <w:rFonts w:ascii="Arial" w:hAnsi="Arial" w:cs="Arial"/>
          <w:sz w:val="24"/>
          <w:szCs w:val="24"/>
        </w:rPr>
        <w:t xml:space="preserve">(COPRED) </w:t>
      </w:r>
      <w:r w:rsidRPr="00F41C2B">
        <w:rPr>
          <w:rFonts w:ascii="Arial" w:hAnsi="Arial" w:cs="Arial"/>
          <w:sz w:val="24"/>
          <w:szCs w:val="24"/>
        </w:rPr>
        <w:t xml:space="preserve">ha tomado una postura </w:t>
      </w:r>
      <w:r w:rsidR="000D243D" w:rsidRPr="00F41C2B">
        <w:rPr>
          <w:rFonts w:ascii="Arial" w:hAnsi="Arial" w:cs="Arial"/>
          <w:sz w:val="24"/>
          <w:szCs w:val="24"/>
        </w:rPr>
        <w:t xml:space="preserve">clara </w:t>
      </w:r>
      <w:r w:rsidRPr="00F41C2B">
        <w:rPr>
          <w:rFonts w:ascii="Arial" w:hAnsi="Arial" w:cs="Arial"/>
          <w:sz w:val="24"/>
          <w:szCs w:val="24"/>
        </w:rPr>
        <w:t>para</w:t>
      </w:r>
      <w:r w:rsidR="000D243D" w:rsidRPr="00F41C2B">
        <w:rPr>
          <w:rFonts w:ascii="Arial" w:hAnsi="Arial" w:cs="Arial"/>
          <w:sz w:val="24"/>
          <w:szCs w:val="24"/>
        </w:rPr>
        <w:t xml:space="preserve">, en coordinación con las organizaciones de defensa de los derechos LGBTI, dar seguimiento a </w:t>
      </w:r>
      <w:r w:rsidRPr="00F41C2B">
        <w:rPr>
          <w:rFonts w:ascii="Arial" w:hAnsi="Arial" w:cs="Arial"/>
          <w:sz w:val="24"/>
          <w:szCs w:val="24"/>
        </w:rPr>
        <w:t>las acciones de promoción que personas en favor de las “terapias de conversión”</w:t>
      </w:r>
      <w:r w:rsidR="00436A64" w:rsidRPr="00F41C2B">
        <w:rPr>
          <w:rFonts w:ascii="Arial" w:hAnsi="Arial" w:cs="Arial"/>
          <w:sz w:val="24"/>
          <w:szCs w:val="24"/>
        </w:rPr>
        <w:t xml:space="preserve"> buscan </w:t>
      </w:r>
      <w:r w:rsidR="000D243D" w:rsidRPr="00F41C2B">
        <w:rPr>
          <w:rFonts w:ascii="Arial" w:hAnsi="Arial" w:cs="Arial"/>
          <w:sz w:val="24"/>
          <w:szCs w:val="24"/>
        </w:rPr>
        <w:t xml:space="preserve">para </w:t>
      </w:r>
      <w:r w:rsidR="00436A64" w:rsidRPr="00F41C2B">
        <w:rPr>
          <w:rFonts w:ascii="Arial" w:hAnsi="Arial" w:cs="Arial"/>
          <w:sz w:val="24"/>
          <w:szCs w:val="24"/>
        </w:rPr>
        <w:t>hacer presentaciones y conferencias públicas</w:t>
      </w:r>
      <w:r w:rsidR="000D243D" w:rsidRPr="00F41C2B">
        <w:rPr>
          <w:rFonts w:ascii="Arial" w:hAnsi="Arial" w:cs="Arial"/>
          <w:sz w:val="24"/>
          <w:szCs w:val="24"/>
        </w:rPr>
        <w:t xml:space="preserve">, sancionando sus apariciones, lo que le ha llevado incluso a considerar como </w:t>
      </w:r>
      <w:r w:rsidR="000D243D" w:rsidRPr="00F41C2B">
        <w:rPr>
          <w:rFonts w:ascii="Arial" w:hAnsi="Arial" w:cs="Arial"/>
          <w:i/>
          <w:sz w:val="24"/>
          <w:szCs w:val="24"/>
        </w:rPr>
        <w:t>persona non grata</w:t>
      </w:r>
      <w:r w:rsidR="00F17F46" w:rsidRPr="00F41C2B">
        <w:rPr>
          <w:rFonts w:ascii="Arial" w:hAnsi="Arial" w:cs="Arial"/>
          <w:sz w:val="24"/>
          <w:szCs w:val="24"/>
        </w:rPr>
        <w:t xml:space="preserve"> a algunos de sus dirigentes, y presentar quejas formales por las actividades que realizan, por considerar que promueven conductas discriminatorias</w:t>
      </w:r>
      <w:r w:rsidR="00CF10A7">
        <w:rPr>
          <w:rStyle w:val="Refdenotaalpie"/>
          <w:rFonts w:ascii="Arial" w:hAnsi="Arial" w:cs="Arial"/>
          <w:sz w:val="24"/>
          <w:szCs w:val="24"/>
        </w:rPr>
        <w:footnoteReference w:id="10"/>
      </w:r>
      <w:r w:rsidR="00F17F46" w:rsidRPr="00F41C2B">
        <w:rPr>
          <w:rFonts w:ascii="Arial" w:hAnsi="Arial" w:cs="Arial"/>
          <w:sz w:val="24"/>
          <w:szCs w:val="24"/>
        </w:rPr>
        <w:t>.</w:t>
      </w:r>
    </w:p>
    <w:p w14:paraId="443DDCDA" w14:textId="7B50987C" w:rsidR="00F17F46" w:rsidRPr="00CF10A7" w:rsidRDefault="00F17F46" w:rsidP="00CF10A7">
      <w:pPr>
        <w:pStyle w:val="Prrafodelista"/>
        <w:spacing w:line="276" w:lineRule="auto"/>
        <w:ind w:left="1440"/>
        <w:jc w:val="both"/>
        <w:rPr>
          <w:rFonts w:ascii="Arial" w:hAnsi="Arial" w:cs="Arial"/>
          <w:sz w:val="24"/>
          <w:szCs w:val="24"/>
        </w:rPr>
      </w:pPr>
      <w:r w:rsidRPr="00F41C2B">
        <w:rPr>
          <w:rFonts w:ascii="Arial" w:hAnsi="Arial" w:cs="Arial"/>
          <w:sz w:val="24"/>
          <w:szCs w:val="24"/>
        </w:rPr>
        <w:t xml:space="preserve"> </w:t>
      </w:r>
    </w:p>
    <w:p w14:paraId="144E74DC" w14:textId="5D4D031A" w:rsidR="009073D4" w:rsidRPr="00F41C2B" w:rsidRDefault="009073D4" w:rsidP="00F41C2B">
      <w:pPr>
        <w:pStyle w:val="Prrafodelista"/>
        <w:spacing w:line="276" w:lineRule="auto"/>
        <w:ind w:left="1440"/>
        <w:jc w:val="both"/>
        <w:rPr>
          <w:rFonts w:ascii="Arial" w:hAnsi="Arial" w:cs="Arial"/>
          <w:sz w:val="24"/>
          <w:szCs w:val="24"/>
        </w:rPr>
      </w:pPr>
      <w:r w:rsidRPr="00F41C2B">
        <w:rPr>
          <w:rFonts w:ascii="Arial" w:hAnsi="Arial" w:cs="Arial"/>
          <w:sz w:val="24"/>
          <w:szCs w:val="24"/>
        </w:rPr>
        <w:t>O</w:t>
      </w:r>
      <w:r w:rsidR="00436A64" w:rsidRPr="00F41C2B">
        <w:rPr>
          <w:rFonts w:ascii="Arial" w:hAnsi="Arial" w:cs="Arial"/>
          <w:sz w:val="24"/>
          <w:szCs w:val="24"/>
        </w:rPr>
        <w:t>rganizaciones sociales defensoras</w:t>
      </w:r>
      <w:r w:rsidRPr="00F41C2B">
        <w:rPr>
          <w:rFonts w:ascii="Arial" w:hAnsi="Arial" w:cs="Arial"/>
          <w:sz w:val="24"/>
          <w:szCs w:val="24"/>
        </w:rPr>
        <w:t xml:space="preserve"> de derechos LGBT</w:t>
      </w:r>
      <w:r w:rsidR="00436A64" w:rsidRPr="00F41C2B">
        <w:rPr>
          <w:rFonts w:ascii="Arial" w:hAnsi="Arial" w:cs="Arial"/>
          <w:sz w:val="24"/>
          <w:szCs w:val="24"/>
        </w:rPr>
        <w:t xml:space="preserve"> realizan un monitoreo</w:t>
      </w:r>
      <w:r w:rsidRPr="00F41C2B">
        <w:rPr>
          <w:rFonts w:ascii="Arial" w:hAnsi="Arial" w:cs="Arial"/>
          <w:sz w:val="24"/>
          <w:szCs w:val="24"/>
        </w:rPr>
        <w:t xml:space="preserve"> de estas instituciones, lo que posibilit</w:t>
      </w:r>
      <w:r w:rsidR="00CF10A7">
        <w:rPr>
          <w:rFonts w:ascii="Arial" w:hAnsi="Arial" w:cs="Arial"/>
          <w:sz w:val="24"/>
          <w:szCs w:val="24"/>
        </w:rPr>
        <w:t>a</w:t>
      </w:r>
      <w:r w:rsidRPr="00F41C2B">
        <w:rPr>
          <w:rFonts w:ascii="Arial" w:hAnsi="Arial" w:cs="Arial"/>
          <w:sz w:val="24"/>
          <w:szCs w:val="24"/>
        </w:rPr>
        <w:t xml:space="preserve"> conocer de sus actividades de promoción, pero sobre todo de su ubicación en el país. </w:t>
      </w:r>
    </w:p>
    <w:p w14:paraId="20E5D159" w14:textId="77777777" w:rsidR="009073D4" w:rsidRPr="00F41C2B" w:rsidRDefault="009073D4" w:rsidP="00F41C2B">
      <w:pPr>
        <w:pStyle w:val="Prrafodelista"/>
        <w:spacing w:line="276" w:lineRule="auto"/>
        <w:ind w:left="1440"/>
        <w:jc w:val="both"/>
        <w:rPr>
          <w:rFonts w:ascii="Arial" w:hAnsi="Arial" w:cs="Arial"/>
          <w:sz w:val="24"/>
          <w:szCs w:val="24"/>
        </w:rPr>
      </w:pPr>
    </w:p>
    <w:p w14:paraId="2B9D0A5E" w14:textId="77777777" w:rsidR="009073D4" w:rsidRPr="00F41C2B" w:rsidRDefault="009073D4" w:rsidP="00F41C2B">
      <w:pPr>
        <w:pStyle w:val="Prrafodelista"/>
        <w:spacing w:line="276" w:lineRule="auto"/>
        <w:ind w:left="1440"/>
        <w:jc w:val="both"/>
        <w:rPr>
          <w:rFonts w:ascii="Arial" w:hAnsi="Arial" w:cs="Arial"/>
          <w:sz w:val="24"/>
          <w:szCs w:val="24"/>
        </w:rPr>
      </w:pPr>
      <w:r w:rsidRPr="00F41C2B">
        <w:rPr>
          <w:rFonts w:ascii="Arial" w:hAnsi="Arial" w:cs="Arial"/>
          <w:sz w:val="24"/>
          <w:szCs w:val="24"/>
        </w:rPr>
        <w:t>Desafortunadamente, la falta de lineamientos claros al respecto, no solo en el marco legal, sino incluso en el Colegio Mexicano de Psicología, dificultan el emprender acciones para sancionar este ejercicio y limitan su campo de acción.</w:t>
      </w:r>
    </w:p>
    <w:p w14:paraId="42A3731E" w14:textId="77777777" w:rsidR="009073D4" w:rsidRPr="00F41C2B" w:rsidRDefault="009073D4" w:rsidP="00F41C2B">
      <w:pPr>
        <w:pStyle w:val="Prrafodelista"/>
        <w:spacing w:line="276" w:lineRule="auto"/>
        <w:ind w:left="1440"/>
        <w:jc w:val="both"/>
        <w:rPr>
          <w:rFonts w:ascii="Arial" w:hAnsi="Arial" w:cs="Arial"/>
          <w:sz w:val="24"/>
          <w:szCs w:val="24"/>
        </w:rPr>
      </w:pPr>
    </w:p>
    <w:p w14:paraId="13841DDE" w14:textId="465A0237" w:rsidR="00AC4809" w:rsidRPr="00AE73BF" w:rsidRDefault="00AC4809" w:rsidP="00F41C2B">
      <w:pPr>
        <w:pStyle w:val="Prrafodelista"/>
        <w:numPr>
          <w:ilvl w:val="0"/>
          <w:numId w:val="4"/>
        </w:numPr>
        <w:spacing w:line="276" w:lineRule="auto"/>
        <w:jc w:val="both"/>
        <w:rPr>
          <w:rFonts w:ascii="Arial" w:hAnsi="Arial" w:cs="Arial"/>
          <w:sz w:val="24"/>
          <w:szCs w:val="24"/>
          <w:lang w:val="en"/>
        </w:rPr>
      </w:pPr>
      <w:proofErr w:type="spellStart"/>
      <w:r w:rsidRPr="00AE73BF">
        <w:rPr>
          <w:rFonts w:ascii="Arial" w:hAnsi="Arial" w:cs="Arial"/>
          <w:sz w:val="24"/>
          <w:szCs w:val="24"/>
          <w:lang w:val="en"/>
        </w:rPr>
        <w:t>Cohesión</w:t>
      </w:r>
      <w:proofErr w:type="spellEnd"/>
      <w:r w:rsidRPr="00AE73BF">
        <w:rPr>
          <w:rFonts w:ascii="Arial" w:hAnsi="Arial" w:cs="Arial"/>
          <w:sz w:val="24"/>
          <w:szCs w:val="24"/>
          <w:lang w:val="en"/>
        </w:rPr>
        <w:t xml:space="preserve"> de </w:t>
      </w:r>
      <w:proofErr w:type="spellStart"/>
      <w:r w:rsidRPr="00AE73BF">
        <w:rPr>
          <w:rFonts w:ascii="Arial" w:hAnsi="Arial" w:cs="Arial"/>
          <w:sz w:val="24"/>
          <w:szCs w:val="24"/>
          <w:lang w:val="en"/>
        </w:rPr>
        <w:t>Diversidades</w:t>
      </w:r>
      <w:proofErr w:type="spellEnd"/>
      <w:r w:rsidRPr="00AE73BF">
        <w:rPr>
          <w:rFonts w:ascii="Arial" w:hAnsi="Arial" w:cs="Arial"/>
          <w:sz w:val="24"/>
          <w:szCs w:val="24"/>
          <w:lang w:val="en"/>
        </w:rPr>
        <w:t xml:space="preserve"> para la </w:t>
      </w:r>
      <w:proofErr w:type="spellStart"/>
      <w:r w:rsidRPr="00AE73BF">
        <w:rPr>
          <w:rFonts w:ascii="Arial" w:hAnsi="Arial" w:cs="Arial"/>
          <w:sz w:val="24"/>
          <w:szCs w:val="24"/>
          <w:lang w:val="en"/>
        </w:rPr>
        <w:t>Sustentabilidad</w:t>
      </w:r>
      <w:proofErr w:type="spellEnd"/>
      <w:r w:rsidRPr="00AE73BF">
        <w:rPr>
          <w:rFonts w:ascii="Arial" w:hAnsi="Arial" w:cs="Arial"/>
          <w:sz w:val="24"/>
          <w:szCs w:val="24"/>
          <w:lang w:val="en"/>
        </w:rPr>
        <w:t xml:space="preserve">, </w:t>
      </w:r>
      <w:proofErr w:type="spellStart"/>
      <w:r w:rsidRPr="00AE73BF">
        <w:rPr>
          <w:rFonts w:ascii="Arial" w:hAnsi="Arial" w:cs="Arial"/>
          <w:sz w:val="24"/>
          <w:szCs w:val="24"/>
          <w:lang w:val="en"/>
        </w:rPr>
        <w:t>en</w:t>
      </w:r>
      <w:proofErr w:type="spellEnd"/>
      <w:r w:rsidRPr="00AE73BF">
        <w:rPr>
          <w:rFonts w:ascii="Arial" w:hAnsi="Arial" w:cs="Arial"/>
          <w:sz w:val="24"/>
          <w:szCs w:val="24"/>
          <w:lang w:val="en"/>
        </w:rPr>
        <w:t xml:space="preserve"> Guadalajara, Jalisco</w:t>
      </w:r>
      <w:r w:rsidR="00EB243E" w:rsidRPr="00AE73BF">
        <w:rPr>
          <w:rFonts w:ascii="Arial" w:hAnsi="Arial" w:cs="Arial"/>
          <w:sz w:val="24"/>
          <w:szCs w:val="24"/>
          <w:lang w:val="en"/>
        </w:rPr>
        <w:t xml:space="preserve"> y </w:t>
      </w:r>
      <w:r w:rsidR="00C64AB4" w:rsidRPr="00AE73BF">
        <w:rPr>
          <w:rFonts w:ascii="Arial" w:hAnsi="Arial" w:cs="Arial"/>
          <w:sz w:val="24"/>
          <w:szCs w:val="24"/>
          <w:lang w:val="en"/>
        </w:rPr>
        <w:t>Tepic, Nayarit</w:t>
      </w:r>
      <w:r w:rsidRPr="00AE73BF">
        <w:rPr>
          <w:rFonts w:ascii="Arial" w:hAnsi="Arial" w:cs="Arial"/>
          <w:sz w:val="24"/>
          <w:szCs w:val="24"/>
          <w:lang w:val="en"/>
        </w:rPr>
        <w:t>.</w:t>
      </w:r>
    </w:p>
    <w:p w14:paraId="4E7A8A91" w14:textId="77777777" w:rsidR="00AC4809" w:rsidRPr="00AE73BF" w:rsidRDefault="00AC4809" w:rsidP="00F41C2B">
      <w:pPr>
        <w:pStyle w:val="Prrafodelista"/>
        <w:numPr>
          <w:ilvl w:val="0"/>
          <w:numId w:val="2"/>
        </w:numPr>
        <w:spacing w:line="276" w:lineRule="auto"/>
        <w:jc w:val="both"/>
        <w:rPr>
          <w:rFonts w:ascii="Arial" w:hAnsi="Arial" w:cs="Arial"/>
          <w:sz w:val="24"/>
          <w:szCs w:val="24"/>
          <w:lang w:val="en"/>
        </w:rPr>
      </w:pPr>
      <w:r w:rsidRPr="00AE73BF">
        <w:rPr>
          <w:rFonts w:ascii="Arial" w:hAnsi="Arial" w:cs="Arial"/>
          <w:sz w:val="24"/>
          <w:szCs w:val="24"/>
          <w:lang w:val="en"/>
        </w:rPr>
        <w:t xml:space="preserve">Fundación </w:t>
      </w:r>
      <w:proofErr w:type="spellStart"/>
      <w:r w:rsidRPr="00AE73BF">
        <w:rPr>
          <w:rFonts w:ascii="Arial" w:hAnsi="Arial" w:cs="Arial"/>
          <w:sz w:val="24"/>
          <w:szCs w:val="24"/>
          <w:lang w:val="en"/>
        </w:rPr>
        <w:t>Arcoirirs</w:t>
      </w:r>
      <w:proofErr w:type="spellEnd"/>
      <w:r w:rsidRPr="00AE73BF">
        <w:rPr>
          <w:rFonts w:ascii="Arial" w:hAnsi="Arial" w:cs="Arial"/>
          <w:sz w:val="24"/>
          <w:szCs w:val="24"/>
          <w:lang w:val="en"/>
        </w:rPr>
        <w:t xml:space="preserve"> por el </w:t>
      </w:r>
      <w:proofErr w:type="spellStart"/>
      <w:r w:rsidRPr="00AE73BF">
        <w:rPr>
          <w:rFonts w:ascii="Arial" w:hAnsi="Arial" w:cs="Arial"/>
          <w:sz w:val="24"/>
          <w:szCs w:val="24"/>
          <w:lang w:val="en"/>
        </w:rPr>
        <w:t>respeto</w:t>
      </w:r>
      <w:proofErr w:type="spellEnd"/>
      <w:r w:rsidRPr="00AE73BF">
        <w:rPr>
          <w:rFonts w:ascii="Arial" w:hAnsi="Arial" w:cs="Arial"/>
          <w:sz w:val="24"/>
          <w:szCs w:val="24"/>
          <w:lang w:val="en"/>
        </w:rPr>
        <w:t xml:space="preserve"> a la </w:t>
      </w:r>
      <w:proofErr w:type="spellStart"/>
      <w:r w:rsidRPr="00AE73BF">
        <w:rPr>
          <w:rFonts w:ascii="Arial" w:hAnsi="Arial" w:cs="Arial"/>
          <w:sz w:val="24"/>
          <w:szCs w:val="24"/>
          <w:lang w:val="en"/>
        </w:rPr>
        <w:t>diversidad</w:t>
      </w:r>
      <w:proofErr w:type="spellEnd"/>
      <w:r w:rsidRPr="00AE73BF">
        <w:rPr>
          <w:rFonts w:ascii="Arial" w:hAnsi="Arial" w:cs="Arial"/>
          <w:sz w:val="24"/>
          <w:szCs w:val="24"/>
          <w:lang w:val="en"/>
        </w:rPr>
        <w:t xml:space="preserve"> sexual, en Ciudad de México.</w:t>
      </w:r>
    </w:p>
    <w:p w14:paraId="4E22AA00" w14:textId="77777777" w:rsidR="00436A64" w:rsidRPr="00AE73BF" w:rsidRDefault="00AC4809" w:rsidP="00F41C2B">
      <w:pPr>
        <w:pStyle w:val="Prrafodelista"/>
        <w:numPr>
          <w:ilvl w:val="0"/>
          <w:numId w:val="2"/>
        </w:numPr>
        <w:spacing w:line="276" w:lineRule="auto"/>
        <w:jc w:val="both"/>
        <w:rPr>
          <w:rFonts w:ascii="Arial" w:hAnsi="Arial" w:cs="Arial"/>
          <w:sz w:val="24"/>
          <w:szCs w:val="24"/>
          <w:lang w:val="en"/>
        </w:rPr>
      </w:pPr>
      <w:proofErr w:type="spellStart"/>
      <w:r w:rsidRPr="00AE73BF">
        <w:rPr>
          <w:rFonts w:ascii="Arial" w:hAnsi="Arial" w:cs="Arial"/>
          <w:sz w:val="24"/>
          <w:szCs w:val="24"/>
          <w:lang w:val="en"/>
        </w:rPr>
        <w:t>Género</w:t>
      </w:r>
      <w:proofErr w:type="spellEnd"/>
      <w:r w:rsidRPr="00AE73BF">
        <w:rPr>
          <w:rFonts w:ascii="Arial" w:hAnsi="Arial" w:cs="Arial"/>
          <w:sz w:val="24"/>
          <w:szCs w:val="24"/>
          <w:lang w:val="en"/>
        </w:rPr>
        <w:t xml:space="preserve"> </w:t>
      </w:r>
      <w:proofErr w:type="spellStart"/>
      <w:r w:rsidRPr="00AE73BF">
        <w:rPr>
          <w:rFonts w:ascii="Arial" w:hAnsi="Arial" w:cs="Arial"/>
          <w:sz w:val="24"/>
          <w:szCs w:val="24"/>
          <w:lang w:val="en"/>
        </w:rPr>
        <w:t>Ética</w:t>
      </w:r>
      <w:proofErr w:type="spellEnd"/>
      <w:r w:rsidRPr="00AE73BF">
        <w:rPr>
          <w:rFonts w:ascii="Arial" w:hAnsi="Arial" w:cs="Arial"/>
          <w:sz w:val="24"/>
          <w:szCs w:val="24"/>
          <w:lang w:val="en"/>
        </w:rPr>
        <w:t xml:space="preserve"> y </w:t>
      </w:r>
      <w:proofErr w:type="spellStart"/>
      <w:r w:rsidRPr="00AE73BF">
        <w:rPr>
          <w:rFonts w:ascii="Arial" w:hAnsi="Arial" w:cs="Arial"/>
          <w:sz w:val="24"/>
          <w:szCs w:val="24"/>
          <w:lang w:val="en"/>
        </w:rPr>
        <w:t>Salud</w:t>
      </w:r>
      <w:proofErr w:type="spellEnd"/>
      <w:r w:rsidRPr="00AE73BF">
        <w:rPr>
          <w:rFonts w:ascii="Arial" w:hAnsi="Arial" w:cs="Arial"/>
          <w:sz w:val="24"/>
          <w:szCs w:val="24"/>
          <w:lang w:val="en"/>
        </w:rPr>
        <w:t xml:space="preserve"> Sexual</w:t>
      </w:r>
      <w:r w:rsidR="00436A64" w:rsidRPr="00AE73BF">
        <w:rPr>
          <w:rFonts w:ascii="Arial" w:hAnsi="Arial" w:cs="Arial"/>
          <w:sz w:val="24"/>
          <w:szCs w:val="24"/>
          <w:lang w:val="en"/>
        </w:rPr>
        <w:t>, en Monterrey, N. L.</w:t>
      </w:r>
    </w:p>
    <w:p w14:paraId="22E0AD39" w14:textId="77777777" w:rsidR="00436A64" w:rsidRPr="00AE73BF" w:rsidRDefault="00436A64" w:rsidP="00F41C2B">
      <w:pPr>
        <w:pStyle w:val="Prrafodelista"/>
        <w:numPr>
          <w:ilvl w:val="0"/>
          <w:numId w:val="2"/>
        </w:numPr>
        <w:spacing w:line="276" w:lineRule="auto"/>
        <w:jc w:val="both"/>
        <w:rPr>
          <w:rFonts w:ascii="Arial" w:hAnsi="Arial" w:cs="Arial"/>
          <w:sz w:val="24"/>
          <w:szCs w:val="24"/>
          <w:lang w:val="en"/>
        </w:rPr>
      </w:pPr>
      <w:proofErr w:type="spellStart"/>
      <w:r w:rsidRPr="00AE73BF">
        <w:rPr>
          <w:rFonts w:ascii="Arial" w:hAnsi="Arial" w:cs="Arial"/>
          <w:sz w:val="24"/>
          <w:szCs w:val="24"/>
          <w:lang w:val="en"/>
        </w:rPr>
        <w:t>Marcha</w:t>
      </w:r>
      <w:proofErr w:type="spellEnd"/>
      <w:r w:rsidRPr="00AE73BF">
        <w:rPr>
          <w:rFonts w:ascii="Arial" w:hAnsi="Arial" w:cs="Arial"/>
          <w:sz w:val="24"/>
          <w:szCs w:val="24"/>
          <w:lang w:val="en"/>
        </w:rPr>
        <w:t xml:space="preserve"> LGBT, </w:t>
      </w:r>
      <w:r w:rsidR="00AC4809" w:rsidRPr="00AE73BF">
        <w:rPr>
          <w:rFonts w:ascii="Arial" w:hAnsi="Arial" w:cs="Arial"/>
          <w:sz w:val="24"/>
          <w:szCs w:val="24"/>
          <w:lang w:val="en"/>
        </w:rPr>
        <w:t xml:space="preserve">de </w:t>
      </w:r>
      <w:r w:rsidRPr="00AE73BF">
        <w:rPr>
          <w:rFonts w:ascii="Arial" w:hAnsi="Arial" w:cs="Arial"/>
          <w:sz w:val="24"/>
          <w:szCs w:val="24"/>
          <w:lang w:val="en"/>
        </w:rPr>
        <w:t>Coatzacoalcos, Veracruz.</w:t>
      </w:r>
    </w:p>
    <w:p w14:paraId="20623AC7" w14:textId="5C476161" w:rsidR="00AC4809" w:rsidRPr="00AE73BF" w:rsidRDefault="00AC4809" w:rsidP="00F41C2B">
      <w:pPr>
        <w:pStyle w:val="Prrafodelista"/>
        <w:numPr>
          <w:ilvl w:val="0"/>
          <w:numId w:val="2"/>
        </w:numPr>
        <w:spacing w:line="276" w:lineRule="auto"/>
        <w:jc w:val="both"/>
        <w:rPr>
          <w:rFonts w:ascii="Arial" w:hAnsi="Arial" w:cs="Arial"/>
          <w:sz w:val="24"/>
          <w:szCs w:val="24"/>
          <w:lang w:val="en"/>
        </w:rPr>
      </w:pPr>
      <w:proofErr w:type="spellStart"/>
      <w:r w:rsidRPr="00AE73BF">
        <w:rPr>
          <w:rFonts w:ascii="Arial" w:hAnsi="Arial" w:cs="Arial"/>
          <w:sz w:val="24"/>
          <w:szCs w:val="24"/>
          <w:lang w:val="en"/>
        </w:rPr>
        <w:t>Servicios</w:t>
      </w:r>
      <w:proofErr w:type="spellEnd"/>
      <w:r w:rsidRPr="00AE73BF">
        <w:rPr>
          <w:rFonts w:ascii="Arial" w:hAnsi="Arial" w:cs="Arial"/>
          <w:sz w:val="24"/>
          <w:szCs w:val="24"/>
          <w:lang w:val="en"/>
        </w:rPr>
        <w:t xml:space="preserve"> </w:t>
      </w:r>
      <w:proofErr w:type="spellStart"/>
      <w:r w:rsidRPr="00AE73BF">
        <w:rPr>
          <w:rFonts w:ascii="Arial" w:hAnsi="Arial" w:cs="Arial"/>
          <w:sz w:val="24"/>
          <w:szCs w:val="24"/>
          <w:lang w:val="en"/>
        </w:rPr>
        <w:t>Humanitarios</w:t>
      </w:r>
      <w:proofErr w:type="spellEnd"/>
      <w:r w:rsidRPr="00AE73BF">
        <w:rPr>
          <w:rFonts w:ascii="Arial" w:hAnsi="Arial" w:cs="Arial"/>
          <w:sz w:val="24"/>
          <w:szCs w:val="24"/>
          <w:lang w:val="en"/>
        </w:rPr>
        <w:t xml:space="preserve"> </w:t>
      </w:r>
      <w:proofErr w:type="spellStart"/>
      <w:r w:rsidRPr="00AE73BF">
        <w:rPr>
          <w:rFonts w:ascii="Arial" w:hAnsi="Arial" w:cs="Arial"/>
          <w:sz w:val="24"/>
          <w:szCs w:val="24"/>
          <w:lang w:val="en"/>
        </w:rPr>
        <w:t>en</w:t>
      </w:r>
      <w:proofErr w:type="spellEnd"/>
      <w:r w:rsidRPr="00AE73BF">
        <w:rPr>
          <w:rFonts w:ascii="Arial" w:hAnsi="Arial" w:cs="Arial"/>
          <w:sz w:val="24"/>
          <w:szCs w:val="24"/>
          <w:lang w:val="en"/>
        </w:rPr>
        <w:t xml:space="preserve"> </w:t>
      </w:r>
      <w:proofErr w:type="spellStart"/>
      <w:r w:rsidRPr="00AE73BF">
        <w:rPr>
          <w:rFonts w:ascii="Arial" w:hAnsi="Arial" w:cs="Arial"/>
          <w:sz w:val="24"/>
          <w:szCs w:val="24"/>
          <w:lang w:val="en"/>
        </w:rPr>
        <w:t>Salud</w:t>
      </w:r>
      <w:proofErr w:type="spellEnd"/>
      <w:r w:rsidRPr="00AE73BF">
        <w:rPr>
          <w:rFonts w:ascii="Arial" w:hAnsi="Arial" w:cs="Arial"/>
          <w:sz w:val="24"/>
          <w:szCs w:val="24"/>
          <w:lang w:val="en"/>
        </w:rPr>
        <w:t xml:space="preserve"> Sexual y </w:t>
      </w:r>
      <w:proofErr w:type="spellStart"/>
      <w:r w:rsidRPr="00AE73BF">
        <w:rPr>
          <w:rFonts w:ascii="Arial" w:hAnsi="Arial" w:cs="Arial"/>
          <w:sz w:val="24"/>
          <w:szCs w:val="24"/>
          <w:lang w:val="en"/>
        </w:rPr>
        <w:t>Reproductiva</w:t>
      </w:r>
      <w:proofErr w:type="spellEnd"/>
      <w:r w:rsidRPr="00AE73BF">
        <w:rPr>
          <w:rFonts w:ascii="Arial" w:hAnsi="Arial" w:cs="Arial"/>
          <w:sz w:val="24"/>
          <w:szCs w:val="24"/>
          <w:lang w:val="en"/>
        </w:rPr>
        <w:t xml:space="preserve"> </w:t>
      </w:r>
      <w:proofErr w:type="spellStart"/>
      <w:r w:rsidRPr="00AE73BF">
        <w:rPr>
          <w:rFonts w:ascii="Arial" w:hAnsi="Arial" w:cs="Arial"/>
          <w:sz w:val="24"/>
          <w:szCs w:val="24"/>
          <w:lang w:val="en"/>
        </w:rPr>
        <w:t>en</w:t>
      </w:r>
      <w:proofErr w:type="spellEnd"/>
      <w:r w:rsidRPr="00AE73BF">
        <w:rPr>
          <w:rFonts w:ascii="Arial" w:hAnsi="Arial" w:cs="Arial"/>
          <w:sz w:val="24"/>
          <w:szCs w:val="24"/>
          <w:lang w:val="en"/>
        </w:rPr>
        <w:t xml:space="preserve"> Mérida, Yucatán.</w:t>
      </w:r>
    </w:p>
    <w:p w14:paraId="396FBF9F" w14:textId="52CA6608" w:rsidR="00451F24" w:rsidRPr="00AE73BF" w:rsidRDefault="00451F24" w:rsidP="00F41C2B">
      <w:pPr>
        <w:pStyle w:val="Prrafodelista"/>
        <w:numPr>
          <w:ilvl w:val="0"/>
          <w:numId w:val="2"/>
        </w:numPr>
        <w:spacing w:line="276" w:lineRule="auto"/>
        <w:jc w:val="both"/>
        <w:rPr>
          <w:rFonts w:ascii="Arial" w:hAnsi="Arial" w:cs="Arial"/>
          <w:sz w:val="24"/>
          <w:szCs w:val="24"/>
          <w:lang w:val="en"/>
        </w:rPr>
      </w:pPr>
      <w:proofErr w:type="spellStart"/>
      <w:r w:rsidRPr="00AE73BF">
        <w:rPr>
          <w:rFonts w:ascii="Arial" w:hAnsi="Arial" w:cs="Arial"/>
          <w:sz w:val="24"/>
          <w:szCs w:val="24"/>
          <w:lang w:val="en"/>
        </w:rPr>
        <w:t>Colectivo</w:t>
      </w:r>
      <w:proofErr w:type="spellEnd"/>
      <w:r w:rsidRPr="00AE73BF">
        <w:rPr>
          <w:rFonts w:ascii="Arial" w:hAnsi="Arial" w:cs="Arial"/>
          <w:sz w:val="24"/>
          <w:szCs w:val="24"/>
          <w:lang w:val="en"/>
        </w:rPr>
        <w:t xml:space="preserve"> </w:t>
      </w:r>
      <w:r w:rsidR="00EB243E" w:rsidRPr="00AE73BF">
        <w:rPr>
          <w:rFonts w:ascii="Arial" w:hAnsi="Arial" w:cs="Arial"/>
          <w:sz w:val="24"/>
          <w:szCs w:val="24"/>
          <w:lang w:val="en"/>
        </w:rPr>
        <w:t xml:space="preserve">Michoacán es </w:t>
      </w:r>
      <w:proofErr w:type="spellStart"/>
      <w:r w:rsidR="00EB243E" w:rsidRPr="00AE73BF">
        <w:rPr>
          <w:rFonts w:ascii="Arial" w:hAnsi="Arial" w:cs="Arial"/>
          <w:sz w:val="24"/>
          <w:szCs w:val="24"/>
          <w:lang w:val="en"/>
        </w:rPr>
        <w:t>Diversidad</w:t>
      </w:r>
      <w:proofErr w:type="spellEnd"/>
      <w:r w:rsidR="00EB243E" w:rsidRPr="00AE73BF">
        <w:rPr>
          <w:rFonts w:ascii="Arial" w:hAnsi="Arial" w:cs="Arial"/>
          <w:sz w:val="24"/>
          <w:szCs w:val="24"/>
          <w:lang w:val="en"/>
        </w:rPr>
        <w:t xml:space="preserve"> </w:t>
      </w:r>
      <w:proofErr w:type="spellStart"/>
      <w:r w:rsidR="00EB243E" w:rsidRPr="00AE73BF">
        <w:rPr>
          <w:rFonts w:ascii="Arial" w:hAnsi="Arial" w:cs="Arial"/>
          <w:sz w:val="24"/>
          <w:szCs w:val="24"/>
          <w:lang w:val="en"/>
        </w:rPr>
        <w:t>en</w:t>
      </w:r>
      <w:proofErr w:type="spellEnd"/>
      <w:r w:rsidR="00EB243E" w:rsidRPr="00AE73BF">
        <w:rPr>
          <w:rFonts w:ascii="Arial" w:hAnsi="Arial" w:cs="Arial"/>
          <w:sz w:val="24"/>
          <w:szCs w:val="24"/>
          <w:lang w:val="en"/>
        </w:rPr>
        <w:t xml:space="preserve"> Morelia, Michoacán.</w:t>
      </w:r>
    </w:p>
    <w:p w14:paraId="66680668" w14:textId="26F7A1EE" w:rsidR="00EB243E" w:rsidRPr="00AE73BF" w:rsidRDefault="00EB243E" w:rsidP="00A777F0">
      <w:pPr>
        <w:pStyle w:val="Prrafodelista"/>
        <w:numPr>
          <w:ilvl w:val="0"/>
          <w:numId w:val="2"/>
        </w:numPr>
        <w:spacing w:line="276" w:lineRule="auto"/>
        <w:jc w:val="both"/>
        <w:rPr>
          <w:rFonts w:ascii="Arial" w:hAnsi="Arial" w:cs="Arial"/>
          <w:sz w:val="24"/>
          <w:szCs w:val="24"/>
          <w:lang w:val="en"/>
        </w:rPr>
      </w:pPr>
      <w:r w:rsidRPr="00AE73BF">
        <w:rPr>
          <w:rFonts w:ascii="Arial" w:hAnsi="Arial" w:cs="Arial"/>
          <w:color w:val="000000"/>
          <w:sz w:val="24"/>
          <w:szCs w:val="24"/>
        </w:rPr>
        <w:t xml:space="preserve">San </w:t>
      </w:r>
      <w:proofErr w:type="spellStart"/>
      <w:r w:rsidRPr="00AE73BF">
        <w:rPr>
          <w:rFonts w:ascii="Arial" w:hAnsi="Arial" w:cs="Arial"/>
          <w:color w:val="000000"/>
          <w:sz w:val="24"/>
          <w:szCs w:val="24"/>
        </w:rPr>
        <w:t>Aelredo</w:t>
      </w:r>
      <w:proofErr w:type="spellEnd"/>
      <w:r w:rsidRPr="00AE73BF">
        <w:rPr>
          <w:rFonts w:ascii="Arial" w:hAnsi="Arial" w:cs="Arial"/>
          <w:color w:val="000000"/>
          <w:sz w:val="24"/>
          <w:szCs w:val="24"/>
        </w:rPr>
        <w:t xml:space="preserve"> A.C.</w:t>
      </w:r>
      <w:r w:rsidR="00C64AB4" w:rsidRPr="00AE73BF">
        <w:rPr>
          <w:rFonts w:ascii="Arial" w:hAnsi="Arial" w:cs="Arial"/>
          <w:color w:val="000000"/>
          <w:sz w:val="24"/>
          <w:szCs w:val="24"/>
        </w:rPr>
        <w:t xml:space="preserve"> en Saltillo </w:t>
      </w:r>
      <w:proofErr w:type="spellStart"/>
      <w:r w:rsidR="00C64AB4" w:rsidRPr="00AE73BF">
        <w:rPr>
          <w:rFonts w:ascii="Arial" w:hAnsi="Arial" w:cs="Arial"/>
          <w:color w:val="000000"/>
          <w:sz w:val="24"/>
          <w:szCs w:val="24"/>
        </w:rPr>
        <w:t>Coahulia</w:t>
      </w:r>
      <w:proofErr w:type="spellEnd"/>
      <w:r w:rsidR="00C64AB4" w:rsidRPr="00AE73BF">
        <w:rPr>
          <w:rFonts w:ascii="Arial" w:hAnsi="Arial" w:cs="Arial"/>
          <w:color w:val="000000"/>
          <w:sz w:val="24"/>
          <w:szCs w:val="24"/>
        </w:rPr>
        <w:t>.</w:t>
      </w:r>
    </w:p>
    <w:p w14:paraId="4A0F73D5" w14:textId="4AE48DE8" w:rsidR="00CF10A7" w:rsidRPr="00AE73BF" w:rsidRDefault="00EB243E" w:rsidP="00A777F0">
      <w:pPr>
        <w:pStyle w:val="Prrafodelista"/>
        <w:numPr>
          <w:ilvl w:val="0"/>
          <w:numId w:val="2"/>
        </w:numPr>
        <w:spacing w:line="276" w:lineRule="auto"/>
        <w:jc w:val="both"/>
        <w:rPr>
          <w:rFonts w:ascii="Arial" w:hAnsi="Arial" w:cs="Arial"/>
          <w:sz w:val="24"/>
          <w:szCs w:val="24"/>
          <w:lang w:val="en"/>
        </w:rPr>
      </w:pPr>
      <w:r w:rsidRPr="00AE73BF">
        <w:rPr>
          <w:rFonts w:ascii="Arial" w:hAnsi="Arial" w:cs="Arial"/>
          <w:color w:val="000000"/>
          <w:sz w:val="24"/>
          <w:szCs w:val="24"/>
        </w:rPr>
        <w:t>Amigos Potosinos en Lucha Contra el Sida A.C.</w:t>
      </w:r>
      <w:r w:rsidR="00C64AB4" w:rsidRPr="00AE73BF">
        <w:rPr>
          <w:rFonts w:ascii="Arial" w:hAnsi="Arial" w:cs="Arial"/>
          <w:color w:val="000000"/>
          <w:sz w:val="24"/>
          <w:szCs w:val="24"/>
        </w:rPr>
        <w:t xml:space="preserve"> en San Luis Potosí, San Luis Potosí.</w:t>
      </w:r>
    </w:p>
    <w:p w14:paraId="3F79AD13" w14:textId="3C4A5796" w:rsidR="00C64AB4" w:rsidRPr="00AE73BF" w:rsidRDefault="00C64AB4" w:rsidP="00A777F0">
      <w:pPr>
        <w:pStyle w:val="Prrafodelista"/>
        <w:numPr>
          <w:ilvl w:val="0"/>
          <w:numId w:val="2"/>
        </w:numPr>
        <w:spacing w:line="276" w:lineRule="auto"/>
        <w:jc w:val="both"/>
        <w:rPr>
          <w:rFonts w:ascii="Arial" w:hAnsi="Arial" w:cs="Arial"/>
          <w:sz w:val="24"/>
          <w:szCs w:val="24"/>
          <w:lang w:val="en"/>
        </w:rPr>
      </w:pPr>
      <w:r w:rsidRPr="00AE73BF">
        <w:rPr>
          <w:rFonts w:ascii="Arial" w:hAnsi="Arial" w:cs="Arial"/>
          <w:sz w:val="24"/>
          <w:szCs w:val="24"/>
        </w:rPr>
        <w:lastRenderedPageBreak/>
        <w:t>Una Mano Amiga</w:t>
      </w:r>
      <w:r w:rsidRPr="00AE73BF">
        <w:rPr>
          <w:rFonts w:ascii="Arial" w:hAnsi="Arial" w:cs="Arial"/>
          <w:sz w:val="24"/>
          <w:szCs w:val="24"/>
        </w:rPr>
        <w:t xml:space="preserve"> en Tapachula, Chiapas.</w:t>
      </w:r>
    </w:p>
    <w:p w14:paraId="3002BD5E" w14:textId="0C1BF108" w:rsidR="00C64AB4" w:rsidRPr="00AE73BF" w:rsidRDefault="00C64AB4" w:rsidP="00A777F0">
      <w:pPr>
        <w:pStyle w:val="Prrafodelista"/>
        <w:numPr>
          <w:ilvl w:val="0"/>
          <w:numId w:val="2"/>
        </w:numPr>
        <w:spacing w:line="276" w:lineRule="auto"/>
        <w:jc w:val="both"/>
        <w:rPr>
          <w:rFonts w:ascii="Arial" w:hAnsi="Arial" w:cs="Arial"/>
          <w:sz w:val="24"/>
          <w:szCs w:val="24"/>
          <w:lang w:val="en"/>
        </w:rPr>
      </w:pPr>
      <w:r w:rsidRPr="00AE73BF">
        <w:rPr>
          <w:rFonts w:ascii="Arial" w:hAnsi="Arial" w:cs="Arial"/>
          <w:sz w:val="24"/>
          <w:szCs w:val="24"/>
        </w:rPr>
        <w:t>ODESYR Observatorio Ciudadano de Derechos Sexuales y Reproductivos A.C.</w:t>
      </w:r>
      <w:r w:rsidRPr="00AE73BF">
        <w:rPr>
          <w:rFonts w:ascii="Arial" w:hAnsi="Arial" w:cs="Arial"/>
          <w:sz w:val="24"/>
          <w:szCs w:val="24"/>
        </w:rPr>
        <w:t xml:space="preserve"> en Puebla, Puebla. </w:t>
      </w:r>
    </w:p>
    <w:p w14:paraId="09B33967" w14:textId="5E65CC30" w:rsidR="00C64AB4" w:rsidRPr="00AE73BF" w:rsidRDefault="00C64AB4" w:rsidP="00A777F0">
      <w:pPr>
        <w:pStyle w:val="Prrafodelista"/>
        <w:numPr>
          <w:ilvl w:val="0"/>
          <w:numId w:val="2"/>
        </w:numPr>
        <w:spacing w:line="276" w:lineRule="auto"/>
        <w:jc w:val="both"/>
        <w:rPr>
          <w:rFonts w:ascii="Arial" w:hAnsi="Arial" w:cs="Arial"/>
          <w:sz w:val="24"/>
          <w:szCs w:val="24"/>
          <w:lang w:val="en"/>
        </w:rPr>
      </w:pPr>
      <w:r w:rsidRPr="00AE73BF">
        <w:rPr>
          <w:rFonts w:ascii="Arial" w:hAnsi="Arial" w:cs="Arial"/>
          <w:sz w:val="24"/>
          <w:szCs w:val="24"/>
        </w:rPr>
        <w:t>Servicios de Inclusión Integral y Derechos Humanos A. C</w:t>
      </w:r>
      <w:r w:rsidRPr="00AE73BF">
        <w:rPr>
          <w:rFonts w:ascii="Arial" w:hAnsi="Arial" w:cs="Arial"/>
          <w:sz w:val="24"/>
          <w:szCs w:val="24"/>
        </w:rPr>
        <w:t xml:space="preserve"> en Pachuca Hidalgo. </w:t>
      </w:r>
    </w:p>
    <w:p w14:paraId="73759A50" w14:textId="77777777" w:rsidR="00436A64" w:rsidRPr="00F41C2B" w:rsidRDefault="00436A64" w:rsidP="00F41C2B">
      <w:pPr>
        <w:pStyle w:val="Prrafodelista"/>
        <w:spacing w:line="276" w:lineRule="auto"/>
        <w:ind w:left="1440"/>
        <w:jc w:val="both"/>
        <w:rPr>
          <w:rFonts w:ascii="Arial" w:hAnsi="Arial" w:cs="Arial"/>
          <w:sz w:val="24"/>
          <w:szCs w:val="24"/>
        </w:rPr>
      </w:pPr>
    </w:p>
    <w:p w14:paraId="01ADEDD8" w14:textId="77777777" w:rsidR="00436A64" w:rsidRPr="00F41C2B" w:rsidRDefault="00436A64" w:rsidP="00F41C2B">
      <w:pPr>
        <w:pStyle w:val="Prrafodelista"/>
        <w:spacing w:line="276" w:lineRule="auto"/>
        <w:ind w:left="1440"/>
        <w:jc w:val="both"/>
        <w:rPr>
          <w:rFonts w:ascii="Arial" w:hAnsi="Arial" w:cs="Arial"/>
          <w:sz w:val="24"/>
          <w:szCs w:val="24"/>
        </w:rPr>
      </w:pPr>
    </w:p>
    <w:p w14:paraId="088A37D6" w14:textId="4B7BB331" w:rsidR="00436A64" w:rsidRPr="00E23178" w:rsidRDefault="00E23178" w:rsidP="00E23178">
      <w:pPr>
        <w:spacing w:line="276" w:lineRule="auto"/>
        <w:jc w:val="both"/>
        <w:rPr>
          <w:rFonts w:ascii="Arial" w:hAnsi="Arial" w:cs="Arial"/>
          <w:b/>
          <w:bCs/>
          <w:sz w:val="24"/>
          <w:szCs w:val="24"/>
        </w:rPr>
      </w:pPr>
      <w:r w:rsidRPr="00E23178">
        <w:rPr>
          <w:rFonts w:ascii="Arial" w:hAnsi="Arial" w:cs="Arial"/>
          <w:b/>
          <w:bCs/>
          <w:sz w:val="24"/>
          <w:szCs w:val="24"/>
        </w:rPr>
        <w:t>Contacto:</w:t>
      </w:r>
    </w:p>
    <w:p w14:paraId="63962DA0" w14:textId="64D01DEE" w:rsidR="00E23178" w:rsidRDefault="00E23178" w:rsidP="00E23178">
      <w:pPr>
        <w:spacing w:line="276" w:lineRule="auto"/>
        <w:jc w:val="both"/>
        <w:rPr>
          <w:rFonts w:ascii="Arial" w:hAnsi="Arial" w:cs="Arial"/>
          <w:sz w:val="24"/>
          <w:szCs w:val="24"/>
        </w:rPr>
      </w:pPr>
      <w:r>
        <w:rPr>
          <w:rFonts w:ascii="Arial" w:hAnsi="Arial" w:cs="Arial"/>
          <w:sz w:val="24"/>
          <w:szCs w:val="24"/>
        </w:rPr>
        <w:t>Andrea Avilez Ortega</w:t>
      </w:r>
    </w:p>
    <w:p w14:paraId="1AF5F5C0" w14:textId="4CB7BDA6" w:rsidR="00E23178" w:rsidRDefault="00E23178" w:rsidP="00E23178">
      <w:pPr>
        <w:spacing w:line="276" w:lineRule="auto"/>
        <w:jc w:val="both"/>
        <w:rPr>
          <w:rFonts w:ascii="Arial" w:hAnsi="Arial" w:cs="Arial"/>
          <w:sz w:val="24"/>
          <w:szCs w:val="24"/>
        </w:rPr>
      </w:pPr>
      <w:hyperlink r:id="rId8" w:history="1">
        <w:r w:rsidRPr="00F67DE5">
          <w:rPr>
            <w:rStyle w:val="Hipervnculo"/>
            <w:rFonts w:ascii="Arial" w:hAnsi="Arial" w:cs="Arial"/>
            <w:sz w:val="24"/>
            <w:szCs w:val="24"/>
          </w:rPr>
          <w:t>andrea@fundacionarcoiris.org.mx</w:t>
        </w:r>
      </w:hyperlink>
    </w:p>
    <w:p w14:paraId="6CEFE471" w14:textId="7D247EAB" w:rsidR="00E23178" w:rsidRPr="00E23178" w:rsidRDefault="00E23178" w:rsidP="00E23178">
      <w:pPr>
        <w:spacing w:line="276" w:lineRule="auto"/>
        <w:jc w:val="both"/>
        <w:rPr>
          <w:rFonts w:ascii="Arial" w:hAnsi="Arial" w:cs="Arial"/>
          <w:sz w:val="24"/>
          <w:szCs w:val="24"/>
        </w:rPr>
      </w:pPr>
      <w:hyperlink r:id="rId9" w:history="1">
        <w:r w:rsidRPr="00F67DE5">
          <w:rPr>
            <w:rStyle w:val="Hipervnculo"/>
            <w:rFonts w:ascii="Arial" w:hAnsi="Arial" w:cs="Arial"/>
            <w:sz w:val="24"/>
            <w:szCs w:val="24"/>
          </w:rPr>
          <w:t>info@fundacionarcoiris.org.mx</w:t>
        </w:r>
      </w:hyperlink>
      <w:r>
        <w:rPr>
          <w:rFonts w:ascii="Arial" w:hAnsi="Arial" w:cs="Arial"/>
          <w:sz w:val="24"/>
          <w:szCs w:val="24"/>
        </w:rPr>
        <w:t xml:space="preserve"> </w:t>
      </w:r>
      <w:bookmarkStart w:id="0" w:name="_GoBack"/>
      <w:bookmarkEnd w:id="0"/>
    </w:p>
    <w:sectPr w:rsidR="00E23178" w:rsidRPr="00E2317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617AA" w14:textId="77777777" w:rsidR="00497D59" w:rsidRDefault="00497D59" w:rsidP="002348D8">
      <w:pPr>
        <w:spacing w:after="0" w:line="240" w:lineRule="auto"/>
      </w:pPr>
      <w:r>
        <w:separator/>
      </w:r>
    </w:p>
  </w:endnote>
  <w:endnote w:type="continuationSeparator" w:id="0">
    <w:p w14:paraId="49CE5DDD" w14:textId="77777777" w:rsidR="00497D59" w:rsidRDefault="00497D59" w:rsidP="00234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973854"/>
      <w:docPartObj>
        <w:docPartGallery w:val="Page Numbers (Bottom of Page)"/>
        <w:docPartUnique/>
      </w:docPartObj>
    </w:sdtPr>
    <w:sdtEndPr/>
    <w:sdtContent>
      <w:p w14:paraId="06EB0055" w14:textId="77777777" w:rsidR="009073D4" w:rsidRDefault="009073D4">
        <w:pPr>
          <w:pStyle w:val="Piedepgina"/>
          <w:jc w:val="right"/>
        </w:pPr>
        <w:r>
          <w:fldChar w:fldCharType="begin"/>
        </w:r>
        <w:r>
          <w:instrText>PAGE   \* MERGEFORMAT</w:instrText>
        </w:r>
        <w:r>
          <w:fldChar w:fldCharType="separate"/>
        </w:r>
        <w:r w:rsidRPr="009073D4">
          <w:rPr>
            <w:noProof/>
            <w:lang w:val="es-ES"/>
          </w:rPr>
          <w:t>6</w:t>
        </w:r>
        <w:r>
          <w:fldChar w:fldCharType="end"/>
        </w:r>
      </w:p>
    </w:sdtContent>
  </w:sdt>
  <w:p w14:paraId="00788184" w14:textId="77777777" w:rsidR="00305AAB" w:rsidRDefault="00305A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A2D66" w14:textId="77777777" w:rsidR="00497D59" w:rsidRDefault="00497D59" w:rsidP="002348D8">
      <w:pPr>
        <w:spacing w:after="0" w:line="240" w:lineRule="auto"/>
      </w:pPr>
      <w:r>
        <w:separator/>
      </w:r>
    </w:p>
  </w:footnote>
  <w:footnote w:type="continuationSeparator" w:id="0">
    <w:p w14:paraId="473BF50A" w14:textId="77777777" w:rsidR="00497D59" w:rsidRDefault="00497D59" w:rsidP="002348D8">
      <w:pPr>
        <w:spacing w:after="0" w:line="240" w:lineRule="auto"/>
      </w:pPr>
      <w:r>
        <w:continuationSeparator/>
      </w:r>
    </w:p>
  </w:footnote>
  <w:footnote w:id="1">
    <w:p w14:paraId="5A89F08B" w14:textId="36FD6F60" w:rsidR="003932BB" w:rsidRPr="003932BB" w:rsidRDefault="003932BB" w:rsidP="003932BB">
      <w:pPr>
        <w:spacing w:line="276" w:lineRule="auto"/>
        <w:jc w:val="both"/>
        <w:rPr>
          <w:rFonts w:ascii="Arial" w:hAnsi="Arial" w:cs="Arial"/>
          <w:sz w:val="20"/>
          <w:szCs w:val="20"/>
        </w:rPr>
      </w:pPr>
      <w:r w:rsidRPr="003932BB">
        <w:rPr>
          <w:rStyle w:val="Refdenotaalpie"/>
          <w:sz w:val="20"/>
          <w:szCs w:val="20"/>
        </w:rPr>
        <w:footnoteRef/>
      </w:r>
      <w:r w:rsidRPr="003932BB">
        <w:rPr>
          <w:rFonts w:ascii="Arial" w:hAnsi="Arial" w:cs="Arial"/>
          <w:sz w:val="20"/>
          <w:szCs w:val="20"/>
        </w:rPr>
        <w:t>https://www.cndh.org.mx/documento/advierte-cndh-sobre-persistencia-de-discriminacion-y-violencia-contra-las-personas</w:t>
      </w:r>
    </w:p>
  </w:footnote>
  <w:footnote w:id="2">
    <w:p w14:paraId="3EAB69D2" w14:textId="5AF346FB" w:rsidR="003932BB" w:rsidRDefault="003932BB">
      <w:pPr>
        <w:pStyle w:val="Textonotapie"/>
        <w:rPr>
          <w:rFonts w:ascii="Arial" w:hAnsi="Arial" w:cs="Arial"/>
        </w:rPr>
      </w:pPr>
      <w:r w:rsidRPr="003932BB">
        <w:rPr>
          <w:rStyle w:val="Refdenotaalpie"/>
          <w:rFonts w:ascii="Arial" w:hAnsi="Arial" w:cs="Arial"/>
        </w:rPr>
        <w:footnoteRef/>
      </w:r>
      <w:r w:rsidRPr="003932BB">
        <w:rPr>
          <w:rFonts w:ascii="Arial" w:hAnsi="Arial" w:cs="Arial"/>
        </w:rPr>
        <w:t xml:space="preserve"> </w:t>
      </w:r>
      <w:hyperlink r:id="rId1" w:history="1">
        <w:r w:rsidRPr="003932BB">
          <w:rPr>
            <w:rStyle w:val="Hipervnculo"/>
            <w:rFonts w:ascii="Arial" w:hAnsi="Arial" w:cs="Arial"/>
            <w:color w:val="auto"/>
            <w:u w:val="none"/>
          </w:rPr>
          <w:t>http://www5.diputados.gob.mx/index.php/esl/Comunicacion/Boletines/2018/Agosto/18/5678-Prohibir-y-sancionar-terapias-de-conversion-o-curativas-para-modificar-la-orientacion-sexual-e-identidad-de-genero</w:t>
        </w:r>
      </w:hyperlink>
      <w:r w:rsidRPr="003932BB">
        <w:rPr>
          <w:rFonts w:ascii="Arial" w:hAnsi="Arial" w:cs="Arial"/>
        </w:rPr>
        <w:t xml:space="preserve"> </w:t>
      </w:r>
    </w:p>
    <w:p w14:paraId="41F6FF9F" w14:textId="77777777" w:rsidR="003932BB" w:rsidRDefault="003932BB">
      <w:pPr>
        <w:pStyle w:val="Textonotapie"/>
        <w:rPr>
          <w:rFonts w:ascii="Arial" w:hAnsi="Arial" w:cs="Arial"/>
        </w:rPr>
      </w:pPr>
    </w:p>
    <w:p w14:paraId="19098BA5" w14:textId="68673899" w:rsidR="003932BB" w:rsidRDefault="003932BB">
      <w:pPr>
        <w:pStyle w:val="Textonotapie"/>
        <w:rPr>
          <w:rFonts w:ascii="Arial" w:hAnsi="Arial" w:cs="Arial"/>
        </w:rPr>
      </w:pPr>
      <w:r w:rsidRPr="003932BB">
        <w:rPr>
          <w:rFonts w:ascii="Arial" w:hAnsi="Arial" w:cs="Arial"/>
        </w:rPr>
        <w:t>http://sil.gobernacion.gob.mx/Archivos/Documentos/2018/10/asun_3745980_20181004_1538657848.pdf</w:t>
      </w:r>
    </w:p>
    <w:p w14:paraId="1E199E4B" w14:textId="77777777" w:rsidR="003932BB" w:rsidRDefault="003932BB">
      <w:pPr>
        <w:pStyle w:val="Textonotapie"/>
      </w:pPr>
    </w:p>
  </w:footnote>
  <w:footnote w:id="3">
    <w:p w14:paraId="64AF76CD" w14:textId="2AB22D06" w:rsidR="009E445B" w:rsidRPr="009E445B" w:rsidRDefault="009E445B">
      <w:pPr>
        <w:pStyle w:val="Textonotapie"/>
        <w:rPr>
          <w:rFonts w:ascii="Arial" w:hAnsi="Arial" w:cs="Arial"/>
        </w:rPr>
      </w:pPr>
      <w:r w:rsidRPr="009E445B">
        <w:rPr>
          <w:rStyle w:val="Refdenotaalpie"/>
          <w:rFonts w:ascii="Arial" w:hAnsi="Arial" w:cs="Arial"/>
        </w:rPr>
        <w:footnoteRef/>
      </w:r>
      <w:r w:rsidRPr="009E445B">
        <w:rPr>
          <w:rFonts w:ascii="Arial" w:hAnsi="Arial" w:cs="Arial"/>
        </w:rPr>
        <w:t>https://www.gob.mx/cms/uploads/attachment/file/462171/Protocolo_Comunidad_LGBTTI_DT_Versi_n_IV_19__1_.pdf_Versi_n_15_DE_MAYO_2019.pdf</w:t>
      </w:r>
    </w:p>
  </w:footnote>
  <w:footnote w:id="4">
    <w:p w14:paraId="1A2B41E3" w14:textId="07B654BD" w:rsidR="00CF10A7" w:rsidRPr="00CF10A7" w:rsidRDefault="00CF10A7" w:rsidP="00CF10A7">
      <w:pPr>
        <w:pStyle w:val="Textonotapie"/>
        <w:jc w:val="both"/>
        <w:rPr>
          <w:rFonts w:ascii="Arial" w:hAnsi="Arial" w:cs="Arial"/>
        </w:rPr>
      </w:pPr>
      <w:r w:rsidRPr="00CF10A7">
        <w:rPr>
          <w:rStyle w:val="Refdenotaalpie"/>
          <w:rFonts w:ascii="Arial" w:hAnsi="Arial" w:cs="Arial"/>
        </w:rPr>
        <w:footnoteRef/>
      </w:r>
      <w:r w:rsidRPr="00CF10A7">
        <w:rPr>
          <w:rFonts w:ascii="Arial" w:hAnsi="Arial" w:cs="Arial"/>
        </w:rPr>
        <w:t>http://www5.diputados.gob.mx/index.php/esl/Comunicacion/Boletines/2018/Agosto/18/5678-Prohibir-y-sancionar-terapias-de-conversion-o-curativas-para-modificar-la-orientacion-sexual-e-identidad-de-genero</w:t>
      </w:r>
    </w:p>
  </w:footnote>
  <w:footnote w:id="5">
    <w:p w14:paraId="59EF4F6D" w14:textId="78DD7A53" w:rsidR="00CF10A7" w:rsidRPr="00CF10A7" w:rsidRDefault="00CF10A7" w:rsidP="00CF10A7">
      <w:pPr>
        <w:pStyle w:val="Textonotapie"/>
        <w:jc w:val="both"/>
        <w:rPr>
          <w:rFonts w:ascii="Arial" w:hAnsi="Arial" w:cs="Arial"/>
        </w:rPr>
      </w:pPr>
      <w:r w:rsidRPr="00CF10A7">
        <w:rPr>
          <w:rStyle w:val="Refdenotaalpie"/>
          <w:rFonts w:ascii="Arial" w:hAnsi="Arial" w:cs="Arial"/>
        </w:rPr>
        <w:footnoteRef/>
      </w:r>
      <w:r w:rsidRPr="00CF10A7">
        <w:rPr>
          <w:rFonts w:ascii="Arial" w:hAnsi="Arial" w:cs="Arial"/>
        </w:rPr>
        <w:t>http://sil.gobernacion.gob.mx/Archivos/Documentos/2018/10/asun_3745980_20181004_1538657848.pdf</w:t>
      </w:r>
    </w:p>
  </w:footnote>
  <w:footnote w:id="6">
    <w:p w14:paraId="25D59280" w14:textId="559915B6" w:rsidR="00CF10A7" w:rsidRPr="00E23178" w:rsidRDefault="00CF10A7" w:rsidP="00E23178">
      <w:pPr>
        <w:pStyle w:val="Textonotapie"/>
        <w:jc w:val="both"/>
        <w:rPr>
          <w:rFonts w:ascii="Arial" w:hAnsi="Arial" w:cs="Arial"/>
        </w:rPr>
      </w:pPr>
      <w:r w:rsidRPr="00E23178">
        <w:rPr>
          <w:rStyle w:val="Refdenotaalpie"/>
          <w:rFonts w:ascii="Arial" w:hAnsi="Arial" w:cs="Arial"/>
        </w:rPr>
        <w:footnoteRef/>
      </w:r>
      <w:r w:rsidRPr="00E23178">
        <w:rPr>
          <w:rFonts w:ascii="Arial" w:hAnsi="Arial" w:cs="Arial"/>
        </w:rPr>
        <w:t>https://www.cndh.org.mx/documento/advierte-cndh-sobre-persistencia-de-discriminacion-y-violencia-contra-las-personas</w:t>
      </w:r>
    </w:p>
  </w:footnote>
  <w:footnote w:id="7">
    <w:p w14:paraId="25C2CE33" w14:textId="6CE2C380" w:rsidR="00CF10A7" w:rsidRPr="00E23178" w:rsidRDefault="00CF10A7" w:rsidP="00E23178">
      <w:pPr>
        <w:pStyle w:val="Textonotapie"/>
        <w:jc w:val="both"/>
        <w:rPr>
          <w:rFonts w:ascii="Arial" w:hAnsi="Arial" w:cs="Arial"/>
        </w:rPr>
      </w:pPr>
      <w:r w:rsidRPr="00E23178">
        <w:rPr>
          <w:rStyle w:val="Refdenotaalpie"/>
          <w:rFonts w:ascii="Arial" w:hAnsi="Arial" w:cs="Arial"/>
        </w:rPr>
        <w:footnoteRef/>
      </w:r>
      <w:r w:rsidRPr="00E23178">
        <w:rPr>
          <w:rFonts w:ascii="Arial" w:hAnsi="Arial" w:cs="Arial"/>
        </w:rPr>
        <w:t>https://www.cndh.org.mx/index.php/documento/informe-especial-sobre-la-situacion-de-los-derechos-humanos-de-las-personas-lesbianas-gay</w:t>
      </w:r>
    </w:p>
  </w:footnote>
  <w:footnote w:id="8">
    <w:p w14:paraId="21D3E880" w14:textId="23DC555F" w:rsidR="0065624A" w:rsidRPr="00E23178" w:rsidRDefault="0065624A" w:rsidP="00E23178">
      <w:pPr>
        <w:pStyle w:val="Textonotapie"/>
        <w:jc w:val="both"/>
        <w:rPr>
          <w:rFonts w:ascii="Arial" w:hAnsi="Arial" w:cs="Arial"/>
        </w:rPr>
      </w:pPr>
      <w:r w:rsidRPr="00E23178">
        <w:rPr>
          <w:rStyle w:val="Refdenotaalpie"/>
          <w:rFonts w:ascii="Arial" w:hAnsi="Arial" w:cs="Arial"/>
        </w:rPr>
        <w:footnoteRef/>
      </w:r>
      <w:r w:rsidRPr="00E23178">
        <w:rPr>
          <w:rFonts w:ascii="Arial" w:hAnsi="Arial" w:cs="Arial"/>
        </w:rPr>
        <w:t xml:space="preserve"> </w:t>
      </w:r>
      <w:r w:rsidRPr="00E23178">
        <w:rPr>
          <w:rFonts w:ascii="Arial" w:hAnsi="Arial" w:cs="Arial"/>
        </w:rPr>
        <w:t>https://www.conapred.org.mx/index.php?contenido=boletin&amp;id=974&amp;id_opcion=103&amp;op=213</w:t>
      </w:r>
    </w:p>
  </w:footnote>
  <w:footnote w:id="9">
    <w:p w14:paraId="23867882" w14:textId="42498A05" w:rsidR="00E23178" w:rsidRDefault="00E23178" w:rsidP="00E23178">
      <w:pPr>
        <w:pStyle w:val="Textonotapie"/>
        <w:jc w:val="both"/>
      </w:pPr>
      <w:r w:rsidRPr="00E23178">
        <w:rPr>
          <w:rStyle w:val="Refdenotaalpie"/>
          <w:rFonts w:ascii="Arial" w:hAnsi="Arial" w:cs="Arial"/>
        </w:rPr>
        <w:footnoteRef/>
      </w:r>
      <w:r w:rsidRPr="00E23178">
        <w:rPr>
          <w:rFonts w:ascii="Arial" w:hAnsi="Arial" w:cs="Arial"/>
        </w:rPr>
        <w:t xml:space="preserve"> </w:t>
      </w:r>
      <w:r w:rsidRPr="00E23178">
        <w:rPr>
          <w:rFonts w:ascii="Arial" w:hAnsi="Arial" w:cs="Arial"/>
        </w:rPr>
        <w:t>https://www.conapred.org.mx/index.php?contenido=boletin&amp;id=1101&amp;id_opcion=&amp;op=213</w:t>
      </w:r>
    </w:p>
  </w:footnote>
  <w:footnote w:id="10">
    <w:p w14:paraId="2C19B068" w14:textId="78BB7104" w:rsidR="00CF10A7" w:rsidRPr="00CF10A7" w:rsidRDefault="00CF10A7">
      <w:pPr>
        <w:pStyle w:val="Textonotapie"/>
        <w:rPr>
          <w:rFonts w:ascii="Arial" w:hAnsi="Arial" w:cs="Arial"/>
        </w:rPr>
      </w:pPr>
      <w:r w:rsidRPr="00CF10A7">
        <w:rPr>
          <w:rStyle w:val="Refdenotaalpie"/>
          <w:rFonts w:ascii="Arial" w:hAnsi="Arial" w:cs="Arial"/>
        </w:rPr>
        <w:footnoteRef/>
      </w:r>
      <w:r w:rsidRPr="00CF10A7">
        <w:rPr>
          <w:rFonts w:ascii="Arial" w:hAnsi="Arial" w:cs="Arial"/>
        </w:rPr>
        <w:t xml:space="preserve"> </w:t>
      </w:r>
      <w:hyperlink r:id="rId2" w:history="1">
        <w:r w:rsidRPr="00CF10A7">
          <w:rPr>
            <w:rStyle w:val="Hipervnculo"/>
            <w:rFonts w:ascii="Arial" w:hAnsi="Arial" w:cs="Arial"/>
            <w:color w:val="auto"/>
            <w:u w:val="none"/>
          </w:rPr>
          <w:t>https://www.capitalmexico.com.mx/sociedad/terapias-de-conversion-a-gays-son-fraude-y-tortura-copred/</w:t>
        </w:r>
      </w:hyperlink>
    </w:p>
    <w:p w14:paraId="6B6495A9" w14:textId="223D686E" w:rsidR="00CF10A7" w:rsidRPr="00CF10A7" w:rsidRDefault="00CF10A7">
      <w:pPr>
        <w:pStyle w:val="Textonotapie"/>
        <w:rPr>
          <w:rFonts w:ascii="Arial" w:hAnsi="Arial" w:cs="Arial"/>
        </w:rPr>
      </w:pPr>
      <w:r w:rsidRPr="00CF10A7">
        <w:rPr>
          <w:rFonts w:ascii="Arial" w:hAnsi="Arial" w:cs="Arial"/>
        </w:rPr>
        <w:t xml:space="preserve">   </w:t>
      </w:r>
      <w:hyperlink r:id="rId3" w:history="1">
        <w:r w:rsidRPr="00CF10A7">
          <w:rPr>
            <w:rStyle w:val="Hipervnculo"/>
            <w:rFonts w:ascii="Arial" w:hAnsi="Arial" w:cs="Arial"/>
            <w:color w:val="auto"/>
            <w:u w:val="none"/>
          </w:rPr>
          <w:t>http://data.copred.cdmx.gob.mx/wp-content/uploads/2015/03/Opinión-Consultiva-Richard-Cohen.pdf</w:t>
        </w:r>
      </w:hyperlink>
    </w:p>
    <w:p w14:paraId="5F28B114" w14:textId="10A4DF05" w:rsidR="00CF10A7" w:rsidRDefault="00CF10A7">
      <w:pPr>
        <w:pStyle w:val="Textonotapie"/>
      </w:pPr>
      <w:r w:rsidRPr="00CF10A7">
        <w:rPr>
          <w:rFonts w:ascii="Arial" w:hAnsi="Arial" w:cs="Arial"/>
        </w:rPr>
        <w:t xml:space="preserve">   </w:t>
      </w:r>
      <w:r w:rsidRPr="00CF10A7">
        <w:rPr>
          <w:rFonts w:ascii="Arial" w:hAnsi="Arial" w:cs="Arial"/>
        </w:rPr>
        <w:t>https://www.sdpnoticias.com/diversidad/richard-copred-cohen-queja-pese.html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4F2F" w14:textId="3C4CF1CB" w:rsidR="00F41C2B" w:rsidRDefault="00F41C2B" w:rsidP="00F41C2B">
    <w:pPr>
      <w:pStyle w:val="Encabezado"/>
      <w:jc w:val="right"/>
    </w:pPr>
    <w:r>
      <w:rPr>
        <w:noProof/>
      </w:rPr>
      <w:drawing>
        <wp:inline distT="0" distB="0" distL="0" distR="0" wp14:anchorId="439F21E4" wp14:editId="3F22C4BD">
          <wp:extent cx="1998063" cy="1228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924" cy="12372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F374B"/>
    <w:multiLevelType w:val="hybridMultilevel"/>
    <w:tmpl w:val="D5385F70"/>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 w15:restartNumberingAfterBreak="0">
    <w:nsid w:val="24B85778"/>
    <w:multiLevelType w:val="hybridMultilevel"/>
    <w:tmpl w:val="DEF29F48"/>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 w15:restartNumberingAfterBreak="0">
    <w:nsid w:val="28521C73"/>
    <w:multiLevelType w:val="hybridMultilevel"/>
    <w:tmpl w:val="5352E502"/>
    <w:lvl w:ilvl="0" w:tplc="080A000B">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15:restartNumberingAfterBreak="0">
    <w:nsid w:val="310B2EA9"/>
    <w:multiLevelType w:val="hybridMultilevel"/>
    <w:tmpl w:val="B546BD1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9BF"/>
    <w:rsid w:val="000C723C"/>
    <w:rsid w:val="000D243D"/>
    <w:rsid w:val="00104C42"/>
    <w:rsid w:val="00111A56"/>
    <w:rsid w:val="0018480E"/>
    <w:rsid w:val="00210852"/>
    <w:rsid w:val="002348D8"/>
    <w:rsid w:val="0025783C"/>
    <w:rsid w:val="00305AAB"/>
    <w:rsid w:val="00382551"/>
    <w:rsid w:val="003932BB"/>
    <w:rsid w:val="003D5CC5"/>
    <w:rsid w:val="00436A64"/>
    <w:rsid w:val="00451F24"/>
    <w:rsid w:val="00497D59"/>
    <w:rsid w:val="004C4C79"/>
    <w:rsid w:val="00505C15"/>
    <w:rsid w:val="005B766C"/>
    <w:rsid w:val="005D06FB"/>
    <w:rsid w:val="0065624A"/>
    <w:rsid w:val="00665EA1"/>
    <w:rsid w:val="006B4419"/>
    <w:rsid w:val="00753475"/>
    <w:rsid w:val="007E790C"/>
    <w:rsid w:val="008604C7"/>
    <w:rsid w:val="009073D4"/>
    <w:rsid w:val="009E445B"/>
    <w:rsid w:val="00A60030"/>
    <w:rsid w:val="00A777F0"/>
    <w:rsid w:val="00AC4809"/>
    <w:rsid w:val="00AE73BF"/>
    <w:rsid w:val="00C64AB4"/>
    <w:rsid w:val="00C73202"/>
    <w:rsid w:val="00CA458B"/>
    <w:rsid w:val="00CF10A7"/>
    <w:rsid w:val="00D20A0D"/>
    <w:rsid w:val="00DC0ABB"/>
    <w:rsid w:val="00E03D9A"/>
    <w:rsid w:val="00E23178"/>
    <w:rsid w:val="00E93EEB"/>
    <w:rsid w:val="00EB243E"/>
    <w:rsid w:val="00EC19BF"/>
    <w:rsid w:val="00F17F46"/>
    <w:rsid w:val="00F41C2B"/>
    <w:rsid w:val="00FE6DE1"/>
    <w:rsid w:val="00FF5A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689AE"/>
  <w15:chartTrackingRefBased/>
  <w15:docId w15:val="{C28BDE80-2893-4607-A59E-20F737DF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19BF"/>
    <w:pPr>
      <w:ind w:left="720"/>
      <w:contextualSpacing/>
    </w:pPr>
  </w:style>
  <w:style w:type="paragraph" w:styleId="Encabezado">
    <w:name w:val="header"/>
    <w:basedOn w:val="Normal"/>
    <w:link w:val="EncabezadoCar"/>
    <w:uiPriority w:val="99"/>
    <w:unhideWhenUsed/>
    <w:rsid w:val="002348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48D8"/>
  </w:style>
  <w:style w:type="paragraph" w:styleId="Piedepgina">
    <w:name w:val="footer"/>
    <w:basedOn w:val="Normal"/>
    <w:link w:val="PiedepginaCar"/>
    <w:uiPriority w:val="99"/>
    <w:unhideWhenUsed/>
    <w:rsid w:val="002348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48D8"/>
  </w:style>
  <w:style w:type="character" w:styleId="Hipervnculo">
    <w:name w:val="Hyperlink"/>
    <w:basedOn w:val="Fuentedeprrafopredeter"/>
    <w:uiPriority w:val="99"/>
    <w:unhideWhenUsed/>
    <w:rsid w:val="002348D8"/>
    <w:rPr>
      <w:color w:val="0000FF"/>
      <w:u w:val="single"/>
    </w:rPr>
  </w:style>
  <w:style w:type="paragraph" w:styleId="Textonotapie">
    <w:name w:val="footnote text"/>
    <w:basedOn w:val="Normal"/>
    <w:link w:val="TextonotapieCar"/>
    <w:uiPriority w:val="99"/>
    <w:semiHidden/>
    <w:unhideWhenUsed/>
    <w:rsid w:val="003932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32BB"/>
    <w:rPr>
      <w:sz w:val="20"/>
      <w:szCs w:val="20"/>
    </w:rPr>
  </w:style>
  <w:style w:type="character" w:styleId="Refdenotaalpie">
    <w:name w:val="footnote reference"/>
    <w:basedOn w:val="Fuentedeprrafopredeter"/>
    <w:uiPriority w:val="99"/>
    <w:semiHidden/>
    <w:unhideWhenUsed/>
    <w:rsid w:val="003932BB"/>
    <w:rPr>
      <w:vertAlign w:val="superscript"/>
    </w:rPr>
  </w:style>
  <w:style w:type="character" w:styleId="Mencinsinresolver">
    <w:name w:val="Unresolved Mention"/>
    <w:basedOn w:val="Fuentedeprrafopredeter"/>
    <w:uiPriority w:val="99"/>
    <w:semiHidden/>
    <w:unhideWhenUsed/>
    <w:rsid w:val="003932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fundacionarcoiris.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undacionarcoiris.org.mx"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data.copred.cdmx.gob.mx/wp-content/uploads/2015/03/Opini&#243;n-Consultiva-Richard-Cohen.pdf" TargetMode="External"/><Relationship Id="rId2" Type="http://schemas.openxmlformats.org/officeDocument/2006/relationships/hyperlink" Target="https://www.capitalmexico.com.mx/sociedad/terapias-de-conversion-a-gays-son-fraude-y-tortura-copred/" TargetMode="External"/><Relationship Id="rId1" Type="http://schemas.openxmlformats.org/officeDocument/2006/relationships/hyperlink" Target="http://www5.diputados.gob.mx/index.php/esl/Comunicacion/Boletines/2018/Agosto/18/5678-Prohibir-y-sancionar-terapias-de-conversion-o-curativas-para-modificar-la-orientacion-sexual-e-identidad-de-gen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01DC5D-1197-4130-8F3C-9AA9B4921CCB}">
  <ds:schemaRefs>
    <ds:schemaRef ds:uri="http://schemas.openxmlformats.org/officeDocument/2006/bibliography"/>
  </ds:schemaRefs>
</ds:datastoreItem>
</file>

<file path=customXml/itemProps2.xml><?xml version="1.0" encoding="utf-8"?>
<ds:datastoreItem xmlns:ds="http://schemas.openxmlformats.org/officeDocument/2006/customXml" ds:itemID="{FE5F9763-F6D4-4B33-911F-8BEEB4FA3823}"/>
</file>

<file path=customXml/itemProps3.xml><?xml version="1.0" encoding="utf-8"?>
<ds:datastoreItem xmlns:ds="http://schemas.openxmlformats.org/officeDocument/2006/customXml" ds:itemID="{3A958B1A-A902-415F-ADA3-4AED2A895681}"/>
</file>

<file path=customXml/itemProps4.xml><?xml version="1.0" encoding="utf-8"?>
<ds:datastoreItem xmlns:ds="http://schemas.openxmlformats.org/officeDocument/2006/customXml" ds:itemID="{C688A351-DBF1-4EFF-88C0-D7948AC28A30}"/>
</file>

<file path=docProps/app.xml><?xml version="1.0" encoding="utf-8"?>
<Properties xmlns="http://schemas.openxmlformats.org/officeDocument/2006/extended-properties" xmlns:vt="http://schemas.openxmlformats.org/officeDocument/2006/docPropsVTypes">
  <Template>Normal</Template>
  <TotalTime>239</TotalTime>
  <Pages>7</Pages>
  <Words>1481</Words>
  <Characters>8151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Comisión Nacional de los Derechos Humanos México</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Fundacion Arcoiris</cp:lastModifiedBy>
  <cp:revision>6</cp:revision>
  <dcterms:created xsi:type="dcterms:W3CDTF">2019-12-17T19:58:00Z</dcterms:created>
  <dcterms:modified xsi:type="dcterms:W3CDTF">2019-12-17T23:47:00Z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