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6732" w14:textId="77777777" w:rsidR="00E02CDD" w:rsidRPr="00444B27" w:rsidRDefault="00E02CDD" w:rsidP="001044B7">
      <w:pPr>
        <w:spacing w:after="120"/>
        <w:rPr>
          <w:rFonts w:asciiTheme="minorHAnsi" w:hAnsiTheme="minorHAnsi"/>
          <w:b/>
        </w:rPr>
      </w:pPr>
    </w:p>
    <w:p w14:paraId="297ECAA6" w14:textId="50A5847F" w:rsidR="00E02CDD" w:rsidRPr="00444B27" w:rsidRDefault="00E74788" w:rsidP="000B2AE6">
      <w:pPr>
        <w:spacing w:after="120"/>
        <w:rPr>
          <w:rFonts w:asciiTheme="minorHAnsi" w:hAnsiTheme="minorHAnsi" w:cstheme="minorHAnsi"/>
          <w:i/>
        </w:rPr>
      </w:pPr>
      <w:r w:rsidRPr="00444B27">
        <w:rPr>
          <w:rFonts w:asciiTheme="minorHAnsi" w:hAnsiTheme="minorHAnsi" w:cstheme="minorHAnsi"/>
          <w:b/>
        </w:rPr>
        <w:t>Asia Pacific Alliance for Sexual and Repr</w:t>
      </w:r>
      <w:r w:rsidR="001044B7" w:rsidRPr="00444B27">
        <w:rPr>
          <w:rFonts w:asciiTheme="minorHAnsi" w:hAnsiTheme="minorHAnsi" w:cstheme="minorHAnsi"/>
          <w:b/>
        </w:rPr>
        <w:t>oductive Health and Rights</w:t>
      </w:r>
      <w:r w:rsidRPr="00444B27">
        <w:rPr>
          <w:rFonts w:asciiTheme="minorHAnsi" w:hAnsiTheme="minorHAnsi" w:cstheme="minorHAnsi"/>
          <w:b/>
        </w:rPr>
        <w:t>:</w:t>
      </w:r>
      <w:r w:rsidRPr="00444B27">
        <w:rPr>
          <w:rFonts w:asciiTheme="minorHAnsi" w:hAnsiTheme="minorHAnsi" w:cstheme="minorHAnsi"/>
        </w:rPr>
        <w:t xml:space="preserve"> </w:t>
      </w:r>
      <w:r w:rsidRPr="00444B27">
        <w:rPr>
          <w:rFonts w:asciiTheme="minorHAnsi" w:hAnsiTheme="minorHAnsi" w:cstheme="minorHAnsi"/>
          <w:i/>
        </w:rPr>
        <w:t>submiss</w:t>
      </w:r>
      <w:r w:rsidR="00E02CDD" w:rsidRPr="00444B27">
        <w:rPr>
          <w:rFonts w:asciiTheme="minorHAnsi" w:hAnsiTheme="minorHAnsi" w:cstheme="minorHAnsi"/>
          <w:i/>
        </w:rPr>
        <w:t>ion to the Report of the Independent Expert on protection against violence and discrimination based on sexual orientation and gender identity</w:t>
      </w:r>
      <w:r w:rsidRPr="00444B27">
        <w:rPr>
          <w:rFonts w:asciiTheme="minorHAnsi" w:hAnsiTheme="minorHAnsi" w:cstheme="minorHAnsi"/>
          <w:i/>
        </w:rPr>
        <w:t>.</w:t>
      </w:r>
    </w:p>
    <w:p w14:paraId="7AFF527D" w14:textId="7A0BFCE1" w:rsidR="00956E33" w:rsidRPr="00444B27" w:rsidRDefault="00BD7037" w:rsidP="000B2AE6">
      <w:pPr>
        <w:spacing w:after="120"/>
        <w:rPr>
          <w:rFonts w:asciiTheme="minorHAnsi" w:hAnsiTheme="minorHAnsi"/>
        </w:rPr>
      </w:pPr>
      <w:r w:rsidRPr="00444B27">
        <w:rPr>
          <w:rFonts w:asciiTheme="minorHAnsi" w:hAnsiTheme="minorHAnsi"/>
        </w:rPr>
        <w:t xml:space="preserve">1. The </w:t>
      </w:r>
      <w:r w:rsidR="00E5305A" w:rsidRPr="00444B27">
        <w:rPr>
          <w:rFonts w:asciiTheme="minorHAnsi" w:hAnsiTheme="minorHAnsi"/>
        </w:rPr>
        <w:t>A</w:t>
      </w:r>
      <w:r w:rsidRPr="00444B27">
        <w:rPr>
          <w:rFonts w:asciiTheme="minorHAnsi" w:hAnsiTheme="minorHAnsi"/>
        </w:rPr>
        <w:t xml:space="preserve">sia </w:t>
      </w:r>
      <w:r w:rsidR="00E5305A" w:rsidRPr="00444B27">
        <w:rPr>
          <w:rFonts w:asciiTheme="minorHAnsi" w:hAnsiTheme="minorHAnsi"/>
        </w:rPr>
        <w:t>P</w:t>
      </w:r>
      <w:r w:rsidRPr="00444B27">
        <w:rPr>
          <w:rFonts w:asciiTheme="minorHAnsi" w:hAnsiTheme="minorHAnsi"/>
        </w:rPr>
        <w:t xml:space="preserve">acific Alliance for Sexual and Reproductive Health and Rights (APA) </w:t>
      </w:r>
      <w:r w:rsidR="00E5305A" w:rsidRPr="00444B27">
        <w:rPr>
          <w:rFonts w:asciiTheme="minorHAnsi" w:hAnsiTheme="minorHAnsi"/>
        </w:rPr>
        <w:t xml:space="preserve">welcomes the </w:t>
      </w:r>
      <w:r w:rsidR="00E02CDD" w:rsidRPr="00444B27">
        <w:rPr>
          <w:rFonts w:asciiTheme="minorHAnsi" w:hAnsiTheme="minorHAnsi"/>
        </w:rPr>
        <w:t xml:space="preserve">Report of the Independent Expert on protection against violence and discrimination based on sexual orientation and gender identity </w:t>
      </w:r>
      <w:r w:rsidR="00E067A9" w:rsidRPr="00444B27">
        <w:rPr>
          <w:rFonts w:asciiTheme="minorHAnsi" w:hAnsiTheme="minorHAnsi"/>
        </w:rPr>
        <w:t>and the opportunity for civil society to provide input</w:t>
      </w:r>
      <w:r w:rsidR="00956E33" w:rsidRPr="00444B27">
        <w:rPr>
          <w:rFonts w:asciiTheme="minorHAnsi" w:hAnsiTheme="minorHAnsi"/>
        </w:rPr>
        <w:t xml:space="preserve"> to the upcoming thematic report: “</w:t>
      </w:r>
      <w:proofErr w:type="spellStart"/>
      <w:r w:rsidR="00956E33" w:rsidRPr="00444B27">
        <w:rPr>
          <w:rFonts w:asciiTheme="minorHAnsi" w:hAnsiTheme="minorHAnsi"/>
        </w:rPr>
        <w:t>Marginalisation</w:t>
      </w:r>
      <w:proofErr w:type="spellEnd"/>
      <w:r w:rsidR="00956E33" w:rsidRPr="00444B27">
        <w:rPr>
          <w:rFonts w:asciiTheme="minorHAnsi" w:hAnsiTheme="minorHAnsi"/>
        </w:rPr>
        <w:t xml:space="preserve"> and exclusion from socio-cultural environments”, to be presented at the 74th Session of the UN General Assembly on 17-30 September 2019.</w:t>
      </w:r>
    </w:p>
    <w:p w14:paraId="2AF4CA6A" w14:textId="39BFC91A" w:rsidR="00BD7037" w:rsidRPr="00444B27" w:rsidRDefault="00BD7037" w:rsidP="000B2AE6">
      <w:pPr>
        <w:spacing w:after="120"/>
        <w:rPr>
          <w:rFonts w:asciiTheme="minorHAnsi" w:hAnsiTheme="minorHAnsi"/>
        </w:rPr>
      </w:pPr>
      <w:r w:rsidRPr="00444B27">
        <w:rPr>
          <w:rFonts w:asciiTheme="minorHAnsi" w:hAnsiTheme="minorHAnsi"/>
        </w:rPr>
        <w:t xml:space="preserve">APA’s mission is to mobilize regional civil society advocacy to hold governments and other stakeholders accountable for commitments </w:t>
      </w:r>
      <w:r w:rsidR="00E02CDD" w:rsidRPr="00444B27">
        <w:rPr>
          <w:rFonts w:asciiTheme="minorHAnsi" w:hAnsiTheme="minorHAnsi"/>
        </w:rPr>
        <w:t xml:space="preserve">and obligations </w:t>
      </w:r>
      <w:r w:rsidRPr="00444B27">
        <w:rPr>
          <w:rFonts w:asciiTheme="minorHAnsi" w:hAnsiTheme="minorHAnsi"/>
        </w:rPr>
        <w:t xml:space="preserve">towards the realization of sexual and reproductive health and rights </w:t>
      </w:r>
      <w:r w:rsidR="00956E33" w:rsidRPr="00444B27">
        <w:rPr>
          <w:rFonts w:asciiTheme="minorHAnsi" w:hAnsiTheme="minorHAnsi"/>
        </w:rPr>
        <w:t xml:space="preserve">(SRHR) </w:t>
      </w:r>
      <w:r w:rsidRPr="00444B27">
        <w:rPr>
          <w:rFonts w:asciiTheme="minorHAnsi" w:hAnsiTheme="minorHAnsi"/>
        </w:rPr>
        <w:t>of all persons in the Asia Pacific</w:t>
      </w:r>
      <w:r w:rsidR="001044B7" w:rsidRPr="00444B27">
        <w:rPr>
          <w:rFonts w:asciiTheme="minorHAnsi" w:hAnsiTheme="minorHAnsi"/>
        </w:rPr>
        <w:t>.</w:t>
      </w:r>
    </w:p>
    <w:p w14:paraId="61544C21" w14:textId="7346ED19" w:rsidR="00F814C0" w:rsidRPr="00444B27" w:rsidRDefault="00BD7037" w:rsidP="000B2AE6">
      <w:pPr>
        <w:spacing w:after="120"/>
        <w:rPr>
          <w:rFonts w:asciiTheme="minorHAnsi" w:hAnsiTheme="minorHAnsi"/>
        </w:rPr>
      </w:pPr>
      <w:r w:rsidRPr="00444B27">
        <w:rPr>
          <w:rFonts w:asciiTheme="minorHAnsi" w:hAnsiTheme="minorHAnsi"/>
        </w:rPr>
        <w:t xml:space="preserve">2. </w:t>
      </w:r>
      <w:r w:rsidR="00E02CDD" w:rsidRPr="00444B27">
        <w:rPr>
          <w:rFonts w:asciiTheme="minorHAnsi" w:hAnsiTheme="minorHAnsi"/>
        </w:rPr>
        <w:t xml:space="preserve">  Lesbian, gay, bisexual, trans and gender diverse persons are </w:t>
      </w:r>
      <w:r w:rsidR="00765BFC" w:rsidRPr="00444B27">
        <w:rPr>
          <w:rFonts w:asciiTheme="minorHAnsi" w:hAnsiTheme="minorHAnsi"/>
        </w:rPr>
        <w:t>contributor</w:t>
      </w:r>
      <w:r w:rsidR="00E02CDD" w:rsidRPr="00444B27">
        <w:rPr>
          <w:rFonts w:asciiTheme="minorHAnsi" w:hAnsiTheme="minorHAnsi"/>
        </w:rPr>
        <w:t>s</w:t>
      </w:r>
      <w:r w:rsidR="00765BFC" w:rsidRPr="00444B27">
        <w:rPr>
          <w:rFonts w:asciiTheme="minorHAnsi" w:hAnsiTheme="minorHAnsi"/>
        </w:rPr>
        <w:t xml:space="preserve"> to the achievement of </w:t>
      </w:r>
      <w:r w:rsidR="00E02CDD" w:rsidRPr="00444B27">
        <w:rPr>
          <w:rFonts w:asciiTheme="minorHAnsi" w:hAnsiTheme="minorHAnsi"/>
        </w:rPr>
        <w:t xml:space="preserve">equitable and </w:t>
      </w:r>
      <w:r w:rsidR="00765BFC" w:rsidRPr="00444B27">
        <w:rPr>
          <w:rFonts w:asciiTheme="minorHAnsi" w:hAnsiTheme="minorHAnsi"/>
        </w:rPr>
        <w:t>sustainable development</w:t>
      </w:r>
      <w:r w:rsidR="007F39DA" w:rsidRPr="00444B27">
        <w:rPr>
          <w:rFonts w:asciiTheme="minorHAnsi" w:hAnsiTheme="minorHAnsi"/>
        </w:rPr>
        <w:t>,</w:t>
      </w:r>
      <w:r w:rsidR="00765BFC" w:rsidRPr="00444B27">
        <w:rPr>
          <w:rFonts w:asciiTheme="minorHAnsi" w:hAnsiTheme="minorHAnsi"/>
        </w:rPr>
        <w:t xml:space="preserve"> and</w:t>
      </w:r>
      <w:r w:rsidR="007F39DA" w:rsidRPr="00444B27">
        <w:rPr>
          <w:rFonts w:asciiTheme="minorHAnsi" w:hAnsiTheme="minorHAnsi"/>
        </w:rPr>
        <w:t xml:space="preserve"> to reaching ambitious commitments of </w:t>
      </w:r>
      <w:r w:rsidR="00765BFC" w:rsidRPr="00444B27">
        <w:rPr>
          <w:rFonts w:asciiTheme="minorHAnsi" w:hAnsiTheme="minorHAnsi"/>
        </w:rPr>
        <w:t>Agenda 2030.</w:t>
      </w:r>
      <w:r w:rsidR="00943F97" w:rsidRPr="00444B27">
        <w:rPr>
          <w:rFonts w:asciiTheme="minorHAnsi" w:hAnsiTheme="minorHAnsi"/>
        </w:rPr>
        <w:t xml:space="preserve">  </w:t>
      </w:r>
      <w:r w:rsidR="000B5218" w:rsidRPr="00444B27">
        <w:rPr>
          <w:rFonts w:asciiTheme="minorHAnsi" w:hAnsiTheme="minorHAnsi"/>
        </w:rPr>
        <w:t xml:space="preserve">With the </w:t>
      </w:r>
      <w:r w:rsidR="00E566B7" w:rsidRPr="00444B27">
        <w:rPr>
          <w:rFonts w:asciiTheme="minorHAnsi" w:hAnsiTheme="minorHAnsi"/>
        </w:rPr>
        <w:t>overarching aim to “leave no one behind”, certain goals such as Goal 10</w:t>
      </w:r>
      <w:r w:rsidR="00F14428" w:rsidRPr="00444B27">
        <w:rPr>
          <w:rFonts w:asciiTheme="minorHAnsi" w:hAnsiTheme="minorHAnsi"/>
        </w:rPr>
        <w:t xml:space="preserve"> “reduce inequality within and among countries” and </w:t>
      </w:r>
      <w:r w:rsidR="00E566B7" w:rsidRPr="00444B27">
        <w:rPr>
          <w:rFonts w:asciiTheme="minorHAnsi" w:hAnsiTheme="minorHAnsi"/>
        </w:rPr>
        <w:t xml:space="preserve">Goal 16 </w:t>
      </w:r>
      <w:r w:rsidR="00F14428" w:rsidRPr="00444B27">
        <w:rPr>
          <w:rFonts w:asciiTheme="minorHAnsi" w:hAnsiTheme="minorHAnsi"/>
        </w:rPr>
        <w:t>“promote peaceful and inclusive societies for sustainable development, provide access to justice for all and build effective, accountable and inclusive institutions at all levels,”</w:t>
      </w:r>
      <w:r w:rsidR="000B5218" w:rsidRPr="00444B27">
        <w:rPr>
          <w:rFonts w:asciiTheme="minorHAnsi" w:hAnsiTheme="minorHAnsi"/>
        </w:rPr>
        <w:t xml:space="preserve"> support the inclusion and </w:t>
      </w:r>
      <w:r w:rsidR="00C27F38" w:rsidRPr="00444B27">
        <w:rPr>
          <w:rFonts w:asciiTheme="minorHAnsi" w:hAnsiTheme="minorHAnsi"/>
        </w:rPr>
        <w:t xml:space="preserve">transformative approach necessary to </w:t>
      </w:r>
      <w:r w:rsidR="004040D0" w:rsidRPr="00444B27">
        <w:rPr>
          <w:rFonts w:asciiTheme="minorHAnsi" w:hAnsiTheme="minorHAnsi"/>
        </w:rPr>
        <w:t xml:space="preserve">realize human rights </w:t>
      </w:r>
      <w:r w:rsidR="000B5218" w:rsidRPr="00444B27">
        <w:rPr>
          <w:rFonts w:asciiTheme="minorHAnsi" w:hAnsiTheme="minorHAnsi"/>
        </w:rPr>
        <w:t xml:space="preserve">for </w:t>
      </w:r>
      <w:r w:rsidR="00E831BC" w:rsidRPr="00444B27">
        <w:rPr>
          <w:rFonts w:asciiTheme="minorHAnsi" w:hAnsiTheme="minorHAnsi"/>
        </w:rPr>
        <w:t>lesbian, gay, bisexual, transgender, intersex and queer/questioning (</w:t>
      </w:r>
      <w:r w:rsidR="000B5218" w:rsidRPr="00444B27">
        <w:rPr>
          <w:rFonts w:asciiTheme="minorHAnsi" w:hAnsiTheme="minorHAnsi"/>
        </w:rPr>
        <w:t>LGBTI</w:t>
      </w:r>
      <w:r w:rsidR="00E831BC" w:rsidRPr="00444B27">
        <w:rPr>
          <w:rFonts w:asciiTheme="minorHAnsi" w:hAnsiTheme="minorHAnsi"/>
        </w:rPr>
        <w:t>Q)</w:t>
      </w:r>
      <w:r w:rsidR="000B5218" w:rsidRPr="00444B27">
        <w:rPr>
          <w:rFonts w:asciiTheme="minorHAnsi" w:hAnsiTheme="minorHAnsi"/>
        </w:rPr>
        <w:t xml:space="preserve"> peoples.</w:t>
      </w:r>
    </w:p>
    <w:p w14:paraId="69D802D6" w14:textId="5B3AB8BA" w:rsidR="00A671EC" w:rsidRPr="00444B27" w:rsidRDefault="00A671EC" w:rsidP="000B2AE6">
      <w:pPr>
        <w:spacing w:after="120"/>
        <w:rPr>
          <w:rFonts w:asciiTheme="minorHAnsi" w:hAnsiTheme="minorHAnsi"/>
        </w:rPr>
      </w:pPr>
      <w:r w:rsidRPr="00444B27">
        <w:rPr>
          <w:rFonts w:asciiTheme="minorHAnsi" w:hAnsiTheme="minorHAnsi"/>
        </w:rPr>
        <w:t xml:space="preserve">3. The 1994 International Conference on Population and Development ICPD) </w:t>
      </w:r>
      <w:proofErr w:type="spellStart"/>
      <w:r w:rsidRPr="00444B27">
        <w:rPr>
          <w:rFonts w:asciiTheme="minorHAnsi" w:hAnsiTheme="minorHAnsi"/>
        </w:rPr>
        <w:t>Programme</w:t>
      </w:r>
      <w:proofErr w:type="spellEnd"/>
      <w:r w:rsidRPr="00444B27">
        <w:rPr>
          <w:rFonts w:asciiTheme="minorHAnsi" w:hAnsiTheme="minorHAnsi"/>
        </w:rPr>
        <w:t xml:space="preserve"> of Action (</w:t>
      </w:r>
      <w:proofErr w:type="spellStart"/>
      <w:r w:rsidRPr="00444B27">
        <w:rPr>
          <w:rFonts w:asciiTheme="minorHAnsi" w:hAnsiTheme="minorHAnsi"/>
        </w:rPr>
        <w:t>PoA</w:t>
      </w:r>
      <w:proofErr w:type="spellEnd"/>
      <w:r w:rsidRPr="00444B27">
        <w:rPr>
          <w:rFonts w:asciiTheme="minorHAnsi" w:hAnsiTheme="minorHAnsi"/>
        </w:rPr>
        <w:t xml:space="preserve">), which is reaffirmed by Agenda 2030, recognizes the central role that human rights play in the achievement of sustainable development.  The first principle of the ICPD </w:t>
      </w:r>
      <w:proofErr w:type="spellStart"/>
      <w:r w:rsidRPr="00444B27">
        <w:rPr>
          <w:rFonts w:asciiTheme="minorHAnsi" w:hAnsiTheme="minorHAnsi"/>
        </w:rPr>
        <w:t>PoA</w:t>
      </w:r>
      <w:proofErr w:type="spellEnd"/>
      <w:r w:rsidRPr="00444B27">
        <w:rPr>
          <w:rFonts w:asciiTheme="minorHAnsi" w:hAnsiTheme="minorHAnsi"/>
        </w:rPr>
        <w:t xml:space="preserve"> emphasizes that all human beings are born free and equal, without distinction of any kind. Everyone is equally entitled to the enjoyment of all human rights regardless of their sexual orientation or gender identity/expression or sex characteristics.</w:t>
      </w:r>
    </w:p>
    <w:p w14:paraId="1FBE69F6" w14:textId="35E66C03" w:rsidR="00A671EC" w:rsidRPr="00444B27" w:rsidRDefault="00A671EC" w:rsidP="000B2AE6">
      <w:pPr>
        <w:spacing w:after="120"/>
        <w:rPr>
          <w:rFonts w:asciiTheme="minorHAnsi" w:hAnsiTheme="minorHAnsi"/>
        </w:rPr>
      </w:pPr>
      <w:r w:rsidRPr="00444B27">
        <w:rPr>
          <w:rFonts w:asciiTheme="minorHAnsi" w:hAnsiTheme="minorHAnsi"/>
        </w:rPr>
        <w:t>4</w:t>
      </w:r>
      <w:r w:rsidR="009C0009" w:rsidRPr="00444B27">
        <w:rPr>
          <w:rFonts w:asciiTheme="minorHAnsi" w:hAnsiTheme="minorHAnsi"/>
        </w:rPr>
        <w:t xml:space="preserve">. </w:t>
      </w:r>
      <w:r w:rsidR="00742612" w:rsidRPr="00444B27">
        <w:rPr>
          <w:rFonts w:asciiTheme="minorHAnsi" w:hAnsiTheme="minorHAnsi"/>
        </w:rPr>
        <w:t>LGBTIQ</w:t>
      </w:r>
      <w:r w:rsidR="009C0009" w:rsidRPr="00444B27">
        <w:rPr>
          <w:rFonts w:asciiTheme="minorHAnsi" w:hAnsiTheme="minorHAnsi"/>
        </w:rPr>
        <w:t xml:space="preserve"> persons are </w:t>
      </w:r>
      <w:r w:rsidR="0063744F" w:rsidRPr="00444B27">
        <w:rPr>
          <w:rFonts w:asciiTheme="minorHAnsi" w:hAnsiTheme="minorHAnsi"/>
        </w:rPr>
        <w:t xml:space="preserve">also </w:t>
      </w:r>
      <w:r w:rsidR="009C0009" w:rsidRPr="00444B27">
        <w:rPr>
          <w:rFonts w:asciiTheme="minorHAnsi" w:hAnsiTheme="minorHAnsi"/>
        </w:rPr>
        <w:t xml:space="preserve">referred to in a range of </w:t>
      </w:r>
      <w:r w:rsidRPr="00444B27">
        <w:rPr>
          <w:rFonts w:asciiTheme="minorHAnsi" w:hAnsiTheme="minorHAnsi"/>
        </w:rPr>
        <w:t xml:space="preserve">international </w:t>
      </w:r>
      <w:r w:rsidR="00742612" w:rsidRPr="00444B27">
        <w:rPr>
          <w:rFonts w:asciiTheme="minorHAnsi" w:hAnsiTheme="minorHAnsi"/>
        </w:rPr>
        <w:t xml:space="preserve">human rights treaties </w:t>
      </w:r>
      <w:r w:rsidR="009C0009" w:rsidRPr="00444B27">
        <w:rPr>
          <w:rFonts w:asciiTheme="minorHAnsi" w:hAnsiTheme="minorHAnsi"/>
        </w:rPr>
        <w:t xml:space="preserve">in relation to their civil, cultural, economic, political and social rights. These include principles of equality and non-discrimination, participation, and accountability. </w:t>
      </w:r>
    </w:p>
    <w:p w14:paraId="730BCF31" w14:textId="3B35C925" w:rsidR="00F814C0" w:rsidRPr="00444B27" w:rsidRDefault="00A671EC" w:rsidP="000B2AE6">
      <w:pPr>
        <w:spacing w:after="120"/>
        <w:rPr>
          <w:rFonts w:asciiTheme="minorHAnsi" w:hAnsiTheme="minorHAnsi"/>
        </w:rPr>
      </w:pPr>
      <w:r w:rsidRPr="00444B27">
        <w:rPr>
          <w:rFonts w:asciiTheme="minorHAnsi" w:hAnsiTheme="minorHAnsi"/>
        </w:rPr>
        <w:t xml:space="preserve">5. </w:t>
      </w:r>
      <w:proofErr w:type="gramStart"/>
      <w:r w:rsidR="0063744F" w:rsidRPr="00444B27">
        <w:rPr>
          <w:rFonts w:asciiTheme="minorHAnsi" w:hAnsiTheme="minorHAnsi"/>
        </w:rPr>
        <w:t xml:space="preserve">A </w:t>
      </w:r>
      <w:r w:rsidR="00A434E4" w:rsidRPr="00444B27">
        <w:rPr>
          <w:rFonts w:asciiTheme="minorHAnsi" w:hAnsiTheme="minorHAnsi"/>
        </w:rPr>
        <w:t>number of</w:t>
      </w:r>
      <w:proofErr w:type="gramEnd"/>
      <w:r w:rsidR="00A434E4" w:rsidRPr="00444B27">
        <w:rPr>
          <w:rFonts w:asciiTheme="minorHAnsi" w:hAnsiTheme="minorHAnsi"/>
        </w:rPr>
        <w:t xml:space="preserve"> human rights treaty guidance and decisions i</w:t>
      </w:r>
      <w:r w:rsidR="0063744F" w:rsidRPr="00444B27">
        <w:rPr>
          <w:rFonts w:asciiTheme="minorHAnsi" w:hAnsiTheme="minorHAnsi"/>
        </w:rPr>
        <w:t xml:space="preserve">ssued by several treaty bodies reinforce the principle of non-discrimination, </w:t>
      </w:r>
      <w:r w:rsidR="00A434E4" w:rsidRPr="00444B27">
        <w:rPr>
          <w:rFonts w:asciiTheme="minorHAnsi" w:hAnsiTheme="minorHAnsi"/>
        </w:rPr>
        <w:t>such as the United Nations Human Rights Committee, the Committee on Economic, Social and Cultural Rights, the Committee on the Rights of the Child, the Committee against Torture, and the Committee on the Elimination of Discrimination against Women.</w:t>
      </w:r>
      <w:r w:rsidR="00C37DD5" w:rsidRPr="00444B27">
        <w:rPr>
          <w:rFonts w:asciiTheme="minorHAnsi" w:hAnsiTheme="minorHAnsi"/>
        </w:rPr>
        <w:t xml:space="preserve">   </w:t>
      </w:r>
      <w:r w:rsidR="00742612" w:rsidRPr="00444B27">
        <w:rPr>
          <w:rFonts w:asciiTheme="minorHAnsi" w:hAnsiTheme="minorHAnsi"/>
        </w:rPr>
        <w:t>It</w:t>
      </w:r>
      <w:r w:rsidR="00C37DD5" w:rsidRPr="00444B27">
        <w:rPr>
          <w:rFonts w:asciiTheme="minorHAnsi" w:hAnsiTheme="minorHAnsi"/>
        </w:rPr>
        <w:t xml:space="preserve"> is exemplified by the opening words of the Universal Declaration of Human Rights (UDHR): “All human beings are born free </w:t>
      </w:r>
      <w:r w:rsidR="00E10C52" w:rsidRPr="00444B27">
        <w:rPr>
          <w:rFonts w:asciiTheme="minorHAnsi" w:hAnsiTheme="minorHAnsi"/>
        </w:rPr>
        <w:t>and equal in dignity and rights</w:t>
      </w:r>
      <w:r w:rsidR="00C37DD5" w:rsidRPr="00444B27">
        <w:rPr>
          <w:rFonts w:asciiTheme="minorHAnsi" w:hAnsiTheme="minorHAnsi"/>
        </w:rPr>
        <w:t>”</w:t>
      </w:r>
      <w:r w:rsidR="00E10C52" w:rsidRPr="00444B27">
        <w:rPr>
          <w:rFonts w:asciiTheme="minorHAnsi" w:hAnsiTheme="minorHAnsi"/>
        </w:rPr>
        <w:t xml:space="preserve"> and article 2, </w:t>
      </w:r>
      <w:r w:rsidR="00757921" w:rsidRPr="00444B27">
        <w:rPr>
          <w:rFonts w:asciiTheme="minorHAnsi" w:hAnsiTheme="minorHAnsi"/>
        </w:rPr>
        <w:t>“Everyone is entitled to all the rights and freedoms set forth in this Declaration, without distinction of any kind.”</w:t>
      </w:r>
    </w:p>
    <w:p w14:paraId="431D5335" w14:textId="20C754B8" w:rsidR="0063744F" w:rsidRPr="00444B27" w:rsidRDefault="00A671EC" w:rsidP="000B2AE6">
      <w:pPr>
        <w:spacing w:after="120"/>
        <w:rPr>
          <w:rFonts w:asciiTheme="minorHAnsi" w:hAnsiTheme="minorHAnsi"/>
        </w:rPr>
      </w:pPr>
      <w:r w:rsidRPr="00444B27">
        <w:rPr>
          <w:rFonts w:asciiTheme="minorHAnsi" w:hAnsiTheme="minorHAnsi"/>
        </w:rPr>
        <w:t>6</w:t>
      </w:r>
      <w:r w:rsidR="00943F97" w:rsidRPr="00444B27">
        <w:rPr>
          <w:rFonts w:asciiTheme="minorHAnsi" w:hAnsiTheme="minorHAnsi"/>
        </w:rPr>
        <w:t xml:space="preserve">. </w:t>
      </w:r>
      <w:r w:rsidR="009C0009" w:rsidRPr="00444B27">
        <w:rPr>
          <w:rFonts w:asciiTheme="minorHAnsi" w:hAnsiTheme="minorHAnsi"/>
        </w:rPr>
        <w:t>In Asia Pacific</w:t>
      </w:r>
      <w:r w:rsidR="00605B8B" w:rsidRPr="00444B27">
        <w:rPr>
          <w:rFonts w:asciiTheme="minorHAnsi" w:hAnsiTheme="minorHAnsi"/>
        </w:rPr>
        <w:t xml:space="preserve"> at the regional level</w:t>
      </w:r>
      <w:r w:rsidR="0063744F" w:rsidRPr="00444B27">
        <w:rPr>
          <w:rFonts w:asciiTheme="minorHAnsi" w:hAnsiTheme="minorHAnsi"/>
        </w:rPr>
        <w:t>,</w:t>
      </w:r>
      <w:r w:rsidR="009C0009" w:rsidRPr="00444B27">
        <w:rPr>
          <w:rFonts w:asciiTheme="minorHAnsi" w:hAnsiTheme="minorHAnsi"/>
        </w:rPr>
        <w:t xml:space="preserve"> </w:t>
      </w:r>
      <w:r w:rsidR="00615D0E" w:rsidRPr="00444B27">
        <w:rPr>
          <w:rFonts w:asciiTheme="minorHAnsi" w:hAnsiTheme="minorHAnsi"/>
        </w:rPr>
        <w:t>governments</w:t>
      </w:r>
      <w:r w:rsidRPr="00444B27">
        <w:rPr>
          <w:rFonts w:asciiTheme="minorHAnsi" w:hAnsiTheme="minorHAnsi"/>
        </w:rPr>
        <w:t xml:space="preserve"> </w:t>
      </w:r>
      <w:r w:rsidR="00E831BC" w:rsidRPr="00444B27">
        <w:rPr>
          <w:rFonts w:asciiTheme="minorHAnsi" w:hAnsiTheme="minorHAnsi"/>
        </w:rPr>
        <w:t xml:space="preserve">have </w:t>
      </w:r>
      <w:r w:rsidR="0063744F" w:rsidRPr="00444B27">
        <w:rPr>
          <w:rFonts w:asciiTheme="minorHAnsi" w:hAnsiTheme="minorHAnsi"/>
        </w:rPr>
        <w:t xml:space="preserve">directly </w:t>
      </w:r>
      <w:r w:rsidR="00615D0E" w:rsidRPr="00444B27">
        <w:rPr>
          <w:rFonts w:asciiTheme="minorHAnsi" w:hAnsiTheme="minorHAnsi"/>
        </w:rPr>
        <w:t xml:space="preserve">recognized the need to address the exclusion and marginalization of LGBTIQ people in the 2013 Asia Pacific </w:t>
      </w:r>
      <w:r w:rsidR="0063744F" w:rsidRPr="00444B27">
        <w:rPr>
          <w:rFonts w:asciiTheme="minorHAnsi" w:hAnsiTheme="minorHAnsi"/>
        </w:rPr>
        <w:t>Ministerial</w:t>
      </w:r>
      <w:r w:rsidR="00615D0E" w:rsidRPr="00444B27">
        <w:rPr>
          <w:rFonts w:asciiTheme="minorHAnsi" w:hAnsiTheme="minorHAnsi"/>
        </w:rPr>
        <w:t xml:space="preserve"> </w:t>
      </w:r>
      <w:r w:rsidR="00615D0E" w:rsidRPr="00444B27">
        <w:rPr>
          <w:rFonts w:asciiTheme="minorHAnsi" w:hAnsiTheme="minorHAnsi"/>
        </w:rPr>
        <w:lastRenderedPageBreak/>
        <w:t>Declaration on Population and Development (APAMDPD).  Government “express[</w:t>
      </w:r>
      <w:proofErr w:type="spellStart"/>
      <w:r w:rsidR="00615D0E" w:rsidRPr="00444B27">
        <w:rPr>
          <w:rFonts w:asciiTheme="minorHAnsi" w:hAnsiTheme="minorHAnsi"/>
        </w:rPr>
        <w:t>ed</w:t>
      </w:r>
      <w:proofErr w:type="spellEnd"/>
      <w:r w:rsidR="00615D0E" w:rsidRPr="00444B27">
        <w:rPr>
          <w:rFonts w:asciiTheme="minorHAnsi" w:hAnsiTheme="minorHAnsi"/>
        </w:rPr>
        <w:t>] grave concern at acts of violence and discrimination committed against individuals on the grounds of their sexual orientation and gender identity</w:t>
      </w:r>
      <w:r w:rsidR="00615D0E" w:rsidRPr="00444B27">
        <w:rPr>
          <w:rStyle w:val="FootnoteReference"/>
          <w:rFonts w:asciiTheme="minorHAnsi" w:hAnsiTheme="minorHAnsi"/>
        </w:rPr>
        <w:footnoteReference w:id="1"/>
      </w:r>
      <w:r w:rsidR="00615D0E" w:rsidRPr="00444B27">
        <w:rPr>
          <w:rFonts w:asciiTheme="minorHAnsi" w:hAnsiTheme="minorHAnsi"/>
        </w:rPr>
        <w:t xml:space="preserve">” and </w:t>
      </w:r>
      <w:r w:rsidR="001514EF" w:rsidRPr="00444B27">
        <w:rPr>
          <w:rFonts w:asciiTheme="minorHAnsi" w:hAnsiTheme="minorHAnsi"/>
        </w:rPr>
        <w:t>committed to “Work to reduce vulnerability and eliminate discrimination based on sex, gender, age, race, caste, class, migrant status, disability, HIV status and sexual orientation and gender identity, or other status</w:t>
      </w:r>
      <w:r w:rsidR="00615D0E" w:rsidRPr="00444B27">
        <w:rPr>
          <w:rStyle w:val="FootnoteReference"/>
          <w:rFonts w:asciiTheme="minorHAnsi" w:hAnsiTheme="minorHAnsi"/>
        </w:rPr>
        <w:footnoteReference w:id="2"/>
      </w:r>
      <w:r w:rsidR="00615D0E" w:rsidRPr="00444B27">
        <w:rPr>
          <w:rFonts w:asciiTheme="minorHAnsi" w:hAnsiTheme="minorHAnsi"/>
        </w:rPr>
        <w:t xml:space="preserve">. </w:t>
      </w:r>
    </w:p>
    <w:p w14:paraId="3965BA82" w14:textId="570DF6D0" w:rsidR="00CF010C" w:rsidRPr="00444B27" w:rsidRDefault="00CF010C" w:rsidP="000B2AE6">
      <w:pPr>
        <w:spacing w:after="120"/>
        <w:rPr>
          <w:rFonts w:asciiTheme="minorHAnsi" w:hAnsiTheme="minorHAnsi"/>
        </w:rPr>
      </w:pPr>
      <w:r w:rsidRPr="00444B27">
        <w:rPr>
          <w:rFonts w:asciiTheme="minorHAnsi" w:hAnsiTheme="minorHAnsi"/>
        </w:rPr>
        <w:t xml:space="preserve"> And in the </w:t>
      </w:r>
      <w:r w:rsidR="00315616" w:rsidRPr="00444B27">
        <w:rPr>
          <w:rFonts w:asciiTheme="minorHAnsi" w:hAnsiTheme="minorHAnsi"/>
        </w:rPr>
        <w:t>2017</w:t>
      </w:r>
      <w:r w:rsidRPr="00444B27">
        <w:rPr>
          <w:rFonts w:asciiTheme="minorHAnsi" w:hAnsiTheme="minorHAnsi"/>
        </w:rPr>
        <w:t xml:space="preserve"> Asia Pacific Roadmap to </w:t>
      </w:r>
      <w:r w:rsidR="00315616" w:rsidRPr="00444B27">
        <w:rPr>
          <w:rFonts w:asciiTheme="minorHAnsi" w:hAnsiTheme="minorHAnsi"/>
        </w:rPr>
        <w:t xml:space="preserve">Implementing the </w:t>
      </w:r>
      <w:r w:rsidR="00F5727E" w:rsidRPr="00444B27">
        <w:rPr>
          <w:rFonts w:asciiTheme="minorHAnsi" w:hAnsiTheme="minorHAnsi"/>
        </w:rPr>
        <w:t xml:space="preserve">2030 Agenda for Sustainable Development in Asia Pacific, </w:t>
      </w:r>
      <w:r w:rsidRPr="00444B27">
        <w:rPr>
          <w:rFonts w:asciiTheme="minorHAnsi" w:hAnsiTheme="minorHAnsi"/>
        </w:rPr>
        <w:t xml:space="preserve">governments </w:t>
      </w:r>
      <w:r w:rsidR="00315616" w:rsidRPr="00444B27">
        <w:rPr>
          <w:rFonts w:asciiTheme="minorHAnsi" w:hAnsiTheme="minorHAnsi"/>
        </w:rPr>
        <w:t>recognized the r</w:t>
      </w:r>
      <w:r w:rsidR="00CE5794" w:rsidRPr="00444B27">
        <w:rPr>
          <w:rFonts w:asciiTheme="minorHAnsi" w:hAnsiTheme="minorHAnsi"/>
        </w:rPr>
        <w:t>ising inequality in the region by “placing the elimination of inequality at the center of the region’s development path”.   They further</w:t>
      </w:r>
      <w:r w:rsidR="00315616" w:rsidRPr="00444B27">
        <w:rPr>
          <w:rFonts w:asciiTheme="minorHAnsi" w:hAnsiTheme="minorHAnsi"/>
        </w:rPr>
        <w:t xml:space="preserve"> </w:t>
      </w:r>
      <w:r w:rsidR="00CE5794" w:rsidRPr="00444B27">
        <w:rPr>
          <w:rFonts w:asciiTheme="minorHAnsi" w:hAnsiTheme="minorHAnsi"/>
        </w:rPr>
        <w:t>acknowledge</w:t>
      </w:r>
      <w:r w:rsidRPr="00444B27">
        <w:rPr>
          <w:rFonts w:asciiTheme="minorHAnsi" w:hAnsiTheme="minorHAnsi"/>
        </w:rPr>
        <w:t xml:space="preserve"> that “</w:t>
      </w:r>
      <w:r w:rsidRPr="00444B27">
        <w:rPr>
          <w:rFonts w:asciiTheme="minorHAnsi" w:eastAsia="Times New Roman" w:hAnsiTheme="minorHAnsi"/>
        </w:rPr>
        <w:t>inequality of opportunity, disproportionately affect [s]… vulnerable groups”</w:t>
      </w:r>
      <w:r w:rsidR="00F5727E" w:rsidRPr="00444B27">
        <w:rPr>
          <w:rStyle w:val="FootnoteReference"/>
          <w:rFonts w:asciiTheme="minorHAnsi" w:eastAsia="Times New Roman" w:hAnsiTheme="minorHAnsi"/>
        </w:rPr>
        <w:footnoteReference w:id="3"/>
      </w:r>
      <w:r w:rsidR="00CE5794" w:rsidRPr="00444B27">
        <w:rPr>
          <w:rFonts w:asciiTheme="minorHAnsi" w:eastAsia="Times New Roman" w:hAnsiTheme="minorHAnsi"/>
        </w:rPr>
        <w:t xml:space="preserve"> such as LGBTIQ.</w:t>
      </w:r>
    </w:p>
    <w:p w14:paraId="2E45231F" w14:textId="1718FF23" w:rsidR="00615D0E" w:rsidRPr="00444B27" w:rsidRDefault="00615D0E" w:rsidP="000B2AE6">
      <w:pPr>
        <w:spacing w:after="120"/>
        <w:rPr>
          <w:rFonts w:asciiTheme="minorHAnsi" w:hAnsiTheme="minorHAnsi"/>
        </w:rPr>
      </w:pPr>
      <w:r w:rsidRPr="00444B27">
        <w:rPr>
          <w:rFonts w:asciiTheme="minorHAnsi" w:hAnsiTheme="minorHAnsi"/>
        </w:rPr>
        <w:t>6</w:t>
      </w:r>
      <w:r w:rsidR="00446A32" w:rsidRPr="00444B27">
        <w:rPr>
          <w:rFonts w:asciiTheme="minorHAnsi" w:hAnsiTheme="minorHAnsi"/>
        </w:rPr>
        <w:t xml:space="preserve">. </w:t>
      </w:r>
      <w:r w:rsidR="0063744F" w:rsidRPr="00444B27">
        <w:rPr>
          <w:rFonts w:asciiTheme="minorHAnsi" w:hAnsiTheme="minorHAnsi"/>
        </w:rPr>
        <w:t>Asia Pacific governments underscored</w:t>
      </w:r>
      <w:r w:rsidR="00B40836" w:rsidRPr="00444B27">
        <w:rPr>
          <w:rFonts w:asciiTheme="minorHAnsi" w:hAnsiTheme="minorHAnsi"/>
        </w:rPr>
        <w:t xml:space="preserve"> the </w:t>
      </w:r>
      <w:r w:rsidR="00C37DD5" w:rsidRPr="00444B27">
        <w:rPr>
          <w:rFonts w:asciiTheme="minorHAnsi" w:hAnsiTheme="minorHAnsi"/>
        </w:rPr>
        <w:t>importance</w:t>
      </w:r>
      <w:r w:rsidR="00B40836" w:rsidRPr="00444B27">
        <w:rPr>
          <w:rFonts w:asciiTheme="minorHAnsi" w:hAnsiTheme="minorHAnsi"/>
        </w:rPr>
        <w:t xml:space="preserve"> of protecting marginalized groups and people in vulnerable situations,</w:t>
      </w:r>
      <w:r w:rsidR="00B40836" w:rsidRPr="00444B27">
        <w:rPr>
          <w:rStyle w:val="FootnoteReference"/>
          <w:rFonts w:asciiTheme="minorHAnsi" w:hAnsiTheme="minorHAnsi"/>
        </w:rPr>
        <w:footnoteReference w:id="4"/>
      </w:r>
      <w:r w:rsidR="0063744F" w:rsidRPr="00444B27">
        <w:rPr>
          <w:rFonts w:asciiTheme="minorHAnsi" w:hAnsiTheme="minorHAnsi"/>
        </w:rPr>
        <w:t xml:space="preserve"> through the 2018 Mid Term Review (MTR) process of the 2013 APMDPD</w:t>
      </w:r>
      <w:r w:rsidR="00F5297E" w:rsidRPr="00444B27">
        <w:rPr>
          <w:rFonts w:asciiTheme="minorHAnsi" w:hAnsiTheme="minorHAnsi"/>
        </w:rPr>
        <w:t>,</w:t>
      </w:r>
      <w:r w:rsidR="00B40836" w:rsidRPr="00444B27">
        <w:rPr>
          <w:rFonts w:asciiTheme="minorHAnsi" w:hAnsiTheme="minorHAnsi"/>
        </w:rPr>
        <w:t xml:space="preserve"> and </w:t>
      </w:r>
      <w:r w:rsidR="00A671EC" w:rsidRPr="00444B27">
        <w:rPr>
          <w:rFonts w:asciiTheme="minorHAnsi" w:hAnsiTheme="minorHAnsi"/>
          <w:color w:val="000000" w:themeColor="text1"/>
        </w:rPr>
        <w:t>reiterated t</w:t>
      </w:r>
      <w:r w:rsidR="002D3891" w:rsidRPr="00444B27">
        <w:rPr>
          <w:rFonts w:asciiTheme="minorHAnsi" w:hAnsiTheme="minorHAnsi"/>
          <w:color w:val="000000" w:themeColor="text1"/>
        </w:rPr>
        <w:t xml:space="preserve">he need </w:t>
      </w:r>
      <w:r w:rsidR="002D3891" w:rsidRPr="00444B27">
        <w:rPr>
          <w:rFonts w:asciiTheme="minorHAnsi" w:eastAsia="Times New Roman" w:hAnsiTheme="minorHAnsi"/>
        </w:rPr>
        <w:t xml:space="preserve">to eliminate all forms of discrimination in the provision of </w:t>
      </w:r>
      <w:r w:rsidR="00AC4EF5" w:rsidRPr="00444B27">
        <w:rPr>
          <w:rFonts w:asciiTheme="minorHAnsi" w:eastAsia="Times New Roman" w:hAnsiTheme="minorHAnsi"/>
          <w:color w:val="000000" w:themeColor="text1"/>
        </w:rPr>
        <w:t xml:space="preserve">SRHR </w:t>
      </w:r>
      <w:r w:rsidR="002D3891" w:rsidRPr="00444B27">
        <w:rPr>
          <w:rFonts w:asciiTheme="minorHAnsi" w:eastAsia="Times New Roman" w:hAnsiTheme="minorHAnsi"/>
          <w:color w:val="000000" w:themeColor="text1"/>
        </w:rPr>
        <w:t>s</w:t>
      </w:r>
      <w:r w:rsidR="002D3891" w:rsidRPr="00444B27">
        <w:rPr>
          <w:rFonts w:asciiTheme="minorHAnsi" w:eastAsia="Times New Roman" w:hAnsiTheme="minorHAnsi"/>
        </w:rPr>
        <w:t>ervices</w:t>
      </w:r>
      <w:r w:rsidR="000F76AD" w:rsidRPr="00444B27">
        <w:rPr>
          <w:rFonts w:asciiTheme="minorHAnsi" w:eastAsia="Times New Roman" w:hAnsiTheme="minorHAnsi"/>
        </w:rPr>
        <w:t xml:space="preserve"> in the region</w:t>
      </w:r>
      <w:r w:rsidR="002D3891" w:rsidRPr="00444B27">
        <w:rPr>
          <w:rFonts w:asciiTheme="minorHAnsi" w:eastAsia="Times New Roman" w:hAnsiTheme="minorHAnsi"/>
        </w:rPr>
        <w:t>, particularly for young people, persons with disabilities, migrants and people of diverse sexual orientation and gender identity</w:t>
      </w:r>
      <w:r w:rsidR="00AC4EF5" w:rsidRPr="00444B27">
        <w:rPr>
          <w:rStyle w:val="FootnoteReference"/>
          <w:rFonts w:asciiTheme="minorHAnsi" w:eastAsia="Times New Roman" w:hAnsiTheme="minorHAnsi"/>
        </w:rPr>
        <w:footnoteReference w:id="5"/>
      </w:r>
      <w:r w:rsidR="0067557F" w:rsidRPr="00444B27">
        <w:rPr>
          <w:rFonts w:asciiTheme="minorHAnsi" w:hAnsiTheme="minorHAnsi"/>
        </w:rPr>
        <w:t>.</w:t>
      </w:r>
    </w:p>
    <w:p w14:paraId="7823EB53" w14:textId="2E46BD54" w:rsidR="00E90C5A" w:rsidRPr="00444B27" w:rsidRDefault="00CC6682" w:rsidP="2831F8F2">
      <w:pPr>
        <w:spacing w:after="120"/>
        <w:rPr>
          <w:rFonts w:asciiTheme="minorHAnsi" w:hAnsiTheme="minorHAnsi"/>
        </w:rPr>
      </w:pPr>
      <w:r w:rsidRPr="00444B27">
        <w:rPr>
          <w:rFonts w:asciiTheme="minorHAnsi" w:hAnsiTheme="minorHAnsi"/>
        </w:rPr>
        <w:t>7.</w:t>
      </w:r>
      <w:r w:rsidR="00C90040" w:rsidRPr="00444B27">
        <w:rPr>
          <w:rFonts w:asciiTheme="minorHAnsi" w:hAnsiTheme="minorHAnsi"/>
        </w:rPr>
        <w:t xml:space="preserve"> </w:t>
      </w:r>
      <w:r w:rsidR="00566390" w:rsidRPr="00444B27">
        <w:rPr>
          <w:rFonts w:asciiTheme="minorHAnsi" w:hAnsiTheme="minorHAnsi"/>
        </w:rPr>
        <w:t xml:space="preserve">Violence against LGBTIQ people because of real or perceived differences is pervasive and widespread in Asia Pacific and </w:t>
      </w:r>
      <w:r w:rsidRPr="00444B27">
        <w:rPr>
          <w:rFonts w:asciiTheme="minorHAnsi" w:hAnsiTheme="minorHAnsi"/>
        </w:rPr>
        <w:t>“violence against LGBT persons tends to be especially vicious compared to other bias-motivated crimes”</w:t>
      </w:r>
      <w:r w:rsidRPr="00444B27">
        <w:rPr>
          <w:rStyle w:val="FootnoteReference"/>
          <w:rFonts w:asciiTheme="minorHAnsi" w:hAnsiTheme="minorHAnsi"/>
        </w:rPr>
        <w:footnoteReference w:id="6"/>
      </w:r>
      <w:r w:rsidR="0096754D" w:rsidRPr="00444B27">
        <w:rPr>
          <w:rFonts w:asciiTheme="minorHAnsi" w:hAnsiTheme="minorHAnsi"/>
        </w:rPr>
        <w:t xml:space="preserve"> due to deeply ingrained structural inequalities and a </w:t>
      </w:r>
      <w:proofErr w:type="spellStart"/>
      <w:r w:rsidR="0096754D" w:rsidRPr="00444B27">
        <w:rPr>
          <w:rFonts w:asciiTheme="minorHAnsi" w:hAnsiTheme="minorHAnsi"/>
        </w:rPr>
        <w:t>myraid</w:t>
      </w:r>
      <w:proofErr w:type="spellEnd"/>
      <w:r w:rsidR="0096754D" w:rsidRPr="00444B27">
        <w:rPr>
          <w:rFonts w:asciiTheme="minorHAnsi" w:hAnsiTheme="minorHAnsi"/>
        </w:rPr>
        <w:t xml:space="preserve"> of factors.  The currently rising intolerance and violence observed in Indonesia is an example of the complexity of political, social, economic, legal and cultural factors that affects this</w:t>
      </w:r>
      <w:r w:rsidR="0096754D" w:rsidRPr="00444B27">
        <w:rPr>
          <w:rStyle w:val="FootnoteReference"/>
          <w:rFonts w:asciiTheme="minorHAnsi" w:hAnsiTheme="minorHAnsi"/>
        </w:rPr>
        <w:footnoteReference w:id="7"/>
      </w:r>
      <w:r w:rsidR="0096754D" w:rsidRPr="00444B27">
        <w:rPr>
          <w:rFonts w:asciiTheme="minorHAnsi" w:hAnsiTheme="minorHAnsi"/>
        </w:rPr>
        <w:t xml:space="preserve">.  </w:t>
      </w:r>
    </w:p>
    <w:p w14:paraId="59911F47" w14:textId="66B4D60F" w:rsidR="00605B8B" w:rsidRPr="00444B27" w:rsidRDefault="00605B8B" w:rsidP="000B2AE6">
      <w:pPr>
        <w:spacing w:after="120"/>
        <w:rPr>
          <w:rFonts w:asciiTheme="minorHAnsi" w:hAnsiTheme="minorHAnsi"/>
        </w:rPr>
      </w:pPr>
      <w:r w:rsidRPr="00444B27">
        <w:rPr>
          <w:rFonts w:asciiTheme="minorHAnsi" w:hAnsiTheme="minorHAnsi"/>
        </w:rPr>
        <w:t xml:space="preserve">8. </w:t>
      </w:r>
      <w:r w:rsidR="00F32AFD" w:rsidRPr="00444B27">
        <w:rPr>
          <w:rStyle w:val="normaltextrun"/>
          <w:rFonts w:asciiTheme="minorHAnsi" w:eastAsia="Times New Roman" w:hAnsiTheme="minorHAnsi"/>
          <w:color w:val="000000"/>
          <w:shd w:val="clear" w:color="auto" w:fill="FFFFFF"/>
          <w:lang w:val="en"/>
        </w:rPr>
        <w:t>Added to</w:t>
      </w:r>
      <w:r w:rsidR="0096754D" w:rsidRPr="00444B27">
        <w:rPr>
          <w:rStyle w:val="normaltextrun"/>
          <w:rFonts w:asciiTheme="minorHAnsi" w:eastAsia="Times New Roman" w:hAnsiTheme="minorHAnsi"/>
          <w:color w:val="000000"/>
          <w:shd w:val="clear" w:color="auto" w:fill="FFFFFF"/>
          <w:lang w:val="en"/>
        </w:rPr>
        <w:t xml:space="preserve"> this,</w:t>
      </w:r>
      <w:r w:rsidRPr="00444B27">
        <w:rPr>
          <w:rStyle w:val="normaltextrun"/>
          <w:rFonts w:asciiTheme="minorHAnsi" w:eastAsia="Times New Roman" w:hAnsiTheme="minorHAnsi"/>
          <w:color w:val="000000"/>
          <w:shd w:val="clear" w:color="auto" w:fill="FFFFFF"/>
          <w:lang w:val="en"/>
        </w:rPr>
        <w:t xml:space="preserve"> many factors reduce the likelihood that violence </w:t>
      </w:r>
      <w:r w:rsidR="0063744F" w:rsidRPr="00444B27">
        <w:rPr>
          <w:rStyle w:val="normaltextrun"/>
          <w:rFonts w:asciiTheme="minorHAnsi" w:eastAsia="Times New Roman" w:hAnsiTheme="minorHAnsi"/>
          <w:color w:val="000000"/>
          <w:shd w:val="clear" w:color="auto" w:fill="FFFFFF"/>
          <w:lang w:val="en"/>
        </w:rPr>
        <w:t xml:space="preserve">against LGBTIQ persons </w:t>
      </w:r>
      <w:r w:rsidRPr="00444B27">
        <w:rPr>
          <w:rStyle w:val="normaltextrun"/>
          <w:rFonts w:asciiTheme="minorHAnsi" w:eastAsia="Times New Roman" w:hAnsiTheme="minorHAnsi"/>
          <w:color w:val="000000"/>
          <w:shd w:val="clear" w:color="auto" w:fill="FFFFFF"/>
          <w:lang w:val="en"/>
        </w:rPr>
        <w:t>is reported t</w:t>
      </w:r>
      <w:r w:rsidR="0063744F" w:rsidRPr="00444B27">
        <w:rPr>
          <w:rStyle w:val="normaltextrun"/>
          <w:rFonts w:asciiTheme="minorHAnsi" w:eastAsia="Times New Roman" w:hAnsiTheme="minorHAnsi"/>
          <w:color w:val="000000"/>
          <w:shd w:val="clear" w:color="auto" w:fill="FFFFFF"/>
          <w:lang w:val="en"/>
        </w:rPr>
        <w:t>o authorities, including</w:t>
      </w:r>
      <w:r w:rsidRPr="00444B27">
        <w:rPr>
          <w:rStyle w:val="normaltextrun"/>
          <w:rFonts w:asciiTheme="minorHAnsi" w:eastAsia="Times New Roman" w:hAnsiTheme="minorHAnsi"/>
          <w:color w:val="000000"/>
          <w:shd w:val="clear" w:color="auto" w:fill="FFFFFF"/>
          <w:lang w:val="en"/>
        </w:rPr>
        <w:t xml:space="preserve"> the high levels of stigma attached to being trans or gender diverse; the </w:t>
      </w:r>
      <w:r w:rsidRPr="00444B27">
        <w:rPr>
          <w:rStyle w:val="spellingerror"/>
          <w:rFonts w:asciiTheme="minorHAnsi" w:eastAsia="Times New Roman" w:hAnsiTheme="minorHAnsi"/>
          <w:color w:val="000000"/>
          <w:shd w:val="clear" w:color="auto" w:fill="FFFFFF"/>
          <w:lang w:val="en"/>
        </w:rPr>
        <w:t>criminalization</w:t>
      </w:r>
      <w:r w:rsidRPr="00444B27">
        <w:rPr>
          <w:rStyle w:val="normaltextrun"/>
          <w:rFonts w:asciiTheme="minorHAnsi" w:eastAsia="Times New Roman" w:hAnsiTheme="minorHAnsi"/>
          <w:color w:val="000000"/>
          <w:shd w:val="clear" w:color="auto" w:fill="FFFFFF"/>
          <w:lang w:val="en"/>
        </w:rPr>
        <w:t> of gender identity or expression through laws prohibiting cross-dressing; the absence of anti-discrimination protections; and inaction or violence from state actors, including police.</w:t>
      </w:r>
    </w:p>
    <w:p w14:paraId="000499F1" w14:textId="4DEABA96" w:rsidR="004D0C6F" w:rsidRPr="00444B27" w:rsidRDefault="00605B8B" w:rsidP="000B2AE6">
      <w:pPr>
        <w:spacing w:after="120"/>
        <w:rPr>
          <w:rFonts w:asciiTheme="minorHAnsi" w:hAnsiTheme="minorHAnsi"/>
        </w:rPr>
      </w:pPr>
      <w:r w:rsidRPr="00444B27">
        <w:rPr>
          <w:rFonts w:asciiTheme="minorHAnsi" w:hAnsiTheme="minorHAnsi"/>
        </w:rPr>
        <w:t>9</w:t>
      </w:r>
      <w:r w:rsidR="00DD1BBF" w:rsidRPr="00444B27">
        <w:rPr>
          <w:rFonts w:asciiTheme="minorHAnsi" w:hAnsiTheme="minorHAnsi"/>
        </w:rPr>
        <w:t xml:space="preserve">. </w:t>
      </w:r>
      <w:r w:rsidR="00A671EC" w:rsidRPr="00444B27">
        <w:rPr>
          <w:rFonts w:asciiTheme="minorHAnsi" w:hAnsiTheme="minorHAnsi"/>
        </w:rPr>
        <w:t>D</w:t>
      </w:r>
      <w:r w:rsidR="006C477B" w:rsidRPr="00444B27">
        <w:rPr>
          <w:rFonts w:asciiTheme="minorHAnsi" w:hAnsiTheme="minorHAnsi"/>
        </w:rPr>
        <w:t>iscriminatory criminal law is often used to harass and punish LGBT</w:t>
      </w:r>
      <w:r w:rsidR="00CA27F1" w:rsidRPr="00444B27">
        <w:rPr>
          <w:rFonts w:asciiTheme="minorHAnsi" w:hAnsiTheme="minorHAnsi"/>
        </w:rPr>
        <w:t>IQ</w:t>
      </w:r>
      <w:r w:rsidR="006C477B" w:rsidRPr="00444B27">
        <w:rPr>
          <w:rFonts w:asciiTheme="minorHAnsi" w:hAnsiTheme="minorHAnsi"/>
        </w:rPr>
        <w:t xml:space="preserve"> people, such as laws criminalizing consensual same-sex relationships, which violate rights to privacy and to freedom from discrimination.  In the </w:t>
      </w:r>
      <w:r w:rsidR="00A671EC" w:rsidRPr="00444B27">
        <w:rPr>
          <w:rFonts w:asciiTheme="minorHAnsi" w:hAnsiTheme="minorHAnsi"/>
        </w:rPr>
        <w:t xml:space="preserve">Asia Pacific </w:t>
      </w:r>
      <w:r w:rsidR="006C477B" w:rsidRPr="00444B27">
        <w:rPr>
          <w:rFonts w:asciiTheme="minorHAnsi" w:hAnsiTheme="minorHAnsi"/>
        </w:rPr>
        <w:t xml:space="preserve">region, </w:t>
      </w:r>
      <w:r w:rsidR="00DA133E" w:rsidRPr="00444B27">
        <w:rPr>
          <w:rFonts w:asciiTheme="minorHAnsi" w:hAnsiTheme="minorHAnsi"/>
        </w:rPr>
        <w:t>nine</w:t>
      </w:r>
      <w:r w:rsidR="006C477B" w:rsidRPr="00444B27">
        <w:rPr>
          <w:rFonts w:asciiTheme="minorHAnsi" w:hAnsiTheme="minorHAnsi"/>
        </w:rPr>
        <w:t xml:space="preserve"> countries still have law which </w:t>
      </w:r>
      <w:r w:rsidR="00A10AC0" w:rsidRPr="00444B27">
        <w:rPr>
          <w:rFonts w:asciiTheme="minorHAnsi" w:hAnsiTheme="minorHAnsi"/>
        </w:rPr>
        <w:t>criminalizes</w:t>
      </w:r>
      <w:r w:rsidR="006C477B" w:rsidRPr="00444B27">
        <w:rPr>
          <w:rFonts w:asciiTheme="minorHAnsi" w:hAnsiTheme="minorHAnsi"/>
        </w:rPr>
        <w:t xml:space="preserve"> same sex behavior. </w:t>
      </w:r>
      <w:r w:rsidR="00DA133E" w:rsidRPr="00444B27">
        <w:rPr>
          <w:rFonts w:asciiTheme="minorHAnsi" w:hAnsiTheme="minorHAnsi"/>
        </w:rPr>
        <w:t xml:space="preserve"> </w:t>
      </w:r>
      <w:r w:rsidR="004D410C" w:rsidRPr="00444B27">
        <w:rPr>
          <w:rFonts w:asciiTheme="minorHAnsi" w:hAnsiTheme="minorHAnsi"/>
        </w:rPr>
        <w:t xml:space="preserve">Most recently, Brunei implemented a Sharia Penal Code </w:t>
      </w:r>
      <w:r w:rsidR="008D6021" w:rsidRPr="00444B27">
        <w:rPr>
          <w:rFonts w:asciiTheme="minorHAnsi" w:hAnsiTheme="minorHAnsi"/>
        </w:rPr>
        <w:t>in which</w:t>
      </w:r>
      <w:r w:rsidR="004D410C" w:rsidRPr="00444B27">
        <w:rPr>
          <w:rFonts w:asciiTheme="minorHAnsi" w:hAnsiTheme="minorHAnsi"/>
        </w:rPr>
        <w:t xml:space="preserve"> </w:t>
      </w:r>
      <w:r w:rsidR="008D6021" w:rsidRPr="00444B27">
        <w:rPr>
          <w:rFonts w:asciiTheme="minorHAnsi" w:hAnsiTheme="minorHAnsi"/>
        </w:rPr>
        <w:t>the death</w:t>
      </w:r>
      <w:r w:rsidR="00444B27" w:rsidRPr="00444B27">
        <w:rPr>
          <w:rFonts w:asciiTheme="minorHAnsi" w:hAnsiTheme="minorHAnsi"/>
        </w:rPr>
        <w:t xml:space="preserve"> </w:t>
      </w:r>
      <w:r w:rsidR="008D6021" w:rsidRPr="00444B27">
        <w:rPr>
          <w:rFonts w:asciiTheme="minorHAnsi" w:hAnsiTheme="minorHAnsi"/>
        </w:rPr>
        <w:lastRenderedPageBreak/>
        <w:t>penalty would in theory be applicable for offences such as rape, adultery, same sex relations and extramarital sexual relations for Muslim citizens</w:t>
      </w:r>
      <w:r w:rsidR="008D6021" w:rsidRPr="00444B27">
        <w:rPr>
          <w:rStyle w:val="FootnoteReference"/>
          <w:rFonts w:asciiTheme="minorHAnsi" w:hAnsiTheme="minorHAnsi"/>
        </w:rPr>
        <w:footnoteReference w:id="8"/>
      </w:r>
      <w:r w:rsidR="008D6021" w:rsidRPr="00444B27">
        <w:rPr>
          <w:rFonts w:asciiTheme="minorHAnsi" w:hAnsiTheme="minorHAnsi"/>
        </w:rPr>
        <w:t xml:space="preserve">. </w:t>
      </w:r>
    </w:p>
    <w:p w14:paraId="44C7EC30" w14:textId="7BFA4839" w:rsidR="00605B8B" w:rsidRPr="00444B27" w:rsidRDefault="002400DC" w:rsidP="000B2AE6">
      <w:pPr>
        <w:spacing w:after="120"/>
        <w:rPr>
          <w:rFonts w:asciiTheme="minorHAnsi" w:hAnsiTheme="minorHAnsi"/>
        </w:rPr>
      </w:pPr>
      <w:r w:rsidRPr="00444B27">
        <w:rPr>
          <w:rStyle w:val="normaltextrun"/>
          <w:rFonts w:asciiTheme="minorHAnsi" w:eastAsia="Times New Roman" w:hAnsiTheme="minorHAnsi"/>
          <w:color w:val="000000"/>
          <w:shd w:val="clear" w:color="auto" w:fill="FFFFFF"/>
          <w:lang w:val="en"/>
        </w:rPr>
        <w:t xml:space="preserve">Public nuisance and vagrancy laws have </w:t>
      </w:r>
      <w:r w:rsidR="00E831BC" w:rsidRPr="00444B27">
        <w:rPr>
          <w:rStyle w:val="normaltextrun"/>
          <w:rFonts w:asciiTheme="minorHAnsi" w:eastAsia="Times New Roman" w:hAnsiTheme="minorHAnsi"/>
          <w:color w:val="000000"/>
          <w:shd w:val="clear" w:color="auto" w:fill="FFFFFF"/>
          <w:lang w:val="en"/>
        </w:rPr>
        <w:t xml:space="preserve">also </w:t>
      </w:r>
      <w:r w:rsidRPr="00444B27">
        <w:rPr>
          <w:rStyle w:val="normaltextrun"/>
          <w:rFonts w:asciiTheme="minorHAnsi" w:eastAsia="Times New Roman" w:hAnsiTheme="minorHAnsi"/>
          <w:color w:val="000000"/>
          <w:shd w:val="clear" w:color="auto" w:fill="FFFFFF"/>
          <w:lang w:val="en"/>
        </w:rPr>
        <w:t>been used to arbitrarily harass trans women</w:t>
      </w:r>
      <w:r w:rsidR="004D0C6F" w:rsidRPr="00444B27">
        <w:rPr>
          <w:rStyle w:val="normaltextrun"/>
          <w:rFonts w:asciiTheme="minorHAnsi" w:eastAsia="Times New Roman" w:hAnsiTheme="minorHAnsi"/>
          <w:color w:val="000000"/>
          <w:shd w:val="clear" w:color="auto" w:fill="FFFFFF"/>
          <w:lang w:val="en"/>
        </w:rPr>
        <w:t xml:space="preserve"> in countries such as </w:t>
      </w:r>
      <w:r w:rsidR="007C7F94" w:rsidRPr="00444B27">
        <w:rPr>
          <w:rStyle w:val="normaltextrun"/>
          <w:rFonts w:asciiTheme="minorHAnsi" w:eastAsia="Times New Roman" w:hAnsiTheme="minorHAnsi"/>
          <w:color w:val="000000"/>
          <w:shd w:val="clear" w:color="auto" w:fill="FFFFFF"/>
          <w:lang w:val="en"/>
        </w:rPr>
        <w:t>Thailand, Singapore, Indonesia, Cambodia, Nepa</w:t>
      </w:r>
      <w:r w:rsidRPr="00444B27">
        <w:rPr>
          <w:rStyle w:val="normaltextrun"/>
          <w:rFonts w:asciiTheme="minorHAnsi" w:eastAsia="Times New Roman" w:hAnsiTheme="minorHAnsi"/>
          <w:color w:val="000000"/>
          <w:shd w:val="clear" w:color="auto" w:fill="FFFFFF"/>
          <w:lang w:val="en"/>
        </w:rPr>
        <w:t>l, Malaysia and the Philippines</w:t>
      </w:r>
      <w:r w:rsidR="004D0C6F" w:rsidRPr="00444B27">
        <w:rPr>
          <w:rStyle w:val="normaltextrun"/>
          <w:rFonts w:asciiTheme="minorHAnsi" w:eastAsia="Times New Roman" w:hAnsiTheme="minorHAnsi"/>
          <w:color w:val="000000"/>
          <w:shd w:val="clear" w:color="auto" w:fill="FFFFFF"/>
          <w:lang w:val="en"/>
        </w:rPr>
        <w:t xml:space="preserve">. </w:t>
      </w:r>
      <w:r w:rsidR="00E831BC" w:rsidRPr="00444B27">
        <w:rPr>
          <w:rStyle w:val="normaltextrun"/>
          <w:rFonts w:asciiTheme="minorHAnsi" w:eastAsia="Times New Roman" w:hAnsiTheme="minorHAnsi"/>
          <w:color w:val="000000"/>
          <w:shd w:val="clear" w:color="auto" w:fill="FFFFFF"/>
          <w:lang w:val="en"/>
        </w:rPr>
        <w:t xml:space="preserve">And </w:t>
      </w:r>
      <w:r w:rsidR="004D0C6F" w:rsidRPr="00444B27">
        <w:rPr>
          <w:rStyle w:val="normaltextrun"/>
          <w:rFonts w:asciiTheme="minorHAnsi" w:eastAsia="Times New Roman" w:hAnsiTheme="minorHAnsi"/>
          <w:color w:val="000000"/>
          <w:shd w:val="clear" w:color="auto" w:fill="FFFFFF"/>
          <w:lang w:val="en"/>
        </w:rPr>
        <w:t>Malaysia and Indonesia have</w:t>
      </w:r>
      <w:r w:rsidR="007C7F94" w:rsidRPr="00444B27">
        <w:rPr>
          <w:rStyle w:val="normaltextrun"/>
          <w:rFonts w:asciiTheme="minorHAnsi" w:eastAsia="Times New Roman" w:hAnsiTheme="minorHAnsi"/>
          <w:color w:val="000000"/>
          <w:shd w:val="clear" w:color="auto" w:fill="FFFFFF"/>
          <w:lang w:val="en"/>
        </w:rPr>
        <w:t xml:space="preserve"> dedicated religious police </w:t>
      </w:r>
      <w:r w:rsidR="004D0C6F" w:rsidRPr="00444B27">
        <w:rPr>
          <w:rStyle w:val="normaltextrun"/>
          <w:rFonts w:asciiTheme="minorHAnsi" w:eastAsia="Times New Roman" w:hAnsiTheme="minorHAnsi"/>
          <w:color w:val="000000"/>
          <w:shd w:val="clear" w:color="auto" w:fill="FFFFFF"/>
          <w:lang w:val="en"/>
        </w:rPr>
        <w:t xml:space="preserve">that </w:t>
      </w:r>
      <w:r w:rsidR="007C7F94" w:rsidRPr="00444B27">
        <w:rPr>
          <w:rStyle w:val="normaltextrun"/>
          <w:rFonts w:asciiTheme="minorHAnsi" w:eastAsia="Times New Roman" w:hAnsiTheme="minorHAnsi"/>
          <w:color w:val="000000"/>
          <w:shd w:val="clear" w:color="auto" w:fill="FFFFFF"/>
          <w:lang w:val="en"/>
        </w:rPr>
        <w:t>are charged with arresting trans people under these laws</w:t>
      </w:r>
      <w:r w:rsidR="007C7F94" w:rsidRPr="00444B27">
        <w:rPr>
          <w:rStyle w:val="FootnoteReference"/>
          <w:rFonts w:asciiTheme="minorHAnsi" w:eastAsia="Times New Roman" w:hAnsiTheme="minorHAnsi"/>
          <w:color w:val="000000"/>
          <w:shd w:val="clear" w:color="auto" w:fill="FFFFFF"/>
          <w:lang w:val="en"/>
        </w:rPr>
        <w:footnoteReference w:id="9"/>
      </w:r>
      <w:r w:rsidR="007C7F94" w:rsidRPr="00444B27">
        <w:rPr>
          <w:rStyle w:val="normaltextrun"/>
          <w:rFonts w:asciiTheme="minorHAnsi" w:eastAsia="Times New Roman" w:hAnsiTheme="minorHAnsi"/>
          <w:color w:val="000000"/>
          <w:shd w:val="clear" w:color="auto" w:fill="FFFFFF"/>
          <w:lang w:val="en"/>
        </w:rPr>
        <w:t>.</w:t>
      </w:r>
    </w:p>
    <w:p w14:paraId="59A3F622" w14:textId="49542D35" w:rsidR="00605B8B" w:rsidRPr="00444B27" w:rsidRDefault="00605B8B" w:rsidP="000B2AE6">
      <w:pPr>
        <w:spacing w:after="120"/>
        <w:rPr>
          <w:rFonts w:asciiTheme="minorHAnsi" w:eastAsia="Times New Roman" w:hAnsiTheme="minorHAnsi"/>
        </w:rPr>
      </w:pPr>
      <w:r w:rsidRPr="00444B27">
        <w:rPr>
          <w:rFonts w:asciiTheme="minorHAnsi" w:hAnsiTheme="minorHAnsi"/>
        </w:rPr>
        <w:t>10</w:t>
      </w:r>
      <w:r w:rsidRPr="00444B27">
        <w:rPr>
          <w:rStyle w:val="normaltextrun"/>
          <w:rFonts w:asciiTheme="minorHAnsi" w:eastAsia="Times New Roman" w:hAnsiTheme="minorHAnsi" w:cs="Arial"/>
          <w:color w:val="000000"/>
          <w:bdr w:val="none" w:sz="0" w:space="0" w:color="auto" w:frame="1"/>
          <w:lang w:val="en"/>
        </w:rPr>
        <w:t>. Criminalization</w:t>
      </w:r>
      <w:r w:rsidR="0063744F" w:rsidRPr="00444B27">
        <w:rPr>
          <w:rStyle w:val="normaltextrun"/>
          <w:rFonts w:asciiTheme="minorHAnsi" w:eastAsia="Times New Roman" w:hAnsiTheme="minorHAnsi" w:cs="Arial"/>
          <w:color w:val="000000"/>
          <w:bdr w:val="none" w:sz="0" w:space="0" w:color="auto" w:frame="1"/>
          <w:lang w:val="en"/>
        </w:rPr>
        <w:t xml:space="preserve"> also</w:t>
      </w:r>
      <w:r w:rsidRPr="00444B27">
        <w:rPr>
          <w:rStyle w:val="normaltextrun"/>
          <w:rFonts w:asciiTheme="minorHAnsi" w:eastAsia="Times New Roman" w:hAnsiTheme="minorHAnsi" w:cs="Arial"/>
          <w:color w:val="000000"/>
          <w:bdr w:val="none" w:sz="0" w:space="0" w:color="auto" w:frame="1"/>
          <w:lang w:val="en"/>
        </w:rPr>
        <w:t xml:space="preserve"> leads to greater stigmatization and increases the marginalization experienced by affected groups, and can also contribute to additional violations of their human rights.</w:t>
      </w:r>
      <w:r w:rsidRPr="00444B27">
        <w:rPr>
          <w:rFonts w:asciiTheme="minorHAnsi" w:eastAsia="Times New Roman" w:hAnsiTheme="minorHAnsi"/>
        </w:rPr>
        <w:t xml:space="preserve">  </w:t>
      </w:r>
      <w:r w:rsidRPr="00444B27">
        <w:rPr>
          <w:rFonts w:asciiTheme="minorHAnsi" w:hAnsiTheme="minorHAnsi"/>
        </w:rPr>
        <w:t xml:space="preserve">In settings where same-sex consensual sexual </w:t>
      </w:r>
      <w:proofErr w:type="spellStart"/>
      <w:r w:rsidRPr="00444B27">
        <w:rPr>
          <w:rFonts w:asciiTheme="minorHAnsi" w:hAnsiTheme="minorHAnsi"/>
        </w:rPr>
        <w:t>behaviour</w:t>
      </w:r>
      <w:proofErr w:type="spellEnd"/>
      <w:r w:rsidRPr="00444B27">
        <w:rPr>
          <w:rFonts w:asciiTheme="minorHAnsi" w:hAnsiTheme="minorHAnsi"/>
        </w:rPr>
        <w:t xml:space="preserve"> is against the law, people may be deterred from seeking health services out of fear of being arrested and prosecuted.”</w:t>
      </w:r>
      <w:r w:rsidRPr="00444B27">
        <w:rPr>
          <w:rStyle w:val="FootnoteReference"/>
          <w:rFonts w:asciiTheme="minorHAnsi" w:hAnsiTheme="minorHAnsi"/>
        </w:rPr>
        <w:footnoteReference w:id="10"/>
      </w:r>
      <w:r w:rsidRPr="00444B27">
        <w:rPr>
          <w:rFonts w:asciiTheme="minorHAnsi" w:hAnsiTheme="minorHAnsi"/>
        </w:rPr>
        <w:t xml:space="preserve">.   </w:t>
      </w:r>
    </w:p>
    <w:p w14:paraId="39D235DF" w14:textId="34E044EC" w:rsidR="00B65BF9" w:rsidRPr="00444B27" w:rsidRDefault="00605B8B" w:rsidP="000B2AE6">
      <w:pPr>
        <w:spacing w:after="120"/>
        <w:rPr>
          <w:rFonts w:asciiTheme="minorHAnsi" w:hAnsiTheme="minorHAnsi"/>
        </w:rPr>
      </w:pPr>
      <w:r w:rsidRPr="00444B27">
        <w:rPr>
          <w:rFonts w:asciiTheme="minorHAnsi" w:hAnsiTheme="minorHAnsi"/>
        </w:rPr>
        <w:t>11.</w:t>
      </w:r>
      <w:r w:rsidR="00E940E5" w:rsidRPr="00444B27">
        <w:rPr>
          <w:rFonts w:asciiTheme="minorHAnsi" w:hAnsiTheme="minorHAnsi"/>
        </w:rPr>
        <w:t xml:space="preserve"> </w:t>
      </w:r>
      <w:r w:rsidR="00B65BF9" w:rsidRPr="00444B27">
        <w:rPr>
          <w:rFonts w:asciiTheme="minorHAnsi" w:hAnsiTheme="minorHAnsi"/>
        </w:rPr>
        <w:t>LGBTIQ people are also subjected to stigma and discrimination from e</w:t>
      </w:r>
      <w:r w:rsidR="00BA509B" w:rsidRPr="00444B27">
        <w:rPr>
          <w:rFonts w:asciiTheme="minorHAnsi" w:hAnsiTheme="minorHAnsi"/>
        </w:rPr>
        <w:t>mployment</w:t>
      </w:r>
      <w:r w:rsidR="00B65BF9" w:rsidRPr="00444B27">
        <w:rPr>
          <w:rFonts w:asciiTheme="minorHAnsi" w:hAnsiTheme="minorHAnsi"/>
        </w:rPr>
        <w:t xml:space="preserve"> opportunities, including being </w:t>
      </w:r>
      <w:r w:rsidR="00BA509B" w:rsidRPr="00444B27">
        <w:rPr>
          <w:rFonts w:asciiTheme="minorHAnsi" w:hAnsiTheme="minorHAnsi"/>
        </w:rPr>
        <w:t>rejected for positions</w:t>
      </w:r>
      <w:r w:rsidR="00B65BF9" w:rsidRPr="00444B27">
        <w:rPr>
          <w:rFonts w:asciiTheme="minorHAnsi" w:hAnsiTheme="minorHAnsi"/>
        </w:rPr>
        <w:t xml:space="preserve">, </w:t>
      </w:r>
      <w:r w:rsidR="00BA509B" w:rsidRPr="00444B27">
        <w:rPr>
          <w:rFonts w:asciiTheme="minorHAnsi" w:hAnsiTheme="minorHAnsi"/>
        </w:rPr>
        <w:t>sexual harassment, dismissal or being forced to leave jobs, and denial of partner benefits available to heterosexual couples</w:t>
      </w:r>
      <w:r w:rsidR="00BA509B" w:rsidRPr="00444B27">
        <w:rPr>
          <w:rStyle w:val="FootnoteReference"/>
          <w:rFonts w:asciiTheme="minorHAnsi" w:hAnsiTheme="minorHAnsi"/>
        </w:rPr>
        <w:footnoteReference w:id="11"/>
      </w:r>
      <w:r w:rsidR="00BA509B" w:rsidRPr="00444B27">
        <w:rPr>
          <w:rFonts w:asciiTheme="minorHAnsi" w:hAnsiTheme="minorHAnsi"/>
        </w:rPr>
        <w:t>.</w:t>
      </w:r>
      <w:r w:rsidR="00DD1BBF" w:rsidRPr="00444B27">
        <w:rPr>
          <w:rFonts w:asciiTheme="minorHAnsi" w:hAnsiTheme="minorHAnsi"/>
        </w:rPr>
        <w:t xml:space="preserve"> </w:t>
      </w:r>
      <w:r w:rsidR="00B65BF9" w:rsidRPr="00444B27">
        <w:rPr>
          <w:rFonts w:asciiTheme="minorHAnsi" w:hAnsiTheme="minorHAnsi"/>
        </w:rPr>
        <w:t xml:space="preserve">  </w:t>
      </w:r>
    </w:p>
    <w:p w14:paraId="1F0D276E" w14:textId="61668B7A" w:rsidR="00605B8B" w:rsidRPr="00444B27" w:rsidRDefault="00605B8B" w:rsidP="000B2AE6">
      <w:pPr>
        <w:spacing w:after="120"/>
        <w:rPr>
          <w:rStyle w:val="normaltextrun"/>
          <w:rFonts w:asciiTheme="minorHAnsi" w:eastAsia="Times New Roman" w:hAnsiTheme="minorHAnsi" w:cs="Arial"/>
          <w:color w:val="000000"/>
          <w:shd w:val="clear" w:color="auto" w:fill="FFFFFF"/>
          <w:lang w:val="en"/>
        </w:rPr>
      </w:pPr>
      <w:r w:rsidRPr="00444B27">
        <w:rPr>
          <w:rFonts w:asciiTheme="minorHAnsi" w:hAnsiTheme="minorHAnsi"/>
        </w:rPr>
        <w:t>12</w:t>
      </w:r>
      <w:r w:rsidR="00E940E5" w:rsidRPr="00444B27">
        <w:rPr>
          <w:rFonts w:asciiTheme="minorHAnsi" w:hAnsiTheme="minorHAnsi"/>
        </w:rPr>
        <w:t xml:space="preserve">. </w:t>
      </w:r>
      <w:r w:rsidR="00B65BF9" w:rsidRPr="00444B27">
        <w:rPr>
          <w:rFonts w:asciiTheme="minorHAnsi" w:hAnsiTheme="minorHAnsi"/>
        </w:rPr>
        <w:t xml:space="preserve"> Reduced job opportunities </w:t>
      </w:r>
      <w:r w:rsidR="00E940E5" w:rsidRPr="00444B27">
        <w:rPr>
          <w:rFonts w:asciiTheme="minorHAnsi" w:hAnsiTheme="minorHAnsi"/>
        </w:rPr>
        <w:t>can</w:t>
      </w:r>
      <w:r w:rsidR="0063744F" w:rsidRPr="00444B27">
        <w:rPr>
          <w:rFonts w:asciiTheme="minorHAnsi" w:hAnsiTheme="minorHAnsi"/>
        </w:rPr>
        <w:t xml:space="preserve"> also</w:t>
      </w:r>
      <w:r w:rsidR="00E940E5" w:rsidRPr="00444B27">
        <w:rPr>
          <w:rFonts w:asciiTheme="minorHAnsi" w:hAnsiTheme="minorHAnsi"/>
        </w:rPr>
        <w:t xml:space="preserve"> lead</w:t>
      </w:r>
      <w:r w:rsidR="00B65BF9" w:rsidRPr="00444B27">
        <w:rPr>
          <w:rFonts w:asciiTheme="minorHAnsi" w:hAnsiTheme="minorHAnsi"/>
        </w:rPr>
        <w:t xml:space="preserve"> to further marginalization</w:t>
      </w:r>
      <w:r w:rsidR="00E940E5" w:rsidRPr="00444B27">
        <w:rPr>
          <w:rFonts w:asciiTheme="minorHAnsi" w:hAnsiTheme="minorHAnsi"/>
        </w:rPr>
        <w:t xml:space="preserve"> and</w:t>
      </w:r>
      <w:r w:rsidR="00B65BF9" w:rsidRPr="00444B27">
        <w:rPr>
          <w:rFonts w:asciiTheme="minorHAnsi" w:hAnsiTheme="minorHAnsi"/>
        </w:rPr>
        <w:t xml:space="preserve"> have negative hea</w:t>
      </w:r>
      <w:r w:rsidR="00DE0EA9" w:rsidRPr="00444B27">
        <w:rPr>
          <w:rFonts w:asciiTheme="minorHAnsi" w:hAnsiTheme="minorHAnsi"/>
        </w:rPr>
        <w:t>l</w:t>
      </w:r>
      <w:r w:rsidR="00B65BF9" w:rsidRPr="00444B27">
        <w:rPr>
          <w:rFonts w:asciiTheme="minorHAnsi" w:hAnsiTheme="minorHAnsi"/>
        </w:rPr>
        <w:t xml:space="preserve">th </w:t>
      </w:r>
      <w:r w:rsidR="00E940E5" w:rsidRPr="00444B27">
        <w:rPr>
          <w:rFonts w:asciiTheme="minorHAnsi" w:hAnsiTheme="minorHAnsi"/>
        </w:rPr>
        <w:t>impacts</w:t>
      </w:r>
      <w:r w:rsidR="00B65BF9" w:rsidRPr="00444B27">
        <w:rPr>
          <w:rFonts w:asciiTheme="minorHAnsi" w:hAnsiTheme="minorHAnsi"/>
        </w:rPr>
        <w:t>.  Transgender people, for instance</w:t>
      </w:r>
      <w:r w:rsidR="0063744F" w:rsidRPr="00444B27">
        <w:rPr>
          <w:rFonts w:asciiTheme="minorHAnsi" w:hAnsiTheme="minorHAnsi"/>
        </w:rPr>
        <w:t>,</w:t>
      </w:r>
      <w:r w:rsidR="00B65BF9" w:rsidRPr="00444B27">
        <w:rPr>
          <w:rFonts w:asciiTheme="minorHAnsi" w:hAnsiTheme="minorHAnsi"/>
        </w:rPr>
        <w:t xml:space="preserve"> are over represented in sex work</w:t>
      </w:r>
      <w:r w:rsidR="00031F58" w:rsidRPr="00444B27">
        <w:rPr>
          <w:rFonts w:asciiTheme="minorHAnsi" w:hAnsiTheme="minorHAnsi"/>
        </w:rPr>
        <w:t>, and t</w:t>
      </w:r>
      <w:r w:rsidR="00B65BF9" w:rsidRPr="00444B27">
        <w:rPr>
          <w:rStyle w:val="normaltextrun"/>
          <w:rFonts w:asciiTheme="minorHAnsi" w:eastAsia="Times New Roman" w:hAnsiTheme="minorHAnsi" w:cs="Arial"/>
          <w:color w:val="000000"/>
          <w:shd w:val="clear" w:color="auto" w:fill="FFFFFF"/>
          <w:lang w:val="en"/>
        </w:rPr>
        <w:t xml:space="preserve">he </w:t>
      </w:r>
      <w:proofErr w:type="gramStart"/>
      <w:r w:rsidR="00B65BF9" w:rsidRPr="00444B27">
        <w:rPr>
          <w:rStyle w:val="normaltextrun"/>
          <w:rFonts w:asciiTheme="minorHAnsi" w:eastAsia="Times New Roman" w:hAnsiTheme="minorHAnsi" w:cs="Arial"/>
          <w:color w:val="000000"/>
          <w:shd w:val="clear" w:color="auto" w:fill="FFFFFF"/>
          <w:lang w:val="en"/>
        </w:rPr>
        <w:t>vast majority</w:t>
      </w:r>
      <w:proofErr w:type="gramEnd"/>
      <w:r w:rsidR="00B65BF9" w:rsidRPr="00444B27">
        <w:rPr>
          <w:rStyle w:val="normaltextrun"/>
          <w:rFonts w:asciiTheme="minorHAnsi" w:eastAsia="Times New Roman" w:hAnsiTheme="minorHAnsi" w:cs="Arial"/>
          <w:color w:val="000000"/>
          <w:shd w:val="clear" w:color="auto" w:fill="FFFFFF"/>
          <w:lang w:val="en"/>
        </w:rPr>
        <w:t xml:space="preserve"> of countries in the region still criminalize sex work</w:t>
      </w:r>
      <w:r w:rsidR="00031F58" w:rsidRPr="00444B27">
        <w:rPr>
          <w:rStyle w:val="normaltextrun"/>
          <w:rFonts w:asciiTheme="minorHAnsi" w:eastAsia="Times New Roman" w:hAnsiTheme="minorHAnsi" w:cs="Arial"/>
          <w:color w:val="000000"/>
          <w:shd w:val="clear" w:color="auto" w:fill="FFFFFF"/>
          <w:lang w:val="en"/>
        </w:rPr>
        <w:t>. C</w:t>
      </w:r>
      <w:r w:rsidR="00B65BF9" w:rsidRPr="00444B27">
        <w:rPr>
          <w:rStyle w:val="normaltextrun"/>
          <w:rFonts w:asciiTheme="minorHAnsi" w:eastAsia="Times New Roman" w:hAnsiTheme="minorHAnsi" w:cs="Arial"/>
          <w:color w:val="000000"/>
          <w:shd w:val="clear" w:color="auto" w:fill="FFFFFF"/>
          <w:lang w:val="en"/>
        </w:rPr>
        <w:t>riminalization of sex work has been proven to hinder use of condoms by transgender people, as these can become incriminating evidence of sex work</w:t>
      </w:r>
      <w:r w:rsidR="00B65BF9" w:rsidRPr="00444B27">
        <w:rPr>
          <w:rStyle w:val="FootnoteReference"/>
          <w:rFonts w:asciiTheme="minorHAnsi" w:eastAsia="Times New Roman" w:hAnsiTheme="minorHAnsi" w:cs="Arial"/>
          <w:color w:val="000000"/>
          <w:shd w:val="clear" w:color="auto" w:fill="FFFFFF"/>
          <w:lang w:val="en"/>
        </w:rPr>
        <w:footnoteReference w:id="12"/>
      </w:r>
      <w:r w:rsidR="00B65BF9" w:rsidRPr="00444B27">
        <w:rPr>
          <w:rStyle w:val="normaltextrun"/>
          <w:rFonts w:asciiTheme="minorHAnsi" w:eastAsia="Times New Roman" w:hAnsiTheme="minorHAnsi" w:cs="Arial"/>
          <w:color w:val="000000"/>
          <w:shd w:val="clear" w:color="auto" w:fill="FFFFFF"/>
          <w:lang w:val="en"/>
        </w:rPr>
        <w:t xml:space="preserve">.  </w:t>
      </w:r>
      <w:r w:rsidR="00031F58" w:rsidRPr="00444B27">
        <w:rPr>
          <w:rStyle w:val="normaltextrun"/>
          <w:rFonts w:asciiTheme="minorHAnsi" w:eastAsia="Times New Roman" w:hAnsiTheme="minorHAnsi" w:cs="Arial"/>
          <w:color w:val="000000"/>
          <w:shd w:val="clear" w:color="auto" w:fill="FFFFFF"/>
          <w:lang w:val="en"/>
        </w:rPr>
        <w:t xml:space="preserve"> </w:t>
      </w:r>
    </w:p>
    <w:p w14:paraId="6419B723" w14:textId="748A67B0" w:rsidR="005A51A9" w:rsidRPr="00444B27" w:rsidRDefault="00031F58" w:rsidP="000B2AE6">
      <w:pPr>
        <w:spacing w:after="120"/>
        <w:rPr>
          <w:rFonts w:asciiTheme="minorHAnsi" w:eastAsia="Times New Roman" w:hAnsiTheme="minorHAnsi" w:cs="Arial"/>
          <w:color w:val="000000"/>
          <w:shd w:val="clear" w:color="auto" w:fill="FFFFFF"/>
          <w:lang w:val="en"/>
        </w:rPr>
      </w:pPr>
      <w:r w:rsidRPr="00444B27">
        <w:rPr>
          <w:rStyle w:val="normaltextrun"/>
          <w:rFonts w:asciiTheme="minorHAnsi" w:eastAsia="Times New Roman" w:hAnsiTheme="minorHAnsi" w:cs="Arial"/>
          <w:color w:val="000000"/>
          <w:shd w:val="clear" w:color="auto" w:fill="FFFFFF"/>
          <w:lang w:val="en"/>
        </w:rPr>
        <w:t>A recent report found that</w:t>
      </w:r>
      <w:r w:rsidR="0063744F" w:rsidRPr="00444B27">
        <w:rPr>
          <w:rStyle w:val="normaltextrun"/>
          <w:rFonts w:asciiTheme="minorHAnsi" w:eastAsia="Times New Roman" w:hAnsiTheme="minorHAnsi" w:cs="Arial"/>
          <w:color w:val="000000"/>
          <w:shd w:val="clear" w:color="auto" w:fill="FFFFFF"/>
          <w:lang w:val="en"/>
        </w:rPr>
        <w:t xml:space="preserve"> even</w:t>
      </w:r>
      <w:r w:rsidRPr="00444B27">
        <w:rPr>
          <w:rStyle w:val="normaltextrun"/>
          <w:rFonts w:asciiTheme="minorHAnsi" w:eastAsia="Times New Roman" w:hAnsiTheme="minorHAnsi" w:cs="Arial"/>
          <w:color w:val="000000"/>
          <w:shd w:val="clear" w:color="auto" w:fill="FFFFFF"/>
          <w:lang w:val="en"/>
        </w:rPr>
        <w:t xml:space="preserve"> in </w:t>
      </w:r>
      <w:r w:rsidR="00E940E5" w:rsidRPr="00444B27">
        <w:rPr>
          <w:rStyle w:val="normaltextrun"/>
          <w:rFonts w:asciiTheme="minorHAnsi" w:eastAsia="Times New Roman" w:hAnsiTheme="minorHAnsi" w:cs="Arial"/>
          <w:color w:val="000000"/>
          <w:shd w:val="clear" w:color="auto" w:fill="FFFFFF"/>
          <w:lang w:val="en"/>
        </w:rPr>
        <w:t>China,</w:t>
      </w:r>
      <w:r w:rsidR="00444B27" w:rsidRPr="00444B27">
        <w:rPr>
          <w:rStyle w:val="normaltextrun"/>
          <w:rFonts w:asciiTheme="minorHAnsi" w:eastAsia="Times New Roman" w:hAnsiTheme="minorHAnsi" w:cs="Arial"/>
          <w:color w:val="000000"/>
          <w:shd w:val="clear" w:color="auto" w:fill="FFFFFF"/>
          <w:lang w:val="en"/>
        </w:rPr>
        <w:t xml:space="preserve"> where</w:t>
      </w:r>
      <w:r w:rsidR="00E940E5" w:rsidRPr="00444B27">
        <w:rPr>
          <w:rStyle w:val="normaltextrun"/>
          <w:rFonts w:asciiTheme="minorHAnsi" w:eastAsia="Times New Roman" w:hAnsiTheme="minorHAnsi" w:cs="Arial"/>
          <w:color w:val="000000"/>
          <w:shd w:val="clear" w:color="auto" w:fill="FFFFFF"/>
          <w:lang w:val="en"/>
        </w:rPr>
        <w:t xml:space="preserve"> </w:t>
      </w:r>
      <w:r w:rsidR="00DE0EA9" w:rsidRPr="00444B27">
        <w:rPr>
          <w:rStyle w:val="normaltextrun"/>
          <w:rFonts w:asciiTheme="minorHAnsi" w:eastAsia="Times New Roman" w:hAnsiTheme="minorHAnsi" w:cs="Arial"/>
          <w:color w:val="000000"/>
          <w:shd w:val="clear" w:color="auto" w:fill="FFFFFF"/>
          <w:lang w:val="en"/>
        </w:rPr>
        <w:t>“transgender people do not necessarily face outright legal penalties</w:t>
      </w:r>
      <w:r w:rsidR="0063744F" w:rsidRPr="00444B27">
        <w:rPr>
          <w:rStyle w:val="normaltextrun"/>
          <w:rFonts w:asciiTheme="minorHAnsi" w:eastAsia="Times New Roman" w:hAnsiTheme="minorHAnsi" w:cs="Arial"/>
          <w:color w:val="000000"/>
          <w:shd w:val="clear" w:color="auto" w:fill="FFFFFF"/>
          <w:lang w:val="en"/>
        </w:rPr>
        <w:t xml:space="preserve"> …</w:t>
      </w:r>
      <w:r w:rsidR="00DE0EA9" w:rsidRPr="00444B27">
        <w:rPr>
          <w:rStyle w:val="normaltextrun"/>
          <w:rFonts w:asciiTheme="minorHAnsi" w:eastAsia="Times New Roman" w:hAnsiTheme="minorHAnsi" w:cs="Arial"/>
          <w:color w:val="000000"/>
          <w:shd w:val="clear" w:color="auto" w:fill="FFFFFF"/>
          <w:lang w:val="en"/>
        </w:rPr>
        <w:t xml:space="preserve"> the absence of nondiscrimination laws and lack of enforcement of overarching policies on non-discriminatory access to healthcare</w:t>
      </w:r>
      <w:r w:rsidR="00605B8B" w:rsidRPr="00444B27">
        <w:rPr>
          <w:rFonts w:asciiTheme="minorHAnsi" w:hAnsiTheme="minorHAnsi"/>
        </w:rPr>
        <w:t xml:space="preserve"> </w:t>
      </w:r>
      <w:r w:rsidR="00605B8B" w:rsidRPr="00444B27">
        <w:rPr>
          <w:rStyle w:val="normaltextrun"/>
          <w:rFonts w:asciiTheme="minorHAnsi" w:eastAsia="Times New Roman" w:hAnsiTheme="minorHAnsi" w:cs="Arial"/>
          <w:color w:val="000000"/>
          <w:shd w:val="clear" w:color="auto" w:fill="FFFFFF"/>
          <w:lang w:val="en"/>
        </w:rPr>
        <w:t>and HIV related services, means they are left without effective protection</w:t>
      </w:r>
      <w:r w:rsidR="00DE0EA9" w:rsidRPr="00444B27">
        <w:rPr>
          <w:rStyle w:val="normaltextrun"/>
          <w:rFonts w:asciiTheme="minorHAnsi" w:eastAsia="Times New Roman" w:hAnsiTheme="minorHAnsi" w:cs="Arial"/>
          <w:color w:val="000000"/>
          <w:shd w:val="clear" w:color="auto" w:fill="FFFFFF"/>
          <w:lang w:val="en"/>
        </w:rPr>
        <w:t>”</w:t>
      </w:r>
      <w:r w:rsidR="00605B8B" w:rsidRPr="00444B27">
        <w:rPr>
          <w:rStyle w:val="normaltextrun"/>
          <w:rFonts w:asciiTheme="minorHAnsi" w:eastAsia="Times New Roman" w:hAnsiTheme="minorHAnsi" w:cs="Arial"/>
          <w:color w:val="000000"/>
          <w:shd w:val="clear" w:color="auto" w:fill="FFFFFF"/>
          <w:lang w:val="en"/>
        </w:rPr>
        <w:t xml:space="preserve">. </w:t>
      </w:r>
      <w:r w:rsidR="00DE0EA9" w:rsidRPr="00444B27">
        <w:rPr>
          <w:rStyle w:val="normaltextrun"/>
          <w:rFonts w:asciiTheme="minorHAnsi" w:eastAsia="Times New Roman" w:hAnsiTheme="minorHAnsi" w:cs="Arial"/>
          <w:color w:val="000000"/>
          <w:shd w:val="clear" w:color="auto" w:fill="FFFFFF"/>
          <w:lang w:val="en"/>
        </w:rPr>
        <w:t xml:space="preserve"> </w:t>
      </w:r>
      <w:r w:rsidR="00605B8B" w:rsidRPr="00444B27">
        <w:rPr>
          <w:rStyle w:val="normaltextrun"/>
          <w:rFonts w:asciiTheme="minorHAnsi" w:eastAsia="Times New Roman" w:hAnsiTheme="minorHAnsi" w:cs="Arial"/>
          <w:color w:val="000000"/>
          <w:shd w:val="clear" w:color="auto" w:fill="FFFFFF"/>
          <w:lang w:val="en"/>
        </w:rPr>
        <w:t>Furthermore criminalization of sex work in China leaves them susceptible to violence and abuse by police, and engagement in high risk activities leaves them at higher risk of HIV and STIs</w:t>
      </w:r>
      <w:r w:rsidR="00DE0EA9" w:rsidRPr="00444B27">
        <w:rPr>
          <w:rStyle w:val="FootnoteReference"/>
          <w:rFonts w:asciiTheme="minorHAnsi" w:eastAsia="Times New Roman" w:hAnsiTheme="minorHAnsi" w:cs="Arial"/>
          <w:color w:val="000000"/>
          <w:shd w:val="clear" w:color="auto" w:fill="FFFFFF"/>
          <w:lang w:val="en"/>
        </w:rPr>
        <w:footnoteReference w:id="13"/>
      </w:r>
      <w:r w:rsidR="00DE0EA9" w:rsidRPr="00444B27">
        <w:rPr>
          <w:rStyle w:val="normaltextrun"/>
          <w:rFonts w:asciiTheme="minorHAnsi" w:eastAsia="Times New Roman" w:hAnsiTheme="minorHAnsi" w:cs="Arial"/>
          <w:color w:val="000000"/>
          <w:shd w:val="clear" w:color="auto" w:fill="FFFFFF"/>
          <w:lang w:val="en"/>
        </w:rPr>
        <w:t xml:space="preserve">. </w:t>
      </w:r>
    </w:p>
    <w:p w14:paraId="5E5BF6CC" w14:textId="2ABB8BB7" w:rsidR="000471C8" w:rsidRPr="00444B27" w:rsidRDefault="000B36A1" w:rsidP="000B2AE6">
      <w:pPr>
        <w:spacing w:after="120"/>
        <w:rPr>
          <w:rFonts w:asciiTheme="minorHAnsi" w:hAnsiTheme="minorHAnsi"/>
          <w:b/>
          <w:u w:val="single"/>
        </w:rPr>
      </w:pPr>
      <w:r w:rsidRPr="00444B27">
        <w:rPr>
          <w:rFonts w:asciiTheme="minorHAnsi" w:hAnsiTheme="minorHAnsi"/>
          <w:b/>
          <w:u w:val="single"/>
        </w:rPr>
        <w:t>Recent Developments and Good Practices</w:t>
      </w:r>
    </w:p>
    <w:p w14:paraId="0B9A9245" w14:textId="32865C01" w:rsidR="009B67B6" w:rsidRPr="00444B27" w:rsidRDefault="00605B8B" w:rsidP="000B2AE6">
      <w:pPr>
        <w:spacing w:after="120"/>
        <w:rPr>
          <w:rFonts w:asciiTheme="minorHAnsi" w:hAnsiTheme="minorHAnsi"/>
        </w:rPr>
      </w:pPr>
      <w:r w:rsidRPr="00444B27">
        <w:rPr>
          <w:rFonts w:asciiTheme="minorHAnsi" w:hAnsiTheme="minorHAnsi"/>
        </w:rPr>
        <w:t>13.</w:t>
      </w:r>
      <w:r w:rsidR="00DE0EA9" w:rsidRPr="00444B27">
        <w:rPr>
          <w:rFonts w:asciiTheme="minorHAnsi" w:hAnsiTheme="minorHAnsi"/>
        </w:rPr>
        <w:t xml:space="preserve"> </w:t>
      </w:r>
      <w:proofErr w:type="gramStart"/>
      <w:r w:rsidR="00640F03" w:rsidRPr="00444B27">
        <w:rPr>
          <w:rFonts w:asciiTheme="minorHAnsi" w:hAnsiTheme="minorHAnsi"/>
        </w:rPr>
        <w:t>A number of</w:t>
      </w:r>
      <w:proofErr w:type="gramEnd"/>
      <w:r w:rsidR="00697C39" w:rsidRPr="00444B27">
        <w:rPr>
          <w:rFonts w:asciiTheme="minorHAnsi" w:hAnsiTheme="minorHAnsi"/>
        </w:rPr>
        <w:t xml:space="preserve"> notable positive </w:t>
      </w:r>
      <w:r w:rsidR="001C79D7" w:rsidRPr="00444B27">
        <w:rPr>
          <w:rFonts w:asciiTheme="minorHAnsi" w:hAnsiTheme="minorHAnsi"/>
        </w:rPr>
        <w:t>l</w:t>
      </w:r>
      <w:r w:rsidR="00697C39" w:rsidRPr="00444B27">
        <w:rPr>
          <w:rFonts w:asciiTheme="minorHAnsi" w:hAnsiTheme="minorHAnsi"/>
        </w:rPr>
        <w:t>egal changes that strengthen social, political and economic inclusion of LGBTIQ people</w:t>
      </w:r>
      <w:r w:rsidR="000574D2" w:rsidRPr="00444B27">
        <w:rPr>
          <w:rFonts w:asciiTheme="minorHAnsi" w:hAnsiTheme="minorHAnsi"/>
        </w:rPr>
        <w:t xml:space="preserve"> have been made recently</w:t>
      </w:r>
      <w:r w:rsidR="004D0C6F" w:rsidRPr="00444B27">
        <w:rPr>
          <w:rFonts w:asciiTheme="minorHAnsi" w:hAnsiTheme="minorHAnsi"/>
        </w:rPr>
        <w:t xml:space="preserve"> in the region of Asia and the Pacific</w:t>
      </w:r>
      <w:r w:rsidR="000574D2" w:rsidRPr="00444B27">
        <w:rPr>
          <w:rFonts w:asciiTheme="minorHAnsi" w:hAnsiTheme="minorHAnsi"/>
        </w:rPr>
        <w:t xml:space="preserve">. </w:t>
      </w:r>
      <w:r w:rsidR="00697C39" w:rsidRPr="00444B27">
        <w:rPr>
          <w:rFonts w:asciiTheme="minorHAnsi" w:hAnsiTheme="minorHAnsi"/>
        </w:rPr>
        <w:t xml:space="preserve"> </w:t>
      </w:r>
      <w:r w:rsidR="000574D2" w:rsidRPr="00444B27">
        <w:rPr>
          <w:rFonts w:asciiTheme="minorHAnsi" w:hAnsiTheme="minorHAnsi"/>
        </w:rPr>
        <w:t>In 2018, a landm</w:t>
      </w:r>
      <w:r w:rsidR="004D410C" w:rsidRPr="00444B27">
        <w:rPr>
          <w:rFonts w:asciiTheme="minorHAnsi" w:hAnsiTheme="minorHAnsi"/>
        </w:rPr>
        <w:t>ark Supreme Court decision</w:t>
      </w:r>
      <w:r w:rsidR="004D0C6F" w:rsidRPr="00444B27">
        <w:rPr>
          <w:rFonts w:asciiTheme="minorHAnsi" w:hAnsiTheme="minorHAnsi"/>
        </w:rPr>
        <w:t xml:space="preserve"> in India</w:t>
      </w:r>
      <w:r w:rsidR="004D410C" w:rsidRPr="00444B27">
        <w:rPr>
          <w:rFonts w:asciiTheme="minorHAnsi" w:hAnsiTheme="minorHAnsi"/>
        </w:rPr>
        <w:t xml:space="preserve"> st</w:t>
      </w:r>
      <w:r w:rsidR="004D0C6F" w:rsidRPr="00444B27">
        <w:rPr>
          <w:rFonts w:asciiTheme="minorHAnsi" w:hAnsiTheme="minorHAnsi"/>
        </w:rPr>
        <w:t>r</w:t>
      </w:r>
      <w:r w:rsidR="004D410C" w:rsidRPr="00444B27">
        <w:rPr>
          <w:rFonts w:asciiTheme="minorHAnsi" w:hAnsiTheme="minorHAnsi"/>
        </w:rPr>
        <w:t xml:space="preserve">uck down section 377 on the penal code, </w:t>
      </w:r>
      <w:r w:rsidR="004D410C" w:rsidRPr="00444B27">
        <w:rPr>
          <w:rFonts w:asciiTheme="minorHAnsi" w:hAnsiTheme="minorHAnsi"/>
        </w:rPr>
        <w:lastRenderedPageBreak/>
        <w:t>which criminalized</w:t>
      </w:r>
      <w:r w:rsidR="000574D2" w:rsidRPr="00444B27">
        <w:rPr>
          <w:rFonts w:asciiTheme="minorHAnsi" w:hAnsiTheme="minorHAnsi"/>
        </w:rPr>
        <w:t xml:space="preserve"> consen</w:t>
      </w:r>
      <w:r w:rsidR="004D410C" w:rsidRPr="00444B27">
        <w:rPr>
          <w:rFonts w:asciiTheme="minorHAnsi" w:hAnsiTheme="minorHAnsi"/>
        </w:rPr>
        <w:t xml:space="preserve">sual same-sex conduct, as </w:t>
      </w:r>
      <w:r w:rsidR="000574D2" w:rsidRPr="00444B27">
        <w:rPr>
          <w:rFonts w:asciiTheme="minorHAnsi" w:hAnsiTheme="minorHAnsi"/>
        </w:rPr>
        <w:t>unconstitutional</w:t>
      </w:r>
      <w:r w:rsidR="004D410C" w:rsidRPr="00444B27">
        <w:rPr>
          <w:rStyle w:val="FootnoteReference"/>
          <w:rFonts w:asciiTheme="minorHAnsi" w:hAnsiTheme="minorHAnsi"/>
        </w:rPr>
        <w:footnoteReference w:id="14"/>
      </w:r>
      <w:r w:rsidR="000574D2" w:rsidRPr="00444B27">
        <w:rPr>
          <w:rFonts w:asciiTheme="minorHAnsi" w:hAnsiTheme="minorHAnsi"/>
        </w:rPr>
        <w:t>.</w:t>
      </w:r>
      <w:r w:rsidR="004D410C" w:rsidRPr="00444B27">
        <w:rPr>
          <w:rFonts w:asciiTheme="minorHAnsi" w:hAnsiTheme="minorHAnsi"/>
        </w:rPr>
        <w:t xml:space="preserve">  And in May 2019, in</w:t>
      </w:r>
      <w:r w:rsidR="00697C39" w:rsidRPr="00444B27">
        <w:rPr>
          <w:rFonts w:asciiTheme="minorHAnsi" w:hAnsiTheme="minorHAnsi"/>
        </w:rPr>
        <w:t xml:space="preserve"> lawmakers </w:t>
      </w:r>
      <w:r w:rsidR="004D410C" w:rsidRPr="00444B27">
        <w:rPr>
          <w:rFonts w:asciiTheme="minorHAnsi" w:hAnsiTheme="minorHAnsi"/>
        </w:rPr>
        <w:t xml:space="preserve">in Taiwan </w:t>
      </w:r>
      <w:r w:rsidR="00697C39" w:rsidRPr="00444B27">
        <w:rPr>
          <w:rFonts w:asciiTheme="minorHAnsi" w:hAnsiTheme="minorHAnsi"/>
        </w:rPr>
        <w:t>approved a bill legalizing same-sex marr</w:t>
      </w:r>
      <w:r w:rsidR="004D410C" w:rsidRPr="00444B27">
        <w:rPr>
          <w:rFonts w:asciiTheme="minorHAnsi" w:hAnsiTheme="minorHAnsi"/>
        </w:rPr>
        <w:t>iage, making</w:t>
      </w:r>
      <w:r w:rsidR="00697C39" w:rsidRPr="00444B27">
        <w:rPr>
          <w:rFonts w:asciiTheme="minorHAnsi" w:hAnsiTheme="minorHAnsi"/>
        </w:rPr>
        <w:t xml:space="preserve"> Taiwan the first country in Asia to pass gay marriage legislation</w:t>
      </w:r>
      <w:r w:rsidR="00697C39" w:rsidRPr="00444B27">
        <w:rPr>
          <w:rStyle w:val="FootnoteReference"/>
          <w:rFonts w:asciiTheme="minorHAnsi" w:hAnsiTheme="minorHAnsi"/>
        </w:rPr>
        <w:footnoteReference w:id="15"/>
      </w:r>
      <w:r w:rsidR="004D410C" w:rsidRPr="00444B27">
        <w:rPr>
          <w:rFonts w:asciiTheme="minorHAnsi" w:hAnsiTheme="minorHAnsi"/>
        </w:rPr>
        <w:t xml:space="preserve">. </w:t>
      </w:r>
    </w:p>
    <w:p w14:paraId="1C0B6553" w14:textId="592FE411" w:rsidR="0008326F" w:rsidRPr="00444B27" w:rsidRDefault="00605B8B" w:rsidP="000B2AE6">
      <w:pPr>
        <w:spacing w:after="120"/>
        <w:rPr>
          <w:rFonts w:asciiTheme="minorHAnsi" w:eastAsia="Times New Roman" w:hAnsiTheme="minorHAnsi"/>
          <w:color w:val="000000"/>
          <w:shd w:val="clear" w:color="auto" w:fill="FFFFFF"/>
        </w:rPr>
      </w:pPr>
      <w:r w:rsidRPr="00444B27">
        <w:rPr>
          <w:rStyle w:val="normaltextrun"/>
          <w:rFonts w:asciiTheme="minorHAnsi" w:eastAsia="Times New Roman" w:hAnsiTheme="minorHAnsi"/>
          <w:color w:val="000000"/>
          <w:shd w:val="clear" w:color="auto" w:fill="FFFFFF"/>
          <w:lang w:val="en"/>
        </w:rPr>
        <w:t xml:space="preserve">14. </w:t>
      </w:r>
      <w:r w:rsidR="009B67B6" w:rsidRPr="00444B27">
        <w:rPr>
          <w:rStyle w:val="normaltextrun"/>
          <w:rFonts w:asciiTheme="minorHAnsi" w:eastAsia="Times New Roman" w:hAnsiTheme="minorHAnsi"/>
          <w:color w:val="000000"/>
          <w:shd w:val="clear" w:color="auto" w:fill="FFFFFF"/>
          <w:lang w:val="en"/>
        </w:rPr>
        <w:t xml:space="preserve"> </w:t>
      </w:r>
      <w:r w:rsidR="004D410C" w:rsidRPr="00444B27">
        <w:rPr>
          <w:rStyle w:val="normaltextrun"/>
          <w:rFonts w:asciiTheme="minorHAnsi" w:eastAsia="Times New Roman" w:hAnsiTheme="minorHAnsi"/>
          <w:color w:val="000000"/>
          <w:shd w:val="clear" w:color="auto" w:fill="FFFFFF"/>
          <w:lang w:val="en"/>
        </w:rPr>
        <w:t>C</w:t>
      </w:r>
      <w:r w:rsidR="009B67B6" w:rsidRPr="00444B27">
        <w:rPr>
          <w:rStyle w:val="normaltextrun"/>
          <w:rFonts w:asciiTheme="minorHAnsi" w:eastAsia="Times New Roman" w:hAnsiTheme="minorHAnsi"/>
          <w:color w:val="000000"/>
          <w:shd w:val="clear" w:color="auto" w:fill="FFFFFF"/>
          <w:lang w:val="en"/>
        </w:rPr>
        <w:t>ross-dressing or female impersonation laws have been successfull</w:t>
      </w:r>
      <w:r w:rsidR="004D410C" w:rsidRPr="00444B27">
        <w:rPr>
          <w:rStyle w:val="normaltextrun"/>
          <w:rFonts w:asciiTheme="minorHAnsi" w:eastAsia="Times New Roman" w:hAnsiTheme="minorHAnsi"/>
          <w:color w:val="000000"/>
          <w:shd w:val="clear" w:color="auto" w:fill="FFFFFF"/>
          <w:lang w:val="en"/>
        </w:rPr>
        <w:t xml:space="preserve">y challenged in </w:t>
      </w:r>
      <w:r w:rsidR="009B67B6" w:rsidRPr="00444B27">
        <w:rPr>
          <w:rStyle w:val="normaltextrun"/>
          <w:rFonts w:asciiTheme="minorHAnsi" w:eastAsia="Times New Roman" w:hAnsiTheme="minorHAnsi"/>
          <w:color w:val="000000"/>
          <w:shd w:val="clear" w:color="auto" w:fill="FFFFFF"/>
          <w:lang w:val="en"/>
        </w:rPr>
        <w:t>Asia</w:t>
      </w:r>
      <w:r w:rsidR="004D410C" w:rsidRPr="00444B27">
        <w:rPr>
          <w:rStyle w:val="normaltextrun"/>
          <w:rFonts w:asciiTheme="minorHAnsi" w:eastAsia="Times New Roman" w:hAnsiTheme="minorHAnsi"/>
          <w:color w:val="000000"/>
          <w:shd w:val="clear" w:color="auto" w:fill="FFFFFF"/>
          <w:lang w:val="en"/>
        </w:rPr>
        <w:t xml:space="preserve"> and the Pacific</w:t>
      </w:r>
      <w:r w:rsidR="009B67B6" w:rsidRPr="00444B27">
        <w:rPr>
          <w:rStyle w:val="normaltextrun"/>
          <w:rFonts w:asciiTheme="minorHAnsi" w:eastAsia="Times New Roman" w:hAnsiTheme="minorHAnsi"/>
          <w:color w:val="000000"/>
          <w:shd w:val="clear" w:color="auto" w:fill="FFFFFF"/>
          <w:lang w:val="en"/>
        </w:rPr>
        <w:t>. In March 2013, Samoa repealed Section 58N of</w:t>
      </w:r>
      <w:r w:rsidR="004D410C" w:rsidRPr="00444B27">
        <w:rPr>
          <w:rStyle w:val="normaltextrun"/>
          <w:rFonts w:asciiTheme="minorHAnsi" w:eastAsia="Times New Roman" w:hAnsiTheme="minorHAnsi"/>
          <w:color w:val="000000"/>
          <w:shd w:val="clear" w:color="auto" w:fill="FFFFFF"/>
          <w:lang w:val="en"/>
        </w:rPr>
        <w:t xml:space="preserve"> the Crimes Ordinance Act.  In </w:t>
      </w:r>
      <w:r w:rsidR="009B67B6" w:rsidRPr="00444B27">
        <w:rPr>
          <w:rStyle w:val="normaltextrun"/>
          <w:rFonts w:asciiTheme="minorHAnsi" w:eastAsia="Times New Roman" w:hAnsiTheme="minorHAnsi"/>
          <w:color w:val="000000"/>
          <w:shd w:val="clear" w:color="auto" w:fill="FFFFFF"/>
          <w:lang w:val="en"/>
        </w:rPr>
        <w:t>November 2014, the Court of Appeal of Malaysia declared that Section 66 of the </w:t>
      </w:r>
      <w:proofErr w:type="spellStart"/>
      <w:r w:rsidR="004D0C6F" w:rsidRPr="00444B27">
        <w:rPr>
          <w:rStyle w:val="normaltextrun"/>
          <w:rFonts w:asciiTheme="minorHAnsi" w:eastAsia="Times New Roman" w:hAnsiTheme="minorHAnsi"/>
          <w:color w:val="000000"/>
          <w:shd w:val="clear" w:color="auto" w:fill="FFFFFF"/>
          <w:lang w:val="en"/>
        </w:rPr>
        <w:t>Sh</w:t>
      </w:r>
      <w:r w:rsidR="009B67B6" w:rsidRPr="00444B27">
        <w:rPr>
          <w:rStyle w:val="normaltextrun"/>
          <w:rFonts w:asciiTheme="minorHAnsi" w:eastAsia="Times New Roman" w:hAnsiTheme="minorHAnsi"/>
          <w:color w:val="000000"/>
          <w:shd w:val="clear" w:color="auto" w:fill="FFFFFF"/>
          <w:lang w:val="en"/>
        </w:rPr>
        <w:t>ariah</w:t>
      </w:r>
      <w:proofErr w:type="spellEnd"/>
      <w:r w:rsidR="009B67B6" w:rsidRPr="00444B27">
        <w:rPr>
          <w:rStyle w:val="normaltextrun"/>
          <w:rFonts w:asciiTheme="minorHAnsi" w:eastAsia="Times New Roman" w:hAnsiTheme="minorHAnsi"/>
          <w:color w:val="000000"/>
          <w:shd w:val="clear" w:color="auto" w:fill="FFFFFF"/>
          <w:lang w:val="en"/>
        </w:rPr>
        <w:t> Criminal Enactment of </w:t>
      </w:r>
      <w:proofErr w:type="spellStart"/>
      <w:r w:rsidR="009B67B6" w:rsidRPr="00444B27">
        <w:rPr>
          <w:rStyle w:val="normaltextrun"/>
          <w:rFonts w:asciiTheme="minorHAnsi" w:eastAsia="Times New Roman" w:hAnsiTheme="minorHAnsi"/>
          <w:color w:val="000000"/>
          <w:shd w:val="clear" w:color="auto" w:fill="FFFFFF"/>
          <w:lang w:val="en"/>
        </w:rPr>
        <w:t>Negeri</w:t>
      </w:r>
      <w:proofErr w:type="spellEnd"/>
      <w:r w:rsidR="009B67B6" w:rsidRPr="00444B27">
        <w:rPr>
          <w:rStyle w:val="normaltextrun"/>
          <w:rFonts w:asciiTheme="minorHAnsi" w:eastAsia="Times New Roman" w:hAnsiTheme="minorHAnsi"/>
          <w:color w:val="000000"/>
          <w:shd w:val="clear" w:color="auto" w:fill="FFFFFF"/>
          <w:lang w:val="en"/>
        </w:rPr>
        <w:t> Sembilan State was unconstitutional. This provision had made it unlawful for Muslim trans women to wear women’s clothes or prese</w:t>
      </w:r>
      <w:r w:rsidR="00742612" w:rsidRPr="00444B27">
        <w:rPr>
          <w:rStyle w:val="normaltextrun"/>
          <w:rFonts w:asciiTheme="minorHAnsi" w:eastAsia="Times New Roman" w:hAnsiTheme="minorHAnsi"/>
          <w:color w:val="000000"/>
          <w:shd w:val="clear" w:color="auto" w:fill="FFFFFF"/>
          <w:lang w:val="en"/>
        </w:rPr>
        <w:t>nt themselves as women,</w:t>
      </w:r>
      <w:r w:rsidR="009B67B6" w:rsidRPr="00444B27">
        <w:rPr>
          <w:rStyle w:val="normaltextrun"/>
          <w:rFonts w:asciiTheme="minorHAnsi" w:eastAsia="Times New Roman" w:hAnsiTheme="minorHAnsi"/>
          <w:color w:val="000000"/>
          <w:shd w:val="clear" w:color="auto" w:fill="FFFFFF"/>
          <w:lang w:val="en"/>
        </w:rPr>
        <w:t xml:space="preserve"> punishable by fines and up to six months of imprisonment. In February 2015, the Federal Court gave the state government permission to appeal this ruling. The appeal is limited to arguments about whether Section 66 contravenes the Federal Constitution. The Federal Court will not accept from the state government that the Appellate Court has no jurisdiction over </w:t>
      </w:r>
      <w:proofErr w:type="spellStart"/>
      <w:r w:rsidR="009B67B6" w:rsidRPr="00444B27">
        <w:rPr>
          <w:rStyle w:val="normaltextrun"/>
          <w:rFonts w:asciiTheme="minorHAnsi" w:eastAsia="Times New Roman" w:hAnsiTheme="minorHAnsi"/>
          <w:color w:val="000000"/>
          <w:shd w:val="clear" w:color="auto" w:fill="FFFFFF"/>
          <w:lang w:val="en"/>
        </w:rPr>
        <w:t>Shariah</w:t>
      </w:r>
      <w:proofErr w:type="spellEnd"/>
      <w:r w:rsidR="00742612" w:rsidRPr="00444B27">
        <w:rPr>
          <w:rStyle w:val="normaltextrun"/>
          <w:rFonts w:asciiTheme="minorHAnsi" w:eastAsia="Times New Roman" w:hAnsiTheme="minorHAnsi"/>
          <w:color w:val="000000"/>
          <w:shd w:val="clear" w:color="auto" w:fill="FFFFFF"/>
          <w:lang w:val="en"/>
        </w:rPr>
        <w:t> law</w:t>
      </w:r>
      <w:r w:rsidR="009B67B6" w:rsidRPr="00444B27">
        <w:rPr>
          <w:rStyle w:val="normaltextrun"/>
          <w:rFonts w:asciiTheme="minorHAnsi" w:eastAsia="Times New Roman" w:hAnsiTheme="minorHAnsi"/>
          <w:color w:val="000000"/>
          <w:shd w:val="clear" w:color="auto" w:fill="FFFFFF"/>
          <w:lang w:val="en"/>
        </w:rPr>
        <w:t xml:space="preserve"> 3.3.8.3 Public Offences</w:t>
      </w:r>
      <w:r w:rsidR="00742612" w:rsidRPr="00444B27">
        <w:rPr>
          <w:rStyle w:val="eop"/>
          <w:rFonts w:asciiTheme="minorHAnsi" w:eastAsia="Times New Roman" w:hAnsiTheme="minorHAnsi"/>
          <w:color w:val="000000"/>
          <w:shd w:val="clear" w:color="auto" w:fill="FFFFFF"/>
        </w:rPr>
        <w:t>.</w:t>
      </w:r>
    </w:p>
    <w:p w14:paraId="6BB3C889" w14:textId="1158D38F" w:rsidR="001C79D7" w:rsidRPr="00444B27" w:rsidRDefault="000B2AE6" w:rsidP="000B2AE6">
      <w:pPr>
        <w:spacing w:after="120"/>
        <w:rPr>
          <w:rFonts w:asciiTheme="minorHAnsi" w:hAnsiTheme="minorHAnsi"/>
        </w:rPr>
      </w:pPr>
      <w:r w:rsidRPr="00444B27">
        <w:rPr>
          <w:rFonts w:asciiTheme="minorHAnsi" w:hAnsiTheme="minorHAnsi"/>
        </w:rPr>
        <w:t>15</w:t>
      </w:r>
      <w:r w:rsidR="001C79D7" w:rsidRPr="00444B27">
        <w:rPr>
          <w:rFonts w:asciiTheme="minorHAnsi" w:hAnsiTheme="minorHAnsi"/>
        </w:rPr>
        <w:t>.</w:t>
      </w:r>
      <w:r w:rsidR="00572610" w:rsidRPr="00444B27">
        <w:rPr>
          <w:rFonts w:asciiTheme="minorHAnsi" w:hAnsiTheme="minorHAnsi"/>
        </w:rPr>
        <w:t xml:space="preserve"> </w:t>
      </w:r>
      <w:r w:rsidR="004D0C6F" w:rsidRPr="00444B27">
        <w:rPr>
          <w:rFonts w:asciiTheme="minorHAnsi" w:hAnsiTheme="minorHAnsi"/>
        </w:rPr>
        <w:t xml:space="preserve">There are </w:t>
      </w:r>
      <w:proofErr w:type="gramStart"/>
      <w:r w:rsidR="004D0C6F" w:rsidRPr="00444B27">
        <w:rPr>
          <w:rFonts w:asciiTheme="minorHAnsi" w:hAnsiTheme="minorHAnsi"/>
        </w:rPr>
        <w:t>a number of</w:t>
      </w:r>
      <w:proofErr w:type="gramEnd"/>
      <w:r w:rsidR="004D0C6F" w:rsidRPr="00444B27">
        <w:rPr>
          <w:rFonts w:asciiTheme="minorHAnsi" w:hAnsiTheme="minorHAnsi"/>
        </w:rPr>
        <w:t xml:space="preserve"> </w:t>
      </w:r>
      <w:r w:rsidR="00EC38EB" w:rsidRPr="00444B27">
        <w:rPr>
          <w:rFonts w:asciiTheme="minorHAnsi" w:hAnsiTheme="minorHAnsi"/>
        </w:rPr>
        <w:t>good</w:t>
      </w:r>
      <w:r w:rsidR="004D0C6F" w:rsidRPr="00444B27">
        <w:rPr>
          <w:rFonts w:asciiTheme="minorHAnsi" w:hAnsiTheme="minorHAnsi"/>
        </w:rPr>
        <w:t xml:space="preserve"> practices from civil society in the region which</w:t>
      </w:r>
      <w:r w:rsidR="00EC38EB" w:rsidRPr="00444B27">
        <w:rPr>
          <w:rFonts w:asciiTheme="minorHAnsi" w:hAnsiTheme="minorHAnsi"/>
        </w:rPr>
        <w:t xml:space="preserve"> aim to strengthen social, political and economic inclusion of LGBTIQ people</w:t>
      </w:r>
      <w:r w:rsidR="00572610" w:rsidRPr="00444B27">
        <w:rPr>
          <w:rFonts w:asciiTheme="minorHAnsi" w:hAnsiTheme="minorHAnsi"/>
        </w:rPr>
        <w:t>.  Some examples include:</w:t>
      </w:r>
    </w:p>
    <w:p w14:paraId="1FB67D47" w14:textId="543F1B6C" w:rsidR="00751982" w:rsidRPr="00444B27" w:rsidRDefault="00751982" w:rsidP="00751982">
      <w:pPr>
        <w:pStyle w:val="ListParagraph"/>
        <w:numPr>
          <w:ilvl w:val="0"/>
          <w:numId w:val="6"/>
        </w:numPr>
        <w:rPr>
          <w:rFonts w:eastAsia="Times New Roman" w:cs="Times New Roman"/>
          <w:sz w:val="24"/>
          <w:szCs w:val="24"/>
        </w:rPr>
      </w:pPr>
      <w:r w:rsidRPr="00444B27">
        <w:rPr>
          <w:rFonts w:eastAsia="Times New Roman"/>
          <w:color w:val="24262A"/>
          <w:sz w:val="24"/>
          <w:szCs w:val="24"/>
        </w:rPr>
        <w:t xml:space="preserve">“Blueprint </w:t>
      </w:r>
      <w:proofErr w:type="gramStart"/>
      <w:r w:rsidRPr="00444B27">
        <w:rPr>
          <w:rFonts w:eastAsia="Times New Roman"/>
          <w:color w:val="24262A"/>
          <w:sz w:val="24"/>
          <w:szCs w:val="24"/>
        </w:rPr>
        <w:t>For</w:t>
      </w:r>
      <w:proofErr w:type="gramEnd"/>
      <w:r w:rsidRPr="00444B27">
        <w:rPr>
          <w:rFonts w:eastAsia="Times New Roman"/>
          <w:color w:val="24262A"/>
          <w:sz w:val="24"/>
          <w:szCs w:val="24"/>
        </w:rPr>
        <w:t xml:space="preserve"> The Provision Of Comprehensive Care For Trans People”</w:t>
      </w:r>
      <w:r w:rsidR="00572610" w:rsidRPr="00444B27">
        <w:rPr>
          <w:rStyle w:val="FootnoteReference"/>
          <w:rFonts w:eastAsia="Times New Roman"/>
          <w:color w:val="24262A"/>
          <w:sz w:val="24"/>
          <w:szCs w:val="24"/>
        </w:rPr>
        <w:footnoteReference w:id="16"/>
      </w:r>
      <w:r w:rsidRPr="00444B27">
        <w:rPr>
          <w:rFonts w:eastAsia="Times New Roman"/>
          <w:color w:val="24262A"/>
          <w:sz w:val="24"/>
          <w:szCs w:val="24"/>
        </w:rPr>
        <w:t xml:space="preserve"> by the Asia Pacific Transgender Network (APTN) is a c</w:t>
      </w:r>
      <w:r w:rsidRPr="00444B27">
        <w:rPr>
          <w:rFonts w:eastAsia="Times New Roman"/>
          <w:color w:val="000000"/>
          <w:sz w:val="24"/>
          <w:szCs w:val="24"/>
          <w:shd w:val="clear" w:color="auto" w:fill="FFFFFF"/>
        </w:rPr>
        <w:t>omprehensive, accessible trans health reference document for trans community advocates, health professionals, policymakers, and those who design or deliver services to trans people</w:t>
      </w:r>
      <w:r w:rsidRPr="00444B27">
        <w:rPr>
          <w:rFonts w:eastAsia="Times New Roman"/>
          <w:color w:val="24262A"/>
          <w:sz w:val="24"/>
          <w:szCs w:val="24"/>
        </w:rPr>
        <w:t xml:space="preserve"> </w:t>
      </w:r>
      <w:r w:rsidRPr="00444B27">
        <w:rPr>
          <w:color w:val="000000"/>
          <w:sz w:val="24"/>
          <w:szCs w:val="24"/>
        </w:rPr>
        <w:t xml:space="preserve">in order to improve health and human rights for trans people and trans communities.  It includes </w:t>
      </w:r>
      <w:r w:rsidRPr="00444B27">
        <w:rPr>
          <w:rFonts w:eastAsia="Times New Roman"/>
          <w:color w:val="000000"/>
          <w:sz w:val="24"/>
          <w:szCs w:val="24"/>
          <w:shd w:val="clear" w:color="auto" w:fill="FFFFFF"/>
        </w:rPr>
        <w:t>clinical advice about meeting the health needs of trans children, youth and adults, good policies and good practices of health professionals.</w:t>
      </w:r>
    </w:p>
    <w:p w14:paraId="0A538447" w14:textId="70FB1940" w:rsidR="00F5297E" w:rsidRPr="00444B27" w:rsidRDefault="00A70EA3" w:rsidP="00444B27">
      <w:pPr>
        <w:pStyle w:val="paragraph"/>
        <w:numPr>
          <w:ilvl w:val="0"/>
          <w:numId w:val="6"/>
        </w:numPr>
        <w:spacing w:before="0" w:beforeAutospacing="0" w:after="120" w:afterAutospacing="0"/>
        <w:textAlignment w:val="baseline"/>
        <w:rPr>
          <w:rFonts w:asciiTheme="minorHAnsi" w:hAnsiTheme="minorHAnsi"/>
        </w:rPr>
      </w:pPr>
      <w:hyperlink r:id="rId8" w:tgtFrame="_blank" w:history="1">
        <w:r w:rsidR="00F5297E" w:rsidRPr="00444B27">
          <w:rPr>
            <w:rStyle w:val="normaltextrun"/>
            <w:rFonts w:asciiTheme="minorHAnsi" w:hAnsiTheme="minorHAnsi"/>
            <w:color w:val="0000FF"/>
            <w:u w:val="single"/>
            <w:lang w:val="en-GB"/>
          </w:rPr>
          <w:t xml:space="preserve">Finance </w:t>
        </w:r>
        <w:proofErr w:type="spellStart"/>
        <w:r w:rsidR="00F5297E" w:rsidRPr="00444B27">
          <w:rPr>
            <w:rStyle w:val="normaltextrun"/>
            <w:rFonts w:asciiTheme="minorHAnsi" w:hAnsiTheme="minorHAnsi"/>
            <w:color w:val="0000FF"/>
            <w:u w:val="single"/>
            <w:lang w:val="en-GB"/>
          </w:rPr>
          <w:t>Inc</w:t>
        </w:r>
        <w:proofErr w:type="spellEnd"/>
        <w:r w:rsidR="00F5297E" w:rsidRPr="00444B27">
          <w:rPr>
            <w:rStyle w:val="normaltextrun"/>
            <w:rFonts w:asciiTheme="minorHAnsi" w:hAnsiTheme="minorHAnsi"/>
            <w:color w:val="0000FF"/>
            <w:u w:val="single"/>
            <w:lang w:val="en-GB"/>
          </w:rPr>
          <w:t xml:space="preserve"> Compass Series</w:t>
        </w:r>
      </w:hyperlink>
      <w:r w:rsidR="000B2AE6" w:rsidRPr="00444B27">
        <w:rPr>
          <w:rStyle w:val="FootnoteReference"/>
          <w:rFonts w:asciiTheme="minorHAnsi" w:hAnsiTheme="minorHAnsi"/>
        </w:rPr>
        <w:footnoteReference w:id="17"/>
      </w:r>
      <w:r w:rsidR="00F5297E" w:rsidRPr="00444B27">
        <w:rPr>
          <w:rStyle w:val="normaltextrun"/>
          <w:rFonts w:asciiTheme="minorHAnsi" w:hAnsiTheme="minorHAnsi"/>
          <w:lang w:val="en-GB"/>
        </w:rPr>
        <w:t> is being implemented by Asia Pacific Coalition on Male Sexual Health (APCOM), and the Asian Development Bank and the pr</w:t>
      </w:r>
      <w:bookmarkStart w:id="0" w:name="_GoBack"/>
      <w:bookmarkEnd w:id="0"/>
      <w:r w:rsidR="00F5297E" w:rsidRPr="00444B27">
        <w:rPr>
          <w:rStyle w:val="normaltextrun"/>
          <w:rFonts w:asciiTheme="minorHAnsi" w:hAnsiTheme="minorHAnsi"/>
          <w:lang w:val="en-GB"/>
        </w:rPr>
        <w:t>ivate sector are being engaged towards LGBTQI inclusion. The overarching long-term goal of Finance Inc. is to contribute to improved access of persons of diverse SOGIESC to economic and social services specifically health, education and financial resources and services. It also aims to contribute to increased participation of LGBTQI communities in the conversations aimed towards inclusion in the context of development. </w:t>
      </w:r>
      <w:r w:rsidR="00F5297E" w:rsidRPr="00444B27">
        <w:rPr>
          <w:rStyle w:val="eop"/>
          <w:rFonts w:asciiTheme="minorHAnsi" w:hAnsiTheme="minorHAnsi"/>
        </w:rPr>
        <w:t> </w:t>
      </w:r>
    </w:p>
    <w:p w14:paraId="67C14672" w14:textId="5581B77A" w:rsidR="00751982" w:rsidRPr="00444B27" w:rsidRDefault="00F5297E" w:rsidP="00444B27">
      <w:pPr>
        <w:pStyle w:val="paragraph"/>
        <w:numPr>
          <w:ilvl w:val="0"/>
          <w:numId w:val="6"/>
        </w:numPr>
        <w:spacing w:before="0" w:beforeAutospacing="0" w:after="0" w:afterAutospacing="0"/>
        <w:textAlignment w:val="baseline"/>
        <w:rPr>
          <w:rFonts w:asciiTheme="minorHAnsi" w:hAnsiTheme="minorHAnsi"/>
        </w:rPr>
      </w:pPr>
      <w:r w:rsidRPr="00444B27">
        <w:rPr>
          <w:rStyle w:val="normaltextrun"/>
          <w:rFonts w:asciiTheme="minorHAnsi" w:hAnsiTheme="minorHAnsi"/>
          <w:lang w:val="en-GB"/>
        </w:rPr>
        <w:t>The ‘Pride in Humanitarian System’ consultation was organized by APCOM, APTN, ASC, Edge Effect, IPPF and </w:t>
      </w:r>
      <w:r w:rsidRPr="00444B27">
        <w:rPr>
          <w:rStyle w:val="spellingerror"/>
          <w:rFonts w:asciiTheme="minorHAnsi" w:hAnsiTheme="minorHAnsi"/>
          <w:lang w:val="en-GB"/>
        </w:rPr>
        <w:t>UN Women</w:t>
      </w:r>
      <w:r w:rsidRPr="00444B27">
        <w:rPr>
          <w:rStyle w:val="normaltextrun"/>
          <w:rFonts w:asciiTheme="minorHAnsi" w:hAnsiTheme="minorHAnsi"/>
          <w:lang w:val="en-GB"/>
        </w:rPr>
        <w:t> in June 2018. The consultation brought together 120 participants representing diverse SOGIESC communities, civil society organization working on SOGIESC issues, and other stakeholders in the humanitarian system. The resulting call to action</w:t>
      </w:r>
      <w:r w:rsidR="006E2D27" w:rsidRPr="00444B27">
        <w:rPr>
          <w:rStyle w:val="FootnoteReference"/>
          <w:rFonts w:asciiTheme="minorHAnsi" w:hAnsiTheme="minorHAnsi"/>
          <w:lang w:val="en-GB"/>
        </w:rPr>
        <w:footnoteReference w:id="18"/>
      </w:r>
      <w:r w:rsidR="006E2D27" w:rsidRPr="00444B27">
        <w:rPr>
          <w:rStyle w:val="scxw143172123"/>
          <w:rFonts w:asciiTheme="minorHAnsi" w:hAnsiTheme="minorHAnsi"/>
          <w:lang w:val="en-GB"/>
        </w:rPr>
        <w:t xml:space="preserve"> </w:t>
      </w:r>
      <w:r w:rsidRPr="00444B27">
        <w:rPr>
          <w:rStyle w:val="normaltextrun"/>
          <w:rFonts w:asciiTheme="minorHAnsi" w:hAnsiTheme="minorHAnsi"/>
          <w:lang w:val="en-GB"/>
        </w:rPr>
        <w:t xml:space="preserve">included the call for meaningful engagement and inclusion of </w:t>
      </w:r>
      <w:r w:rsidRPr="00444B27">
        <w:rPr>
          <w:rStyle w:val="normaltextrun"/>
          <w:rFonts w:asciiTheme="minorHAnsi" w:hAnsiTheme="minorHAnsi"/>
          <w:lang w:val="en-GB"/>
        </w:rPr>
        <w:lastRenderedPageBreak/>
        <w:t>people of diverse SOGIESC in all aspects of humanitarian action and disaster risk reduction actions across the Asia-Pacific.</w:t>
      </w:r>
      <w:r w:rsidRPr="00444B27">
        <w:rPr>
          <w:rStyle w:val="eop"/>
          <w:rFonts w:asciiTheme="minorHAnsi" w:hAnsiTheme="minorHAnsi"/>
        </w:rPr>
        <w:t> </w:t>
      </w:r>
    </w:p>
    <w:p w14:paraId="01C8756B" w14:textId="77777777" w:rsidR="00A671EC" w:rsidRPr="00751982" w:rsidRDefault="00A671EC" w:rsidP="001044B7">
      <w:pPr>
        <w:spacing w:after="120"/>
        <w:rPr>
          <w:rFonts w:asciiTheme="minorHAnsi" w:hAnsiTheme="minorHAnsi"/>
          <w:sz w:val="22"/>
          <w:szCs w:val="22"/>
        </w:rPr>
      </w:pPr>
    </w:p>
    <w:p w14:paraId="674E7B7B" w14:textId="77777777" w:rsidR="00A671EC" w:rsidRPr="00751982" w:rsidRDefault="00A671EC" w:rsidP="001044B7">
      <w:pPr>
        <w:spacing w:after="120"/>
        <w:rPr>
          <w:rFonts w:asciiTheme="minorHAnsi" w:hAnsiTheme="minorHAnsi"/>
          <w:sz w:val="22"/>
          <w:szCs w:val="22"/>
        </w:rPr>
      </w:pPr>
    </w:p>
    <w:p w14:paraId="3EA15F8D" w14:textId="77777777" w:rsidR="00DE0EA9" w:rsidRPr="00751982" w:rsidRDefault="00DE0EA9" w:rsidP="001044B7">
      <w:pPr>
        <w:spacing w:after="120"/>
        <w:rPr>
          <w:rFonts w:asciiTheme="minorHAnsi" w:hAnsiTheme="minorHAnsi"/>
          <w:sz w:val="22"/>
          <w:szCs w:val="22"/>
        </w:rPr>
      </w:pPr>
    </w:p>
    <w:p w14:paraId="4FDB7F8F" w14:textId="77777777" w:rsidR="00DE0EA9" w:rsidRPr="00751982" w:rsidRDefault="00DE0EA9" w:rsidP="001044B7">
      <w:pPr>
        <w:spacing w:after="120"/>
        <w:rPr>
          <w:rFonts w:asciiTheme="minorHAnsi" w:hAnsiTheme="minorHAnsi"/>
          <w:sz w:val="22"/>
          <w:szCs w:val="22"/>
        </w:rPr>
      </w:pPr>
    </w:p>
    <w:p w14:paraId="32B97AE6" w14:textId="77777777" w:rsidR="00DE0EA9" w:rsidRPr="00751982" w:rsidRDefault="00DE0EA9" w:rsidP="001044B7">
      <w:pPr>
        <w:spacing w:after="120"/>
        <w:rPr>
          <w:rFonts w:asciiTheme="minorHAnsi" w:hAnsiTheme="minorHAnsi"/>
          <w:sz w:val="22"/>
          <w:szCs w:val="22"/>
        </w:rPr>
      </w:pPr>
    </w:p>
    <w:p w14:paraId="6866D9DE" w14:textId="1E8B07BD" w:rsidR="001044B7" w:rsidRDefault="001044B7" w:rsidP="00A40074">
      <w:pPr>
        <w:spacing w:after="120"/>
      </w:pPr>
    </w:p>
    <w:p w14:paraId="51114A1C" w14:textId="77777777" w:rsidR="00D179FE" w:rsidRDefault="00D179FE" w:rsidP="00A003CC"/>
    <w:p w14:paraId="7B8728F9" w14:textId="77777777" w:rsidR="001D5CE0" w:rsidRDefault="001D5CE0" w:rsidP="001D5CE0">
      <w:pPr>
        <w:rPr>
          <w:rFonts w:eastAsia="Times New Roman"/>
        </w:rPr>
      </w:pPr>
    </w:p>
    <w:p w14:paraId="7D86C94F" w14:textId="77777777" w:rsidR="00943F97" w:rsidRDefault="00943F97" w:rsidP="00720685">
      <w:pPr>
        <w:rPr>
          <w:color w:val="FF0000"/>
        </w:rPr>
      </w:pPr>
    </w:p>
    <w:p w14:paraId="0D5CF234" w14:textId="77777777" w:rsidR="00DE0EA9" w:rsidRPr="00423E98" w:rsidRDefault="00DE0EA9" w:rsidP="00A003CC">
      <w:pPr>
        <w:rPr>
          <w:color w:val="FF0000"/>
        </w:rPr>
      </w:pPr>
    </w:p>
    <w:sectPr w:rsidR="00DE0EA9" w:rsidRPr="00423E9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1CFBA" w14:textId="77777777" w:rsidR="00A70EA3" w:rsidRDefault="00A70EA3" w:rsidP="00E74788">
      <w:r>
        <w:separator/>
      </w:r>
    </w:p>
  </w:endnote>
  <w:endnote w:type="continuationSeparator" w:id="0">
    <w:p w14:paraId="0ED5A620" w14:textId="77777777" w:rsidR="00A70EA3" w:rsidRDefault="00A70EA3" w:rsidP="00E7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765F1" w14:textId="77777777" w:rsidR="00A70EA3" w:rsidRDefault="00A70EA3" w:rsidP="00E74788">
      <w:r>
        <w:separator/>
      </w:r>
    </w:p>
  </w:footnote>
  <w:footnote w:type="continuationSeparator" w:id="0">
    <w:p w14:paraId="2DE4BB1A" w14:textId="77777777" w:rsidR="00A70EA3" w:rsidRDefault="00A70EA3" w:rsidP="00E74788">
      <w:r>
        <w:continuationSeparator/>
      </w:r>
    </w:p>
  </w:footnote>
  <w:footnote w:id="1">
    <w:p w14:paraId="0F3066A4" w14:textId="100681D3" w:rsidR="00615D0E" w:rsidRPr="00F5297E" w:rsidRDefault="00615D0E">
      <w:pPr>
        <w:pStyle w:val="FootnoteText"/>
        <w:rPr>
          <w:szCs w:val="20"/>
          <w:lang w:val="en-US"/>
        </w:rPr>
      </w:pPr>
      <w:r>
        <w:rPr>
          <w:rStyle w:val="FootnoteReference"/>
        </w:rPr>
        <w:footnoteRef/>
      </w:r>
      <w:r>
        <w:t xml:space="preserve"> </w:t>
      </w:r>
      <w:r w:rsidRPr="00F5297E">
        <w:rPr>
          <w:szCs w:val="20"/>
        </w:rPr>
        <w:t>2013 Asia Pacific Ministerial Declaration on Population and Development, para</w:t>
      </w:r>
      <w:r w:rsidR="002D3891" w:rsidRPr="00F5297E">
        <w:rPr>
          <w:szCs w:val="20"/>
        </w:rPr>
        <w:t xml:space="preserve"> 8</w:t>
      </w:r>
      <w:r w:rsidRPr="00F5297E">
        <w:rPr>
          <w:szCs w:val="20"/>
        </w:rPr>
        <w:t xml:space="preserve">. </w:t>
      </w:r>
    </w:p>
  </w:footnote>
  <w:footnote w:id="2">
    <w:p w14:paraId="3742851D" w14:textId="42E6006A" w:rsidR="00615D0E" w:rsidRPr="00F5297E" w:rsidRDefault="00615D0E">
      <w:pPr>
        <w:pStyle w:val="FootnoteText"/>
        <w:rPr>
          <w:szCs w:val="20"/>
          <w:lang w:val="en-US"/>
        </w:rPr>
      </w:pPr>
      <w:r w:rsidRPr="00F5297E">
        <w:rPr>
          <w:rStyle w:val="FootnoteReference"/>
          <w:szCs w:val="20"/>
        </w:rPr>
        <w:footnoteRef/>
      </w:r>
      <w:r w:rsidRPr="00F5297E">
        <w:rPr>
          <w:szCs w:val="20"/>
        </w:rPr>
        <w:t xml:space="preserve"> 2013 Asia Pacific Ministerial Declaration on Population and Development, para 84</w:t>
      </w:r>
    </w:p>
  </w:footnote>
  <w:footnote w:id="3">
    <w:p w14:paraId="7906007E" w14:textId="3FE937E4" w:rsidR="00F5727E" w:rsidRPr="00F5297E" w:rsidRDefault="00F5727E" w:rsidP="00F5727E">
      <w:pPr>
        <w:rPr>
          <w:rFonts w:asciiTheme="minorHAnsi" w:eastAsia="Times New Roman" w:hAnsiTheme="minorHAnsi"/>
          <w:sz w:val="20"/>
          <w:szCs w:val="20"/>
        </w:rPr>
      </w:pPr>
      <w:r w:rsidRPr="00F5297E">
        <w:rPr>
          <w:rStyle w:val="FootnoteReference"/>
          <w:rFonts w:asciiTheme="minorHAnsi" w:hAnsiTheme="minorHAnsi"/>
          <w:sz w:val="20"/>
          <w:szCs w:val="20"/>
        </w:rPr>
        <w:footnoteRef/>
      </w:r>
      <w:r w:rsidRPr="00F5297E">
        <w:rPr>
          <w:rFonts w:asciiTheme="minorHAnsi" w:hAnsiTheme="minorHAnsi"/>
          <w:sz w:val="20"/>
          <w:szCs w:val="20"/>
        </w:rPr>
        <w:t xml:space="preserve"> 2017 Asia Pacific Roadmap to Implementing the 2030 Agenda for Sustainable Development in Asia </w:t>
      </w:r>
      <w:proofErr w:type="gramStart"/>
      <w:r w:rsidRPr="00F5297E">
        <w:rPr>
          <w:rFonts w:asciiTheme="minorHAnsi" w:hAnsiTheme="minorHAnsi"/>
          <w:sz w:val="20"/>
          <w:szCs w:val="20"/>
        </w:rPr>
        <w:t>Pacific,  p.</w:t>
      </w:r>
      <w:proofErr w:type="gramEnd"/>
      <w:r w:rsidRPr="00F5297E">
        <w:rPr>
          <w:rFonts w:asciiTheme="minorHAnsi" w:hAnsiTheme="minorHAnsi"/>
          <w:sz w:val="20"/>
          <w:szCs w:val="20"/>
        </w:rPr>
        <w:t xml:space="preserve">13. see: </w:t>
      </w:r>
      <w:hyperlink r:id="rId1" w:history="1">
        <w:r w:rsidRPr="00F5297E">
          <w:rPr>
            <w:rStyle w:val="Hyperlink"/>
            <w:rFonts w:asciiTheme="minorHAnsi" w:eastAsia="Times New Roman" w:hAnsiTheme="minorHAnsi"/>
            <w:sz w:val="20"/>
            <w:szCs w:val="20"/>
          </w:rPr>
          <w:t>https://www.unescap.org/sites/default/files/publications/SDGs-Regional-Roadmap.pdf</w:t>
        </w:r>
      </w:hyperlink>
    </w:p>
  </w:footnote>
  <w:footnote w:id="4">
    <w:p w14:paraId="21A0BEDD" w14:textId="5DD2BA02" w:rsidR="00B40836" w:rsidRPr="00F5297E" w:rsidRDefault="00B40836">
      <w:pPr>
        <w:pStyle w:val="FootnoteText"/>
        <w:rPr>
          <w:szCs w:val="20"/>
          <w:lang w:val="en-US"/>
        </w:rPr>
      </w:pPr>
      <w:r w:rsidRPr="00F5297E">
        <w:rPr>
          <w:rStyle w:val="FootnoteReference"/>
          <w:szCs w:val="20"/>
        </w:rPr>
        <w:footnoteRef/>
      </w:r>
      <w:r w:rsidRPr="00F5297E">
        <w:rPr>
          <w:szCs w:val="20"/>
        </w:rPr>
        <w:t xml:space="preserve"> Report of the Midterm Review of the Asia Pacific Ministerial Declaration, Annex 1 Chair’s Summary, para 3. </w:t>
      </w:r>
    </w:p>
  </w:footnote>
  <w:footnote w:id="5">
    <w:p w14:paraId="08A223CA" w14:textId="47EF955C" w:rsidR="00AC4EF5" w:rsidRPr="00F5297E" w:rsidRDefault="00AC4EF5">
      <w:pPr>
        <w:pStyle w:val="FootnoteText"/>
        <w:rPr>
          <w:szCs w:val="20"/>
          <w:lang w:val="en-US"/>
        </w:rPr>
      </w:pPr>
      <w:r w:rsidRPr="00F5297E">
        <w:rPr>
          <w:rStyle w:val="FootnoteReference"/>
          <w:szCs w:val="20"/>
        </w:rPr>
        <w:footnoteRef/>
      </w:r>
      <w:r w:rsidRPr="00F5297E">
        <w:rPr>
          <w:szCs w:val="20"/>
        </w:rPr>
        <w:t xml:space="preserve"> Report of the Midterm Review of the Asia Pacific Ministerial Declaration, Annex 1 Chair’s Summary, para 9.</w:t>
      </w:r>
    </w:p>
  </w:footnote>
  <w:footnote w:id="6">
    <w:p w14:paraId="47486BC4" w14:textId="4CB28028" w:rsidR="00CC6682" w:rsidRPr="00F5297E" w:rsidRDefault="00CC6682" w:rsidP="0096754D">
      <w:pPr>
        <w:rPr>
          <w:rFonts w:asciiTheme="minorHAnsi" w:eastAsia="Times New Roman" w:hAnsiTheme="minorHAnsi"/>
          <w:sz w:val="20"/>
          <w:szCs w:val="20"/>
        </w:rPr>
      </w:pPr>
      <w:r w:rsidRPr="00F5297E">
        <w:rPr>
          <w:rStyle w:val="FootnoteReference"/>
          <w:rFonts w:asciiTheme="minorHAnsi" w:hAnsiTheme="minorHAnsi"/>
          <w:sz w:val="20"/>
          <w:szCs w:val="20"/>
        </w:rPr>
        <w:footnoteRef/>
      </w:r>
      <w:r w:rsidRPr="00F5297E">
        <w:rPr>
          <w:rFonts w:asciiTheme="minorHAnsi" w:hAnsiTheme="minorHAnsi"/>
          <w:sz w:val="20"/>
          <w:szCs w:val="20"/>
        </w:rPr>
        <w:t xml:space="preserve"> </w:t>
      </w:r>
      <w:r w:rsidRPr="00F5297E">
        <w:rPr>
          <w:rFonts w:asciiTheme="minorHAnsi" w:eastAsia="Times New Roman" w:hAnsiTheme="minorHAnsi"/>
          <w:sz w:val="20"/>
          <w:szCs w:val="20"/>
        </w:rPr>
        <w:t>Discriminatory laws and practices and acts of violence against individuals based on their sexual orientation and gender identity (2011) report of the High Commissioner on Human Rights A/HRC/19/41</w:t>
      </w:r>
    </w:p>
  </w:footnote>
  <w:footnote w:id="7">
    <w:p w14:paraId="617EC2A2" w14:textId="4FE16C37" w:rsidR="0096754D" w:rsidRPr="00444B27" w:rsidRDefault="0096754D" w:rsidP="00444B27">
      <w:pPr>
        <w:pStyle w:val="Heading1"/>
        <w:shd w:val="clear" w:color="auto" w:fill="FFFFFF"/>
        <w:spacing w:before="0" w:beforeAutospacing="0" w:after="0" w:afterAutospacing="0" w:line="270" w:lineRule="atLeast"/>
        <w:rPr>
          <w:rFonts w:asciiTheme="minorHAnsi" w:eastAsia="Times New Roman" w:hAnsiTheme="minorHAnsi"/>
          <w:b w:val="0"/>
          <w:bCs w:val="0"/>
          <w:color w:val="444444"/>
          <w:sz w:val="20"/>
          <w:szCs w:val="20"/>
        </w:rPr>
      </w:pPr>
      <w:r w:rsidRPr="00F5297E">
        <w:rPr>
          <w:rStyle w:val="FootnoteReference"/>
          <w:rFonts w:asciiTheme="minorHAnsi" w:hAnsiTheme="minorHAnsi"/>
          <w:b w:val="0"/>
          <w:sz w:val="20"/>
          <w:szCs w:val="20"/>
        </w:rPr>
        <w:footnoteRef/>
      </w:r>
      <w:r w:rsidRPr="00F5297E">
        <w:rPr>
          <w:rFonts w:asciiTheme="minorHAnsi" w:hAnsiTheme="minorHAnsi"/>
          <w:b w:val="0"/>
          <w:sz w:val="20"/>
          <w:szCs w:val="20"/>
        </w:rPr>
        <w:t xml:space="preserve"> </w:t>
      </w:r>
      <w:r w:rsidR="00444B27">
        <w:rPr>
          <w:rFonts w:asciiTheme="minorHAnsi" w:hAnsiTheme="minorHAnsi"/>
          <w:b w:val="0"/>
          <w:sz w:val="20"/>
          <w:szCs w:val="20"/>
        </w:rPr>
        <w:t xml:space="preserve">For more information see: </w:t>
      </w:r>
      <w:r w:rsidRPr="00F5297E">
        <w:rPr>
          <w:rFonts w:asciiTheme="minorHAnsi" w:hAnsiTheme="minorHAnsi"/>
          <w:b w:val="0"/>
          <w:sz w:val="20"/>
          <w:szCs w:val="20"/>
        </w:rPr>
        <w:t>Hum</w:t>
      </w:r>
      <w:r w:rsidR="00F965FE" w:rsidRPr="00F5297E">
        <w:rPr>
          <w:rFonts w:asciiTheme="minorHAnsi" w:hAnsiTheme="minorHAnsi"/>
          <w:b w:val="0"/>
          <w:sz w:val="20"/>
          <w:szCs w:val="20"/>
        </w:rPr>
        <w:t>an Rights Watch. 20 February 2018.</w:t>
      </w:r>
      <w:r w:rsidRPr="00F5297E">
        <w:rPr>
          <w:rFonts w:asciiTheme="minorHAnsi" w:hAnsiTheme="minorHAnsi"/>
          <w:b w:val="0"/>
          <w:sz w:val="20"/>
          <w:szCs w:val="20"/>
        </w:rPr>
        <w:t xml:space="preserve"> </w:t>
      </w:r>
      <w:r w:rsidRPr="00F5297E">
        <w:rPr>
          <w:rFonts w:asciiTheme="minorHAnsi" w:eastAsia="Times New Roman" w:hAnsiTheme="minorHAnsi"/>
          <w:b w:val="0"/>
          <w:bCs w:val="0"/>
          <w:color w:val="444444"/>
          <w:sz w:val="20"/>
          <w:szCs w:val="20"/>
        </w:rPr>
        <w:t>Indonesia’s anti-LGBT drive should concern all Asia.</w:t>
      </w:r>
      <w:r w:rsidR="00444B27">
        <w:rPr>
          <w:rFonts w:asciiTheme="minorHAnsi" w:eastAsia="Times New Roman" w:hAnsiTheme="minorHAnsi"/>
          <w:b w:val="0"/>
          <w:bCs w:val="0"/>
          <w:color w:val="444444"/>
          <w:sz w:val="20"/>
          <w:szCs w:val="20"/>
        </w:rPr>
        <w:t xml:space="preserve"> </w:t>
      </w:r>
      <w:hyperlink r:id="rId2" w:history="1">
        <w:r w:rsidRPr="00F5297E">
          <w:rPr>
            <w:rStyle w:val="Hyperlink"/>
            <w:rFonts w:asciiTheme="minorHAnsi" w:eastAsia="Times New Roman" w:hAnsiTheme="minorHAnsi"/>
            <w:sz w:val="20"/>
            <w:szCs w:val="20"/>
          </w:rPr>
          <w:t>https://www.hrw.org/news/2018/02/20/indonesias-anti-lgbt-drive-should-concern-all-asia</w:t>
        </w:r>
      </w:hyperlink>
    </w:p>
    <w:p w14:paraId="2CC733C7" w14:textId="2A55DBD0" w:rsidR="0096754D" w:rsidRPr="00F5297E" w:rsidRDefault="0096754D">
      <w:pPr>
        <w:pStyle w:val="FootnoteText"/>
        <w:rPr>
          <w:szCs w:val="20"/>
          <w:lang w:val="en-US"/>
        </w:rPr>
      </w:pPr>
    </w:p>
    <w:p w14:paraId="56FDB97C" w14:textId="77777777" w:rsidR="0096754D" w:rsidRPr="00F5297E" w:rsidRDefault="0096754D">
      <w:pPr>
        <w:pStyle w:val="FootnoteText"/>
        <w:rPr>
          <w:szCs w:val="20"/>
          <w:lang w:val="en-US"/>
        </w:rPr>
      </w:pPr>
    </w:p>
  </w:footnote>
  <w:footnote w:id="8">
    <w:p w14:paraId="06F1CCEF" w14:textId="3EEC7DE2" w:rsidR="008D6021" w:rsidRPr="008D6021" w:rsidRDefault="008D6021" w:rsidP="008D6021">
      <w:pPr>
        <w:rPr>
          <w:rFonts w:eastAsia="Times New Roman"/>
        </w:rPr>
      </w:pPr>
      <w:r w:rsidRPr="008D6021">
        <w:rPr>
          <w:rStyle w:val="FootnoteReference"/>
          <w:rFonts w:asciiTheme="minorHAnsi" w:hAnsiTheme="minorHAnsi"/>
          <w:b/>
          <w:sz w:val="20"/>
          <w:szCs w:val="20"/>
        </w:rPr>
        <w:footnoteRef/>
      </w:r>
      <w:r w:rsidRPr="008D6021">
        <w:rPr>
          <w:rFonts w:asciiTheme="minorHAnsi" w:hAnsiTheme="minorHAnsi"/>
          <w:b/>
          <w:sz w:val="20"/>
          <w:szCs w:val="20"/>
        </w:rPr>
        <w:t xml:space="preserve"> </w:t>
      </w:r>
      <w:r w:rsidRPr="00F5297E">
        <w:rPr>
          <w:rFonts w:asciiTheme="minorHAnsi" w:eastAsia="Times New Roman" w:hAnsiTheme="minorHAnsi"/>
          <w:color w:val="333333"/>
          <w:sz w:val="20"/>
          <w:szCs w:val="20"/>
        </w:rPr>
        <w:t xml:space="preserve">Brunei’s new penal code would enshrine ‘cruel and inhuman punishments’ UN rights chief </w:t>
      </w:r>
      <w:proofErr w:type="gramStart"/>
      <w:r w:rsidRPr="00F5297E">
        <w:rPr>
          <w:rFonts w:asciiTheme="minorHAnsi" w:eastAsia="Times New Roman" w:hAnsiTheme="minorHAnsi"/>
          <w:color w:val="333333"/>
          <w:sz w:val="20"/>
          <w:szCs w:val="20"/>
        </w:rPr>
        <w:t>warns</w:t>
      </w:r>
      <w:r w:rsidR="00F965FE" w:rsidRPr="00F5297E">
        <w:rPr>
          <w:rFonts w:asciiTheme="minorHAnsi" w:eastAsia="Times New Roman" w:hAnsiTheme="minorHAnsi"/>
          <w:color w:val="333333"/>
          <w:sz w:val="20"/>
          <w:szCs w:val="20"/>
        </w:rPr>
        <w:t xml:space="preserve"> .</w:t>
      </w:r>
      <w:proofErr w:type="gramEnd"/>
      <w:r w:rsidR="00F965FE" w:rsidRPr="00F5297E">
        <w:rPr>
          <w:rFonts w:asciiTheme="minorHAnsi" w:eastAsia="Times New Roman" w:hAnsiTheme="minorHAnsi"/>
          <w:color w:val="333333"/>
          <w:sz w:val="20"/>
          <w:szCs w:val="20"/>
        </w:rPr>
        <w:t xml:space="preserve"> April 2019. </w:t>
      </w:r>
      <w:r w:rsidR="008C5343" w:rsidRPr="00F5297E">
        <w:rPr>
          <w:rFonts w:asciiTheme="minorHAnsi" w:eastAsia="Times New Roman" w:hAnsiTheme="minorHAnsi"/>
          <w:color w:val="333333"/>
          <w:sz w:val="20"/>
          <w:szCs w:val="20"/>
        </w:rPr>
        <w:t>See</w:t>
      </w:r>
      <w:r>
        <w:rPr>
          <w:rFonts w:asciiTheme="minorHAnsi" w:eastAsia="Times New Roman" w:hAnsiTheme="minorHAnsi"/>
          <w:b/>
          <w:color w:val="333333"/>
          <w:sz w:val="20"/>
          <w:szCs w:val="20"/>
        </w:rPr>
        <w:t xml:space="preserve">: </w:t>
      </w:r>
      <w:hyperlink r:id="rId3" w:history="1">
        <w:r>
          <w:rPr>
            <w:rStyle w:val="Hyperlink"/>
            <w:rFonts w:eastAsia="Times New Roman"/>
          </w:rPr>
          <w:t>https://news.un.org/en/story/2019/04/1035831</w:t>
        </w:r>
      </w:hyperlink>
    </w:p>
  </w:footnote>
  <w:footnote w:id="9">
    <w:p w14:paraId="4B5274E6" w14:textId="453EF0DB" w:rsidR="007C7F94" w:rsidRPr="008D6021" w:rsidRDefault="007C7F94">
      <w:pPr>
        <w:pStyle w:val="FootnoteText"/>
        <w:rPr>
          <w:szCs w:val="20"/>
          <w:lang w:val="en-US"/>
        </w:rPr>
      </w:pPr>
      <w:r w:rsidRPr="008D6021">
        <w:rPr>
          <w:rStyle w:val="FootnoteReference"/>
          <w:szCs w:val="20"/>
        </w:rPr>
        <w:footnoteRef/>
      </w:r>
      <w:r w:rsidRPr="008D6021">
        <w:rPr>
          <w:szCs w:val="20"/>
        </w:rPr>
        <w:t xml:space="preserve"> </w:t>
      </w:r>
      <w:r w:rsidRPr="008D6021">
        <w:rPr>
          <w:rStyle w:val="normaltextrun"/>
          <w:rFonts w:eastAsia="Times New Roman"/>
          <w:color w:val="000000"/>
          <w:szCs w:val="20"/>
          <w:shd w:val="clear" w:color="auto" w:fill="FFFFFF"/>
          <w:lang w:val="en"/>
        </w:rPr>
        <w:t xml:space="preserve">Human </w:t>
      </w:r>
      <w:r w:rsidRPr="00945CE0">
        <w:rPr>
          <w:rStyle w:val="normaltextrun"/>
          <w:rFonts w:eastAsia="Times New Roman"/>
          <w:color w:val="000000"/>
          <w:szCs w:val="20"/>
          <w:shd w:val="clear" w:color="auto" w:fill="FFFFFF"/>
          <w:lang w:val="en"/>
        </w:rPr>
        <w:t>Rights</w:t>
      </w:r>
      <w:r w:rsidR="00945CE0">
        <w:rPr>
          <w:rStyle w:val="normaltextrun"/>
          <w:rFonts w:eastAsia="Times New Roman"/>
          <w:color w:val="000000"/>
          <w:szCs w:val="20"/>
          <w:shd w:val="clear" w:color="auto" w:fill="FFFFFF"/>
          <w:lang w:val="en"/>
        </w:rPr>
        <w:t xml:space="preserve"> Watch. </w:t>
      </w:r>
      <w:r w:rsidRPr="008D6021">
        <w:rPr>
          <w:rStyle w:val="normaltextrun"/>
          <w:rFonts w:eastAsia="Times New Roman"/>
          <w:color w:val="000000"/>
          <w:szCs w:val="20"/>
          <w:shd w:val="clear" w:color="auto" w:fill="FFFFFF"/>
          <w:lang w:val="en"/>
        </w:rPr>
        <w:t>2014</w:t>
      </w:r>
    </w:p>
  </w:footnote>
  <w:footnote w:id="10">
    <w:p w14:paraId="1DA7ADB4" w14:textId="09E5A29D" w:rsidR="00605B8B" w:rsidRPr="008D6021" w:rsidRDefault="00605B8B" w:rsidP="00605B8B">
      <w:pPr>
        <w:pStyle w:val="FootnoteText"/>
        <w:rPr>
          <w:szCs w:val="20"/>
          <w:lang w:val="en-US"/>
        </w:rPr>
      </w:pPr>
      <w:r w:rsidRPr="008D6021">
        <w:rPr>
          <w:rStyle w:val="FootnoteReference"/>
          <w:szCs w:val="20"/>
        </w:rPr>
        <w:footnoteRef/>
      </w:r>
      <w:r w:rsidRPr="008D6021">
        <w:rPr>
          <w:szCs w:val="20"/>
        </w:rPr>
        <w:t xml:space="preserve"> </w:t>
      </w:r>
      <w:r w:rsidR="00F965FE">
        <w:rPr>
          <w:rFonts w:eastAsia="Times New Roman"/>
          <w:szCs w:val="20"/>
        </w:rPr>
        <w:t xml:space="preserve">WHO. 2015. </w:t>
      </w:r>
      <w:r w:rsidRPr="008D6021">
        <w:rPr>
          <w:rFonts w:eastAsia="Times New Roman"/>
          <w:szCs w:val="20"/>
        </w:rPr>
        <w:t xml:space="preserve">Sexual Health, Human </w:t>
      </w:r>
      <w:r>
        <w:rPr>
          <w:rFonts w:eastAsia="Times New Roman"/>
          <w:szCs w:val="20"/>
        </w:rPr>
        <w:t>Rights and the Law</w:t>
      </w:r>
      <w:r w:rsidRPr="008D6021">
        <w:rPr>
          <w:rFonts w:eastAsia="Times New Roman"/>
          <w:szCs w:val="20"/>
        </w:rPr>
        <w:t xml:space="preserve">, p. 23  </w:t>
      </w:r>
    </w:p>
  </w:footnote>
  <w:footnote w:id="11">
    <w:p w14:paraId="788D5B1E" w14:textId="1BD6AC3D" w:rsidR="00BA509B" w:rsidRPr="00742612" w:rsidRDefault="00BA509B" w:rsidP="00742612">
      <w:pPr>
        <w:rPr>
          <w:rFonts w:eastAsia="Times New Roman"/>
        </w:rPr>
      </w:pPr>
      <w:r>
        <w:rPr>
          <w:rStyle w:val="FootnoteReference"/>
        </w:rPr>
        <w:footnoteRef/>
      </w:r>
      <w:r>
        <w:t xml:space="preserve"> </w:t>
      </w:r>
      <w:r w:rsidR="008B3E79" w:rsidRPr="004D0C6F">
        <w:rPr>
          <w:sz w:val="20"/>
          <w:szCs w:val="20"/>
        </w:rPr>
        <w:t>UNDP</w:t>
      </w:r>
      <w:r w:rsidR="00F965FE">
        <w:rPr>
          <w:sz w:val="20"/>
          <w:szCs w:val="20"/>
        </w:rPr>
        <w:t>. 2015.</w:t>
      </w:r>
      <w:r w:rsidRPr="004D0C6F">
        <w:rPr>
          <w:sz w:val="20"/>
          <w:szCs w:val="20"/>
        </w:rPr>
        <w:t xml:space="preserve"> </w:t>
      </w:r>
      <w:r w:rsidR="004D0C6F" w:rsidRPr="004D0C6F">
        <w:rPr>
          <w:rFonts w:eastAsia="Times New Roman"/>
          <w:sz w:val="20"/>
          <w:szCs w:val="20"/>
        </w:rPr>
        <w:t>Leave no one behind Advancing social, economic, cultural and political inclusion of LGBTI people in Asia and the Pacific</w:t>
      </w:r>
      <w:r w:rsidR="004D0C6F">
        <w:rPr>
          <w:rFonts w:eastAsia="Times New Roman"/>
          <w:sz w:val="20"/>
          <w:szCs w:val="20"/>
        </w:rPr>
        <w:t xml:space="preserve">. See: </w:t>
      </w:r>
      <w:hyperlink r:id="rId4" w:history="1">
        <w:r w:rsidR="004D0C6F">
          <w:rPr>
            <w:rStyle w:val="Hyperlink"/>
            <w:rFonts w:eastAsia="Times New Roman"/>
          </w:rPr>
          <w:t>https://www.undp.org/content/dam/rbap/docs/Research%20&amp;%20Publications/hiv_aids/rbap-hhd-2015-leave-no-one-behind.pdf</w:t>
        </w:r>
      </w:hyperlink>
    </w:p>
  </w:footnote>
  <w:footnote w:id="12">
    <w:p w14:paraId="40704B1F" w14:textId="72069635" w:rsidR="00B65BF9" w:rsidRPr="00DE0EA9" w:rsidRDefault="00B65BF9" w:rsidP="00DE0EA9">
      <w:pPr>
        <w:rPr>
          <w:rFonts w:eastAsia="Times New Roman"/>
        </w:rPr>
      </w:pPr>
      <w:r>
        <w:rPr>
          <w:rStyle w:val="FootnoteReference"/>
        </w:rPr>
        <w:footnoteRef/>
      </w:r>
      <w:r>
        <w:t xml:space="preserve"> </w:t>
      </w:r>
      <w:proofErr w:type="spellStart"/>
      <w:r>
        <w:rPr>
          <w:rStyle w:val="normaltextrun"/>
          <w:rFonts w:ascii="Arial" w:eastAsia="Times New Roman" w:hAnsi="Arial" w:cs="Arial"/>
          <w:color w:val="000000"/>
          <w:sz w:val="18"/>
          <w:szCs w:val="18"/>
          <w:shd w:val="clear" w:color="auto" w:fill="FFFFFF"/>
          <w:lang w:val="en"/>
        </w:rPr>
        <w:t>Poteat</w:t>
      </w:r>
      <w:proofErr w:type="spellEnd"/>
      <w:r>
        <w:rPr>
          <w:rStyle w:val="normaltextrun"/>
          <w:rFonts w:ascii="Arial" w:eastAsia="Times New Roman" w:hAnsi="Arial" w:cs="Arial"/>
          <w:i/>
          <w:iCs/>
          <w:color w:val="000000"/>
          <w:sz w:val="18"/>
          <w:szCs w:val="18"/>
          <w:shd w:val="clear" w:color="auto" w:fill="FFFFFF"/>
          <w:lang w:val="en"/>
        </w:rPr>
        <w:t> et al</w:t>
      </w:r>
      <w:r w:rsidR="00F965FE">
        <w:rPr>
          <w:rStyle w:val="normaltextrun"/>
          <w:rFonts w:ascii="Arial" w:eastAsia="Times New Roman" w:hAnsi="Arial" w:cs="Arial"/>
          <w:color w:val="000000"/>
          <w:sz w:val="18"/>
          <w:szCs w:val="18"/>
          <w:shd w:val="clear" w:color="auto" w:fill="FFFFFF"/>
          <w:lang w:val="en"/>
        </w:rPr>
        <w:t xml:space="preserve">. </w:t>
      </w:r>
      <w:r w:rsidR="00DE0EA9">
        <w:rPr>
          <w:rStyle w:val="normaltextrun"/>
          <w:rFonts w:ascii="Arial" w:eastAsia="Times New Roman" w:hAnsi="Arial" w:cs="Arial"/>
          <w:color w:val="000000"/>
          <w:sz w:val="18"/>
          <w:szCs w:val="18"/>
          <w:shd w:val="clear" w:color="auto" w:fill="FFFFFF"/>
          <w:lang w:val="en"/>
        </w:rPr>
        <w:t>2</w:t>
      </w:r>
      <w:r w:rsidR="00F965FE">
        <w:rPr>
          <w:rStyle w:val="normaltextrun"/>
          <w:rFonts w:ascii="Arial" w:eastAsia="Times New Roman" w:hAnsi="Arial" w:cs="Arial"/>
          <w:color w:val="000000"/>
          <w:sz w:val="18"/>
          <w:szCs w:val="18"/>
          <w:shd w:val="clear" w:color="auto" w:fill="FFFFFF"/>
          <w:lang w:val="en"/>
        </w:rPr>
        <w:t>015.</w:t>
      </w:r>
      <w:r w:rsidR="00DE0EA9">
        <w:rPr>
          <w:rStyle w:val="normaltextrun"/>
          <w:rFonts w:ascii="Arial" w:eastAsia="Times New Roman" w:hAnsi="Arial" w:cs="Arial"/>
          <w:color w:val="000000"/>
          <w:sz w:val="18"/>
          <w:szCs w:val="18"/>
          <w:shd w:val="clear" w:color="auto" w:fill="FFFFFF"/>
          <w:lang w:val="en"/>
        </w:rPr>
        <w:t xml:space="preserve"> </w:t>
      </w:r>
      <w:r>
        <w:rPr>
          <w:rStyle w:val="normaltextrun"/>
          <w:rFonts w:ascii="Arial" w:eastAsia="Times New Roman" w:hAnsi="Arial" w:cs="Arial"/>
          <w:color w:val="000000"/>
          <w:sz w:val="18"/>
          <w:szCs w:val="18"/>
          <w:shd w:val="clear" w:color="auto" w:fill="FFFFFF"/>
          <w:lang w:val="en"/>
        </w:rPr>
        <w:t>HIV risk and preventive interventions in tra</w:t>
      </w:r>
      <w:r w:rsidR="00DE0EA9">
        <w:rPr>
          <w:rStyle w:val="normaltextrun"/>
          <w:rFonts w:ascii="Arial" w:eastAsia="Times New Roman" w:hAnsi="Arial" w:cs="Arial"/>
          <w:color w:val="000000"/>
          <w:sz w:val="18"/>
          <w:szCs w:val="18"/>
          <w:shd w:val="clear" w:color="auto" w:fill="FFFFFF"/>
          <w:lang w:val="en"/>
        </w:rPr>
        <w:t>nsgender women sex workers</w:t>
      </w:r>
      <w:r>
        <w:rPr>
          <w:rStyle w:val="normaltextrun"/>
          <w:rFonts w:ascii="Arial" w:eastAsia="Times New Roman" w:hAnsi="Arial" w:cs="Arial"/>
          <w:color w:val="000000"/>
          <w:sz w:val="18"/>
          <w:szCs w:val="18"/>
          <w:shd w:val="clear" w:color="auto" w:fill="FFFFFF"/>
          <w:lang w:val="en"/>
        </w:rPr>
        <w:t>. See: </w:t>
      </w:r>
      <w:hyperlink r:id="rId5" w:tgtFrame="_blank" w:history="1">
        <w:r>
          <w:rPr>
            <w:rStyle w:val="normaltextrun"/>
            <w:rFonts w:ascii="Arial" w:eastAsia="Times New Roman" w:hAnsi="Arial" w:cs="Arial"/>
            <w:color w:val="1155CC"/>
            <w:sz w:val="18"/>
            <w:szCs w:val="18"/>
            <w:u w:val="single"/>
            <w:shd w:val="clear" w:color="auto" w:fill="FFFFFF"/>
            <w:lang w:val="en"/>
          </w:rPr>
          <w:t>https://www.ncbi.nlm.nih.gov/pubmed/25059941</w:t>
        </w:r>
      </w:hyperlink>
      <w:r>
        <w:rPr>
          <w:rStyle w:val="eop"/>
          <w:rFonts w:ascii="Arial" w:eastAsia="Times New Roman" w:hAnsi="Arial" w:cs="Arial"/>
          <w:color w:val="000000"/>
          <w:sz w:val="18"/>
          <w:szCs w:val="18"/>
          <w:shd w:val="clear" w:color="auto" w:fill="FFFFFF"/>
        </w:rPr>
        <w:t> </w:t>
      </w:r>
    </w:p>
  </w:footnote>
  <w:footnote w:id="13">
    <w:p w14:paraId="1501AEEA" w14:textId="4A5D7DC8" w:rsidR="00DE0EA9" w:rsidRPr="00DE0EA9" w:rsidRDefault="00DE0EA9" w:rsidP="00DE0EA9">
      <w:pPr>
        <w:rPr>
          <w:rFonts w:eastAsia="Times New Roman"/>
        </w:rPr>
      </w:pPr>
      <w:r w:rsidRPr="00DE0EA9">
        <w:rPr>
          <w:rStyle w:val="FootnoteReference"/>
          <w:rFonts w:asciiTheme="minorHAnsi" w:hAnsiTheme="minorHAnsi"/>
          <w:sz w:val="20"/>
          <w:szCs w:val="20"/>
        </w:rPr>
        <w:footnoteRef/>
      </w:r>
      <w:r w:rsidR="00F965FE">
        <w:rPr>
          <w:rFonts w:asciiTheme="minorHAnsi" w:hAnsiTheme="minorHAnsi"/>
          <w:sz w:val="20"/>
          <w:szCs w:val="20"/>
        </w:rPr>
        <w:t xml:space="preserve"> Asia Catalyst. 2015. “</w:t>
      </w:r>
      <w:r w:rsidRPr="00DE0EA9">
        <w:rPr>
          <w:rFonts w:asciiTheme="minorHAnsi" w:eastAsia="Times New Roman" w:hAnsiTheme="minorHAnsi"/>
          <w:sz w:val="20"/>
          <w:szCs w:val="20"/>
        </w:rPr>
        <w:t>MY LIFE IS TOO DARK TO SEE THE LIGHT” A Survey of the Living Conditions of Transgender Female Sex Workers in Beijing and Shanghai</w:t>
      </w:r>
      <w:r>
        <w:rPr>
          <w:rFonts w:asciiTheme="minorHAnsi" w:eastAsia="Times New Roman" w:hAnsiTheme="minorHAnsi"/>
          <w:sz w:val="20"/>
          <w:szCs w:val="20"/>
        </w:rPr>
        <w:t xml:space="preserve">. See: </w:t>
      </w:r>
      <w:hyperlink r:id="rId6" w:history="1">
        <w:r>
          <w:rPr>
            <w:rStyle w:val="Hyperlink"/>
            <w:rFonts w:eastAsia="Times New Roman"/>
          </w:rPr>
          <w:t>https://asiacatalyst.org/wp-content/uploads/2014/09/Asia-Catalyst-TG-SW-Report.pdf</w:t>
        </w:r>
      </w:hyperlink>
    </w:p>
  </w:footnote>
  <w:footnote w:id="14">
    <w:p w14:paraId="263D0251" w14:textId="0A698395" w:rsidR="004D410C" w:rsidRPr="000B2AE6" w:rsidRDefault="004D410C" w:rsidP="004D410C">
      <w:pPr>
        <w:rPr>
          <w:rFonts w:asciiTheme="minorHAnsi" w:eastAsia="Times New Roman" w:hAnsiTheme="minorHAnsi"/>
          <w:sz w:val="20"/>
          <w:szCs w:val="20"/>
        </w:rPr>
      </w:pPr>
      <w:r w:rsidRPr="000B2AE6">
        <w:rPr>
          <w:rStyle w:val="FootnoteReference"/>
          <w:rFonts w:asciiTheme="minorHAnsi" w:hAnsiTheme="minorHAnsi"/>
          <w:sz w:val="20"/>
          <w:szCs w:val="20"/>
        </w:rPr>
        <w:footnoteRef/>
      </w:r>
      <w:r w:rsidRPr="000B2AE6">
        <w:rPr>
          <w:rFonts w:asciiTheme="minorHAnsi" w:hAnsiTheme="minorHAnsi"/>
          <w:sz w:val="20"/>
          <w:szCs w:val="20"/>
        </w:rPr>
        <w:t xml:space="preserve"> </w:t>
      </w:r>
      <w:hyperlink r:id="rId7" w:history="1">
        <w:r w:rsidRPr="000B2AE6">
          <w:rPr>
            <w:rStyle w:val="Hyperlink"/>
            <w:rFonts w:asciiTheme="minorHAnsi" w:eastAsia="Times New Roman" w:hAnsiTheme="minorHAnsi"/>
            <w:sz w:val="20"/>
            <w:szCs w:val="20"/>
          </w:rPr>
          <w:t>https://www.bbc.com/news/world-asia-india-45429664</w:t>
        </w:r>
      </w:hyperlink>
    </w:p>
  </w:footnote>
  <w:footnote w:id="15">
    <w:p w14:paraId="21956E8E" w14:textId="3601CB94" w:rsidR="00697C39" w:rsidRPr="000B2AE6" w:rsidRDefault="00697C39" w:rsidP="00F5297E">
      <w:pPr>
        <w:rPr>
          <w:rFonts w:asciiTheme="minorHAnsi" w:eastAsia="Times New Roman" w:hAnsiTheme="minorHAnsi"/>
          <w:sz w:val="20"/>
          <w:szCs w:val="20"/>
        </w:rPr>
      </w:pPr>
      <w:r w:rsidRPr="000B2AE6">
        <w:rPr>
          <w:rStyle w:val="FootnoteReference"/>
          <w:rFonts w:asciiTheme="minorHAnsi" w:hAnsiTheme="minorHAnsi"/>
          <w:sz w:val="20"/>
          <w:szCs w:val="20"/>
        </w:rPr>
        <w:footnoteRef/>
      </w:r>
      <w:r w:rsidR="00DE0EA9" w:rsidRPr="000B2AE6">
        <w:rPr>
          <w:rFonts w:asciiTheme="minorHAnsi" w:hAnsiTheme="minorHAnsi"/>
          <w:sz w:val="20"/>
          <w:szCs w:val="20"/>
        </w:rPr>
        <w:t xml:space="preserve"> S</w:t>
      </w:r>
      <w:r w:rsidRPr="000B2AE6">
        <w:rPr>
          <w:rFonts w:asciiTheme="minorHAnsi" w:hAnsiTheme="minorHAnsi"/>
          <w:sz w:val="20"/>
          <w:szCs w:val="20"/>
        </w:rPr>
        <w:t xml:space="preserve">ee: </w:t>
      </w:r>
      <w:hyperlink r:id="rId8" w:history="1">
        <w:r w:rsidRPr="000B2AE6">
          <w:rPr>
            <w:rStyle w:val="Hyperlink"/>
            <w:rFonts w:asciiTheme="minorHAnsi" w:eastAsia="Times New Roman" w:hAnsiTheme="minorHAnsi"/>
            <w:sz w:val="20"/>
            <w:szCs w:val="20"/>
          </w:rPr>
          <w:t>https://www.cnn.com/2019/05/17/asia/taiwan-same-sex-marriage-intl/index.html</w:t>
        </w:r>
      </w:hyperlink>
    </w:p>
  </w:footnote>
  <w:footnote w:id="16">
    <w:p w14:paraId="04119DED" w14:textId="396E95C5" w:rsidR="00572610" w:rsidRPr="000B2AE6" w:rsidRDefault="00572610" w:rsidP="006E2D27">
      <w:pPr>
        <w:rPr>
          <w:rFonts w:asciiTheme="minorHAnsi" w:eastAsia="Times New Roman" w:hAnsiTheme="minorHAnsi"/>
          <w:sz w:val="20"/>
          <w:szCs w:val="20"/>
        </w:rPr>
      </w:pPr>
      <w:r w:rsidRPr="000B2AE6">
        <w:rPr>
          <w:rStyle w:val="FootnoteReference"/>
          <w:rFonts w:asciiTheme="minorHAnsi" w:hAnsiTheme="minorHAnsi"/>
          <w:sz w:val="20"/>
          <w:szCs w:val="20"/>
        </w:rPr>
        <w:footnoteRef/>
      </w:r>
      <w:r w:rsidRPr="000B2AE6">
        <w:rPr>
          <w:rFonts w:asciiTheme="minorHAnsi" w:hAnsiTheme="minorHAnsi"/>
          <w:sz w:val="20"/>
          <w:szCs w:val="20"/>
        </w:rPr>
        <w:t xml:space="preserve"> Asia Pacific Transgender Network (2017) </w:t>
      </w:r>
      <w:r w:rsidRPr="000B2AE6">
        <w:rPr>
          <w:rFonts w:asciiTheme="minorHAnsi" w:eastAsia="Times New Roman" w:hAnsiTheme="minorHAnsi"/>
          <w:color w:val="24262A"/>
          <w:sz w:val="20"/>
          <w:szCs w:val="20"/>
        </w:rPr>
        <w:t xml:space="preserve">Blueprint </w:t>
      </w:r>
      <w:proofErr w:type="gramStart"/>
      <w:r w:rsidRPr="000B2AE6">
        <w:rPr>
          <w:rFonts w:asciiTheme="minorHAnsi" w:eastAsia="Times New Roman" w:hAnsiTheme="minorHAnsi"/>
          <w:color w:val="24262A"/>
          <w:sz w:val="20"/>
          <w:szCs w:val="20"/>
        </w:rPr>
        <w:t>For</w:t>
      </w:r>
      <w:proofErr w:type="gramEnd"/>
      <w:r w:rsidRPr="000B2AE6">
        <w:rPr>
          <w:rFonts w:asciiTheme="minorHAnsi" w:eastAsia="Times New Roman" w:hAnsiTheme="minorHAnsi"/>
          <w:color w:val="24262A"/>
          <w:sz w:val="20"/>
          <w:szCs w:val="20"/>
        </w:rPr>
        <w:t xml:space="preserve"> The Provision Of Comprehensive Care For Trans People</w:t>
      </w:r>
      <w:r w:rsidRPr="000B2AE6">
        <w:rPr>
          <w:rFonts w:asciiTheme="minorHAnsi" w:hAnsiTheme="minorHAnsi"/>
          <w:sz w:val="20"/>
          <w:szCs w:val="20"/>
        </w:rPr>
        <w:t xml:space="preserve">.  See </w:t>
      </w:r>
      <w:hyperlink r:id="rId9" w:history="1">
        <w:r w:rsidRPr="000B2AE6">
          <w:rPr>
            <w:rStyle w:val="Hyperlink"/>
            <w:rFonts w:asciiTheme="minorHAnsi" w:eastAsia="Times New Roman" w:hAnsiTheme="minorHAnsi"/>
            <w:sz w:val="20"/>
            <w:szCs w:val="20"/>
          </w:rPr>
          <w:t>http://www.weareaptn.org/2017/06/01/blueprint-for-the-provision-of-comprehensive-care-for-trans-people/</w:t>
        </w:r>
      </w:hyperlink>
    </w:p>
  </w:footnote>
  <w:footnote w:id="17">
    <w:p w14:paraId="6C04B2D2" w14:textId="465F678A" w:rsidR="000B2AE6" w:rsidRPr="000B2AE6" w:rsidRDefault="000B2AE6" w:rsidP="000B2AE6">
      <w:pPr>
        <w:rPr>
          <w:rFonts w:asciiTheme="minorHAnsi" w:eastAsia="Times New Roman" w:hAnsiTheme="minorHAnsi"/>
          <w:sz w:val="20"/>
          <w:szCs w:val="20"/>
        </w:rPr>
      </w:pPr>
      <w:r w:rsidRPr="000B2AE6">
        <w:rPr>
          <w:rStyle w:val="FootnoteReference"/>
          <w:rFonts w:asciiTheme="minorHAnsi" w:hAnsiTheme="minorHAnsi"/>
          <w:sz w:val="20"/>
          <w:szCs w:val="20"/>
        </w:rPr>
        <w:footnoteRef/>
      </w:r>
      <w:r w:rsidRPr="000B2AE6">
        <w:rPr>
          <w:rFonts w:asciiTheme="minorHAnsi" w:hAnsiTheme="minorHAnsi"/>
          <w:sz w:val="20"/>
          <w:szCs w:val="20"/>
        </w:rPr>
        <w:t xml:space="preserve"> see: </w:t>
      </w:r>
      <w:hyperlink r:id="rId10" w:history="1">
        <w:r w:rsidRPr="000B2AE6">
          <w:rPr>
            <w:rStyle w:val="Hyperlink"/>
            <w:rFonts w:asciiTheme="minorHAnsi" w:eastAsia="Times New Roman" w:hAnsiTheme="minorHAnsi"/>
            <w:sz w:val="20"/>
            <w:szCs w:val="20"/>
          </w:rPr>
          <w:t>https://apcom.org/wp-content/uploads/2019/03/Compass-Series-Finance-Inc-rev-27032019_.pdf</w:t>
        </w:r>
      </w:hyperlink>
    </w:p>
  </w:footnote>
  <w:footnote w:id="18">
    <w:p w14:paraId="00017AF7" w14:textId="77777777" w:rsidR="006E2D27" w:rsidRPr="000B2AE6" w:rsidRDefault="006E2D27" w:rsidP="006E2D27">
      <w:pPr>
        <w:rPr>
          <w:rFonts w:asciiTheme="minorHAnsi" w:eastAsia="Times New Roman" w:hAnsiTheme="minorHAnsi"/>
          <w:sz w:val="20"/>
          <w:szCs w:val="20"/>
        </w:rPr>
      </w:pPr>
      <w:r w:rsidRPr="000B2AE6">
        <w:rPr>
          <w:rStyle w:val="FootnoteReference"/>
          <w:rFonts w:asciiTheme="minorHAnsi" w:hAnsiTheme="minorHAnsi"/>
          <w:sz w:val="20"/>
          <w:szCs w:val="20"/>
        </w:rPr>
        <w:footnoteRef/>
      </w:r>
      <w:r w:rsidRPr="000B2AE6">
        <w:rPr>
          <w:rFonts w:asciiTheme="minorHAnsi" w:hAnsiTheme="minorHAnsi"/>
          <w:sz w:val="20"/>
          <w:szCs w:val="20"/>
        </w:rPr>
        <w:t xml:space="preserve"> see: </w:t>
      </w:r>
      <w:hyperlink r:id="rId11" w:history="1">
        <w:r w:rsidRPr="000B2AE6">
          <w:rPr>
            <w:rStyle w:val="Hyperlink"/>
            <w:rFonts w:asciiTheme="minorHAnsi" w:eastAsia="Times New Roman" w:hAnsiTheme="minorHAnsi"/>
            <w:sz w:val="20"/>
            <w:szCs w:val="20"/>
          </w:rPr>
          <w:t>https://apcom.org/2018/07/16/no-longer-left-behind-sogiesc-asia-and-the-pacific-call-for-action-in-the-humanitarian-system/</w:t>
        </w:r>
      </w:hyperlink>
    </w:p>
    <w:p w14:paraId="52112A3F" w14:textId="287746CD" w:rsidR="006E2D27" w:rsidRPr="000B2AE6" w:rsidRDefault="006E2D27">
      <w:pPr>
        <w:pStyle w:val="FootnoteText"/>
        <w:rPr>
          <w:szCs w:val="20"/>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0B0A8" w14:textId="66781BCE" w:rsidR="006C0E78" w:rsidRDefault="006C0E78">
    <w:pPr>
      <w:pStyle w:val="Header"/>
    </w:pPr>
    <w:r>
      <w:rPr>
        <w:noProof/>
        <w:lang w:val="en-US" w:bidi="ar-SA"/>
      </w:rPr>
      <w:drawing>
        <wp:anchor distT="0" distB="0" distL="114300" distR="114300" simplePos="0" relativeHeight="251658240" behindDoc="0" locked="0" layoutInCell="1" allowOverlap="1" wp14:anchorId="50487909" wp14:editId="2A2A7BA4">
          <wp:simplePos x="0" y="0"/>
          <wp:positionH relativeFrom="column">
            <wp:posOffset>4933950</wp:posOffset>
          </wp:positionH>
          <wp:positionV relativeFrom="paragraph">
            <wp:posOffset>-277495</wp:posOffset>
          </wp:positionV>
          <wp:extent cx="1361524" cy="6157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A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361524" cy="615738"/>
                  </a:xfrm>
                  <a:prstGeom prst="rect">
                    <a:avLst/>
                  </a:prstGeom>
                </pic:spPr>
              </pic:pic>
            </a:graphicData>
          </a:graphic>
          <wp14:sizeRelH relativeFrom="margin">
            <wp14:pctWidth>0</wp14:pctWidth>
          </wp14:sizeRelH>
          <wp14:sizeRelV relativeFrom="margin">
            <wp14:pctHeight>0</wp14:pctHeight>
          </wp14:sizeRelV>
        </wp:anchor>
      </w:drawing>
    </w:r>
    <w:r w:rsidR="00E02CDD">
      <w:t xml:space="preserve">31 May 2019 </w:t>
    </w:r>
  </w:p>
  <w:p w14:paraId="21C603D6" w14:textId="77777777" w:rsidR="006C0E78" w:rsidRDefault="006C0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23F8"/>
    <w:multiLevelType w:val="hybridMultilevel"/>
    <w:tmpl w:val="21E4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6673C2"/>
    <w:multiLevelType w:val="hybridMultilevel"/>
    <w:tmpl w:val="F77A9B8A"/>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B869E9"/>
    <w:multiLevelType w:val="multilevel"/>
    <w:tmpl w:val="9C8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FB5B29"/>
    <w:multiLevelType w:val="hybridMultilevel"/>
    <w:tmpl w:val="FE0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94822"/>
    <w:multiLevelType w:val="hybridMultilevel"/>
    <w:tmpl w:val="54B4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F115C5"/>
    <w:multiLevelType w:val="hybridMultilevel"/>
    <w:tmpl w:val="D738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95FA3"/>
    <w:multiLevelType w:val="hybridMultilevel"/>
    <w:tmpl w:val="592A0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8"/>
    <w:rsid w:val="000001FC"/>
    <w:rsid w:val="00025D3F"/>
    <w:rsid w:val="000260C4"/>
    <w:rsid w:val="00031B75"/>
    <w:rsid w:val="00031F58"/>
    <w:rsid w:val="00044D61"/>
    <w:rsid w:val="000471C8"/>
    <w:rsid w:val="000574D2"/>
    <w:rsid w:val="0008326F"/>
    <w:rsid w:val="000978C7"/>
    <w:rsid w:val="000B2AE6"/>
    <w:rsid w:val="000B36A1"/>
    <w:rsid w:val="000B5218"/>
    <w:rsid w:val="000D203E"/>
    <w:rsid w:val="000F6EE8"/>
    <w:rsid w:val="000F76AD"/>
    <w:rsid w:val="00102DF3"/>
    <w:rsid w:val="001044B7"/>
    <w:rsid w:val="0010731E"/>
    <w:rsid w:val="00133AC4"/>
    <w:rsid w:val="001514EF"/>
    <w:rsid w:val="0015646A"/>
    <w:rsid w:val="0016207D"/>
    <w:rsid w:val="001739B7"/>
    <w:rsid w:val="0017704B"/>
    <w:rsid w:val="001A55A2"/>
    <w:rsid w:val="001A6E0F"/>
    <w:rsid w:val="001C79D7"/>
    <w:rsid w:val="001D2878"/>
    <w:rsid w:val="001D4EC5"/>
    <w:rsid w:val="001D5CE0"/>
    <w:rsid w:val="00222FF6"/>
    <w:rsid w:val="0022693C"/>
    <w:rsid w:val="0023637A"/>
    <w:rsid w:val="00237E28"/>
    <w:rsid w:val="002400DC"/>
    <w:rsid w:val="0025316E"/>
    <w:rsid w:val="00253B03"/>
    <w:rsid w:val="00254FC6"/>
    <w:rsid w:val="002837AD"/>
    <w:rsid w:val="00287AD8"/>
    <w:rsid w:val="0029065C"/>
    <w:rsid w:val="002935D3"/>
    <w:rsid w:val="002D3891"/>
    <w:rsid w:val="002E10CA"/>
    <w:rsid w:val="002E6B07"/>
    <w:rsid w:val="00302627"/>
    <w:rsid w:val="00310709"/>
    <w:rsid w:val="00315616"/>
    <w:rsid w:val="0032329D"/>
    <w:rsid w:val="00324EDC"/>
    <w:rsid w:val="00352912"/>
    <w:rsid w:val="00360CF9"/>
    <w:rsid w:val="00364C88"/>
    <w:rsid w:val="00372A63"/>
    <w:rsid w:val="003740BD"/>
    <w:rsid w:val="00383A3D"/>
    <w:rsid w:val="00390D8A"/>
    <w:rsid w:val="003B4A89"/>
    <w:rsid w:val="003B6FE9"/>
    <w:rsid w:val="003C09AA"/>
    <w:rsid w:val="003C5A69"/>
    <w:rsid w:val="003F19A2"/>
    <w:rsid w:val="003F1F5C"/>
    <w:rsid w:val="003F4892"/>
    <w:rsid w:val="004040D0"/>
    <w:rsid w:val="00420D9D"/>
    <w:rsid w:val="00423E98"/>
    <w:rsid w:val="00443D03"/>
    <w:rsid w:val="0044421B"/>
    <w:rsid w:val="00444B27"/>
    <w:rsid w:val="00446A32"/>
    <w:rsid w:val="004827D0"/>
    <w:rsid w:val="00490491"/>
    <w:rsid w:val="004D0C6F"/>
    <w:rsid w:val="004D410C"/>
    <w:rsid w:val="0050693B"/>
    <w:rsid w:val="005134A6"/>
    <w:rsid w:val="0051398A"/>
    <w:rsid w:val="00515836"/>
    <w:rsid w:val="005163F6"/>
    <w:rsid w:val="00525496"/>
    <w:rsid w:val="00527979"/>
    <w:rsid w:val="00530DF0"/>
    <w:rsid w:val="00553927"/>
    <w:rsid w:val="00555206"/>
    <w:rsid w:val="005644BA"/>
    <w:rsid w:val="00566390"/>
    <w:rsid w:val="00572610"/>
    <w:rsid w:val="00574DA0"/>
    <w:rsid w:val="00577311"/>
    <w:rsid w:val="00584B2F"/>
    <w:rsid w:val="005934F2"/>
    <w:rsid w:val="005A1163"/>
    <w:rsid w:val="005A51A9"/>
    <w:rsid w:val="00605B8B"/>
    <w:rsid w:val="00615D0E"/>
    <w:rsid w:val="00623ABA"/>
    <w:rsid w:val="00623EAF"/>
    <w:rsid w:val="00634E07"/>
    <w:rsid w:val="0063744F"/>
    <w:rsid w:val="00640F03"/>
    <w:rsid w:val="0065026F"/>
    <w:rsid w:val="0067557F"/>
    <w:rsid w:val="00683380"/>
    <w:rsid w:val="00697C39"/>
    <w:rsid w:val="006B48DE"/>
    <w:rsid w:val="006C0E78"/>
    <w:rsid w:val="006C477B"/>
    <w:rsid w:val="006E2D27"/>
    <w:rsid w:val="006F27B7"/>
    <w:rsid w:val="00701FB6"/>
    <w:rsid w:val="0070472B"/>
    <w:rsid w:val="00705D3F"/>
    <w:rsid w:val="00720685"/>
    <w:rsid w:val="00737D8D"/>
    <w:rsid w:val="00742612"/>
    <w:rsid w:val="00751982"/>
    <w:rsid w:val="007532CC"/>
    <w:rsid w:val="00757921"/>
    <w:rsid w:val="00765BFC"/>
    <w:rsid w:val="00776BB6"/>
    <w:rsid w:val="0078526E"/>
    <w:rsid w:val="00795E84"/>
    <w:rsid w:val="007A6850"/>
    <w:rsid w:val="007A6E57"/>
    <w:rsid w:val="007C7F94"/>
    <w:rsid w:val="007D39F8"/>
    <w:rsid w:val="007F39DA"/>
    <w:rsid w:val="00800783"/>
    <w:rsid w:val="008040DE"/>
    <w:rsid w:val="00821A7E"/>
    <w:rsid w:val="00823D82"/>
    <w:rsid w:val="00834E9F"/>
    <w:rsid w:val="008675F2"/>
    <w:rsid w:val="008A40DC"/>
    <w:rsid w:val="008B0085"/>
    <w:rsid w:val="008B3E79"/>
    <w:rsid w:val="008C3FC1"/>
    <w:rsid w:val="008C5343"/>
    <w:rsid w:val="008D6021"/>
    <w:rsid w:val="008F67A7"/>
    <w:rsid w:val="009104F8"/>
    <w:rsid w:val="009270E3"/>
    <w:rsid w:val="00933A7D"/>
    <w:rsid w:val="009432CA"/>
    <w:rsid w:val="00943F97"/>
    <w:rsid w:val="00945CE0"/>
    <w:rsid w:val="00956C74"/>
    <w:rsid w:val="00956E33"/>
    <w:rsid w:val="0096754D"/>
    <w:rsid w:val="00980301"/>
    <w:rsid w:val="009A1270"/>
    <w:rsid w:val="009B67B6"/>
    <w:rsid w:val="009C0009"/>
    <w:rsid w:val="009C2EF1"/>
    <w:rsid w:val="009F158C"/>
    <w:rsid w:val="009F30D7"/>
    <w:rsid w:val="009F4BBD"/>
    <w:rsid w:val="009F6E58"/>
    <w:rsid w:val="00A003CC"/>
    <w:rsid w:val="00A10AC0"/>
    <w:rsid w:val="00A12321"/>
    <w:rsid w:val="00A40074"/>
    <w:rsid w:val="00A434E4"/>
    <w:rsid w:val="00A50711"/>
    <w:rsid w:val="00A671EC"/>
    <w:rsid w:val="00A70EA3"/>
    <w:rsid w:val="00A905CE"/>
    <w:rsid w:val="00A94D4F"/>
    <w:rsid w:val="00AC4EF5"/>
    <w:rsid w:val="00AD5134"/>
    <w:rsid w:val="00AE165F"/>
    <w:rsid w:val="00AF2C21"/>
    <w:rsid w:val="00B0543C"/>
    <w:rsid w:val="00B171AB"/>
    <w:rsid w:val="00B40836"/>
    <w:rsid w:val="00B418D2"/>
    <w:rsid w:val="00B56EA1"/>
    <w:rsid w:val="00B639A3"/>
    <w:rsid w:val="00B65BF9"/>
    <w:rsid w:val="00B7780F"/>
    <w:rsid w:val="00BA1F40"/>
    <w:rsid w:val="00BA509B"/>
    <w:rsid w:val="00BB3300"/>
    <w:rsid w:val="00BD0962"/>
    <w:rsid w:val="00BD1ABD"/>
    <w:rsid w:val="00BD2D86"/>
    <w:rsid w:val="00BD7037"/>
    <w:rsid w:val="00BE4937"/>
    <w:rsid w:val="00BF53C3"/>
    <w:rsid w:val="00C0410D"/>
    <w:rsid w:val="00C21403"/>
    <w:rsid w:val="00C27F38"/>
    <w:rsid w:val="00C336F6"/>
    <w:rsid w:val="00C37DD5"/>
    <w:rsid w:val="00C74CFD"/>
    <w:rsid w:val="00C90040"/>
    <w:rsid w:val="00C96CC7"/>
    <w:rsid w:val="00CA27F1"/>
    <w:rsid w:val="00CC6682"/>
    <w:rsid w:val="00CD4A4B"/>
    <w:rsid w:val="00CE1F2D"/>
    <w:rsid w:val="00CE5794"/>
    <w:rsid w:val="00CE6EC7"/>
    <w:rsid w:val="00CF010C"/>
    <w:rsid w:val="00CF36E7"/>
    <w:rsid w:val="00CF5DF7"/>
    <w:rsid w:val="00D03329"/>
    <w:rsid w:val="00D14C8E"/>
    <w:rsid w:val="00D179FE"/>
    <w:rsid w:val="00D17B2F"/>
    <w:rsid w:val="00D36B5A"/>
    <w:rsid w:val="00D401EF"/>
    <w:rsid w:val="00D45C6F"/>
    <w:rsid w:val="00D54EE1"/>
    <w:rsid w:val="00D72B1A"/>
    <w:rsid w:val="00D86EAE"/>
    <w:rsid w:val="00DA133E"/>
    <w:rsid w:val="00DA265B"/>
    <w:rsid w:val="00DD1BBF"/>
    <w:rsid w:val="00DD3FEE"/>
    <w:rsid w:val="00DE0EA9"/>
    <w:rsid w:val="00E01E1C"/>
    <w:rsid w:val="00E02CDD"/>
    <w:rsid w:val="00E067A9"/>
    <w:rsid w:val="00E10C52"/>
    <w:rsid w:val="00E1771B"/>
    <w:rsid w:val="00E258DC"/>
    <w:rsid w:val="00E40C40"/>
    <w:rsid w:val="00E45C63"/>
    <w:rsid w:val="00E5305A"/>
    <w:rsid w:val="00E566B7"/>
    <w:rsid w:val="00E74788"/>
    <w:rsid w:val="00E831BC"/>
    <w:rsid w:val="00E84475"/>
    <w:rsid w:val="00E90C5A"/>
    <w:rsid w:val="00E940E5"/>
    <w:rsid w:val="00EC24F0"/>
    <w:rsid w:val="00EC2C1C"/>
    <w:rsid w:val="00EC2F70"/>
    <w:rsid w:val="00EC38EB"/>
    <w:rsid w:val="00EE57C3"/>
    <w:rsid w:val="00EF3DFE"/>
    <w:rsid w:val="00EF483E"/>
    <w:rsid w:val="00F14428"/>
    <w:rsid w:val="00F32AFD"/>
    <w:rsid w:val="00F36D1D"/>
    <w:rsid w:val="00F4352E"/>
    <w:rsid w:val="00F5297E"/>
    <w:rsid w:val="00F5727E"/>
    <w:rsid w:val="00F625A0"/>
    <w:rsid w:val="00F67F3F"/>
    <w:rsid w:val="00F77886"/>
    <w:rsid w:val="00F814C0"/>
    <w:rsid w:val="00F965FE"/>
    <w:rsid w:val="00FA51D5"/>
    <w:rsid w:val="00FB59F6"/>
    <w:rsid w:val="00FB7CA6"/>
    <w:rsid w:val="2831F8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6C648"/>
  <w15:docId w15:val="{B99CF137-1A7B-4B3B-84C0-DD9F9FFB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10C"/>
    <w:pPr>
      <w:spacing w:after="0" w:line="240" w:lineRule="auto"/>
    </w:pPr>
    <w:rPr>
      <w:rFonts w:ascii="Times New Roman" w:hAnsi="Times New Roman" w:cs="Times New Roman"/>
      <w:sz w:val="24"/>
      <w:szCs w:val="24"/>
      <w:lang w:bidi="ar-SA"/>
    </w:rPr>
  </w:style>
  <w:style w:type="paragraph" w:styleId="Heading1">
    <w:name w:val="heading 1"/>
    <w:basedOn w:val="Normal"/>
    <w:link w:val="Heading1Char"/>
    <w:uiPriority w:val="9"/>
    <w:qFormat/>
    <w:rsid w:val="008D602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75198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788"/>
    <w:pPr>
      <w:tabs>
        <w:tab w:val="center" w:pos="4513"/>
        <w:tab w:val="right" w:pos="9026"/>
      </w:tabs>
    </w:pPr>
    <w:rPr>
      <w:rFonts w:asciiTheme="minorHAnsi" w:hAnsiTheme="minorHAnsi" w:cstheme="minorBidi"/>
      <w:sz w:val="22"/>
      <w:szCs w:val="28"/>
      <w:lang w:val="en-GB" w:bidi="th-TH"/>
    </w:rPr>
  </w:style>
  <w:style w:type="character" w:customStyle="1" w:styleId="HeaderChar">
    <w:name w:val="Header Char"/>
    <w:basedOn w:val="DefaultParagraphFont"/>
    <w:link w:val="Header"/>
    <w:uiPriority w:val="99"/>
    <w:rsid w:val="00E74788"/>
    <w:rPr>
      <w:lang w:val="en-GB"/>
    </w:rPr>
  </w:style>
  <w:style w:type="paragraph" w:styleId="Footer">
    <w:name w:val="footer"/>
    <w:basedOn w:val="Normal"/>
    <w:link w:val="FooterChar"/>
    <w:uiPriority w:val="99"/>
    <w:unhideWhenUsed/>
    <w:rsid w:val="00E74788"/>
    <w:pPr>
      <w:tabs>
        <w:tab w:val="center" w:pos="4513"/>
        <w:tab w:val="right" w:pos="9026"/>
      </w:tabs>
    </w:pPr>
    <w:rPr>
      <w:rFonts w:asciiTheme="minorHAnsi" w:hAnsiTheme="minorHAnsi" w:cstheme="minorBidi"/>
      <w:sz w:val="22"/>
      <w:szCs w:val="28"/>
      <w:lang w:val="en-GB" w:bidi="th-TH"/>
    </w:rPr>
  </w:style>
  <w:style w:type="character" w:customStyle="1" w:styleId="FooterChar">
    <w:name w:val="Footer Char"/>
    <w:basedOn w:val="DefaultParagraphFont"/>
    <w:link w:val="Footer"/>
    <w:uiPriority w:val="99"/>
    <w:rsid w:val="00E74788"/>
    <w:rPr>
      <w:lang w:val="en-GB"/>
    </w:rPr>
  </w:style>
  <w:style w:type="paragraph" w:styleId="ListParagraph">
    <w:name w:val="List Paragraph"/>
    <w:basedOn w:val="Normal"/>
    <w:uiPriority w:val="34"/>
    <w:qFormat/>
    <w:rsid w:val="00E5305A"/>
    <w:pPr>
      <w:spacing w:after="160" w:line="259" w:lineRule="auto"/>
      <w:ind w:left="720"/>
      <w:contextualSpacing/>
    </w:pPr>
    <w:rPr>
      <w:rFonts w:asciiTheme="minorHAnsi" w:hAnsiTheme="minorHAnsi" w:cstheme="minorBidi"/>
      <w:sz w:val="22"/>
      <w:szCs w:val="28"/>
      <w:lang w:val="en-GB" w:bidi="th-TH"/>
    </w:rPr>
  </w:style>
  <w:style w:type="character" w:styleId="FootnoteReference">
    <w:name w:val="footnote reference"/>
    <w:uiPriority w:val="99"/>
    <w:unhideWhenUsed/>
    <w:rsid w:val="00F36D1D"/>
    <w:rPr>
      <w:vertAlign w:val="superscript"/>
    </w:rPr>
  </w:style>
  <w:style w:type="character" w:styleId="Hyperlink">
    <w:name w:val="Hyperlink"/>
    <w:uiPriority w:val="99"/>
    <w:unhideWhenUsed/>
    <w:rsid w:val="00F36D1D"/>
    <w:rPr>
      <w:color w:val="0000FF"/>
      <w:u w:val="single"/>
    </w:rPr>
  </w:style>
  <w:style w:type="paragraph" w:styleId="FootnoteText">
    <w:name w:val="footnote text"/>
    <w:basedOn w:val="Normal"/>
    <w:link w:val="FootnoteTextChar"/>
    <w:uiPriority w:val="99"/>
    <w:unhideWhenUsed/>
    <w:rsid w:val="00F36D1D"/>
    <w:rPr>
      <w:rFonts w:asciiTheme="minorHAnsi" w:hAnsiTheme="minorHAnsi" w:cstheme="minorBidi"/>
      <w:sz w:val="20"/>
      <w:szCs w:val="25"/>
      <w:lang w:val="en-GB" w:bidi="th-TH"/>
    </w:rPr>
  </w:style>
  <w:style w:type="character" w:customStyle="1" w:styleId="FootnoteTextChar">
    <w:name w:val="Footnote Text Char"/>
    <w:basedOn w:val="DefaultParagraphFont"/>
    <w:link w:val="FootnoteText"/>
    <w:uiPriority w:val="99"/>
    <w:rsid w:val="00F36D1D"/>
    <w:rPr>
      <w:sz w:val="20"/>
      <w:szCs w:val="25"/>
      <w:lang w:val="en-GB"/>
    </w:rPr>
  </w:style>
  <w:style w:type="character" w:styleId="CommentReference">
    <w:name w:val="annotation reference"/>
    <w:basedOn w:val="DefaultParagraphFont"/>
    <w:uiPriority w:val="99"/>
    <w:semiHidden/>
    <w:unhideWhenUsed/>
    <w:rsid w:val="00B0543C"/>
    <w:rPr>
      <w:sz w:val="16"/>
      <w:szCs w:val="16"/>
    </w:rPr>
  </w:style>
  <w:style w:type="paragraph" w:styleId="CommentText">
    <w:name w:val="annotation text"/>
    <w:basedOn w:val="Normal"/>
    <w:link w:val="CommentTextChar"/>
    <w:uiPriority w:val="99"/>
    <w:semiHidden/>
    <w:unhideWhenUsed/>
    <w:rsid w:val="00B0543C"/>
    <w:rPr>
      <w:sz w:val="20"/>
      <w:szCs w:val="25"/>
    </w:rPr>
  </w:style>
  <w:style w:type="character" w:customStyle="1" w:styleId="CommentTextChar">
    <w:name w:val="Comment Text Char"/>
    <w:basedOn w:val="DefaultParagraphFont"/>
    <w:link w:val="CommentText"/>
    <w:uiPriority w:val="99"/>
    <w:semiHidden/>
    <w:rsid w:val="00B0543C"/>
    <w:rPr>
      <w:sz w:val="20"/>
      <w:szCs w:val="25"/>
      <w:lang w:val="en-GB"/>
    </w:rPr>
  </w:style>
  <w:style w:type="paragraph" w:styleId="CommentSubject">
    <w:name w:val="annotation subject"/>
    <w:basedOn w:val="CommentText"/>
    <w:next w:val="CommentText"/>
    <w:link w:val="CommentSubjectChar"/>
    <w:uiPriority w:val="99"/>
    <w:semiHidden/>
    <w:unhideWhenUsed/>
    <w:rsid w:val="00B0543C"/>
    <w:rPr>
      <w:b/>
      <w:bCs/>
    </w:rPr>
  </w:style>
  <w:style w:type="character" w:customStyle="1" w:styleId="CommentSubjectChar">
    <w:name w:val="Comment Subject Char"/>
    <w:basedOn w:val="CommentTextChar"/>
    <w:link w:val="CommentSubject"/>
    <w:uiPriority w:val="99"/>
    <w:semiHidden/>
    <w:rsid w:val="00B0543C"/>
    <w:rPr>
      <w:b/>
      <w:bCs/>
      <w:sz w:val="20"/>
      <w:szCs w:val="25"/>
      <w:lang w:val="en-GB"/>
    </w:rPr>
  </w:style>
  <w:style w:type="paragraph" w:styleId="BalloonText">
    <w:name w:val="Balloon Text"/>
    <w:basedOn w:val="Normal"/>
    <w:link w:val="BalloonTextChar"/>
    <w:uiPriority w:val="99"/>
    <w:semiHidden/>
    <w:unhideWhenUsed/>
    <w:rsid w:val="00B0543C"/>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543C"/>
    <w:rPr>
      <w:rFonts w:ascii="Segoe UI" w:hAnsi="Segoe UI" w:cs="Angsana New"/>
      <w:sz w:val="18"/>
      <w:szCs w:val="22"/>
      <w:lang w:val="en-GB"/>
    </w:rPr>
  </w:style>
  <w:style w:type="paragraph" w:customStyle="1" w:styleId="paragraph">
    <w:name w:val="paragraph"/>
    <w:basedOn w:val="Normal"/>
    <w:rsid w:val="00BD1ABD"/>
    <w:pPr>
      <w:spacing w:before="100" w:beforeAutospacing="1" w:after="100" w:afterAutospacing="1"/>
    </w:pPr>
  </w:style>
  <w:style w:type="character" w:customStyle="1" w:styleId="normaltextrun">
    <w:name w:val="normaltextrun"/>
    <w:basedOn w:val="DefaultParagraphFont"/>
    <w:rsid w:val="00BD1ABD"/>
  </w:style>
  <w:style w:type="character" w:customStyle="1" w:styleId="eop">
    <w:name w:val="eop"/>
    <w:basedOn w:val="DefaultParagraphFont"/>
    <w:rsid w:val="00BD1ABD"/>
  </w:style>
  <w:style w:type="character" w:customStyle="1" w:styleId="spellingerror">
    <w:name w:val="spellingerror"/>
    <w:basedOn w:val="DefaultParagraphFont"/>
    <w:rsid w:val="00BD1ABD"/>
  </w:style>
  <w:style w:type="character" w:customStyle="1" w:styleId="contextualspellingandgrammarerror">
    <w:name w:val="contextualspellingandgrammarerror"/>
    <w:basedOn w:val="DefaultParagraphFont"/>
    <w:rsid w:val="00BD1ABD"/>
  </w:style>
  <w:style w:type="character" w:styleId="FollowedHyperlink">
    <w:name w:val="FollowedHyperlink"/>
    <w:basedOn w:val="DefaultParagraphFont"/>
    <w:uiPriority w:val="99"/>
    <w:semiHidden/>
    <w:unhideWhenUsed/>
    <w:rsid w:val="00FA51D5"/>
    <w:rPr>
      <w:color w:val="954F72" w:themeColor="followedHyperlink"/>
      <w:u w:val="single"/>
    </w:rPr>
  </w:style>
  <w:style w:type="character" w:customStyle="1" w:styleId="Heading1Char">
    <w:name w:val="Heading 1 Char"/>
    <w:basedOn w:val="DefaultParagraphFont"/>
    <w:link w:val="Heading1"/>
    <w:uiPriority w:val="9"/>
    <w:rsid w:val="008D6021"/>
    <w:rPr>
      <w:rFonts w:ascii="Times New Roman" w:hAnsi="Times New Roman" w:cs="Times New Roman"/>
      <w:b/>
      <w:bCs/>
      <w:kern w:val="36"/>
      <w:sz w:val="48"/>
      <w:szCs w:val="48"/>
      <w:lang w:bidi="ar-SA"/>
    </w:rPr>
  </w:style>
  <w:style w:type="character" w:customStyle="1" w:styleId="bcx0">
    <w:name w:val="bcx0"/>
    <w:basedOn w:val="DefaultParagraphFont"/>
    <w:rsid w:val="00DD1BBF"/>
  </w:style>
  <w:style w:type="character" w:customStyle="1" w:styleId="Heading3Char">
    <w:name w:val="Heading 3 Char"/>
    <w:basedOn w:val="DefaultParagraphFont"/>
    <w:link w:val="Heading3"/>
    <w:uiPriority w:val="9"/>
    <w:rsid w:val="00751982"/>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semiHidden/>
    <w:unhideWhenUsed/>
    <w:rsid w:val="00751982"/>
    <w:pPr>
      <w:spacing w:before="100" w:beforeAutospacing="1" w:after="100" w:afterAutospacing="1"/>
    </w:pPr>
  </w:style>
  <w:style w:type="paragraph" w:styleId="Subtitle">
    <w:name w:val="Subtitle"/>
    <w:aliases w:val="subtitle"/>
    <w:basedOn w:val="Normal"/>
    <w:link w:val="SubtitleChar"/>
    <w:uiPriority w:val="11"/>
    <w:qFormat/>
    <w:rsid w:val="0096754D"/>
    <w:pPr>
      <w:spacing w:before="100" w:beforeAutospacing="1" w:after="100" w:afterAutospacing="1"/>
    </w:pPr>
  </w:style>
  <w:style w:type="character" w:customStyle="1" w:styleId="SubtitleChar">
    <w:name w:val="Subtitle Char"/>
    <w:aliases w:val="subtitle Char"/>
    <w:basedOn w:val="DefaultParagraphFont"/>
    <w:link w:val="Subtitle"/>
    <w:uiPriority w:val="11"/>
    <w:rsid w:val="0096754D"/>
    <w:rPr>
      <w:rFonts w:ascii="Times New Roman" w:hAnsi="Times New Roman" w:cs="Times New Roman"/>
      <w:sz w:val="24"/>
      <w:szCs w:val="24"/>
      <w:lang w:bidi="ar-SA"/>
    </w:rPr>
  </w:style>
  <w:style w:type="character" w:customStyle="1" w:styleId="scxw143172123">
    <w:name w:val="scxw143172123"/>
    <w:basedOn w:val="DefaultParagraphFont"/>
    <w:rsid w:val="00F5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700">
      <w:bodyDiv w:val="1"/>
      <w:marLeft w:val="0"/>
      <w:marRight w:val="0"/>
      <w:marTop w:val="0"/>
      <w:marBottom w:val="0"/>
      <w:divBdr>
        <w:top w:val="none" w:sz="0" w:space="0" w:color="auto"/>
        <w:left w:val="none" w:sz="0" w:space="0" w:color="auto"/>
        <w:bottom w:val="none" w:sz="0" w:space="0" w:color="auto"/>
        <w:right w:val="none" w:sz="0" w:space="0" w:color="auto"/>
      </w:divBdr>
    </w:div>
    <w:div w:id="81412767">
      <w:bodyDiv w:val="1"/>
      <w:marLeft w:val="0"/>
      <w:marRight w:val="0"/>
      <w:marTop w:val="0"/>
      <w:marBottom w:val="0"/>
      <w:divBdr>
        <w:top w:val="none" w:sz="0" w:space="0" w:color="auto"/>
        <w:left w:val="none" w:sz="0" w:space="0" w:color="auto"/>
        <w:bottom w:val="none" w:sz="0" w:space="0" w:color="auto"/>
        <w:right w:val="none" w:sz="0" w:space="0" w:color="auto"/>
      </w:divBdr>
    </w:div>
    <w:div w:id="81419563">
      <w:bodyDiv w:val="1"/>
      <w:marLeft w:val="0"/>
      <w:marRight w:val="0"/>
      <w:marTop w:val="0"/>
      <w:marBottom w:val="0"/>
      <w:divBdr>
        <w:top w:val="none" w:sz="0" w:space="0" w:color="auto"/>
        <w:left w:val="none" w:sz="0" w:space="0" w:color="auto"/>
        <w:bottom w:val="none" w:sz="0" w:space="0" w:color="auto"/>
        <w:right w:val="none" w:sz="0" w:space="0" w:color="auto"/>
      </w:divBdr>
    </w:div>
    <w:div w:id="177427938">
      <w:bodyDiv w:val="1"/>
      <w:marLeft w:val="0"/>
      <w:marRight w:val="0"/>
      <w:marTop w:val="0"/>
      <w:marBottom w:val="0"/>
      <w:divBdr>
        <w:top w:val="none" w:sz="0" w:space="0" w:color="auto"/>
        <w:left w:val="none" w:sz="0" w:space="0" w:color="auto"/>
        <w:bottom w:val="none" w:sz="0" w:space="0" w:color="auto"/>
        <w:right w:val="none" w:sz="0" w:space="0" w:color="auto"/>
      </w:divBdr>
    </w:div>
    <w:div w:id="233786268">
      <w:bodyDiv w:val="1"/>
      <w:marLeft w:val="0"/>
      <w:marRight w:val="0"/>
      <w:marTop w:val="0"/>
      <w:marBottom w:val="0"/>
      <w:divBdr>
        <w:top w:val="none" w:sz="0" w:space="0" w:color="auto"/>
        <w:left w:val="none" w:sz="0" w:space="0" w:color="auto"/>
        <w:bottom w:val="none" w:sz="0" w:space="0" w:color="auto"/>
        <w:right w:val="none" w:sz="0" w:space="0" w:color="auto"/>
      </w:divBdr>
    </w:div>
    <w:div w:id="239295147">
      <w:bodyDiv w:val="1"/>
      <w:marLeft w:val="0"/>
      <w:marRight w:val="0"/>
      <w:marTop w:val="0"/>
      <w:marBottom w:val="0"/>
      <w:divBdr>
        <w:top w:val="none" w:sz="0" w:space="0" w:color="auto"/>
        <w:left w:val="none" w:sz="0" w:space="0" w:color="auto"/>
        <w:bottom w:val="none" w:sz="0" w:space="0" w:color="auto"/>
        <w:right w:val="none" w:sz="0" w:space="0" w:color="auto"/>
      </w:divBdr>
    </w:div>
    <w:div w:id="242883475">
      <w:bodyDiv w:val="1"/>
      <w:marLeft w:val="0"/>
      <w:marRight w:val="0"/>
      <w:marTop w:val="0"/>
      <w:marBottom w:val="0"/>
      <w:divBdr>
        <w:top w:val="none" w:sz="0" w:space="0" w:color="auto"/>
        <w:left w:val="none" w:sz="0" w:space="0" w:color="auto"/>
        <w:bottom w:val="none" w:sz="0" w:space="0" w:color="auto"/>
        <w:right w:val="none" w:sz="0" w:space="0" w:color="auto"/>
      </w:divBdr>
    </w:div>
    <w:div w:id="256140848">
      <w:bodyDiv w:val="1"/>
      <w:marLeft w:val="0"/>
      <w:marRight w:val="0"/>
      <w:marTop w:val="0"/>
      <w:marBottom w:val="0"/>
      <w:divBdr>
        <w:top w:val="none" w:sz="0" w:space="0" w:color="auto"/>
        <w:left w:val="none" w:sz="0" w:space="0" w:color="auto"/>
        <w:bottom w:val="none" w:sz="0" w:space="0" w:color="auto"/>
        <w:right w:val="none" w:sz="0" w:space="0" w:color="auto"/>
      </w:divBdr>
    </w:div>
    <w:div w:id="339476967">
      <w:bodyDiv w:val="1"/>
      <w:marLeft w:val="0"/>
      <w:marRight w:val="0"/>
      <w:marTop w:val="0"/>
      <w:marBottom w:val="0"/>
      <w:divBdr>
        <w:top w:val="none" w:sz="0" w:space="0" w:color="auto"/>
        <w:left w:val="none" w:sz="0" w:space="0" w:color="auto"/>
        <w:bottom w:val="none" w:sz="0" w:space="0" w:color="auto"/>
        <w:right w:val="none" w:sz="0" w:space="0" w:color="auto"/>
      </w:divBdr>
    </w:div>
    <w:div w:id="352918811">
      <w:bodyDiv w:val="1"/>
      <w:marLeft w:val="0"/>
      <w:marRight w:val="0"/>
      <w:marTop w:val="0"/>
      <w:marBottom w:val="0"/>
      <w:divBdr>
        <w:top w:val="none" w:sz="0" w:space="0" w:color="auto"/>
        <w:left w:val="none" w:sz="0" w:space="0" w:color="auto"/>
        <w:bottom w:val="none" w:sz="0" w:space="0" w:color="auto"/>
        <w:right w:val="none" w:sz="0" w:space="0" w:color="auto"/>
      </w:divBdr>
    </w:div>
    <w:div w:id="392699504">
      <w:bodyDiv w:val="1"/>
      <w:marLeft w:val="0"/>
      <w:marRight w:val="0"/>
      <w:marTop w:val="0"/>
      <w:marBottom w:val="0"/>
      <w:divBdr>
        <w:top w:val="none" w:sz="0" w:space="0" w:color="auto"/>
        <w:left w:val="none" w:sz="0" w:space="0" w:color="auto"/>
        <w:bottom w:val="none" w:sz="0" w:space="0" w:color="auto"/>
        <w:right w:val="none" w:sz="0" w:space="0" w:color="auto"/>
      </w:divBdr>
    </w:div>
    <w:div w:id="397243247">
      <w:bodyDiv w:val="1"/>
      <w:marLeft w:val="0"/>
      <w:marRight w:val="0"/>
      <w:marTop w:val="0"/>
      <w:marBottom w:val="0"/>
      <w:divBdr>
        <w:top w:val="none" w:sz="0" w:space="0" w:color="auto"/>
        <w:left w:val="none" w:sz="0" w:space="0" w:color="auto"/>
        <w:bottom w:val="none" w:sz="0" w:space="0" w:color="auto"/>
        <w:right w:val="none" w:sz="0" w:space="0" w:color="auto"/>
      </w:divBdr>
    </w:div>
    <w:div w:id="427193657">
      <w:bodyDiv w:val="1"/>
      <w:marLeft w:val="0"/>
      <w:marRight w:val="0"/>
      <w:marTop w:val="0"/>
      <w:marBottom w:val="0"/>
      <w:divBdr>
        <w:top w:val="none" w:sz="0" w:space="0" w:color="auto"/>
        <w:left w:val="none" w:sz="0" w:space="0" w:color="auto"/>
        <w:bottom w:val="none" w:sz="0" w:space="0" w:color="auto"/>
        <w:right w:val="none" w:sz="0" w:space="0" w:color="auto"/>
      </w:divBdr>
    </w:div>
    <w:div w:id="437528191">
      <w:bodyDiv w:val="1"/>
      <w:marLeft w:val="0"/>
      <w:marRight w:val="0"/>
      <w:marTop w:val="0"/>
      <w:marBottom w:val="0"/>
      <w:divBdr>
        <w:top w:val="none" w:sz="0" w:space="0" w:color="auto"/>
        <w:left w:val="none" w:sz="0" w:space="0" w:color="auto"/>
        <w:bottom w:val="none" w:sz="0" w:space="0" w:color="auto"/>
        <w:right w:val="none" w:sz="0" w:space="0" w:color="auto"/>
      </w:divBdr>
    </w:div>
    <w:div w:id="482700158">
      <w:bodyDiv w:val="1"/>
      <w:marLeft w:val="0"/>
      <w:marRight w:val="0"/>
      <w:marTop w:val="0"/>
      <w:marBottom w:val="0"/>
      <w:divBdr>
        <w:top w:val="none" w:sz="0" w:space="0" w:color="auto"/>
        <w:left w:val="none" w:sz="0" w:space="0" w:color="auto"/>
        <w:bottom w:val="none" w:sz="0" w:space="0" w:color="auto"/>
        <w:right w:val="none" w:sz="0" w:space="0" w:color="auto"/>
      </w:divBdr>
    </w:div>
    <w:div w:id="670181114">
      <w:bodyDiv w:val="1"/>
      <w:marLeft w:val="0"/>
      <w:marRight w:val="0"/>
      <w:marTop w:val="0"/>
      <w:marBottom w:val="0"/>
      <w:divBdr>
        <w:top w:val="none" w:sz="0" w:space="0" w:color="auto"/>
        <w:left w:val="none" w:sz="0" w:space="0" w:color="auto"/>
        <w:bottom w:val="none" w:sz="0" w:space="0" w:color="auto"/>
        <w:right w:val="none" w:sz="0" w:space="0" w:color="auto"/>
      </w:divBdr>
    </w:div>
    <w:div w:id="670792360">
      <w:bodyDiv w:val="1"/>
      <w:marLeft w:val="0"/>
      <w:marRight w:val="0"/>
      <w:marTop w:val="0"/>
      <w:marBottom w:val="0"/>
      <w:divBdr>
        <w:top w:val="none" w:sz="0" w:space="0" w:color="auto"/>
        <w:left w:val="none" w:sz="0" w:space="0" w:color="auto"/>
        <w:bottom w:val="none" w:sz="0" w:space="0" w:color="auto"/>
        <w:right w:val="none" w:sz="0" w:space="0" w:color="auto"/>
      </w:divBdr>
    </w:div>
    <w:div w:id="696613643">
      <w:bodyDiv w:val="1"/>
      <w:marLeft w:val="0"/>
      <w:marRight w:val="0"/>
      <w:marTop w:val="0"/>
      <w:marBottom w:val="0"/>
      <w:divBdr>
        <w:top w:val="none" w:sz="0" w:space="0" w:color="auto"/>
        <w:left w:val="none" w:sz="0" w:space="0" w:color="auto"/>
        <w:bottom w:val="none" w:sz="0" w:space="0" w:color="auto"/>
        <w:right w:val="none" w:sz="0" w:space="0" w:color="auto"/>
      </w:divBdr>
    </w:div>
    <w:div w:id="897739936">
      <w:bodyDiv w:val="1"/>
      <w:marLeft w:val="0"/>
      <w:marRight w:val="0"/>
      <w:marTop w:val="0"/>
      <w:marBottom w:val="0"/>
      <w:divBdr>
        <w:top w:val="none" w:sz="0" w:space="0" w:color="auto"/>
        <w:left w:val="none" w:sz="0" w:space="0" w:color="auto"/>
        <w:bottom w:val="none" w:sz="0" w:space="0" w:color="auto"/>
        <w:right w:val="none" w:sz="0" w:space="0" w:color="auto"/>
      </w:divBdr>
    </w:div>
    <w:div w:id="901670896">
      <w:bodyDiv w:val="1"/>
      <w:marLeft w:val="0"/>
      <w:marRight w:val="0"/>
      <w:marTop w:val="0"/>
      <w:marBottom w:val="0"/>
      <w:divBdr>
        <w:top w:val="none" w:sz="0" w:space="0" w:color="auto"/>
        <w:left w:val="none" w:sz="0" w:space="0" w:color="auto"/>
        <w:bottom w:val="none" w:sz="0" w:space="0" w:color="auto"/>
        <w:right w:val="none" w:sz="0" w:space="0" w:color="auto"/>
      </w:divBdr>
    </w:div>
    <w:div w:id="932470338">
      <w:bodyDiv w:val="1"/>
      <w:marLeft w:val="0"/>
      <w:marRight w:val="0"/>
      <w:marTop w:val="0"/>
      <w:marBottom w:val="0"/>
      <w:divBdr>
        <w:top w:val="none" w:sz="0" w:space="0" w:color="auto"/>
        <w:left w:val="none" w:sz="0" w:space="0" w:color="auto"/>
        <w:bottom w:val="none" w:sz="0" w:space="0" w:color="auto"/>
        <w:right w:val="none" w:sz="0" w:space="0" w:color="auto"/>
      </w:divBdr>
    </w:div>
    <w:div w:id="967393570">
      <w:bodyDiv w:val="1"/>
      <w:marLeft w:val="0"/>
      <w:marRight w:val="0"/>
      <w:marTop w:val="0"/>
      <w:marBottom w:val="0"/>
      <w:divBdr>
        <w:top w:val="none" w:sz="0" w:space="0" w:color="auto"/>
        <w:left w:val="none" w:sz="0" w:space="0" w:color="auto"/>
        <w:bottom w:val="none" w:sz="0" w:space="0" w:color="auto"/>
        <w:right w:val="none" w:sz="0" w:space="0" w:color="auto"/>
      </w:divBdr>
    </w:div>
    <w:div w:id="1000155693">
      <w:bodyDiv w:val="1"/>
      <w:marLeft w:val="0"/>
      <w:marRight w:val="0"/>
      <w:marTop w:val="0"/>
      <w:marBottom w:val="0"/>
      <w:divBdr>
        <w:top w:val="none" w:sz="0" w:space="0" w:color="auto"/>
        <w:left w:val="none" w:sz="0" w:space="0" w:color="auto"/>
        <w:bottom w:val="none" w:sz="0" w:space="0" w:color="auto"/>
        <w:right w:val="none" w:sz="0" w:space="0" w:color="auto"/>
      </w:divBdr>
    </w:div>
    <w:div w:id="1121146242">
      <w:bodyDiv w:val="1"/>
      <w:marLeft w:val="0"/>
      <w:marRight w:val="0"/>
      <w:marTop w:val="0"/>
      <w:marBottom w:val="0"/>
      <w:divBdr>
        <w:top w:val="none" w:sz="0" w:space="0" w:color="auto"/>
        <w:left w:val="none" w:sz="0" w:space="0" w:color="auto"/>
        <w:bottom w:val="none" w:sz="0" w:space="0" w:color="auto"/>
        <w:right w:val="none" w:sz="0" w:space="0" w:color="auto"/>
      </w:divBdr>
    </w:div>
    <w:div w:id="1155075084">
      <w:bodyDiv w:val="1"/>
      <w:marLeft w:val="0"/>
      <w:marRight w:val="0"/>
      <w:marTop w:val="0"/>
      <w:marBottom w:val="0"/>
      <w:divBdr>
        <w:top w:val="none" w:sz="0" w:space="0" w:color="auto"/>
        <w:left w:val="none" w:sz="0" w:space="0" w:color="auto"/>
        <w:bottom w:val="none" w:sz="0" w:space="0" w:color="auto"/>
        <w:right w:val="none" w:sz="0" w:space="0" w:color="auto"/>
      </w:divBdr>
    </w:div>
    <w:div w:id="1182624307">
      <w:bodyDiv w:val="1"/>
      <w:marLeft w:val="0"/>
      <w:marRight w:val="0"/>
      <w:marTop w:val="0"/>
      <w:marBottom w:val="0"/>
      <w:divBdr>
        <w:top w:val="none" w:sz="0" w:space="0" w:color="auto"/>
        <w:left w:val="none" w:sz="0" w:space="0" w:color="auto"/>
        <w:bottom w:val="none" w:sz="0" w:space="0" w:color="auto"/>
        <w:right w:val="none" w:sz="0" w:space="0" w:color="auto"/>
      </w:divBdr>
    </w:div>
    <w:div w:id="1186166194">
      <w:bodyDiv w:val="1"/>
      <w:marLeft w:val="0"/>
      <w:marRight w:val="0"/>
      <w:marTop w:val="0"/>
      <w:marBottom w:val="0"/>
      <w:divBdr>
        <w:top w:val="none" w:sz="0" w:space="0" w:color="auto"/>
        <w:left w:val="none" w:sz="0" w:space="0" w:color="auto"/>
        <w:bottom w:val="none" w:sz="0" w:space="0" w:color="auto"/>
        <w:right w:val="none" w:sz="0" w:space="0" w:color="auto"/>
      </w:divBdr>
    </w:div>
    <w:div w:id="1244990149">
      <w:bodyDiv w:val="1"/>
      <w:marLeft w:val="0"/>
      <w:marRight w:val="0"/>
      <w:marTop w:val="0"/>
      <w:marBottom w:val="0"/>
      <w:divBdr>
        <w:top w:val="none" w:sz="0" w:space="0" w:color="auto"/>
        <w:left w:val="none" w:sz="0" w:space="0" w:color="auto"/>
        <w:bottom w:val="none" w:sz="0" w:space="0" w:color="auto"/>
        <w:right w:val="none" w:sz="0" w:space="0" w:color="auto"/>
      </w:divBdr>
    </w:div>
    <w:div w:id="1339306056">
      <w:bodyDiv w:val="1"/>
      <w:marLeft w:val="0"/>
      <w:marRight w:val="0"/>
      <w:marTop w:val="0"/>
      <w:marBottom w:val="0"/>
      <w:divBdr>
        <w:top w:val="none" w:sz="0" w:space="0" w:color="auto"/>
        <w:left w:val="none" w:sz="0" w:space="0" w:color="auto"/>
        <w:bottom w:val="none" w:sz="0" w:space="0" w:color="auto"/>
        <w:right w:val="none" w:sz="0" w:space="0" w:color="auto"/>
      </w:divBdr>
    </w:div>
    <w:div w:id="1339700351">
      <w:bodyDiv w:val="1"/>
      <w:marLeft w:val="0"/>
      <w:marRight w:val="0"/>
      <w:marTop w:val="0"/>
      <w:marBottom w:val="0"/>
      <w:divBdr>
        <w:top w:val="none" w:sz="0" w:space="0" w:color="auto"/>
        <w:left w:val="none" w:sz="0" w:space="0" w:color="auto"/>
        <w:bottom w:val="none" w:sz="0" w:space="0" w:color="auto"/>
        <w:right w:val="none" w:sz="0" w:space="0" w:color="auto"/>
      </w:divBdr>
    </w:div>
    <w:div w:id="1485587156">
      <w:bodyDiv w:val="1"/>
      <w:marLeft w:val="0"/>
      <w:marRight w:val="0"/>
      <w:marTop w:val="0"/>
      <w:marBottom w:val="0"/>
      <w:divBdr>
        <w:top w:val="none" w:sz="0" w:space="0" w:color="auto"/>
        <w:left w:val="none" w:sz="0" w:space="0" w:color="auto"/>
        <w:bottom w:val="none" w:sz="0" w:space="0" w:color="auto"/>
        <w:right w:val="none" w:sz="0" w:space="0" w:color="auto"/>
      </w:divBdr>
    </w:div>
    <w:div w:id="1525098849">
      <w:bodyDiv w:val="1"/>
      <w:marLeft w:val="0"/>
      <w:marRight w:val="0"/>
      <w:marTop w:val="0"/>
      <w:marBottom w:val="0"/>
      <w:divBdr>
        <w:top w:val="none" w:sz="0" w:space="0" w:color="auto"/>
        <w:left w:val="none" w:sz="0" w:space="0" w:color="auto"/>
        <w:bottom w:val="none" w:sz="0" w:space="0" w:color="auto"/>
        <w:right w:val="none" w:sz="0" w:space="0" w:color="auto"/>
      </w:divBdr>
    </w:div>
    <w:div w:id="1542548583">
      <w:bodyDiv w:val="1"/>
      <w:marLeft w:val="0"/>
      <w:marRight w:val="0"/>
      <w:marTop w:val="0"/>
      <w:marBottom w:val="0"/>
      <w:divBdr>
        <w:top w:val="none" w:sz="0" w:space="0" w:color="auto"/>
        <w:left w:val="none" w:sz="0" w:space="0" w:color="auto"/>
        <w:bottom w:val="none" w:sz="0" w:space="0" w:color="auto"/>
        <w:right w:val="none" w:sz="0" w:space="0" w:color="auto"/>
      </w:divBdr>
    </w:div>
    <w:div w:id="1612324016">
      <w:bodyDiv w:val="1"/>
      <w:marLeft w:val="0"/>
      <w:marRight w:val="0"/>
      <w:marTop w:val="0"/>
      <w:marBottom w:val="0"/>
      <w:divBdr>
        <w:top w:val="none" w:sz="0" w:space="0" w:color="auto"/>
        <w:left w:val="none" w:sz="0" w:space="0" w:color="auto"/>
        <w:bottom w:val="none" w:sz="0" w:space="0" w:color="auto"/>
        <w:right w:val="none" w:sz="0" w:space="0" w:color="auto"/>
      </w:divBdr>
    </w:div>
    <w:div w:id="1681857056">
      <w:bodyDiv w:val="1"/>
      <w:marLeft w:val="0"/>
      <w:marRight w:val="0"/>
      <w:marTop w:val="0"/>
      <w:marBottom w:val="0"/>
      <w:divBdr>
        <w:top w:val="none" w:sz="0" w:space="0" w:color="auto"/>
        <w:left w:val="none" w:sz="0" w:space="0" w:color="auto"/>
        <w:bottom w:val="none" w:sz="0" w:space="0" w:color="auto"/>
        <w:right w:val="none" w:sz="0" w:space="0" w:color="auto"/>
      </w:divBdr>
    </w:div>
    <w:div w:id="1849055230">
      <w:bodyDiv w:val="1"/>
      <w:marLeft w:val="0"/>
      <w:marRight w:val="0"/>
      <w:marTop w:val="0"/>
      <w:marBottom w:val="0"/>
      <w:divBdr>
        <w:top w:val="none" w:sz="0" w:space="0" w:color="auto"/>
        <w:left w:val="none" w:sz="0" w:space="0" w:color="auto"/>
        <w:bottom w:val="none" w:sz="0" w:space="0" w:color="auto"/>
        <w:right w:val="none" w:sz="0" w:space="0" w:color="auto"/>
      </w:divBdr>
    </w:div>
    <w:div w:id="1888762246">
      <w:bodyDiv w:val="1"/>
      <w:marLeft w:val="0"/>
      <w:marRight w:val="0"/>
      <w:marTop w:val="0"/>
      <w:marBottom w:val="0"/>
      <w:divBdr>
        <w:top w:val="none" w:sz="0" w:space="0" w:color="auto"/>
        <w:left w:val="none" w:sz="0" w:space="0" w:color="auto"/>
        <w:bottom w:val="none" w:sz="0" w:space="0" w:color="auto"/>
        <w:right w:val="none" w:sz="0" w:space="0" w:color="auto"/>
      </w:divBdr>
    </w:div>
    <w:div w:id="1898785317">
      <w:bodyDiv w:val="1"/>
      <w:marLeft w:val="0"/>
      <w:marRight w:val="0"/>
      <w:marTop w:val="0"/>
      <w:marBottom w:val="0"/>
      <w:divBdr>
        <w:top w:val="none" w:sz="0" w:space="0" w:color="auto"/>
        <w:left w:val="none" w:sz="0" w:space="0" w:color="auto"/>
        <w:bottom w:val="none" w:sz="0" w:space="0" w:color="auto"/>
        <w:right w:val="none" w:sz="0" w:space="0" w:color="auto"/>
      </w:divBdr>
    </w:div>
    <w:div w:id="2018313354">
      <w:bodyDiv w:val="1"/>
      <w:marLeft w:val="0"/>
      <w:marRight w:val="0"/>
      <w:marTop w:val="0"/>
      <w:marBottom w:val="0"/>
      <w:divBdr>
        <w:top w:val="none" w:sz="0" w:space="0" w:color="auto"/>
        <w:left w:val="none" w:sz="0" w:space="0" w:color="auto"/>
        <w:bottom w:val="none" w:sz="0" w:space="0" w:color="auto"/>
        <w:right w:val="none" w:sz="0" w:space="0" w:color="auto"/>
      </w:divBdr>
    </w:div>
    <w:div w:id="2026126693">
      <w:bodyDiv w:val="1"/>
      <w:marLeft w:val="0"/>
      <w:marRight w:val="0"/>
      <w:marTop w:val="0"/>
      <w:marBottom w:val="0"/>
      <w:divBdr>
        <w:top w:val="none" w:sz="0" w:space="0" w:color="auto"/>
        <w:left w:val="none" w:sz="0" w:space="0" w:color="auto"/>
        <w:bottom w:val="none" w:sz="0" w:space="0" w:color="auto"/>
        <w:right w:val="none" w:sz="0" w:space="0" w:color="auto"/>
      </w:divBdr>
    </w:div>
    <w:div w:id="2116050675">
      <w:bodyDiv w:val="1"/>
      <w:marLeft w:val="0"/>
      <w:marRight w:val="0"/>
      <w:marTop w:val="0"/>
      <w:marBottom w:val="0"/>
      <w:divBdr>
        <w:top w:val="none" w:sz="0" w:space="0" w:color="auto"/>
        <w:left w:val="none" w:sz="0" w:space="0" w:color="auto"/>
        <w:bottom w:val="none" w:sz="0" w:space="0" w:color="auto"/>
        <w:right w:val="none" w:sz="0" w:space="0" w:color="auto"/>
      </w:divBdr>
    </w:div>
    <w:div w:id="2126995524">
      <w:bodyDiv w:val="1"/>
      <w:marLeft w:val="0"/>
      <w:marRight w:val="0"/>
      <w:marTop w:val="0"/>
      <w:marBottom w:val="0"/>
      <w:divBdr>
        <w:top w:val="none" w:sz="0" w:space="0" w:color="auto"/>
        <w:left w:val="none" w:sz="0" w:space="0" w:color="auto"/>
        <w:bottom w:val="none" w:sz="0" w:space="0" w:color="auto"/>
        <w:right w:val="none" w:sz="0" w:space="0" w:color="auto"/>
      </w:divBdr>
      <w:divsChild>
        <w:div w:id="1925413600">
          <w:marLeft w:val="0"/>
          <w:marRight w:val="0"/>
          <w:marTop w:val="0"/>
          <w:marBottom w:val="0"/>
          <w:divBdr>
            <w:top w:val="none" w:sz="0" w:space="0" w:color="auto"/>
            <w:left w:val="none" w:sz="0" w:space="0" w:color="auto"/>
            <w:bottom w:val="none" w:sz="0" w:space="0" w:color="auto"/>
            <w:right w:val="none" w:sz="0" w:space="0" w:color="auto"/>
          </w:divBdr>
        </w:div>
        <w:div w:id="356930851">
          <w:marLeft w:val="0"/>
          <w:marRight w:val="0"/>
          <w:marTop w:val="0"/>
          <w:marBottom w:val="0"/>
          <w:divBdr>
            <w:top w:val="none" w:sz="0" w:space="0" w:color="auto"/>
            <w:left w:val="none" w:sz="0" w:space="0" w:color="auto"/>
            <w:bottom w:val="none" w:sz="0" w:space="0" w:color="auto"/>
            <w:right w:val="none" w:sz="0" w:space="0" w:color="auto"/>
          </w:divBdr>
        </w:div>
        <w:div w:id="1321999529">
          <w:marLeft w:val="0"/>
          <w:marRight w:val="0"/>
          <w:marTop w:val="0"/>
          <w:marBottom w:val="0"/>
          <w:divBdr>
            <w:top w:val="none" w:sz="0" w:space="0" w:color="auto"/>
            <w:left w:val="none" w:sz="0" w:space="0" w:color="auto"/>
            <w:bottom w:val="none" w:sz="0" w:space="0" w:color="auto"/>
            <w:right w:val="none" w:sz="0" w:space="0" w:color="auto"/>
          </w:divBdr>
        </w:div>
        <w:div w:id="56375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apcom.org/wp-content/uploads/2019/03/Compass-Series-Finance-Inc-rev-27032019_.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story/2019/04/1035831" TargetMode="External"/><Relationship Id="rId4" Type="http://schemas.openxmlformats.org/officeDocument/2006/relationships/hyperlink" Target="https://www.undp.org/content/dam/rbap/docs/Research%20&amp;%20Publications/hiv_aids/rbap-hhd-2015-leave-no-one-behind.pdf" TargetMode="External"/><Relationship Id="rId5" Type="http://schemas.openxmlformats.org/officeDocument/2006/relationships/hyperlink" Target="https://www.ncbi.nlm.nih.gov/pubmed/25059941" TargetMode="External"/><Relationship Id="rId6" Type="http://schemas.openxmlformats.org/officeDocument/2006/relationships/hyperlink" Target="https://asiacatalyst.org/wp-content/uploads/2014/09/Asia-Catalyst-TG-SW-Report.pdf" TargetMode="External"/><Relationship Id="rId7" Type="http://schemas.openxmlformats.org/officeDocument/2006/relationships/hyperlink" Target="https://www.bbc.com/news/world-asia-india-45429664" TargetMode="External"/><Relationship Id="rId8" Type="http://schemas.openxmlformats.org/officeDocument/2006/relationships/hyperlink" Target="https://www.cnn.com/2019/05/17/asia/taiwan-same-sex-marriage-intl/index.html" TargetMode="External"/><Relationship Id="rId9" Type="http://schemas.openxmlformats.org/officeDocument/2006/relationships/hyperlink" Target="http://www.weareaptn.org/2017/06/01/blueprint-for-the-provision-of-comprehensive-care-for-trans-people/" TargetMode="External"/><Relationship Id="rId10" Type="http://schemas.openxmlformats.org/officeDocument/2006/relationships/hyperlink" Target="https://apcom.org/wp-content/uploads/2019/03/Compass-Series-Finance-Inc-rev-27032019_.pdf" TargetMode="External"/><Relationship Id="rId11" Type="http://schemas.openxmlformats.org/officeDocument/2006/relationships/hyperlink" Target="https://apcom.org/2018/07/16/no-longer-left-behind-sogiesc-asia-and-the-pacific-call-for-action-in-the-humanitarian-system/" TargetMode="External"/><Relationship Id="rId1" Type="http://schemas.openxmlformats.org/officeDocument/2006/relationships/hyperlink" Target="https://www.unescap.org/sites/default/files/publications/SDGs-Regional-Roadmap.pdf" TargetMode="External"/><Relationship Id="rId2" Type="http://schemas.openxmlformats.org/officeDocument/2006/relationships/hyperlink" Target="https://www.hrw.org/news/2018/02/20/indonesias-anti-lgbt-drive-should-concern-all-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6D81A-5645-BB4D-90BB-58B75EA95C98}">
  <ds:schemaRefs>
    <ds:schemaRef ds:uri="http://schemas.openxmlformats.org/officeDocument/2006/bibliography"/>
  </ds:schemaRefs>
</ds:datastoreItem>
</file>

<file path=customXml/itemProps2.xml><?xml version="1.0" encoding="utf-8"?>
<ds:datastoreItem xmlns:ds="http://schemas.openxmlformats.org/officeDocument/2006/customXml" ds:itemID="{EC709AE6-9975-445B-80A2-CACBD950B550}"/>
</file>

<file path=customXml/itemProps3.xml><?xml version="1.0" encoding="utf-8"?>
<ds:datastoreItem xmlns:ds="http://schemas.openxmlformats.org/officeDocument/2006/customXml" ds:itemID="{A91340F2-835A-4B70-84A4-CD5F54994384}"/>
</file>

<file path=customXml/itemProps4.xml><?xml version="1.0" encoding="utf-8"?>
<ds:datastoreItem xmlns:ds="http://schemas.openxmlformats.org/officeDocument/2006/customXml" ds:itemID="{859430E5-ACDD-4874-9D73-8F622BE363A0}"/>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9551</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Johns</dc:creator>
  <cp:keywords/>
  <dc:description/>
  <cp:lastModifiedBy>Alexa Johns</cp:lastModifiedBy>
  <cp:revision>2</cp:revision>
  <dcterms:created xsi:type="dcterms:W3CDTF">2019-05-31T23:02:00Z</dcterms:created>
  <dcterms:modified xsi:type="dcterms:W3CDTF">2019-05-31T23:02:00Z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