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FD40" w14:textId="77777777" w:rsidR="00371E36" w:rsidRDefault="00371E36" w:rsidP="00B47096"/>
    <w:p w14:paraId="3CF6268A" w14:textId="77777777" w:rsidR="00371E36" w:rsidRDefault="00371E36" w:rsidP="00B47096"/>
    <w:p w14:paraId="4A314F01" w14:textId="77777777" w:rsidR="00371E36" w:rsidRDefault="00371E36" w:rsidP="00B47096"/>
    <w:p w14:paraId="60B0BA9E" w14:textId="77777777" w:rsidR="00954463" w:rsidRDefault="00954463" w:rsidP="00954463">
      <w:pPr>
        <w:ind w:left="4820"/>
        <w:jc w:val="both"/>
        <w:rPr>
          <w:lang w:val="en-US"/>
        </w:rPr>
      </w:pPr>
    </w:p>
    <w:p w14:paraId="76F436C2" w14:textId="77777777" w:rsidR="00954463" w:rsidRDefault="00954463" w:rsidP="00954463">
      <w:pPr>
        <w:ind w:left="4820"/>
        <w:jc w:val="both"/>
        <w:rPr>
          <w:lang w:val="en-US"/>
        </w:rPr>
      </w:pPr>
      <w:r>
        <w:rPr>
          <w:lang w:val="en-US"/>
        </w:rPr>
        <w:t>Mr. Victor BORLOZ-MADRIGAL</w:t>
      </w:r>
    </w:p>
    <w:p w14:paraId="11E597E1" w14:textId="77777777" w:rsidR="00954463" w:rsidRDefault="00954463" w:rsidP="00954463">
      <w:pPr>
        <w:ind w:left="4820"/>
        <w:jc w:val="both"/>
        <w:rPr>
          <w:lang w:val="en-US"/>
        </w:rPr>
      </w:pPr>
      <w:r>
        <w:rPr>
          <w:lang w:val="en-US"/>
        </w:rPr>
        <w:t xml:space="preserve">Independent </w:t>
      </w:r>
      <w:r w:rsidR="00224876">
        <w:rPr>
          <w:lang w:val="en-US"/>
        </w:rPr>
        <w:t>e</w:t>
      </w:r>
      <w:r>
        <w:rPr>
          <w:lang w:val="en-US"/>
        </w:rPr>
        <w:t>xpert on sexual orientation and gender identity</w:t>
      </w:r>
    </w:p>
    <w:p w14:paraId="30005FB1" w14:textId="77777777" w:rsidR="00954463" w:rsidRDefault="00954463" w:rsidP="00954463">
      <w:pPr>
        <w:ind w:left="4820"/>
        <w:jc w:val="both"/>
        <w:rPr>
          <w:lang w:val="en-US"/>
        </w:rPr>
      </w:pPr>
    </w:p>
    <w:p w14:paraId="1963D1AF" w14:textId="77777777" w:rsidR="00954463" w:rsidRDefault="00954463" w:rsidP="00954463">
      <w:pPr>
        <w:ind w:left="4820"/>
        <w:jc w:val="both"/>
        <w:rPr>
          <w:lang w:val="en-US"/>
        </w:rPr>
      </w:pPr>
      <w:r>
        <w:rPr>
          <w:lang w:val="en-US"/>
        </w:rPr>
        <w:t>Via e-mail : ie-sogi@ohchr.org</w:t>
      </w:r>
    </w:p>
    <w:p w14:paraId="256FEBE3" w14:textId="77777777" w:rsidR="00371E36" w:rsidRPr="00954463" w:rsidRDefault="00371E36" w:rsidP="00B47096">
      <w:pPr>
        <w:rPr>
          <w:lang w:val="en-US"/>
        </w:rPr>
      </w:pPr>
    </w:p>
    <w:p w14:paraId="51B9179D" w14:textId="77777777" w:rsidR="00371E36" w:rsidRPr="00954463" w:rsidRDefault="00371E36" w:rsidP="00B47096">
      <w:pPr>
        <w:rPr>
          <w:lang w:val="en-US"/>
        </w:rPr>
      </w:pPr>
    </w:p>
    <w:p w14:paraId="44CBCC0F" w14:textId="77777777" w:rsidR="00954463" w:rsidRDefault="00954463" w:rsidP="00954463">
      <w:pPr>
        <w:rPr>
          <w:lang w:val="en-US"/>
        </w:rPr>
      </w:pPr>
    </w:p>
    <w:p w14:paraId="5960361C" w14:textId="77777777" w:rsidR="005519C3" w:rsidRPr="00954463" w:rsidRDefault="005519C3" w:rsidP="00954463">
      <w:pPr>
        <w:rPr>
          <w:lang w:val="en-US"/>
        </w:rPr>
      </w:pPr>
    </w:p>
    <w:p w14:paraId="5B08C821" w14:textId="77777777" w:rsidR="00954463" w:rsidRPr="00954463" w:rsidRDefault="00954463" w:rsidP="00954463">
      <w:pPr>
        <w:ind w:left="-284"/>
        <w:jc w:val="both"/>
        <w:rPr>
          <w:lang w:val="en-US"/>
        </w:rPr>
      </w:pPr>
      <w:r w:rsidRPr="00954463">
        <w:rPr>
          <w:lang w:val="en-US"/>
        </w:rPr>
        <w:t>Brussels,</w:t>
      </w:r>
      <w:r w:rsidR="005519C3">
        <w:rPr>
          <w:lang w:val="en-US"/>
        </w:rPr>
        <w:t xml:space="preserve"> </w:t>
      </w:r>
    </w:p>
    <w:p w14:paraId="7AF292C5" w14:textId="77777777" w:rsidR="00954463" w:rsidRDefault="00954463" w:rsidP="00954463">
      <w:pPr>
        <w:ind w:left="-284"/>
        <w:jc w:val="both"/>
        <w:rPr>
          <w:b/>
          <w:lang w:val="en-US"/>
        </w:rPr>
      </w:pPr>
    </w:p>
    <w:p w14:paraId="46F58847" w14:textId="77777777" w:rsidR="005519C3" w:rsidRDefault="005519C3" w:rsidP="00954463">
      <w:pPr>
        <w:ind w:left="-284"/>
        <w:jc w:val="both"/>
        <w:rPr>
          <w:b/>
          <w:lang w:val="en-US"/>
        </w:rPr>
      </w:pPr>
    </w:p>
    <w:p w14:paraId="5479D73F" w14:textId="77777777" w:rsidR="00954463" w:rsidRDefault="00954463" w:rsidP="00954463">
      <w:pPr>
        <w:ind w:left="-284"/>
        <w:jc w:val="both"/>
        <w:rPr>
          <w:b/>
          <w:lang w:val="en-US"/>
        </w:rPr>
      </w:pPr>
    </w:p>
    <w:p w14:paraId="6143625A" w14:textId="62D283C6" w:rsidR="00954463" w:rsidRDefault="00954463" w:rsidP="00954463">
      <w:pPr>
        <w:ind w:left="-284"/>
        <w:jc w:val="both"/>
        <w:rPr>
          <w:lang w:val="en-US"/>
        </w:rPr>
      </w:pPr>
      <w:r>
        <w:rPr>
          <w:b/>
          <w:lang w:val="en-US"/>
        </w:rPr>
        <w:t xml:space="preserve">Our reference / Concerns : </w:t>
      </w:r>
      <w:r>
        <w:rPr>
          <w:lang w:val="en-US"/>
        </w:rPr>
        <w:t xml:space="preserve">Your </w:t>
      </w:r>
      <w:r w:rsidR="00877360">
        <w:rPr>
          <w:lang w:val="en-US"/>
        </w:rPr>
        <w:t>call for inputs of the 6</w:t>
      </w:r>
      <w:r w:rsidR="00877360" w:rsidRPr="00877360">
        <w:rPr>
          <w:vertAlign w:val="superscript"/>
          <w:lang w:val="en-US"/>
        </w:rPr>
        <w:t>th</w:t>
      </w:r>
      <w:r w:rsidR="00877360">
        <w:rPr>
          <w:lang w:val="en-US"/>
        </w:rPr>
        <w:t xml:space="preserve"> of May 2019</w:t>
      </w:r>
    </w:p>
    <w:p w14:paraId="7121080F" w14:textId="1BC92BA8" w:rsidR="00954463" w:rsidRPr="00833BCA" w:rsidRDefault="00954463" w:rsidP="00954463">
      <w:pPr>
        <w:ind w:left="-284"/>
        <w:jc w:val="both"/>
      </w:pPr>
      <w:r w:rsidRPr="00833BCA">
        <w:rPr>
          <w:b/>
        </w:rPr>
        <w:t>Contact person</w:t>
      </w:r>
      <w:r w:rsidRPr="00833BCA">
        <w:t xml:space="preserve"> : </w:t>
      </w:r>
      <w:r w:rsidR="00E71834" w:rsidRPr="00833BCA">
        <w:t>Rik Reusen</w:t>
      </w:r>
      <w:r w:rsidRPr="00833BCA">
        <w:t xml:space="preserve"> / </w:t>
      </w:r>
      <w:r w:rsidR="00E71834" w:rsidRPr="00833BCA">
        <w:t xml:space="preserve">0032 </w:t>
      </w:r>
      <w:r w:rsidRPr="00833BCA">
        <w:t>2</w:t>
      </w:r>
      <w:r w:rsidR="00E71834" w:rsidRPr="00833BCA">
        <w:t xml:space="preserve"> </w:t>
      </w:r>
      <w:r w:rsidRPr="00833BCA">
        <w:t>212.30.</w:t>
      </w:r>
      <w:r w:rsidR="00E71834" w:rsidRPr="00833BCA">
        <w:t>57</w:t>
      </w:r>
      <w:r w:rsidRPr="00833BCA">
        <w:t xml:space="preserve"> / </w:t>
      </w:r>
      <w:r w:rsidR="00E71834" w:rsidRPr="00833BCA">
        <w:t>rik.reusen</w:t>
      </w:r>
      <w:r w:rsidRPr="00833BCA">
        <w:t>@unia.be</w:t>
      </w:r>
    </w:p>
    <w:p w14:paraId="1B3F20D6" w14:textId="77777777" w:rsidR="00371E36" w:rsidRPr="00833BCA" w:rsidRDefault="00371E36" w:rsidP="00B47096"/>
    <w:p w14:paraId="5FDB6F1B" w14:textId="77777777" w:rsidR="00954463" w:rsidRPr="00833BCA" w:rsidRDefault="00954463" w:rsidP="00954463">
      <w:pPr>
        <w:tabs>
          <w:tab w:val="left" w:pos="426"/>
        </w:tabs>
        <w:ind w:left="567"/>
        <w:jc w:val="both"/>
      </w:pPr>
    </w:p>
    <w:p w14:paraId="004255F3" w14:textId="77777777" w:rsidR="00954463" w:rsidRPr="00833BCA" w:rsidRDefault="00954463" w:rsidP="00954463">
      <w:pPr>
        <w:tabs>
          <w:tab w:val="left" w:pos="426"/>
        </w:tabs>
        <w:ind w:left="567"/>
        <w:jc w:val="both"/>
      </w:pPr>
    </w:p>
    <w:p w14:paraId="0BE7F76A" w14:textId="77777777" w:rsidR="00954463" w:rsidRDefault="00954463" w:rsidP="00954463">
      <w:pPr>
        <w:tabs>
          <w:tab w:val="left" w:pos="426"/>
        </w:tabs>
        <w:ind w:left="567"/>
        <w:jc w:val="both"/>
        <w:rPr>
          <w:lang w:val="en-US"/>
        </w:rPr>
      </w:pPr>
      <w:r>
        <w:rPr>
          <w:lang w:val="en-US"/>
        </w:rPr>
        <w:t xml:space="preserve">Dear </w:t>
      </w:r>
      <w:r>
        <w:rPr>
          <w:noProof/>
          <w:lang w:val="en-US"/>
        </w:rPr>
        <w:t>Mr.</w:t>
      </w:r>
      <w:r>
        <w:rPr>
          <w:lang w:val="en-US"/>
        </w:rPr>
        <w:t xml:space="preserve"> </w:t>
      </w:r>
      <w:r w:rsidR="005623B8">
        <w:rPr>
          <w:lang w:val="en-US"/>
        </w:rPr>
        <w:t>Borloz-Madrigal</w:t>
      </w:r>
      <w:r>
        <w:rPr>
          <w:lang w:val="en-US"/>
        </w:rPr>
        <w:t>,</w:t>
      </w:r>
    </w:p>
    <w:p w14:paraId="5D0B5076" w14:textId="77777777" w:rsidR="00954463" w:rsidRDefault="00954463" w:rsidP="00954463">
      <w:pPr>
        <w:tabs>
          <w:tab w:val="left" w:pos="426"/>
        </w:tabs>
        <w:ind w:left="567"/>
        <w:jc w:val="both"/>
        <w:rPr>
          <w:lang w:val="en-US"/>
        </w:rPr>
      </w:pPr>
    </w:p>
    <w:p w14:paraId="161A9481" w14:textId="6EAE0310" w:rsidR="00C343AE" w:rsidRDefault="000306DA" w:rsidP="000306DA">
      <w:pPr>
        <w:tabs>
          <w:tab w:val="left" w:pos="426"/>
        </w:tabs>
        <w:ind w:left="567"/>
        <w:jc w:val="both"/>
        <w:rPr>
          <w:lang w:val="en-US"/>
        </w:rPr>
      </w:pPr>
      <w:proofErr w:type="spellStart"/>
      <w:r>
        <w:rPr>
          <w:lang w:val="en-US"/>
        </w:rPr>
        <w:t>Unia</w:t>
      </w:r>
      <w:proofErr w:type="spellEnd"/>
      <w:r>
        <w:rPr>
          <w:lang w:val="en-US"/>
        </w:rPr>
        <w:t xml:space="preserve">, the Belgian </w:t>
      </w:r>
      <w:r w:rsidR="00CE6E71">
        <w:rPr>
          <w:lang w:val="en-US"/>
        </w:rPr>
        <w:t>National</w:t>
      </w:r>
      <w:r>
        <w:rPr>
          <w:lang w:val="en-US"/>
        </w:rPr>
        <w:t xml:space="preserve"> </w:t>
      </w:r>
      <w:r w:rsidR="00886328">
        <w:rPr>
          <w:lang w:val="en-US"/>
        </w:rPr>
        <w:t>E</w:t>
      </w:r>
      <w:r>
        <w:rPr>
          <w:lang w:val="en-US"/>
        </w:rPr>
        <w:t xml:space="preserve">quality </w:t>
      </w:r>
      <w:r w:rsidR="00886328">
        <w:rPr>
          <w:lang w:val="en-US"/>
        </w:rPr>
        <w:t>B</w:t>
      </w:r>
      <w:r>
        <w:rPr>
          <w:lang w:val="en-US"/>
        </w:rPr>
        <w:t>ody</w:t>
      </w:r>
      <w:r w:rsidR="00370A9C">
        <w:rPr>
          <w:lang w:val="en-US"/>
        </w:rPr>
        <w:t xml:space="preserve"> and </w:t>
      </w:r>
      <w:r w:rsidR="00886328">
        <w:rPr>
          <w:lang w:val="en-US"/>
        </w:rPr>
        <w:t>N</w:t>
      </w:r>
      <w:r w:rsidR="00370A9C">
        <w:rPr>
          <w:lang w:val="en-US"/>
        </w:rPr>
        <w:t xml:space="preserve">ational </w:t>
      </w:r>
      <w:r w:rsidR="00886328">
        <w:rPr>
          <w:lang w:val="en-US"/>
        </w:rPr>
        <w:t>H</w:t>
      </w:r>
      <w:r w:rsidR="00370A9C">
        <w:rPr>
          <w:lang w:val="en-US"/>
        </w:rPr>
        <w:t xml:space="preserve">uman </w:t>
      </w:r>
      <w:r w:rsidR="00886328">
        <w:rPr>
          <w:lang w:val="en-US"/>
        </w:rPr>
        <w:t>R</w:t>
      </w:r>
      <w:r w:rsidR="00370A9C">
        <w:rPr>
          <w:lang w:val="en-US"/>
        </w:rPr>
        <w:t xml:space="preserve">ights </w:t>
      </w:r>
      <w:r w:rsidR="00886328">
        <w:rPr>
          <w:lang w:val="en-US"/>
        </w:rPr>
        <w:t>I</w:t>
      </w:r>
      <w:r w:rsidR="00370A9C">
        <w:rPr>
          <w:lang w:val="en-US"/>
        </w:rPr>
        <w:t>nstitution</w:t>
      </w:r>
      <w:r w:rsidR="00474E7B">
        <w:rPr>
          <w:lang w:val="en-US"/>
        </w:rPr>
        <w:t xml:space="preserve"> (B-Status)</w:t>
      </w:r>
      <w:r w:rsidR="00370A9C">
        <w:rPr>
          <w:lang w:val="en-US"/>
        </w:rPr>
        <w:t xml:space="preserve"> </w:t>
      </w:r>
      <w:r>
        <w:rPr>
          <w:lang w:val="en-US"/>
        </w:rPr>
        <w:t xml:space="preserve">, is an independent public institution that combats discrimination and promotes equal opportunities. </w:t>
      </w:r>
    </w:p>
    <w:p w14:paraId="14BFD4A9" w14:textId="77777777" w:rsidR="00C343AE" w:rsidRDefault="00C343AE" w:rsidP="00C343AE">
      <w:pPr>
        <w:tabs>
          <w:tab w:val="left" w:pos="426"/>
        </w:tabs>
        <w:ind w:left="567"/>
        <w:jc w:val="both"/>
        <w:rPr>
          <w:lang w:val="en-US"/>
        </w:rPr>
      </w:pPr>
    </w:p>
    <w:p w14:paraId="1E4E08ED" w14:textId="77777777" w:rsidR="00C343AE" w:rsidRDefault="00C343AE" w:rsidP="00C343AE">
      <w:pPr>
        <w:tabs>
          <w:tab w:val="left" w:pos="426"/>
        </w:tabs>
        <w:ind w:left="567"/>
        <w:jc w:val="both"/>
        <w:rPr>
          <w:lang w:val="en-US"/>
        </w:rPr>
      </w:pPr>
      <w:r>
        <w:rPr>
          <w:lang w:val="en-US"/>
        </w:rPr>
        <w:t>A</w:t>
      </w:r>
      <w:r w:rsidRPr="005519C3">
        <w:rPr>
          <w:lang w:val="en-US"/>
        </w:rPr>
        <w:t xml:space="preserve">nnexed to this </w:t>
      </w:r>
      <w:r w:rsidRPr="005519C3">
        <w:rPr>
          <w:noProof/>
          <w:lang w:val="en-US"/>
        </w:rPr>
        <w:t>letter,</w:t>
      </w:r>
      <w:r w:rsidRPr="005519C3">
        <w:rPr>
          <w:lang w:val="en-US"/>
        </w:rPr>
        <w:t xml:space="preserve"> you will find more information concerning our institution and the </w:t>
      </w:r>
      <w:r>
        <w:rPr>
          <w:lang w:val="en-US"/>
        </w:rPr>
        <w:t xml:space="preserve">Belgian legal framework regarding sexual orientation and antidiscrimination. </w:t>
      </w:r>
    </w:p>
    <w:p w14:paraId="32B9220C" w14:textId="77777777" w:rsidR="00C343AE" w:rsidRDefault="00C343AE" w:rsidP="000306DA">
      <w:pPr>
        <w:tabs>
          <w:tab w:val="left" w:pos="426"/>
        </w:tabs>
        <w:ind w:left="567"/>
        <w:jc w:val="both"/>
        <w:rPr>
          <w:lang w:val="en-US"/>
        </w:rPr>
      </w:pPr>
    </w:p>
    <w:p w14:paraId="035BF7CF" w14:textId="1FA0B477" w:rsidR="000306DA" w:rsidRDefault="00C343AE" w:rsidP="000306DA">
      <w:pPr>
        <w:tabs>
          <w:tab w:val="left" w:pos="426"/>
        </w:tabs>
        <w:ind w:left="567"/>
        <w:jc w:val="both"/>
        <w:rPr>
          <w:lang w:val="en-US"/>
        </w:rPr>
      </w:pPr>
      <w:r>
        <w:rPr>
          <w:lang w:val="en-US"/>
        </w:rPr>
        <w:t>Unia</w:t>
      </w:r>
      <w:r w:rsidR="000306DA">
        <w:rPr>
          <w:lang w:val="en-US"/>
        </w:rPr>
        <w:t xml:space="preserve"> is competent for, among other things, sexual orientation (however not for (trans)gender</w:t>
      </w:r>
      <w:r w:rsidR="00B83219">
        <w:rPr>
          <w:rStyle w:val="Voetnootmarkering"/>
          <w:lang w:val="en-US"/>
        </w:rPr>
        <w:footnoteReference w:id="1"/>
      </w:r>
      <w:r w:rsidR="000306DA">
        <w:rPr>
          <w:lang w:val="en-US"/>
        </w:rPr>
        <w:t>). We</w:t>
      </w:r>
      <w:r w:rsidR="00954463">
        <w:rPr>
          <w:lang w:val="en-US"/>
        </w:rPr>
        <w:t xml:space="preserve"> took notice of your </w:t>
      </w:r>
      <w:r w:rsidR="005623B8">
        <w:rPr>
          <w:lang w:val="en-US"/>
        </w:rPr>
        <w:t xml:space="preserve">letter </w:t>
      </w:r>
      <w:r w:rsidR="00370A9C">
        <w:rPr>
          <w:lang w:val="en-US"/>
        </w:rPr>
        <w:t>of the 6</w:t>
      </w:r>
      <w:r w:rsidR="00370A9C" w:rsidRPr="00370A9C">
        <w:rPr>
          <w:vertAlign w:val="superscript"/>
          <w:lang w:val="en-US"/>
        </w:rPr>
        <w:t>th</w:t>
      </w:r>
      <w:r w:rsidR="00370A9C">
        <w:rPr>
          <w:lang w:val="en-US"/>
        </w:rPr>
        <w:t xml:space="preserve"> of May</w:t>
      </w:r>
      <w:r w:rsidR="005623B8">
        <w:rPr>
          <w:lang w:val="en-US"/>
        </w:rPr>
        <w:t xml:space="preserve"> 2019 in which</w:t>
      </w:r>
      <w:r w:rsidR="00954463">
        <w:rPr>
          <w:lang w:val="en-US"/>
        </w:rPr>
        <w:t xml:space="preserve"> you </w:t>
      </w:r>
      <w:r w:rsidR="00370A9C">
        <w:rPr>
          <w:lang w:val="en-US"/>
        </w:rPr>
        <w:t>call for input for the report on protection against violence and discrimination bas</w:t>
      </w:r>
      <w:r w:rsidR="00022A7E">
        <w:rPr>
          <w:lang w:val="en-US"/>
        </w:rPr>
        <w:t>e</w:t>
      </w:r>
      <w:r w:rsidR="00370A9C">
        <w:rPr>
          <w:lang w:val="en-US"/>
        </w:rPr>
        <w:t>d on sexual orientation and gender identity</w:t>
      </w:r>
      <w:r w:rsidR="000306DA" w:rsidRPr="000306DA">
        <w:rPr>
          <w:lang w:val="en-US"/>
        </w:rPr>
        <w:t>. We are happy to provide you with the following information</w:t>
      </w:r>
      <w:r>
        <w:rPr>
          <w:lang w:val="en-US"/>
        </w:rPr>
        <w:t>,</w:t>
      </w:r>
      <w:r w:rsidR="000306DA" w:rsidRPr="000306DA">
        <w:rPr>
          <w:lang w:val="en-US"/>
        </w:rPr>
        <w:t xml:space="preserve"> within the scope of our powers.</w:t>
      </w:r>
      <w:r w:rsidR="00A729CF">
        <w:rPr>
          <w:lang w:val="en-US"/>
        </w:rPr>
        <w:t xml:space="preserve"> </w:t>
      </w:r>
    </w:p>
    <w:p w14:paraId="7B3853C8" w14:textId="3AF317FE" w:rsidR="00937580" w:rsidRDefault="00937580" w:rsidP="000306DA">
      <w:pPr>
        <w:tabs>
          <w:tab w:val="left" w:pos="426"/>
        </w:tabs>
        <w:ind w:left="567"/>
        <w:jc w:val="both"/>
        <w:rPr>
          <w:lang w:val="en-US"/>
        </w:rPr>
      </w:pPr>
    </w:p>
    <w:p w14:paraId="0264A964" w14:textId="34F64AEC" w:rsidR="00937580" w:rsidRDefault="00937580" w:rsidP="00937580">
      <w:pPr>
        <w:ind w:left="567"/>
        <w:jc w:val="both"/>
        <w:rPr>
          <w:u w:val="single"/>
          <w:lang w:val="en-US"/>
        </w:rPr>
      </w:pPr>
      <w:r>
        <w:rPr>
          <w:u w:val="single"/>
          <w:lang w:val="en-US"/>
        </w:rPr>
        <w:t>Key areas (1.)</w:t>
      </w:r>
    </w:p>
    <w:p w14:paraId="67A50A5C" w14:textId="77777777" w:rsidR="00937580" w:rsidRDefault="00937580" w:rsidP="00937580">
      <w:pPr>
        <w:ind w:left="567"/>
        <w:jc w:val="both"/>
        <w:rPr>
          <w:u w:val="single"/>
          <w:lang w:val="en-US"/>
        </w:rPr>
      </w:pPr>
    </w:p>
    <w:p w14:paraId="6AC3200A" w14:textId="77777777" w:rsidR="00937580" w:rsidRDefault="00937580" w:rsidP="00937580">
      <w:pPr>
        <w:ind w:left="567" w:right="-476"/>
        <w:jc w:val="both"/>
        <w:rPr>
          <w:rFonts w:cs="Arial"/>
          <w:lang w:val="en-US"/>
        </w:rPr>
      </w:pPr>
      <w:r w:rsidRPr="00033B09">
        <w:rPr>
          <w:rFonts w:cs="Arial"/>
          <w:lang w:val="en-US"/>
        </w:rPr>
        <w:t>Research on LGBTI</w:t>
      </w:r>
      <w:r>
        <w:rPr>
          <w:rFonts w:cs="Arial"/>
          <w:lang w:val="en-US"/>
        </w:rPr>
        <w:t xml:space="preserve"> in Belgium</w:t>
      </w:r>
      <w:r w:rsidRPr="00033B09">
        <w:rPr>
          <w:rFonts w:cs="Arial"/>
          <w:lang w:val="en-US"/>
        </w:rPr>
        <w:t xml:space="preserve"> is not conducted in a systematic way although some new research was commissioned</w:t>
      </w:r>
      <w:r>
        <w:rPr>
          <w:rFonts w:cs="Arial"/>
          <w:lang w:val="en-US"/>
        </w:rPr>
        <w:t xml:space="preserve"> over the last years</w:t>
      </w:r>
      <w:r w:rsidRPr="00033B09">
        <w:rPr>
          <w:rFonts w:cs="Arial"/>
          <w:lang w:val="en-US"/>
        </w:rPr>
        <w:t xml:space="preserve">, notably by the Flemish and Federal governments. The only systematic way of doing research was established by the Flemish government (Policy Research </w:t>
      </w:r>
      <w:r w:rsidRPr="00033B09">
        <w:rPr>
          <w:rFonts w:cs="Arial"/>
          <w:lang w:val="en-US"/>
        </w:rPr>
        <w:lastRenderedPageBreak/>
        <w:t xml:space="preserve">Centre on Equality Policies) but its existence was not prolonged in 2015. The existing ad hoc approach is problematic. </w:t>
      </w:r>
    </w:p>
    <w:p w14:paraId="5AB1211C" w14:textId="7D18195E" w:rsidR="00937580" w:rsidRDefault="00937580" w:rsidP="00937580">
      <w:pPr>
        <w:ind w:left="567" w:right="-476"/>
        <w:jc w:val="both"/>
        <w:rPr>
          <w:rFonts w:cs="Arial"/>
          <w:lang w:val="en-US"/>
        </w:rPr>
      </w:pPr>
      <w:r w:rsidRPr="00033B09">
        <w:rPr>
          <w:rFonts w:cs="Arial"/>
          <w:lang w:val="en-US"/>
        </w:rPr>
        <w:t xml:space="preserve">The Flemish School Climate Survey Report, research commissioned by </w:t>
      </w:r>
      <w:proofErr w:type="spellStart"/>
      <w:r w:rsidRPr="00CE6E71">
        <w:rPr>
          <w:rFonts w:cs="Arial"/>
          <w:caps/>
          <w:lang w:val="en-US"/>
        </w:rPr>
        <w:t>ç</w:t>
      </w:r>
      <w:r w:rsidRPr="00033B09">
        <w:rPr>
          <w:rFonts w:cs="Arial"/>
          <w:lang w:val="en-US"/>
        </w:rPr>
        <w:t>avaria</w:t>
      </w:r>
      <w:proofErr w:type="spellEnd"/>
      <w:r w:rsidR="00EB1BAB">
        <w:rPr>
          <w:rFonts w:cs="Arial"/>
          <w:lang w:val="en-US"/>
        </w:rPr>
        <w:t xml:space="preserve">, </w:t>
      </w:r>
      <w:r w:rsidR="00EB1BAB" w:rsidRPr="00EB1BAB">
        <w:rPr>
          <w:rFonts w:cs="Arial"/>
          <w:lang w:val="en-US"/>
        </w:rPr>
        <w:t xml:space="preserve">the Flemish advocate of LGBTI+ people and the umbrella </w:t>
      </w:r>
      <w:proofErr w:type="spellStart"/>
      <w:r w:rsidR="00EB1BAB" w:rsidRPr="00EB1BAB">
        <w:rPr>
          <w:rFonts w:cs="Arial"/>
          <w:lang w:val="en-US"/>
        </w:rPr>
        <w:t>organisation</w:t>
      </w:r>
      <w:proofErr w:type="spellEnd"/>
      <w:r w:rsidR="00EB1BAB" w:rsidRPr="00EB1BAB">
        <w:rPr>
          <w:rFonts w:cs="Arial"/>
          <w:lang w:val="en-US"/>
        </w:rPr>
        <w:t xml:space="preserve"> of LGBTI+ </w:t>
      </w:r>
      <w:proofErr w:type="spellStart"/>
      <w:r w:rsidR="00EB1BAB" w:rsidRPr="00EB1BAB">
        <w:rPr>
          <w:rFonts w:cs="Arial"/>
          <w:lang w:val="en-US"/>
        </w:rPr>
        <w:t>organisations</w:t>
      </w:r>
      <w:proofErr w:type="spellEnd"/>
      <w:r w:rsidR="00EB1BAB" w:rsidRPr="00EB1BAB">
        <w:rPr>
          <w:rFonts w:cs="Arial"/>
          <w:lang w:val="en-US"/>
        </w:rPr>
        <w:t>.</w:t>
      </w:r>
      <w:r w:rsidRPr="00033B09">
        <w:rPr>
          <w:rFonts w:cs="Arial"/>
          <w:lang w:val="en-US"/>
        </w:rPr>
        <w:t>, made clear that LGBT do not necessarily feel accepted or even safe in their school environment. Two fifths (41.1%) reported feeling unsafe at school in the past year because of their sexual orientation. More than a fourth (26.9%) of LGBT students felt unsafe because of how they expressed their gender.</w:t>
      </w:r>
      <w:r w:rsidRPr="00216981">
        <w:rPr>
          <w:rStyle w:val="Voetnootmarkering"/>
          <w:rFonts w:cs="Arial"/>
          <w:lang w:val="en-US"/>
        </w:rPr>
        <w:footnoteReference w:id="2"/>
      </w:r>
    </w:p>
    <w:p w14:paraId="1C2E307D" w14:textId="77777777" w:rsidR="00937580" w:rsidRPr="00033B09" w:rsidRDefault="00937580" w:rsidP="00937580">
      <w:pPr>
        <w:ind w:left="567" w:right="-476"/>
        <w:jc w:val="both"/>
        <w:rPr>
          <w:rFonts w:cs="Arial"/>
          <w:lang w:val="en-US"/>
        </w:rPr>
      </w:pPr>
    </w:p>
    <w:p w14:paraId="58501B38" w14:textId="20922608" w:rsidR="00937580" w:rsidRDefault="00937580" w:rsidP="00937580">
      <w:pPr>
        <w:ind w:left="567" w:right="-476"/>
        <w:jc w:val="both"/>
        <w:rPr>
          <w:rFonts w:cs="Arial"/>
          <w:lang w:val="en-US"/>
        </w:rPr>
      </w:pPr>
      <w:r>
        <w:rPr>
          <w:rFonts w:cs="Arial"/>
          <w:lang w:val="en-US"/>
        </w:rPr>
        <w:t>In 2018 our institution conducted</w:t>
      </w:r>
      <w:r w:rsidR="00EB1BAB">
        <w:rPr>
          <w:rFonts w:cs="Arial"/>
          <w:lang w:val="en-US"/>
        </w:rPr>
        <w:t xml:space="preserve"> the research</w:t>
      </w:r>
      <w:r>
        <w:rPr>
          <w:rFonts w:cs="Arial"/>
          <w:lang w:val="en-US"/>
        </w:rPr>
        <w:t xml:space="preserve"> </w:t>
      </w:r>
      <w:r w:rsidR="00EB1BAB">
        <w:rPr>
          <w:rFonts w:cs="Arial"/>
          <w:lang w:val="en-US"/>
        </w:rPr>
        <w:t>‘</w:t>
      </w:r>
      <w:r w:rsidR="00EB1BAB" w:rsidRPr="00CE6E71">
        <w:rPr>
          <w:lang w:val="en-US"/>
        </w:rPr>
        <w:t>Diversity Barometer Education</w:t>
      </w:r>
      <w:r w:rsidR="00EB1BAB">
        <w:rPr>
          <w:lang w:val="en-US"/>
        </w:rPr>
        <w:t>’</w:t>
      </w:r>
      <w:r w:rsidR="00EB1BAB" w:rsidRPr="00CE6E71">
        <w:rPr>
          <w:lang w:val="en-US"/>
        </w:rPr>
        <w:t xml:space="preserve"> on exclusion in the education system, covering the three education systems of Flanders, </w:t>
      </w:r>
      <w:r w:rsidR="00EB1BAB">
        <w:rPr>
          <w:lang w:val="en-US"/>
        </w:rPr>
        <w:t>the French speaking part</w:t>
      </w:r>
      <w:r w:rsidR="00EB1BAB" w:rsidRPr="00CE6E71">
        <w:rPr>
          <w:lang w:val="en-US"/>
        </w:rPr>
        <w:t xml:space="preserve"> and the German speaking part of Belgium</w:t>
      </w:r>
      <w:r>
        <w:rPr>
          <w:rFonts w:cs="Arial"/>
          <w:lang w:val="en-US"/>
        </w:rPr>
        <w:t>. Results highlighted that although teachers showed great acceptance of LGB in principle, they did not know how to deal with these differences within their class rooms and found it difficult to elaborate on the subject with their pupils. Results also showed that teaches were in favor of more time / attention for this subject. Therefor we advocate that standard teacher formation should include training teachers on how to teach on LGB and how to deal with the SOGI-diversity in their classrooms.</w:t>
      </w:r>
      <w:r>
        <w:rPr>
          <w:rStyle w:val="Voetnootmarkering"/>
          <w:rFonts w:cs="Arial"/>
          <w:lang w:val="en-US"/>
        </w:rPr>
        <w:footnoteReference w:id="3"/>
      </w:r>
      <w:r>
        <w:rPr>
          <w:rFonts w:cs="Arial"/>
          <w:lang w:val="en-US"/>
        </w:rPr>
        <w:t xml:space="preserve"> </w:t>
      </w:r>
    </w:p>
    <w:p w14:paraId="2DBD8CCE" w14:textId="77777777" w:rsidR="00937580" w:rsidRDefault="00937580" w:rsidP="00937580">
      <w:pPr>
        <w:ind w:left="567" w:right="-476"/>
        <w:jc w:val="both"/>
        <w:rPr>
          <w:rFonts w:cs="Arial"/>
          <w:lang w:val="en-US"/>
        </w:rPr>
      </w:pPr>
    </w:p>
    <w:p w14:paraId="14310A57" w14:textId="5BCF8816" w:rsidR="00937580" w:rsidRDefault="00937580" w:rsidP="00937580">
      <w:pPr>
        <w:ind w:left="567" w:right="-476"/>
        <w:jc w:val="both"/>
        <w:rPr>
          <w:rFonts w:cs="Arial"/>
          <w:lang w:val="en-US"/>
        </w:rPr>
      </w:pPr>
      <w:r w:rsidRPr="003C5F6D">
        <w:rPr>
          <w:rFonts w:cs="Arial"/>
          <w:lang w:val="en-US"/>
        </w:rPr>
        <w:t xml:space="preserve">More information on the key areas </w:t>
      </w:r>
      <w:r>
        <w:rPr>
          <w:rFonts w:cs="Arial"/>
          <w:lang w:val="en-US"/>
        </w:rPr>
        <w:t>can be found under the section of complaint mechanisms (4.).</w:t>
      </w:r>
    </w:p>
    <w:p w14:paraId="43A4983F" w14:textId="77777777" w:rsidR="00937580" w:rsidRPr="003C5F6D" w:rsidRDefault="00937580" w:rsidP="00937580">
      <w:pPr>
        <w:ind w:left="567" w:right="-476"/>
        <w:jc w:val="both"/>
        <w:rPr>
          <w:rFonts w:cs="Arial"/>
          <w:lang w:val="en-US"/>
        </w:rPr>
      </w:pPr>
    </w:p>
    <w:p w14:paraId="38665AA9" w14:textId="1C718414" w:rsidR="00937580" w:rsidRDefault="00937580" w:rsidP="00937580">
      <w:pPr>
        <w:ind w:left="567" w:right="-476"/>
        <w:jc w:val="both"/>
        <w:rPr>
          <w:rFonts w:cs="Arial"/>
          <w:u w:val="single"/>
          <w:lang w:val="en-US"/>
        </w:rPr>
      </w:pPr>
      <w:r w:rsidRPr="002527C5">
        <w:rPr>
          <w:rFonts w:cs="Arial"/>
          <w:u w:val="single"/>
          <w:lang w:val="en-US"/>
        </w:rPr>
        <w:t>Root cause and structural factors (2.)</w:t>
      </w:r>
    </w:p>
    <w:p w14:paraId="49E4A8EA" w14:textId="77777777" w:rsidR="00937580" w:rsidRPr="002527C5" w:rsidRDefault="00937580" w:rsidP="00937580">
      <w:pPr>
        <w:ind w:left="567" w:right="-476"/>
        <w:jc w:val="both"/>
        <w:rPr>
          <w:rFonts w:cs="Arial"/>
          <w:u w:val="single"/>
          <w:lang w:val="en-US"/>
        </w:rPr>
      </w:pPr>
    </w:p>
    <w:p w14:paraId="49B0E1EE" w14:textId="6430F4F1" w:rsidR="00937580" w:rsidRDefault="00937580" w:rsidP="00937580">
      <w:pPr>
        <w:ind w:left="567"/>
        <w:jc w:val="both"/>
        <w:rPr>
          <w:lang w:val="en-US"/>
        </w:rPr>
      </w:pPr>
      <w:r w:rsidRPr="00744184">
        <w:rPr>
          <w:lang w:val="en-US"/>
        </w:rPr>
        <w:t>Our institution conducted a survey on</w:t>
      </w:r>
      <w:r>
        <w:rPr>
          <w:lang w:val="en-US"/>
        </w:rPr>
        <w:t xml:space="preserve"> homophobia in 2016</w:t>
      </w:r>
      <w:r>
        <w:rPr>
          <w:rStyle w:val="Voetnootmarkering"/>
          <w:lang w:val="en-US"/>
        </w:rPr>
        <w:footnoteReference w:id="4"/>
      </w:r>
      <w:r>
        <w:rPr>
          <w:lang w:val="en-US"/>
        </w:rPr>
        <w:t xml:space="preserve"> revealing prevailing stereotypes towards LGB in different domains. In general we can say that in Belgium there is a good degree of acceptance of LGBT+ when it comes to the principle of equality, but that this acceptance shrinks when people are confronted with LGBT+ expressing themselves in the public domain.  </w:t>
      </w:r>
    </w:p>
    <w:p w14:paraId="4531BCE2" w14:textId="77777777" w:rsidR="00937580" w:rsidRDefault="00937580" w:rsidP="00937580">
      <w:pPr>
        <w:ind w:left="567"/>
        <w:jc w:val="both"/>
        <w:rPr>
          <w:lang w:val="en-US"/>
        </w:rPr>
      </w:pPr>
    </w:p>
    <w:p w14:paraId="21D84DD1" w14:textId="20280332" w:rsidR="00937580" w:rsidRDefault="00937580" w:rsidP="00937580">
      <w:pPr>
        <w:ind w:left="567"/>
        <w:jc w:val="both"/>
        <w:rPr>
          <w:lang w:val="en-US"/>
        </w:rPr>
      </w:pPr>
      <w:r>
        <w:rPr>
          <w:lang w:val="en-US"/>
        </w:rPr>
        <w:t xml:space="preserve">Some results of the survey: </w:t>
      </w:r>
    </w:p>
    <w:p w14:paraId="3A0F4784" w14:textId="77777777" w:rsidR="00937580" w:rsidRDefault="00937580" w:rsidP="00937580">
      <w:pPr>
        <w:ind w:left="567"/>
        <w:jc w:val="both"/>
        <w:rPr>
          <w:lang w:val="en-US"/>
        </w:rPr>
      </w:pPr>
    </w:p>
    <w:p w14:paraId="022E030D" w14:textId="77777777" w:rsidR="00937580" w:rsidRPr="00736DCA" w:rsidRDefault="00937580" w:rsidP="00937580">
      <w:pPr>
        <w:pStyle w:val="Lijstalinea"/>
        <w:numPr>
          <w:ilvl w:val="0"/>
          <w:numId w:val="19"/>
        </w:numPr>
        <w:spacing w:line="240" w:lineRule="auto"/>
        <w:rPr>
          <w:lang w:val="en-US"/>
        </w:rPr>
      </w:pPr>
      <w:r w:rsidRPr="00736DCA">
        <w:rPr>
          <w:lang w:val="en-US"/>
        </w:rPr>
        <w:t xml:space="preserve">28% of the respondents was not in favor of using illustrations of same sex couples in school manuals </w:t>
      </w:r>
    </w:p>
    <w:p w14:paraId="3A37BF13" w14:textId="77777777" w:rsidR="00937580" w:rsidRDefault="00937580" w:rsidP="00937580">
      <w:pPr>
        <w:pStyle w:val="Lijstalinea"/>
        <w:numPr>
          <w:ilvl w:val="0"/>
          <w:numId w:val="19"/>
        </w:numPr>
        <w:spacing w:line="240" w:lineRule="auto"/>
        <w:jc w:val="both"/>
        <w:rPr>
          <w:lang w:val="en-US"/>
        </w:rPr>
      </w:pPr>
      <w:r w:rsidRPr="00736DCA">
        <w:rPr>
          <w:lang w:val="en-US"/>
        </w:rPr>
        <w:t xml:space="preserve">17% affirms that </w:t>
      </w:r>
      <w:r>
        <w:rPr>
          <w:lang w:val="en-US"/>
        </w:rPr>
        <w:t>the teacher of their children should hide the fact the he/she is in fact LGB</w:t>
      </w:r>
    </w:p>
    <w:p w14:paraId="07A9FBF9" w14:textId="21C9D68D" w:rsidR="00937580" w:rsidRDefault="00937580" w:rsidP="00937580">
      <w:pPr>
        <w:pStyle w:val="Lijstalinea"/>
        <w:numPr>
          <w:ilvl w:val="0"/>
          <w:numId w:val="19"/>
        </w:numPr>
        <w:spacing w:line="240" w:lineRule="auto"/>
        <w:jc w:val="both"/>
        <w:rPr>
          <w:lang w:val="en-US"/>
        </w:rPr>
      </w:pPr>
      <w:r>
        <w:rPr>
          <w:lang w:val="en-US"/>
        </w:rPr>
        <w:t xml:space="preserve">18% of the responds would have a problem with taking a shower together after sports if one of his/her team members would </w:t>
      </w:r>
      <w:r w:rsidR="00AF404C">
        <w:rPr>
          <w:lang w:val="en-US"/>
        </w:rPr>
        <w:t>b</w:t>
      </w:r>
      <w:r>
        <w:rPr>
          <w:lang w:val="en-US"/>
        </w:rPr>
        <w:t>e gay</w:t>
      </w:r>
    </w:p>
    <w:p w14:paraId="1F342F30" w14:textId="77777777" w:rsidR="00937580" w:rsidRDefault="00937580" w:rsidP="00937580">
      <w:pPr>
        <w:ind w:left="567"/>
        <w:jc w:val="both"/>
        <w:rPr>
          <w:lang w:val="en-US"/>
        </w:rPr>
      </w:pPr>
    </w:p>
    <w:p w14:paraId="300312F7" w14:textId="0B0F9283" w:rsidR="00937580" w:rsidRDefault="00937580" w:rsidP="00937580">
      <w:pPr>
        <w:ind w:left="567"/>
        <w:jc w:val="both"/>
        <w:rPr>
          <w:lang w:val="en-US"/>
        </w:rPr>
      </w:pPr>
      <w:r w:rsidRPr="00D13A22">
        <w:rPr>
          <w:lang w:val="en-US"/>
        </w:rPr>
        <w:t>The Belgian antidiscrimination law states that it is forbidden to incite others in public to discrimination, hate or violence vis-à-vis persons or groups on the basis of a protected criterion.</w:t>
      </w:r>
    </w:p>
    <w:p w14:paraId="6F746BE0" w14:textId="77777777" w:rsidR="00264130" w:rsidRPr="00D13A22" w:rsidRDefault="00264130" w:rsidP="00937580">
      <w:pPr>
        <w:ind w:left="567"/>
        <w:jc w:val="both"/>
        <w:rPr>
          <w:lang w:val="en-US"/>
        </w:rPr>
      </w:pPr>
    </w:p>
    <w:p w14:paraId="00FB4EFF" w14:textId="35CB87E2" w:rsidR="00937580" w:rsidRPr="00D13A22" w:rsidRDefault="00937580" w:rsidP="00937580">
      <w:pPr>
        <w:ind w:left="567"/>
        <w:jc w:val="both"/>
        <w:rPr>
          <w:lang w:val="en-US"/>
        </w:rPr>
      </w:pPr>
      <w:r w:rsidRPr="00D13A22">
        <w:rPr>
          <w:lang w:val="en-US"/>
        </w:rPr>
        <w:t>Hate</w:t>
      </w:r>
      <w:r w:rsidR="00B03131">
        <w:rPr>
          <w:lang w:val="en-US"/>
        </w:rPr>
        <w:t xml:space="preserve"> </w:t>
      </w:r>
      <w:r w:rsidRPr="00D13A22">
        <w:rPr>
          <w:lang w:val="en-US"/>
        </w:rPr>
        <w:t xml:space="preserve">speech often occurs in written form. The Belgian constitution states that ‘press crimes’ must be assessed before a </w:t>
      </w:r>
      <w:r w:rsidR="003E17EE">
        <w:rPr>
          <w:lang w:val="en-US"/>
        </w:rPr>
        <w:t>“</w:t>
      </w:r>
      <w:proofErr w:type="spellStart"/>
      <w:r w:rsidR="003E17EE">
        <w:rPr>
          <w:lang w:val="en-US"/>
        </w:rPr>
        <w:t>Cour</w:t>
      </w:r>
      <w:proofErr w:type="spellEnd"/>
      <w:r w:rsidR="003E17EE">
        <w:rPr>
          <w:lang w:val="en-US"/>
        </w:rPr>
        <w:t xml:space="preserve"> </w:t>
      </w:r>
      <w:proofErr w:type="spellStart"/>
      <w:r w:rsidR="003E17EE">
        <w:rPr>
          <w:lang w:val="en-US"/>
        </w:rPr>
        <w:t>d’assises</w:t>
      </w:r>
      <w:proofErr w:type="spellEnd"/>
      <w:r w:rsidR="003E17EE">
        <w:rPr>
          <w:lang w:val="en-US"/>
        </w:rPr>
        <w:t>”</w:t>
      </w:r>
      <w:r w:rsidRPr="00D13A22">
        <w:rPr>
          <w:lang w:val="en-US"/>
        </w:rPr>
        <w:t xml:space="preserve">(and thus before a popular jury). The constitution only makes an exception on this general principle for racist press crimes. They can be assessed by an ordinary criminal court. The consequence is that homophobic (and other non-racist) press crimes or not prosecuted in practice since </w:t>
      </w:r>
      <w:r w:rsidR="00BF6152">
        <w:rPr>
          <w:lang w:val="en-US"/>
        </w:rPr>
        <w:t>a</w:t>
      </w:r>
      <w:r w:rsidR="00BF6152" w:rsidRPr="00D13A22">
        <w:rPr>
          <w:lang w:val="en-US"/>
        </w:rPr>
        <w:t xml:space="preserve"> </w:t>
      </w:r>
      <w:r w:rsidR="003E17EE">
        <w:rPr>
          <w:lang w:val="en-US"/>
        </w:rPr>
        <w:t>”</w:t>
      </w:r>
      <w:proofErr w:type="spellStart"/>
      <w:r w:rsidR="003E17EE">
        <w:rPr>
          <w:lang w:val="en-US"/>
        </w:rPr>
        <w:t>Cour</w:t>
      </w:r>
      <w:proofErr w:type="spellEnd"/>
      <w:r w:rsidR="003E17EE">
        <w:rPr>
          <w:lang w:val="en-US"/>
        </w:rPr>
        <w:t xml:space="preserve"> </w:t>
      </w:r>
      <w:proofErr w:type="spellStart"/>
      <w:r w:rsidR="003E17EE">
        <w:rPr>
          <w:lang w:val="en-US"/>
        </w:rPr>
        <w:t>d’assises</w:t>
      </w:r>
      <w:proofErr w:type="spellEnd"/>
      <w:r w:rsidR="003E17EE">
        <w:rPr>
          <w:lang w:val="en-US"/>
        </w:rPr>
        <w:t>”</w:t>
      </w:r>
      <w:r w:rsidRPr="00D13A22">
        <w:rPr>
          <w:lang w:val="en-US"/>
        </w:rPr>
        <w:t xml:space="preserve"> is </w:t>
      </w:r>
      <w:r w:rsidR="003E17EE">
        <w:rPr>
          <w:lang w:val="en-US"/>
        </w:rPr>
        <w:t xml:space="preserve">nearly never </w:t>
      </w:r>
      <w:r w:rsidRPr="00D13A22">
        <w:rPr>
          <w:lang w:val="en-US"/>
        </w:rPr>
        <w:t xml:space="preserve"> convened for press crimes. A few years ago there was a lot of commotion concerning the book ‘The Way of the Muslim’ which was sold in Belgian bookshops. It mentioned that homosexuals should be killed by throwing them from buildings.</w:t>
      </w:r>
      <w:r w:rsidR="00833BCA">
        <w:rPr>
          <w:lang w:val="en-US"/>
        </w:rPr>
        <w:t xml:space="preserve"> </w:t>
      </w:r>
      <w:proofErr w:type="spellStart"/>
      <w:r w:rsidR="00833BCA" w:rsidRPr="00833BCA">
        <w:rPr>
          <w:lang w:val="en-US"/>
        </w:rPr>
        <w:t>Unia</w:t>
      </w:r>
      <w:proofErr w:type="spellEnd"/>
      <w:r w:rsidR="00BF6152">
        <w:rPr>
          <w:lang w:val="en-US"/>
        </w:rPr>
        <w:t xml:space="preserve"> has wanted to give a signal regarding this book and</w:t>
      </w:r>
      <w:r w:rsidR="00833BCA" w:rsidRPr="00833BCA">
        <w:rPr>
          <w:lang w:val="en-US"/>
        </w:rPr>
        <w:t xml:space="preserve"> filed a complaint with the Public Prosecutor's Office against the distribution of the book</w:t>
      </w:r>
      <w:r w:rsidR="00833BCA">
        <w:rPr>
          <w:lang w:val="en-US"/>
        </w:rPr>
        <w:t xml:space="preserve">, </w:t>
      </w:r>
      <w:r w:rsidR="00833BCA" w:rsidRPr="00833BCA">
        <w:rPr>
          <w:lang w:val="en-US"/>
        </w:rPr>
        <w:t>but</w:t>
      </w:r>
      <w:r w:rsidR="006A0382">
        <w:rPr>
          <w:lang w:val="en-US"/>
        </w:rPr>
        <w:t xml:space="preserve"> considering the foregoing</w:t>
      </w:r>
      <w:r w:rsidR="00833BCA" w:rsidRPr="00833BCA">
        <w:rPr>
          <w:lang w:val="en-US"/>
        </w:rPr>
        <w:t xml:space="preserve"> it's unlikely that </w:t>
      </w:r>
      <w:r w:rsidR="00BF6152">
        <w:rPr>
          <w:lang w:val="en-US"/>
        </w:rPr>
        <w:t>a</w:t>
      </w:r>
      <w:r w:rsidR="00833BCA" w:rsidRPr="00833BCA">
        <w:rPr>
          <w:lang w:val="en-US"/>
        </w:rPr>
        <w:t xml:space="preserve"> </w:t>
      </w:r>
      <w:r w:rsidR="00833BCA">
        <w:rPr>
          <w:lang w:val="en-US"/>
        </w:rPr>
        <w:t>“</w:t>
      </w:r>
      <w:proofErr w:type="spellStart"/>
      <w:r w:rsidR="00833BCA">
        <w:rPr>
          <w:lang w:val="en-US"/>
        </w:rPr>
        <w:t>Cour</w:t>
      </w:r>
      <w:proofErr w:type="spellEnd"/>
      <w:r w:rsidR="00833BCA">
        <w:rPr>
          <w:lang w:val="en-US"/>
        </w:rPr>
        <w:t xml:space="preserve"> </w:t>
      </w:r>
      <w:proofErr w:type="spellStart"/>
      <w:r w:rsidR="00833BCA">
        <w:rPr>
          <w:lang w:val="en-US"/>
        </w:rPr>
        <w:t>d’assises</w:t>
      </w:r>
      <w:proofErr w:type="spellEnd"/>
      <w:r w:rsidR="00833BCA">
        <w:rPr>
          <w:lang w:val="en-US"/>
        </w:rPr>
        <w:t xml:space="preserve">” </w:t>
      </w:r>
      <w:r w:rsidR="00833BCA" w:rsidRPr="00833BCA">
        <w:rPr>
          <w:lang w:val="en-US"/>
        </w:rPr>
        <w:t xml:space="preserve"> will be convened to deal with this</w:t>
      </w:r>
      <w:r w:rsidR="00BF6152">
        <w:rPr>
          <w:lang w:val="en-US"/>
        </w:rPr>
        <w:t xml:space="preserve"> complaint</w:t>
      </w:r>
      <w:r w:rsidR="00833BCA" w:rsidRPr="00833BCA">
        <w:rPr>
          <w:lang w:val="en-US"/>
        </w:rPr>
        <w:t>.</w:t>
      </w:r>
      <w:r w:rsidRPr="00D13A22">
        <w:rPr>
          <w:lang w:val="en-US"/>
        </w:rPr>
        <w:t xml:space="preserve"> </w:t>
      </w:r>
      <w:proofErr w:type="spellStart"/>
      <w:r w:rsidRPr="00D13A22">
        <w:rPr>
          <w:lang w:val="en-US"/>
        </w:rPr>
        <w:t>Unia</w:t>
      </w:r>
      <w:proofErr w:type="spellEnd"/>
      <w:r w:rsidRPr="00D13A22">
        <w:rPr>
          <w:lang w:val="en-US"/>
        </w:rPr>
        <w:t xml:space="preserve"> urges for a review of the provisions regarding hate</w:t>
      </w:r>
      <w:r w:rsidR="00B03131">
        <w:rPr>
          <w:lang w:val="en-US"/>
        </w:rPr>
        <w:t xml:space="preserve"> </w:t>
      </w:r>
      <w:r w:rsidRPr="00D13A22">
        <w:rPr>
          <w:lang w:val="en-US"/>
        </w:rPr>
        <w:t>speech in the constitution in order to get  an equal treatment of racist and non-racist press crimes.</w:t>
      </w:r>
    </w:p>
    <w:p w14:paraId="44124821" w14:textId="77777777" w:rsidR="00937580" w:rsidRPr="00C15079" w:rsidRDefault="00937580" w:rsidP="00937580">
      <w:pPr>
        <w:pStyle w:val="Lijstalinea"/>
        <w:ind w:left="567"/>
        <w:jc w:val="both"/>
        <w:rPr>
          <w:lang w:val="en-US"/>
        </w:rPr>
      </w:pPr>
    </w:p>
    <w:p w14:paraId="0C65FC60" w14:textId="48B7D17A" w:rsidR="00937580" w:rsidRDefault="00937580" w:rsidP="00937580">
      <w:pPr>
        <w:ind w:left="567"/>
        <w:jc w:val="both"/>
        <w:rPr>
          <w:u w:val="single"/>
          <w:lang w:val="en-US"/>
        </w:rPr>
      </w:pPr>
      <w:r>
        <w:rPr>
          <w:u w:val="single"/>
          <w:lang w:val="en-US"/>
        </w:rPr>
        <w:t>State efforts (3.)</w:t>
      </w:r>
    </w:p>
    <w:p w14:paraId="4EEC0891" w14:textId="77777777" w:rsidR="00264130" w:rsidRDefault="00264130" w:rsidP="00937580">
      <w:pPr>
        <w:ind w:left="567"/>
        <w:jc w:val="both"/>
        <w:rPr>
          <w:u w:val="single"/>
          <w:lang w:val="en-US"/>
        </w:rPr>
      </w:pPr>
    </w:p>
    <w:p w14:paraId="3F8F9A69" w14:textId="0FD44E15" w:rsidR="00937580" w:rsidRDefault="00937580" w:rsidP="00937580">
      <w:pPr>
        <w:ind w:left="567"/>
        <w:jc w:val="both"/>
        <w:rPr>
          <w:lang w:val="en-US"/>
        </w:rPr>
      </w:pPr>
      <w:r w:rsidRPr="00483A08">
        <w:rPr>
          <w:lang w:val="en-US"/>
        </w:rPr>
        <w:t>Concerning th</w:t>
      </w:r>
      <w:r>
        <w:rPr>
          <w:lang w:val="en-US"/>
        </w:rPr>
        <w:t xml:space="preserve">e </w:t>
      </w:r>
      <w:proofErr w:type="spellStart"/>
      <w:r>
        <w:rPr>
          <w:lang w:val="en-US"/>
        </w:rPr>
        <w:t>interfederal</w:t>
      </w:r>
      <w:proofErr w:type="spellEnd"/>
      <w:r>
        <w:rPr>
          <w:lang w:val="en-US"/>
        </w:rPr>
        <w:t xml:space="preserve"> action plan against discrimination and violence towards LGBTI. </w:t>
      </w:r>
      <w:r w:rsidRPr="00483A08">
        <w:rPr>
          <w:lang w:val="en-US"/>
        </w:rPr>
        <w:t xml:space="preserve">This action plan </w:t>
      </w:r>
      <w:r w:rsidR="00B03131">
        <w:rPr>
          <w:lang w:val="en-US"/>
        </w:rPr>
        <w:t xml:space="preserve">was </w:t>
      </w:r>
      <w:proofErr w:type="spellStart"/>
      <w:r w:rsidR="00B03131">
        <w:rPr>
          <w:lang w:val="en-US"/>
        </w:rPr>
        <w:t>critized</w:t>
      </w:r>
      <w:proofErr w:type="spellEnd"/>
      <w:r w:rsidR="00B03131">
        <w:rPr>
          <w:lang w:val="en-US"/>
        </w:rPr>
        <w:t xml:space="preserve"> for its lack of </w:t>
      </w:r>
      <w:r w:rsidRPr="00483A08">
        <w:rPr>
          <w:lang w:val="en-US"/>
        </w:rPr>
        <w:t xml:space="preserve"> consultation and collaboration with civil society organizations and other stakeholders like academics. In the next plan, more efforts should go in consulting these stakeholder</w:t>
      </w:r>
      <w:r>
        <w:rPr>
          <w:lang w:val="en-US"/>
        </w:rPr>
        <w:t>s</w:t>
      </w:r>
      <w:r w:rsidRPr="00483A08">
        <w:rPr>
          <w:lang w:val="en-US"/>
        </w:rPr>
        <w:t xml:space="preserve">. </w:t>
      </w:r>
    </w:p>
    <w:p w14:paraId="48C052B0" w14:textId="77777777" w:rsidR="00264130" w:rsidRPr="00483A08" w:rsidRDefault="00264130" w:rsidP="00937580">
      <w:pPr>
        <w:ind w:left="567"/>
        <w:jc w:val="both"/>
        <w:rPr>
          <w:lang w:val="en-US"/>
        </w:rPr>
      </w:pPr>
    </w:p>
    <w:p w14:paraId="03237614" w14:textId="1530FD8F" w:rsidR="00937580" w:rsidRDefault="00937580" w:rsidP="00937580">
      <w:pPr>
        <w:ind w:left="567"/>
        <w:jc w:val="both"/>
        <w:rPr>
          <w:lang w:val="en-US"/>
        </w:rPr>
      </w:pPr>
      <w:r w:rsidRPr="00483A08">
        <w:rPr>
          <w:lang w:val="en-US"/>
        </w:rPr>
        <w:t>More attention should go to so called “subgroups” that remain invisible in the plan but need special attention, an intersectional approach could be helpful here in determining specific actions for specific groups.</w:t>
      </w:r>
    </w:p>
    <w:p w14:paraId="137C25B4" w14:textId="77777777" w:rsidR="00264130" w:rsidRPr="00483A08" w:rsidRDefault="00264130" w:rsidP="00937580">
      <w:pPr>
        <w:ind w:left="567"/>
        <w:jc w:val="both"/>
        <w:rPr>
          <w:lang w:val="en-US"/>
        </w:rPr>
      </w:pPr>
    </w:p>
    <w:p w14:paraId="02759F22" w14:textId="0417A18A" w:rsidR="00937580" w:rsidRDefault="00937580" w:rsidP="00937580">
      <w:pPr>
        <w:ind w:left="567"/>
        <w:jc w:val="both"/>
        <w:rPr>
          <w:lang w:val="en-US"/>
        </w:rPr>
      </w:pPr>
      <w:r>
        <w:rPr>
          <w:lang w:val="en-US"/>
        </w:rPr>
        <w:t xml:space="preserve">The action plan did not include the local level, although this level is very important in building a truly inclusive society for LGBT+. </w:t>
      </w:r>
      <w:r w:rsidRPr="00483A08">
        <w:rPr>
          <w:lang w:val="en-US"/>
        </w:rPr>
        <w:t>Interesting things are happening at the local level:</w:t>
      </w:r>
      <w:r>
        <w:rPr>
          <w:lang w:val="en-US"/>
        </w:rPr>
        <w:t xml:space="preserve"> For example t</w:t>
      </w:r>
      <w:r w:rsidRPr="00483A08">
        <w:rPr>
          <w:lang w:val="en-US"/>
        </w:rPr>
        <w:t>he city of Ghent is a pioneer in developing an ambitious LGB</w:t>
      </w:r>
      <w:r>
        <w:rPr>
          <w:lang w:val="en-US"/>
        </w:rPr>
        <w:t>T</w:t>
      </w:r>
      <w:r w:rsidRPr="00483A08">
        <w:rPr>
          <w:lang w:val="en-US"/>
        </w:rPr>
        <w:t>-policy at the local level: building on a broad coalition of stakeholders (civil society, academics, ..) and bringing actions together in a visible rainbow action plan . Ghent was also the first city in Belgium to establish a local policy on transgender persons, starting with an academic analyses of the needs experienced by transgender people vis a vis the local level.</w:t>
      </w:r>
    </w:p>
    <w:p w14:paraId="6A5CC5A8" w14:textId="77777777" w:rsidR="00264130" w:rsidRPr="00483A08" w:rsidRDefault="00264130" w:rsidP="00937580">
      <w:pPr>
        <w:ind w:left="567"/>
        <w:jc w:val="both"/>
        <w:rPr>
          <w:lang w:val="en-US"/>
        </w:rPr>
      </w:pPr>
    </w:p>
    <w:p w14:paraId="756681DD" w14:textId="199CE701" w:rsidR="00937580" w:rsidRDefault="00937580" w:rsidP="00937580">
      <w:pPr>
        <w:ind w:left="567"/>
        <w:jc w:val="both"/>
        <w:rPr>
          <w:u w:val="single"/>
          <w:lang w:val="en-US"/>
        </w:rPr>
      </w:pPr>
      <w:r w:rsidRPr="00E72FB1">
        <w:rPr>
          <w:u w:val="single"/>
          <w:lang w:val="en-US"/>
        </w:rPr>
        <w:t>Complaints mechanisms</w:t>
      </w:r>
      <w:r>
        <w:rPr>
          <w:u w:val="single"/>
          <w:lang w:val="en-US"/>
        </w:rPr>
        <w:t xml:space="preserve"> (4.)</w:t>
      </w:r>
    </w:p>
    <w:p w14:paraId="3356C9DC" w14:textId="77777777" w:rsidR="00264130" w:rsidRPr="00033B09" w:rsidRDefault="00264130" w:rsidP="00937580">
      <w:pPr>
        <w:ind w:left="567"/>
        <w:jc w:val="both"/>
        <w:rPr>
          <w:u w:val="single"/>
          <w:lang w:val="en-US"/>
        </w:rPr>
      </w:pPr>
    </w:p>
    <w:p w14:paraId="6CD5F0AE" w14:textId="699C1BB2" w:rsidR="00937580" w:rsidRDefault="00937580" w:rsidP="00262161">
      <w:pPr>
        <w:ind w:left="567"/>
        <w:jc w:val="both"/>
        <w:rPr>
          <w:lang w:val="en-US"/>
        </w:rPr>
      </w:pPr>
      <w:r>
        <w:rPr>
          <w:lang w:val="en-US"/>
        </w:rPr>
        <w:t>Unia provides individual support to citizens who have experienced or witnessed discrimination.</w:t>
      </w:r>
      <w:r w:rsidR="00B03131">
        <w:rPr>
          <w:lang w:val="en-US"/>
        </w:rPr>
        <w:t xml:space="preserve"> </w:t>
      </w:r>
      <w:r w:rsidRPr="00D47FE6">
        <w:rPr>
          <w:lang w:val="en-US"/>
        </w:rPr>
        <w:t xml:space="preserve">Persons who are victims of discrimination, hate speech or hate crimes on the basis of their sexual orientation can report this to Unia. </w:t>
      </w:r>
    </w:p>
    <w:p w14:paraId="5DD5E0F2" w14:textId="77777777" w:rsidR="00264130" w:rsidRDefault="00264130" w:rsidP="00937580">
      <w:pPr>
        <w:ind w:left="567"/>
        <w:jc w:val="both"/>
        <w:rPr>
          <w:lang w:val="en-US"/>
        </w:rPr>
      </w:pPr>
    </w:p>
    <w:p w14:paraId="667F3E51" w14:textId="24DF7367" w:rsidR="00937580" w:rsidRDefault="00937580" w:rsidP="00937580">
      <w:pPr>
        <w:ind w:left="567"/>
        <w:jc w:val="both"/>
        <w:rPr>
          <w:lang w:val="en-US"/>
        </w:rPr>
      </w:pPr>
      <w:r w:rsidRPr="00D47FE6">
        <w:rPr>
          <w:lang w:val="en-US"/>
        </w:rPr>
        <w:t xml:space="preserve">Unia </w:t>
      </w:r>
      <w:r w:rsidR="003E17EE">
        <w:rPr>
          <w:lang w:val="en-US"/>
        </w:rPr>
        <w:t xml:space="preserve"> has the mandate</w:t>
      </w:r>
      <w:r w:rsidR="003E17EE" w:rsidRPr="00D47FE6">
        <w:rPr>
          <w:lang w:val="en-US"/>
        </w:rPr>
        <w:t xml:space="preserve"> </w:t>
      </w:r>
      <w:r w:rsidRPr="00D47FE6">
        <w:rPr>
          <w:lang w:val="en-US"/>
        </w:rPr>
        <w:t>to receive and handle reports</w:t>
      </w:r>
      <w:r>
        <w:rPr>
          <w:lang w:val="en-US"/>
        </w:rPr>
        <w:t>(“complaints”), within its competences, and to carry out any mission of mediation or reconciliation that it deems useful. Unia is also authorized to take legal action (this is always done with the explicit consent of the victim, if the victim is known).</w:t>
      </w:r>
    </w:p>
    <w:p w14:paraId="7D5C3B96" w14:textId="77777777" w:rsidR="00264130" w:rsidRDefault="00264130" w:rsidP="00937580">
      <w:pPr>
        <w:ind w:left="567"/>
        <w:jc w:val="both"/>
        <w:rPr>
          <w:lang w:val="en-US"/>
        </w:rPr>
      </w:pPr>
    </w:p>
    <w:p w14:paraId="3A86940D" w14:textId="77777777" w:rsidR="00937580" w:rsidRDefault="00937580" w:rsidP="00937580">
      <w:pPr>
        <w:ind w:left="567"/>
        <w:jc w:val="both"/>
        <w:rPr>
          <w:lang w:val="en-US"/>
        </w:rPr>
      </w:pPr>
      <w:r>
        <w:rPr>
          <w:lang w:val="en-US"/>
        </w:rPr>
        <w:lastRenderedPageBreak/>
        <w:t>In 2018 Unia opened 125 cases regarding sexual orientation (which is 4,9% of all cases opened by Unia in 2018). Roughly speaking one-third of the cases regarding sexual orientation concerns hate crimes (“Society”), one-third hate speech (“Media”) and one-third discrimination in the field of (most of all) employment, goods and services and education.</w:t>
      </w:r>
    </w:p>
    <w:p w14:paraId="57EA7C68" w14:textId="77777777" w:rsidR="00937580" w:rsidRDefault="00937580" w:rsidP="00937580">
      <w:pPr>
        <w:ind w:left="567"/>
        <w:jc w:val="both"/>
        <w:rPr>
          <w:lang w:val="en-US"/>
        </w:rPr>
      </w:pPr>
      <w:r>
        <w:rPr>
          <w:noProof/>
          <w:color w:val="000000" w:themeColor="text1"/>
        </w:rPr>
        <w:drawing>
          <wp:inline distT="0" distB="0" distL="0" distR="0" wp14:anchorId="61DD9830" wp14:editId="0D245710">
            <wp:extent cx="3886200" cy="1438275"/>
            <wp:effectExtent l="0" t="0" r="0" b="952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B378C6" w14:textId="77777777" w:rsidR="00937580" w:rsidRDefault="00937580" w:rsidP="00937580">
      <w:pPr>
        <w:ind w:left="567"/>
        <w:jc w:val="both"/>
        <w:rPr>
          <w:lang w:val="en-US"/>
        </w:rPr>
      </w:pPr>
    </w:p>
    <w:tbl>
      <w:tblPr>
        <w:tblStyle w:val="Gemiddeldelijst2-accent1"/>
        <w:tblW w:w="4776" w:type="pct"/>
        <w:tblInd w:w="413" w:type="dxa"/>
        <w:tblLook w:val="04A0" w:firstRow="1" w:lastRow="0" w:firstColumn="1" w:lastColumn="0" w:noHBand="0" w:noVBand="1"/>
      </w:tblPr>
      <w:tblGrid>
        <w:gridCol w:w="2190"/>
        <w:gridCol w:w="1148"/>
        <w:gridCol w:w="1148"/>
        <w:gridCol w:w="1148"/>
        <w:gridCol w:w="1148"/>
        <w:gridCol w:w="1148"/>
        <w:gridCol w:w="1148"/>
      </w:tblGrid>
      <w:tr w:rsidR="00937580" w14:paraId="65B68F40" w14:textId="77777777" w:rsidTr="00504C01">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1198" w:type="pct"/>
            <w:noWrap/>
          </w:tcPr>
          <w:p w14:paraId="552D1959" w14:textId="77777777" w:rsidR="00937580" w:rsidRPr="005519C3" w:rsidRDefault="00937580" w:rsidP="00937580">
            <w:pPr>
              <w:ind w:left="567"/>
              <w:jc w:val="both"/>
              <w:rPr>
                <w:rFonts w:asciiTheme="minorHAnsi" w:eastAsiaTheme="minorEastAsia" w:hAnsiTheme="minorHAnsi" w:cstheme="minorBidi"/>
                <w:color w:val="auto"/>
                <w:sz w:val="22"/>
                <w:szCs w:val="22"/>
                <w:lang w:val="en-US"/>
              </w:rPr>
            </w:pPr>
          </w:p>
        </w:tc>
        <w:tc>
          <w:tcPr>
            <w:tcW w:w="642" w:type="pct"/>
          </w:tcPr>
          <w:p w14:paraId="3E3247DE" w14:textId="77777777" w:rsidR="00937580" w:rsidRPr="001C5231" w:rsidRDefault="00937580" w:rsidP="00937580">
            <w:pPr>
              <w:ind w:left="567"/>
              <w:jc w:val="both"/>
              <w:cnfStyle w:val="100000000000" w:firstRow="1"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2013</w:t>
            </w:r>
          </w:p>
        </w:tc>
        <w:tc>
          <w:tcPr>
            <w:tcW w:w="643" w:type="pct"/>
          </w:tcPr>
          <w:p w14:paraId="29FBF601" w14:textId="77777777" w:rsidR="00937580" w:rsidRPr="001C5231" w:rsidRDefault="00937580" w:rsidP="00937580">
            <w:pPr>
              <w:ind w:left="567"/>
              <w:jc w:val="both"/>
              <w:cnfStyle w:val="100000000000" w:firstRow="1" w:lastRow="0" w:firstColumn="0" w:lastColumn="0" w:oddVBand="0" w:evenVBand="0" w:oddHBand="0" w:evenHBand="0" w:firstRowFirstColumn="0" w:firstRowLastColumn="0" w:lastRowFirstColumn="0" w:lastRowLastColumn="0"/>
              <w:rPr>
                <w:rFonts w:eastAsiaTheme="minorEastAsia"/>
                <w:sz w:val="18"/>
                <w:szCs w:val="22"/>
                <w:lang w:val="nl-NL"/>
              </w:rPr>
            </w:pPr>
            <w:r w:rsidRPr="001C5231">
              <w:rPr>
                <w:rFonts w:eastAsiaTheme="minorEastAsia"/>
                <w:sz w:val="18"/>
                <w:szCs w:val="22"/>
                <w:lang w:val="nl-NL"/>
              </w:rPr>
              <w:t>2014</w:t>
            </w:r>
          </w:p>
        </w:tc>
        <w:tc>
          <w:tcPr>
            <w:tcW w:w="643" w:type="pct"/>
          </w:tcPr>
          <w:p w14:paraId="42193C7C" w14:textId="77777777" w:rsidR="00937580" w:rsidRPr="001C5231" w:rsidRDefault="00937580" w:rsidP="00937580">
            <w:pPr>
              <w:ind w:left="567"/>
              <w:jc w:val="both"/>
              <w:cnfStyle w:val="100000000000" w:firstRow="1" w:lastRow="0" w:firstColumn="0" w:lastColumn="0" w:oddVBand="0" w:evenVBand="0" w:oddHBand="0" w:evenHBand="0" w:firstRowFirstColumn="0" w:firstRowLastColumn="0" w:lastRowFirstColumn="0" w:lastRowLastColumn="0"/>
              <w:rPr>
                <w:rFonts w:eastAsiaTheme="minorEastAsia"/>
                <w:sz w:val="18"/>
                <w:szCs w:val="22"/>
                <w:lang w:val="nl-NL"/>
              </w:rPr>
            </w:pPr>
            <w:r w:rsidRPr="001C5231">
              <w:rPr>
                <w:rFonts w:eastAsiaTheme="minorEastAsia"/>
                <w:sz w:val="18"/>
                <w:szCs w:val="22"/>
                <w:lang w:val="nl-NL"/>
              </w:rPr>
              <w:t>2015</w:t>
            </w:r>
          </w:p>
        </w:tc>
        <w:tc>
          <w:tcPr>
            <w:tcW w:w="644" w:type="pct"/>
          </w:tcPr>
          <w:p w14:paraId="5D323CC2" w14:textId="77777777" w:rsidR="00937580" w:rsidRPr="001C5231" w:rsidRDefault="00937580" w:rsidP="00937580">
            <w:pPr>
              <w:ind w:left="567"/>
              <w:jc w:val="both"/>
              <w:cnfStyle w:val="100000000000" w:firstRow="1" w:lastRow="0" w:firstColumn="0" w:lastColumn="0" w:oddVBand="0" w:evenVBand="0" w:oddHBand="0" w:evenHBand="0" w:firstRowFirstColumn="0" w:firstRowLastColumn="0" w:lastRowFirstColumn="0" w:lastRowLastColumn="0"/>
              <w:rPr>
                <w:rFonts w:eastAsiaTheme="minorEastAsia"/>
                <w:sz w:val="18"/>
                <w:szCs w:val="22"/>
                <w:lang w:val="nl-NL"/>
              </w:rPr>
            </w:pPr>
            <w:r w:rsidRPr="001C5231">
              <w:rPr>
                <w:rFonts w:eastAsiaTheme="minorEastAsia"/>
                <w:sz w:val="18"/>
                <w:szCs w:val="22"/>
                <w:lang w:val="nl-NL"/>
              </w:rPr>
              <w:t>2016</w:t>
            </w:r>
          </w:p>
        </w:tc>
        <w:tc>
          <w:tcPr>
            <w:tcW w:w="644" w:type="pct"/>
          </w:tcPr>
          <w:p w14:paraId="6B51C4E7" w14:textId="77777777" w:rsidR="00937580" w:rsidRPr="001C5231" w:rsidRDefault="00937580" w:rsidP="00937580">
            <w:pPr>
              <w:ind w:left="567"/>
              <w:jc w:val="both"/>
              <w:cnfStyle w:val="100000000000" w:firstRow="1" w:lastRow="0" w:firstColumn="0" w:lastColumn="0" w:oddVBand="0" w:evenVBand="0" w:oddHBand="0" w:evenHBand="0" w:firstRowFirstColumn="0" w:firstRowLastColumn="0" w:lastRowFirstColumn="0" w:lastRowLastColumn="0"/>
              <w:rPr>
                <w:rFonts w:eastAsiaTheme="minorEastAsia"/>
                <w:sz w:val="18"/>
                <w:szCs w:val="22"/>
                <w:lang w:val="nl-NL"/>
              </w:rPr>
            </w:pPr>
            <w:r w:rsidRPr="001C5231">
              <w:rPr>
                <w:rFonts w:eastAsiaTheme="minorEastAsia"/>
                <w:sz w:val="18"/>
                <w:szCs w:val="22"/>
                <w:lang w:val="nl-NL"/>
              </w:rPr>
              <w:t>2017</w:t>
            </w:r>
          </w:p>
        </w:tc>
        <w:tc>
          <w:tcPr>
            <w:tcW w:w="585" w:type="pct"/>
          </w:tcPr>
          <w:p w14:paraId="3AFBB75F" w14:textId="77777777" w:rsidR="00937580" w:rsidRPr="001C5231" w:rsidRDefault="00937580" w:rsidP="00937580">
            <w:pPr>
              <w:ind w:left="567"/>
              <w:jc w:val="both"/>
              <w:cnfStyle w:val="100000000000" w:firstRow="1" w:lastRow="0" w:firstColumn="0" w:lastColumn="0" w:oddVBand="0" w:evenVBand="0" w:oddHBand="0" w:evenHBand="0" w:firstRowFirstColumn="0" w:firstRowLastColumn="0" w:lastRowFirstColumn="0" w:lastRowLastColumn="0"/>
              <w:rPr>
                <w:rFonts w:eastAsiaTheme="minorEastAsia"/>
                <w:sz w:val="18"/>
                <w:szCs w:val="22"/>
                <w:lang w:val="nl-NL"/>
              </w:rPr>
            </w:pPr>
            <w:r w:rsidRPr="001C5231">
              <w:rPr>
                <w:rFonts w:eastAsiaTheme="minorEastAsia"/>
                <w:sz w:val="18"/>
                <w:szCs w:val="22"/>
                <w:lang w:val="nl-NL"/>
              </w:rPr>
              <w:t>2018</w:t>
            </w:r>
          </w:p>
        </w:tc>
      </w:tr>
      <w:tr w:rsidR="00937580" w14:paraId="34A0FBB0" w14:textId="77777777" w:rsidTr="00504C0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98" w:type="pct"/>
            <w:noWrap/>
          </w:tcPr>
          <w:p w14:paraId="27A27EFD" w14:textId="77777777" w:rsidR="00937580" w:rsidRPr="001C5231" w:rsidRDefault="00937580" w:rsidP="00937580">
            <w:pPr>
              <w:ind w:left="567"/>
              <w:jc w:val="both"/>
              <w:rPr>
                <w:rFonts w:eastAsiaTheme="minorEastAsia"/>
                <w:sz w:val="18"/>
                <w:lang w:val="nl-NL"/>
              </w:rPr>
            </w:pPr>
            <w:r>
              <w:rPr>
                <w:rFonts w:eastAsiaTheme="minorEastAsia"/>
                <w:sz w:val="18"/>
                <w:lang w:val="nl-NL"/>
              </w:rPr>
              <w:t>Society</w:t>
            </w:r>
          </w:p>
        </w:tc>
        <w:tc>
          <w:tcPr>
            <w:tcW w:w="642" w:type="pct"/>
          </w:tcPr>
          <w:p w14:paraId="1FEE899A" w14:textId="77777777" w:rsidR="00937580"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24</w:t>
            </w:r>
          </w:p>
        </w:tc>
        <w:tc>
          <w:tcPr>
            <w:tcW w:w="643" w:type="pct"/>
          </w:tcPr>
          <w:p w14:paraId="1D219CAF"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21</w:t>
            </w:r>
          </w:p>
        </w:tc>
        <w:tc>
          <w:tcPr>
            <w:tcW w:w="643" w:type="pct"/>
          </w:tcPr>
          <w:p w14:paraId="2D84A0D8"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42</w:t>
            </w:r>
          </w:p>
        </w:tc>
        <w:tc>
          <w:tcPr>
            <w:tcW w:w="644" w:type="pct"/>
          </w:tcPr>
          <w:p w14:paraId="541B4BF2"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31</w:t>
            </w:r>
          </w:p>
        </w:tc>
        <w:tc>
          <w:tcPr>
            <w:tcW w:w="644" w:type="pct"/>
          </w:tcPr>
          <w:p w14:paraId="363D55B6"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26</w:t>
            </w:r>
          </w:p>
        </w:tc>
        <w:tc>
          <w:tcPr>
            <w:tcW w:w="585" w:type="pct"/>
          </w:tcPr>
          <w:p w14:paraId="6A0DF5F1"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42</w:t>
            </w:r>
          </w:p>
        </w:tc>
      </w:tr>
      <w:tr w:rsidR="00937580" w14:paraId="7F99BA5D" w14:textId="77777777" w:rsidTr="00504C01">
        <w:trPr>
          <w:trHeight w:val="246"/>
        </w:trPr>
        <w:tc>
          <w:tcPr>
            <w:cnfStyle w:val="001000000000" w:firstRow="0" w:lastRow="0" w:firstColumn="1" w:lastColumn="0" w:oddVBand="0" w:evenVBand="0" w:oddHBand="0" w:evenHBand="0" w:firstRowFirstColumn="0" w:firstRowLastColumn="0" w:lastRowFirstColumn="0" w:lastRowLastColumn="0"/>
            <w:tcW w:w="1198" w:type="pct"/>
            <w:noWrap/>
          </w:tcPr>
          <w:p w14:paraId="1EE46050" w14:textId="77777777" w:rsidR="00937580" w:rsidRPr="001C5231" w:rsidRDefault="00937580" w:rsidP="00937580">
            <w:pPr>
              <w:ind w:left="567"/>
              <w:jc w:val="both"/>
              <w:rPr>
                <w:rFonts w:eastAsiaTheme="minorEastAsia"/>
                <w:sz w:val="18"/>
                <w:lang w:val="nl-NL"/>
              </w:rPr>
            </w:pPr>
            <w:r w:rsidRPr="001C5231">
              <w:rPr>
                <w:rFonts w:eastAsiaTheme="minorEastAsia"/>
                <w:sz w:val="18"/>
                <w:lang w:val="nl-NL"/>
              </w:rPr>
              <w:t>Media</w:t>
            </w:r>
          </w:p>
        </w:tc>
        <w:tc>
          <w:tcPr>
            <w:tcW w:w="642" w:type="pct"/>
          </w:tcPr>
          <w:p w14:paraId="3A4F9A94" w14:textId="77777777" w:rsidR="00937580"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20</w:t>
            </w:r>
          </w:p>
        </w:tc>
        <w:tc>
          <w:tcPr>
            <w:tcW w:w="643" w:type="pct"/>
          </w:tcPr>
          <w:p w14:paraId="1AE9FE7A"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23</w:t>
            </w:r>
          </w:p>
        </w:tc>
        <w:tc>
          <w:tcPr>
            <w:tcW w:w="643" w:type="pct"/>
          </w:tcPr>
          <w:p w14:paraId="1DD45894"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22</w:t>
            </w:r>
          </w:p>
        </w:tc>
        <w:tc>
          <w:tcPr>
            <w:tcW w:w="644" w:type="pct"/>
          </w:tcPr>
          <w:p w14:paraId="7656D977"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30</w:t>
            </w:r>
          </w:p>
        </w:tc>
        <w:tc>
          <w:tcPr>
            <w:tcW w:w="644" w:type="pct"/>
          </w:tcPr>
          <w:p w14:paraId="7CE190CE"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18</w:t>
            </w:r>
          </w:p>
        </w:tc>
        <w:tc>
          <w:tcPr>
            <w:tcW w:w="585" w:type="pct"/>
          </w:tcPr>
          <w:p w14:paraId="747D224C"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31</w:t>
            </w:r>
          </w:p>
        </w:tc>
      </w:tr>
      <w:tr w:rsidR="00937580" w14:paraId="7BF216D0" w14:textId="77777777" w:rsidTr="00504C0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98" w:type="pct"/>
            <w:noWrap/>
          </w:tcPr>
          <w:p w14:paraId="478F6C42" w14:textId="77777777" w:rsidR="00937580" w:rsidRPr="001C5231" w:rsidRDefault="00937580" w:rsidP="00937580">
            <w:pPr>
              <w:ind w:left="567"/>
              <w:jc w:val="both"/>
              <w:rPr>
                <w:rFonts w:eastAsiaTheme="minorEastAsia"/>
                <w:sz w:val="18"/>
                <w:lang w:val="nl-NL"/>
              </w:rPr>
            </w:pPr>
            <w:r>
              <w:rPr>
                <w:rFonts w:eastAsiaTheme="minorEastAsia"/>
                <w:sz w:val="18"/>
                <w:lang w:val="nl-NL"/>
              </w:rPr>
              <w:t>Employment</w:t>
            </w:r>
          </w:p>
        </w:tc>
        <w:tc>
          <w:tcPr>
            <w:tcW w:w="642" w:type="pct"/>
          </w:tcPr>
          <w:p w14:paraId="6438FE29" w14:textId="77777777" w:rsidR="00937580"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19</w:t>
            </w:r>
          </w:p>
        </w:tc>
        <w:tc>
          <w:tcPr>
            <w:tcW w:w="643" w:type="pct"/>
          </w:tcPr>
          <w:p w14:paraId="797B5118"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20</w:t>
            </w:r>
          </w:p>
        </w:tc>
        <w:tc>
          <w:tcPr>
            <w:tcW w:w="643" w:type="pct"/>
          </w:tcPr>
          <w:p w14:paraId="0AE2FCA2"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13</w:t>
            </w:r>
          </w:p>
        </w:tc>
        <w:tc>
          <w:tcPr>
            <w:tcW w:w="644" w:type="pct"/>
          </w:tcPr>
          <w:p w14:paraId="41029085"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20</w:t>
            </w:r>
          </w:p>
        </w:tc>
        <w:tc>
          <w:tcPr>
            <w:tcW w:w="644" w:type="pct"/>
          </w:tcPr>
          <w:p w14:paraId="1A6F049A"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17</w:t>
            </w:r>
          </w:p>
        </w:tc>
        <w:tc>
          <w:tcPr>
            <w:tcW w:w="585" w:type="pct"/>
          </w:tcPr>
          <w:p w14:paraId="301049F5"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19</w:t>
            </w:r>
          </w:p>
        </w:tc>
      </w:tr>
      <w:tr w:rsidR="00937580" w14:paraId="28DEDB89" w14:textId="77777777" w:rsidTr="00504C01">
        <w:trPr>
          <w:trHeight w:val="246"/>
        </w:trPr>
        <w:tc>
          <w:tcPr>
            <w:cnfStyle w:val="001000000000" w:firstRow="0" w:lastRow="0" w:firstColumn="1" w:lastColumn="0" w:oddVBand="0" w:evenVBand="0" w:oddHBand="0" w:evenHBand="0" w:firstRowFirstColumn="0" w:firstRowLastColumn="0" w:lastRowFirstColumn="0" w:lastRowLastColumn="0"/>
            <w:tcW w:w="1198" w:type="pct"/>
            <w:noWrap/>
          </w:tcPr>
          <w:p w14:paraId="11622F76" w14:textId="77777777" w:rsidR="00937580" w:rsidRPr="001C5231" w:rsidRDefault="00937580" w:rsidP="00937580">
            <w:pPr>
              <w:ind w:left="567"/>
              <w:jc w:val="both"/>
              <w:rPr>
                <w:rFonts w:eastAsiaTheme="minorEastAsia"/>
                <w:sz w:val="18"/>
                <w:lang w:val="nl-NL"/>
              </w:rPr>
            </w:pPr>
            <w:proofErr w:type="spellStart"/>
            <w:r>
              <w:rPr>
                <w:rFonts w:eastAsiaTheme="minorEastAsia"/>
                <w:sz w:val="18"/>
                <w:lang w:val="nl-NL"/>
              </w:rPr>
              <w:t>Goods</w:t>
            </w:r>
            <w:proofErr w:type="spellEnd"/>
            <w:r>
              <w:rPr>
                <w:rFonts w:eastAsiaTheme="minorEastAsia"/>
                <w:sz w:val="18"/>
                <w:lang w:val="nl-NL"/>
              </w:rPr>
              <w:t xml:space="preserve"> </w:t>
            </w:r>
            <w:proofErr w:type="spellStart"/>
            <w:r>
              <w:rPr>
                <w:rFonts w:eastAsiaTheme="minorEastAsia"/>
                <w:sz w:val="18"/>
                <w:lang w:val="nl-NL"/>
              </w:rPr>
              <w:t>and</w:t>
            </w:r>
            <w:proofErr w:type="spellEnd"/>
            <w:r>
              <w:rPr>
                <w:rFonts w:eastAsiaTheme="minorEastAsia"/>
                <w:sz w:val="18"/>
                <w:lang w:val="nl-NL"/>
              </w:rPr>
              <w:t xml:space="preserve"> services</w:t>
            </w:r>
          </w:p>
        </w:tc>
        <w:tc>
          <w:tcPr>
            <w:tcW w:w="642" w:type="pct"/>
          </w:tcPr>
          <w:p w14:paraId="7EC38C1E" w14:textId="77777777" w:rsidR="00937580"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12</w:t>
            </w:r>
          </w:p>
        </w:tc>
        <w:tc>
          <w:tcPr>
            <w:tcW w:w="643" w:type="pct"/>
          </w:tcPr>
          <w:p w14:paraId="2EE35B54"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8</w:t>
            </w:r>
          </w:p>
        </w:tc>
        <w:tc>
          <w:tcPr>
            <w:tcW w:w="643" w:type="pct"/>
          </w:tcPr>
          <w:p w14:paraId="633365E1"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8</w:t>
            </w:r>
          </w:p>
        </w:tc>
        <w:tc>
          <w:tcPr>
            <w:tcW w:w="644" w:type="pct"/>
          </w:tcPr>
          <w:p w14:paraId="45D843B4"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16</w:t>
            </w:r>
          </w:p>
        </w:tc>
        <w:tc>
          <w:tcPr>
            <w:tcW w:w="644" w:type="pct"/>
          </w:tcPr>
          <w:p w14:paraId="14AA1780"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8</w:t>
            </w:r>
          </w:p>
        </w:tc>
        <w:tc>
          <w:tcPr>
            <w:tcW w:w="585" w:type="pct"/>
          </w:tcPr>
          <w:p w14:paraId="5C544B6F"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17</w:t>
            </w:r>
          </w:p>
        </w:tc>
      </w:tr>
      <w:tr w:rsidR="00937580" w14:paraId="57B402B4" w14:textId="77777777" w:rsidTr="00504C0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98" w:type="pct"/>
            <w:noWrap/>
          </w:tcPr>
          <w:p w14:paraId="0898D411" w14:textId="77777777" w:rsidR="00937580" w:rsidRPr="001C5231" w:rsidRDefault="00937580" w:rsidP="00937580">
            <w:pPr>
              <w:ind w:left="567"/>
              <w:jc w:val="both"/>
              <w:rPr>
                <w:rFonts w:eastAsiaTheme="minorEastAsia"/>
                <w:sz w:val="18"/>
                <w:lang w:val="nl-NL"/>
              </w:rPr>
            </w:pPr>
            <w:proofErr w:type="spellStart"/>
            <w:r>
              <w:rPr>
                <w:rFonts w:eastAsiaTheme="minorEastAsia"/>
                <w:sz w:val="18"/>
                <w:lang w:val="nl-NL"/>
              </w:rPr>
              <w:t>Police</w:t>
            </w:r>
            <w:proofErr w:type="spellEnd"/>
            <w:r>
              <w:rPr>
                <w:rFonts w:eastAsiaTheme="minorEastAsia"/>
                <w:sz w:val="18"/>
                <w:lang w:val="nl-NL"/>
              </w:rPr>
              <w:t xml:space="preserve"> </w:t>
            </w:r>
            <w:proofErr w:type="spellStart"/>
            <w:r>
              <w:rPr>
                <w:rFonts w:eastAsiaTheme="minorEastAsia"/>
                <w:sz w:val="18"/>
                <w:lang w:val="nl-NL"/>
              </w:rPr>
              <w:t>and</w:t>
            </w:r>
            <w:proofErr w:type="spellEnd"/>
            <w:r>
              <w:rPr>
                <w:rFonts w:eastAsiaTheme="minorEastAsia"/>
                <w:sz w:val="18"/>
                <w:lang w:val="nl-NL"/>
              </w:rPr>
              <w:t xml:space="preserve"> </w:t>
            </w:r>
            <w:proofErr w:type="spellStart"/>
            <w:r>
              <w:rPr>
                <w:rFonts w:eastAsiaTheme="minorEastAsia"/>
                <w:sz w:val="18"/>
                <w:lang w:val="nl-NL"/>
              </w:rPr>
              <w:t>Justice</w:t>
            </w:r>
            <w:proofErr w:type="spellEnd"/>
          </w:p>
        </w:tc>
        <w:tc>
          <w:tcPr>
            <w:tcW w:w="642" w:type="pct"/>
          </w:tcPr>
          <w:p w14:paraId="6A0C339D" w14:textId="77777777" w:rsidR="00937580"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7</w:t>
            </w:r>
          </w:p>
        </w:tc>
        <w:tc>
          <w:tcPr>
            <w:tcW w:w="643" w:type="pct"/>
          </w:tcPr>
          <w:p w14:paraId="71250B03"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5</w:t>
            </w:r>
          </w:p>
        </w:tc>
        <w:tc>
          <w:tcPr>
            <w:tcW w:w="643" w:type="pct"/>
          </w:tcPr>
          <w:p w14:paraId="35247165"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2</w:t>
            </w:r>
          </w:p>
        </w:tc>
        <w:tc>
          <w:tcPr>
            <w:tcW w:w="644" w:type="pct"/>
          </w:tcPr>
          <w:p w14:paraId="521EFA8B"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1</w:t>
            </w:r>
          </w:p>
        </w:tc>
        <w:tc>
          <w:tcPr>
            <w:tcW w:w="644" w:type="pct"/>
          </w:tcPr>
          <w:p w14:paraId="097E91F2"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5</w:t>
            </w:r>
          </w:p>
        </w:tc>
        <w:tc>
          <w:tcPr>
            <w:tcW w:w="585" w:type="pct"/>
          </w:tcPr>
          <w:p w14:paraId="57B1B685"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6</w:t>
            </w:r>
          </w:p>
        </w:tc>
      </w:tr>
      <w:tr w:rsidR="00937580" w14:paraId="7E8A5B8B" w14:textId="77777777" w:rsidTr="00504C01">
        <w:trPr>
          <w:trHeight w:val="264"/>
        </w:trPr>
        <w:tc>
          <w:tcPr>
            <w:cnfStyle w:val="001000000000" w:firstRow="0" w:lastRow="0" w:firstColumn="1" w:lastColumn="0" w:oddVBand="0" w:evenVBand="0" w:oddHBand="0" w:evenHBand="0" w:firstRowFirstColumn="0" w:firstRowLastColumn="0" w:lastRowFirstColumn="0" w:lastRowLastColumn="0"/>
            <w:tcW w:w="1198" w:type="pct"/>
            <w:noWrap/>
          </w:tcPr>
          <w:p w14:paraId="2FD88CEE" w14:textId="77777777" w:rsidR="00937580" w:rsidRPr="001C5231" w:rsidRDefault="00937580" w:rsidP="00937580">
            <w:pPr>
              <w:ind w:left="567"/>
              <w:jc w:val="both"/>
              <w:rPr>
                <w:rFonts w:eastAsiaTheme="minorEastAsia"/>
                <w:sz w:val="18"/>
                <w:lang w:val="nl-NL"/>
              </w:rPr>
            </w:pPr>
            <w:proofErr w:type="spellStart"/>
            <w:r>
              <w:rPr>
                <w:rFonts w:eastAsiaTheme="minorEastAsia"/>
                <w:sz w:val="18"/>
                <w:lang w:val="nl-NL"/>
              </w:rPr>
              <w:t>Education</w:t>
            </w:r>
            <w:proofErr w:type="spellEnd"/>
          </w:p>
        </w:tc>
        <w:tc>
          <w:tcPr>
            <w:tcW w:w="642" w:type="pct"/>
          </w:tcPr>
          <w:p w14:paraId="21A362A0" w14:textId="77777777" w:rsidR="00937580"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7</w:t>
            </w:r>
          </w:p>
        </w:tc>
        <w:tc>
          <w:tcPr>
            <w:tcW w:w="643" w:type="pct"/>
          </w:tcPr>
          <w:p w14:paraId="140B57A3"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1</w:t>
            </w:r>
          </w:p>
        </w:tc>
        <w:tc>
          <w:tcPr>
            <w:tcW w:w="643" w:type="pct"/>
          </w:tcPr>
          <w:p w14:paraId="122DD4F2"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2</w:t>
            </w:r>
          </w:p>
        </w:tc>
        <w:tc>
          <w:tcPr>
            <w:tcW w:w="644" w:type="pct"/>
          </w:tcPr>
          <w:p w14:paraId="034EFB65"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3</w:t>
            </w:r>
          </w:p>
        </w:tc>
        <w:tc>
          <w:tcPr>
            <w:tcW w:w="644" w:type="pct"/>
          </w:tcPr>
          <w:p w14:paraId="080EFD01"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3</w:t>
            </w:r>
          </w:p>
        </w:tc>
        <w:tc>
          <w:tcPr>
            <w:tcW w:w="585" w:type="pct"/>
          </w:tcPr>
          <w:p w14:paraId="420CC264"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3</w:t>
            </w:r>
          </w:p>
        </w:tc>
      </w:tr>
      <w:tr w:rsidR="00937580" w14:paraId="2C0B3BAE" w14:textId="77777777" w:rsidTr="00504C0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98" w:type="pct"/>
            <w:noWrap/>
          </w:tcPr>
          <w:p w14:paraId="1CE6E3A0" w14:textId="77777777" w:rsidR="00937580" w:rsidRPr="001C5231" w:rsidRDefault="00937580" w:rsidP="00937580">
            <w:pPr>
              <w:ind w:left="567"/>
              <w:jc w:val="both"/>
              <w:rPr>
                <w:rFonts w:eastAsiaTheme="minorEastAsia"/>
                <w:sz w:val="18"/>
                <w:lang w:val="nl-NL"/>
              </w:rPr>
            </w:pPr>
            <w:proofErr w:type="spellStart"/>
            <w:r>
              <w:rPr>
                <w:rFonts w:eastAsiaTheme="minorEastAsia"/>
                <w:sz w:val="18"/>
                <w:lang w:val="nl-NL"/>
              </w:rPr>
              <w:t>Various</w:t>
            </w:r>
            <w:proofErr w:type="spellEnd"/>
            <w:r>
              <w:rPr>
                <w:rFonts w:eastAsiaTheme="minorEastAsia"/>
                <w:sz w:val="18"/>
                <w:lang w:val="nl-NL"/>
              </w:rPr>
              <w:t xml:space="preserve"> </w:t>
            </w:r>
            <w:proofErr w:type="spellStart"/>
            <w:r>
              <w:rPr>
                <w:rFonts w:eastAsiaTheme="minorEastAsia"/>
                <w:sz w:val="18"/>
                <w:lang w:val="nl-NL"/>
              </w:rPr>
              <w:t>activities</w:t>
            </w:r>
            <w:proofErr w:type="spellEnd"/>
          </w:p>
        </w:tc>
        <w:tc>
          <w:tcPr>
            <w:tcW w:w="642" w:type="pct"/>
          </w:tcPr>
          <w:p w14:paraId="60B73BFA" w14:textId="77777777" w:rsidR="00937580"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2</w:t>
            </w:r>
          </w:p>
        </w:tc>
        <w:tc>
          <w:tcPr>
            <w:tcW w:w="643" w:type="pct"/>
          </w:tcPr>
          <w:p w14:paraId="7084D144"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2</w:t>
            </w:r>
          </w:p>
        </w:tc>
        <w:tc>
          <w:tcPr>
            <w:tcW w:w="643" w:type="pct"/>
          </w:tcPr>
          <w:p w14:paraId="325D09AD"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1</w:t>
            </w:r>
          </w:p>
        </w:tc>
        <w:tc>
          <w:tcPr>
            <w:tcW w:w="644" w:type="pct"/>
          </w:tcPr>
          <w:p w14:paraId="364901F2"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3</w:t>
            </w:r>
          </w:p>
        </w:tc>
        <w:tc>
          <w:tcPr>
            <w:tcW w:w="644" w:type="pct"/>
          </w:tcPr>
          <w:p w14:paraId="29DC816C"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5</w:t>
            </w:r>
          </w:p>
        </w:tc>
        <w:tc>
          <w:tcPr>
            <w:tcW w:w="585" w:type="pct"/>
          </w:tcPr>
          <w:p w14:paraId="0B5DE447"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5</w:t>
            </w:r>
          </w:p>
        </w:tc>
      </w:tr>
      <w:tr w:rsidR="00937580" w14:paraId="4B08C88B" w14:textId="77777777" w:rsidTr="00504C01">
        <w:trPr>
          <w:trHeight w:val="264"/>
        </w:trPr>
        <w:tc>
          <w:tcPr>
            <w:cnfStyle w:val="001000000000" w:firstRow="0" w:lastRow="0" w:firstColumn="1" w:lastColumn="0" w:oddVBand="0" w:evenVBand="0" w:oddHBand="0" w:evenHBand="0" w:firstRowFirstColumn="0" w:firstRowLastColumn="0" w:lastRowFirstColumn="0" w:lastRowLastColumn="0"/>
            <w:tcW w:w="1198" w:type="pct"/>
            <w:noWrap/>
          </w:tcPr>
          <w:p w14:paraId="45FD4B6A" w14:textId="77777777" w:rsidR="00937580" w:rsidRPr="001C5231" w:rsidRDefault="00937580" w:rsidP="00937580">
            <w:pPr>
              <w:ind w:left="567"/>
              <w:jc w:val="both"/>
              <w:rPr>
                <w:rFonts w:eastAsiaTheme="minorEastAsia"/>
                <w:sz w:val="18"/>
                <w:lang w:val="nl-NL"/>
              </w:rPr>
            </w:pPr>
            <w:proofErr w:type="spellStart"/>
            <w:r>
              <w:rPr>
                <w:rFonts w:eastAsiaTheme="minorEastAsia"/>
                <w:sz w:val="18"/>
                <w:lang w:val="nl-NL"/>
              </w:rPr>
              <w:t>Other</w:t>
            </w:r>
            <w:proofErr w:type="spellEnd"/>
            <w:r>
              <w:rPr>
                <w:rFonts w:eastAsiaTheme="minorEastAsia"/>
                <w:sz w:val="18"/>
                <w:lang w:val="nl-NL"/>
              </w:rPr>
              <w:t xml:space="preserve"> / </w:t>
            </w:r>
            <w:proofErr w:type="spellStart"/>
            <w:r>
              <w:rPr>
                <w:rFonts w:eastAsiaTheme="minorEastAsia"/>
                <w:sz w:val="18"/>
                <w:lang w:val="nl-NL"/>
              </w:rPr>
              <w:t>Unclear</w:t>
            </w:r>
            <w:proofErr w:type="spellEnd"/>
          </w:p>
        </w:tc>
        <w:tc>
          <w:tcPr>
            <w:tcW w:w="642" w:type="pct"/>
          </w:tcPr>
          <w:p w14:paraId="21430D1B" w14:textId="77777777" w:rsidR="00937580"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3</w:t>
            </w:r>
          </w:p>
        </w:tc>
        <w:tc>
          <w:tcPr>
            <w:tcW w:w="643" w:type="pct"/>
          </w:tcPr>
          <w:p w14:paraId="245A985B"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0</w:t>
            </w:r>
          </w:p>
        </w:tc>
        <w:tc>
          <w:tcPr>
            <w:tcW w:w="643" w:type="pct"/>
          </w:tcPr>
          <w:p w14:paraId="4293A2D7"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1</w:t>
            </w:r>
          </w:p>
        </w:tc>
        <w:tc>
          <w:tcPr>
            <w:tcW w:w="644" w:type="pct"/>
          </w:tcPr>
          <w:p w14:paraId="34DAEC65"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0</w:t>
            </w:r>
          </w:p>
        </w:tc>
        <w:tc>
          <w:tcPr>
            <w:tcW w:w="644" w:type="pct"/>
          </w:tcPr>
          <w:p w14:paraId="4DABB3CF"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0</w:t>
            </w:r>
          </w:p>
        </w:tc>
        <w:tc>
          <w:tcPr>
            <w:tcW w:w="585" w:type="pct"/>
          </w:tcPr>
          <w:p w14:paraId="4F1DF33A"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sz w:val="18"/>
                <w:lang w:val="nl-NL"/>
              </w:rPr>
            </w:pPr>
            <w:r>
              <w:rPr>
                <w:rFonts w:eastAsiaTheme="minorEastAsia"/>
                <w:sz w:val="18"/>
                <w:lang w:val="nl-NL"/>
              </w:rPr>
              <w:t>2</w:t>
            </w:r>
          </w:p>
        </w:tc>
      </w:tr>
      <w:tr w:rsidR="00937580" w14:paraId="5B582B3B" w14:textId="77777777" w:rsidTr="00504C0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98" w:type="pct"/>
            <w:noWrap/>
          </w:tcPr>
          <w:p w14:paraId="2B02597C" w14:textId="77777777" w:rsidR="00937580" w:rsidRPr="001C5231" w:rsidRDefault="00937580" w:rsidP="00937580">
            <w:pPr>
              <w:ind w:left="567"/>
              <w:jc w:val="both"/>
              <w:rPr>
                <w:rFonts w:eastAsiaTheme="minorEastAsia"/>
                <w:sz w:val="18"/>
                <w:lang w:val="nl-NL"/>
              </w:rPr>
            </w:pPr>
          </w:p>
        </w:tc>
        <w:tc>
          <w:tcPr>
            <w:tcW w:w="642" w:type="pct"/>
          </w:tcPr>
          <w:p w14:paraId="142FAD7C" w14:textId="77777777" w:rsidR="00937580"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0</w:t>
            </w:r>
          </w:p>
        </w:tc>
        <w:tc>
          <w:tcPr>
            <w:tcW w:w="643" w:type="pct"/>
          </w:tcPr>
          <w:p w14:paraId="041F33CF"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0</w:t>
            </w:r>
          </w:p>
        </w:tc>
        <w:tc>
          <w:tcPr>
            <w:tcW w:w="643" w:type="pct"/>
          </w:tcPr>
          <w:p w14:paraId="3C1343CC"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1</w:t>
            </w:r>
          </w:p>
        </w:tc>
        <w:tc>
          <w:tcPr>
            <w:tcW w:w="644" w:type="pct"/>
          </w:tcPr>
          <w:p w14:paraId="4A1CBA68"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0</w:t>
            </w:r>
          </w:p>
        </w:tc>
        <w:tc>
          <w:tcPr>
            <w:tcW w:w="644" w:type="pct"/>
          </w:tcPr>
          <w:p w14:paraId="4B2804B1"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2</w:t>
            </w:r>
          </w:p>
        </w:tc>
        <w:tc>
          <w:tcPr>
            <w:tcW w:w="585" w:type="pct"/>
          </w:tcPr>
          <w:p w14:paraId="5948DD21" w14:textId="77777777" w:rsidR="00937580" w:rsidRPr="001C5231" w:rsidRDefault="00937580" w:rsidP="00937580">
            <w:pPr>
              <w:ind w:left="567"/>
              <w:jc w:val="both"/>
              <w:cnfStyle w:val="000000100000" w:firstRow="0" w:lastRow="0" w:firstColumn="0" w:lastColumn="0" w:oddVBand="0" w:evenVBand="0" w:oddHBand="1" w:evenHBand="0" w:firstRowFirstColumn="0" w:firstRowLastColumn="0" w:lastRowFirstColumn="0" w:lastRowLastColumn="0"/>
              <w:rPr>
                <w:rFonts w:eastAsiaTheme="minorEastAsia"/>
                <w:sz w:val="18"/>
                <w:lang w:val="nl-NL"/>
              </w:rPr>
            </w:pPr>
            <w:r>
              <w:rPr>
                <w:rFonts w:eastAsiaTheme="minorEastAsia"/>
                <w:sz w:val="18"/>
                <w:lang w:val="nl-NL"/>
              </w:rPr>
              <w:t>0</w:t>
            </w:r>
          </w:p>
        </w:tc>
      </w:tr>
      <w:tr w:rsidR="00937580" w14:paraId="1037234E" w14:textId="77777777" w:rsidTr="00504C01">
        <w:trPr>
          <w:trHeight w:val="264"/>
        </w:trPr>
        <w:tc>
          <w:tcPr>
            <w:cnfStyle w:val="001000000000" w:firstRow="0" w:lastRow="0" w:firstColumn="1" w:lastColumn="0" w:oddVBand="0" w:evenVBand="0" w:oddHBand="0" w:evenHBand="0" w:firstRowFirstColumn="0" w:firstRowLastColumn="0" w:lastRowFirstColumn="0" w:lastRowLastColumn="0"/>
            <w:tcW w:w="1198" w:type="pct"/>
            <w:noWrap/>
          </w:tcPr>
          <w:p w14:paraId="607F5404" w14:textId="77777777" w:rsidR="00937580" w:rsidRPr="001C5231" w:rsidRDefault="00937580" w:rsidP="00937580">
            <w:pPr>
              <w:ind w:left="567"/>
              <w:jc w:val="both"/>
              <w:rPr>
                <w:rFonts w:eastAsiaTheme="minorEastAsia"/>
                <w:sz w:val="18"/>
                <w:lang w:val="nl-NL"/>
              </w:rPr>
            </w:pPr>
            <w:r>
              <w:rPr>
                <w:rFonts w:eastAsiaTheme="minorEastAsia"/>
                <w:sz w:val="18"/>
                <w:lang w:val="nl-NL"/>
              </w:rPr>
              <w:t>Total</w:t>
            </w:r>
          </w:p>
        </w:tc>
        <w:tc>
          <w:tcPr>
            <w:tcW w:w="642" w:type="pct"/>
          </w:tcPr>
          <w:p w14:paraId="0FC718A3" w14:textId="77777777" w:rsidR="00937580"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b/>
                <w:sz w:val="18"/>
                <w:lang w:val="nl-NL"/>
              </w:rPr>
            </w:pPr>
            <w:r>
              <w:rPr>
                <w:rFonts w:eastAsiaTheme="minorEastAsia"/>
                <w:b/>
                <w:sz w:val="18"/>
                <w:lang w:val="nl-NL"/>
              </w:rPr>
              <w:t>94</w:t>
            </w:r>
          </w:p>
        </w:tc>
        <w:tc>
          <w:tcPr>
            <w:tcW w:w="643" w:type="pct"/>
          </w:tcPr>
          <w:p w14:paraId="6408F05E"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b/>
                <w:sz w:val="18"/>
                <w:lang w:val="nl-NL"/>
              </w:rPr>
            </w:pPr>
            <w:r>
              <w:rPr>
                <w:rFonts w:eastAsiaTheme="minorEastAsia"/>
                <w:b/>
                <w:sz w:val="18"/>
                <w:lang w:val="nl-NL"/>
              </w:rPr>
              <w:t>80</w:t>
            </w:r>
          </w:p>
        </w:tc>
        <w:tc>
          <w:tcPr>
            <w:tcW w:w="643" w:type="pct"/>
          </w:tcPr>
          <w:p w14:paraId="45FA271B"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b/>
                <w:sz w:val="18"/>
                <w:lang w:val="nl-NL"/>
              </w:rPr>
            </w:pPr>
            <w:r>
              <w:rPr>
                <w:rFonts w:eastAsiaTheme="minorEastAsia"/>
                <w:b/>
                <w:sz w:val="18"/>
                <w:lang w:val="nl-NL"/>
              </w:rPr>
              <w:t>92</w:t>
            </w:r>
          </w:p>
        </w:tc>
        <w:tc>
          <w:tcPr>
            <w:tcW w:w="644" w:type="pct"/>
          </w:tcPr>
          <w:p w14:paraId="28BB124C"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b/>
                <w:sz w:val="18"/>
                <w:lang w:val="nl-NL"/>
              </w:rPr>
            </w:pPr>
            <w:r>
              <w:rPr>
                <w:rFonts w:eastAsiaTheme="minorEastAsia"/>
                <w:b/>
                <w:sz w:val="18"/>
                <w:lang w:val="nl-NL"/>
              </w:rPr>
              <w:t>104</w:t>
            </w:r>
          </w:p>
        </w:tc>
        <w:tc>
          <w:tcPr>
            <w:tcW w:w="644" w:type="pct"/>
          </w:tcPr>
          <w:p w14:paraId="2BB9BF22"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b/>
                <w:sz w:val="18"/>
                <w:lang w:val="nl-NL"/>
              </w:rPr>
            </w:pPr>
            <w:r>
              <w:rPr>
                <w:rFonts w:eastAsiaTheme="minorEastAsia"/>
                <w:b/>
                <w:sz w:val="18"/>
                <w:lang w:val="nl-NL"/>
              </w:rPr>
              <w:t>84</w:t>
            </w:r>
          </w:p>
        </w:tc>
        <w:tc>
          <w:tcPr>
            <w:tcW w:w="585" w:type="pct"/>
          </w:tcPr>
          <w:p w14:paraId="0FE646CF" w14:textId="77777777" w:rsidR="00937580" w:rsidRPr="001C5231" w:rsidRDefault="00937580" w:rsidP="00937580">
            <w:pPr>
              <w:ind w:left="567"/>
              <w:jc w:val="both"/>
              <w:cnfStyle w:val="000000000000" w:firstRow="0" w:lastRow="0" w:firstColumn="0" w:lastColumn="0" w:oddVBand="0" w:evenVBand="0" w:oddHBand="0" w:evenHBand="0" w:firstRowFirstColumn="0" w:firstRowLastColumn="0" w:lastRowFirstColumn="0" w:lastRowLastColumn="0"/>
              <w:rPr>
                <w:rFonts w:eastAsiaTheme="minorEastAsia"/>
                <w:b/>
                <w:sz w:val="18"/>
                <w:lang w:val="nl-NL"/>
              </w:rPr>
            </w:pPr>
            <w:r>
              <w:rPr>
                <w:rFonts w:eastAsiaTheme="minorEastAsia"/>
                <w:b/>
                <w:sz w:val="18"/>
                <w:lang w:val="nl-NL"/>
              </w:rPr>
              <w:t>125</w:t>
            </w:r>
          </w:p>
        </w:tc>
      </w:tr>
    </w:tbl>
    <w:p w14:paraId="2E523257" w14:textId="77777777" w:rsidR="00937580" w:rsidRPr="00692C56" w:rsidRDefault="00937580" w:rsidP="00937580">
      <w:pPr>
        <w:ind w:left="567"/>
        <w:jc w:val="both"/>
        <w:rPr>
          <w:lang w:val="en-US"/>
        </w:rPr>
      </w:pPr>
    </w:p>
    <w:p w14:paraId="226206A1" w14:textId="40F79072" w:rsidR="00937580" w:rsidRDefault="00937580" w:rsidP="00937580">
      <w:pPr>
        <w:ind w:left="567"/>
        <w:jc w:val="both"/>
        <w:rPr>
          <w:lang w:val="en-US"/>
        </w:rPr>
      </w:pPr>
      <w:r w:rsidRPr="00B1148A">
        <w:rPr>
          <w:lang w:val="en-US"/>
        </w:rPr>
        <w:t>In cases of discrimination, Unia first tries to reach an extrajudicial solution with the parties involved (</w:t>
      </w:r>
      <w:r w:rsidRPr="00B1148A">
        <w:rPr>
          <w:i/>
          <w:lang w:val="en-US"/>
        </w:rPr>
        <w:t>alternative dispute resolution</w:t>
      </w:r>
      <w:r w:rsidRPr="00B1148A">
        <w:rPr>
          <w:lang w:val="en-US"/>
        </w:rPr>
        <w:t xml:space="preserve">). </w:t>
      </w:r>
      <w:r>
        <w:rPr>
          <w:lang w:val="en-US"/>
        </w:rPr>
        <w:t>In case of punishable hate speech, Unia prefers a constructive dialogue, unless it concerns organized or extremely blatant hate</w:t>
      </w:r>
      <w:r w:rsidR="00B03131">
        <w:rPr>
          <w:lang w:val="en-US"/>
        </w:rPr>
        <w:t xml:space="preserve"> </w:t>
      </w:r>
      <w:r>
        <w:rPr>
          <w:lang w:val="en-US"/>
        </w:rPr>
        <w:t>speech (such as incitement to violence). In cases of hate crimes, Unia respects the judicial investigation and does not take extrajudicial action against the suspect.</w:t>
      </w:r>
    </w:p>
    <w:p w14:paraId="45C11C2B" w14:textId="77777777" w:rsidR="00264130" w:rsidRDefault="00264130" w:rsidP="00937580">
      <w:pPr>
        <w:ind w:left="567"/>
        <w:jc w:val="both"/>
        <w:rPr>
          <w:lang w:val="en-US"/>
        </w:rPr>
      </w:pPr>
    </w:p>
    <w:p w14:paraId="4B717CC8" w14:textId="735FB03E" w:rsidR="00E70230" w:rsidRPr="00E70230" w:rsidRDefault="006A0382" w:rsidP="00E70230">
      <w:pPr>
        <w:ind w:left="567"/>
        <w:jc w:val="both"/>
        <w:rPr>
          <w:lang w:val="en-US"/>
        </w:rPr>
      </w:pPr>
      <w:r>
        <w:rPr>
          <w:lang w:val="en-US"/>
        </w:rPr>
        <w:t xml:space="preserve">It’s never the first choice of </w:t>
      </w:r>
      <w:proofErr w:type="spellStart"/>
      <w:r>
        <w:rPr>
          <w:lang w:val="en-US"/>
        </w:rPr>
        <w:t>Unia</w:t>
      </w:r>
      <w:proofErr w:type="spellEnd"/>
      <w:r>
        <w:rPr>
          <w:lang w:val="en-US"/>
        </w:rPr>
        <w:t xml:space="preserve"> to go</w:t>
      </w:r>
      <w:r w:rsidR="00937580">
        <w:rPr>
          <w:lang w:val="en-US"/>
        </w:rPr>
        <w:t xml:space="preserve"> to court and</w:t>
      </w:r>
      <w:r>
        <w:rPr>
          <w:lang w:val="en-US"/>
        </w:rPr>
        <w:t xml:space="preserve"> even then </w:t>
      </w:r>
      <w:proofErr w:type="spellStart"/>
      <w:r>
        <w:rPr>
          <w:lang w:val="en-US"/>
        </w:rPr>
        <w:t>Unia</w:t>
      </w:r>
      <w:proofErr w:type="spellEnd"/>
      <w:r w:rsidR="00937580">
        <w:rPr>
          <w:lang w:val="en-US"/>
        </w:rPr>
        <w:t xml:space="preserve"> focuses mainly on strategic litigation.</w:t>
      </w:r>
      <w:r>
        <w:rPr>
          <w:lang w:val="en-US"/>
        </w:rPr>
        <w:t xml:space="preserve"> </w:t>
      </w:r>
      <w:r w:rsidRPr="006A0382">
        <w:rPr>
          <w:lang w:val="en-US"/>
        </w:rPr>
        <w:t>In fact, there are between 6 and 7% of judicial outcomes in cases declared founded</w:t>
      </w:r>
      <w:r>
        <w:rPr>
          <w:lang w:val="en-US"/>
        </w:rPr>
        <w:t>.</w:t>
      </w:r>
      <w:r w:rsidR="00E70230">
        <w:rPr>
          <w:lang w:val="en-US"/>
        </w:rPr>
        <w:t xml:space="preserve"> </w:t>
      </w:r>
      <w:r w:rsidR="00E70230" w:rsidRPr="00E70230">
        <w:rPr>
          <w:lang w:val="en-US"/>
        </w:rPr>
        <w:t xml:space="preserve">Some of the recent court cases in which </w:t>
      </w:r>
      <w:proofErr w:type="spellStart"/>
      <w:r w:rsidR="00E70230" w:rsidRPr="00E70230">
        <w:rPr>
          <w:lang w:val="en-US"/>
        </w:rPr>
        <w:t>Unia</w:t>
      </w:r>
      <w:proofErr w:type="spellEnd"/>
      <w:r w:rsidR="00E70230" w:rsidRPr="00E70230">
        <w:rPr>
          <w:lang w:val="en-US"/>
        </w:rPr>
        <w:t xml:space="preserve"> is involved concern, for example, : </w:t>
      </w:r>
    </w:p>
    <w:p w14:paraId="5BCCF486" w14:textId="77777777" w:rsidR="00E70230" w:rsidRPr="00E70230" w:rsidRDefault="00E70230" w:rsidP="00E70230">
      <w:pPr>
        <w:ind w:left="567"/>
        <w:jc w:val="both"/>
        <w:rPr>
          <w:lang w:val="en-US"/>
        </w:rPr>
      </w:pPr>
    </w:p>
    <w:p w14:paraId="60CD99C9" w14:textId="193DA1CF" w:rsidR="00E70230" w:rsidRPr="00E70230" w:rsidRDefault="00E70230" w:rsidP="00CE6E71">
      <w:pPr>
        <w:pStyle w:val="Lijstalinea"/>
        <w:numPr>
          <w:ilvl w:val="0"/>
          <w:numId w:val="21"/>
        </w:numPr>
        <w:jc w:val="both"/>
        <w:rPr>
          <w:lang w:val="en-US"/>
        </w:rPr>
      </w:pPr>
      <w:r w:rsidRPr="00E70230">
        <w:rPr>
          <w:lang w:val="en-US"/>
        </w:rPr>
        <w:t>Homophobic statements by a police officer to colleagues</w:t>
      </w:r>
      <w:r w:rsidR="00BF6152">
        <w:rPr>
          <w:lang w:val="en-US"/>
        </w:rPr>
        <w:t>;</w:t>
      </w:r>
    </w:p>
    <w:p w14:paraId="4A919D71" w14:textId="77777777" w:rsidR="00E70230" w:rsidRPr="00E70230" w:rsidRDefault="00E70230" w:rsidP="00E70230">
      <w:pPr>
        <w:ind w:left="567"/>
        <w:jc w:val="both"/>
        <w:rPr>
          <w:lang w:val="en-US"/>
        </w:rPr>
      </w:pPr>
    </w:p>
    <w:p w14:paraId="4F51E7B1" w14:textId="6C754542" w:rsidR="00E70230" w:rsidRPr="00E70230" w:rsidRDefault="00E70230" w:rsidP="00CE6E71">
      <w:pPr>
        <w:pStyle w:val="Lijstalinea"/>
        <w:numPr>
          <w:ilvl w:val="0"/>
          <w:numId w:val="21"/>
        </w:numPr>
        <w:jc w:val="both"/>
        <w:rPr>
          <w:lang w:val="en-US"/>
        </w:rPr>
      </w:pPr>
      <w:r>
        <w:rPr>
          <w:lang w:val="en-US"/>
        </w:rPr>
        <w:t>B</w:t>
      </w:r>
      <w:r w:rsidRPr="00E70230">
        <w:rPr>
          <w:lang w:val="en-US"/>
        </w:rPr>
        <w:t>lows and injuries to a homosexual couple as part of a neighbors' quarrel</w:t>
      </w:r>
      <w:r w:rsidR="00BF6152">
        <w:rPr>
          <w:lang w:val="en-US"/>
        </w:rPr>
        <w:t>;</w:t>
      </w:r>
    </w:p>
    <w:p w14:paraId="143263DE" w14:textId="77777777" w:rsidR="00E70230" w:rsidRPr="00E70230" w:rsidRDefault="00E70230" w:rsidP="00E70230">
      <w:pPr>
        <w:ind w:left="567"/>
        <w:jc w:val="both"/>
        <w:rPr>
          <w:lang w:val="en-US"/>
        </w:rPr>
      </w:pPr>
    </w:p>
    <w:p w14:paraId="6C2E0B12" w14:textId="69EEE49E" w:rsidR="00E70230" w:rsidRPr="00E70230" w:rsidRDefault="00E70230" w:rsidP="00CE6E71">
      <w:pPr>
        <w:pStyle w:val="Lijstalinea"/>
        <w:numPr>
          <w:ilvl w:val="0"/>
          <w:numId w:val="21"/>
        </w:numPr>
        <w:jc w:val="both"/>
        <w:rPr>
          <w:lang w:val="en-US"/>
        </w:rPr>
      </w:pPr>
      <w:r>
        <w:rPr>
          <w:lang w:val="en-US"/>
        </w:rPr>
        <w:t>A</w:t>
      </w:r>
      <w:r w:rsidRPr="00E70230">
        <w:rPr>
          <w:lang w:val="en-US"/>
        </w:rPr>
        <w:t xml:space="preserve"> twitter call to attack homosexuals during the Pride</w:t>
      </w:r>
      <w:r w:rsidR="00BF6152">
        <w:rPr>
          <w:lang w:val="en-US"/>
        </w:rPr>
        <w:t>.</w:t>
      </w:r>
    </w:p>
    <w:p w14:paraId="25A50BDB" w14:textId="1EF1776C" w:rsidR="00937580" w:rsidRDefault="00937580" w:rsidP="00264130">
      <w:pPr>
        <w:ind w:left="567"/>
        <w:jc w:val="both"/>
        <w:rPr>
          <w:lang w:val="en-US"/>
        </w:rPr>
      </w:pPr>
    </w:p>
    <w:p w14:paraId="09CFE594" w14:textId="10B3B90A" w:rsidR="00E70230" w:rsidRDefault="00E70230" w:rsidP="00264130">
      <w:pPr>
        <w:ind w:left="567"/>
        <w:jc w:val="both"/>
        <w:rPr>
          <w:lang w:val="en-US"/>
        </w:rPr>
      </w:pPr>
    </w:p>
    <w:p w14:paraId="2D9C3B68" w14:textId="69FE0F3A" w:rsidR="00E70230" w:rsidRDefault="00E70230" w:rsidP="00264130">
      <w:pPr>
        <w:ind w:left="567"/>
        <w:jc w:val="both"/>
        <w:rPr>
          <w:lang w:val="en-US"/>
        </w:rPr>
      </w:pPr>
    </w:p>
    <w:p w14:paraId="529B143D" w14:textId="77777777" w:rsidR="0016349F" w:rsidRDefault="0016349F" w:rsidP="00264130">
      <w:pPr>
        <w:ind w:left="567"/>
        <w:jc w:val="both"/>
        <w:rPr>
          <w:lang w:val="en-US"/>
        </w:rPr>
      </w:pPr>
    </w:p>
    <w:p w14:paraId="0635DEFA" w14:textId="77777777" w:rsidR="00264130" w:rsidRDefault="00264130" w:rsidP="00264130">
      <w:pPr>
        <w:ind w:left="567"/>
        <w:jc w:val="both"/>
        <w:rPr>
          <w:lang w:val="en-US"/>
        </w:rPr>
      </w:pPr>
    </w:p>
    <w:p w14:paraId="47C4A155" w14:textId="5BB7C102" w:rsidR="00937580" w:rsidRDefault="00937580" w:rsidP="00937580">
      <w:pPr>
        <w:ind w:left="567"/>
        <w:jc w:val="both"/>
        <w:rPr>
          <w:u w:val="single"/>
          <w:lang w:val="en-US"/>
        </w:rPr>
      </w:pPr>
      <w:r w:rsidRPr="00B1148A">
        <w:rPr>
          <w:u w:val="single"/>
          <w:lang w:val="en-US"/>
        </w:rPr>
        <w:lastRenderedPageBreak/>
        <w:t>Actions taken to raise public awareness and sensitization</w:t>
      </w:r>
      <w:r>
        <w:rPr>
          <w:u w:val="single"/>
          <w:lang w:val="en-US"/>
        </w:rPr>
        <w:t xml:space="preserve"> (6.)</w:t>
      </w:r>
    </w:p>
    <w:p w14:paraId="33745FAA" w14:textId="77777777" w:rsidR="00264130" w:rsidRPr="00B1148A" w:rsidRDefault="00264130" w:rsidP="00937580">
      <w:pPr>
        <w:ind w:left="567"/>
        <w:jc w:val="both"/>
        <w:rPr>
          <w:u w:val="single"/>
          <w:lang w:val="en-US"/>
        </w:rPr>
      </w:pPr>
    </w:p>
    <w:p w14:paraId="5D6E0C60" w14:textId="55D52F80" w:rsidR="00937580" w:rsidRDefault="00937580" w:rsidP="00937580">
      <w:pPr>
        <w:ind w:left="567"/>
        <w:jc w:val="both"/>
        <w:rPr>
          <w:lang w:val="en-US"/>
        </w:rPr>
      </w:pPr>
      <w:r>
        <w:rPr>
          <w:lang w:val="en-US"/>
        </w:rPr>
        <w:t xml:space="preserve">In 2018 </w:t>
      </w:r>
      <w:proofErr w:type="spellStart"/>
      <w:r>
        <w:rPr>
          <w:lang w:val="en-US"/>
        </w:rPr>
        <w:t>Unia</w:t>
      </w:r>
      <w:proofErr w:type="spellEnd"/>
      <w:r>
        <w:rPr>
          <w:lang w:val="en-US"/>
        </w:rPr>
        <w:t xml:space="preserve"> noted that before, during and after the annual Pride (in Brussels and Antwerp) several incidents of hate speech and hate crimes were reported. That’s why Unia has sent in April 2019, in consultation with the </w:t>
      </w:r>
      <w:proofErr w:type="spellStart"/>
      <w:r>
        <w:rPr>
          <w:lang w:val="en-US"/>
        </w:rPr>
        <w:t>organisers</w:t>
      </w:r>
      <w:proofErr w:type="spellEnd"/>
      <w:r>
        <w:rPr>
          <w:lang w:val="en-US"/>
        </w:rPr>
        <w:t xml:space="preserve"> of the Pride, a letter to the Chief of Police of Brussels. In its letter, Unia asked for extra vigilance before, during and after the Brussels Pride in May 2019 and asked to ensure good care for the possible victims. The Chief of Police replied that, among other things, he instructed the hierarchical line to remind the staff in the field of the importance of good care for the possible victims. The contact point for the reporting of homophobic incidents was simplified and improved. In addition agreements were made in case of incidents and a specific reporting sheet was developed.</w:t>
      </w:r>
      <w:r w:rsidR="006A0382">
        <w:rPr>
          <w:lang w:val="en-US"/>
        </w:rPr>
        <w:t xml:space="preserve"> T</w:t>
      </w:r>
      <w:r w:rsidR="006A0382" w:rsidRPr="006A0382">
        <w:rPr>
          <w:lang w:val="en-US"/>
        </w:rPr>
        <w:t xml:space="preserve">o date, </w:t>
      </w:r>
      <w:proofErr w:type="spellStart"/>
      <w:r w:rsidR="006A0382">
        <w:rPr>
          <w:lang w:val="en-US"/>
        </w:rPr>
        <w:t>U</w:t>
      </w:r>
      <w:r w:rsidR="006A0382" w:rsidRPr="006A0382">
        <w:rPr>
          <w:lang w:val="en-US"/>
        </w:rPr>
        <w:t>nia</w:t>
      </w:r>
      <w:proofErr w:type="spellEnd"/>
      <w:r w:rsidR="006A0382" w:rsidRPr="006A0382">
        <w:rPr>
          <w:lang w:val="en-US"/>
        </w:rPr>
        <w:t xml:space="preserve"> has not received any reports of the </w:t>
      </w:r>
      <w:r w:rsidR="00BF6152">
        <w:rPr>
          <w:lang w:val="en-US"/>
        </w:rPr>
        <w:t xml:space="preserve">2019 </w:t>
      </w:r>
      <w:r w:rsidR="006A0382">
        <w:rPr>
          <w:lang w:val="en-US"/>
        </w:rPr>
        <w:t>P</w:t>
      </w:r>
      <w:r w:rsidR="006A0382" w:rsidRPr="006A0382">
        <w:rPr>
          <w:lang w:val="en-US"/>
        </w:rPr>
        <w:t xml:space="preserve">ride in </w:t>
      </w:r>
      <w:r w:rsidR="006A0382">
        <w:rPr>
          <w:lang w:val="en-US"/>
        </w:rPr>
        <w:t>B</w:t>
      </w:r>
      <w:r w:rsidR="006A0382" w:rsidRPr="006A0382">
        <w:rPr>
          <w:lang w:val="en-US"/>
        </w:rPr>
        <w:t>russe</w:t>
      </w:r>
      <w:r w:rsidR="006A0382">
        <w:rPr>
          <w:lang w:val="en-US"/>
        </w:rPr>
        <w:t>ls.</w:t>
      </w:r>
    </w:p>
    <w:p w14:paraId="1AEC3A53" w14:textId="77777777" w:rsidR="00937580" w:rsidRPr="000306DA" w:rsidRDefault="00937580" w:rsidP="000306DA">
      <w:pPr>
        <w:tabs>
          <w:tab w:val="left" w:pos="426"/>
        </w:tabs>
        <w:ind w:left="567"/>
        <w:jc w:val="both"/>
        <w:rPr>
          <w:lang w:val="en-US"/>
        </w:rPr>
      </w:pPr>
    </w:p>
    <w:p w14:paraId="5BFD5A05" w14:textId="77777777" w:rsidR="00705543" w:rsidRDefault="00705543" w:rsidP="005623B8">
      <w:pPr>
        <w:tabs>
          <w:tab w:val="left" w:pos="426"/>
        </w:tabs>
        <w:ind w:left="567"/>
        <w:jc w:val="both"/>
        <w:rPr>
          <w:lang w:val="en-US"/>
        </w:rPr>
      </w:pPr>
    </w:p>
    <w:p w14:paraId="11F03A4C" w14:textId="77777777" w:rsidR="005623B8" w:rsidRDefault="005623B8" w:rsidP="005623B8">
      <w:pPr>
        <w:tabs>
          <w:tab w:val="left" w:pos="426"/>
        </w:tabs>
        <w:ind w:left="567"/>
        <w:jc w:val="both"/>
        <w:rPr>
          <w:lang w:val="en-US"/>
        </w:rPr>
      </w:pPr>
      <w:r>
        <w:rPr>
          <w:lang w:val="en-US"/>
        </w:rPr>
        <w:t xml:space="preserve">So far the issues on which Unia would like to draw your attention. We hope that the above information will be useful for the elaboration of your next report and we are looking forward to reading it. </w:t>
      </w:r>
    </w:p>
    <w:p w14:paraId="47F937B2" w14:textId="77777777" w:rsidR="005623B8" w:rsidRDefault="005623B8" w:rsidP="005623B8">
      <w:pPr>
        <w:tabs>
          <w:tab w:val="left" w:pos="426"/>
        </w:tabs>
        <w:ind w:left="567"/>
        <w:jc w:val="both"/>
        <w:rPr>
          <w:lang w:val="en-US"/>
        </w:rPr>
      </w:pPr>
    </w:p>
    <w:p w14:paraId="3EDA8972" w14:textId="77777777" w:rsidR="005623B8" w:rsidRDefault="005623B8" w:rsidP="005623B8">
      <w:pPr>
        <w:pStyle w:val="Lijstalinea"/>
        <w:tabs>
          <w:tab w:val="left" w:pos="426"/>
        </w:tabs>
        <w:ind w:left="567"/>
        <w:jc w:val="both"/>
        <w:rPr>
          <w:lang w:val="en-US"/>
        </w:rPr>
      </w:pPr>
      <w:r>
        <w:rPr>
          <w:lang w:val="en-US"/>
        </w:rPr>
        <w:t>Yours sincerely,</w:t>
      </w:r>
    </w:p>
    <w:p w14:paraId="60D7B5D3" w14:textId="77777777" w:rsidR="005623B8" w:rsidRDefault="005623B8" w:rsidP="005623B8">
      <w:pPr>
        <w:tabs>
          <w:tab w:val="left" w:pos="426"/>
        </w:tabs>
        <w:jc w:val="both"/>
        <w:rPr>
          <w:lang w:val="en-US"/>
        </w:rPr>
      </w:pPr>
    </w:p>
    <w:p w14:paraId="4E675092" w14:textId="77777777" w:rsidR="005623B8" w:rsidRDefault="005623B8" w:rsidP="005623B8">
      <w:pPr>
        <w:tabs>
          <w:tab w:val="left" w:pos="426"/>
        </w:tabs>
        <w:ind w:left="993"/>
        <w:jc w:val="both"/>
        <w:rPr>
          <w:lang w:val="en-US"/>
        </w:rPr>
      </w:pPr>
    </w:p>
    <w:p w14:paraId="6C8AC09C" w14:textId="77777777" w:rsidR="005623B8" w:rsidRDefault="005623B8" w:rsidP="005623B8">
      <w:pPr>
        <w:tabs>
          <w:tab w:val="left" w:pos="426"/>
        </w:tabs>
        <w:ind w:left="993"/>
        <w:jc w:val="both"/>
        <w:rPr>
          <w:lang w:val="en-US"/>
        </w:rPr>
      </w:pPr>
    </w:p>
    <w:p w14:paraId="220C1D21" w14:textId="77777777" w:rsidR="005623B8" w:rsidRDefault="005623B8" w:rsidP="005623B8">
      <w:pPr>
        <w:tabs>
          <w:tab w:val="left" w:pos="426"/>
        </w:tabs>
        <w:ind w:left="993"/>
        <w:jc w:val="both"/>
        <w:rPr>
          <w:lang w:val="en-US"/>
        </w:rPr>
      </w:pPr>
    </w:p>
    <w:p w14:paraId="45C64997" w14:textId="77777777" w:rsidR="005623B8" w:rsidRDefault="005623B8" w:rsidP="005623B8">
      <w:pPr>
        <w:pStyle w:val="Lijstalinea"/>
        <w:tabs>
          <w:tab w:val="left" w:pos="426"/>
        </w:tabs>
        <w:ind w:left="567"/>
        <w:jc w:val="both"/>
        <w:rPr>
          <w:lang w:val="en-US"/>
        </w:rPr>
      </w:pPr>
      <w:r>
        <w:rPr>
          <w:lang w:val="en-US"/>
        </w:rPr>
        <w:t>Patrick CHARLIER</w:t>
      </w:r>
      <w:r>
        <w:rPr>
          <w:lang w:val="en-US"/>
        </w:rPr>
        <w:tab/>
      </w:r>
      <w:r>
        <w:rPr>
          <w:lang w:val="en-US"/>
        </w:rPr>
        <w:tab/>
      </w:r>
      <w:r>
        <w:rPr>
          <w:lang w:val="en-US"/>
        </w:rPr>
        <w:tab/>
      </w:r>
      <w:r>
        <w:rPr>
          <w:lang w:val="en-US"/>
        </w:rPr>
        <w:tab/>
      </w:r>
      <w:r>
        <w:rPr>
          <w:lang w:val="en-US"/>
        </w:rPr>
        <w:tab/>
        <w:t>Els KEYTSMAN</w:t>
      </w:r>
    </w:p>
    <w:p w14:paraId="6301EE16" w14:textId="77777777" w:rsidR="005623B8" w:rsidRDefault="005623B8" w:rsidP="005623B8">
      <w:pPr>
        <w:pStyle w:val="Lijstalinea"/>
        <w:tabs>
          <w:tab w:val="left" w:pos="426"/>
        </w:tabs>
        <w:ind w:left="567"/>
        <w:jc w:val="both"/>
        <w:rPr>
          <w:lang w:val="en-US"/>
        </w:rPr>
      </w:pPr>
      <w:r>
        <w:rPr>
          <w:lang w:val="en-US"/>
        </w:rPr>
        <w:t>Director</w:t>
      </w:r>
      <w:r>
        <w:rPr>
          <w:lang w:val="en-US"/>
        </w:rPr>
        <w:tab/>
      </w:r>
      <w:r>
        <w:rPr>
          <w:lang w:val="en-US"/>
        </w:rPr>
        <w:tab/>
      </w:r>
      <w:r>
        <w:rPr>
          <w:lang w:val="en-US"/>
        </w:rPr>
        <w:tab/>
      </w:r>
      <w:r>
        <w:rPr>
          <w:lang w:val="en-US"/>
        </w:rPr>
        <w:tab/>
      </w:r>
      <w:r>
        <w:rPr>
          <w:lang w:val="en-US"/>
        </w:rPr>
        <w:tab/>
      </w:r>
      <w:r>
        <w:rPr>
          <w:lang w:val="en-US"/>
        </w:rPr>
        <w:tab/>
        <w:t xml:space="preserve">Director  </w:t>
      </w:r>
    </w:p>
    <w:p w14:paraId="5C179FBA" w14:textId="77777777" w:rsidR="00E64261" w:rsidRDefault="00E64261" w:rsidP="005623B8">
      <w:pPr>
        <w:tabs>
          <w:tab w:val="left" w:pos="426"/>
        </w:tabs>
        <w:ind w:left="567"/>
        <w:jc w:val="center"/>
        <w:rPr>
          <w:b/>
          <w:u w:val="single"/>
          <w:lang w:val="en-US"/>
        </w:rPr>
      </w:pPr>
    </w:p>
    <w:p w14:paraId="11578554" w14:textId="77777777" w:rsidR="00E64261" w:rsidRDefault="00E64261" w:rsidP="005623B8">
      <w:pPr>
        <w:tabs>
          <w:tab w:val="left" w:pos="426"/>
        </w:tabs>
        <w:ind w:left="567"/>
        <w:jc w:val="center"/>
        <w:rPr>
          <w:b/>
          <w:u w:val="single"/>
          <w:lang w:val="en-US"/>
        </w:rPr>
      </w:pPr>
    </w:p>
    <w:p w14:paraId="65A2AA6D" w14:textId="77777777" w:rsidR="00E64261" w:rsidRDefault="00E64261" w:rsidP="005623B8">
      <w:pPr>
        <w:tabs>
          <w:tab w:val="left" w:pos="426"/>
        </w:tabs>
        <w:ind w:left="567"/>
        <w:jc w:val="center"/>
        <w:rPr>
          <w:b/>
          <w:u w:val="single"/>
          <w:lang w:val="en-US"/>
        </w:rPr>
      </w:pPr>
    </w:p>
    <w:p w14:paraId="2C70F94E" w14:textId="77777777" w:rsidR="00E64261" w:rsidRDefault="00E64261" w:rsidP="005623B8">
      <w:pPr>
        <w:tabs>
          <w:tab w:val="left" w:pos="426"/>
        </w:tabs>
        <w:ind w:left="567"/>
        <w:jc w:val="center"/>
        <w:rPr>
          <w:b/>
          <w:u w:val="single"/>
          <w:lang w:val="en-US"/>
        </w:rPr>
      </w:pPr>
    </w:p>
    <w:p w14:paraId="0518F9C9" w14:textId="77777777" w:rsidR="00E64261" w:rsidRDefault="00E64261" w:rsidP="005623B8">
      <w:pPr>
        <w:tabs>
          <w:tab w:val="left" w:pos="426"/>
        </w:tabs>
        <w:ind w:left="567"/>
        <w:jc w:val="center"/>
        <w:rPr>
          <w:b/>
          <w:u w:val="single"/>
          <w:lang w:val="en-US"/>
        </w:rPr>
      </w:pPr>
    </w:p>
    <w:p w14:paraId="2A333C55" w14:textId="77777777" w:rsidR="00E64261" w:rsidRDefault="00E64261" w:rsidP="005623B8">
      <w:pPr>
        <w:tabs>
          <w:tab w:val="left" w:pos="426"/>
        </w:tabs>
        <w:ind w:left="567"/>
        <w:jc w:val="center"/>
        <w:rPr>
          <w:b/>
          <w:u w:val="single"/>
          <w:lang w:val="en-US"/>
        </w:rPr>
      </w:pPr>
    </w:p>
    <w:p w14:paraId="0A9E5815" w14:textId="77777777" w:rsidR="00E64261" w:rsidRDefault="00E64261" w:rsidP="005623B8">
      <w:pPr>
        <w:tabs>
          <w:tab w:val="left" w:pos="426"/>
        </w:tabs>
        <w:ind w:left="567"/>
        <w:jc w:val="center"/>
        <w:rPr>
          <w:b/>
          <w:u w:val="single"/>
          <w:lang w:val="en-US"/>
        </w:rPr>
      </w:pPr>
    </w:p>
    <w:p w14:paraId="2461862A" w14:textId="77777777" w:rsidR="00E64261" w:rsidRDefault="00E64261" w:rsidP="005623B8">
      <w:pPr>
        <w:tabs>
          <w:tab w:val="left" w:pos="426"/>
        </w:tabs>
        <w:ind w:left="567"/>
        <w:jc w:val="center"/>
        <w:rPr>
          <w:b/>
          <w:u w:val="single"/>
          <w:lang w:val="en-US"/>
        </w:rPr>
      </w:pPr>
    </w:p>
    <w:p w14:paraId="4C64CBE7" w14:textId="77777777" w:rsidR="00E64261" w:rsidRDefault="00E64261" w:rsidP="005623B8">
      <w:pPr>
        <w:tabs>
          <w:tab w:val="left" w:pos="426"/>
        </w:tabs>
        <w:ind w:left="567"/>
        <w:jc w:val="center"/>
        <w:rPr>
          <w:b/>
          <w:u w:val="single"/>
          <w:lang w:val="en-US"/>
        </w:rPr>
      </w:pPr>
    </w:p>
    <w:p w14:paraId="51EF442B" w14:textId="77777777" w:rsidR="00E64261" w:rsidRDefault="00E64261" w:rsidP="005623B8">
      <w:pPr>
        <w:tabs>
          <w:tab w:val="left" w:pos="426"/>
        </w:tabs>
        <w:ind w:left="567"/>
        <w:jc w:val="center"/>
        <w:rPr>
          <w:b/>
          <w:u w:val="single"/>
          <w:lang w:val="en-US"/>
        </w:rPr>
      </w:pPr>
    </w:p>
    <w:p w14:paraId="63170AFF" w14:textId="77777777" w:rsidR="00E64261" w:rsidRDefault="00E64261" w:rsidP="005623B8">
      <w:pPr>
        <w:tabs>
          <w:tab w:val="left" w:pos="426"/>
        </w:tabs>
        <w:ind w:left="567"/>
        <w:jc w:val="center"/>
        <w:rPr>
          <w:b/>
          <w:u w:val="single"/>
          <w:lang w:val="en-US"/>
        </w:rPr>
      </w:pPr>
    </w:p>
    <w:p w14:paraId="060DCFA0" w14:textId="77777777" w:rsidR="00E64261" w:rsidRDefault="00E64261" w:rsidP="005623B8">
      <w:pPr>
        <w:tabs>
          <w:tab w:val="left" w:pos="426"/>
        </w:tabs>
        <w:ind w:left="567"/>
        <w:jc w:val="center"/>
        <w:rPr>
          <w:b/>
          <w:u w:val="single"/>
          <w:lang w:val="en-US"/>
        </w:rPr>
      </w:pPr>
    </w:p>
    <w:p w14:paraId="5AE2F1AF" w14:textId="77777777" w:rsidR="00E64261" w:rsidRDefault="00E64261" w:rsidP="005623B8">
      <w:pPr>
        <w:tabs>
          <w:tab w:val="left" w:pos="426"/>
        </w:tabs>
        <w:ind w:left="567"/>
        <w:jc w:val="center"/>
        <w:rPr>
          <w:b/>
          <w:u w:val="single"/>
          <w:lang w:val="en-US"/>
        </w:rPr>
      </w:pPr>
    </w:p>
    <w:p w14:paraId="4F5EA821" w14:textId="77777777" w:rsidR="00E64261" w:rsidRDefault="00E64261" w:rsidP="005623B8">
      <w:pPr>
        <w:tabs>
          <w:tab w:val="left" w:pos="426"/>
        </w:tabs>
        <w:ind w:left="567"/>
        <w:jc w:val="center"/>
        <w:rPr>
          <w:b/>
          <w:u w:val="single"/>
          <w:lang w:val="en-US"/>
        </w:rPr>
      </w:pPr>
    </w:p>
    <w:p w14:paraId="7D64E6DB" w14:textId="77777777" w:rsidR="00E64261" w:rsidRDefault="00E64261" w:rsidP="005623B8">
      <w:pPr>
        <w:tabs>
          <w:tab w:val="left" w:pos="426"/>
        </w:tabs>
        <w:ind w:left="567"/>
        <w:jc w:val="center"/>
        <w:rPr>
          <w:b/>
          <w:u w:val="single"/>
          <w:lang w:val="en-US"/>
        </w:rPr>
      </w:pPr>
    </w:p>
    <w:p w14:paraId="22F95CD7" w14:textId="77777777" w:rsidR="00E64261" w:rsidRDefault="00E64261" w:rsidP="005623B8">
      <w:pPr>
        <w:tabs>
          <w:tab w:val="left" w:pos="426"/>
        </w:tabs>
        <w:ind w:left="567"/>
        <w:jc w:val="center"/>
        <w:rPr>
          <w:b/>
          <w:u w:val="single"/>
          <w:lang w:val="en-US"/>
        </w:rPr>
      </w:pPr>
    </w:p>
    <w:p w14:paraId="536B728E" w14:textId="77777777" w:rsidR="00E64261" w:rsidRDefault="00E64261" w:rsidP="005623B8">
      <w:pPr>
        <w:tabs>
          <w:tab w:val="left" w:pos="426"/>
        </w:tabs>
        <w:ind w:left="567"/>
        <w:jc w:val="center"/>
        <w:rPr>
          <w:b/>
          <w:u w:val="single"/>
          <w:lang w:val="en-US"/>
        </w:rPr>
      </w:pPr>
    </w:p>
    <w:p w14:paraId="5C16923E" w14:textId="77777777" w:rsidR="00E64261" w:rsidRDefault="00E64261" w:rsidP="005623B8">
      <w:pPr>
        <w:tabs>
          <w:tab w:val="left" w:pos="426"/>
        </w:tabs>
        <w:ind w:left="567"/>
        <w:jc w:val="center"/>
        <w:rPr>
          <w:b/>
          <w:u w:val="single"/>
          <w:lang w:val="en-US"/>
        </w:rPr>
      </w:pPr>
    </w:p>
    <w:p w14:paraId="68F53A80" w14:textId="77777777" w:rsidR="00E64261" w:rsidRDefault="00E64261" w:rsidP="005623B8">
      <w:pPr>
        <w:tabs>
          <w:tab w:val="left" w:pos="426"/>
        </w:tabs>
        <w:ind w:left="567"/>
        <w:jc w:val="center"/>
        <w:rPr>
          <w:b/>
          <w:u w:val="single"/>
          <w:lang w:val="en-US"/>
        </w:rPr>
      </w:pPr>
    </w:p>
    <w:p w14:paraId="1F92ED01" w14:textId="77777777" w:rsidR="00651E9F" w:rsidRDefault="00651E9F">
      <w:pPr>
        <w:spacing w:after="200"/>
        <w:rPr>
          <w:b/>
          <w:u w:val="single"/>
          <w:lang w:val="en-US"/>
        </w:rPr>
      </w:pPr>
      <w:r>
        <w:rPr>
          <w:b/>
          <w:u w:val="single"/>
          <w:lang w:val="en-US"/>
        </w:rPr>
        <w:br w:type="page"/>
      </w:r>
    </w:p>
    <w:p w14:paraId="7158D5A8" w14:textId="6A38C964" w:rsidR="005623B8" w:rsidRDefault="005623B8" w:rsidP="005623B8">
      <w:pPr>
        <w:tabs>
          <w:tab w:val="left" w:pos="426"/>
        </w:tabs>
        <w:ind w:left="567"/>
        <w:jc w:val="center"/>
        <w:rPr>
          <w:b/>
          <w:u w:val="single"/>
          <w:lang w:val="en-US"/>
        </w:rPr>
      </w:pPr>
      <w:r>
        <w:rPr>
          <w:b/>
          <w:u w:val="single"/>
          <w:lang w:val="en-US"/>
        </w:rPr>
        <w:lastRenderedPageBreak/>
        <w:t xml:space="preserve">Annex   </w:t>
      </w:r>
    </w:p>
    <w:p w14:paraId="78098D08" w14:textId="77777777" w:rsidR="005623B8" w:rsidRDefault="005623B8" w:rsidP="005623B8">
      <w:pPr>
        <w:tabs>
          <w:tab w:val="left" w:pos="426"/>
        </w:tabs>
        <w:ind w:left="567"/>
        <w:jc w:val="center"/>
        <w:rPr>
          <w:b/>
          <w:u w:val="single"/>
          <w:lang w:val="en-US"/>
        </w:rPr>
      </w:pPr>
    </w:p>
    <w:p w14:paraId="2174679D" w14:textId="77777777" w:rsidR="005623B8" w:rsidRDefault="005623B8" w:rsidP="005623B8">
      <w:pPr>
        <w:tabs>
          <w:tab w:val="left" w:pos="426"/>
        </w:tabs>
        <w:ind w:left="567"/>
        <w:jc w:val="center"/>
        <w:rPr>
          <w:b/>
          <w:u w:val="single"/>
          <w:lang w:val="en-US"/>
        </w:rPr>
      </w:pPr>
      <w:r>
        <w:rPr>
          <w:b/>
          <w:u w:val="single"/>
          <w:lang w:val="en-US"/>
        </w:rPr>
        <w:t>Information concerning Unia and the Belgian legal framework regarding sexual orientation and antidiscrimination</w:t>
      </w:r>
    </w:p>
    <w:p w14:paraId="09B7C7AF" w14:textId="77777777" w:rsidR="005623B8" w:rsidRDefault="005623B8" w:rsidP="005623B8">
      <w:pPr>
        <w:tabs>
          <w:tab w:val="left" w:pos="426"/>
        </w:tabs>
        <w:ind w:left="567"/>
        <w:jc w:val="both"/>
        <w:rPr>
          <w:lang w:val="en-US"/>
        </w:rPr>
      </w:pPr>
    </w:p>
    <w:p w14:paraId="6A742949" w14:textId="77777777" w:rsidR="005623B8" w:rsidRDefault="005623B8" w:rsidP="005623B8">
      <w:pPr>
        <w:tabs>
          <w:tab w:val="left" w:pos="426"/>
        </w:tabs>
        <w:ind w:left="567"/>
        <w:jc w:val="both"/>
        <w:rPr>
          <w:lang w:val="en-US"/>
        </w:rPr>
      </w:pPr>
    </w:p>
    <w:p w14:paraId="0560D5E0" w14:textId="77777777" w:rsidR="005623B8" w:rsidRDefault="005623B8" w:rsidP="005623B8">
      <w:pPr>
        <w:pStyle w:val="Lijstalinea"/>
        <w:numPr>
          <w:ilvl w:val="0"/>
          <w:numId w:val="16"/>
        </w:numPr>
        <w:tabs>
          <w:tab w:val="left" w:pos="426"/>
        </w:tabs>
        <w:spacing w:line="240" w:lineRule="auto"/>
        <w:jc w:val="both"/>
        <w:rPr>
          <w:u w:val="single"/>
          <w:lang w:val="en-US"/>
        </w:rPr>
      </w:pPr>
      <w:r>
        <w:rPr>
          <w:u w:val="single"/>
          <w:lang w:val="en-US"/>
        </w:rPr>
        <w:t>Unia</w:t>
      </w:r>
    </w:p>
    <w:p w14:paraId="6EF9AB9E" w14:textId="77777777" w:rsidR="005623B8" w:rsidRDefault="005623B8" w:rsidP="005623B8">
      <w:pPr>
        <w:tabs>
          <w:tab w:val="left" w:pos="426"/>
        </w:tabs>
        <w:ind w:left="567"/>
        <w:jc w:val="both"/>
        <w:rPr>
          <w:lang w:val="en-US"/>
        </w:rPr>
      </w:pPr>
    </w:p>
    <w:p w14:paraId="7B39C3E8" w14:textId="77777777" w:rsidR="005623B8" w:rsidRDefault="005623B8" w:rsidP="005623B8">
      <w:pPr>
        <w:tabs>
          <w:tab w:val="left" w:pos="426"/>
        </w:tabs>
        <w:ind w:left="567"/>
        <w:jc w:val="both"/>
        <w:rPr>
          <w:lang w:val="en-US"/>
        </w:rPr>
      </w:pPr>
      <w:r>
        <w:rPr>
          <w:lang w:val="en-US"/>
        </w:rPr>
        <w:t xml:space="preserve">Unia is an independent public institution, established in Belgium in 1993, that combats discrimination and promotes equal opportunities. Unia has </w:t>
      </w:r>
      <w:r>
        <w:rPr>
          <w:noProof/>
          <w:lang w:val="en-US"/>
        </w:rPr>
        <w:t>interfederal</w:t>
      </w:r>
      <w:r>
        <w:rPr>
          <w:lang w:val="en-US"/>
        </w:rPr>
        <w:t> competence, which means that the institution is active at the federal level of Belgium as well as the level of the Regions and Communities.</w:t>
      </w:r>
      <w:r>
        <w:rPr>
          <w:lang w:val="en"/>
        </w:rPr>
        <w:t> </w:t>
      </w:r>
      <w:r>
        <w:rPr>
          <w:lang w:val="en-US"/>
        </w:rPr>
        <w:tab/>
      </w:r>
    </w:p>
    <w:p w14:paraId="721D90B1" w14:textId="77777777" w:rsidR="005623B8" w:rsidRDefault="005623B8" w:rsidP="005623B8">
      <w:pPr>
        <w:tabs>
          <w:tab w:val="left" w:pos="426"/>
        </w:tabs>
        <w:ind w:left="567"/>
        <w:jc w:val="both"/>
        <w:rPr>
          <w:lang w:val="en-US"/>
        </w:rPr>
      </w:pPr>
      <w:r>
        <w:rPr>
          <w:lang w:val="en-US"/>
        </w:rPr>
        <w:tab/>
      </w:r>
    </w:p>
    <w:p w14:paraId="7344C86A" w14:textId="77777777" w:rsidR="005623B8" w:rsidRDefault="005623B8" w:rsidP="005623B8">
      <w:pPr>
        <w:tabs>
          <w:tab w:val="left" w:pos="426"/>
        </w:tabs>
        <w:ind w:left="567"/>
        <w:jc w:val="both"/>
        <w:rPr>
          <w:lang w:val="en-US"/>
        </w:rPr>
      </w:pPr>
      <w:r>
        <w:rPr>
          <w:lang w:val="en-US"/>
        </w:rPr>
        <w:t xml:space="preserve">Unia is competent in the field of antidiscrimination for the so-called racial criteria (presumed race, skin </w:t>
      </w:r>
      <w:proofErr w:type="spellStart"/>
      <w:r>
        <w:rPr>
          <w:lang w:val="en-US"/>
        </w:rPr>
        <w:t>colour</w:t>
      </w:r>
      <w:proofErr w:type="spellEnd"/>
      <w:r>
        <w:rPr>
          <w:lang w:val="en-US"/>
        </w:rPr>
        <w:t>, nationality, ancestry (Jewish origin) and national or ethnic origin) as well as for the so-called non-racial criteria (disability, religion or belief, sexual orientation, age, wealth, civil status, political beliefs, trade union membership, state of health, physical or genetic characteristics, birth and social background).</w:t>
      </w:r>
    </w:p>
    <w:p w14:paraId="30C97CED" w14:textId="77777777" w:rsidR="005623B8" w:rsidRDefault="005623B8" w:rsidP="005623B8">
      <w:pPr>
        <w:tabs>
          <w:tab w:val="left" w:pos="426"/>
        </w:tabs>
        <w:ind w:left="567"/>
        <w:jc w:val="both"/>
        <w:rPr>
          <w:lang w:val="en-US"/>
        </w:rPr>
      </w:pPr>
    </w:p>
    <w:p w14:paraId="3CCA51A9" w14:textId="77777777" w:rsidR="005623B8" w:rsidRDefault="005623B8" w:rsidP="005623B8">
      <w:pPr>
        <w:tabs>
          <w:tab w:val="left" w:pos="426"/>
        </w:tabs>
        <w:ind w:left="567"/>
        <w:jc w:val="both"/>
        <w:rPr>
          <w:lang w:val="en-US"/>
        </w:rPr>
      </w:pPr>
      <w:r>
        <w:rPr>
          <w:lang w:val="en-US"/>
        </w:rPr>
        <w:t>Anyone in Belgium, who feels that he or she has been discriminated against</w:t>
      </w:r>
      <w:r w:rsidR="000306DA">
        <w:rPr>
          <w:lang w:val="en-US"/>
        </w:rPr>
        <w:t xml:space="preserve"> (e.g. on the ground of his or her sexual orientation)</w:t>
      </w:r>
      <w:r>
        <w:rPr>
          <w:lang w:val="en-US"/>
        </w:rPr>
        <w:t>, or who has witnessed discrimination, can report this to Unia</w:t>
      </w:r>
      <w:r w:rsidR="000306DA">
        <w:rPr>
          <w:lang w:val="en-US"/>
        </w:rPr>
        <w:t xml:space="preserve">. </w:t>
      </w:r>
      <w:r>
        <w:rPr>
          <w:lang w:val="en-US"/>
        </w:rPr>
        <w:t xml:space="preserve">Sometimes files regarding other discrimination grounds, such as the state of health, also have a link with the criterion sexual orientation, for instance in the case of discrimination against persons with HIV. </w:t>
      </w:r>
    </w:p>
    <w:p w14:paraId="38AB97C3" w14:textId="77777777" w:rsidR="005623B8" w:rsidRDefault="005623B8" w:rsidP="005623B8">
      <w:pPr>
        <w:tabs>
          <w:tab w:val="left" w:pos="426"/>
        </w:tabs>
        <w:ind w:left="567"/>
        <w:jc w:val="both"/>
        <w:rPr>
          <w:lang w:val="en-US"/>
        </w:rPr>
      </w:pPr>
    </w:p>
    <w:p w14:paraId="29E9E5BD" w14:textId="77777777" w:rsidR="005623B8" w:rsidRDefault="005623B8" w:rsidP="005623B8">
      <w:pPr>
        <w:tabs>
          <w:tab w:val="left" w:pos="426"/>
        </w:tabs>
        <w:ind w:left="567"/>
        <w:jc w:val="both"/>
        <w:rPr>
          <w:lang w:val="en-US"/>
        </w:rPr>
      </w:pPr>
      <w:r>
        <w:rPr>
          <w:lang w:val="en-US"/>
        </w:rPr>
        <w:t xml:space="preserve">Unia provides individual support to citizens who have experienced or witnessed discrimination and also performs other tasks. The institution formulates targeted advice and recommendations for (public) authorities and (public or private) </w:t>
      </w:r>
      <w:r>
        <w:rPr>
          <w:noProof/>
          <w:lang w:val="en-US"/>
        </w:rPr>
        <w:t>organizations</w:t>
      </w:r>
      <w:r>
        <w:rPr>
          <w:lang w:val="en-US"/>
        </w:rPr>
        <w:t xml:space="preserve">. It </w:t>
      </w:r>
      <w:r>
        <w:rPr>
          <w:noProof/>
          <w:lang w:val="en-US"/>
        </w:rPr>
        <w:t>organizes</w:t>
      </w:r>
      <w:r>
        <w:rPr>
          <w:lang w:val="en-US"/>
        </w:rPr>
        <w:t xml:space="preserve"> campaigns for raising awareness and informing the public. It offers </w:t>
      </w:r>
      <w:r>
        <w:rPr>
          <w:noProof/>
          <w:lang w:val="en-US"/>
        </w:rPr>
        <w:t>customized</w:t>
      </w:r>
      <w:r>
        <w:rPr>
          <w:lang w:val="en-US"/>
        </w:rPr>
        <w:t xml:space="preserve"> training and makes available an online training tool (</w:t>
      </w:r>
      <w:proofErr w:type="spellStart"/>
      <w:r>
        <w:rPr>
          <w:lang w:val="en-US"/>
        </w:rPr>
        <w:t>eDiv</w:t>
      </w:r>
      <w:proofErr w:type="spellEnd"/>
      <w:r>
        <w:rPr>
          <w:lang w:val="en-US"/>
        </w:rPr>
        <w:t xml:space="preserve">). Finally, it informs through publications and statistics (such as the ‘barometer' on education, </w:t>
      </w:r>
      <w:r>
        <w:rPr>
          <w:noProof/>
          <w:lang w:val="en-US"/>
        </w:rPr>
        <w:t>work,</w:t>
      </w:r>
      <w:r>
        <w:rPr>
          <w:lang w:val="en-US"/>
        </w:rPr>
        <w:t xml:space="preserve"> and housing).</w:t>
      </w:r>
    </w:p>
    <w:p w14:paraId="0D1F4B98" w14:textId="77777777" w:rsidR="005623B8" w:rsidRDefault="005623B8" w:rsidP="005623B8">
      <w:pPr>
        <w:tabs>
          <w:tab w:val="left" w:pos="426"/>
        </w:tabs>
        <w:ind w:left="567"/>
        <w:jc w:val="both"/>
        <w:rPr>
          <w:lang w:val="en-US"/>
        </w:rPr>
      </w:pPr>
    </w:p>
    <w:p w14:paraId="04A3C816" w14:textId="77777777" w:rsidR="005623B8" w:rsidRDefault="005623B8" w:rsidP="005623B8">
      <w:pPr>
        <w:pStyle w:val="Lijstalinea"/>
        <w:tabs>
          <w:tab w:val="left" w:pos="426"/>
        </w:tabs>
        <w:ind w:left="567"/>
        <w:jc w:val="both"/>
        <w:rPr>
          <w:lang w:val="en-US"/>
        </w:rPr>
      </w:pPr>
      <w:r>
        <w:rPr>
          <w:lang w:val="en-US"/>
        </w:rPr>
        <w:t>Unia has a website (</w:t>
      </w:r>
      <w:hyperlink r:id="rId13" w:history="1">
        <w:r w:rsidRPr="00E64261">
          <w:rPr>
            <w:lang w:val="en-US"/>
          </w:rPr>
          <w:t>www.unia.be</w:t>
        </w:r>
      </w:hyperlink>
      <w:r>
        <w:rPr>
          <w:lang w:val="en-US"/>
        </w:rPr>
        <w:t xml:space="preserve">) where you can find extensive information on our institution and activities. </w:t>
      </w:r>
    </w:p>
    <w:p w14:paraId="1A3F9A82" w14:textId="77777777" w:rsidR="005623B8" w:rsidRDefault="005623B8" w:rsidP="005623B8">
      <w:pPr>
        <w:tabs>
          <w:tab w:val="left" w:pos="426"/>
        </w:tabs>
        <w:ind w:left="567"/>
        <w:jc w:val="both"/>
        <w:rPr>
          <w:lang w:val="en-US"/>
        </w:rPr>
      </w:pPr>
    </w:p>
    <w:p w14:paraId="15172EA4" w14:textId="77777777" w:rsidR="005623B8" w:rsidRDefault="005623B8" w:rsidP="005623B8">
      <w:pPr>
        <w:tabs>
          <w:tab w:val="left" w:pos="426"/>
        </w:tabs>
        <w:ind w:left="567"/>
        <w:jc w:val="both"/>
        <w:rPr>
          <w:lang w:val="en-US"/>
        </w:rPr>
      </w:pPr>
      <w:r>
        <w:rPr>
          <w:lang w:val="en-US"/>
        </w:rPr>
        <w:t>In Belgium, there are separate institutions that deal with issues of equality between woman and men and gender-based discrimination: the Institute for the Equality of Women and Men and (for the Flemish Region) the ‘</w:t>
      </w:r>
      <w:proofErr w:type="spellStart"/>
      <w:r>
        <w:rPr>
          <w:lang w:val="en-US"/>
        </w:rPr>
        <w:t>Vlaamse</w:t>
      </w:r>
      <w:proofErr w:type="spellEnd"/>
      <w:r>
        <w:rPr>
          <w:lang w:val="en-US"/>
        </w:rPr>
        <w:t xml:space="preserve"> </w:t>
      </w:r>
      <w:proofErr w:type="spellStart"/>
      <w:r>
        <w:rPr>
          <w:lang w:val="en-US"/>
        </w:rPr>
        <w:t>Genderkamer</w:t>
      </w:r>
      <w:proofErr w:type="spellEnd"/>
      <w:r>
        <w:rPr>
          <w:lang w:val="en-US"/>
        </w:rPr>
        <w:t>’.  They are competent for, among other things, transsexuality, gender identity and gender expression (regulated by a separate so-called gender law). In what follows, we will only deal with SO, since Unia is not competent for GI.</w:t>
      </w:r>
    </w:p>
    <w:p w14:paraId="35651302" w14:textId="77777777" w:rsidR="0066035F" w:rsidRDefault="0066035F" w:rsidP="005623B8">
      <w:pPr>
        <w:tabs>
          <w:tab w:val="left" w:pos="426"/>
        </w:tabs>
        <w:ind w:left="567"/>
        <w:jc w:val="both"/>
        <w:rPr>
          <w:lang w:val="en-US"/>
        </w:rPr>
      </w:pPr>
    </w:p>
    <w:p w14:paraId="01970DDF" w14:textId="77777777" w:rsidR="0066035F" w:rsidRDefault="0066035F" w:rsidP="005623B8">
      <w:pPr>
        <w:tabs>
          <w:tab w:val="left" w:pos="426"/>
        </w:tabs>
        <w:ind w:left="567"/>
        <w:jc w:val="both"/>
        <w:rPr>
          <w:lang w:val="en-US"/>
        </w:rPr>
      </w:pPr>
    </w:p>
    <w:p w14:paraId="1AFBC4D5" w14:textId="77777777" w:rsidR="0066035F" w:rsidRDefault="0066035F" w:rsidP="005623B8">
      <w:pPr>
        <w:tabs>
          <w:tab w:val="left" w:pos="426"/>
        </w:tabs>
        <w:ind w:left="567"/>
        <w:jc w:val="both"/>
        <w:rPr>
          <w:lang w:val="en-US"/>
        </w:rPr>
      </w:pPr>
    </w:p>
    <w:p w14:paraId="47BAE849" w14:textId="77777777" w:rsidR="005623B8" w:rsidRDefault="005623B8" w:rsidP="005623B8">
      <w:pPr>
        <w:tabs>
          <w:tab w:val="left" w:pos="426"/>
        </w:tabs>
        <w:ind w:left="567"/>
        <w:jc w:val="both"/>
        <w:rPr>
          <w:lang w:val="en-US"/>
        </w:rPr>
      </w:pPr>
    </w:p>
    <w:p w14:paraId="686E13BE" w14:textId="77777777" w:rsidR="005623B8" w:rsidRDefault="005623B8" w:rsidP="005623B8">
      <w:pPr>
        <w:pStyle w:val="Lijstalinea"/>
        <w:numPr>
          <w:ilvl w:val="0"/>
          <w:numId w:val="16"/>
        </w:numPr>
        <w:tabs>
          <w:tab w:val="left" w:pos="426"/>
        </w:tabs>
        <w:spacing w:line="240" w:lineRule="auto"/>
        <w:jc w:val="both"/>
        <w:rPr>
          <w:u w:val="single"/>
          <w:lang w:val="en-US"/>
        </w:rPr>
      </w:pPr>
      <w:r>
        <w:rPr>
          <w:u w:val="single"/>
          <w:lang w:val="en-US"/>
        </w:rPr>
        <w:lastRenderedPageBreak/>
        <w:t>Belgian legal framework regarding SO</w:t>
      </w:r>
    </w:p>
    <w:p w14:paraId="61F852A9" w14:textId="77777777" w:rsidR="005623B8" w:rsidRDefault="005623B8" w:rsidP="005623B8">
      <w:pPr>
        <w:tabs>
          <w:tab w:val="left" w:pos="426"/>
        </w:tabs>
        <w:jc w:val="both"/>
        <w:rPr>
          <w:u w:val="single"/>
          <w:lang w:val="en-US"/>
        </w:rPr>
      </w:pPr>
    </w:p>
    <w:p w14:paraId="0E881A27" w14:textId="77777777" w:rsidR="005623B8" w:rsidRDefault="005623B8" w:rsidP="005623B8">
      <w:pPr>
        <w:tabs>
          <w:tab w:val="left" w:pos="426"/>
        </w:tabs>
        <w:ind w:left="567"/>
        <w:jc w:val="both"/>
        <w:rPr>
          <w:lang w:val="en-US"/>
        </w:rPr>
      </w:pPr>
      <w:r>
        <w:rPr>
          <w:lang w:val="en-US"/>
        </w:rPr>
        <w:t xml:space="preserve">Belgium </w:t>
      </w:r>
      <w:r>
        <w:rPr>
          <w:noProof/>
          <w:lang w:val="en-US"/>
        </w:rPr>
        <w:t>opened-up</w:t>
      </w:r>
      <w:r>
        <w:rPr>
          <w:lang w:val="en-US"/>
        </w:rPr>
        <w:t xml:space="preserve"> marriage in 2003. Same-sex couples were granted access to co-parent and joint (national and international) adoption in 2006. ‘Automatic </w:t>
      </w:r>
      <w:r>
        <w:rPr>
          <w:noProof/>
          <w:lang w:val="en-US"/>
        </w:rPr>
        <w:t>Parenthood</w:t>
      </w:r>
      <w:r>
        <w:rPr>
          <w:lang w:val="en-US"/>
        </w:rPr>
        <w:t>’ for co-mothers became possible in 2015. Belgium also has a law on legal cohabitation (1998) and a law on medically assisted procreation (which is also available for single women and lesbian couples) (2007).</w:t>
      </w:r>
    </w:p>
    <w:p w14:paraId="16600E35" w14:textId="77777777" w:rsidR="005623B8" w:rsidRDefault="005623B8" w:rsidP="005623B8">
      <w:pPr>
        <w:tabs>
          <w:tab w:val="left" w:pos="426"/>
        </w:tabs>
        <w:ind w:left="567"/>
        <w:jc w:val="both"/>
        <w:rPr>
          <w:lang w:val="en-US"/>
        </w:rPr>
      </w:pPr>
    </w:p>
    <w:p w14:paraId="7E0DB807" w14:textId="77777777" w:rsidR="005623B8" w:rsidRDefault="005623B8" w:rsidP="005623B8">
      <w:pPr>
        <w:tabs>
          <w:tab w:val="left" w:pos="426"/>
        </w:tabs>
        <w:ind w:left="567"/>
        <w:jc w:val="both"/>
        <w:rPr>
          <w:lang w:val="en-US"/>
        </w:rPr>
      </w:pPr>
      <w:r>
        <w:rPr>
          <w:lang w:val="en-US"/>
        </w:rPr>
        <w:t xml:space="preserve">In 2003 a (federal and general) antidiscrimination law, covering among other things sexual orientation, became in force (besides an already existing </w:t>
      </w:r>
      <w:r>
        <w:rPr>
          <w:noProof/>
          <w:lang w:val="en-US"/>
        </w:rPr>
        <w:t>antiracism</w:t>
      </w:r>
      <w:r>
        <w:rPr>
          <w:lang w:val="en-US"/>
        </w:rPr>
        <w:t xml:space="preserve"> law from 1981). Both laws were thoroughly revised in 2007. </w:t>
      </w:r>
    </w:p>
    <w:p w14:paraId="6F59EE42" w14:textId="77777777" w:rsidR="005623B8" w:rsidRDefault="005623B8" w:rsidP="005623B8">
      <w:pPr>
        <w:tabs>
          <w:tab w:val="left" w:pos="426"/>
        </w:tabs>
        <w:ind w:left="567"/>
        <w:jc w:val="both"/>
        <w:rPr>
          <w:lang w:val="en-US"/>
        </w:rPr>
      </w:pPr>
    </w:p>
    <w:p w14:paraId="681654C8" w14:textId="77777777" w:rsidR="005623B8" w:rsidRDefault="005623B8" w:rsidP="005623B8">
      <w:pPr>
        <w:tabs>
          <w:tab w:val="left" w:pos="426"/>
        </w:tabs>
        <w:ind w:left="567"/>
        <w:jc w:val="both"/>
        <w:rPr>
          <w:lang w:val="en-US"/>
        </w:rPr>
      </w:pPr>
      <w:r>
        <w:rPr>
          <w:lang w:val="en-US"/>
        </w:rPr>
        <w:t xml:space="preserve">Belgium is a federal state that has, besides a federal Government and Parliament, three Communities (the Flemish Community, the French-speaking </w:t>
      </w:r>
      <w:r>
        <w:rPr>
          <w:noProof/>
          <w:lang w:val="en-US"/>
        </w:rPr>
        <w:t>Community,</w:t>
      </w:r>
      <w:r>
        <w:rPr>
          <w:lang w:val="en-US"/>
        </w:rPr>
        <w:t xml:space="preserve"> and the German-speaking Community) and three Regions (Flanders, </w:t>
      </w:r>
      <w:r>
        <w:rPr>
          <w:noProof/>
          <w:lang w:val="en-US"/>
        </w:rPr>
        <w:t>Wallonia,</w:t>
      </w:r>
      <w:r>
        <w:rPr>
          <w:lang w:val="en-US"/>
        </w:rPr>
        <w:t xml:space="preserve"> and Brussels) with their own Governments and Parliaments. Communities mainly deal with so-called personal affairs, whereas Regions deal chiefly with socioeconomic affairs. Since Unia is an </w:t>
      </w:r>
      <w:r>
        <w:rPr>
          <w:noProof/>
          <w:lang w:val="en-US"/>
        </w:rPr>
        <w:t>interfederal</w:t>
      </w:r>
      <w:r>
        <w:rPr>
          <w:lang w:val="en-US"/>
        </w:rPr>
        <w:t xml:space="preserve"> institution, it is also competent for the decrees and ordinances (‘laws’) of the </w:t>
      </w:r>
      <w:r>
        <w:rPr>
          <w:noProof/>
          <w:lang w:val="en-US"/>
        </w:rPr>
        <w:t>Communities</w:t>
      </w:r>
      <w:r>
        <w:rPr>
          <w:lang w:val="en-US"/>
        </w:rPr>
        <w:t xml:space="preserve"> and Regions. Article 6, § 2 of the cooperation agreement from 12 June 2013 gives an overview of the legislation for which Unia is competent (unia.be/files/Z_ARCHIEF/ 11_april_2014_0.pdf).</w:t>
      </w:r>
    </w:p>
    <w:p w14:paraId="3BBF71C5" w14:textId="77777777" w:rsidR="005623B8" w:rsidRDefault="005623B8" w:rsidP="005623B8">
      <w:pPr>
        <w:pStyle w:val="Lijstalinea"/>
        <w:tabs>
          <w:tab w:val="left" w:pos="426"/>
        </w:tabs>
        <w:ind w:left="927"/>
        <w:jc w:val="both"/>
        <w:rPr>
          <w:lang w:val="en-US"/>
        </w:rPr>
      </w:pPr>
    </w:p>
    <w:p w14:paraId="3A7C68BC" w14:textId="77777777" w:rsidR="005623B8" w:rsidRDefault="005623B8" w:rsidP="005623B8">
      <w:pPr>
        <w:pStyle w:val="Lijstalinea"/>
        <w:numPr>
          <w:ilvl w:val="0"/>
          <w:numId w:val="16"/>
        </w:numPr>
        <w:tabs>
          <w:tab w:val="left" w:pos="426"/>
        </w:tabs>
        <w:spacing w:line="240" w:lineRule="auto"/>
        <w:jc w:val="both"/>
        <w:rPr>
          <w:u w:val="single"/>
          <w:lang w:val="en-US"/>
        </w:rPr>
      </w:pPr>
      <w:r>
        <w:rPr>
          <w:u w:val="single"/>
          <w:lang w:val="en-US"/>
        </w:rPr>
        <w:t>Antidiscrimination law</w:t>
      </w:r>
    </w:p>
    <w:p w14:paraId="51CAC9CA" w14:textId="77777777" w:rsidR="005623B8" w:rsidRDefault="005623B8" w:rsidP="005623B8">
      <w:pPr>
        <w:pStyle w:val="Lijstalinea"/>
        <w:rPr>
          <w:lang w:val="en-US"/>
        </w:rPr>
      </w:pPr>
    </w:p>
    <w:p w14:paraId="6BAC2DE3" w14:textId="77777777" w:rsidR="005623B8" w:rsidRDefault="005623B8" w:rsidP="005623B8">
      <w:pPr>
        <w:pStyle w:val="Lijstalinea"/>
        <w:tabs>
          <w:tab w:val="left" w:pos="426"/>
        </w:tabs>
        <w:ind w:left="567"/>
        <w:jc w:val="both"/>
        <w:rPr>
          <w:lang w:val="en-US"/>
        </w:rPr>
      </w:pPr>
      <w:r>
        <w:rPr>
          <w:lang w:val="en-US"/>
        </w:rPr>
        <w:t>The antidiscrimination law (unia.be/files/Z_ARCHIEF/10_mai_2007.pdf) covers, among other things, sexual orientation. It has provisions on (a) discrimination, (b) hate crimes and (c) hate speech.</w:t>
      </w:r>
    </w:p>
    <w:p w14:paraId="47693FB2" w14:textId="77777777" w:rsidR="005623B8" w:rsidRDefault="005623B8" w:rsidP="005623B8">
      <w:pPr>
        <w:pStyle w:val="Lijstalinea"/>
        <w:tabs>
          <w:tab w:val="left" w:pos="426"/>
        </w:tabs>
        <w:ind w:left="927"/>
        <w:jc w:val="both"/>
        <w:rPr>
          <w:lang w:val="en-US"/>
        </w:rPr>
      </w:pPr>
    </w:p>
    <w:p w14:paraId="2BBD6E9A" w14:textId="77777777" w:rsidR="005623B8" w:rsidRDefault="005623B8" w:rsidP="005623B8">
      <w:pPr>
        <w:pStyle w:val="Lijstalinea"/>
        <w:numPr>
          <w:ilvl w:val="0"/>
          <w:numId w:val="17"/>
        </w:numPr>
        <w:tabs>
          <w:tab w:val="left" w:pos="426"/>
        </w:tabs>
        <w:spacing w:line="240" w:lineRule="auto"/>
        <w:jc w:val="both"/>
        <w:rPr>
          <w:lang w:val="en-US"/>
        </w:rPr>
      </w:pPr>
      <w:r>
        <w:rPr>
          <w:u w:val="single"/>
          <w:lang w:val="en-US"/>
        </w:rPr>
        <w:t>Discrimination</w:t>
      </w:r>
    </w:p>
    <w:p w14:paraId="1D48C2BE" w14:textId="77777777" w:rsidR="005623B8" w:rsidRDefault="005623B8" w:rsidP="005623B8">
      <w:pPr>
        <w:pStyle w:val="Lijstalinea"/>
        <w:tabs>
          <w:tab w:val="left" w:pos="851"/>
        </w:tabs>
        <w:ind w:left="993"/>
        <w:jc w:val="both"/>
        <w:rPr>
          <w:lang w:val="en-US"/>
        </w:rPr>
      </w:pPr>
    </w:p>
    <w:p w14:paraId="0B63C0BA" w14:textId="77777777" w:rsidR="005623B8" w:rsidRDefault="005623B8" w:rsidP="005623B8">
      <w:pPr>
        <w:pStyle w:val="Lijstalinea"/>
        <w:tabs>
          <w:tab w:val="left" w:pos="851"/>
        </w:tabs>
        <w:ind w:left="993"/>
        <w:jc w:val="both"/>
        <w:rPr>
          <w:lang w:val="en-US"/>
        </w:rPr>
      </w:pPr>
      <w:r>
        <w:rPr>
          <w:lang w:val="en-US"/>
        </w:rPr>
        <w:t xml:space="preserve">The antidiscrimination legislation in Belgium has a broad field of application and not only covers fields such as employment and occupation, and the provision of goods and services, but also the participation in every economic, social, cultural or political public activity. This means that Unia opens and investigates individual discrimination files regarding various fields such as employment, goods and services and education. </w:t>
      </w:r>
    </w:p>
    <w:p w14:paraId="0CE560E9" w14:textId="77777777" w:rsidR="005623B8" w:rsidRDefault="005623B8" w:rsidP="005623B8">
      <w:pPr>
        <w:pStyle w:val="Lijstalinea"/>
        <w:tabs>
          <w:tab w:val="left" w:pos="851"/>
        </w:tabs>
        <w:ind w:left="993"/>
        <w:jc w:val="both"/>
        <w:rPr>
          <w:lang w:val="en-US"/>
        </w:rPr>
      </w:pPr>
    </w:p>
    <w:p w14:paraId="56C38D1B" w14:textId="77777777" w:rsidR="005623B8" w:rsidRDefault="005623B8" w:rsidP="005623B8">
      <w:pPr>
        <w:pStyle w:val="Lijstalinea"/>
        <w:tabs>
          <w:tab w:val="left" w:pos="851"/>
        </w:tabs>
        <w:ind w:left="993"/>
        <w:jc w:val="both"/>
        <w:rPr>
          <w:lang w:val="en-US"/>
        </w:rPr>
      </w:pPr>
      <w:r>
        <w:rPr>
          <w:lang w:val="en-US"/>
        </w:rPr>
        <w:t xml:space="preserve">Belgium has made a lot of progress in the field of equal rights for LGB’s in recent years. The legal equality of LGB’s is largely accepted by the Belgian population, but there is still a great deal of so-called homonegativity (e.g. ‘there is too much attention for LGB’s’, ‘LGB’s should behave normally’ …). This attitude reflects itself in the files opened by Unia. A teacher, for instance, received written homophobic remarks from his pupils while using an electronic board during his classes. Unia always tries to reach an alternative dispute resolution, in the case of the teacher by contacting the director of the school, and only in a limited number of cases Unia will take the matter to court. </w:t>
      </w:r>
    </w:p>
    <w:p w14:paraId="27092312" w14:textId="77777777" w:rsidR="005623B8" w:rsidRDefault="005623B8" w:rsidP="005623B8">
      <w:pPr>
        <w:pStyle w:val="Lijstalinea"/>
        <w:tabs>
          <w:tab w:val="left" w:pos="851"/>
        </w:tabs>
        <w:ind w:left="993"/>
        <w:jc w:val="both"/>
        <w:rPr>
          <w:lang w:val="en-US"/>
        </w:rPr>
      </w:pPr>
    </w:p>
    <w:p w14:paraId="24933059" w14:textId="77777777" w:rsidR="005623B8" w:rsidRDefault="005623B8" w:rsidP="005623B8">
      <w:pPr>
        <w:pStyle w:val="Lijstalinea"/>
        <w:numPr>
          <w:ilvl w:val="0"/>
          <w:numId w:val="17"/>
        </w:numPr>
        <w:tabs>
          <w:tab w:val="left" w:pos="426"/>
        </w:tabs>
        <w:spacing w:line="240" w:lineRule="auto"/>
        <w:jc w:val="both"/>
        <w:rPr>
          <w:u w:val="single"/>
          <w:lang w:val="en-US"/>
        </w:rPr>
      </w:pPr>
      <w:r>
        <w:rPr>
          <w:u w:val="single"/>
          <w:lang w:val="en-US"/>
        </w:rPr>
        <w:lastRenderedPageBreak/>
        <w:t>Hate crimes</w:t>
      </w:r>
    </w:p>
    <w:p w14:paraId="3DB292C2" w14:textId="77777777" w:rsidR="005623B8" w:rsidRDefault="005623B8" w:rsidP="005623B8">
      <w:pPr>
        <w:tabs>
          <w:tab w:val="left" w:pos="426"/>
        </w:tabs>
        <w:jc w:val="both"/>
        <w:rPr>
          <w:lang w:val="en-US"/>
        </w:rPr>
      </w:pPr>
    </w:p>
    <w:p w14:paraId="06B500CF" w14:textId="77777777" w:rsidR="005623B8" w:rsidRDefault="005623B8" w:rsidP="005623B8">
      <w:pPr>
        <w:pStyle w:val="Lijstalinea"/>
        <w:tabs>
          <w:tab w:val="left" w:pos="851"/>
        </w:tabs>
        <w:ind w:left="993"/>
        <w:jc w:val="both"/>
        <w:rPr>
          <w:lang w:val="en-US"/>
        </w:rPr>
      </w:pPr>
      <w:r>
        <w:rPr>
          <w:lang w:val="en-US"/>
        </w:rPr>
        <w:t xml:space="preserve">In 2012 two homosexual men were murdered, within weeks of each other, in Belgium solely because of their homosexuality. It triggered the Governments to work out two </w:t>
      </w:r>
      <w:r>
        <w:rPr>
          <w:noProof/>
          <w:lang w:val="en-US"/>
        </w:rPr>
        <w:t>interfederal</w:t>
      </w:r>
      <w:r>
        <w:rPr>
          <w:lang w:val="en-US"/>
        </w:rPr>
        <w:t xml:space="preserve"> action plans about homophobic (and transphobic) violence and discrimination for the period 2013-2014. </w:t>
      </w:r>
    </w:p>
    <w:p w14:paraId="68ECC0FD" w14:textId="77777777" w:rsidR="005623B8" w:rsidRDefault="005623B8" w:rsidP="005623B8">
      <w:pPr>
        <w:pStyle w:val="Lijstalinea"/>
        <w:tabs>
          <w:tab w:val="left" w:pos="851"/>
        </w:tabs>
        <w:ind w:left="993"/>
        <w:jc w:val="both"/>
        <w:rPr>
          <w:lang w:val="en-US"/>
        </w:rPr>
      </w:pPr>
    </w:p>
    <w:p w14:paraId="5DB4A82A" w14:textId="77777777" w:rsidR="005623B8" w:rsidRDefault="005623B8" w:rsidP="005623B8">
      <w:pPr>
        <w:pStyle w:val="Lijstalinea"/>
        <w:tabs>
          <w:tab w:val="left" w:pos="851"/>
        </w:tabs>
        <w:ind w:left="993"/>
        <w:jc w:val="both"/>
        <w:rPr>
          <w:lang w:val="en-US"/>
        </w:rPr>
      </w:pPr>
      <w:r>
        <w:rPr>
          <w:lang w:val="en-US"/>
        </w:rPr>
        <w:t>The Belgian criminal code provides for certain crimes in an optional or compulsory increase of the sentence when the crime is based on a so-called hate motive. This concerns e.g. crimes such as assault and battery, rape, graffiti, stalking, and arson.  If such a crime is committed and is motivated by hate regarding e.g. the sexual orientation of the victim, Unia can take the case to court. Unia did this for instance in the two murder cases mentioned above. For certain crimes, the criminal code does not foresee an increase of the sentence when the crime is based on a so-called hate motive. Such crimes are e.g. torture, theft committed by violence or threat, and extortion. Sometimes homosexual men use dating sites to seek contact and are subsequently robbed. For this kind of crime, it is not possible to investigate the (homophobic) hate motive and eventually increase the sentence. Unia urges for a review of the provisions regarding hate crimes in the criminal code, to make it possible to examine the hate motive for crimes such as theft committed by violence or threat.</w:t>
      </w:r>
    </w:p>
    <w:p w14:paraId="76A42F91" w14:textId="77777777" w:rsidR="005623B8" w:rsidRDefault="005623B8" w:rsidP="005623B8">
      <w:pPr>
        <w:pStyle w:val="Lijstalinea"/>
        <w:tabs>
          <w:tab w:val="left" w:pos="851"/>
        </w:tabs>
        <w:ind w:left="993"/>
        <w:jc w:val="both"/>
        <w:rPr>
          <w:lang w:val="en-US"/>
        </w:rPr>
      </w:pPr>
    </w:p>
    <w:p w14:paraId="13C1C57D" w14:textId="77777777" w:rsidR="005623B8" w:rsidRDefault="005623B8" w:rsidP="005623B8">
      <w:pPr>
        <w:pStyle w:val="Lijstalinea"/>
        <w:numPr>
          <w:ilvl w:val="0"/>
          <w:numId w:val="17"/>
        </w:numPr>
        <w:tabs>
          <w:tab w:val="left" w:pos="426"/>
        </w:tabs>
        <w:spacing w:line="240" w:lineRule="auto"/>
        <w:jc w:val="both"/>
        <w:rPr>
          <w:u w:val="single"/>
          <w:lang w:val="en-US"/>
        </w:rPr>
      </w:pPr>
      <w:r>
        <w:rPr>
          <w:u w:val="single"/>
          <w:lang w:val="en-US"/>
        </w:rPr>
        <w:t>Hate speech</w:t>
      </w:r>
    </w:p>
    <w:p w14:paraId="0BC210F9" w14:textId="77777777" w:rsidR="005623B8" w:rsidRDefault="005623B8" w:rsidP="005623B8">
      <w:pPr>
        <w:tabs>
          <w:tab w:val="left" w:pos="426"/>
        </w:tabs>
        <w:jc w:val="both"/>
        <w:rPr>
          <w:lang w:val="en-US"/>
        </w:rPr>
      </w:pPr>
    </w:p>
    <w:p w14:paraId="2F11DBA7" w14:textId="77777777" w:rsidR="005623B8" w:rsidRDefault="005623B8" w:rsidP="005623B8">
      <w:pPr>
        <w:pStyle w:val="Lijstalinea"/>
        <w:tabs>
          <w:tab w:val="left" w:pos="851"/>
        </w:tabs>
        <w:ind w:left="993"/>
        <w:jc w:val="both"/>
        <w:rPr>
          <w:lang w:val="en-US"/>
        </w:rPr>
      </w:pPr>
      <w:r>
        <w:rPr>
          <w:lang w:val="en-US"/>
        </w:rPr>
        <w:t>The growth of the social media has led to a real explosion of hate speech. Unia is often questioned on the limits to freedom of expression. The Belgian antidiscrimination law states that it is forbidden to incite others in public to discrimination, hate or violence vis-à-vis persons or groups on the basis of a protected criterion.</w:t>
      </w:r>
    </w:p>
    <w:p w14:paraId="5B245C2D" w14:textId="77777777" w:rsidR="005623B8" w:rsidRDefault="005623B8" w:rsidP="005623B8">
      <w:pPr>
        <w:pStyle w:val="Lijstalinea"/>
        <w:tabs>
          <w:tab w:val="left" w:pos="851"/>
        </w:tabs>
        <w:ind w:left="993"/>
        <w:jc w:val="both"/>
        <w:rPr>
          <w:lang w:val="en-US"/>
        </w:rPr>
      </w:pPr>
    </w:p>
    <w:p w14:paraId="1CF10144" w14:textId="77777777" w:rsidR="005623B8" w:rsidRDefault="005623B8" w:rsidP="005623B8">
      <w:pPr>
        <w:pStyle w:val="Lijstalinea"/>
        <w:tabs>
          <w:tab w:val="left" w:pos="851"/>
        </w:tabs>
        <w:ind w:left="993"/>
        <w:jc w:val="both"/>
        <w:rPr>
          <w:lang w:val="en-US"/>
        </w:rPr>
      </w:pPr>
      <w:r>
        <w:rPr>
          <w:lang w:val="en-US"/>
        </w:rPr>
        <w:t xml:space="preserve">Unia deals with hate speech in different ways. It motivates victims to practice </w:t>
      </w:r>
      <w:proofErr w:type="spellStart"/>
      <w:r>
        <w:rPr>
          <w:lang w:val="en-US"/>
        </w:rPr>
        <w:t>counterspeech</w:t>
      </w:r>
      <w:proofErr w:type="spellEnd"/>
      <w:r>
        <w:rPr>
          <w:lang w:val="en-US"/>
        </w:rPr>
        <w:t xml:space="preserve">, negotiates with social media such as Facebook and Twitter and contributes to campaigns against hate speech such as the No </w:t>
      </w:r>
      <w:r>
        <w:rPr>
          <w:noProof/>
          <w:lang w:val="en-US"/>
        </w:rPr>
        <w:t>Hate-campaign</w:t>
      </w:r>
      <w:r>
        <w:rPr>
          <w:lang w:val="en-US"/>
        </w:rPr>
        <w:t>. In some cases a formal complaint is initiated at the office of the public prosecutor or the case is even taken to court.</w:t>
      </w:r>
    </w:p>
    <w:p w14:paraId="64CA5C27" w14:textId="77777777" w:rsidR="005623B8" w:rsidRDefault="005623B8" w:rsidP="005623B8">
      <w:pPr>
        <w:pStyle w:val="Lijstalinea"/>
        <w:tabs>
          <w:tab w:val="left" w:pos="851"/>
        </w:tabs>
        <w:ind w:left="993"/>
        <w:jc w:val="both"/>
        <w:rPr>
          <w:lang w:val="en-US"/>
        </w:rPr>
      </w:pPr>
    </w:p>
    <w:p w14:paraId="423E24D3" w14:textId="77777777" w:rsidR="005623B8" w:rsidRDefault="005623B8" w:rsidP="005623B8">
      <w:pPr>
        <w:pStyle w:val="Lijstalinea"/>
        <w:numPr>
          <w:ilvl w:val="0"/>
          <w:numId w:val="16"/>
        </w:numPr>
        <w:tabs>
          <w:tab w:val="left" w:pos="426"/>
        </w:tabs>
        <w:spacing w:line="240" w:lineRule="auto"/>
        <w:jc w:val="both"/>
        <w:rPr>
          <w:u w:val="single"/>
          <w:lang w:val="en-US"/>
        </w:rPr>
      </w:pPr>
      <w:r>
        <w:rPr>
          <w:u w:val="single"/>
          <w:lang w:val="en-US"/>
        </w:rPr>
        <w:t>Circular COL 13/2013 (17 June 2013)</w:t>
      </w:r>
    </w:p>
    <w:p w14:paraId="651798A1" w14:textId="77777777" w:rsidR="005623B8" w:rsidRDefault="005623B8" w:rsidP="005623B8">
      <w:pPr>
        <w:pStyle w:val="Lijstalinea"/>
        <w:rPr>
          <w:lang w:val="en-US"/>
        </w:rPr>
      </w:pPr>
    </w:p>
    <w:p w14:paraId="729CFD57" w14:textId="0C772907" w:rsidR="00E0139C" w:rsidRPr="005623B8" w:rsidRDefault="005623B8" w:rsidP="00D25FC8">
      <w:pPr>
        <w:pStyle w:val="Lijstalinea"/>
        <w:tabs>
          <w:tab w:val="left" w:pos="426"/>
        </w:tabs>
        <w:ind w:left="567"/>
        <w:jc w:val="both"/>
        <w:rPr>
          <w:lang w:val="en-US"/>
        </w:rPr>
      </w:pPr>
      <w:bookmarkStart w:id="0" w:name="_GoBack"/>
      <w:bookmarkEnd w:id="0"/>
      <w:r>
        <w:rPr>
          <w:lang w:val="en-US"/>
        </w:rPr>
        <w:t xml:space="preserve">A circular was published in 2013 by the Minister of Justice, the Minister of Internal Affairs and the College of Attorneys General at the Courts of Appeal. This circular from 17 June 2013, with reference COL </w:t>
      </w:r>
      <w:r w:rsidR="00722DE0">
        <w:rPr>
          <w:lang w:val="en-US"/>
        </w:rPr>
        <w:t xml:space="preserve">2013 /13 </w:t>
      </w:r>
      <w:r>
        <w:rPr>
          <w:lang w:val="en-US"/>
        </w:rPr>
        <w:t xml:space="preserve">forms an important tool in the fight against discrimination and hate crimes. The circular provides for the appointment of ‘reference’ magistrates and </w:t>
      </w:r>
      <w:r>
        <w:rPr>
          <w:noProof/>
          <w:lang w:val="en-US"/>
        </w:rPr>
        <w:t>‘reference’</w:t>
      </w:r>
      <w:r>
        <w:rPr>
          <w:lang w:val="en-US"/>
        </w:rPr>
        <w:t xml:space="preserve"> police officers specialized in discrimination and hate crimes.  In addition, the circular contains instructions on the detection and prosecution of discrimination and hate crimes. There are also guidelines for the registration of discrimination and hate crimes by the police and for the cooperation between the police, the public prosecutor</w:t>
      </w:r>
      <w:r>
        <w:rPr>
          <w:noProof/>
          <w:lang w:val="en-US"/>
        </w:rPr>
        <w:t>,</w:t>
      </w:r>
      <w:r>
        <w:rPr>
          <w:lang w:val="en-US"/>
        </w:rPr>
        <w:t xml:space="preserve"> and Unia.</w:t>
      </w:r>
      <w:r w:rsidR="00E0139C" w:rsidRPr="005623B8">
        <w:rPr>
          <w:lang w:val="en-US"/>
        </w:rPr>
        <w:tab/>
      </w:r>
      <w:r w:rsidR="00E0139C" w:rsidRPr="005623B8">
        <w:rPr>
          <w:lang w:val="en-US"/>
        </w:rPr>
        <w:tab/>
      </w:r>
      <w:r w:rsidR="00E0139C" w:rsidRPr="005623B8">
        <w:rPr>
          <w:lang w:val="en-US"/>
        </w:rPr>
        <w:tab/>
        <w:t xml:space="preserve"> </w:t>
      </w:r>
    </w:p>
    <w:sectPr w:rsidR="00E0139C" w:rsidRPr="005623B8" w:rsidSect="00B47096">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F3ECA" w14:textId="77777777" w:rsidR="004E384A" w:rsidRDefault="004E384A" w:rsidP="00E0139C">
      <w:pPr>
        <w:spacing w:line="240" w:lineRule="auto"/>
      </w:pPr>
      <w:r>
        <w:separator/>
      </w:r>
    </w:p>
  </w:endnote>
  <w:endnote w:type="continuationSeparator" w:id="0">
    <w:p w14:paraId="046F3AB4" w14:textId="77777777" w:rsidR="004E384A" w:rsidRDefault="004E384A" w:rsidP="00E01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tRoundedOT">
    <w:altName w:val="Calibri"/>
    <w:panose1 w:val="00000000000000000000"/>
    <w:charset w:val="00"/>
    <w:family w:val="swiss"/>
    <w:notTrueType/>
    <w:pitch w:val="variable"/>
    <w:sig w:usb0="800000EF" w:usb1="5000207B" w:usb2="00000028" w:usb3="00000000" w:csb0="00000001" w:csb1="00000000"/>
  </w:font>
  <w:font w:name="Utopia Std">
    <w:panose1 w:val="00000000000000000000"/>
    <w:charset w:val="00"/>
    <w:family w:val="roman"/>
    <w:notTrueType/>
    <w:pitch w:val="variable"/>
    <w:sig w:usb0="00000003" w:usb1="00000001" w:usb2="00000000" w:usb3="00000000" w:csb0="00000001" w:csb1="00000000"/>
  </w:font>
  <w:font w:name="UnitRoundedOT-Light">
    <w:panose1 w:val="00000000000000000000"/>
    <w:charset w:val="00"/>
    <w:family w:val="swiss"/>
    <w:notTrueType/>
    <w:pitch w:val="variable"/>
    <w:sig w:usb0="800000EF" w:usb1="5000207B" w:usb2="00000028" w:usb3="00000000" w:csb0="00000001" w:csb1="00000000"/>
  </w:font>
  <w:font w:name="UnitRoundedOT-Black">
    <w:panose1 w:val="00000000000000000000"/>
    <w:charset w:val="00"/>
    <w:family w:val="swiss"/>
    <w:notTrueType/>
    <w:pitch w:val="variable"/>
    <w:sig w:usb0="800000EF" w:usb1="5000207B" w:usb2="00000028" w:usb3="00000000" w:csb0="00000001" w:csb1="00000000"/>
  </w:font>
  <w:font w:name="UnitRoundedOT-Bold">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0A8F" w14:textId="77777777" w:rsidR="00485344" w:rsidRDefault="004853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4613" w14:textId="77777777" w:rsidR="001F4502" w:rsidRDefault="001F4502" w:rsidP="001F4502">
    <w:pPr>
      <w:pStyle w:val="note79"/>
      <w:ind w:right="360"/>
      <w:rPr>
        <w:rFonts w:ascii="Calibri" w:hAnsi="Calibri" w:cs="Calibri"/>
        <w:sz w:val="16"/>
        <w:szCs w:val="16"/>
      </w:rPr>
    </w:pPr>
    <w:r>
      <w:rPr>
        <w:rFonts w:ascii="Calibri-Bold" w:hAnsi="Calibri-Bold" w:cs="Calibri-Bold"/>
        <w:b/>
        <w:bCs/>
        <w:sz w:val="16"/>
        <w:szCs w:val="16"/>
      </w:rPr>
      <w:t>Centre interfédéral pour l‘égalité des chances et la lutte contre le racisme et les discriminations</w:t>
    </w:r>
  </w:p>
  <w:p w14:paraId="18D104B9" w14:textId="77777777" w:rsidR="00E0139C" w:rsidRPr="001F4502" w:rsidRDefault="001F4502" w:rsidP="00E0139C">
    <w:pPr>
      <w:pStyle w:val="Voettekst"/>
      <w:rPr>
        <w:sz w:val="16"/>
        <w:szCs w:val="16"/>
      </w:rPr>
    </w:pPr>
    <w:r w:rsidRPr="001F4502">
      <w:rPr>
        <w:sz w:val="16"/>
        <w:szCs w:val="16"/>
      </w:rPr>
      <w:t>Rue Royale</w:t>
    </w:r>
    <w:r w:rsidR="00936F94" w:rsidRPr="001F4502">
      <w:rPr>
        <w:sz w:val="16"/>
        <w:szCs w:val="16"/>
      </w:rPr>
      <w:t xml:space="preserve"> 138  •  1000 Bru</w:t>
    </w:r>
    <w:r>
      <w:rPr>
        <w:sz w:val="16"/>
        <w:szCs w:val="16"/>
      </w:rPr>
      <w:t>xe</w:t>
    </w:r>
    <w:r w:rsidR="00936F94" w:rsidRPr="001F4502">
      <w:rPr>
        <w:sz w:val="16"/>
        <w:szCs w:val="16"/>
      </w:rPr>
      <w:t>l</w:t>
    </w:r>
    <w:r>
      <w:rPr>
        <w:sz w:val="16"/>
        <w:szCs w:val="16"/>
      </w:rPr>
      <w:t>les</w:t>
    </w:r>
    <w:r w:rsidR="00936F94" w:rsidRPr="001F4502">
      <w:rPr>
        <w:sz w:val="16"/>
        <w:szCs w:val="16"/>
      </w:rPr>
      <w:t xml:space="preserve">  • </w:t>
    </w:r>
    <w:r w:rsidR="000009CD" w:rsidRPr="001F4502">
      <w:rPr>
        <w:sz w:val="16"/>
        <w:szCs w:val="16"/>
      </w:rPr>
      <w:t xml:space="preserve"> T+32(0)2 2</w:t>
    </w:r>
    <w:r w:rsidR="00936F94" w:rsidRPr="001F4502">
      <w:rPr>
        <w:sz w:val="16"/>
        <w:szCs w:val="16"/>
      </w:rPr>
      <w:t xml:space="preserve">12 30 00  •  </w:t>
    </w:r>
    <w:r w:rsidR="00B779E1" w:rsidRPr="001F4502">
      <w:rPr>
        <w:sz w:val="16"/>
        <w:szCs w:val="16"/>
      </w:rPr>
      <w:t>F+32(0)</w:t>
    </w:r>
    <w:r w:rsidR="00485344">
      <w:rPr>
        <w:sz w:val="16"/>
        <w:szCs w:val="16"/>
      </w:rPr>
      <w:t>2</w:t>
    </w:r>
    <w:r w:rsidR="00B779E1" w:rsidRPr="001F4502">
      <w:rPr>
        <w:sz w:val="16"/>
        <w:szCs w:val="16"/>
      </w:rPr>
      <w:t xml:space="preserve"> 2</w:t>
    </w:r>
    <w:r w:rsidR="00936F94" w:rsidRPr="001F4502">
      <w:rPr>
        <w:sz w:val="16"/>
        <w:szCs w:val="16"/>
      </w:rPr>
      <w:t>12 30 30  •  info@unia.be  •  www.unia.be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D7D0" w14:textId="77777777" w:rsidR="00485344" w:rsidRDefault="004853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DC368" w14:textId="77777777" w:rsidR="004E384A" w:rsidRDefault="004E384A" w:rsidP="00E0139C">
      <w:pPr>
        <w:spacing w:line="240" w:lineRule="auto"/>
      </w:pPr>
      <w:r>
        <w:separator/>
      </w:r>
    </w:p>
  </w:footnote>
  <w:footnote w:type="continuationSeparator" w:id="0">
    <w:p w14:paraId="4C3E8B9E" w14:textId="77777777" w:rsidR="004E384A" w:rsidRDefault="004E384A" w:rsidP="00E0139C">
      <w:pPr>
        <w:spacing w:line="240" w:lineRule="auto"/>
      </w:pPr>
      <w:r>
        <w:continuationSeparator/>
      </w:r>
    </w:p>
  </w:footnote>
  <w:footnote w:id="1">
    <w:p w14:paraId="733802D8" w14:textId="0B018C8F" w:rsidR="00B83219" w:rsidRPr="00B83219" w:rsidRDefault="00B83219">
      <w:pPr>
        <w:pStyle w:val="Voetnoottekst"/>
      </w:pPr>
      <w:r>
        <w:rPr>
          <w:rStyle w:val="Voetnootmarkering"/>
        </w:rPr>
        <w:footnoteRef/>
      </w:r>
      <w:r>
        <w:t xml:space="preserve"> The </w:t>
      </w:r>
      <w:proofErr w:type="spellStart"/>
      <w:r>
        <w:t>center</w:t>
      </w:r>
      <w:proofErr w:type="spellEnd"/>
      <w:r>
        <w:t xml:space="preserve"> for the equality of woman and men; </w:t>
      </w:r>
      <w:hyperlink r:id="rId1" w:history="1">
        <w:r w:rsidRPr="00A81E8E">
          <w:rPr>
            <w:rStyle w:val="Hyperlink"/>
          </w:rPr>
          <w:t>https://igvm-iefh.belgium.be/en</w:t>
        </w:r>
      </w:hyperlink>
      <w:r>
        <w:t xml:space="preserve"> </w:t>
      </w:r>
    </w:p>
  </w:footnote>
  <w:footnote w:id="2">
    <w:p w14:paraId="462CAA53" w14:textId="08A66FA9" w:rsidR="00937580" w:rsidRPr="00007E05" w:rsidRDefault="00937580" w:rsidP="00937580">
      <w:pPr>
        <w:pStyle w:val="Voetnoottekst"/>
        <w:rPr>
          <w:rFonts w:asciiTheme="minorHAnsi" w:hAnsiTheme="minorHAnsi"/>
          <w:lang w:val="en-US"/>
        </w:rPr>
      </w:pPr>
      <w:r w:rsidRPr="00007E05">
        <w:rPr>
          <w:rStyle w:val="Voetnootmarkering"/>
          <w:rFonts w:asciiTheme="minorHAnsi" w:hAnsiTheme="minorHAnsi"/>
        </w:rPr>
        <w:footnoteRef/>
      </w:r>
      <w:r w:rsidRPr="00007E05">
        <w:rPr>
          <w:rFonts w:asciiTheme="minorHAnsi" w:hAnsiTheme="minorHAnsi"/>
          <w:lang w:val="en-US"/>
        </w:rPr>
        <w:t> The Flemish</w:t>
      </w:r>
      <w:r>
        <w:rPr>
          <w:rFonts w:asciiTheme="minorHAnsi" w:hAnsiTheme="minorHAnsi"/>
          <w:lang w:val="en-US"/>
        </w:rPr>
        <w:t xml:space="preserve"> School Climate Survey Report, </w:t>
      </w:r>
      <w:proofErr w:type="spellStart"/>
      <w:r w:rsidR="00EB1BAB">
        <w:rPr>
          <w:rFonts w:asciiTheme="minorHAnsi" w:hAnsiTheme="minorHAnsi"/>
          <w:lang w:val="en-US"/>
        </w:rPr>
        <w:t>Ç</w:t>
      </w:r>
      <w:r w:rsidRPr="00007E05">
        <w:rPr>
          <w:rFonts w:asciiTheme="minorHAnsi" w:hAnsiTheme="minorHAnsi"/>
          <w:lang w:val="en-US"/>
        </w:rPr>
        <w:t>avaria</w:t>
      </w:r>
      <w:proofErr w:type="spellEnd"/>
      <w:r w:rsidRPr="00007E05">
        <w:rPr>
          <w:rFonts w:asciiTheme="minorHAnsi" w:hAnsiTheme="minorHAnsi"/>
          <w:lang w:val="en-US"/>
        </w:rPr>
        <w:t>, 2017</w:t>
      </w:r>
      <w:r w:rsidR="00CE6E71">
        <w:rPr>
          <w:rFonts w:asciiTheme="minorHAnsi" w:hAnsiTheme="minorHAnsi"/>
          <w:lang w:val="en-US"/>
        </w:rPr>
        <w:t xml:space="preserve">; </w:t>
      </w:r>
      <w:hyperlink r:id="rId2" w:history="1">
        <w:r w:rsidR="00CE6E71" w:rsidRPr="00A81E8E">
          <w:rPr>
            <w:rStyle w:val="Hyperlink"/>
            <w:rFonts w:asciiTheme="minorHAnsi" w:hAnsiTheme="minorHAnsi"/>
            <w:lang w:val="en-US"/>
          </w:rPr>
          <w:t>https://cavaria.be/sites/default/files/2019-04/scholierenenquete_2017_eng.pdf</w:t>
        </w:r>
      </w:hyperlink>
      <w:r w:rsidR="00CE6E71">
        <w:rPr>
          <w:rFonts w:asciiTheme="minorHAnsi" w:hAnsiTheme="minorHAnsi"/>
          <w:lang w:val="en-US"/>
        </w:rPr>
        <w:t xml:space="preserve"> </w:t>
      </w:r>
    </w:p>
  </w:footnote>
  <w:footnote w:id="3">
    <w:p w14:paraId="3A8EFDC1" w14:textId="77777777" w:rsidR="00937580" w:rsidRPr="00887486" w:rsidRDefault="00937580" w:rsidP="00937580">
      <w:pPr>
        <w:pStyle w:val="Voetnoottekst"/>
        <w:rPr>
          <w:lang w:val="en-US"/>
        </w:rPr>
      </w:pPr>
      <w:r>
        <w:rPr>
          <w:rStyle w:val="Voetnootmarkering"/>
        </w:rPr>
        <w:footnoteRef/>
      </w:r>
      <w:r>
        <w:t xml:space="preserve"> </w:t>
      </w:r>
      <w:hyperlink r:id="rId3" w:history="1">
        <w:r w:rsidRPr="000F2C96">
          <w:rPr>
            <w:rStyle w:val="Hyperlink"/>
            <w:rFonts w:eastAsia="Utopia Std"/>
          </w:rPr>
          <w:t>https://www.unia.be/fr/publications-et-statistiques/publications/barometre-de-la-diversite-enseignement</w:t>
        </w:r>
      </w:hyperlink>
      <w:r>
        <w:t xml:space="preserve"> </w:t>
      </w:r>
    </w:p>
  </w:footnote>
  <w:footnote w:id="4">
    <w:p w14:paraId="1AA9B985" w14:textId="77777777" w:rsidR="00937580" w:rsidRPr="00744184" w:rsidRDefault="00937580" w:rsidP="00937580">
      <w:pPr>
        <w:pStyle w:val="Voetnoottekst"/>
        <w:rPr>
          <w:lang w:val="en-US"/>
        </w:rPr>
      </w:pPr>
      <w:r>
        <w:rPr>
          <w:rStyle w:val="Voetnootmarkering"/>
        </w:rPr>
        <w:footnoteRef/>
      </w:r>
      <w:r>
        <w:t xml:space="preserve"> </w:t>
      </w:r>
      <w:hyperlink r:id="rId4" w:history="1">
        <w:r w:rsidRPr="000F2C96">
          <w:rPr>
            <w:rStyle w:val="Hyperlink"/>
            <w:rFonts w:eastAsia="Utopia Std"/>
          </w:rPr>
          <w:t>https://www.unia.be/fr/publications-et-statistiques/publications/lhomophobie-en-belgique-anno-2016-rapport-de-recherche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F93B" w14:textId="77777777" w:rsidR="00485344" w:rsidRDefault="004853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5D5D" w14:textId="77777777" w:rsidR="00485344" w:rsidRDefault="004853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D4F2" w14:textId="77777777" w:rsidR="00485344" w:rsidRDefault="004853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8E0"/>
    <w:multiLevelType w:val="hybridMultilevel"/>
    <w:tmpl w:val="893C5D38"/>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 w15:restartNumberingAfterBreak="0">
    <w:nsid w:val="18BF15CB"/>
    <w:multiLevelType w:val="hybridMultilevel"/>
    <w:tmpl w:val="9AC4FF3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7983F45"/>
    <w:multiLevelType w:val="hybridMultilevel"/>
    <w:tmpl w:val="B7F4B25C"/>
    <w:lvl w:ilvl="0" w:tplc="A5205344">
      <w:start w:val="1"/>
      <w:numFmt w:val="decimal"/>
      <w:lvlText w:val="%1."/>
      <w:lvlJc w:val="left"/>
      <w:pPr>
        <w:ind w:left="927" w:hanging="360"/>
      </w:pPr>
    </w:lvl>
    <w:lvl w:ilvl="1" w:tplc="C100B9AA">
      <w:start w:val="1"/>
      <w:numFmt w:val="lowerLetter"/>
      <w:lvlText w:val="%2."/>
      <w:lvlJc w:val="left"/>
      <w:pPr>
        <w:ind w:left="1647" w:hanging="360"/>
      </w:pPr>
    </w:lvl>
    <w:lvl w:ilvl="2" w:tplc="56A69C40">
      <w:start w:val="1"/>
      <w:numFmt w:val="lowerRoman"/>
      <w:lvlText w:val="%3."/>
      <w:lvlJc w:val="right"/>
      <w:pPr>
        <w:ind w:left="2367" w:hanging="180"/>
      </w:pPr>
    </w:lvl>
    <w:lvl w:ilvl="3" w:tplc="D93A3ED4">
      <w:start w:val="1"/>
      <w:numFmt w:val="decimal"/>
      <w:lvlText w:val="%4."/>
      <w:lvlJc w:val="left"/>
      <w:pPr>
        <w:ind w:left="3087" w:hanging="360"/>
      </w:pPr>
    </w:lvl>
    <w:lvl w:ilvl="4" w:tplc="9E9648CE">
      <w:start w:val="1"/>
      <w:numFmt w:val="lowerLetter"/>
      <w:lvlText w:val="%5."/>
      <w:lvlJc w:val="left"/>
      <w:pPr>
        <w:ind w:left="3807" w:hanging="360"/>
      </w:pPr>
    </w:lvl>
    <w:lvl w:ilvl="5" w:tplc="78B2AE4A">
      <w:start w:val="1"/>
      <w:numFmt w:val="lowerRoman"/>
      <w:lvlText w:val="%6."/>
      <w:lvlJc w:val="right"/>
      <w:pPr>
        <w:ind w:left="4527" w:hanging="180"/>
      </w:pPr>
    </w:lvl>
    <w:lvl w:ilvl="6" w:tplc="C18CB8B0">
      <w:start w:val="1"/>
      <w:numFmt w:val="decimal"/>
      <w:lvlText w:val="%7."/>
      <w:lvlJc w:val="left"/>
      <w:pPr>
        <w:ind w:left="5247" w:hanging="360"/>
      </w:pPr>
    </w:lvl>
    <w:lvl w:ilvl="7" w:tplc="EFCAD480">
      <w:start w:val="1"/>
      <w:numFmt w:val="lowerLetter"/>
      <w:lvlText w:val="%8."/>
      <w:lvlJc w:val="left"/>
      <w:pPr>
        <w:ind w:left="5967" w:hanging="360"/>
      </w:pPr>
    </w:lvl>
    <w:lvl w:ilvl="8" w:tplc="C9DC98D0">
      <w:start w:val="1"/>
      <w:numFmt w:val="lowerRoman"/>
      <w:lvlText w:val="%9."/>
      <w:lvlJc w:val="right"/>
      <w:pPr>
        <w:ind w:left="6687" w:hanging="180"/>
      </w:pPr>
    </w:lvl>
  </w:abstractNum>
  <w:abstractNum w:abstractNumId="3" w15:restartNumberingAfterBreak="0">
    <w:nsid w:val="2A356738"/>
    <w:multiLevelType w:val="hybridMultilevel"/>
    <w:tmpl w:val="DDC8F9AC"/>
    <w:lvl w:ilvl="0" w:tplc="F1EEC5C4">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2B5C2C70"/>
    <w:multiLevelType w:val="hybridMultilevel"/>
    <w:tmpl w:val="F68611FA"/>
    <w:lvl w:ilvl="0" w:tplc="080C0003">
      <w:start w:val="1"/>
      <w:numFmt w:val="decimal"/>
      <w:lvlText w:val="%1."/>
      <w:lvlJc w:val="left"/>
      <w:pPr>
        <w:ind w:left="36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E8308ED"/>
    <w:multiLevelType w:val="multilevel"/>
    <w:tmpl w:val="3EB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521BC"/>
    <w:multiLevelType w:val="hybridMultilevel"/>
    <w:tmpl w:val="678E2EA8"/>
    <w:lvl w:ilvl="0" w:tplc="9BDA8756">
      <w:numFmt w:val="bullet"/>
      <w:lvlText w:val="-"/>
      <w:lvlJc w:val="left"/>
      <w:pPr>
        <w:ind w:left="1767" w:hanging="360"/>
      </w:pPr>
      <w:rPr>
        <w:rFonts w:ascii="Calibri" w:eastAsiaTheme="minorEastAsia" w:hAnsi="Calibri" w:cs="Calibri" w:hint="default"/>
      </w:rPr>
    </w:lvl>
    <w:lvl w:ilvl="1" w:tplc="20000003" w:tentative="1">
      <w:start w:val="1"/>
      <w:numFmt w:val="bullet"/>
      <w:lvlText w:val="o"/>
      <w:lvlJc w:val="left"/>
      <w:pPr>
        <w:ind w:left="2487" w:hanging="360"/>
      </w:pPr>
      <w:rPr>
        <w:rFonts w:ascii="Courier New" w:hAnsi="Courier New" w:cs="Courier New" w:hint="default"/>
      </w:rPr>
    </w:lvl>
    <w:lvl w:ilvl="2" w:tplc="20000005" w:tentative="1">
      <w:start w:val="1"/>
      <w:numFmt w:val="bullet"/>
      <w:lvlText w:val=""/>
      <w:lvlJc w:val="left"/>
      <w:pPr>
        <w:ind w:left="3207" w:hanging="360"/>
      </w:pPr>
      <w:rPr>
        <w:rFonts w:ascii="Wingdings" w:hAnsi="Wingdings" w:hint="default"/>
      </w:rPr>
    </w:lvl>
    <w:lvl w:ilvl="3" w:tplc="20000001" w:tentative="1">
      <w:start w:val="1"/>
      <w:numFmt w:val="bullet"/>
      <w:lvlText w:val=""/>
      <w:lvlJc w:val="left"/>
      <w:pPr>
        <w:ind w:left="3927" w:hanging="360"/>
      </w:pPr>
      <w:rPr>
        <w:rFonts w:ascii="Symbol" w:hAnsi="Symbol" w:hint="default"/>
      </w:rPr>
    </w:lvl>
    <w:lvl w:ilvl="4" w:tplc="20000003" w:tentative="1">
      <w:start w:val="1"/>
      <w:numFmt w:val="bullet"/>
      <w:lvlText w:val="o"/>
      <w:lvlJc w:val="left"/>
      <w:pPr>
        <w:ind w:left="4647" w:hanging="360"/>
      </w:pPr>
      <w:rPr>
        <w:rFonts w:ascii="Courier New" w:hAnsi="Courier New" w:cs="Courier New" w:hint="default"/>
      </w:rPr>
    </w:lvl>
    <w:lvl w:ilvl="5" w:tplc="20000005" w:tentative="1">
      <w:start w:val="1"/>
      <w:numFmt w:val="bullet"/>
      <w:lvlText w:val=""/>
      <w:lvlJc w:val="left"/>
      <w:pPr>
        <w:ind w:left="5367" w:hanging="360"/>
      </w:pPr>
      <w:rPr>
        <w:rFonts w:ascii="Wingdings" w:hAnsi="Wingdings" w:hint="default"/>
      </w:rPr>
    </w:lvl>
    <w:lvl w:ilvl="6" w:tplc="20000001" w:tentative="1">
      <w:start w:val="1"/>
      <w:numFmt w:val="bullet"/>
      <w:lvlText w:val=""/>
      <w:lvlJc w:val="left"/>
      <w:pPr>
        <w:ind w:left="6087" w:hanging="360"/>
      </w:pPr>
      <w:rPr>
        <w:rFonts w:ascii="Symbol" w:hAnsi="Symbol" w:hint="default"/>
      </w:rPr>
    </w:lvl>
    <w:lvl w:ilvl="7" w:tplc="20000003" w:tentative="1">
      <w:start w:val="1"/>
      <w:numFmt w:val="bullet"/>
      <w:lvlText w:val="o"/>
      <w:lvlJc w:val="left"/>
      <w:pPr>
        <w:ind w:left="6807" w:hanging="360"/>
      </w:pPr>
      <w:rPr>
        <w:rFonts w:ascii="Courier New" w:hAnsi="Courier New" w:cs="Courier New" w:hint="default"/>
      </w:rPr>
    </w:lvl>
    <w:lvl w:ilvl="8" w:tplc="20000005" w:tentative="1">
      <w:start w:val="1"/>
      <w:numFmt w:val="bullet"/>
      <w:lvlText w:val=""/>
      <w:lvlJc w:val="left"/>
      <w:pPr>
        <w:ind w:left="7527" w:hanging="360"/>
      </w:pPr>
      <w:rPr>
        <w:rFonts w:ascii="Wingdings" w:hAnsi="Wingdings" w:hint="default"/>
      </w:rPr>
    </w:lvl>
  </w:abstractNum>
  <w:abstractNum w:abstractNumId="7" w15:restartNumberingAfterBreak="0">
    <w:nsid w:val="477759D1"/>
    <w:multiLevelType w:val="hybridMultilevel"/>
    <w:tmpl w:val="C5500A24"/>
    <w:lvl w:ilvl="0" w:tplc="099E5F46">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8" w15:restartNumberingAfterBreak="0">
    <w:nsid w:val="4EFC58C1"/>
    <w:multiLevelType w:val="hybridMultilevel"/>
    <w:tmpl w:val="CA8CDFDE"/>
    <w:lvl w:ilvl="0" w:tplc="A6DCB962">
      <w:start w:val="1"/>
      <w:numFmt w:val="bullet"/>
      <w:lvlText w:val=""/>
      <w:lvlJc w:val="left"/>
      <w:pPr>
        <w:ind w:left="1570" w:hanging="360"/>
      </w:pPr>
      <w:rPr>
        <w:rFonts w:ascii="Symbol" w:hAnsi="Symbol" w:hint="default"/>
      </w:rPr>
    </w:lvl>
    <w:lvl w:ilvl="1" w:tplc="04130003" w:tentative="1">
      <w:start w:val="1"/>
      <w:numFmt w:val="bullet"/>
      <w:lvlText w:val="o"/>
      <w:lvlJc w:val="left"/>
      <w:pPr>
        <w:ind w:left="2290" w:hanging="360"/>
      </w:pPr>
      <w:rPr>
        <w:rFonts w:ascii="Courier New" w:hAnsi="Courier New" w:cs="Courier New" w:hint="default"/>
      </w:rPr>
    </w:lvl>
    <w:lvl w:ilvl="2" w:tplc="04130005" w:tentative="1">
      <w:start w:val="1"/>
      <w:numFmt w:val="bullet"/>
      <w:lvlText w:val=""/>
      <w:lvlJc w:val="left"/>
      <w:pPr>
        <w:ind w:left="3010" w:hanging="360"/>
      </w:pPr>
      <w:rPr>
        <w:rFonts w:ascii="Wingdings" w:hAnsi="Wingdings" w:hint="default"/>
      </w:rPr>
    </w:lvl>
    <w:lvl w:ilvl="3" w:tplc="04130001" w:tentative="1">
      <w:start w:val="1"/>
      <w:numFmt w:val="bullet"/>
      <w:lvlText w:val=""/>
      <w:lvlJc w:val="left"/>
      <w:pPr>
        <w:ind w:left="3730" w:hanging="360"/>
      </w:pPr>
      <w:rPr>
        <w:rFonts w:ascii="Symbol" w:hAnsi="Symbol" w:hint="default"/>
      </w:rPr>
    </w:lvl>
    <w:lvl w:ilvl="4" w:tplc="04130003" w:tentative="1">
      <w:start w:val="1"/>
      <w:numFmt w:val="bullet"/>
      <w:lvlText w:val="o"/>
      <w:lvlJc w:val="left"/>
      <w:pPr>
        <w:ind w:left="4450" w:hanging="360"/>
      </w:pPr>
      <w:rPr>
        <w:rFonts w:ascii="Courier New" w:hAnsi="Courier New" w:cs="Courier New" w:hint="default"/>
      </w:rPr>
    </w:lvl>
    <w:lvl w:ilvl="5" w:tplc="04130005" w:tentative="1">
      <w:start w:val="1"/>
      <w:numFmt w:val="bullet"/>
      <w:lvlText w:val=""/>
      <w:lvlJc w:val="left"/>
      <w:pPr>
        <w:ind w:left="5170" w:hanging="360"/>
      </w:pPr>
      <w:rPr>
        <w:rFonts w:ascii="Wingdings" w:hAnsi="Wingdings" w:hint="default"/>
      </w:rPr>
    </w:lvl>
    <w:lvl w:ilvl="6" w:tplc="04130001" w:tentative="1">
      <w:start w:val="1"/>
      <w:numFmt w:val="bullet"/>
      <w:lvlText w:val=""/>
      <w:lvlJc w:val="left"/>
      <w:pPr>
        <w:ind w:left="5890" w:hanging="360"/>
      </w:pPr>
      <w:rPr>
        <w:rFonts w:ascii="Symbol" w:hAnsi="Symbol" w:hint="default"/>
      </w:rPr>
    </w:lvl>
    <w:lvl w:ilvl="7" w:tplc="04130003" w:tentative="1">
      <w:start w:val="1"/>
      <w:numFmt w:val="bullet"/>
      <w:lvlText w:val="o"/>
      <w:lvlJc w:val="left"/>
      <w:pPr>
        <w:ind w:left="6610" w:hanging="360"/>
      </w:pPr>
      <w:rPr>
        <w:rFonts w:ascii="Courier New" w:hAnsi="Courier New" w:cs="Courier New" w:hint="default"/>
      </w:rPr>
    </w:lvl>
    <w:lvl w:ilvl="8" w:tplc="04130005" w:tentative="1">
      <w:start w:val="1"/>
      <w:numFmt w:val="bullet"/>
      <w:lvlText w:val=""/>
      <w:lvlJc w:val="left"/>
      <w:pPr>
        <w:ind w:left="7330" w:hanging="360"/>
      </w:pPr>
      <w:rPr>
        <w:rFonts w:ascii="Wingdings" w:hAnsi="Wingdings" w:hint="default"/>
      </w:rPr>
    </w:lvl>
  </w:abstractNum>
  <w:abstractNum w:abstractNumId="9" w15:restartNumberingAfterBreak="0">
    <w:nsid w:val="67697D60"/>
    <w:multiLevelType w:val="hybridMultilevel"/>
    <w:tmpl w:val="ECCA9F6E"/>
    <w:lvl w:ilvl="0" w:tplc="1700A9A0">
      <w:start w:val="1"/>
      <w:numFmt w:val="decimal"/>
      <w:pStyle w:val="Paragraph"/>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EE1068"/>
    <w:multiLevelType w:val="hybridMultilevel"/>
    <w:tmpl w:val="40DCBED2"/>
    <w:lvl w:ilvl="0" w:tplc="38463400">
      <w:start w:val="1"/>
      <w:numFmt w:val="bullet"/>
      <w:lvlText w:val="-"/>
      <w:lvlJc w:val="left"/>
      <w:pPr>
        <w:tabs>
          <w:tab w:val="num" w:pos="720"/>
        </w:tabs>
        <w:ind w:left="720" w:hanging="360"/>
      </w:pPr>
      <w:rPr>
        <w:rFonts w:ascii="Times New Roman" w:hAnsi="Times New Roman" w:hint="default"/>
      </w:rPr>
    </w:lvl>
    <w:lvl w:ilvl="1" w:tplc="3ABE1558" w:tentative="1">
      <w:start w:val="1"/>
      <w:numFmt w:val="bullet"/>
      <w:lvlText w:val="-"/>
      <w:lvlJc w:val="left"/>
      <w:pPr>
        <w:tabs>
          <w:tab w:val="num" w:pos="1440"/>
        </w:tabs>
        <w:ind w:left="1440" w:hanging="360"/>
      </w:pPr>
      <w:rPr>
        <w:rFonts w:ascii="Times New Roman" w:hAnsi="Times New Roman" w:hint="default"/>
      </w:rPr>
    </w:lvl>
    <w:lvl w:ilvl="2" w:tplc="2E2E2762" w:tentative="1">
      <w:start w:val="1"/>
      <w:numFmt w:val="bullet"/>
      <w:lvlText w:val="-"/>
      <w:lvlJc w:val="left"/>
      <w:pPr>
        <w:tabs>
          <w:tab w:val="num" w:pos="2160"/>
        </w:tabs>
        <w:ind w:left="2160" w:hanging="360"/>
      </w:pPr>
      <w:rPr>
        <w:rFonts w:ascii="Times New Roman" w:hAnsi="Times New Roman" w:hint="default"/>
      </w:rPr>
    </w:lvl>
    <w:lvl w:ilvl="3" w:tplc="63C4F508" w:tentative="1">
      <w:start w:val="1"/>
      <w:numFmt w:val="bullet"/>
      <w:lvlText w:val="-"/>
      <w:lvlJc w:val="left"/>
      <w:pPr>
        <w:tabs>
          <w:tab w:val="num" w:pos="2880"/>
        </w:tabs>
        <w:ind w:left="2880" w:hanging="360"/>
      </w:pPr>
      <w:rPr>
        <w:rFonts w:ascii="Times New Roman" w:hAnsi="Times New Roman" w:hint="default"/>
      </w:rPr>
    </w:lvl>
    <w:lvl w:ilvl="4" w:tplc="B4C8E642" w:tentative="1">
      <w:start w:val="1"/>
      <w:numFmt w:val="bullet"/>
      <w:lvlText w:val="-"/>
      <w:lvlJc w:val="left"/>
      <w:pPr>
        <w:tabs>
          <w:tab w:val="num" w:pos="3600"/>
        </w:tabs>
        <w:ind w:left="3600" w:hanging="360"/>
      </w:pPr>
      <w:rPr>
        <w:rFonts w:ascii="Times New Roman" w:hAnsi="Times New Roman" w:hint="default"/>
      </w:rPr>
    </w:lvl>
    <w:lvl w:ilvl="5" w:tplc="19E491E6" w:tentative="1">
      <w:start w:val="1"/>
      <w:numFmt w:val="bullet"/>
      <w:lvlText w:val="-"/>
      <w:lvlJc w:val="left"/>
      <w:pPr>
        <w:tabs>
          <w:tab w:val="num" w:pos="4320"/>
        </w:tabs>
        <w:ind w:left="4320" w:hanging="360"/>
      </w:pPr>
      <w:rPr>
        <w:rFonts w:ascii="Times New Roman" w:hAnsi="Times New Roman" w:hint="default"/>
      </w:rPr>
    </w:lvl>
    <w:lvl w:ilvl="6" w:tplc="ABE290F8" w:tentative="1">
      <w:start w:val="1"/>
      <w:numFmt w:val="bullet"/>
      <w:lvlText w:val="-"/>
      <w:lvlJc w:val="left"/>
      <w:pPr>
        <w:tabs>
          <w:tab w:val="num" w:pos="5040"/>
        </w:tabs>
        <w:ind w:left="5040" w:hanging="360"/>
      </w:pPr>
      <w:rPr>
        <w:rFonts w:ascii="Times New Roman" w:hAnsi="Times New Roman" w:hint="default"/>
      </w:rPr>
    </w:lvl>
    <w:lvl w:ilvl="7" w:tplc="1FD48770" w:tentative="1">
      <w:start w:val="1"/>
      <w:numFmt w:val="bullet"/>
      <w:lvlText w:val="-"/>
      <w:lvlJc w:val="left"/>
      <w:pPr>
        <w:tabs>
          <w:tab w:val="num" w:pos="5760"/>
        </w:tabs>
        <w:ind w:left="5760" w:hanging="360"/>
      </w:pPr>
      <w:rPr>
        <w:rFonts w:ascii="Times New Roman" w:hAnsi="Times New Roman" w:hint="default"/>
      </w:rPr>
    </w:lvl>
    <w:lvl w:ilvl="8" w:tplc="5D82DB4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3A83FD8"/>
    <w:multiLevelType w:val="hybridMultilevel"/>
    <w:tmpl w:val="A43405CC"/>
    <w:lvl w:ilvl="0" w:tplc="CEC865CC">
      <w:start w:val="1"/>
      <w:numFmt w:val="lowerLetter"/>
      <w:lvlText w:val="(%1)"/>
      <w:lvlJc w:val="left"/>
      <w:pPr>
        <w:ind w:left="1287" w:hanging="360"/>
      </w:pPr>
    </w:lvl>
    <w:lvl w:ilvl="1" w:tplc="AD62398C">
      <w:start w:val="1"/>
      <w:numFmt w:val="lowerLetter"/>
      <w:lvlText w:val="%2."/>
      <w:lvlJc w:val="left"/>
      <w:pPr>
        <w:ind w:left="2007" w:hanging="360"/>
      </w:pPr>
    </w:lvl>
    <w:lvl w:ilvl="2" w:tplc="34CCE8BC">
      <w:start w:val="1"/>
      <w:numFmt w:val="lowerRoman"/>
      <w:lvlText w:val="%3."/>
      <w:lvlJc w:val="right"/>
      <w:pPr>
        <w:ind w:left="2727" w:hanging="180"/>
      </w:pPr>
    </w:lvl>
    <w:lvl w:ilvl="3" w:tplc="128CCCEE">
      <w:start w:val="1"/>
      <w:numFmt w:val="decimal"/>
      <w:lvlText w:val="%4."/>
      <w:lvlJc w:val="left"/>
      <w:pPr>
        <w:ind w:left="3447" w:hanging="360"/>
      </w:pPr>
    </w:lvl>
    <w:lvl w:ilvl="4" w:tplc="3D02C882">
      <w:start w:val="1"/>
      <w:numFmt w:val="lowerLetter"/>
      <w:lvlText w:val="%5."/>
      <w:lvlJc w:val="left"/>
      <w:pPr>
        <w:ind w:left="4167" w:hanging="360"/>
      </w:pPr>
    </w:lvl>
    <w:lvl w:ilvl="5" w:tplc="9B1857B4">
      <w:start w:val="1"/>
      <w:numFmt w:val="lowerRoman"/>
      <w:lvlText w:val="%6."/>
      <w:lvlJc w:val="right"/>
      <w:pPr>
        <w:ind w:left="4887" w:hanging="180"/>
      </w:pPr>
    </w:lvl>
    <w:lvl w:ilvl="6" w:tplc="2AEE72A8">
      <w:start w:val="1"/>
      <w:numFmt w:val="decimal"/>
      <w:lvlText w:val="%7."/>
      <w:lvlJc w:val="left"/>
      <w:pPr>
        <w:ind w:left="5607" w:hanging="360"/>
      </w:pPr>
    </w:lvl>
    <w:lvl w:ilvl="7" w:tplc="2D046612">
      <w:start w:val="1"/>
      <w:numFmt w:val="lowerLetter"/>
      <w:lvlText w:val="%8."/>
      <w:lvlJc w:val="left"/>
      <w:pPr>
        <w:ind w:left="6327" w:hanging="360"/>
      </w:pPr>
    </w:lvl>
    <w:lvl w:ilvl="8" w:tplc="408EE132">
      <w:start w:val="1"/>
      <w:numFmt w:val="lowerRoman"/>
      <w:lvlText w:val="%9."/>
      <w:lvlJc w:val="right"/>
      <w:pPr>
        <w:ind w:left="7047" w:hanging="180"/>
      </w:pPr>
    </w:lvl>
  </w:abstractNum>
  <w:abstractNum w:abstractNumId="12" w15:restartNumberingAfterBreak="0">
    <w:nsid w:val="77A96788"/>
    <w:multiLevelType w:val="hybridMultilevel"/>
    <w:tmpl w:val="CD4445B8"/>
    <w:lvl w:ilvl="0" w:tplc="6A801E6E">
      <w:numFmt w:val="bullet"/>
      <w:lvlText w:val="-"/>
      <w:lvlJc w:val="left"/>
      <w:pPr>
        <w:ind w:left="927" w:hanging="360"/>
      </w:pPr>
      <w:rPr>
        <w:rFonts w:ascii="Calibri" w:eastAsiaTheme="minorEastAsia" w:hAnsi="Calibri" w:cs="Calibr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3" w15:restartNumberingAfterBreak="0">
    <w:nsid w:val="77E9696E"/>
    <w:multiLevelType w:val="hybridMultilevel"/>
    <w:tmpl w:val="EB72244C"/>
    <w:lvl w:ilvl="0" w:tplc="E954F8F2">
      <w:start w:val="1"/>
      <w:numFmt w:val="decimal"/>
      <w:lvlText w:val="%1."/>
      <w:lvlJc w:val="left"/>
      <w:pPr>
        <w:ind w:left="1569" w:hanging="360"/>
      </w:pPr>
    </w:lvl>
    <w:lvl w:ilvl="1" w:tplc="04130019" w:tentative="1">
      <w:start w:val="1"/>
      <w:numFmt w:val="lowerLetter"/>
      <w:lvlText w:val="%2."/>
      <w:lvlJc w:val="left"/>
      <w:pPr>
        <w:ind w:left="2289" w:hanging="360"/>
      </w:pPr>
    </w:lvl>
    <w:lvl w:ilvl="2" w:tplc="0413001B" w:tentative="1">
      <w:start w:val="1"/>
      <w:numFmt w:val="lowerRoman"/>
      <w:lvlText w:val="%3."/>
      <w:lvlJc w:val="right"/>
      <w:pPr>
        <w:ind w:left="3009" w:hanging="180"/>
      </w:pPr>
    </w:lvl>
    <w:lvl w:ilvl="3" w:tplc="0413000F" w:tentative="1">
      <w:start w:val="1"/>
      <w:numFmt w:val="decimal"/>
      <w:lvlText w:val="%4."/>
      <w:lvlJc w:val="left"/>
      <w:pPr>
        <w:ind w:left="3729" w:hanging="360"/>
      </w:pPr>
    </w:lvl>
    <w:lvl w:ilvl="4" w:tplc="04130019" w:tentative="1">
      <w:start w:val="1"/>
      <w:numFmt w:val="lowerLetter"/>
      <w:lvlText w:val="%5."/>
      <w:lvlJc w:val="left"/>
      <w:pPr>
        <w:ind w:left="4449" w:hanging="360"/>
      </w:pPr>
    </w:lvl>
    <w:lvl w:ilvl="5" w:tplc="0413001B" w:tentative="1">
      <w:start w:val="1"/>
      <w:numFmt w:val="lowerRoman"/>
      <w:lvlText w:val="%6."/>
      <w:lvlJc w:val="right"/>
      <w:pPr>
        <w:ind w:left="5169" w:hanging="180"/>
      </w:pPr>
    </w:lvl>
    <w:lvl w:ilvl="6" w:tplc="0413000F" w:tentative="1">
      <w:start w:val="1"/>
      <w:numFmt w:val="decimal"/>
      <w:lvlText w:val="%7."/>
      <w:lvlJc w:val="left"/>
      <w:pPr>
        <w:ind w:left="5889" w:hanging="360"/>
      </w:pPr>
    </w:lvl>
    <w:lvl w:ilvl="7" w:tplc="04130019" w:tentative="1">
      <w:start w:val="1"/>
      <w:numFmt w:val="lowerLetter"/>
      <w:lvlText w:val="%8."/>
      <w:lvlJc w:val="left"/>
      <w:pPr>
        <w:ind w:left="6609" w:hanging="360"/>
      </w:pPr>
    </w:lvl>
    <w:lvl w:ilvl="8" w:tplc="0413001B" w:tentative="1">
      <w:start w:val="1"/>
      <w:numFmt w:val="lowerRoman"/>
      <w:lvlText w:val="%9."/>
      <w:lvlJc w:val="right"/>
      <w:pPr>
        <w:ind w:left="7329" w:hanging="180"/>
      </w:pPr>
    </w:lvl>
  </w:abstractNum>
  <w:num w:numId="1">
    <w:abstractNumId w:val="13"/>
  </w:num>
  <w:num w:numId="2">
    <w:abstractNumId w:val="4"/>
  </w:num>
  <w:num w:numId="3">
    <w:abstractNumId w:val="4"/>
  </w:num>
  <w:num w:numId="4">
    <w:abstractNumId w:val="3"/>
  </w:num>
  <w:num w:numId="5">
    <w:abstractNumId w:val="9"/>
  </w:num>
  <w:num w:numId="6">
    <w:abstractNumId w:val="9"/>
  </w:num>
  <w:num w:numId="7">
    <w:abstractNumId w:val="4"/>
  </w:num>
  <w:num w:numId="8">
    <w:abstractNumId w:val="8"/>
  </w:num>
  <w:num w:numId="9">
    <w:abstractNumId w:val="8"/>
  </w:num>
  <w:num w:numId="10">
    <w:abstractNumId w:val="7"/>
  </w:num>
  <w:num w:numId="11">
    <w:abstractNumId w:val="7"/>
  </w:num>
  <w:num w:numId="12">
    <w:abstractNumId w:val="4"/>
  </w:num>
  <w:num w:numId="13">
    <w:abstractNumId w:val="9"/>
  </w:num>
  <w:num w:numId="14">
    <w:abstractNumId w:val="9"/>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43"/>
    <w:rsid w:val="000009CD"/>
    <w:rsid w:val="00014565"/>
    <w:rsid w:val="00022A7E"/>
    <w:rsid w:val="000306DA"/>
    <w:rsid w:val="00073E5F"/>
    <w:rsid w:val="000956D9"/>
    <w:rsid w:val="001216A9"/>
    <w:rsid w:val="00122594"/>
    <w:rsid w:val="00126F55"/>
    <w:rsid w:val="00130601"/>
    <w:rsid w:val="00130ECB"/>
    <w:rsid w:val="0016349F"/>
    <w:rsid w:val="00182C15"/>
    <w:rsid w:val="00186A39"/>
    <w:rsid w:val="001A1CB6"/>
    <w:rsid w:val="001F4502"/>
    <w:rsid w:val="00224876"/>
    <w:rsid w:val="00226DC0"/>
    <w:rsid w:val="00262161"/>
    <w:rsid w:val="00264130"/>
    <w:rsid w:val="002A1922"/>
    <w:rsid w:val="002D2041"/>
    <w:rsid w:val="002E66D9"/>
    <w:rsid w:val="003677A2"/>
    <w:rsid w:val="00370A9C"/>
    <w:rsid w:val="00371E36"/>
    <w:rsid w:val="00380A49"/>
    <w:rsid w:val="003951E7"/>
    <w:rsid w:val="003A7484"/>
    <w:rsid w:val="003E17EE"/>
    <w:rsid w:val="00422FF0"/>
    <w:rsid w:val="00445CBB"/>
    <w:rsid w:val="00474E7B"/>
    <w:rsid w:val="00483AE4"/>
    <w:rsid w:val="00485344"/>
    <w:rsid w:val="004A1F60"/>
    <w:rsid w:val="004B5B92"/>
    <w:rsid w:val="004E384A"/>
    <w:rsid w:val="004E7FDB"/>
    <w:rsid w:val="004F0D12"/>
    <w:rsid w:val="00504584"/>
    <w:rsid w:val="0053219F"/>
    <w:rsid w:val="005519C3"/>
    <w:rsid w:val="005623B8"/>
    <w:rsid w:val="00571EAB"/>
    <w:rsid w:val="00586583"/>
    <w:rsid w:val="005A39B3"/>
    <w:rsid w:val="005E1614"/>
    <w:rsid w:val="006106E5"/>
    <w:rsid w:val="00634C61"/>
    <w:rsid w:val="00651E9F"/>
    <w:rsid w:val="0066035F"/>
    <w:rsid w:val="0066056E"/>
    <w:rsid w:val="00663FEF"/>
    <w:rsid w:val="006A0382"/>
    <w:rsid w:val="00705543"/>
    <w:rsid w:val="0071161B"/>
    <w:rsid w:val="00722DE0"/>
    <w:rsid w:val="00772B16"/>
    <w:rsid w:val="00774C75"/>
    <w:rsid w:val="007D0584"/>
    <w:rsid w:val="007E238B"/>
    <w:rsid w:val="00824FC5"/>
    <w:rsid w:val="008323C7"/>
    <w:rsid w:val="00833BCA"/>
    <w:rsid w:val="00846146"/>
    <w:rsid w:val="008771A9"/>
    <w:rsid w:val="00877360"/>
    <w:rsid w:val="0088369B"/>
    <w:rsid w:val="00886328"/>
    <w:rsid w:val="008B21DF"/>
    <w:rsid w:val="008C198C"/>
    <w:rsid w:val="008C5008"/>
    <w:rsid w:val="00936F94"/>
    <w:rsid w:val="00937580"/>
    <w:rsid w:val="00954463"/>
    <w:rsid w:val="009759FD"/>
    <w:rsid w:val="009C3D4D"/>
    <w:rsid w:val="009D5842"/>
    <w:rsid w:val="00A03843"/>
    <w:rsid w:val="00A674A9"/>
    <w:rsid w:val="00A729CF"/>
    <w:rsid w:val="00A73BD2"/>
    <w:rsid w:val="00A83D79"/>
    <w:rsid w:val="00A84FF2"/>
    <w:rsid w:val="00AF404C"/>
    <w:rsid w:val="00B03131"/>
    <w:rsid w:val="00B1753A"/>
    <w:rsid w:val="00B3435C"/>
    <w:rsid w:val="00B41CFC"/>
    <w:rsid w:val="00B47096"/>
    <w:rsid w:val="00B61575"/>
    <w:rsid w:val="00B67CD6"/>
    <w:rsid w:val="00B779E1"/>
    <w:rsid w:val="00B83219"/>
    <w:rsid w:val="00BA554E"/>
    <w:rsid w:val="00BA642C"/>
    <w:rsid w:val="00BE34F6"/>
    <w:rsid w:val="00BF6152"/>
    <w:rsid w:val="00C26E86"/>
    <w:rsid w:val="00C343AE"/>
    <w:rsid w:val="00C72F61"/>
    <w:rsid w:val="00CE063A"/>
    <w:rsid w:val="00CE6E71"/>
    <w:rsid w:val="00CF3360"/>
    <w:rsid w:val="00D25FC8"/>
    <w:rsid w:val="00D5763A"/>
    <w:rsid w:val="00D75E89"/>
    <w:rsid w:val="00D83774"/>
    <w:rsid w:val="00DC15A3"/>
    <w:rsid w:val="00DE37A6"/>
    <w:rsid w:val="00E0139C"/>
    <w:rsid w:val="00E179E7"/>
    <w:rsid w:val="00E3719C"/>
    <w:rsid w:val="00E64261"/>
    <w:rsid w:val="00E70230"/>
    <w:rsid w:val="00E71834"/>
    <w:rsid w:val="00E96125"/>
    <w:rsid w:val="00EA3381"/>
    <w:rsid w:val="00EA35CE"/>
    <w:rsid w:val="00EB1BAB"/>
    <w:rsid w:val="00ED26E4"/>
    <w:rsid w:val="00F16F36"/>
    <w:rsid w:val="00F26B1C"/>
    <w:rsid w:val="00F31CF5"/>
    <w:rsid w:val="00F33723"/>
    <w:rsid w:val="00F368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FF99"/>
  <w15:docId w15:val="{5CFD50FA-01D9-4478-88D9-B7E665F0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47096"/>
    <w:pPr>
      <w:spacing w:after="0"/>
    </w:pPr>
  </w:style>
  <w:style w:type="paragraph" w:styleId="Kop1">
    <w:name w:val="heading 1"/>
    <w:basedOn w:val="Standaard"/>
    <w:next w:val="Standaard"/>
    <w:link w:val="Kop1Char"/>
    <w:uiPriority w:val="9"/>
    <w:qFormat/>
    <w:rsid w:val="00B47096"/>
    <w:pPr>
      <w:spacing w:before="48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B47096"/>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B47096"/>
    <w:pPr>
      <w:spacing w:before="20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unhideWhenUsed/>
    <w:qFormat/>
    <w:rsid w:val="00B47096"/>
    <w:pPr>
      <w:spacing w:before="200"/>
      <w:outlineLvl w:val="3"/>
    </w:pPr>
    <w:rPr>
      <w:rFonts w:asciiTheme="majorHAnsi" w:eastAsiaTheme="majorEastAsia" w:hAnsiTheme="majorHAnsi" w:cstheme="majorBidi"/>
      <w:b/>
      <w:bCs/>
      <w:i/>
      <w:iCs/>
    </w:rPr>
  </w:style>
  <w:style w:type="paragraph" w:styleId="Kop5">
    <w:name w:val="heading 5"/>
    <w:aliases w:val="Intro Text"/>
    <w:basedOn w:val="Standaard"/>
    <w:next w:val="Standaard"/>
    <w:link w:val="Kop5Char"/>
    <w:uiPriority w:val="9"/>
    <w:unhideWhenUsed/>
    <w:qFormat/>
    <w:rsid w:val="00B47096"/>
    <w:pPr>
      <w:spacing w:before="200"/>
      <w:outlineLvl w:val="4"/>
    </w:pPr>
    <w:rPr>
      <w:rFonts w:asciiTheme="majorHAnsi" w:eastAsiaTheme="majorEastAsia" w:hAnsiTheme="majorHAnsi" w:cstheme="majorBidi"/>
      <w:b/>
      <w:bCs/>
      <w:color w:val="7F7F7F" w:themeColor="text1" w:themeTint="80"/>
    </w:rPr>
  </w:style>
  <w:style w:type="paragraph" w:styleId="Kop6">
    <w:name w:val="heading 6"/>
    <w:aliases w:val="Bulletpoint"/>
    <w:basedOn w:val="Standaard"/>
    <w:next w:val="Standaard"/>
    <w:link w:val="Kop6Char"/>
    <w:uiPriority w:val="9"/>
    <w:unhideWhenUsed/>
    <w:qFormat/>
    <w:rsid w:val="00B47096"/>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unhideWhenUsed/>
    <w:qFormat/>
    <w:rsid w:val="00B47096"/>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unhideWhenUsed/>
    <w:qFormat/>
    <w:rsid w:val="00B47096"/>
    <w:pPr>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B47096"/>
    <w:pPr>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aliases w:val="UNIA Head 1"/>
    <w:basedOn w:val="Kop2"/>
    <w:uiPriority w:val="39"/>
    <w:rsid w:val="00B47096"/>
    <w:pPr>
      <w:spacing w:before="154"/>
    </w:pPr>
    <w:rPr>
      <w:bCs w:val="0"/>
      <w:color w:val="AA9CA2" w:themeColor="accent6"/>
      <w:sz w:val="24"/>
    </w:rPr>
  </w:style>
  <w:style w:type="character" w:customStyle="1" w:styleId="Kop1Char">
    <w:name w:val="Kop 1 Char"/>
    <w:basedOn w:val="Standaardalinea-lettertype"/>
    <w:link w:val="Kop1"/>
    <w:uiPriority w:val="9"/>
    <w:rsid w:val="00B47096"/>
    <w:rPr>
      <w:rFonts w:asciiTheme="majorHAnsi" w:eastAsiaTheme="majorEastAsia" w:hAnsiTheme="majorHAnsi" w:cstheme="majorBidi"/>
      <w:b/>
      <w:bCs/>
      <w:sz w:val="28"/>
      <w:szCs w:val="28"/>
    </w:rPr>
  </w:style>
  <w:style w:type="paragraph" w:styleId="Inhopg2">
    <w:name w:val="toc 2"/>
    <w:basedOn w:val="Kop2"/>
    <w:link w:val="Inhopg2Char"/>
    <w:uiPriority w:val="39"/>
    <w:rsid w:val="00B47096"/>
    <w:pPr>
      <w:spacing w:before="143"/>
      <w:ind w:left="667" w:hanging="567"/>
    </w:pPr>
    <w:rPr>
      <w:b w:val="0"/>
      <w:bCs w:val="0"/>
      <w:color w:val="837078" w:themeColor="accent6" w:themeShade="BF"/>
      <w:sz w:val="24"/>
      <w:szCs w:val="24"/>
    </w:rPr>
  </w:style>
  <w:style w:type="character" w:customStyle="1" w:styleId="Kop2Char">
    <w:name w:val="Kop 2 Char"/>
    <w:basedOn w:val="Standaardalinea-lettertype"/>
    <w:link w:val="Kop2"/>
    <w:uiPriority w:val="9"/>
    <w:rsid w:val="00B47096"/>
    <w:rPr>
      <w:rFonts w:asciiTheme="majorHAnsi" w:eastAsiaTheme="majorEastAsia" w:hAnsiTheme="majorHAnsi" w:cstheme="majorBidi"/>
      <w:b/>
      <w:bCs/>
      <w:sz w:val="26"/>
      <w:szCs w:val="26"/>
    </w:rPr>
  </w:style>
  <w:style w:type="paragraph" w:styleId="Plattetekst">
    <w:name w:val="Body Text"/>
    <w:basedOn w:val="Standaard"/>
    <w:link w:val="PlattetekstChar"/>
    <w:autoRedefine/>
    <w:uiPriority w:val="1"/>
    <w:rsid w:val="00B47096"/>
    <w:pPr>
      <w:spacing w:line="300" w:lineRule="exact"/>
    </w:pPr>
    <w:rPr>
      <w:rFonts w:eastAsia="Utopia Std"/>
      <w:szCs w:val="19"/>
      <w:lang w:val="nl-NL"/>
    </w:rPr>
  </w:style>
  <w:style w:type="character" w:customStyle="1" w:styleId="PlattetekstChar">
    <w:name w:val="Platte tekst Char"/>
    <w:basedOn w:val="Standaardalinea-lettertype"/>
    <w:link w:val="Plattetekst"/>
    <w:uiPriority w:val="1"/>
    <w:rsid w:val="00B47096"/>
    <w:rPr>
      <w:rFonts w:eastAsia="Utopia Std"/>
      <w:color w:val="574B50" w:themeColor="accent6" w:themeShade="80"/>
      <w:szCs w:val="19"/>
      <w:lang w:val="nl-NL"/>
    </w:rPr>
  </w:style>
  <w:style w:type="paragraph" w:styleId="Kopvaninhoudsopgave">
    <w:name w:val="TOC Heading"/>
    <w:basedOn w:val="Kop1"/>
    <w:next w:val="Standaard"/>
    <w:uiPriority w:val="39"/>
    <w:unhideWhenUsed/>
    <w:qFormat/>
    <w:rsid w:val="00B47096"/>
    <w:pPr>
      <w:outlineLvl w:val="9"/>
    </w:pPr>
    <w:rPr>
      <w:lang w:bidi="en-US"/>
    </w:rPr>
  </w:style>
  <w:style w:type="paragraph" w:styleId="Inhopg3">
    <w:name w:val="toc 3"/>
    <w:basedOn w:val="Standaard"/>
    <w:uiPriority w:val="39"/>
    <w:rsid w:val="00B47096"/>
    <w:pPr>
      <w:ind w:left="510" w:hanging="510"/>
    </w:pPr>
    <w:rPr>
      <w:rFonts w:eastAsia="UnitRoundedOT-Light"/>
      <w:sz w:val="24"/>
      <w:szCs w:val="19"/>
    </w:rPr>
  </w:style>
  <w:style w:type="paragraph" w:styleId="Inhopg4">
    <w:name w:val="toc 4"/>
    <w:basedOn w:val="Plattetekst"/>
    <w:uiPriority w:val="39"/>
    <w:rsid w:val="00B47096"/>
    <w:pPr>
      <w:spacing w:before="34"/>
    </w:pPr>
    <w:rPr>
      <w:rFonts w:eastAsia="UnitRoundedOT-Black"/>
      <w:bCs/>
      <w:szCs w:val="28"/>
    </w:rPr>
  </w:style>
  <w:style w:type="paragraph" w:customStyle="1" w:styleId="TableParagraph">
    <w:name w:val="Table Paragraph"/>
    <w:basedOn w:val="Standaard"/>
    <w:autoRedefine/>
    <w:uiPriority w:val="1"/>
    <w:rsid w:val="00B47096"/>
    <w:pPr>
      <w:spacing w:before="240" w:line="240" w:lineRule="auto"/>
      <w:ind w:left="709"/>
      <w:mirrorIndents/>
    </w:pPr>
    <w:rPr>
      <w:lang w:val="nl-NL"/>
    </w:rPr>
  </w:style>
  <w:style w:type="character" w:customStyle="1" w:styleId="Kop3Char">
    <w:name w:val="Kop 3 Char"/>
    <w:basedOn w:val="Standaardalinea-lettertype"/>
    <w:link w:val="Kop3"/>
    <w:uiPriority w:val="9"/>
    <w:rsid w:val="00B47096"/>
    <w:rPr>
      <w:rFonts w:asciiTheme="majorHAnsi" w:eastAsiaTheme="majorEastAsia" w:hAnsiTheme="majorHAnsi" w:cstheme="majorBidi"/>
      <w:b/>
      <w:bCs/>
    </w:rPr>
  </w:style>
  <w:style w:type="character" w:customStyle="1" w:styleId="Kop4Char">
    <w:name w:val="Kop 4 Char"/>
    <w:basedOn w:val="Standaardalinea-lettertype"/>
    <w:link w:val="Kop4"/>
    <w:uiPriority w:val="9"/>
    <w:rsid w:val="00B47096"/>
    <w:rPr>
      <w:rFonts w:asciiTheme="majorHAnsi" w:eastAsiaTheme="majorEastAsia" w:hAnsiTheme="majorHAnsi" w:cstheme="majorBidi"/>
      <w:b/>
      <w:bCs/>
      <w:i/>
      <w:iCs/>
    </w:rPr>
  </w:style>
  <w:style w:type="character" w:customStyle="1" w:styleId="Kop5Char">
    <w:name w:val="Kop 5 Char"/>
    <w:aliases w:val="Intro Text Char"/>
    <w:basedOn w:val="Standaardalinea-lettertype"/>
    <w:link w:val="Kop5"/>
    <w:uiPriority w:val="9"/>
    <w:rsid w:val="00B47096"/>
    <w:rPr>
      <w:rFonts w:asciiTheme="majorHAnsi" w:eastAsiaTheme="majorEastAsia" w:hAnsiTheme="majorHAnsi" w:cstheme="majorBidi"/>
      <w:b/>
      <w:bCs/>
      <w:color w:val="7F7F7F" w:themeColor="text1" w:themeTint="80"/>
    </w:rPr>
  </w:style>
  <w:style w:type="character" w:customStyle="1" w:styleId="Kop6Char">
    <w:name w:val="Kop 6 Char"/>
    <w:aliases w:val="Bulletpoint Char"/>
    <w:basedOn w:val="Standaardalinea-lettertype"/>
    <w:link w:val="Kop6"/>
    <w:uiPriority w:val="9"/>
    <w:rsid w:val="00B47096"/>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rsid w:val="00B47096"/>
    <w:rPr>
      <w:rFonts w:asciiTheme="majorHAnsi" w:eastAsiaTheme="majorEastAsia" w:hAnsiTheme="majorHAnsi" w:cstheme="majorBidi"/>
      <w:i/>
      <w:iCs/>
    </w:rPr>
  </w:style>
  <w:style w:type="character" w:customStyle="1" w:styleId="Kop8Char">
    <w:name w:val="Kop 8 Char"/>
    <w:basedOn w:val="Standaardalinea-lettertype"/>
    <w:link w:val="Kop8"/>
    <w:uiPriority w:val="9"/>
    <w:rsid w:val="00B47096"/>
    <w:rPr>
      <w:rFonts w:asciiTheme="majorHAnsi" w:eastAsiaTheme="majorEastAsia" w:hAnsiTheme="majorHAnsi" w:cstheme="majorBidi"/>
      <w:sz w:val="20"/>
      <w:szCs w:val="20"/>
    </w:rPr>
  </w:style>
  <w:style w:type="paragraph" w:styleId="Inhopg5">
    <w:name w:val="toc 5"/>
    <w:basedOn w:val="Standaard"/>
    <w:uiPriority w:val="39"/>
    <w:rsid w:val="00B47096"/>
    <w:pPr>
      <w:spacing w:before="155"/>
      <w:ind w:left="1417" w:hanging="567"/>
    </w:pPr>
    <w:rPr>
      <w:rFonts w:ascii="UnitRoundedOT-Bold" w:eastAsia="UnitRoundedOT-Bold" w:hAnsi="UnitRoundedOT-Bold"/>
      <w:b/>
      <w:bCs/>
      <w:sz w:val="24"/>
      <w:szCs w:val="24"/>
    </w:rPr>
  </w:style>
  <w:style w:type="paragraph" w:styleId="Inhopg6">
    <w:name w:val="toc 6"/>
    <w:basedOn w:val="Standaard"/>
    <w:uiPriority w:val="39"/>
    <w:rsid w:val="00B47096"/>
    <w:pPr>
      <w:spacing w:before="5"/>
      <w:ind w:left="1930" w:hanging="513"/>
    </w:pPr>
    <w:rPr>
      <w:rFonts w:ascii="UnitRoundedOT-Light" w:eastAsia="UnitRoundedOT-Light" w:hAnsi="UnitRoundedOT-Light"/>
      <w:sz w:val="19"/>
      <w:szCs w:val="19"/>
    </w:rPr>
  </w:style>
  <w:style w:type="paragraph" w:styleId="Geenafstand">
    <w:name w:val="No Spacing"/>
    <w:basedOn w:val="Standaard"/>
    <w:uiPriority w:val="1"/>
    <w:qFormat/>
    <w:rsid w:val="00B47096"/>
    <w:pPr>
      <w:spacing w:line="240" w:lineRule="auto"/>
    </w:pPr>
  </w:style>
  <w:style w:type="paragraph" w:styleId="Lijstalinea">
    <w:name w:val="List Paragraph"/>
    <w:basedOn w:val="Standaard"/>
    <w:uiPriority w:val="34"/>
    <w:qFormat/>
    <w:rsid w:val="00B47096"/>
    <w:pPr>
      <w:ind w:left="720"/>
      <w:contextualSpacing/>
    </w:pPr>
  </w:style>
  <w:style w:type="character" w:styleId="Nadruk">
    <w:name w:val="Emphasis"/>
    <w:uiPriority w:val="20"/>
    <w:qFormat/>
    <w:rsid w:val="00B47096"/>
    <w:rPr>
      <w:b/>
      <w:bCs/>
      <w:i/>
      <w:iCs/>
      <w:spacing w:val="10"/>
      <w:bdr w:val="none" w:sz="0" w:space="0" w:color="auto"/>
      <w:shd w:val="clear" w:color="auto" w:fill="auto"/>
    </w:rPr>
  </w:style>
  <w:style w:type="paragraph" w:customStyle="1" w:styleId="Paragraph">
    <w:name w:val="Paragraph"/>
    <w:basedOn w:val="Standaard"/>
    <w:uiPriority w:val="1"/>
    <w:rsid w:val="00B47096"/>
    <w:pPr>
      <w:numPr>
        <w:numId w:val="14"/>
      </w:numPr>
    </w:pPr>
  </w:style>
  <w:style w:type="paragraph" w:styleId="Citaat">
    <w:name w:val="Quote"/>
    <w:basedOn w:val="Standaard"/>
    <w:next w:val="Standaard"/>
    <w:link w:val="CitaatChar"/>
    <w:uiPriority w:val="29"/>
    <w:qFormat/>
    <w:rsid w:val="00B47096"/>
    <w:pPr>
      <w:spacing w:before="200"/>
      <w:ind w:left="360" w:right="360"/>
    </w:pPr>
    <w:rPr>
      <w:i/>
      <w:iCs/>
    </w:rPr>
  </w:style>
  <w:style w:type="character" w:customStyle="1" w:styleId="CitaatChar">
    <w:name w:val="Citaat Char"/>
    <w:basedOn w:val="Standaardalinea-lettertype"/>
    <w:link w:val="Citaat"/>
    <w:uiPriority w:val="29"/>
    <w:rsid w:val="00B47096"/>
    <w:rPr>
      <w:i/>
      <w:iCs/>
    </w:rPr>
  </w:style>
  <w:style w:type="character" w:customStyle="1" w:styleId="Inhopg2Char">
    <w:name w:val="Inhopg 2 Char"/>
    <w:basedOn w:val="Kop2Char"/>
    <w:link w:val="Inhopg2"/>
    <w:uiPriority w:val="39"/>
    <w:rsid w:val="00B47096"/>
    <w:rPr>
      <w:rFonts w:asciiTheme="majorHAnsi" w:eastAsiaTheme="majorEastAsia" w:hAnsiTheme="majorHAnsi" w:cstheme="majorBidi"/>
      <w:b w:val="0"/>
      <w:bCs w:val="0"/>
      <w:color w:val="837078" w:themeColor="accent6" w:themeShade="BF"/>
      <w:sz w:val="24"/>
      <w:szCs w:val="24"/>
    </w:rPr>
  </w:style>
  <w:style w:type="character" w:customStyle="1" w:styleId="Kop9Char">
    <w:name w:val="Kop 9 Char"/>
    <w:basedOn w:val="Standaardalinea-lettertype"/>
    <w:link w:val="Kop9"/>
    <w:uiPriority w:val="9"/>
    <w:semiHidden/>
    <w:rsid w:val="00B47096"/>
    <w:rPr>
      <w:rFonts w:asciiTheme="majorHAnsi" w:eastAsiaTheme="majorEastAsia" w:hAnsiTheme="majorHAnsi" w:cstheme="majorBidi"/>
      <w:i/>
      <w:iCs/>
      <w:spacing w:val="5"/>
      <w:sz w:val="20"/>
      <w:szCs w:val="20"/>
    </w:rPr>
  </w:style>
  <w:style w:type="paragraph" w:styleId="Bijschrift">
    <w:name w:val="caption"/>
    <w:basedOn w:val="Standaard"/>
    <w:next w:val="Standaard"/>
    <w:uiPriority w:val="35"/>
    <w:semiHidden/>
    <w:unhideWhenUsed/>
    <w:rsid w:val="00B47096"/>
    <w:pPr>
      <w:spacing w:after="200" w:line="240" w:lineRule="auto"/>
    </w:pPr>
    <w:rPr>
      <w:b/>
      <w:bCs/>
      <w:color w:val="F28E00" w:themeColor="accent1"/>
      <w:sz w:val="18"/>
      <w:szCs w:val="18"/>
    </w:rPr>
  </w:style>
  <w:style w:type="paragraph" w:styleId="Titel">
    <w:name w:val="Title"/>
    <w:basedOn w:val="Standaard"/>
    <w:next w:val="Standaard"/>
    <w:link w:val="TitelChar"/>
    <w:uiPriority w:val="10"/>
    <w:qFormat/>
    <w:rsid w:val="00B470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B47096"/>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B47096"/>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B47096"/>
    <w:rPr>
      <w:rFonts w:asciiTheme="majorHAnsi" w:eastAsiaTheme="majorEastAsia" w:hAnsiTheme="majorHAnsi" w:cstheme="majorBidi"/>
      <w:i/>
      <w:iCs/>
      <w:spacing w:val="13"/>
      <w:sz w:val="24"/>
      <w:szCs w:val="24"/>
    </w:rPr>
  </w:style>
  <w:style w:type="character" w:styleId="Zwaar">
    <w:name w:val="Strong"/>
    <w:uiPriority w:val="22"/>
    <w:qFormat/>
    <w:rsid w:val="00B47096"/>
    <w:rPr>
      <w:b/>
      <w:bCs/>
    </w:rPr>
  </w:style>
  <w:style w:type="paragraph" w:styleId="Duidelijkcitaat">
    <w:name w:val="Intense Quote"/>
    <w:basedOn w:val="Standaard"/>
    <w:next w:val="Standaard"/>
    <w:link w:val="DuidelijkcitaatChar"/>
    <w:uiPriority w:val="30"/>
    <w:qFormat/>
    <w:rsid w:val="00B47096"/>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B47096"/>
    <w:rPr>
      <w:b/>
      <w:bCs/>
      <w:i/>
      <w:iCs/>
    </w:rPr>
  </w:style>
  <w:style w:type="character" w:styleId="Subtielebenadrukking">
    <w:name w:val="Subtle Emphasis"/>
    <w:uiPriority w:val="19"/>
    <w:qFormat/>
    <w:rsid w:val="00B47096"/>
    <w:rPr>
      <w:i/>
      <w:iCs/>
    </w:rPr>
  </w:style>
  <w:style w:type="character" w:styleId="Intensievebenadrukking">
    <w:name w:val="Intense Emphasis"/>
    <w:uiPriority w:val="21"/>
    <w:qFormat/>
    <w:rsid w:val="00B47096"/>
    <w:rPr>
      <w:b/>
      <w:bCs/>
    </w:rPr>
  </w:style>
  <w:style w:type="character" w:styleId="Subtieleverwijzing">
    <w:name w:val="Subtle Reference"/>
    <w:uiPriority w:val="31"/>
    <w:qFormat/>
    <w:rsid w:val="00B47096"/>
    <w:rPr>
      <w:smallCaps/>
    </w:rPr>
  </w:style>
  <w:style w:type="character" w:styleId="Intensieveverwijzing">
    <w:name w:val="Intense Reference"/>
    <w:uiPriority w:val="32"/>
    <w:qFormat/>
    <w:rsid w:val="00B47096"/>
    <w:rPr>
      <w:smallCaps/>
      <w:spacing w:val="5"/>
      <w:u w:val="single"/>
    </w:rPr>
  </w:style>
  <w:style w:type="character" w:styleId="Titelvanboek">
    <w:name w:val="Book Title"/>
    <w:uiPriority w:val="33"/>
    <w:qFormat/>
    <w:rsid w:val="00B47096"/>
    <w:rPr>
      <w:i/>
      <w:iCs/>
      <w:smallCaps/>
      <w:spacing w:val="5"/>
    </w:rPr>
  </w:style>
  <w:style w:type="character" w:styleId="Tekstvantijdelijkeaanduiding">
    <w:name w:val="Placeholder Text"/>
    <w:basedOn w:val="Standaardalinea-lettertype"/>
    <w:uiPriority w:val="99"/>
    <w:semiHidden/>
    <w:rsid w:val="00B41CFC"/>
    <w:rPr>
      <w:color w:val="808080"/>
    </w:rPr>
  </w:style>
  <w:style w:type="paragraph" w:styleId="Ballontekst">
    <w:name w:val="Balloon Text"/>
    <w:basedOn w:val="Standaard"/>
    <w:link w:val="BallontekstChar"/>
    <w:uiPriority w:val="99"/>
    <w:semiHidden/>
    <w:unhideWhenUsed/>
    <w:rsid w:val="00B41CF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1CFC"/>
    <w:rPr>
      <w:rFonts w:ascii="Tahoma" w:hAnsi="Tahoma" w:cs="Tahoma"/>
      <w:sz w:val="16"/>
      <w:szCs w:val="16"/>
    </w:rPr>
  </w:style>
  <w:style w:type="paragraph" w:styleId="Koptekst">
    <w:name w:val="header"/>
    <w:basedOn w:val="Standaard"/>
    <w:link w:val="KoptekstChar"/>
    <w:uiPriority w:val="99"/>
    <w:unhideWhenUsed/>
    <w:rsid w:val="00E013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139C"/>
  </w:style>
  <w:style w:type="paragraph" w:styleId="Voettekst">
    <w:name w:val="footer"/>
    <w:basedOn w:val="Standaard"/>
    <w:link w:val="VoettekstChar"/>
    <w:uiPriority w:val="99"/>
    <w:unhideWhenUsed/>
    <w:rsid w:val="00E013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139C"/>
  </w:style>
  <w:style w:type="character" w:styleId="Hyperlink">
    <w:name w:val="Hyperlink"/>
    <w:basedOn w:val="Standaardalinea-lettertype"/>
    <w:unhideWhenUsed/>
    <w:rsid w:val="00936F94"/>
    <w:rPr>
      <w:color w:val="95B3D7" w:themeColor="hyperlink"/>
      <w:u w:val="single"/>
    </w:rPr>
  </w:style>
  <w:style w:type="paragraph" w:customStyle="1" w:styleId="note79">
    <w:name w:val="note 7/9"/>
    <w:basedOn w:val="Standaard"/>
    <w:uiPriority w:val="99"/>
    <w:rsid w:val="001F4502"/>
    <w:pPr>
      <w:widowControl w:val="0"/>
      <w:autoSpaceDE w:val="0"/>
      <w:autoSpaceDN w:val="0"/>
      <w:adjustRightInd w:val="0"/>
      <w:spacing w:line="180" w:lineRule="atLeast"/>
      <w:textAlignment w:val="center"/>
    </w:pPr>
    <w:rPr>
      <w:rFonts w:ascii="ArialMT" w:hAnsi="ArialMT" w:cs="ArialMT"/>
      <w:color w:val="000000"/>
      <w:sz w:val="14"/>
      <w:szCs w:val="14"/>
      <w:lang w:val="fr-FR" w:eastAsia="nl-NL"/>
    </w:rPr>
  </w:style>
  <w:style w:type="character" w:styleId="Onopgelostemelding">
    <w:name w:val="Unresolved Mention"/>
    <w:basedOn w:val="Standaardalinea-lettertype"/>
    <w:uiPriority w:val="99"/>
    <w:semiHidden/>
    <w:unhideWhenUsed/>
    <w:rsid w:val="005623B8"/>
    <w:rPr>
      <w:color w:val="605E5C"/>
      <w:shd w:val="clear" w:color="auto" w:fill="E1DFDD"/>
    </w:rPr>
  </w:style>
  <w:style w:type="table" w:styleId="Gemiddeldelijst2-accent1">
    <w:name w:val="Medium List 2 Accent 1"/>
    <w:basedOn w:val="Standaardtabel"/>
    <w:uiPriority w:val="66"/>
    <w:rsid w:val="005519C3"/>
    <w:pPr>
      <w:spacing w:after="0" w:line="240" w:lineRule="auto"/>
    </w:pPr>
    <w:rPr>
      <w:rFonts w:asciiTheme="majorHAnsi" w:eastAsiaTheme="majorEastAsia" w:hAnsiTheme="majorHAnsi" w:cstheme="majorBidi"/>
      <w:color w:val="000000" w:themeColor="text1"/>
      <w:lang w:val="nl-BE" w:eastAsia="nl-BE"/>
    </w:rPr>
    <w:tblPr>
      <w:tblStyleRowBandSize w:val="1"/>
      <w:tblStyleColBandSize w:val="1"/>
      <w:tblBorders>
        <w:top w:val="single" w:sz="8" w:space="0" w:color="F28E00" w:themeColor="accent1"/>
        <w:left w:val="single" w:sz="8" w:space="0" w:color="F28E00" w:themeColor="accent1"/>
        <w:bottom w:val="single" w:sz="8" w:space="0" w:color="F28E00" w:themeColor="accent1"/>
        <w:right w:val="single" w:sz="8" w:space="0" w:color="F28E00" w:themeColor="accent1"/>
      </w:tblBorders>
    </w:tblPr>
    <w:tblStylePr w:type="firstRow">
      <w:rPr>
        <w:sz w:val="24"/>
        <w:szCs w:val="24"/>
      </w:rPr>
      <w:tblPr/>
      <w:tcPr>
        <w:tcBorders>
          <w:top w:val="nil"/>
          <w:left w:val="nil"/>
          <w:bottom w:val="single" w:sz="24" w:space="0" w:color="F28E00" w:themeColor="accent1"/>
          <w:right w:val="nil"/>
          <w:insideH w:val="nil"/>
          <w:insideV w:val="nil"/>
        </w:tcBorders>
        <w:shd w:val="clear" w:color="auto" w:fill="FFFFFF" w:themeFill="background1"/>
      </w:tcPr>
    </w:tblStylePr>
    <w:tblStylePr w:type="lastRow">
      <w:tblPr/>
      <w:tcPr>
        <w:tcBorders>
          <w:top w:val="single" w:sz="8" w:space="0" w:color="F28E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E00" w:themeColor="accent1"/>
          <w:insideH w:val="nil"/>
          <w:insideV w:val="nil"/>
        </w:tcBorders>
        <w:shd w:val="clear" w:color="auto" w:fill="FFFFFF" w:themeFill="background1"/>
      </w:tcPr>
    </w:tblStylePr>
    <w:tblStylePr w:type="lastCol">
      <w:tblPr/>
      <w:tcPr>
        <w:tcBorders>
          <w:top w:val="nil"/>
          <w:left w:val="single" w:sz="8" w:space="0" w:color="F28E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C" w:themeFill="accent1" w:themeFillTint="3F"/>
      </w:tcPr>
    </w:tblStylePr>
    <w:tblStylePr w:type="band1Horz">
      <w:tblPr/>
      <w:tcPr>
        <w:tcBorders>
          <w:top w:val="nil"/>
          <w:bottom w:val="nil"/>
          <w:insideH w:val="nil"/>
          <w:insideV w:val="nil"/>
        </w:tcBorders>
        <w:shd w:val="clear" w:color="auto" w:fill="FFE3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Voetnoottekst">
    <w:name w:val="footnote text"/>
    <w:basedOn w:val="Standaard"/>
    <w:link w:val="VoetnoottekstChar"/>
    <w:rsid w:val="00937580"/>
    <w:pPr>
      <w:spacing w:line="240" w:lineRule="auto"/>
    </w:pPr>
    <w:rPr>
      <w:rFonts w:ascii="Arial" w:eastAsia="Times New Roman" w:hAnsi="Arial" w:cs="Times New Roman"/>
      <w:sz w:val="20"/>
      <w:szCs w:val="20"/>
      <w:lang w:val="en-GB" w:eastAsia="fr-FR"/>
    </w:rPr>
  </w:style>
  <w:style w:type="character" w:customStyle="1" w:styleId="VoetnoottekstChar">
    <w:name w:val="Voetnoottekst Char"/>
    <w:basedOn w:val="Standaardalinea-lettertype"/>
    <w:link w:val="Voetnoottekst"/>
    <w:rsid w:val="00937580"/>
    <w:rPr>
      <w:rFonts w:ascii="Arial" w:eastAsia="Times New Roman" w:hAnsi="Arial" w:cs="Times New Roman"/>
      <w:sz w:val="20"/>
      <w:szCs w:val="20"/>
      <w:lang w:val="en-GB" w:eastAsia="fr-FR"/>
    </w:rPr>
  </w:style>
  <w:style w:type="character" w:styleId="Voetnootmarkering">
    <w:name w:val="footnote reference"/>
    <w:basedOn w:val="Standaardalinea-lettertype"/>
    <w:rsid w:val="00937580"/>
    <w:rPr>
      <w:vertAlign w:val="superscript"/>
    </w:rPr>
  </w:style>
  <w:style w:type="character" w:styleId="Verwijzingopmerking">
    <w:name w:val="annotation reference"/>
    <w:basedOn w:val="Standaardalinea-lettertype"/>
    <w:uiPriority w:val="99"/>
    <w:semiHidden/>
    <w:unhideWhenUsed/>
    <w:rsid w:val="003E17EE"/>
    <w:rPr>
      <w:sz w:val="16"/>
      <w:szCs w:val="16"/>
    </w:rPr>
  </w:style>
  <w:style w:type="paragraph" w:styleId="Tekstopmerking">
    <w:name w:val="annotation text"/>
    <w:basedOn w:val="Standaard"/>
    <w:link w:val="TekstopmerkingChar"/>
    <w:uiPriority w:val="99"/>
    <w:semiHidden/>
    <w:unhideWhenUsed/>
    <w:rsid w:val="003E17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17EE"/>
    <w:rPr>
      <w:sz w:val="20"/>
      <w:szCs w:val="20"/>
    </w:rPr>
  </w:style>
  <w:style w:type="paragraph" w:styleId="Onderwerpvanopmerking">
    <w:name w:val="annotation subject"/>
    <w:basedOn w:val="Tekstopmerking"/>
    <w:next w:val="Tekstopmerking"/>
    <w:link w:val="OnderwerpvanopmerkingChar"/>
    <w:uiPriority w:val="99"/>
    <w:semiHidden/>
    <w:unhideWhenUsed/>
    <w:rsid w:val="003E17EE"/>
    <w:rPr>
      <w:b/>
      <w:bCs/>
    </w:rPr>
  </w:style>
  <w:style w:type="character" w:customStyle="1" w:styleId="OnderwerpvanopmerkingChar">
    <w:name w:val="Onderwerp van opmerking Char"/>
    <w:basedOn w:val="TekstopmerkingChar"/>
    <w:link w:val="Onderwerpvanopmerking"/>
    <w:uiPriority w:val="99"/>
    <w:semiHidden/>
    <w:rsid w:val="003E1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71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7403">
          <w:marLeft w:val="547"/>
          <w:marRight w:val="0"/>
          <w:marTop w:val="115"/>
          <w:marBottom w:val="0"/>
          <w:divBdr>
            <w:top w:val="none" w:sz="0" w:space="0" w:color="auto"/>
            <w:left w:val="none" w:sz="0" w:space="0" w:color="auto"/>
            <w:bottom w:val="none" w:sz="0" w:space="0" w:color="auto"/>
            <w:right w:val="none" w:sz="0" w:space="0" w:color="auto"/>
          </w:divBdr>
        </w:div>
        <w:div w:id="1801725432">
          <w:marLeft w:val="547"/>
          <w:marRight w:val="0"/>
          <w:marTop w:val="115"/>
          <w:marBottom w:val="0"/>
          <w:divBdr>
            <w:top w:val="none" w:sz="0" w:space="0" w:color="auto"/>
            <w:left w:val="none" w:sz="0" w:space="0" w:color="auto"/>
            <w:bottom w:val="none" w:sz="0" w:space="0" w:color="auto"/>
            <w:right w:val="none" w:sz="0" w:space="0" w:color="auto"/>
          </w:divBdr>
        </w:div>
        <w:div w:id="2135825476">
          <w:marLeft w:val="547"/>
          <w:marRight w:val="0"/>
          <w:marTop w:val="115"/>
          <w:marBottom w:val="0"/>
          <w:divBdr>
            <w:top w:val="none" w:sz="0" w:space="0" w:color="auto"/>
            <w:left w:val="none" w:sz="0" w:space="0" w:color="auto"/>
            <w:bottom w:val="none" w:sz="0" w:space="0" w:color="auto"/>
            <w:right w:val="none" w:sz="0" w:space="0" w:color="auto"/>
          </w:divBdr>
        </w:div>
        <w:div w:id="210846741">
          <w:marLeft w:val="547"/>
          <w:marRight w:val="0"/>
          <w:marTop w:val="115"/>
          <w:marBottom w:val="0"/>
          <w:divBdr>
            <w:top w:val="none" w:sz="0" w:space="0" w:color="auto"/>
            <w:left w:val="none" w:sz="0" w:space="0" w:color="auto"/>
            <w:bottom w:val="none" w:sz="0" w:space="0" w:color="auto"/>
            <w:right w:val="none" w:sz="0" w:space="0" w:color="auto"/>
          </w:divBdr>
        </w:div>
        <w:div w:id="948928348">
          <w:marLeft w:val="547"/>
          <w:marRight w:val="0"/>
          <w:marTop w:val="115"/>
          <w:marBottom w:val="0"/>
          <w:divBdr>
            <w:top w:val="none" w:sz="0" w:space="0" w:color="auto"/>
            <w:left w:val="none" w:sz="0" w:space="0" w:color="auto"/>
            <w:bottom w:val="none" w:sz="0" w:space="0" w:color="auto"/>
            <w:right w:val="none" w:sz="0" w:space="0" w:color="auto"/>
          </w:divBdr>
        </w:div>
        <w:div w:id="143669049">
          <w:marLeft w:val="547"/>
          <w:marRight w:val="0"/>
          <w:marTop w:val="115"/>
          <w:marBottom w:val="0"/>
          <w:divBdr>
            <w:top w:val="none" w:sz="0" w:space="0" w:color="auto"/>
            <w:left w:val="none" w:sz="0" w:space="0" w:color="auto"/>
            <w:bottom w:val="none" w:sz="0" w:space="0" w:color="auto"/>
            <w:right w:val="none" w:sz="0" w:space="0" w:color="auto"/>
          </w:divBdr>
        </w:div>
        <w:div w:id="1748922479">
          <w:marLeft w:val="547"/>
          <w:marRight w:val="0"/>
          <w:marTop w:val="115"/>
          <w:marBottom w:val="0"/>
          <w:divBdr>
            <w:top w:val="none" w:sz="0" w:space="0" w:color="auto"/>
            <w:left w:val="none" w:sz="0" w:space="0" w:color="auto"/>
            <w:bottom w:val="none" w:sz="0" w:space="0" w:color="auto"/>
            <w:right w:val="none" w:sz="0" w:space="0" w:color="auto"/>
          </w:divBdr>
        </w:div>
      </w:divsChild>
    </w:div>
    <w:div w:id="425152845">
      <w:bodyDiv w:val="1"/>
      <w:marLeft w:val="0"/>
      <w:marRight w:val="0"/>
      <w:marTop w:val="0"/>
      <w:marBottom w:val="0"/>
      <w:divBdr>
        <w:top w:val="none" w:sz="0" w:space="0" w:color="auto"/>
        <w:left w:val="none" w:sz="0" w:space="0" w:color="auto"/>
        <w:bottom w:val="none" w:sz="0" w:space="0" w:color="auto"/>
        <w:right w:val="none" w:sz="0" w:space="0" w:color="auto"/>
      </w:divBdr>
    </w:div>
    <w:div w:id="525483048">
      <w:bodyDiv w:val="1"/>
      <w:marLeft w:val="0"/>
      <w:marRight w:val="0"/>
      <w:marTop w:val="0"/>
      <w:marBottom w:val="0"/>
      <w:divBdr>
        <w:top w:val="none" w:sz="0" w:space="0" w:color="auto"/>
        <w:left w:val="none" w:sz="0" w:space="0" w:color="auto"/>
        <w:bottom w:val="none" w:sz="0" w:space="0" w:color="auto"/>
        <w:right w:val="none" w:sz="0" w:space="0" w:color="auto"/>
      </w:divBdr>
    </w:div>
    <w:div w:id="725564284">
      <w:bodyDiv w:val="1"/>
      <w:marLeft w:val="0"/>
      <w:marRight w:val="0"/>
      <w:marTop w:val="0"/>
      <w:marBottom w:val="0"/>
      <w:divBdr>
        <w:top w:val="none" w:sz="0" w:space="0" w:color="auto"/>
        <w:left w:val="none" w:sz="0" w:space="0" w:color="auto"/>
        <w:bottom w:val="none" w:sz="0" w:space="0" w:color="auto"/>
        <w:right w:val="none" w:sz="0" w:space="0" w:color="auto"/>
      </w:divBdr>
    </w:div>
    <w:div w:id="1217887928">
      <w:bodyDiv w:val="1"/>
      <w:marLeft w:val="0"/>
      <w:marRight w:val="0"/>
      <w:marTop w:val="0"/>
      <w:marBottom w:val="0"/>
      <w:divBdr>
        <w:top w:val="none" w:sz="0" w:space="0" w:color="auto"/>
        <w:left w:val="none" w:sz="0" w:space="0" w:color="auto"/>
        <w:bottom w:val="none" w:sz="0" w:space="0" w:color="auto"/>
        <w:right w:val="none" w:sz="0" w:space="0" w:color="auto"/>
      </w:divBdr>
    </w:div>
    <w:div w:id="1269580234">
      <w:bodyDiv w:val="1"/>
      <w:marLeft w:val="0"/>
      <w:marRight w:val="0"/>
      <w:marTop w:val="0"/>
      <w:marBottom w:val="0"/>
      <w:divBdr>
        <w:top w:val="none" w:sz="0" w:space="0" w:color="auto"/>
        <w:left w:val="none" w:sz="0" w:space="0" w:color="auto"/>
        <w:bottom w:val="none" w:sz="0" w:space="0" w:color="auto"/>
        <w:right w:val="none" w:sz="0" w:space="0" w:color="auto"/>
      </w:divBdr>
    </w:div>
    <w:div w:id="1334333706">
      <w:bodyDiv w:val="1"/>
      <w:marLeft w:val="0"/>
      <w:marRight w:val="0"/>
      <w:marTop w:val="0"/>
      <w:marBottom w:val="0"/>
      <w:divBdr>
        <w:top w:val="none" w:sz="0" w:space="0" w:color="auto"/>
        <w:left w:val="none" w:sz="0" w:space="0" w:color="auto"/>
        <w:bottom w:val="none" w:sz="0" w:space="0" w:color="auto"/>
        <w:right w:val="none" w:sz="0" w:space="0" w:color="auto"/>
      </w:divBdr>
    </w:div>
    <w:div w:id="1706907583">
      <w:bodyDiv w:val="1"/>
      <w:marLeft w:val="0"/>
      <w:marRight w:val="0"/>
      <w:marTop w:val="0"/>
      <w:marBottom w:val="0"/>
      <w:divBdr>
        <w:top w:val="none" w:sz="0" w:space="0" w:color="auto"/>
        <w:left w:val="none" w:sz="0" w:space="0" w:color="auto"/>
        <w:bottom w:val="none" w:sz="0" w:space="0" w:color="auto"/>
        <w:right w:val="none" w:sz="0" w:space="0" w:color="auto"/>
      </w:divBdr>
    </w:div>
    <w:div w:id="1812749563">
      <w:bodyDiv w:val="1"/>
      <w:marLeft w:val="0"/>
      <w:marRight w:val="0"/>
      <w:marTop w:val="0"/>
      <w:marBottom w:val="0"/>
      <w:divBdr>
        <w:top w:val="none" w:sz="0" w:space="0" w:color="auto"/>
        <w:left w:val="none" w:sz="0" w:space="0" w:color="auto"/>
        <w:bottom w:val="none" w:sz="0" w:space="0" w:color="auto"/>
        <w:right w:val="none" w:sz="0" w:space="0" w:color="auto"/>
      </w:divBdr>
    </w:div>
    <w:div w:id="21246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a.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0" Type="http://schemas.openxmlformats.org/officeDocument/2006/relationships/fontTable" Target="fontTable.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a.be/fr/publications-et-statistiques/publications/barometre-de-la-diversite-enseignement" TargetMode="External"/><Relationship Id="rId2" Type="http://schemas.openxmlformats.org/officeDocument/2006/relationships/hyperlink" Target="https://cavaria.be/sites/default/files/2019-04/scholierenenquete_2017_eng.pdf" TargetMode="External"/><Relationship Id="rId1" Type="http://schemas.openxmlformats.org/officeDocument/2006/relationships/hyperlink" Target="https://igvm-iefh.belgium.be/en" TargetMode="External"/><Relationship Id="rId4" Type="http://schemas.openxmlformats.org/officeDocument/2006/relationships/hyperlink" Target="https://www.unia.be/fr/publications-et-statistiques/publications/lhomophobie-en-belgique-anno-2016-rapport-de-recherch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riends%20of%20Israel%20lettre%20d'accompagnemen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Blad1!$B$1</c:f>
              <c:strCache>
                <c:ptCount val="1"/>
                <c:pt idx="0">
                  <c:v>Kolom1</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Blad1!$A$2:$A$7</c:f>
              <c:numCache>
                <c:formatCode>General</c:formatCode>
                <c:ptCount val="6"/>
                <c:pt idx="0">
                  <c:v>2013</c:v>
                </c:pt>
                <c:pt idx="1">
                  <c:v>2014</c:v>
                </c:pt>
                <c:pt idx="2">
                  <c:v>2015</c:v>
                </c:pt>
                <c:pt idx="3">
                  <c:v>2016</c:v>
                </c:pt>
                <c:pt idx="4">
                  <c:v>2017</c:v>
                </c:pt>
                <c:pt idx="5">
                  <c:v>2018</c:v>
                </c:pt>
              </c:numCache>
            </c:numRef>
          </c:cat>
          <c:val>
            <c:numRef>
              <c:f>Blad1!$B$2:$B$7</c:f>
              <c:numCache>
                <c:formatCode>General</c:formatCode>
                <c:ptCount val="6"/>
                <c:pt idx="0">
                  <c:v>94</c:v>
                </c:pt>
                <c:pt idx="1">
                  <c:v>80</c:v>
                </c:pt>
                <c:pt idx="2">
                  <c:v>92</c:v>
                </c:pt>
                <c:pt idx="3">
                  <c:v>104</c:v>
                </c:pt>
                <c:pt idx="4">
                  <c:v>84</c:v>
                </c:pt>
                <c:pt idx="5">
                  <c:v>125</c:v>
                </c:pt>
              </c:numCache>
            </c:numRef>
          </c:val>
          <c:smooth val="0"/>
          <c:extLst>
            <c:ext xmlns:c16="http://schemas.microsoft.com/office/drawing/2014/chart" uri="{C3380CC4-5D6E-409C-BE32-E72D297353CC}">
              <c16:uniqueId val="{00000000-2EEB-412B-B361-8A346BD92540}"/>
            </c:ext>
          </c:extLst>
        </c:ser>
        <c:dLbls>
          <c:dLblPos val="b"/>
          <c:showLegendKey val="0"/>
          <c:showVal val="1"/>
          <c:showCatName val="0"/>
          <c:showSerName val="0"/>
          <c:showPercent val="0"/>
          <c:showBubbleSize val="0"/>
        </c:dLbls>
        <c:smooth val="0"/>
        <c:axId val="499187167"/>
        <c:axId val="414431551"/>
      </c:lineChart>
      <c:catAx>
        <c:axId val="499187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14431551"/>
        <c:crosses val="autoZero"/>
        <c:auto val="1"/>
        <c:lblAlgn val="ctr"/>
        <c:lblOffset val="100"/>
        <c:noMultiLvlLbl val="0"/>
      </c:catAx>
      <c:valAx>
        <c:axId val="414431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91871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FFFFFF"/>
      </a:dk2>
      <a:lt2>
        <a:srgbClr val="FFFFFF"/>
      </a:lt2>
      <a:accent1>
        <a:srgbClr val="F28E00"/>
      </a:accent1>
      <a:accent2>
        <a:srgbClr val="848AC4"/>
      </a:accent2>
      <a:accent3>
        <a:srgbClr val="E63212"/>
      </a:accent3>
      <a:accent4>
        <a:srgbClr val="FABA00"/>
      </a:accent4>
      <a:accent5>
        <a:srgbClr val="EC6C84"/>
      </a:accent5>
      <a:accent6>
        <a:srgbClr val="AA9CA2"/>
      </a:accent6>
      <a:hlink>
        <a:srgbClr val="95B3D7"/>
      </a:hlink>
      <a:folHlink>
        <a:srgbClr val="EB5C48"/>
      </a:folHlink>
    </a:clrScheme>
    <a:fontScheme name="Unia Fonts">
      <a:majorFont>
        <a:latin typeface="UnitRoundedO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D40B-7DE1-4025-A75E-9EB06B7A0F13}">
  <ds:schemaRefs>
    <ds:schemaRef ds:uri="http://schemas.microsoft.com/sharepoint/v3/contenttype/forms"/>
  </ds:schemaRefs>
</ds:datastoreItem>
</file>

<file path=customXml/itemProps2.xml><?xml version="1.0" encoding="utf-8"?>
<ds:datastoreItem xmlns:ds="http://schemas.openxmlformats.org/officeDocument/2006/customXml" ds:itemID="{CCF9162D-307B-4AB3-9503-839220AD23DF}">
  <ds:schemaRefs>
    <ds:schemaRef ds:uri="http://schemas.microsoft.com/office/2006/metadata/customXsn"/>
  </ds:schemaRefs>
</ds:datastoreItem>
</file>

<file path=customXml/itemProps3.xml><?xml version="1.0" encoding="utf-8"?>
<ds:datastoreItem xmlns:ds="http://schemas.openxmlformats.org/officeDocument/2006/customXml" ds:itemID="{5C7026E3-8BCC-4CD3-A8A2-F083F1A91830}"/>
</file>

<file path=customXml/itemProps4.xml><?xml version="1.0" encoding="utf-8"?>
<ds:datastoreItem xmlns:ds="http://schemas.openxmlformats.org/officeDocument/2006/customXml" ds:itemID="{AD69EA15-6626-4070-B52B-7663B19763D6}">
  <ds:schemaRefs>
    <ds:schemaRef ds:uri="4ebc61cc-401b-46b2-aa1f-6f8ae816f35d"/>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dbe7100a-24f4-4f01-8929-a0814417950b"/>
  </ds:schemaRefs>
</ds:datastoreItem>
</file>

<file path=customXml/itemProps5.xml><?xml version="1.0" encoding="utf-8"?>
<ds:datastoreItem xmlns:ds="http://schemas.openxmlformats.org/officeDocument/2006/customXml" ds:itemID="{63FF7919-0454-4002-93F7-ADA641F1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Friends of Israel lettre d'accompagnement</Template>
  <TotalTime>8</TotalTime>
  <Pages>8</Pages>
  <Words>2679</Words>
  <Characters>14740</Characters>
  <Application>Microsoft Office Word</Application>
  <DocSecurity>0</DocSecurity>
  <Lines>122</Lines>
  <Paragraphs>34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Borghs;Rik.REUSEN@unia.be</dc:creator>
  <cp:lastModifiedBy>Rik Reusen</cp:lastModifiedBy>
  <cp:revision>11</cp:revision>
  <cp:lastPrinted>2019-01-21T15:13:00Z</cp:lastPrinted>
  <dcterms:created xsi:type="dcterms:W3CDTF">2019-05-27T08:28:00Z</dcterms:created>
  <dcterms:modified xsi:type="dcterms:W3CDTF">2019-05-27T08:34:00Z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