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4428"/>
      </w:tblGrid>
      <w:tr w:rsidR="008929C0" w14:paraId="58F07441" w14:textId="77777777" w:rsidTr="00CB5FE3">
        <w:trPr>
          <w:jc w:val="center"/>
        </w:trPr>
        <w:tc>
          <w:tcPr>
            <w:tcW w:w="4428" w:type="dxa"/>
            <w:tcBorders>
              <w:top w:val="single" w:sz="6" w:space="0" w:color="FFFFFF"/>
              <w:left w:val="single" w:sz="6" w:space="0" w:color="FFFFFF"/>
              <w:bottom w:val="single" w:sz="6" w:space="0" w:color="FFFFFF"/>
              <w:right w:val="single" w:sz="6" w:space="0" w:color="FFFFFF"/>
            </w:tcBorders>
            <w:hideMark/>
          </w:tcPr>
          <w:p w14:paraId="58F07440" w14:textId="77777777" w:rsidR="008929C0" w:rsidRDefault="008929C0" w:rsidP="00CB5FE3">
            <w:pPr>
              <w:widowControl w:val="0"/>
              <w:autoSpaceDE w:val="0"/>
              <w:autoSpaceDN w:val="0"/>
              <w:adjustRightInd w:val="0"/>
              <w:spacing w:line="240" w:lineRule="auto"/>
              <w:jc w:val="center"/>
              <w:rPr>
                <w:sz w:val="28"/>
                <w:szCs w:val="28"/>
              </w:rPr>
            </w:pPr>
            <w:r>
              <w:br w:type="page"/>
            </w:r>
            <w:r>
              <w:rPr>
                <w:color w:val="000000"/>
              </w:rPr>
              <w:br w:type="page"/>
            </w:r>
            <w:r>
              <w:rPr>
                <w:noProof/>
                <w:sz w:val="20"/>
                <w:szCs w:val="20"/>
                <w:lang w:val="en-GB" w:eastAsia="en-GB"/>
              </w:rPr>
              <w:drawing>
                <wp:inline distT="0" distB="0" distL="0" distR="0" wp14:anchorId="58F0746B" wp14:editId="58F0746C">
                  <wp:extent cx="599440" cy="67691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599440" cy="676910"/>
                          </a:xfrm>
                          <a:prstGeom prst="rect">
                            <a:avLst/>
                          </a:prstGeom>
                          <a:noFill/>
                          <a:ln w="9525">
                            <a:noFill/>
                            <a:miter lim="800000"/>
                            <a:headEnd/>
                            <a:tailEnd/>
                          </a:ln>
                        </pic:spPr>
                      </pic:pic>
                    </a:graphicData>
                  </a:graphic>
                </wp:inline>
              </w:drawing>
            </w:r>
          </w:p>
        </w:tc>
      </w:tr>
      <w:tr w:rsidR="008929C0" w:rsidRPr="00FE1C18" w14:paraId="58F07444" w14:textId="77777777" w:rsidTr="00CB5FE3">
        <w:trPr>
          <w:jc w:val="center"/>
        </w:trPr>
        <w:tc>
          <w:tcPr>
            <w:tcW w:w="4428" w:type="dxa"/>
            <w:tcBorders>
              <w:top w:val="single" w:sz="6" w:space="0" w:color="FFFFFF"/>
              <w:left w:val="single" w:sz="6" w:space="0" w:color="FFFFFF"/>
              <w:bottom w:val="single" w:sz="6" w:space="0" w:color="FFFFFF"/>
              <w:right w:val="single" w:sz="6" w:space="0" w:color="FFFFFF"/>
            </w:tcBorders>
            <w:hideMark/>
          </w:tcPr>
          <w:p w14:paraId="58F07442" w14:textId="77777777" w:rsidR="008929C0" w:rsidRDefault="00A41C22" w:rsidP="00CB5FE3">
            <w:pPr>
              <w:keepNext/>
              <w:widowControl w:val="0"/>
              <w:autoSpaceDE w:val="0"/>
              <w:autoSpaceDN w:val="0"/>
              <w:adjustRightInd w:val="0"/>
              <w:spacing w:after="0" w:line="240" w:lineRule="auto"/>
              <w:jc w:val="center"/>
              <w:rPr>
                <w:rFonts w:ascii="Arial Narrow" w:hAnsi="Arial Narrow" w:cs="Arial Narrow"/>
                <w:b/>
                <w:bCs/>
                <w:sz w:val="16"/>
                <w:szCs w:val="16"/>
              </w:rPr>
            </w:pPr>
            <w:r>
              <w:rPr>
                <w:rFonts w:ascii="Arial Narrow" w:hAnsi="Arial Narrow" w:cs="Arial Narrow"/>
                <w:b/>
                <w:bCs/>
                <w:sz w:val="16"/>
                <w:szCs w:val="16"/>
              </w:rPr>
              <w:t>R</w:t>
            </w:r>
            <w:r w:rsidR="008929C0" w:rsidRPr="00FE1C18">
              <w:rPr>
                <w:rFonts w:ascii="Arial Narrow" w:hAnsi="Arial Narrow" w:cs="Arial Narrow"/>
                <w:b/>
                <w:bCs/>
                <w:sz w:val="16"/>
                <w:szCs w:val="16"/>
              </w:rPr>
              <w:t>EPUBLICA DE CUBA</w:t>
            </w:r>
          </w:p>
          <w:p w14:paraId="58F07443" w14:textId="77777777" w:rsidR="008929C0" w:rsidRPr="00FE1C18" w:rsidRDefault="008929C0" w:rsidP="00CB5FE3">
            <w:pPr>
              <w:keepNext/>
              <w:widowControl w:val="0"/>
              <w:autoSpaceDE w:val="0"/>
              <w:autoSpaceDN w:val="0"/>
              <w:adjustRightInd w:val="0"/>
              <w:spacing w:line="240" w:lineRule="auto"/>
              <w:jc w:val="center"/>
              <w:rPr>
                <w:sz w:val="16"/>
                <w:szCs w:val="16"/>
              </w:rPr>
            </w:pPr>
            <w:r w:rsidRPr="00FE1C18">
              <w:rPr>
                <w:rFonts w:ascii="Arial Narrow" w:hAnsi="Arial Narrow" w:cs="Arial Narrow"/>
                <w:b/>
                <w:bCs/>
                <w:sz w:val="16"/>
                <w:szCs w:val="16"/>
              </w:rPr>
              <w:t>Misión Permanente ante la Oficina de las Naciones Unidas en Ginebra y los Organismos Internacionales con sede en Suiza</w:t>
            </w:r>
          </w:p>
        </w:tc>
      </w:tr>
    </w:tbl>
    <w:p w14:paraId="58F07445" w14:textId="77777777" w:rsidR="00D610B7" w:rsidRDefault="00D610B7" w:rsidP="008929C0">
      <w:pPr>
        <w:spacing w:after="160" w:line="259" w:lineRule="auto"/>
        <w:rPr>
          <w:rFonts w:ascii="Arial" w:eastAsia="Times New Roman" w:hAnsi="Arial" w:cs="Arial"/>
          <w:b/>
          <w:bCs/>
          <w:sz w:val="24"/>
          <w:szCs w:val="24"/>
          <w:lang w:eastAsia="es-ES"/>
        </w:rPr>
      </w:pPr>
    </w:p>
    <w:p w14:paraId="58F07446" w14:textId="77777777" w:rsidR="008929C0" w:rsidRDefault="008929C0" w:rsidP="008929C0">
      <w:pPr>
        <w:spacing w:after="160" w:line="259" w:lineRule="auto"/>
        <w:rPr>
          <w:rFonts w:ascii="Arial" w:eastAsia="Times New Roman" w:hAnsi="Arial" w:cs="Arial"/>
          <w:b/>
          <w:bCs/>
          <w:sz w:val="24"/>
          <w:szCs w:val="24"/>
          <w:lang w:eastAsia="es-ES"/>
        </w:rPr>
      </w:pPr>
      <w:r w:rsidRPr="00A9321F">
        <w:rPr>
          <w:rFonts w:ascii="Arial" w:eastAsia="Times New Roman" w:hAnsi="Arial" w:cs="Arial"/>
          <w:b/>
          <w:bCs/>
          <w:sz w:val="24"/>
          <w:szCs w:val="24"/>
          <w:lang w:eastAsia="es-ES"/>
        </w:rPr>
        <w:t xml:space="preserve">Nota </w:t>
      </w:r>
      <w:r>
        <w:rPr>
          <w:rFonts w:ascii="Arial" w:eastAsia="Times New Roman" w:hAnsi="Arial" w:cs="Arial"/>
          <w:b/>
          <w:bCs/>
          <w:sz w:val="24"/>
          <w:szCs w:val="24"/>
          <w:lang w:eastAsia="es-ES"/>
        </w:rPr>
        <w:t xml:space="preserve">Nº.: </w:t>
      </w:r>
      <w:r w:rsidR="00575319">
        <w:rPr>
          <w:rFonts w:ascii="Arial" w:eastAsia="Times New Roman" w:hAnsi="Arial" w:cs="Arial"/>
          <w:b/>
          <w:bCs/>
          <w:sz w:val="24"/>
          <w:szCs w:val="24"/>
          <w:lang w:eastAsia="es-ES"/>
        </w:rPr>
        <w:t>270</w:t>
      </w:r>
      <w:r>
        <w:rPr>
          <w:rFonts w:ascii="Arial" w:eastAsia="Times New Roman" w:hAnsi="Arial" w:cs="Arial"/>
          <w:b/>
          <w:bCs/>
          <w:sz w:val="24"/>
          <w:szCs w:val="24"/>
          <w:lang w:eastAsia="es-ES"/>
        </w:rPr>
        <w:t>/2019</w:t>
      </w:r>
    </w:p>
    <w:p w14:paraId="58F07447" w14:textId="77777777" w:rsidR="00700D1D" w:rsidRPr="008929C0" w:rsidRDefault="00700D1D" w:rsidP="00700D1D">
      <w:pPr>
        <w:spacing w:after="0" w:line="240" w:lineRule="auto"/>
        <w:ind w:right="-1"/>
        <w:jc w:val="both"/>
        <w:rPr>
          <w:rFonts w:ascii="Arial" w:eastAsia="Times New Roman" w:hAnsi="Arial" w:cs="Arial"/>
          <w:sz w:val="24"/>
          <w:szCs w:val="24"/>
          <w:lang w:eastAsia="es-ES"/>
        </w:rPr>
      </w:pPr>
    </w:p>
    <w:p w14:paraId="58F07448" w14:textId="77777777" w:rsidR="00700D1D" w:rsidRPr="00C84EB1" w:rsidRDefault="008929C0" w:rsidP="008929C0">
      <w:pPr>
        <w:spacing w:before="240" w:after="240" w:line="360" w:lineRule="auto"/>
        <w:ind w:firstLine="850"/>
        <w:jc w:val="both"/>
        <w:rPr>
          <w:rFonts w:ascii="Arial" w:eastAsia="Times New Roman" w:hAnsi="Arial" w:cs="Arial"/>
          <w:sz w:val="24"/>
          <w:szCs w:val="24"/>
          <w:lang w:val="es-ES_tradnl" w:eastAsia="es-ES"/>
        </w:rPr>
      </w:pPr>
      <w:r w:rsidRPr="00ED27AE">
        <w:rPr>
          <w:rFonts w:ascii="Arial" w:eastAsia="Times New Roman" w:hAnsi="Arial" w:cs="Arial"/>
          <w:sz w:val="24"/>
          <w:szCs w:val="24"/>
          <w:lang w:val="es-ES_tradnl" w:eastAsia="es-ES"/>
        </w:rPr>
        <w:t>La Misión Permanente de la República de Cuba ante la Oficina de las Naciones Unidas en Ginebra y los Organismos Internacionales con sede en Suiza saluda atentamente a la Oficina de</w:t>
      </w:r>
      <w:r>
        <w:rPr>
          <w:rFonts w:ascii="Arial" w:eastAsia="Times New Roman" w:hAnsi="Arial" w:cs="Arial"/>
          <w:sz w:val="24"/>
          <w:szCs w:val="24"/>
          <w:lang w:val="es-ES_tradnl" w:eastAsia="es-ES"/>
        </w:rPr>
        <w:t xml:space="preserve"> </w:t>
      </w:r>
      <w:r w:rsidRPr="00ED27AE">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Alt</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Comisionad</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de las Naciones Unidas para los Derechos Humanos y tiene el honor de referirse a</w:t>
      </w:r>
      <w:r w:rsidR="00700D1D" w:rsidRPr="00C84EB1">
        <w:rPr>
          <w:rFonts w:ascii="Arial" w:eastAsia="Times New Roman" w:hAnsi="Arial" w:cs="Arial"/>
          <w:sz w:val="24"/>
          <w:szCs w:val="24"/>
          <w:lang w:val="es-ES_tradnl" w:eastAsia="es-ES"/>
        </w:rPr>
        <w:t xml:space="preserve"> la nota del </w:t>
      </w:r>
      <w:r w:rsidR="00700D1D">
        <w:rPr>
          <w:rFonts w:ascii="Arial" w:eastAsia="Times New Roman" w:hAnsi="Arial" w:cs="Arial"/>
          <w:sz w:val="24"/>
          <w:szCs w:val="24"/>
          <w:lang w:val="es-ES_tradnl" w:eastAsia="es-ES"/>
        </w:rPr>
        <w:t>6</w:t>
      </w:r>
      <w:r w:rsidR="00700D1D" w:rsidRPr="00C84EB1">
        <w:rPr>
          <w:rFonts w:ascii="Arial" w:eastAsia="Times New Roman" w:hAnsi="Arial" w:cs="Arial"/>
          <w:sz w:val="24"/>
          <w:szCs w:val="24"/>
          <w:lang w:val="es-ES_tradnl" w:eastAsia="es-ES"/>
        </w:rPr>
        <w:t xml:space="preserve"> de </w:t>
      </w:r>
      <w:r w:rsidR="00700D1D">
        <w:rPr>
          <w:rFonts w:ascii="Arial" w:eastAsia="Times New Roman" w:hAnsi="Arial" w:cs="Arial"/>
          <w:sz w:val="24"/>
          <w:szCs w:val="24"/>
          <w:lang w:val="es-ES_tradnl" w:eastAsia="es-ES"/>
        </w:rPr>
        <w:t>mayo</w:t>
      </w:r>
      <w:r w:rsidR="00700D1D" w:rsidRPr="00C84EB1">
        <w:rPr>
          <w:rFonts w:ascii="Arial" w:eastAsia="Times New Roman" w:hAnsi="Arial" w:cs="Arial"/>
          <w:sz w:val="24"/>
          <w:szCs w:val="24"/>
          <w:lang w:val="es-ES_tradnl" w:eastAsia="es-ES"/>
        </w:rPr>
        <w:t xml:space="preserve"> de 2019, en la que se solicita información relacionada con la </w:t>
      </w:r>
      <w:r w:rsidR="00700D1D">
        <w:rPr>
          <w:rFonts w:ascii="Arial" w:eastAsia="Times New Roman" w:hAnsi="Arial" w:cs="Arial"/>
          <w:sz w:val="24"/>
          <w:szCs w:val="24"/>
          <w:lang w:val="es-ES_tradnl" w:eastAsia="es-ES"/>
        </w:rPr>
        <w:t xml:space="preserve">protección contra la violencia y la discriminación basadas en la orientación sexual y la identidad de género, en virtud </w:t>
      </w:r>
      <w:r w:rsidR="00700D1D" w:rsidRPr="00C84EB1">
        <w:rPr>
          <w:rFonts w:ascii="Arial" w:eastAsia="Times New Roman" w:hAnsi="Arial" w:cs="Arial"/>
          <w:sz w:val="24"/>
          <w:szCs w:val="24"/>
          <w:lang w:val="es-ES_tradnl" w:eastAsia="es-ES"/>
        </w:rPr>
        <w:t xml:space="preserve">de la resolución </w:t>
      </w:r>
      <w:r w:rsidR="00700D1D">
        <w:rPr>
          <w:rFonts w:ascii="Arial" w:eastAsia="Times New Roman" w:hAnsi="Arial" w:cs="Arial"/>
          <w:sz w:val="24"/>
          <w:szCs w:val="24"/>
          <w:lang w:val="es-ES_tradnl" w:eastAsia="es-ES"/>
        </w:rPr>
        <w:t>32</w:t>
      </w:r>
      <w:r w:rsidR="00700D1D" w:rsidRPr="00C84EB1">
        <w:rPr>
          <w:rFonts w:ascii="Arial" w:eastAsia="Times New Roman" w:hAnsi="Arial" w:cs="Arial"/>
          <w:sz w:val="24"/>
          <w:szCs w:val="24"/>
          <w:lang w:val="es-ES_tradnl" w:eastAsia="es-ES"/>
        </w:rPr>
        <w:t>/</w:t>
      </w:r>
      <w:r w:rsidR="00700D1D">
        <w:rPr>
          <w:rFonts w:ascii="Arial" w:eastAsia="Times New Roman" w:hAnsi="Arial" w:cs="Arial"/>
          <w:sz w:val="24"/>
          <w:szCs w:val="24"/>
          <w:lang w:val="es-ES_tradnl" w:eastAsia="es-ES"/>
        </w:rPr>
        <w:t>2 del Consejo de Derechos Humanos.</w:t>
      </w:r>
    </w:p>
    <w:p w14:paraId="58F07449" w14:textId="77777777" w:rsidR="008929C0" w:rsidRPr="00ED27AE" w:rsidRDefault="008929C0" w:rsidP="008929C0">
      <w:pPr>
        <w:spacing w:before="240" w:after="240" w:line="360" w:lineRule="auto"/>
        <w:ind w:firstLine="85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Al respecto</w:t>
      </w:r>
      <w:r w:rsidRPr="00ED27AE">
        <w:rPr>
          <w:rFonts w:ascii="Arial" w:eastAsia="Times New Roman" w:hAnsi="Arial" w:cs="Arial"/>
          <w:sz w:val="24"/>
          <w:szCs w:val="24"/>
          <w:lang w:val="es-ES_tradnl" w:eastAsia="es-ES"/>
        </w:rPr>
        <w:t xml:space="preserve">, la Misión </w:t>
      </w:r>
      <w:r>
        <w:rPr>
          <w:rFonts w:ascii="Arial" w:eastAsia="Times New Roman" w:hAnsi="Arial" w:cs="Arial"/>
          <w:sz w:val="24"/>
          <w:szCs w:val="24"/>
          <w:lang w:val="es-ES_tradnl" w:eastAsia="es-ES"/>
        </w:rPr>
        <w:t xml:space="preserve">Permanente </w:t>
      </w:r>
      <w:r w:rsidRPr="00ED27AE">
        <w:rPr>
          <w:rFonts w:ascii="Arial" w:eastAsia="Times New Roman" w:hAnsi="Arial" w:cs="Arial"/>
          <w:sz w:val="24"/>
          <w:szCs w:val="24"/>
          <w:lang w:val="es-ES_tradnl" w:eastAsia="es-ES"/>
        </w:rPr>
        <w:t>de Cuba tiene a bien trasladar los comentarios siguientes</w:t>
      </w:r>
      <w:r>
        <w:rPr>
          <w:rFonts w:ascii="Arial" w:eastAsia="Times New Roman" w:hAnsi="Arial" w:cs="Arial"/>
          <w:sz w:val="24"/>
          <w:szCs w:val="24"/>
          <w:lang w:val="es-ES_tradnl" w:eastAsia="es-ES"/>
        </w:rPr>
        <w:t>:</w:t>
      </w:r>
    </w:p>
    <w:p w14:paraId="58F0744A" w14:textId="77777777" w:rsidR="00B72545" w:rsidRDefault="00B72545"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La nueva Constitución de la República de Cuba, proclamada el pasado 10 de abril, refuerza sus disposiciones en materia de no discriminación.</w:t>
      </w:r>
      <w:r w:rsidR="008929C0">
        <w:rPr>
          <w:rFonts w:ascii="Arial" w:eastAsia="Times New Roman" w:hAnsi="Arial" w:cs="Arial"/>
          <w:sz w:val="24"/>
          <w:szCs w:val="24"/>
          <w:lang w:val="es-ES_tradnl" w:eastAsia="es-ES"/>
        </w:rPr>
        <w:t xml:space="preserve"> </w:t>
      </w:r>
      <w:r w:rsidR="00252DF1">
        <w:rPr>
          <w:rFonts w:ascii="Arial" w:eastAsia="Times New Roman" w:hAnsi="Arial" w:cs="Arial"/>
          <w:sz w:val="24"/>
          <w:szCs w:val="24"/>
          <w:lang w:val="es-ES_tradnl" w:eastAsia="es-ES"/>
        </w:rPr>
        <w:t>Su artículo 42 amplí</w:t>
      </w:r>
      <w:r w:rsidRPr="008929C0">
        <w:rPr>
          <w:rFonts w:ascii="Arial" w:eastAsia="Times New Roman" w:hAnsi="Arial" w:cs="Arial"/>
          <w:sz w:val="24"/>
          <w:szCs w:val="24"/>
          <w:lang w:val="es-ES_tradnl" w:eastAsia="es-ES"/>
        </w:rPr>
        <w:t>a las bases de la igualdad</w:t>
      </w:r>
      <w:r w:rsidR="008929C0">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y la no discriminación al consagrar la igualdad de todas las personas ante la ley, sujetos a la misma protección y trato de las autoridades y de los mismos derechos, libertades y oportunidades, sin ninguna discriminación por razones de sexo, género, orientación sexual, identidad de género, edad, origen ét</w:t>
      </w:r>
      <w:bookmarkStart w:id="0" w:name="_GoBack"/>
      <w:bookmarkEnd w:id="0"/>
      <w:r w:rsidRPr="008929C0">
        <w:rPr>
          <w:rFonts w:ascii="Arial" w:eastAsia="Times New Roman" w:hAnsi="Arial" w:cs="Arial"/>
          <w:sz w:val="24"/>
          <w:szCs w:val="24"/>
          <w:lang w:val="es-ES_tradnl" w:eastAsia="es-ES"/>
        </w:rPr>
        <w:t>nico, color de la piel, creencia religiosa, discapacidad, origen nacional o territorial, o cualquier otra condición o circunstancia personal que implique distinción lesiva a la dignidad humana.</w:t>
      </w:r>
    </w:p>
    <w:p w14:paraId="58F0744B" w14:textId="77777777" w:rsidR="0006060D" w:rsidRDefault="0006060D" w:rsidP="00D610B7">
      <w:pPr>
        <w:spacing w:before="240" w:after="240" w:line="360" w:lineRule="auto"/>
        <w:ind w:firstLine="850"/>
        <w:jc w:val="both"/>
        <w:rPr>
          <w:rFonts w:ascii="Arial" w:eastAsia="Times New Roman" w:hAnsi="Arial" w:cs="Arial"/>
          <w:sz w:val="24"/>
          <w:szCs w:val="24"/>
          <w:lang w:val="es-ES_tradnl" w:eastAsia="es-ES"/>
        </w:rPr>
      </w:pPr>
    </w:p>
    <w:p w14:paraId="58F0744C" w14:textId="77777777" w:rsidR="00D610B7" w:rsidRDefault="0006060D" w:rsidP="00575319">
      <w:pPr>
        <w:spacing w:after="0" w:line="240" w:lineRule="auto"/>
        <w:ind w:left="-709" w:firstLine="283"/>
        <w:jc w:val="both"/>
        <w:rPr>
          <w:rFonts w:ascii="Arial" w:eastAsia="Times New Roman" w:hAnsi="Arial" w:cs="Arial"/>
          <w:b/>
          <w:i/>
          <w:sz w:val="24"/>
          <w:szCs w:val="24"/>
          <w:lang w:val="es-ES_tradnl" w:eastAsia="es-ES"/>
        </w:rPr>
      </w:pPr>
      <w:r w:rsidRPr="009D6913">
        <w:rPr>
          <w:rFonts w:ascii="Arial" w:eastAsia="Times New Roman" w:hAnsi="Arial" w:cs="Arial"/>
          <w:b/>
          <w:i/>
          <w:sz w:val="24"/>
          <w:szCs w:val="24"/>
          <w:lang w:val="es-ES_tradnl" w:eastAsia="es-ES"/>
        </w:rPr>
        <w:t xml:space="preserve">Oficina de la Alta Comisionada </w:t>
      </w:r>
    </w:p>
    <w:p w14:paraId="58F0744D" w14:textId="77777777" w:rsidR="0006060D" w:rsidRPr="009D6913" w:rsidRDefault="0006060D" w:rsidP="00575319">
      <w:pPr>
        <w:spacing w:after="0" w:line="240" w:lineRule="auto"/>
        <w:ind w:left="-709" w:firstLine="283"/>
        <w:jc w:val="both"/>
        <w:rPr>
          <w:rFonts w:ascii="Arial" w:eastAsia="Times New Roman" w:hAnsi="Arial" w:cs="Arial"/>
          <w:b/>
          <w:i/>
          <w:sz w:val="24"/>
          <w:szCs w:val="24"/>
          <w:lang w:val="es-ES_tradnl" w:eastAsia="es-ES"/>
        </w:rPr>
      </w:pPr>
      <w:r w:rsidRPr="009D6913">
        <w:rPr>
          <w:rFonts w:ascii="Arial" w:eastAsia="Times New Roman" w:hAnsi="Arial" w:cs="Arial"/>
          <w:b/>
          <w:i/>
          <w:sz w:val="24"/>
          <w:szCs w:val="24"/>
          <w:lang w:val="es-ES_tradnl" w:eastAsia="es-ES"/>
        </w:rPr>
        <w:t>de las Naciones Unidas</w:t>
      </w:r>
    </w:p>
    <w:p w14:paraId="58F0744E" w14:textId="77777777" w:rsidR="0006060D" w:rsidRPr="009D6913" w:rsidRDefault="0006060D" w:rsidP="00575319">
      <w:pPr>
        <w:spacing w:after="0" w:line="240" w:lineRule="auto"/>
        <w:ind w:left="-709" w:firstLine="283"/>
        <w:jc w:val="both"/>
        <w:rPr>
          <w:rFonts w:ascii="Arial" w:eastAsia="Times New Roman" w:hAnsi="Arial" w:cs="Arial"/>
          <w:b/>
          <w:i/>
          <w:sz w:val="24"/>
          <w:szCs w:val="24"/>
          <w:lang w:val="es-ES_tradnl" w:eastAsia="es-ES"/>
        </w:rPr>
      </w:pPr>
      <w:r w:rsidRPr="009D6913">
        <w:rPr>
          <w:rFonts w:ascii="Arial" w:eastAsia="Times New Roman" w:hAnsi="Arial" w:cs="Arial"/>
          <w:b/>
          <w:i/>
          <w:sz w:val="24"/>
          <w:szCs w:val="24"/>
          <w:lang w:val="es-ES_tradnl" w:eastAsia="es-ES"/>
        </w:rPr>
        <w:t>para los Derechos Humanos</w:t>
      </w:r>
    </w:p>
    <w:p w14:paraId="58F0744F" w14:textId="77777777" w:rsidR="0006060D" w:rsidRDefault="0006060D" w:rsidP="00575319">
      <w:pPr>
        <w:spacing w:after="0" w:line="240" w:lineRule="auto"/>
        <w:ind w:left="-709" w:firstLine="283"/>
        <w:jc w:val="both"/>
        <w:rPr>
          <w:rFonts w:ascii="Arial" w:eastAsia="Times New Roman" w:hAnsi="Arial" w:cs="Arial"/>
          <w:b/>
          <w:i/>
          <w:sz w:val="24"/>
          <w:szCs w:val="24"/>
          <w:lang w:val="es-ES_tradnl" w:eastAsia="es-ES"/>
        </w:rPr>
      </w:pPr>
      <w:r w:rsidRPr="009D6913">
        <w:rPr>
          <w:rFonts w:ascii="Arial" w:eastAsia="Times New Roman" w:hAnsi="Arial" w:cs="Arial"/>
          <w:b/>
          <w:i/>
          <w:sz w:val="24"/>
          <w:szCs w:val="24"/>
          <w:lang w:val="es-ES_tradnl" w:eastAsia="es-ES"/>
        </w:rPr>
        <w:t>Ginebra</w:t>
      </w:r>
    </w:p>
    <w:p w14:paraId="58F07450" w14:textId="77777777" w:rsidR="00B72545" w:rsidRPr="008929C0" w:rsidRDefault="00B72545"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La Ley No. 116,</w:t>
      </w:r>
      <w:r w:rsidR="0006060D">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Código de Trabajo</w:t>
      </w:r>
      <w:r w:rsidR="00D610B7">
        <w:rPr>
          <w:rFonts w:ascii="Arial" w:eastAsia="Times New Roman" w:hAnsi="Arial" w:cs="Arial"/>
          <w:sz w:val="24"/>
          <w:szCs w:val="24"/>
          <w:lang w:val="es-ES_tradnl" w:eastAsia="es-ES"/>
        </w:rPr>
        <w:t>,</w:t>
      </w:r>
      <w:r w:rsidR="0006060D">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y sus normas complementarias</w:t>
      </w:r>
      <w:r w:rsidR="00D610B7">
        <w:rPr>
          <w:rFonts w:ascii="Arial" w:eastAsia="Times New Roman" w:hAnsi="Arial" w:cs="Arial"/>
          <w:sz w:val="24"/>
          <w:szCs w:val="24"/>
          <w:lang w:val="es-ES_tradnl" w:eastAsia="es-ES"/>
        </w:rPr>
        <w:t>,</w:t>
      </w:r>
      <w:r w:rsidR="0006060D">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entró en vigor en 2014. En su artículo 2 establece como principios que rigen el derecho al trabajo la igualdad, sin discriminación por el color de la piel, género, creencias religiosas, orientación sexual, origen territorial, discapacidad y cualquier otra lesiva a la dignidad humana</w:t>
      </w:r>
      <w:r w:rsidR="00E337E0" w:rsidRPr="008929C0">
        <w:rPr>
          <w:rFonts w:ascii="Arial" w:eastAsia="Times New Roman" w:hAnsi="Arial" w:cs="Arial"/>
          <w:sz w:val="24"/>
          <w:szCs w:val="24"/>
          <w:lang w:val="es-ES_tradnl" w:eastAsia="es-ES"/>
        </w:rPr>
        <w:t>.</w:t>
      </w:r>
    </w:p>
    <w:p w14:paraId="58F07451" w14:textId="77777777" w:rsidR="00E337E0" w:rsidRPr="008929C0" w:rsidRDefault="00E337E0"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La creación del Centro Nacional de Educación Sexual (CENESEX)</w:t>
      </w:r>
      <w:r w:rsidR="008929C0">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como entidad adscrita</w:t>
      </w:r>
      <w:r w:rsidR="00D610B7">
        <w:rPr>
          <w:rFonts w:ascii="Arial" w:eastAsia="Times New Roman" w:hAnsi="Arial" w:cs="Arial"/>
          <w:sz w:val="24"/>
          <w:szCs w:val="24"/>
          <w:lang w:val="es-ES_tradnl" w:eastAsia="es-ES"/>
        </w:rPr>
        <w:t xml:space="preserve"> al Ministerio de Salud Pública</w:t>
      </w:r>
      <w:r w:rsidR="008929C0">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dentro del aparato estatal cubano</w:t>
      </w:r>
      <w:r w:rsidR="00D610B7">
        <w:rPr>
          <w:rFonts w:ascii="Arial" w:eastAsia="Times New Roman" w:hAnsi="Arial" w:cs="Arial"/>
          <w:sz w:val="24"/>
          <w:szCs w:val="24"/>
          <w:lang w:val="es-ES_tradnl" w:eastAsia="es-ES"/>
        </w:rPr>
        <w:t>,</w:t>
      </w:r>
      <w:r w:rsidRPr="008929C0">
        <w:rPr>
          <w:rFonts w:ascii="Arial" w:eastAsia="Times New Roman" w:hAnsi="Arial" w:cs="Arial"/>
          <w:sz w:val="24"/>
          <w:szCs w:val="24"/>
          <w:lang w:val="es-ES_tradnl" w:eastAsia="es-ES"/>
        </w:rPr>
        <w:t xml:space="preserve"> es concreción de la voluntad política del Estado de avanzar en el reconocimiento y garantía de los derechos sexuales. Este centro asesora también al Ministerio de Salud Pública en la elaboración y ejecución del Programa Nacional de Educación y Salud Sexual (PRONESS), así como en las proyecciones y relaciones que de estas se derivan con los demás Organismos de la Administración Central del Estado y otras entidades.</w:t>
      </w:r>
    </w:p>
    <w:p w14:paraId="58F07452" w14:textId="77777777" w:rsidR="00E337E0" w:rsidRPr="008929C0" w:rsidRDefault="00E337E0"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El Programa Nacional de Educación y Salud Sexual, que coordina el CENESEX, ha permitido la articulación de una estrategia educativa, integral de la sexualidad que incluye el respeto a la libre orientación sexual e identidad de género. Las acciones se enfocan, entre otras, a la esfera educativa, el trabajo académico y la investigación científica, los servicios de orientación jurídica, de terapia sexual, la atención a las personas LGBTI y a víctimas de la violencia de género y abuso sexual infantil, el desarrollo de programas comunitarios y la producción editorial y audiovisual, así como, la articulación de redes sociales, debates online y campañas por el respeto a la libre orientación sexual.</w:t>
      </w:r>
    </w:p>
    <w:p w14:paraId="58F07453" w14:textId="77777777" w:rsidR="00D938FE" w:rsidRDefault="00E337E0"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lastRenderedPageBreak/>
        <w:t>El Programa mencionado anteriormente mediante su estrategia educativa</w:t>
      </w:r>
      <w:r w:rsidR="00AB59AA">
        <w:rPr>
          <w:rFonts w:ascii="Arial" w:eastAsia="Times New Roman" w:hAnsi="Arial" w:cs="Arial"/>
          <w:sz w:val="24"/>
          <w:szCs w:val="24"/>
          <w:lang w:val="es-ES_tradnl" w:eastAsia="es-ES"/>
        </w:rPr>
        <w:t xml:space="preserve"> </w:t>
      </w:r>
      <w:r w:rsidR="00D938FE" w:rsidRPr="008929C0">
        <w:rPr>
          <w:rFonts w:ascii="Arial" w:eastAsia="Times New Roman" w:hAnsi="Arial" w:cs="Arial"/>
          <w:sz w:val="24"/>
          <w:szCs w:val="24"/>
          <w:lang w:val="es-ES_tradnl" w:eastAsia="es-ES"/>
        </w:rPr>
        <w:t xml:space="preserve">ha desarrollado </w:t>
      </w:r>
      <w:r w:rsidRPr="008929C0">
        <w:rPr>
          <w:rFonts w:ascii="Arial" w:eastAsia="Times New Roman" w:hAnsi="Arial" w:cs="Arial"/>
          <w:sz w:val="24"/>
          <w:szCs w:val="24"/>
          <w:lang w:val="es-ES_tradnl" w:eastAsia="es-ES"/>
        </w:rPr>
        <w:t>múltiples espacios de intercambio sobre la base de los principios de igualdad y no discriminación. Como parte del profundo compromiso con la justicia social y la defensa de la plena igualdad de todos los cubanos y cubanas, se ha favorecido la ampliación de espacios de diálogo e interacción sobre estos temas desde posiciones de respeto, comprensión y sensibilización.</w:t>
      </w:r>
    </w:p>
    <w:p w14:paraId="58F07454" w14:textId="77777777" w:rsidR="00AB59AA" w:rsidRDefault="00AB59AA" w:rsidP="008929C0">
      <w:pPr>
        <w:spacing w:before="240" w:after="240" w:line="360" w:lineRule="auto"/>
        <w:ind w:firstLine="850"/>
        <w:jc w:val="both"/>
        <w:rPr>
          <w:rFonts w:ascii="Arial" w:eastAsia="Times New Roman" w:hAnsi="Arial" w:cs="Arial"/>
          <w:sz w:val="24"/>
          <w:szCs w:val="24"/>
          <w:lang w:val="es-ES_tradnl" w:eastAsia="es-ES"/>
        </w:rPr>
      </w:pPr>
    </w:p>
    <w:p w14:paraId="58F07455" w14:textId="77777777" w:rsidR="00AB59AA" w:rsidRPr="008929C0" w:rsidRDefault="00AB59AA" w:rsidP="008929C0">
      <w:pPr>
        <w:spacing w:before="240" w:after="240" w:line="360" w:lineRule="auto"/>
        <w:ind w:firstLine="850"/>
        <w:jc w:val="both"/>
        <w:rPr>
          <w:rFonts w:ascii="Arial" w:eastAsia="Times New Roman" w:hAnsi="Arial" w:cs="Arial"/>
          <w:sz w:val="24"/>
          <w:szCs w:val="24"/>
          <w:lang w:val="es-ES_tradnl" w:eastAsia="es-ES"/>
        </w:rPr>
      </w:pPr>
    </w:p>
    <w:p w14:paraId="58F07456" w14:textId="77777777" w:rsidR="00D938FE" w:rsidRPr="008929C0" w:rsidRDefault="00D938FE"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Entre sus objetivos fundamentales figuran los siguientes:</w:t>
      </w:r>
    </w:p>
    <w:p w14:paraId="58F07457"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Desarrollar la educación integral de la sexualidad como parte de la</w:t>
      </w:r>
      <w:r w:rsidR="008929C0" w:rsidRPr="00D610B7">
        <w:rPr>
          <w:rFonts w:ascii="Arial" w:eastAsia="Calibri" w:hAnsi="Arial" w:cs="Arial"/>
          <w:sz w:val="24"/>
          <w:szCs w:val="24"/>
        </w:rPr>
        <w:t xml:space="preserve"> </w:t>
      </w:r>
      <w:r w:rsidRPr="00D610B7">
        <w:rPr>
          <w:rFonts w:ascii="Arial" w:eastAsia="Calibri" w:hAnsi="Arial" w:cs="Arial"/>
          <w:sz w:val="24"/>
          <w:szCs w:val="24"/>
        </w:rPr>
        <w:t>formación integral del individuo sin elementos de discriminación por clase y capa social, color de la piel, edad, sexo, orientación sexual, identidad de género, capacidades sensoriales, intelectuales y físicas, creencias políticas y religiosas en las diferentes etapas de la vida;</w:t>
      </w:r>
    </w:p>
    <w:p w14:paraId="58F07458"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Contribuir al reconocimiento, garantía, ejercicio y respeto pleno de los derechos sexuales de todas las personas;</w:t>
      </w:r>
    </w:p>
    <w:p w14:paraId="58F07459"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 xml:space="preserve">Desarrollar estrategias de comunicación social que promuevan una sexualidad plena, libre en tanto responsable. </w:t>
      </w:r>
    </w:p>
    <w:p w14:paraId="58F0745A" w14:textId="77777777" w:rsidR="00D938FE" w:rsidRDefault="00D610B7" w:rsidP="00D610B7">
      <w:pPr>
        <w:pStyle w:val="ListParagraph"/>
        <w:numPr>
          <w:ilvl w:val="0"/>
          <w:numId w:val="4"/>
        </w:numPr>
        <w:tabs>
          <w:tab w:val="left" w:pos="426"/>
        </w:tabs>
        <w:spacing w:before="240" w:after="240" w:line="360" w:lineRule="auto"/>
        <w:ind w:left="567" w:hanging="425"/>
        <w:jc w:val="both"/>
        <w:rPr>
          <w:rFonts w:ascii="Arial" w:eastAsia="Calibri" w:hAnsi="Arial" w:cs="Arial"/>
          <w:sz w:val="24"/>
          <w:szCs w:val="24"/>
        </w:rPr>
      </w:pPr>
      <w:r>
        <w:rPr>
          <w:rFonts w:ascii="Arial" w:eastAsia="Calibri" w:hAnsi="Arial" w:cs="Arial"/>
          <w:sz w:val="24"/>
          <w:szCs w:val="24"/>
        </w:rPr>
        <w:t xml:space="preserve">  </w:t>
      </w:r>
      <w:r w:rsidR="00D938FE" w:rsidRPr="00D610B7">
        <w:rPr>
          <w:rFonts w:ascii="Arial" w:eastAsia="Calibri" w:hAnsi="Arial" w:cs="Arial"/>
          <w:sz w:val="24"/>
          <w:szCs w:val="24"/>
        </w:rPr>
        <w:t>El CENESEX promueve la capacitación y formación de diversos recursos humanos a través de un sistema de educación profesional permanente impartido dentro y fuera del país. Los programas elaborados desde la institución contemplan los tópicos relacionados con la violencia y la discriminación basadas en la orientación sexual y la identidad de género, a través de las posiciones teóricas más avanzadas. De igual forma, potencia el desarrollo de investigaciones cientí</w:t>
      </w:r>
      <w:r w:rsidR="00D938FE" w:rsidRPr="00D610B7">
        <w:rPr>
          <w:rFonts w:ascii="Arial" w:eastAsia="Calibri" w:hAnsi="Arial" w:cs="Arial"/>
          <w:sz w:val="24"/>
          <w:szCs w:val="24"/>
        </w:rPr>
        <w:lastRenderedPageBreak/>
        <w:t>ficas de carácter multidisciplinario, contando con líneas de investigación institucionales y proyectos de investigación nacionales que abordan estos temas.</w:t>
      </w:r>
    </w:p>
    <w:p w14:paraId="58F0745B" w14:textId="77777777" w:rsidR="00D938FE" w:rsidRPr="00D610B7" w:rsidRDefault="00D938FE" w:rsidP="00D610B7">
      <w:pPr>
        <w:spacing w:before="240" w:after="240" w:line="360" w:lineRule="auto"/>
        <w:ind w:firstLine="850"/>
        <w:jc w:val="both"/>
        <w:rPr>
          <w:rFonts w:ascii="Arial" w:eastAsia="Times New Roman" w:hAnsi="Arial" w:cs="Arial"/>
          <w:sz w:val="24"/>
          <w:szCs w:val="24"/>
          <w:lang w:val="es-ES_tradnl" w:eastAsia="es-ES"/>
        </w:rPr>
      </w:pPr>
      <w:r w:rsidRPr="00D610B7">
        <w:rPr>
          <w:rFonts w:ascii="Arial" w:eastAsia="Times New Roman" w:hAnsi="Arial" w:cs="Arial"/>
          <w:sz w:val="24"/>
          <w:szCs w:val="24"/>
          <w:lang w:val="es-ES_tradnl" w:eastAsia="es-ES"/>
        </w:rPr>
        <w:t>Vale destacar también la labor de la Comisión Nacional de Atención Integral a Personas Transexuales (CNAIPT), creada a través de la resolución No. 126 de 2008, emitida por el Ministro de Salud Pública y dirigida desde el CENESEX.</w:t>
      </w:r>
      <w:r w:rsidR="008929C0" w:rsidRPr="00D610B7">
        <w:rPr>
          <w:rFonts w:ascii="Arial" w:eastAsia="Times New Roman" w:hAnsi="Arial" w:cs="Arial"/>
          <w:sz w:val="24"/>
          <w:szCs w:val="24"/>
          <w:lang w:val="es-ES_tradnl" w:eastAsia="es-ES"/>
        </w:rPr>
        <w:t xml:space="preserve"> </w:t>
      </w:r>
      <w:r w:rsidRPr="00D610B7">
        <w:rPr>
          <w:rFonts w:ascii="Arial" w:eastAsia="Times New Roman" w:hAnsi="Arial" w:cs="Arial"/>
          <w:sz w:val="24"/>
          <w:szCs w:val="24"/>
          <w:lang w:val="es-ES_tradnl" w:eastAsia="es-ES"/>
        </w:rPr>
        <w:t>Esta comisión tiene entre sus funciones fundamentales</w:t>
      </w:r>
      <w:r w:rsidR="008929C0" w:rsidRPr="00D610B7">
        <w:rPr>
          <w:rFonts w:ascii="Arial" w:eastAsia="Times New Roman" w:hAnsi="Arial" w:cs="Arial"/>
          <w:sz w:val="24"/>
          <w:szCs w:val="24"/>
          <w:lang w:val="es-ES_tradnl" w:eastAsia="es-ES"/>
        </w:rPr>
        <w:t xml:space="preserve"> </w:t>
      </w:r>
      <w:r w:rsidRPr="00D610B7">
        <w:rPr>
          <w:rFonts w:ascii="Arial" w:eastAsia="Times New Roman" w:hAnsi="Arial" w:cs="Arial"/>
          <w:sz w:val="24"/>
          <w:szCs w:val="24"/>
          <w:lang w:val="es-ES_tradnl" w:eastAsia="es-ES"/>
        </w:rPr>
        <w:t xml:space="preserve">las siguientes: </w:t>
      </w:r>
    </w:p>
    <w:p w14:paraId="58F0745C"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La</w:t>
      </w:r>
      <w:r w:rsidR="008929C0" w:rsidRPr="00D610B7">
        <w:rPr>
          <w:rFonts w:ascii="Arial" w:eastAsia="Calibri" w:hAnsi="Arial" w:cs="Arial"/>
          <w:sz w:val="24"/>
          <w:szCs w:val="24"/>
        </w:rPr>
        <w:t xml:space="preserve"> </w:t>
      </w:r>
      <w:r w:rsidRPr="00D610B7">
        <w:rPr>
          <w:rFonts w:ascii="Arial" w:eastAsia="Calibri" w:hAnsi="Arial" w:cs="Arial"/>
          <w:sz w:val="24"/>
          <w:szCs w:val="24"/>
        </w:rPr>
        <w:t>elaboración, implementación y coordinación de la política nacional de atención integral a personas transexuales;</w:t>
      </w:r>
    </w:p>
    <w:p w14:paraId="58F0745D" w14:textId="77777777" w:rsidR="008929C0"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La promoción de la mencionada atención;</w:t>
      </w:r>
    </w:p>
    <w:p w14:paraId="58F0745E"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La aprobación, de acuerdo a los criterios d</w:t>
      </w:r>
      <w:r w:rsidR="00AB59AA" w:rsidRPr="00D610B7">
        <w:rPr>
          <w:rFonts w:ascii="Arial" w:eastAsia="Calibri" w:hAnsi="Arial" w:cs="Arial"/>
          <w:sz w:val="24"/>
          <w:szCs w:val="24"/>
        </w:rPr>
        <w:t xml:space="preserve">e elegibilidad y disponibilidad, de </w:t>
      </w:r>
      <w:r w:rsidRPr="00D610B7">
        <w:rPr>
          <w:rFonts w:ascii="Arial" w:eastAsia="Calibri" w:hAnsi="Arial" w:cs="Arial"/>
          <w:sz w:val="24"/>
          <w:szCs w:val="24"/>
        </w:rPr>
        <w:t xml:space="preserve">contenidos en los protocolos de actuación para el tratamiento, la pertinencia o no de la cirugía de reasignación sexual; </w:t>
      </w:r>
    </w:p>
    <w:p w14:paraId="58F0745F"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Orientar metodológicamente el funcionamiento del Centro de Atención a la Salud Integral de las personas transexuales;</w:t>
      </w:r>
    </w:p>
    <w:p w14:paraId="58F07460" w14:textId="77777777" w:rsidR="00D938FE" w:rsidRPr="00D610B7" w:rsidRDefault="00D938FE" w:rsidP="00D610B7">
      <w:pPr>
        <w:pStyle w:val="ListParagraph"/>
        <w:numPr>
          <w:ilvl w:val="0"/>
          <w:numId w:val="4"/>
        </w:numPr>
        <w:spacing w:before="240" w:after="240" w:line="360" w:lineRule="auto"/>
        <w:ind w:left="567" w:hanging="425"/>
        <w:jc w:val="both"/>
        <w:rPr>
          <w:rFonts w:ascii="Arial" w:eastAsia="Calibri" w:hAnsi="Arial" w:cs="Arial"/>
          <w:sz w:val="24"/>
          <w:szCs w:val="24"/>
        </w:rPr>
      </w:pPr>
      <w:r w:rsidRPr="00D610B7">
        <w:rPr>
          <w:rFonts w:ascii="Arial" w:eastAsia="Calibri" w:hAnsi="Arial" w:cs="Arial"/>
          <w:sz w:val="24"/>
          <w:szCs w:val="24"/>
        </w:rPr>
        <w:t>Promover investigaciones que coadyuven al desarrollo del conocimiento científico multidisciplinario sobre la transexualidad.</w:t>
      </w:r>
    </w:p>
    <w:p w14:paraId="58F07461" w14:textId="77777777" w:rsidR="00D938FE" w:rsidRPr="008929C0" w:rsidRDefault="00D938FE"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 xml:space="preserve">A través de la mencionada resolución 126 se creó también el Centro de Atención a la Salud Integral de las personas transexuales para brindar los servicios de salud integral que incluyen el estudio, tratamiento, investigación asistencial y seguimiento a las personas transexuales. </w:t>
      </w:r>
    </w:p>
    <w:p w14:paraId="58F07462" w14:textId="77777777" w:rsidR="00D938FE" w:rsidRPr="008929C0" w:rsidRDefault="00D938FE"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La resolución establece garantías institucionales y materiales para el ejercicio de los derechos sexuales relativos a la libertad sexual, la autonomía, integridad y seguridad sexuales, así como la educación y atención de salud sexuales de forma universal y gratuita. Además</w:t>
      </w:r>
      <w:r w:rsidR="000B6031">
        <w:rPr>
          <w:rFonts w:ascii="Arial" w:eastAsia="Times New Roman" w:hAnsi="Arial" w:cs="Arial"/>
          <w:sz w:val="24"/>
          <w:szCs w:val="24"/>
          <w:lang w:val="es-ES_tradnl" w:eastAsia="es-ES"/>
        </w:rPr>
        <w:t>,</w:t>
      </w:r>
      <w:r w:rsidRPr="008929C0">
        <w:rPr>
          <w:rFonts w:ascii="Arial" w:eastAsia="Times New Roman" w:hAnsi="Arial" w:cs="Arial"/>
          <w:sz w:val="24"/>
          <w:szCs w:val="24"/>
          <w:lang w:val="es-ES_tradnl" w:eastAsia="es-ES"/>
        </w:rPr>
        <w:t xml:space="preserve"> esta disposición asegura la posibilidad de expresar física y emocionalmente la sexualidad </w:t>
      </w:r>
      <w:r w:rsidRPr="008929C0">
        <w:rPr>
          <w:rFonts w:ascii="Arial" w:eastAsia="Times New Roman" w:hAnsi="Arial" w:cs="Arial"/>
          <w:sz w:val="24"/>
          <w:szCs w:val="24"/>
          <w:lang w:val="es-ES_tradnl" w:eastAsia="es-ES"/>
        </w:rPr>
        <w:lastRenderedPageBreak/>
        <w:t>tal y como desean las personas transexuales, así como la evidente capacidad de decidir sobre los cambios que implican las cirugías de reasignación sexual sobre los cuerpos. Asimismo, el acceso de modo gratuito y universal a la atención de salud sexual se encuentra debidamente asegurado a través de ambas estructuras, la Comisión y el Centro.</w:t>
      </w:r>
    </w:p>
    <w:p w14:paraId="58F07463" w14:textId="77777777" w:rsidR="00D938FE" w:rsidRPr="008929C0" w:rsidRDefault="00D938FE"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El CENESEX contribuye a la formación de manera sistemática de diferentes actores sociales, tanto como activistas y promotores profesionales y no profesionales. Asimismo, coordina las redes sociales comunitarias y de Internet que tributan al desarrollo de una sexualidad plena y responsable.</w:t>
      </w:r>
    </w:p>
    <w:p w14:paraId="58F07464" w14:textId="77777777" w:rsidR="00E97F6C" w:rsidRPr="008929C0" w:rsidRDefault="00E97F6C"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El CENESEX y las mencionadas Redes Sociales organizaron en Cuba, por primera vez en mayo de 2014, la VI Conferencia Regional de la Asociación Internacional de Gays, Lesbianas, Bisexuales, Trans e Intersex (ILGA) para América Latina. El evento contó con una importante participación de activistas cubanos/as en la organización de la misma y en los espacios de discusión. Además, apoyó y garantizó la participación de activistas en la XXVII Conferencia Mundial de ILGA, celebrada en México D.F. Cuba fue el país con mayor representación, después del país sede.</w:t>
      </w:r>
    </w:p>
    <w:p w14:paraId="58F07465" w14:textId="77777777" w:rsidR="00E97F6C" w:rsidRPr="008929C0" w:rsidRDefault="00E97F6C"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Las Jornadas Cubanas contra la Homofobia y la Transfobia, organizadas desde 2008 alrededor del 17 de mayo, Día Mundial contra la Homofobia</w:t>
      </w:r>
      <w:r w:rsidR="000B6031">
        <w:rPr>
          <w:rFonts w:ascii="Arial" w:eastAsia="Times New Roman" w:hAnsi="Arial" w:cs="Arial"/>
          <w:sz w:val="24"/>
          <w:szCs w:val="24"/>
          <w:lang w:val="es-ES_tradnl" w:eastAsia="es-ES"/>
        </w:rPr>
        <w:t xml:space="preserve"> </w:t>
      </w:r>
      <w:r w:rsidRPr="008929C0">
        <w:rPr>
          <w:rFonts w:ascii="Arial" w:eastAsia="Times New Roman" w:hAnsi="Arial" w:cs="Arial"/>
          <w:sz w:val="24"/>
          <w:szCs w:val="24"/>
          <w:lang w:val="es-ES_tradnl" w:eastAsia="es-ES"/>
        </w:rPr>
        <w:t>se han convertido en uno de los espacios de mayor impacto a nivel nacional e internacional. Este evento se desarrolla en La Habana y en una provincia sede cada año, con acciones de vital importancia en la promoción de los derechos sexuales relativos a la orientación sexual e identidad de género, los espacios de activismo político y social así como por la sensibilización y educación de la ciudadanía en estos temas.</w:t>
      </w:r>
    </w:p>
    <w:p w14:paraId="58F07466" w14:textId="77777777" w:rsidR="00E97F6C" w:rsidRPr="008929C0" w:rsidRDefault="00E97F6C" w:rsidP="008929C0">
      <w:pPr>
        <w:spacing w:before="240" w:after="240" w:line="360" w:lineRule="auto"/>
        <w:ind w:firstLine="850"/>
        <w:jc w:val="both"/>
        <w:rPr>
          <w:rFonts w:ascii="Arial" w:eastAsia="Times New Roman" w:hAnsi="Arial" w:cs="Arial"/>
          <w:sz w:val="24"/>
          <w:szCs w:val="24"/>
          <w:lang w:val="es-ES_tradnl" w:eastAsia="es-ES"/>
        </w:rPr>
      </w:pPr>
      <w:r w:rsidRPr="008929C0">
        <w:rPr>
          <w:rFonts w:ascii="Arial" w:eastAsia="Times New Roman" w:hAnsi="Arial" w:cs="Arial"/>
          <w:sz w:val="24"/>
          <w:szCs w:val="24"/>
          <w:lang w:val="es-ES_tradnl" w:eastAsia="es-ES"/>
        </w:rPr>
        <w:t xml:space="preserve">La Gala Cubana contra la Homofobia y la Transfobia, realizada en uno de los teatros más importantes del país, logra agrupar a artistas de </w:t>
      </w:r>
      <w:r w:rsidRPr="008929C0">
        <w:rPr>
          <w:rFonts w:ascii="Arial" w:eastAsia="Times New Roman" w:hAnsi="Arial" w:cs="Arial"/>
          <w:sz w:val="24"/>
          <w:szCs w:val="24"/>
          <w:lang w:val="es-ES_tradnl" w:eastAsia="es-ES"/>
        </w:rPr>
        <w:lastRenderedPageBreak/>
        <w:t>primera línea en una propuesta cultural que busca lanzar mensajes educativos contra la discriminación y por el respeto a la libre orientación sexual e identidad de género. Esta acción alcanza a casi 5000 personas durante una noche. También se realiza en los teatros de las provincias seleccionadas como sedes del evento.</w:t>
      </w:r>
    </w:p>
    <w:p w14:paraId="58F07467" w14:textId="77777777" w:rsidR="008929C0" w:rsidRPr="00ED27AE" w:rsidRDefault="008929C0" w:rsidP="008929C0">
      <w:pPr>
        <w:spacing w:before="240" w:after="240" w:line="360" w:lineRule="auto"/>
        <w:ind w:firstLine="850"/>
        <w:jc w:val="both"/>
        <w:rPr>
          <w:rFonts w:ascii="Arial" w:eastAsia="Times New Roman" w:hAnsi="Arial" w:cs="Arial"/>
          <w:sz w:val="24"/>
          <w:szCs w:val="24"/>
          <w:lang w:val="es-ES_tradnl" w:eastAsia="es-ES"/>
        </w:rPr>
      </w:pPr>
      <w:r w:rsidRPr="00ED27AE">
        <w:rPr>
          <w:rFonts w:ascii="Arial" w:eastAsia="Times New Roman" w:hAnsi="Arial" w:cs="Arial"/>
          <w:sz w:val="24"/>
          <w:szCs w:val="24"/>
          <w:lang w:val="es-ES_tradnl" w:eastAsia="es-ES"/>
        </w:rPr>
        <w:t>La Misión Permanente de la República de Cuba ante la Oficina de las Naciones Unidas en Ginebra y los Organismos Internacionales con sede en Suiza aprovecha la ocasión para reiterar a la Oficina de</w:t>
      </w:r>
      <w:r>
        <w:rPr>
          <w:rFonts w:ascii="Arial" w:eastAsia="Times New Roman" w:hAnsi="Arial" w:cs="Arial"/>
          <w:sz w:val="24"/>
          <w:szCs w:val="24"/>
          <w:lang w:val="es-ES_tradnl" w:eastAsia="es-ES"/>
        </w:rPr>
        <w:t xml:space="preserve"> </w:t>
      </w:r>
      <w:r w:rsidRPr="00ED27AE">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Alt</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Comisionad</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de las Naciones Unidas para los Derechos Humanos el testimonio de su consideración.</w:t>
      </w:r>
    </w:p>
    <w:p w14:paraId="58F07468" w14:textId="77777777" w:rsidR="00700D1D" w:rsidRDefault="00700D1D" w:rsidP="00700D1D">
      <w:pPr>
        <w:spacing w:after="0" w:line="240" w:lineRule="auto"/>
        <w:jc w:val="right"/>
        <w:rPr>
          <w:rFonts w:ascii="Arial" w:eastAsia="Times New Roman" w:hAnsi="Arial" w:cs="Arial"/>
          <w:sz w:val="24"/>
          <w:szCs w:val="24"/>
          <w:lang w:eastAsia="es-ES"/>
        </w:rPr>
      </w:pPr>
    </w:p>
    <w:p w14:paraId="58F07469" w14:textId="77777777" w:rsidR="00575319" w:rsidRPr="00C84EB1" w:rsidRDefault="00575319" w:rsidP="00700D1D">
      <w:pPr>
        <w:spacing w:after="0" w:line="240" w:lineRule="auto"/>
        <w:jc w:val="right"/>
        <w:rPr>
          <w:rFonts w:ascii="Arial" w:eastAsia="Times New Roman" w:hAnsi="Arial" w:cs="Arial"/>
          <w:sz w:val="24"/>
          <w:szCs w:val="24"/>
          <w:lang w:eastAsia="es-ES"/>
        </w:rPr>
      </w:pPr>
    </w:p>
    <w:p w14:paraId="58F0746A" w14:textId="77777777" w:rsidR="001B0E24" w:rsidRDefault="00700D1D" w:rsidP="008929C0">
      <w:pPr>
        <w:spacing w:after="0" w:line="240" w:lineRule="auto"/>
        <w:jc w:val="right"/>
      </w:pPr>
      <w:r w:rsidRPr="00C84EB1">
        <w:rPr>
          <w:rFonts w:ascii="Arial" w:eastAsia="Times New Roman" w:hAnsi="Arial" w:cs="Arial"/>
          <w:sz w:val="24"/>
          <w:szCs w:val="24"/>
          <w:lang w:eastAsia="es-ES"/>
        </w:rPr>
        <w:t xml:space="preserve">Ginebra, </w:t>
      </w:r>
      <w:r>
        <w:rPr>
          <w:rFonts w:ascii="Arial" w:eastAsia="Times New Roman" w:hAnsi="Arial" w:cs="Arial"/>
          <w:sz w:val="24"/>
          <w:szCs w:val="24"/>
          <w:lang w:eastAsia="es-ES"/>
        </w:rPr>
        <w:t>3</w:t>
      </w:r>
      <w:r w:rsidR="00E24687">
        <w:rPr>
          <w:rFonts w:ascii="Arial" w:eastAsia="Times New Roman" w:hAnsi="Arial" w:cs="Arial"/>
          <w:sz w:val="24"/>
          <w:szCs w:val="24"/>
          <w:lang w:eastAsia="es-ES"/>
        </w:rPr>
        <w:t>1</w:t>
      </w:r>
      <w:r w:rsidRPr="00C84EB1">
        <w:rPr>
          <w:rFonts w:ascii="Arial" w:eastAsia="Times New Roman" w:hAnsi="Arial" w:cs="Arial"/>
          <w:sz w:val="24"/>
          <w:szCs w:val="24"/>
          <w:lang w:eastAsia="es-ES"/>
        </w:rPr>
        <w:t xml:space="preserve"> de </w:t>
      </w:r>
      <w:r w:rsidR="00E97F6C">
        <w:rPr>
          <w:rFonts w:ascii="Arial" w:eastAsia="Times New Roman" w:hAnsi="Arial" w:cs="Arial"/>
          <w:sz w:val="24"/>
          <w:szCs w:val="24"/>
          <w:lang w:eastAsia="es-ES"/>
        </w:rPr>
        <w:t>mayo</w:t>
      </w:r>
      <w:r w:rsidRPr="00C84EB1">
        <w:rPr>
          <w:rFonts w:ascii="Arial" w:eastAsia="Times New Roman" w:hAnsi="Arial" w:cs="Arial"/>
          <w:sz w:val="24"/>
          <w:szCs w:val="24"/>
          <w:lang w:eastAsia="es-ES"/>
        </w:rPr>
        <w:t xml:space="preserve"> de 2019</w:t>
      </w:r>
    </w:p>
    <w:sectPr w:rsidR="001B0E24" w:rsidSect="00D610B7">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0746F" w14:textId="77777777" w:rsidR="00D56800" w:rsidRDefault="00D56800" w:rsidP="00B72545">
      <w:pPr>
        <w:spacing w:after="0" w:line="240" w:lineRule="auto"/>
      </w:pPr>
      <w:r>
        <w:separator/>
      </w:r>
    </w:p>
  </w:endnote>
  <w:endnote w:type="continuationSeparator" w:id="0">
    <w:p w14:paraId="58F07470" w14:textId="77777777" w:rsidR="00D56800" w:rsidRDefault="00D56800" w:rsidP="00B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0746D" w14:textId="77777777" w:rsidR="00D56800" w:rsidRDefault="00D56800" w:rsidP="00B72545">
      <w:pPr>
        <w:spacing w:after="0" w:line="240" w:lineRule="auto"/>
      </w:pPr>
      <w:r>
        <w:separator/>
      </w:r>
    </w:p>
  </w:footnote>
  <w:footnote w:type="continuationSeparator" w:id="0">
    <w:p w14:paraId="58F0746E" w14:textId="77777777" w:rsidR="00D56800" w:rsidRDefault="00D56800" w:rsidP="00B72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F2527"/>
    <w:multiLevelType w:val="hybridMultilevel"/>
    <w:tmpl w:val="223E0E6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41C97076"/>
    <w:multiLevelType w:val="hybridMultilevel"/>
    <w:tmpl w:val="7A50B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EE02EC"/>
    <w:multiLevelType w:val="hybridMultilevel"/>
    <w:tmpl w:val="0964B176"/>
    <w:lvl w:ilvl="0" w:tplc="A49C7E72">
      <w:start w:val="1"/>
      <w:numFmt w:val="decimal"/>
      <w:lvlText w:val="%1."/>
      <w:lvlJc w:val="left"/>
      <w:pPr>
        <w:ind w:left="360" w:hanging="360"/>
      </w:pPr>
      <w:rPr>
        <w:b w:val="0"/>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12B5DC3"/>
    <w:multiLevelType w:val="hybridMultilevel"/>
    <w:tmpl w:val="8466BEB6"/>
    <w:lvl w:ilvl="0" w:tplc="471ED416">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D1D"/>
    <w:rsid w:val="000552FA"/>
    <w:rsid w:val="0006060D"/>
    <w:rsid w:val="000B6031"/>
    <w:rsid w:val="001B0E24"/>
    <w:rsid w:val="001D7DDA"/>
    <w:rsid w:val="001E40B0"/>
    <w:rsid w:val="00252DF1"/>
    <w:rsid w:val="004973AA"/>
    <w:rsid w:val="00575319"/>
    <w:rsid w:val="00700D1D"/>
    <w:rsid w:val="008929C0"/>
    <w:rsid w:val="00965DC3"/>
    <w:rsid w:val="00A20C26"/>
    <w:rsid w:val="00A41C22"/>
    <w:rsid w:val="00AB59AA"/>
    <w:rsid w:val="00B72545"/>
    <w:rsid w:val="00C90CD2"/>
    <w:rsid w:val="00D56800"/>
    <w:rsid w:val="00D610B7"/>
    <w:rsid w:val="00D735C1"/>
    <w:rsid w:val="00D938FE"/>
    <w:rsid w:val="00E24687"/>
    <w:rsid w:val="00E337E0"/>
    <w:rsid w:val="00E97F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7440"/>
  <w15:docId w15:val="{8BD10243-E7EB-4171-96DB-2E16B20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72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545"/>
    <w:rPr>
      <w:sz w:val="20"/>
      <w:szCs w:val="20"/>
    </w:rPr>
  </w:style>
  <w:style w:type="character" w:styleId="EndnoteReference">
    <w:name w:val="endnote reference"/>
    <w:uiPriority w:val="99"/>
    <w:semiHidden/>
    <w:unhideWhenUsed/>
    <w:rsid w:val="00B72545"/>
    <w:rPr>
      <w:vertAlign w:val="superscript"/>
    </w:rPr>
  </w:style>
  <w:style w:type="paragraph" w:styleId="BalloonText">
    <w:name w:val="Balloon Text"/>
    <w:basedOn w:val="Normal"/>
    <w:link w:val="BalloonTextChar"/>
    <w:uiPriority w:val="99"/>
    <w:semiHidden/>
    <w:unhideWhenUsed/>
    <w:rsid w:val="00892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C0"/>
    <w:rPr>
      <w:rFonts w:ascii="Tahoma" w:hAnsi="Tahoma" w:cs="Tahoma"/>
      <w:sz w:val="16"/>
      <w:szCs w:val="16"/>
    </w:rPr>
  </w:style>
  <w:style w:type="paragraph" w:styleId="ListParagraph">
    <w:name w:val="List Paragraph"/>
    <w:basedOn w:val="Normal"/>
    <w:uiPriority w:val="34"/>
    <w:qFormat/>
    <w:rsid w:val="0089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01E3D-03DB-4367-882F-CE8B539D96B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69A358-0D39-403D-B15D-1067E8308B66}"/>
</file>

<file path=customXml/itemProps3.xml><?xml version="1.0" encoding="utf-8"?>
<ds:datastoreItem xmlns:ds="http://schemas.openxmlformats.org/officeDocument/2006/customXml" ds:itemID="{38BA9C47-FFD0-4E3B-AFDC-F833E6C1D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7652</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Emelina Vaile Camino</dc:creator>
  <cp:lastModifiedBy>DE PREUX DE BAETS Catherine</cp:lastModifiedBy>
  <cp:revision>2</cp:revision>
  <dcterms:created xsi:type="dcterms:W3CDTF">2019-06-04T08:02:00Z</dcterms:created>
  <dcterms:modified xsi:type="dcterms:W3CDTF">2019-06-04T08:02:00Z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