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17" w:rsidRDefault="00555017" w:rsidP="00555017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Helvetica Neue"/>
          <w:sz w:val="24"/>
          <w:szCs w:val="24"/>
          <w:lang w:eastAsia="zh-CN"/>
        </w:rPr>
      </w:pPr>
    </w:p>
    <w:p w:rsidR="00555017" w:rsidRDefault="00555017" w:rsidP="00555017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Helvetica Neue" w:hAnsi="Arial" w:cs="Arial"/>
          <w:b/>
          <w:sz w:val="24"/>
          <w:szCs w:val="24"/>
          <w:lang w:eastAsia="zh-CN"/>
        </w:rPr>
      </w:pPr>
      <w:r w:rsidRPr="00555017">
        <w:rPr>
          <w:rFonts w:ascii="Arial" w:eastAsia="Helvetica Neue" w:hAnsi="Arial" w:cs="Arial"/>
          <w:b/>
          <w:sz w:val="24"/>
          <w:szCs w:val="24"/>
          <w:lang w:eastAsia="zh-CN"/>
        </w:rPr>
        <w:t xml:space="preserve">Input from </w:t>
      </w:r>
      <w:proofErr w:type="gramStart"/>
      <w:r>
        <w:rPr>
          <w:rFonts w:ascii="Arial" w:eastAsia="Helvetica Neue" w:hAnsi="Arial" w:cs="Arial"/>
          <w:b/>
          <w:sz w:val="24"/>
          <w:szCs w:val="24"/>
          <w:lang w:eastAsia="zh-CN"/>
        </w:rPr>
        <w:t>T</w:t>
      </w:r>
      <w:r w:rsidRPr="00555017">
        <w:rPr>
          <w:rFonts w:ascii="Arial" w:eastAsia="Helvetica Neue" w:hAnsi="Arial" w:cs="Arial"/>
          <w:b/>
          <w:sz w:val="24"/>
          <w:szCs w:val="24"/>
          <w:lang w:eastAsia="zh-CN"/>
        </w:rPr>
        <w:t>he</w:t>
      </w:r>
      <w:proofErr w:type="gramEnd"/>
      <w:r w:rsidRPr="00555017">
        <w:rPr>
          <w:rFonts w:ascii="Arial" w:eastAsia="Helvetica Neue" w:hAnsi="Arial" w:cs="Arial"/>
          <w:b/>
          <w:sz w:val="24"/>
          <w:szCs w:val="24"/>
          <w:lang w:eastAsia="zh-CN"/>
        </w:rPr>
        <w:t xml:space="preserve"> Netherlands</w:t>
      </w:r>
    </w:p>
    <w:p w:rsidR="00555017" w:rsidRPr="00555017" w:rsidRDefault="00555017" w:rsidP="00555017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Helvetica Neue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555017" w:rsidRPr="00AC164A" w:rsidRDefault="00555017" w:rsidP="0055501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Helvetica Neue"/>
          <w:sz w:val="24"/>
          <w:szCs w:val="24"/>
          <w:lang w:eastAsia="zh-CN"/>
        </w:rPr>
      </w:pPr>
      <w:r w:rsidRPr="00AC164A">
        <w:rPr>
          <w:rFonts w:eastAsia="Helvetica Neue"/>
          <w:sz w:val="24"/>
          <w:szCs w:val="24"/>
          <w:lang w:eastAsia="zh-CN"/>
        </w:rPr>
        <w:t>Key areas in which people (in your country, region or worldwide) suffer socio-cultural and economic exclusion as a result of violence and discrimination on  the basis of sexual orientation and/or gender identity; in particular,</w:t>
      </w:r>
    </w:p>
    <w:p w:rsidR="00555017" w:rsidRDefault="00555017" w:rsidP="005550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/>
          <w:sz w:val="24"/>
          <w:szCs w:val="24"/>
          <w:lang w:eastAsia="zh-CN"/>
        </w:rPr>
      </w:pPr>
      <w:r w:rsidRPr="00EE329B">
        <w:rPr>
          <w:rFonts w:eastAsia="Helvetica Neue"/>
          <w:sz w:val="24"/>
          <w:szCs w:val="24"/>
          <w:lang w:eastAsia="zh-CN"/>
        </w:rPr>
        <w:t>What knowledge, including data, exists in the State planning bases in relation to socio-cultural and economic exclusion based on sexual orientation and gender identity, including levels of poverty, homelessness, education, employment, health, political participation and any other relevant social indicator?</w:t>
      </w:r>
    </w:p>
    <w:p w:rsidR="00555017" w:rsidRPr="00555017" w:rsidRDefault="00555017" w:rsidP="005550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  <w:between w:val="nil"/>
        </w:pBdr>
        <w:spacing w:after="160"/>
        <w:jc w:val="both"/>
        <w:rPr>
          <w:rFonts w:ascii="Arial" w:eastAsia="Helvetica Neue" w:hAnsi="Arial" w:cs="Arial"/>
          <w:sz w:val="22"/>
          <w:szCs w:val="24"/>
          <w:lang w:eastAsia="zh-CN"/>
        </w:rPr>
      </w:pPr>
      <w:r w:rsidRPr="00555017">
        <w:rPr>
          <w:rFonts w:ascii="Arial" w:eastAsia="Helvetica Neue" w:hAnsi="Arial" w:cs="Arial"/>
          <w:sz w:val="22"/>
          <w:szCs w:val="24"/>
          <w:lang w:eastAsia="zh-CN"/>
        </w:rPr>
        <w:t xml:space="preserve">Netherlands Institute for Social Research </w:t>
      </w:r>
      <w:r w:rsidR="00453F4C">
        <w:rPr>
          <w:rFonts w:ascii="Arial" w:eastAsia="Helvetica Neue" w:hAnsi="Arial" w:cs="Arial"/>
          <w:sz w:val="22"/>
          <w:szCs w:val="24"/>
          <w:lang w:eastAsia="zh-CN"/>
        </w:rPr>
        <w:t xml:space="preserve">(SCP) </w:t>
      </w:r>
      <w:r>
        <w:rPr>
          <w:rFonts w:ascii="Arial" w:eastAsia="Helvetica Neue" w:hAnsi="Arial" w:cs="Arial"/>
          <w:sz w:val="22"/>
          <w:szCs w:val="24"/>
          <w:lang w:eastAsia="zh-CN"/>
        </w:rPr>
        <w:t xml:space="preserve">keeps track of </w:t>
      </w:r>
      <w:r w:rsidR="00F20453">
        <w:rPr>
          <w:rFonts w:ascii="Arial" w:eastAsia="Helvetica Neue" w:hAnsi="Arial" w:cs="Arial"/>
          <w:sz w:val="22"/>
          <w:szCs w:val="24"/>
          <w:lang w:eastAsia="zh-CN"/>
        </w:rPr>
        <w:t xml:space="preserve">the </w:t>
      </w:r>
      <w:r>
        <w:rPr>
          <w:rFonts w:ascii="Arial" w:eastAsia="Helvetica Neue" w:hAnsi="Arial" w:cs="Arial"/>
          <w:sz w:val="22"/>
          <w:szCs w:val="24"/>
          <w:lang w:eastAsia="zh-CN"/>
        </w:rPr>
        <w:t>wellbeing</w:t>
      </w:r>
      <w:r w:rsidR="00A95FAB">
        <w:rPr>
          <w:rFonts w:ascii="Arial" w:eastAsia="Helvetica Neue" w:hAnsi="Arial" w:cs="Arial"/>
          <w:sz w:val="22"/>
          <w:szCs w:val="24"/>
          <w:lang w:eastAsia="zh-CN"/>
        </w:rPr>
        <w:t xml:space="preserve"> of LGBT people and levels of employment and health </w:t>
      </w:r>
      <w:r w:rsidR="00A95FAB" w:rsidRPr="00F538A5">
        <w:rPr>
          <w:rFonts w:ascii="Arial" w:eastAsia="Helvetica Neue" w:hAnsi="Arial" w:cs="Arial"/>
          <w:szCs w:val="24"/>
          <w:lang w:eastAsia="zh-CN"/>
        </w:rPr>
        <w:t>(LGBT monitor)</w:t>
      </w:r>
      <w:r w:rsidR="00F20453" w:rsidRPr="00F538A5">
        <w:rPr>
          <w:rFonts w:ascii="Arial" w:eastAsia="Helvetica Neue" w:hAnsi="Arial" w:cs="Arial"/>
          <w:szCs w:val="24"/>
          <w:lang w:eastAsia="zh-CN"/>
        </w:rPr>
        <w:t>.</w:t>
      </w:r>
    </w:p>
    <w:p w:rsidR="00555017" w:rsidRPr="00EE329B" w:rsidRDefault="00555017" w:rsidP="005550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/>
          <w:sz w:val="24"/>
          <w:szCs w:val="24"/>
          <w:lang w:eastAsia="zh-CN"/>
        </w:rPr>
      </w:pPr>
      <w:r w:rsidRPr="00EE329B">
        <w:rPr>
          <w:rFonts w:eastAsia="Helvetica Neue"/>
          <w:sz w:val="24"/>
          <w:szCs w:val="24"/>
          <w:lang w:eastAsia="zh-CN"/>
        </w:rPr>
        <w:t xml:space="preserve">How are individuals, groups or communities differently affected, based on their sexual orientation and/or gender identity? </w:t>
      </w:r>
    </w:p>
    <w:p w:rsidR="00555017" w:rsidRPr="00555017" w:rsidRDefault="00555017" w:rsidP="0055501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  <w:between w:val="nil"/>
        </w:pBdr>
        <w:spacing w:after="160"/>
        <w:jc w:val="both"/>
        <w:rPr>
          <w:rFonts w:ascii="Arial" w:eastAsia="Helvetica Neue" w:hAnsi="Arial" w:cs="Arial"/>
          <w:sz w:val="22"/>
          <w:szCs w:val="24"/>
          <w:lang w:eastAsia="zh-CN"/>
        </w:rPr>
      </w:pPr>
      <w:r w:rsidRPr="00555017">
        <w:rPr>
          <w:rFonts w:ascii="Arial" w:eastAsia="Helvetica Neue" w:hAnsi="Arial" w:cs="Arial"/>
          <w:sz w:val="22"/>
          <w:szCs w:val="24"/>
          <w:lang w:eastAsia="zh-CN"/>
        </w:rPr>
        <w:t>Transgender people suffer difficulties in accessing labour market or keeping their job after t</w:t>
      </w:r>
      <w:r w:rsidR="00F20453">
        <w:rPr>
          <w:rFonts w:ascii="Arial" w:eastAsia="Helvetica Neue" w:hAnsi="Arial" w:cs="Arial"/>
          <w:sz w:val="22"/>
          <w:szCs w:val="24"/>
          <w:lang w:eastAsia="zh-CN"/>
        </w:rPr>
        <w:t>heir t</w:t>
      </w:r>
      <w:r w:rsidRPr="00555017">
        <w:rPr>
          <w:rFonts w:ascii="Arial" w:eastAsia="Helvetica Neue" w:hAnsi="Arial" w:cs="Arial"/>
          <w:sz w:val="22"/>
          <w:szCs w:val="24"/>
          <w:lang w:eastAsia="zh-CN"/>
        </w:rPr>
        <w:t>ransition.</w:t>
      </w:r>
    </w:p>
    <w:p w:rsidR="00555017" w:rsidRDefault="00555017" w:rsidP="005550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/>
          <w:sz w:val="24"/>
          <w:szCs w:val="24"/>
          <w:lang w:eastAsia="zh-CN"/>
        </w:rPr>
      </w:pPr>
      <w:r w:rsidRPr="00EE329B">
        <w:rPr>
          <w:rFonts w:eastAsia="Helvetica Neue"/>
          <w:sz w:val="24"/>
          <w:szCs w:val="24"/>
          <w:lang w:eastAsia="zh-CN"/>
        </w:rPr>
        <w:t>What are the main barriers in ensuring equal access to education, health care, employment and occupation, housing and other relevant sectors?</w:t>
      </w:r>
    </w:p>
    <w:p w:rsidR="00A95FAB" w:rsidRPr="00F538A5" w:rsidRDefault="00A95FAB" w:rsidP="00A95FA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  <w:between w:val="nil"/>
        </w:pBdr>
        <w:spacing w:after="160"/>
        <w:jc w:val="both"/>
        <w:rPr>
          <w:rFonts w:ascii="Arial" w:eastAsia="Helvetica Neue" w:hAnsi="Arial" w:cs="Arial"/>
          <w:szCs w:val="24"/>
          <w:lang w:eastAsia="zh-CN"/>
        </w:rPr>
      </w:pPr>
      <w:r w:rsidRPr="00F538A5">
        <w:rPr>
          <w:rFonts w:ascii="Arial" w:eastAsia="Helvetica Neue" w:hAnsi="Arial" w:cs="Arial"/>
          <w:szCs w:val="24"/>
          <w:lang w:eastAsia="zh-CN"/>
        </w:rPr>
        <w:t>See answer b</w:t>
      </w:r>
    </w:p>
    <w:p w:rsidR="00555017" w:rsidRDefault="00555017" w:rsidP="0055501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Helvetica Neue"/>
          <w:sz w:val="24"/>
          <w:szCs w:val="24"/>
          <w:lang w:eastAsia="zh-CN"/>
        </w:rPr>
      </w:pPr>
      <w:r w:rsidRPr="00AC164A">
        <w:rPr>
          <w:rFonts w:eastAsia="Helvetica Neue"/>
          <w:sz w:val="24"/>
          <w:szCs w:val="24"/>
          <w:lang w:eastAsia="zh-CN"/>
        </w:rPr>
        <w:t>Root causes and structural factors responsible for marginalisation and socio-cultural and economic exclusion, such as laws, public policies, institutional practices, organizational behaviours, and prevailing ideologies, values and beliefs?</w:t>
      </w:r>
    </w:p>
    <w:p w:rsidR="00A95FAB" w:rsidRPr="00A95FAB" w:rsidRDefault="00A95FAB" w:rsidP="00A95FA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  <w:between w:val="nil"/>
        </w:pBdr>
        <w:spacing w:after="160"/>
        <w:jc w:val="both"/>
        <w:rPr>
          <w:rFonts w:ascii="Arial" w:eastAsia="Helvetica Neue" w:hAnsi="Arial" w:cs="Arial"/>
          <w:sz w:val="22"/>
          <w:szCs w:val="24"/>
          <w:lang w:eastAsia="zh-CN"/>
        </w:rPr>
      </w:pPr>
      <w:r>
        <w:rPr>
          <w:rFonts w:ascii="Arial" w:eastAsia="Helvetica Neue" w:hAnsi="Arial" w:cs="Arial"/>
          <w:sz w:val="22"/>
          <w:szCs w:val="24"/>
          <w:lang w:eastAsia="zh-CN"/>
        </w:rPr>
        <w:t>Prejudice, ignorance and lack of knowledge about transgender</w:t>
      </w:r>
      <w:r w:rsidRPr="00A95FAB">
        <w:rPr>
          <w:rFonts w:ascii="Arial" w:eastAsia="Helvetica Neue" w:hAnsi="Arial" w:cs="Arial"/>
          <w:sz w:val="22"/>
          <w:szCs w:val="24"/>
          <w:lang w:eastAsia="zh-CN"/>
        </w:rPr>
        <w:t xml:space="preserve"> people.</w:t>
      </w:r>
    </w:p>
    <w:p w:rsidR="00555017" w:rsidRPr="00AC164A" w:rsidRDefault="00555017" w:rsidP="0055501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Helvetica Neue"/>
          <w:sz w:val="24"/>
          <w:szCs w:val="24"/>
          <w:lang w:eastAsia="zh-CN"/>
        </w:rPr>
      </w:pPr>
      <w:r w:rsidRPr="00AC164A">
        <w:rPr>
          <w:rFonts w:eastAsia="Helvetica Neue"/>
          <w:sz w:val="24"/>
          <w:szCs w:val="24"/>
          <w:lang w:eastAsia="zh-CN"/>
        </w:rPr>
        <w:t>State efforts to address socio-cultural and economic exclusion through legislation, policies, data gathering, and other means, for example:</w:t>
      </w:r>
    </w:p>
    <w:p w:rsidR="00555017" w:rsidRPr="00EE329B" w:rsidRDefault="00555017" w:rsidP="005550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/>
          <w:sz w:val="24"/>
          <w:szCs w:val="24"/>
          <w:lang w:eastAsia="zh-CN"/>
        </w:rPr>
      </w:pPr>
      <w:r w:rsidRPr="00EE329B">
        <w:rPr>
          <w:rFonts w:eastAsia="Helvetica Neue"/>
          <w:sz w:val="24"/>
          <w:szCs w:val="24"/>
          <w:lang w:eastAsia="zh-CN"/>
        </w:rPr>
        <w:t>Destitution and poverty</w:t>
      </w:r>
      <w:r>
        <w:rPr>
          <w:rFonts w:eastAsia="Helvetica Neue"/>
          <w:sz w:val="24"/>
          <w:szCs w:val="24"/>
          <w:lang w:eastAsia="zh-CN"/>
        </w:rPr>
        <w:t>;</w:t>
      </w:r>
    </w:p>
    <w:p w:rsidR="00555017" w:rsidRDefault="00555017" w:rsidP="005550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/>
          <w:sz w:val="24"/>
          <w:szCs w:val="24"/>
          <w:lang w:eastAsia="zh-CN"/>
        </w:rPr>
      </w:pPr>
      <w:r>
        <w:rPr>
          <w:rFonts w:eastAsia="Helvetica Neue"/>
          <w:sz w:val="24"/>
          <w:szCs w:val="24"/>
          <w:lang w:eastAsia="zh-CN"/>
        </w:rPr>
        <w:t>Current e</w:t>
      </w:r>
      <w:r w:rsidRPr="00EE329B">
        <w:rPr>
          <w:rFonts w:eastAsia="Helvetica Neue"/>
          <w:sz w:val="24"/>
          <w:szCs w:val="24"/>
          <w:lang w:eastAsia="zh-CN"/>
        </w:rPr>
        <w:t>fforts by States to address bullying and exclusion of LGBT people from education, including in education curricula teacher training</w:t>
      </w:r>
      <w:r>
        <w:rPr>
          <w:rFonts w:eastAsia="Helvetica Neue"/>
          <w:sz w:val="24"/>
          <w:szCs w:val="24"/>
          <w:lang w:eastAsia="zh-CN"/>
        </w:rPr>
        <w:t xml:space="preserve">, </w:t>
      </w:r>
      <w:r w:rsidRPr="00EE329B">
        <w:rPr>
          <w:rFonts w:eastAsia="Helvetica Neue"/>
          <w:sz w:val="24"/>
          <w:szCs w:val="24"/>
          <w:lang w:eastAsia="zh-CN"/>
        </w:rPr>
        <w:t xml:space="preserve">measures to promote continuing education or reinsertion in education settings and vocational training; </w:t>
      </w:r>
    </w:p>
    <w:p w:rsidR="00A95FAB" w:rsidRPr="00A95FAB" w:rsidRDefault="001D3627" w:rsidP="001D362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  <w:between w:val="nil"/>
        </w:pBdr>
        <w:spacing w:after="160"/>
        <w:jc w:val="both"/>
        <w:rPr>
          <w:rFonts w:ascii="Arial" w:eastAsia="Helvetica Neue" w:hAnsi="Arial" w:cs="Arial"/>
          <w:sz w:val="22"/>
          <w:szCs w:val="24"/>
          <w:lang w:eastAsia="zh-CN"/>
        </w:rPr>
      </w:pPr>
      <w:r>
        <w:rPr>
          <w:rFonts w:ascii="Arial" w:eastAsia="Helvetica Neue" w:hAnsi="Arial" w:cs="Arial"/>
          <w:sz w:val="22"/>
          <w:szCs w:val="24"/>
          <w:lang w:eastAsia="zh-CN"/>
        </w:rPr>
        <w:t xml:space="preserve">Comprehensive national policy </w:t>
      </w:r>
      <w:r w:rsidR="004263DF">
        <w:rPr>
          <w:rFonts w:ascii="Arial" w:eastAsia="Helvetica Neue" w:hAnsi="Arial" w:cs="Arial"/>
          <w:sz w:val="22"/>
          <w:szCs w:val="24"/>
          <w:lang w:eastAsia="zh-CN"/>
        </w:rPr>
        <w:t xml:space="preserve">approach, consisting of: anti-discrimination law applicable to education, action plan, inclusive national curricula, transgender recognition, data collection of bullying, support systems, information and guidelines, partnership with NGO’s and international commitment </w:t>
      </w:r>
      <w:r w:rsidR="004263DF" w:rsidRPr="004263DF">
        <w:rPr>
          <w:rFonts w:ascii="Arial" w:eastAsia="Helvetica Neue" w:hAnsi="Arial" w:cs="Arial"/>
          <w:sz w:val="18"/>
          <w:szCs w:val="24"/>
          <w:lang w:eastAsia="zh-CN"/>
        </w:rPr>
        <w:t>(source: LGBTI inclusive education index 2018 - IGLYO-Europe)</w:t>
      </w:r>
    </w:p>
    <w:p w:rsidR="00555017" w:rsidRPr="00EE329B" w:rsidRDefault="00555017" w:rsidP="005550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/>
          <w:sz w:val="24"/>
          <w:szCs w:val="24"/>
          <w:lang w:eastAsia="zh-CN"/>
        </w:rPr>
      </w:pPr>
      <w:r>
        <w:rPr>
          <w:rFonts w:eastAsia="Helvetica Neue"/>
          <w:sz w:val="24"/>
          <w:szCs w:val="24"/>
          <w:lang w:eastAsia="zh-CN"/>
        </w:rPr>
        <w:t>H</w:t>
      </w:r>
      <w:r w:rsidRPr="00EE329B">
        <w:rPr>
          <w:rFonts w:eastAsia="Helvetica Neue"/>
          <w:sz w:val="24"/>
          <w:szCs w:val="24"/>
          <w:lang w:eastAsia="zh-CN"/>
        </w:rPr>
        <w:t xml:space="preserve">omelessness among LGBT people, particularly youth, and inclusion in shelter programs;  </w:t>
      </w:r>
    </w:p>
    <w:p w:rsidR="004263DF" w:rsidRDefault="00555017" w:rsidP="004263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/>
          <w:sz w:val="24"/>
          <w:szCs w:val="24"/>
          <w:lang w:eastAsia="zh-CN"/>
        </w:rPr>
      </w:pPr>
      <w:r>
        <w:rPr>
          <w:rFonts w:eastAsia="Helvetica Neue"/>
          <w:sz w:val="24"/>
          <w:szCs w:val="24"/>
          <w:lang w:eastAsia="zh-CN"/>
        </w:rPr>
        <w:t>C</w:t>
      </w:r>
      <w:r w:rsidRPr="00EE329B">
        <w:rPr>
          <w:rFonts w:eastAsia="Helvetica Neue"/>
          <w:sz w:val="24"/>
          <w:szCs w:val="24"/>
          <w:lang w:eastAsia="zh-CN"/>
        </w:rPr>
        <w:t>overage by social security and benefits, as well as public and private health insurance (Taking into account survivor’s pensions for same-sex couples, insurance coverage for gender affirming care, social housing for LGBT youth and older persons etc.);</w:t>
      </w:r>
      <w:r>
        <w:rPr>
          <w:rFonts w:eastAsia="Helvetica Neue"/>
          <w:sz w:val="24"/>
          <w:szCs w:val="24"/>
          <w:lang w:eastAsia="zh-CN"/>
        </w:rPr>
        <w:t xml:space="preserve"> </w:t>
      </w:r>
    </w:p>
    <w:p w:rsidR="004263DF" w:rsidRPr="004263DF" w:rsidRDefault="004263DF" w:rsidP="004263D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  <w:between w:val="nil"/>
        </w:pBdr>
        <w:spacing w:after="160"/>
        <w:jc w:val="both"/>
        <w:rPr>
          <w:rFonts w:ascii="Arial" w:eastAsia="Helvetica Neue" w:hAnsi="Arial" w:cs="Arial"/>
          <w:sz w:val="22"/>
          <w:szCs w:val="24"/>
          <w:lang w:eastAsia="zh-CN"/>
        </w:rPr>
      </w:pPr>
      <w:r>
        <w:rPr>
          <w:rFonts w:ascii="Arial" w:eastAsia="Helvetica Neue" w:hAnsi="Arial" w:cs="Arial"/>
          <w:sz w:val="22"/>
          <w:szCs w:val="24"/>
          <w:lang w:eastAsia="zh-CN"/>
        </w:rPr>
        <w:t>Social security and benefits</w:t>
      </w:r>
      <w:r w:rsidR="00453F4C">
        <w:rPr>
          <w:rFonts w:ascii="Arial" w:eastAsia="Helvetica Neue" w:hAnsi="Arial" w:cs="Arial"/>
          <w:sz w:val="22"/>
          <w:szCs w:val="24"/>
          <w:lang w:eastAsia="zh-CN"/>
        </w:rPr>
        <w:t>, as well as public and private health insurance</w:t>
      </w:r>
      <w:r>
        <w:rPr>
          <w:rFonts w:ascii="Arial" w:eastAsia="Helvetica Neue" w:hAnsi="Arial" w:cs="Arial"/>
          <w:sz w:val="22"/>
          <w:szCs w:val="24"/>
          <w:lang w:eastAsia="zh-CN"/>
        </w:rPr>
        <w:t xml:space="preserve"> makes no difference on sexual orientation and gender identity</w:t>
      </w:r>
    </w:p>
    <w:p w:rsidR="004263DF" w:rsidRPr="004263DF" w:rsidRDefault="004263DF" w:rsidP="004263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/>
          <w:sz w:val="24"/>
          <w:szCs w:val="24"/>
          <w:lang w:eastAsia="zh-CN"/>
        </w:rPr>
      </w:pPr>
    </w:p>
    <w:p w:rsidR="00555017" w:rsidRDefault="00555017" w:rsidP="005550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Helvetica Neue"/>
          <w:sz w:val="24"/>
          <w:szCs w:val="24"/>
          <w:lang w:eastAsia="zh-CN"/>
        </w:rPr>
      </w:pPr>
      <w:r w:rsidRPr="00EE329B">
        <w:rPr>
          <w:rFonts w:eastAsia="Helvetica Neue"/>
          <w:sz w:val="24"/>
          <w:szCs w:val="24"/>
          <w:lang w:eastAsia="zh-CN"/>
        </w:rPr>
        <w:t>Equal access to health (including through training and sensitisation of health care personnel), regardless of sexual orientation, gender identity or expression;</w:t>
      </w:r>
    </w:p>
    <w:p w:rsidR="004263DF" w:rsidRPr="004263DF" w:rsidRDefault="00E46A71" w:rsidP="00E46A71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  <w:between w:val="nil"/>
        </w:pBdr>
        <w:spacing w:after="160"/>
        <w:jc w:val="both"/>
        <w:rPr>
          <w:rFonts w:ascii="Arial" w:eastAsia="Helvetica Neue" w:hAnsi="Arial" w:cs="Arial"/>
          <w:sz w:val="22"/>
          <w:szCs w:val="24"/>
          <w:lang w:eastAsia="zh-CN"/>
        </w:rPr>
      </w:pPr>
      <w:r>
        <w:rPr>
          <w:rFonts w:ascii="Arial" w:eastAsia="Helvetica Neue" w:hAnsi="Arial" w:cs="Arial"/>
          <w:sz w:val="22"/>
          <w:szCs w:val="24"/>
          <w:lang w:eastAsia="zh-CN"/>
        </w:rPr>
        <w:lastRenderedPageBreak/>
        <w:t>The capacity of health care provisions for transgender persons does - currently - not match the needed capacity. Measures are being taken to redress this capacity problem.</w:t>
      </w:r>
    </w:p>
    <w:p w:rsidR="00555017" w:rsidRPr="00EE329B" w:rsidRDefault="00555017" w:rsidP="0055501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Helvetica Neue"/>
          <w:sz w:val="24"/>
          <w:szCs w:val="24"/>
          <w:lang w:eastAsia="zh-CN"/>
        </w:rPr>
      </w:pPr>
    </w:p>
    <w:p w:rsidR="00555017" w:rsidRDefault="00555017" w:rsidP="0055501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Helvetica Neue"/>
          <w:sz w:val="24"/>
          <w:szCs w:val="24"/>
          <w:lang w:eastAsia="zh-CN"/>
        </w:rPr>
      </w:pPr>
      <w:r w:rsidRPr="00AC164A">
        <w:rPr>
          <w:rFonts w:eastAsia="Helvetica Neue"/>
          <w:sz w:val="24"/>
          <w:szCs w:val="24"/>
          <w:lang w:eastAsia="zh-CN"/>
        </w:rPr>
        <w:t>Complaints mechanisms available and accessible to LGBT people facing discrimination.</w:t>
      </w:r>
    </w:p>
    <w:p w:rsidR="00E46A71" w:rsidRPr="00E46A71" w:rsidRDefault="00E46A71" w:rsidP="00E46A71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  <w:between w:val="nil"/>
        </w:pBdr>
        <w:spacing w:after="160"/>
        <w:jc w:val="both"/>
        <w:rPr>
          <w:rFonts w:ascii="Arial" w:eastAsia="Helvetica Neue" w:hAnsi="Arial" w:cs="Arial"/>
          <w:sz w:val="22"/>
          <w:szCs w:val="24"/>
          <w:lang w:eastAsia="zh-CN"/>
        </w:rPr>
      </w:pPr>
      <w:r>
        <w:rPr>
          <w:rFonts w:ascii="Arial" w:eastAsia="Helvetica Neue" w:hAnsi="Arial" w:cs="Arial"/>
          <w:sz w:val="22"/>
          <w:szCs w:val="24"/>
          <w:lang w:eastAsia="zh-CN"/>
        </w:rPr>
        <w:t>A nationwide network of local antidiscrimination services has been put in place. Furthermore the</w:t>
      </w:r>
      <w:r w:rsidRPr="00E46A71">
        <w:rPr>
          <w:rFonts w:ascii="Arial" w:eastAsia="Helvetica Neue" w:hAnsi="Arial" w:cs="Arial"/>
          <w:sz w:val="22"/>
          <w:szCs w:val="24"/>
          <w:lang w:eastAsia="zh-CN"/>
        </w:rPr>
        <w:t xml:space="preserve"> Netherlands Institute for Human Rights</w:t>
      </w:r>
      <w:r w:rsidR="00453F4C">
        <w:rPr>
          <w:rFonts w:ascii="Arial" w:eastAsia="Helvetica Neue" w:hAnsi="Arial" w:cs="Arial"/>
          <w:sz w:val="22"/>
          <w:szCs w:val="24"/>
          <w:lang w:eastAsia="zh-CN"/>
        </w:rPr>
        <w:t xml:space="preserve"> (CRM)</w:t>
      </w:r>
      <w:r>
        <w:rPr>
          <w:rFonts w:ascii="Arial" w:eastAsia="Helvetica Neue" w:hAnsi="Arial" w:cs="Arial"/>
          <w:sz w:val="22"/>
          <w:szCs w:val="24"/>
          <w:lang w:eastAsia="zh-CN"/>
        </w:rPr>
        <w:t xml:space="preserve"> is accessible to LGBT people to make complaints.</w:t>
      </w:r>
    </w:p>
    <w:p w:rsidR="00555017" w:rsidRDefault="00555017" w:rsidP="0055501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Helvetica Neue"/>
          <w:sz w:val="24"/>
          <w:szCs w:val="24"/>
          <w:lang w:eastAsia="zh-CN"/>
        </w:rPr>
      </w:pPr>
      <w:r w:rsidRPr="00AC164A">
        <w:rPr>
          <w:rFonts w:eastAsia="Helvetica Neue"/>
          <w:sz w:val="24"/>
          <w:szCs w:val="24"/>
          <w:lang w:eastAsia="zh-CN"/>
        </w:rPr>
        <w:t>Actions to ensure socio-cultural and economic inclusion based on sexual orientation and gender identity in measures undertaken to ensure implementation of the Sustainable Development Goals at the national and regional levels.</w:t>
      </w:r>
    </w:p>
    <w:p w:rsidR="00F20453" w:rsidRPr="00F20453" w:rsidRDefault="00F20453" w:rsidP="00F2045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  <w:between w:val="nil"/>
        </w:pBdr>
        <w:spacing w:after="160"/>
        <w:jc w:val="both"/>
        <w:rPr>
          <w:rFonts w:ascii="Arial" w:eastAsia="Helvetica Neue" w:hAnsi="Arial" w:cs="Arial"/>
          <w:sz w:val="22"/>
          <w:szCs w:val="24"/>
          <w:lang w:eastAsia="zh-CN"/>
        </w:rPr>
      </w:pPr>
      <w:r w:rsidRPr="00F20453">
        <w:rPr>
          <w:rFonts w:ascii="Arial" w:eastAsia="Helvetica Neue" w:hAnsi="Arial" w:cs="Arial"/>
          <w:sz w:val="22"/>
          <w:szCs w:val="24"/>
          <w:lang w:eastAsia="zh-CN"/>
        </w:rPr>
        <w:t>A nation</w:t>
      </w:r>
      <w:r>
        <w:rPr>
          <w:rFonts w:ascii="Arial" w:eastAsia="Helvetica Neue" w:hAnsi="Arial" w:cs="Arial"/>
          <w:sz w:val="22"/>
          <w:szCs w:val="24"/>
          <w:lang w:eastAsia="zh-CN"/>
        </w:rPr>
        <w:t xml:space="preserve">al Gender &amp; LGBTI equality policy action plan 2018-2021 with policy measures related to SDG’s: 3, 4, 5, 8, 10, 11, 16 and 17. </w:t>
      </w:r>
    </w:p>
    <w:p w:rsidR="00555017" w:rsidRDefault="00555017" w:rsidP="0055501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Helvetica Neue"/>
          <w:sz w:val="24"/>
          <w:szCs w:val="24"/>
          <w:lang w:eastAsia="zh-CN"/>
        </w:rPr>
      </w:pPr>
      <w:r w:rsidRPr="00AC164A">
        <w:rPr>
          <w:rFonts w:eastAsia="Helvetica Neue"/>
          <w:sz w:val="24"/>
          <w:szCs w:val="24"/>
          <w:lang w:eastAsia="zh-CN"/>
        </w:rPr>
        <w:t>Actions taken to raise public awareness and sensitisation on issues of sexual orientation and gender identity, in order to promote the meaningful socio-cultural and economic inclusion of LGBT people.</w:t>
      </w:r>
    </w:p>
    <w:p w:rsidR="00F20453" w:rsidRPr="00F538A5" w:rsidRDefault="00F20453" w:rsidP="00F2045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  <w:between w:val="nil"/>
        </w:pBdr>
        <w:spacing w:after="160"/>
        <w:jc w:val="both"/>
        <w:rPr>
          <w:rFonts w:ascii="Arial" w:eastAsia="Helvetica Neue" w:hAnsi="Arial" w:cs="Arial"/>
          <w:szCs w:val="24"/>
          <w:lang w:eastAsia="zh-CN"/>
        </w:rPr>
      </w:pPr>
      <w:r w:rsidRPr="00F538A5">
        <w:rPr>
          <w:rFonts w:ascii="Arial" w:eastAsia="Helvetica Neue" w:hAnsi="Arial" w:cs="Arial"/>
          <w:szCs w:val="24"/>
          <w:lang w:eastAsia="zh-CN"/>
        </w:rPr>
        <w:t xml:space="preserve">See answer 5 </w:t>
      </w:r>
    </w:p>
    <w:p w:rsidR="00555017" w:rsidRDefault="00555017" w:rsidP="0055501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Helvetica Neue"/>
          <w:sz w:val="24"/>
          <w:szCs w:val="24"/>
          <w:lang w:eastAsia="zh-CN"/>
        </w:rPr>
      </w:pPr>
      <w:r w:rsidRPr="00AC164A">
        <w:rPr>
          <w:rFonts w:eastAsia="Helvetica Neue"/>
          <w:sz w:val="24"/>
          <w:szCs w:val="24"/>
          <w:lang w:eastAsia="zh-CN"/>
        </w:rPr>
        <w:t>Services provided by civil society to excluded and marginalised LGBT people.</w:t>
      </w:r>
    </w:p>
    <w:p w:rsidR="00F20453" w:rsidRPr="00F20453" w:rsidRDefault="00F20453" w:rsidP="00F20453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1" w:color="auto"/>
          <w:between w:val="nil"/>
        </w:pBdr>
        <w:spacing w:after="160"/>
        <w:jc w:val="both"/>
        <w:rPr>
          <w:rFonts w:ascii="Arial" w:eastAsia="Helvetica Neue" w:hAnsi="Arial" w:cs="Arial"/>
          <w:sz w:val="22"/>
          <w:szCs w:val="24"/>
          <w:lang w:eastAsia="zh-CN"/>
        </w:rPr>
      </w:pPr>
      <w:r>
        <w:rPr>
          <w:rFonts w:ascii="Arial" w:eastAsia="Helvetica Neue" w:hAnsi="Arial" w:cs="Arial"/>
          <w:sz w:val="22"/>
          <w:szCs w:val="24"/>
          <w:lang w:eastAsia="zh-CN"/>
        </w:rPr>
        <w:t xml:space="preserve">More than 20 regional (all volunteer) peer-to-peer support and capacity building branches of the national LGBTI advocacy organisation COC Netherlands. </w:t>
      </w:r>
    </w:p>
    <w:p w:rsidR="000241F9" w:rsidRDefault="000241F9"/>
    <w:p w:rsidR="00F20453" w:rsidRDefault="00F20453"/>
    <w:p w:rsidR="00F20453" w:rsidRDefault="00F20453"/>
    <w:p w:rsidR="00F20453" w:rsidRDefault="00F20453"/>
    <w:p w:rsidR="00235EA0" w:rsidRPr="00F538A5" w:rsidRDefault="00F538A5">
      <w:pPr>
        <w:rPr>
          <w:lang w:val="fr-FR"/>
        </w:rPr>
      </w:pPr>
      <w:r w:rsidRPr="00F538A5">
        <w:rPr>
          <w:lang w:val="fr-FR"/>
        </w:rPr>
        <w:t>Homo-</w:t>
      </w:r>
      <w:proofErr w:type="spellStart"/>
      <w:r w:rsidRPr="00F538A5">
        <w:rPr>
          <w:lang w:val="fr-FR"/>
        </w:rPr>
        <w:t>ec</w:t>
      </w:r>
      <w:proofErr w:type="spellEnd"/>
      <w:r w:rsidRPr="00F538A5">
        <w:rPr>
          <w:lang w:val="fr-FR"/>
        </w:rPr>
        <w:t>/</w:t>
      </w:r>
      <w:proofErr w:type="spellStart"/>
      <w:r w:rsidRPr="00F538A5">
        <w:rPr>
          <w:lang w:val="fr-FR"/>
        </w:rPr>
        <w:t>internationaal</w:t>
      </w:r>
      <w:proofErr w:type="spellEnd"/>
      <w:r w:rsidRPr="00F538A5">
        <w:rPr>
          <w:lang w:val="fr-FR"/>
        </w:rPr>
        <w:t>/VN/</w:t>
      </w:r>
      <w:r w:rsidR="00235EA0" w:rsidRPr="00F538A5">
        <w:rPr>
          <w:lang w:val="fr-FR"/>
        </w:rPr>
        <w:t xml:space="preserve">190522reply </w:t>
      </w:r>
      <w:r w:rsidRPr="00F538A5">
        <w:rPr>
          <w:lang w:val="fr-FR"/>
        </w:rPr>
        <w:t>NL questions</w:t>
      </w:r>
      <w:r w:rsidR="00235EA0" w:rsidRPr="00F538A5">
        <w:rPr>
          <w:lang w:val="fr-FR"/>
        </w:rPr>
        <w:t xml:space="preserve"> UN </w:t>
      </w:r>
      <w:r w:rsidRPr="00F538A5">
        <w:rPr>
          <w:lang w:val="fr-FR"/>
        </w:rPr>
        <w:t xml:space="preserve">IE </w:t>
      </w:r>
      <w:r w:rsidR="00235EA0" w:rsidRPr="00F538A5">
        <w:rPr>
          <w:lang w:val="fr-FR"/>
        </w:rPr>
        <w:t>SOGI</w:t>
      </w:r>
    </w:p>
    <w:sectPr w:rsidR="00235EA0" w:rsidRPr="00F53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Malgun Gothic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401A"/>
    <w:multiLevelType w:val="hybridMultilevel"/>
    <w:tmpl w:val="DDA20E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E2AC4"/>
    <w:multiLevelType w:val="hybridMultilevel"/>
    <w:tmpl w:val="3326AD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CE5CEA"/>
    <w:multiLevelType w:val="hybridMultilevel"/>
    <w:tmpl w:val="72A0D1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17"/>
    <w:rsid w:val="000241F9"/>
    <w:rsid w:val="001D3627"/>
    <w:rsid w:val="00235EA0"/>
    <w:rsid w:val="004263DF"/>
    <w:rsid w:val="00453F4C"/>
    <w:rsid w:val="00555017"/>
    <w:rsid w:val="006C23C0"/>
    <w:rsid w:val="00A95FAB"/>
    <w:rsid w:val="00C95662"/>
    <w:rsid w:val="00E46A71"/>
    <w:rsid w:val="00F20453"/>
    <w:rsid w:val="00F5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B75EC-B1B0-4CEA-BAE4-10BFF89C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0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121249-C07A-43E7-9ED2-E42D5F0155DF}"/>
</file>

<file path=customXml/itemProps2.xml><?xml version="1.0" encoding="utf-8"?>
<ds:datastoreItem xmlns:ds="http://schemas.openxmlformats.org/officeDocument/2006/customXml" ds:itemID="{BC359ACC-B671-4608-8547-A2E7F8F0DB85}"/>
</file>

<file path=customXml/itemProps3.xml><?xml version="1.0" encoding="utf-8"?>
<ds:datastoreItem xmlns:ds="http://schemas.openxmlformats.org/officeDocument/2006/customXml" ds:itemID="{E3326453-351F-44D0-9A44-74D3D7C13110}"/>
</file>

<file path=docProps/app.xml><?xml version="1.0" encoding="utf-8"?>
<Properties xmlns="http://schemas.openxmlformats.org/officeDocument/2006/extended-properties" xmlns:vt="http://schemas.openxmlformats.org/officeDocument/2006/docPropsVTypes">
  <Template>F962E026</Template>
  <TotalTime>0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OCW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Baks, Ben</dc:creator>
  <cp:lastModifiedBy>Reichwein, Mark</cp:lastModifiedBy>
  <cp:revision>2</cp:revision>
  <cp:lastPrinted>2019-05-22T11:32:00Z</cp:lastPrinted>
  <dcterms:created xsi:type="dcterms:W3CDTF">2019-05-24T11:08:00Z</dcterms:created>
  <dcterms:modified xsi:type="dcterms:W3CDTF">2019-05-24T11:08:00Z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