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2F26E" w14:textId="0DA339E9" w:rsidR="008543A6" w:rsidRPr="0093332C" w:rsidRDefault="008543A6" w:rsidP="0093332C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3332C">
        <w:rPr>
          <w:rFonts w:cstheme="minorHAnsi"/>
          <w:noProof/>
          <w:sz w:val="24"/>
          <w:szCs w:val="24"/>
        </w:rPr>
        <w:drawing>
          <wp:inline distT="0" distB="0" distL="0" distR="0" wp14:anchorId="49F15405" wp14:editId="4A311C62">
            <wp:extent cx="759998" cy="752122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36" cy="80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B453C" w14:textId="5ADABC00" w:rsidR="00092553" w:rsidRPr="0093332C" w:rsidRDefault="008543A6" w:rsidP="0093332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3332C">
        <w:rPr>
          <w:rFonts w:cstheme="minorHAnsi"/>
          <w:b/>
          <w:sz w:val="24"/>
          <w:szCs w:val="24"/>
        </w:rPr>
        <w:t>MINISTÉRIO DA MULHER, DA FAMÍLIA E DOS DIREITOS HUMANOS</w:t>
      </w:r>
    </w:p>
    <w:p w14:paraId="16283CE1" w14:textId="20B45377" w:rsidR="008543A6" w:rsidRPr="0093332C" w:rsidRDefault="008543A6" w:rsidP="0093332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40F2B9E6" w14:textId="0C8071CC" w:rsidR="00BE2F8E" w:rsidRPr="0093332C" w:rsidRDefault="00BE2F8E" w:rsidP="0093332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A93209B" w14:textId="0956B3ED" w:rsidR="00BE2F8E" w:rsidRPr="0093332C" w:rsidRDefault="00BE2F8E" w:rsidP="0093332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E4147DD" w14:textId="7A3AD4CE" w:rsidR="00BE2F8E" w:rsidRPr="0093332C" w:rsidRDefault="00BE2F8E" w:rsidP="0093332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2C575E62" w14:textId="2ECC9212" w:rsidR="00BE2F8E" w:rsidRPr="0093332C" w:rsidRDefault="00BE2F8E" w:rsidP="0093332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499494A4" w14:textId="64172CEB" w:rsidR="00BE2F8E" w:rsidRPr="0093332C" w:rsidRDefault="00BE2F8E" w:rsidP="0093332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8232F4D" w14:textId="28DA8773" w:rsidR="00BE2F8E" w:rsidRPr="0093332C" w:rsidRDefault="00BE2F8E" w:rsidP="0093332C">
      <w:pPr>
        <w:spacing w:after="0" w:line="360" w:lineRule="auto"/>
        <w:ind w:left="708" w:hanging="708"/>
        <w:jc w:val="center"/>
        <w:rPr>
          <w:rFonts w:cstheme="minorHAnsi"/>
          <w:b/>
          <w:sz w:val="24"/>
          <w:szCs w:val="24"/>
        </w:rPr>
      </w:pPr>
    </w:p>
    <w:p w14:paraId="628AFE86" w14:textId="64D7D395" w:rsidR="00BE2F8E" w:rsidRPr="0093332C" w:rsidRDefault="004C4BE6" w:rsidP="0093332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3332C">
        <w:rPr>
          <w:rFonts w:cstheme="minorHAnsi"/>
          <w:b/>
          <w:sz w:val="24"/>
          <w:szCs w:val="24"/>
        </w:rPr>
        <w:t>ORGANIZ</w:t>
      </w:r>
      <w:r w:rsidR="009549EA" w:rsidRPr="0093332C">
        <w:rPr>
          <w:rFonts w:cstheme="minorHAnsi"/>
          <w:b/>
          <w:sz w:val="24"/>
          <w:szCs w:val="24"/>
        </w:rPr>
        <w:t>AÇÃO DAS NAÇÕES UNIDAS</w:t>
      </w:r>
    </w:p>
    <w:p w14:paraId="4C78E9BA" w14:textId="036D26D2" w:rsidR="009549EA" w:rsidRPr="0093332C" w:rsidRDefault="009549EA" w:rsidP="0093332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3332C">
        <w:rPr>
          <w:rFonts w:cstheme="minorHAnsi"/>
          <w:b/>
          <w:sz w:val="24"/>
          <w:szCs w:val="24"/>
        </w:rPr>
        <w:t xml:space="preserve">RELATOR ESPECIAL DAS NAÇÕES UNIDAS </w:t>
      </w:r>
      <w:r w:rsidRPr="0093332C">
        <w:rPr>
          <w:rFonts w:cstheme="minorHAnsi"/>
          <w:b/>
          <w:bCs/>
          <w:color w:val="000000"/>
          <w:sz w:val="24"/>
          <w:szCs w:val="24"/>
        </w:rPr>
        <w:t>SOBRE </w:t>
      </w:r>
      <w:r w:rsidR="00366DBB" w:rsidRPr="0093332C">
        <w:rPr>
          <w:rFonts w:cstheme="minorHAnsi"/>
          <w:b/>
          <w:bCs/>
          <w:color w:val="000000"/>
          <w:sz w:val="24"/>
          <w:szCs w:val="24"/>
        </w:rPr>
        <w:t>RESÍDUOS TÓXICOS</w:t>
      </w:r>
    </w:p>
    <w:p w14:paraId="2775A7E8" w14:textId="61B867AC" w:rsidR="00BE2F8E" w:rsidRPr="0093332C" w:rsidRDefault="00366DBB" w:rsidP="0093332C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3332C">
        <w:rPr>
          <w:rFonts w:cstheme="minorHAnsi"/>
          <w:b/>
          <w:bCs/>
          <w:color w:val="000000"/>
          <w:sz w:val="24"/>
          <w:szCs w:val="24"/>
        </w:rPr>
        <w:t>Visita ao Brasil (2019)</w:t>
      </w:r>
    </w:p>
    <w:p w14:paraId="76293F7D" w14:textId="77777777" w:rsidR="00BE2F8E" w:rsidRPr="0093332C" w:rsidRDefault="00BE2F8E" w:rsidP="0093332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79892974" w14:textId="39A3CE80" w:rsidR="00BE2F8E" w:rsidRPr="0093332C" w:rsidRDefault="00BE2F8E" w:rsidP="0093332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C35E8FA" w14:textId="1B37AEEA" w:rsidR="00BE2F8E" w:rsidRPr="0093332C" w:rsidRDefault="00BE2F8E" w:rsidP="0093332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23E16A8" w14:textId="62F80817" w:rsidR="00BE2F8E" w:rsidRPr="0093332C" w:rsidRDefault="00BE2F8E" w:rsidP="0093332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05B4B1F" w14:textId="295DCC44" w:rsidR="00BE2F8E" w:rsidRPr="0093332C" w:rsidRDefault="00BE2F8E" w:rsidP="0093332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E7204AE" w14:textId="472A2EA0" w:rsidR="00BE2F8E" w:rsidRPr="0093332C" w:rsidRDefault="00BE2F8E" w:rsidP="0093332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84B786E" w14:textId="4257F8AA" w:rsidR="00BE2F8E" w:rsidRPr="0093332C" w:rsidRDefault="00BE2F8E" w:rsidP="0093332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3EB7064" w14:textId="3A4395FA" w:rsidR="00BE2F8E" w:rsidRPr="0093332C" w:rsidRDefault="00BE2F8E" w:rsidP="0093332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DDD7601" w14:textId="4404EA91" w:rsidR="00BE2F8E" w:rsidRPr="0093332C" w:rsidRDefault="00BE2F8E" w:rsidP="0093332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BA78D3A" w14:textId="35E1A7AA" w:rsidR="00BE2F8E" w:rsidRPr="0093332C" w:rsidRDefault="00BE2F8E" w:rsidP="0093332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CE9E413" w14:textId="23DF730A" w:rsidR="00BE2F8E" w:rsidRPr="0093332C" w:rsidRDefault="00BE2F8E" w:rsidP="0093332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E4CFAB5" w14:textId="77777777" w:rsidR="00BE2F8E" w:rsidRPr="0093332C" w:rsidRDefault="00BE2F8E" w:rsidP="0093332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7C81E06" w14:textId="67741323" w:rsidR="00BE2F8E" w:rsidRPr="0093332C" w:rsidRDefault="00366DBB" w:rsidP="0093332C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3332C">
        <w:rPr>
          <w:rFonts w:cstheme="minorHAnsi"/>
          <w:sz w:val="24"/>
          <w:szCs w:val="24"/>
        </w:rPr>
        <w:t>Agosto</w:t>
      </w:r>
      <w:r w:rsidR="00B24660" w:rsidRPr="0093332C">
        <w:rPr>
          <w:rFonts w:cstheme="minorHAnsi"/>
          <w:sz w:val="24"/>
          <w:szCs w:val="24"/>
        </w:rPr>
        <w:t xml:space="preserve"> de 2020</w:t>
      </w:r>
    </w:p>
    <w:p w14:paraId="12D69B48" w14:textId="30F3BC0E" w:rsidR="00BE2F8E" w:rsidRPr="0093332C" w:rsidRDefault="00BE2F8E" w:rsidP="0093332C">
      <w:pPr>
        <w:pStyle w:val="CabealhodoSumrio"/>
        <w:spacing w:before="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56B620C" w14:textId="439D2ED1" w:rsidR="00BE2F8E" w:rsidRPr="0093332C" w:rsidRDefault="00BE2F8E" w:rsidP="0093332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2EE7780" w14:textId="216B51A7" w:rsidR="00893058" w:rsidRDefault="00893058" w:rsidP="00893058">
      <w:pPr>
        <w:pStyle w:val="PargrafodaLista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738DFB8C" w14:textId="491435EA" w:rsidR="00893058" w:rsidRPr="00893058" w:rsidRDefault="00893058" w:rsidP="00893058">
      <w:pPr>
        <w:pStyle w:val="PargrafodaLista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40D9DF0" w14:textId="77777777" w:rsidR="00893058" w:rsidRPr="00893058" w:rsidRDefault="00893058" w:rsidP="00893058">
      <w:pPr>
        <w:pStyle w:val="PargrafodaLista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7E4D90B2" w14:textId="4FAD567B" w:rsidR="006842A5" w:rsidRPr="00B021B1" w:rsidRDefault="00AD6310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lastRenderedPageBreak/>
        <w:t xml:space="preserve">Trata-se de manifestação do </w:t>
      </w:r>
      <w:r w:rsidR="00B021B1">
        <w:rPr>
          <w:rFonts w:ascii="Times New Roman" w:hAnsi="Times New Roman" w:cs="Times New Roman"/>
          <w:sz w:val="24"/>
          <w:szCs w:val="24"/>
        </w:rPr>
        <w:t>e</w:t>
      </w:r>
      <w:r w:rsidR="000B0BD0" w:rsidRPr="00B021B1">
        <w:rPr>
          <w:rFonts w:ascii="Times New Roman" w:hAnsi="Times New Roman" w:cs="Times New Roman"/>
          <w:sz w:val="24"/>
          <w:szCs w:val="24"/>
        </w:rPr>
        <w:t xml:space="preserve">stado brasileiro </w:t>
      </w:r>
      <w:r w:rsidR="002A19E9" w:rsidRPr="00B021B1">
        <w:rPr>
          <w:rFonts w:ascii="Times New Roman" w:hAnsi="Times New Roman" w:cs="Times New Roman"/>
          <w:sz w:val="24"/>
          <w:szCs w:val="24"/>
        </w:rPr>
        <w:t xml:space="preserve">à </w:t>
      </w:r>
      <w:r w:rsidR="00366DBB" w:rsidRPr="00B021B1">
        <w:rPr>
          <w:rFonts w:ascii="Times New Roman" w:hAnsi="Times New Roman" w:cs="Times New Roman"/>
          <w:sz w:val="24"/>
          <w:szCs w:val="24"/>
        </w:rPr>
        <w:t>versão preliminar d</w:t>
      </w:r>
      <w:r w:rsidR="00B021B1">
        <w:rPr>
          <w:rFonts w:ascii="Times New Roman" w:hAnsi="Times New Roman" w:cs="Times New Roman"/>
          <w:sz w:val="24"/>
          <w:szCs w:val="24"/>
        </w:rPr>
        <w:t>o</w:t>
      </w:r>
      <w:r w:rsidR="00366DBB" w:rsidRPr="00B021B1">
        <w:rPr>
          <w:rFonts w:ascii="Times New Roman" w:hAnsi="Times New Roman" w:cs="Times New Roman"/>
          <w:sz w:val="24"/>
          <w:szCs w:val="24"/>
        </w:rPr>
        <w:t xml:space="preserve"> relatório sobre </w:t>
      </w:r>
      <w:r w:rsidR="00B021B1">
        <w:rPr>
          <w:rFonts w:ascii="Times New Roman" w:hAnsi="Times New Roman" w:cs="Times New Roman"/>
          <w:sz w:val="24"/>
          <w:szCs w:val="24"/>
        </w:rPr>
        <w:t xml:space="preserve">a </w:t>
      </w:r>
      <w:r w:rsidR="00366DBB" w:rsidRPr="00B021B1">
        <w:rPr>
          <w:rFonts w:ascii="Times New Roman" w:hAnsi="Times New Roman" w:cs="Times New Roman"/>
          <w:sz w:val="24"/>
          <w:szCs w:val="24"/>
        </w:rPr>
        <w:t xml:space="preserve">visita ao Brasil do Relator Especial da Organização das Nações Unidas sobre Resíduos e Substâncias Tóxicas, </w:t>
      </w:r>
      <w:proofErr w:type="spellStart"/>
      <w:r w:rsidR="00366DBB" w:rsidRPr="00B021B1">
        <w:rPr>
          <w:rFonts w:ascii="Times New Roman" w:hAnsi="Times New Roman" w:cs="Times New Roman"/>
          <w:sz w:val="24"/>
          <w:szCs w:val="24"/>
        </w:rPr>
        <w:t>Baskut</w:t>
      </w:r>
      <w:proofErr w:type="spellEnd"/>
      <w:r w:rsidR="00366DBB" w:rsidRPr="00B0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DBB" w:rsidRPr="00B021B1">
        <w:rPr>
          <w:rFonts w:ascii="Times New Roman" w:hAnsi="Times New Roman" w:cs="Times New Roman"/>
          <w:sz w:val="24"/>
          <w:szCs w:val="24"/>
        </w:rPr>
        <w:t>Tuncak</w:t>
      </w:r>
      <w:proofErr w:type="spellEnd"/>
      <w:r w:rsidR="00366DBB" w:rsidRPr="00B021B1">
        <w:rPr>
          <w:rFonts w:ascii="Times New Roman" w:hAnsi="Times New Roman" w:cs="Times New Roman"/>
          <w:sz w:val="24"/>
          <w:szCs w:val="24"/>
        </w:rPr>
        <w:t>, realizada em dezembro de 2019</w:t>
      </w:r>
      <w:r w:rsidR="00893058" w:rsidRPr="00B021B1">
        <w:rPr>
          <w:rFonts w:ascii="Times New Roman" w:hAnsi="Times New Roman" w:cs="Times New Roman"/>
          <w:sz w:val="24"/>
          <w:szCs w:val="24"/>
        </w:rPr>
        <w:t xml:space="preserve">, </w:t>
      </w:r>
      <w:r w:rsidR="00B021B1">
        <w:rPr>
          <w:rFonts w:ascii="Times New Roman" w:hAnsi="Times New Roman" w:cs="Times New Roman"/>
          <w:sz w:val="24"/>
          <w:szCs w:val="24"/>
        </w:rPr>
        <w:t>com base em</w:t>
      </w:r>
      <w:r w:rsidR="00893058" w:rsidRPr="00B021B1">
        <w:rPr>
          <w:rFonts w:ascii="Times New Roman" w:hAnsi="Times New Roman" w:cs="Times New Roman"/>
          <w:sz w:val="24"/>
          <w:szCs w:val="24"/>
        </w:rPr>
        <w:t xml:space="preserve"> comentários </w:t>
      </w:r>
      <w:r w:rsidR="00B021B1">
        <w:rPr>
          <w:rFonts w:ascii="Times New Roman" w:hAnsi="Times New Roman" w:cs="Times New Roman"/>
          <w:sz w:val="24"/>
          <w:szCs w:val="24"/>
        </w:rPr>
        <w:t>da</w:t>
      </w:r>
      <w:r w:rsidR="00490410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A46309" w:rsidRPr="00B021B1">
        <w:rPr>
          <w:rFonts w:ascii="Times New Roman" w:hAnsi="Times New Roman" w:cs="Times New Roman"/>
          <w:sz w:val="24"/>
          <w:szCs w:val="24"/>
        </w:rPr>
        <w:t>Agência Nacional de Vigilância Sanitária (</w:t>
      </w:r>
      <w:r w:rsidR="00490410" w:rsidRPr="00B021B1">
        <w:rPr>
          <w:rFonts w:ascii="Times New Roman" w:hAnsi="Times New Roman" w:cs="Times New Roman"/>
          <w:sz w:val="24"/>
          <w:szCs w:val="24"/>
        </w:rPr>
        <w:t>A</w:t>
      </w:r>
      <w:r w:rsidR="00A46309" w:rsidRPr="00B021B1">
        <w:rPr>
          <w:rFonts w:ascii="Times New Roman" w:hAnsi="Times New Roman" w:cs="Times New Roman"/>
          <w:sz w:val="24"/>
          <w:szCs w:val="24"/>
        </w:rPr>
        <w:t>n</w:t>
      </w:r>
      <w:r w:rsidR="00490410" w:rsidRPr="00B021B1">
        <w:rPr>
          <w:rFonts w:ascii="Times New Roman" w:hAnsi="Times New Roman" w:cs="Times New Roman"/>
          <w:sz w:val="24"/>
          <w:szCs w:val="24"/>
        </w:rPr>
        <w:t>visa</w:t>
      </w:r>
      <w:r w:rsidR="00A46309" w:rsidRPr="00B021B1">
        <w:rPr>
          <w:rFonts w:ascii="Times New Roman" w:hAnsi="Times New Roman" w:cs="Times New Roman"/>
          <w:sz w:val="24"/>
          <w:szCs w:val="24"/>
        </w:rPr>
        <w:t>)</w:t>
      </w:r>
      <w:r w:rsidR="00490410" w:rsidRPr="00B021B1">
        <w:rPr>
          <w:rFonts w:ascii="Times New Roman" w:hAnsi="Times New Roman" w:cs="Times New Roman"/>
          <w:sz w:val="24"/>
          <w:szCs w:val="24"/>
        </w:rPr>
        <w:t xml:space="preserve">, </w:t>
      </w:r>
      <w:r w:rsidR="00B021B1">
        <w:rPr>
          <w:rFonts w:ascii="Times New Roman" w:hAnsi="Times New Roman" w:cs="Times New Roman"/>
          <w:sz w:val="24"/>
          <w:szCs w:val="24"/>
        </w:rPr>
        <w:t>do</w:t>
      </w:r>
      <w:r w:rsidR="00B32044" w:rsidRPr="00B021B1">
        <w:rPr>
          <w:rFonts w:ascii="Times New Roman" w:hAnsi="Times New Roman" w:cs="Times New Roman"/>
          <w:sz w:val="24"/>
          <w:szCs w:val="24"/>
        </w:rPr>
        <w:t xml:space="preserve"> Instituto Brasileiro do Meio Ambiente e dos Recursos Naturais Renováveis</w:t>
      </w:r>
      <w:r w:rsidR="00490410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B32044" w:rsidRPr="00B021B1">
        <w:rPr>
          <w:rFonts w:ascii="Times New Roman" w:hAnsi="Times New Roman" w:cs="Times New Roman"/>
          <w:sz w:val="24"/>
          <w:szCs w:val="24"/>
        </w:rPr>
        <w:t>(</w:t>
      </w:r>
      <w:r w:rsidR="00490410" w:rsidRPr="00B021B1">
        <w:rPr>
          <w:rFonts w:ascii="Times New Roman" w:hAnsi="Times New Roman" w:cs="Times New Roman"/>
          <w:sz w:val="24"/>
          <w:szCs w:val="24"/>
        </w:rPr>
        <w:t>IBAMA</w:t>
      </w:r>
      <w:r w:rsidR="00B32044" w:rsidRPr="00B021B1">
        <w:rPr>
          <w:rFonts w:ascii="Times New Roman" w:hAnsi="Times New Roman" w:cs="Times New Roman"/>
          <w:sz w:val="24"/>
          <w:szCs w:val="24"/>
        </w:rPr>
        <w:t>)</w:t>
      </w:r>
      <w:r w:rsidR="00490410" w:rsidRPr="00B021B1">
        <w:rPr>
          <w:rFonts w:ascii="Times New Roman" w:hAnsi="Times New Roman" w:cs="Times New Roman"/>
          <w:sz w:val="24"/>
          <w:szCs w:val="24"/>
        </w:rPr>
        <w:t xml:space="preserve">, </w:t>
      </w:r>
      <w:r w:rsidR="00B021B1">
        <w:rPr>
          <w:rFonts w:ascii="Times New Roman" w:hAnsi="Times New Roman" w:cs="Times New Roman"/>
          <w:sz w:val="24"/>
          <w:szCs w:val="24"/>
        </w:rPr>
        <w:t>do</w:t>
      </w:r>
      <w:r w:rsidR="00A46309" w:rsidRPr="00B021B1">
        <w:rPr>
          <w:rFonts w:ascii="Times New Roman" w:hAnsi="Times New Roman" w:cs="Times New Roman"/>
          <w:sz w:val="24"/>
          <w:szCs w:val="24"/>
        </w:rPr>
        <w:t xml:space="preserve"> Ministério da Saúde</w:t>
      </w:r>
      <w:r w:rsidR="00B32044" w:rsidRPr="00B021B1">
        <w:rPr>
          <w:rFonts w:ascii="Times New Roman" w:hAnsi="Times New Roman" w:cs="Times New Roman"/>
          <w:sz w:val="24"/>
          <w:szCs w:val="24"/>
        </w:rPr>
        <w:t xml:space="preserve"> (MS)</w:t>
      </w:r>
      <w:r w:rsidR="00A46309" w:rsidRPr="00B021B1">
        <w:rPr>
          <w:rFonts w:ascii="Times New Roman" w:hAnsi="Times New Roman" w:cs="Times New Roman"/>
          <w:sz w:val="24"/>
          <w:szCs w:val="24"/>
        </w:rPr>
        <w:t xml:space="preserve"> e </w:t>
      </w:r>
      <w:r w:rsidR="00B021B1">
        <w:rPr>
          <w:rFonts w:ascii="Times New Roman" w:hAnsi="Times New Roman" w:cs="Times New Roman"/>
          <w:sz w:val="24"/>
          <w:szCs w:val="24"/>
        </w:rPr>
        <w:t>do</w:t>
      </w:r>
      <w:r w:rsidR="00490410" w:rsidRPr="00B021B1">
        <w:rPr>
          <w:rFonts w:ascii="Times New Roman" w:hAnsi="Times New Roman" w:cs="Times New Roman"/>
          <w:sz w:val="24"/>
          <w:szCs w:val="24"/>
        </w:rPr>
        <w:t xml:space="preserve"> Ministério da Justiça e Segurança Pública</w:t>
      </w:r>
      <w:r w:rsidR="00B32044" w:rsidRPr="00B021B1">
        <w:rPr>
          <w:rFonts w:ascii="Times New Roman" w:hAnsi="Times New Roman" w:cs="Times New Roman"/>
          <w:sz w:val="24"/>
          <w:szCs w:val="24"/>
        </w:rPr>
        <w:t xml:space="preserve"> (MJSP)</w:t>
      </w:r>
      <w:r w:rsidR="00A46309" w:rsidRPr="00B021B1">
        <w:rPr>
          <w:rFonts w:ascii="Times New Roman" w:hAnsi="Times New Roman" w:cs="Times New Roman"/>
          <w:sz w:val="24"/>
          <w:szCs w:val="24"/>
        </w:rPr>
        <w:t>.</w:t>
      </w:r>
    </w:p>
    <w:p w14:paraId="6D8AE09F" w14:textId="77777777" w:rsidR="00893058" w:rsidRPr="00B021B1" w:rsidRDefault="00893058" w:rsidP="00893058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94561" w14:textId="4EA77FA2" w:rsidR="008E44A5" w:rsidRPr="00B021B1" w:rsidRDefault="008E44A5" w:rsidP="008E44A5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>Duties and responsibilities to protect life and prevent exposure</w:t>
      </w:r>
    </w:p>
    <w:p w14:paraId="0AD839BB" w14:textId="37C3AF2F" w:rsidR="006838EB" w:rsidRPr="00B021B1" w:rsidRDefault="006838EB" w:rsidP="006838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21B1">
        <w:rPr>
          <w:rFonts w:ascii="Times New Roman" w:hAnsi="Times New Roman" w:cs="Times New Roman"/>
          <w:sz w:val="24"/>
          <w:szCs w:val="24"/>
          <w:lang w:val="en-US"/>
        </w:rPr>
        <w:t>(Pesticides, Forest Fires and Industrial Chemicals)</w:t>
      </w:r>
    </w:p>
    <w:p w14:paraId="24D4276D" w14:textId="77777777" w:rsidR="008E44A5" w:rsidRPr="00B021B1" w:rsidRDefault="008E44A5" w:rsidP="008E44A5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8AF1BD" w14:textId="6DDCDB6E" w:rsidR="00590FBA" w:rsidRPr="00B021B1" w:rsidRDefault="00590FBA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Inicialmente, cabe </w:t>
      </w:r>
      <w:r w:rsidR="006813CA">
        <w:rPr>
          <w:rFonts w:ascii="Times New Roman" w:hAnsi="Times New Roman" w:cs="Times New Roman"/>
          <w:sz w:val="24"/>
          <w:szCs w:val="24"/>
        </w:rPr>
        <w:t>apresentar informações</w:t>
      </w:r>
      <w:r w:rsidR="006813CA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Pr="00B021B1">
        <w:rPr>
          <w:rFonts w:ascii="Times New Roman" w:hAnsi="Times New Roman" w:cs="Times New Roman"/>
          <w:sz w:val="24"/>
          <w:szCs w:val="24"/>
        </w:rPr>
        <w:t xml:space="preserve">sobre a </w:t>
      </w:r>
      <w:r w:rsidRPr="00B021B1">
        <w:rPr>
          <w:rFonts w:ascii="Times New Roman" w:hAnsi="Times New Roman" w:cs="Times New Roman"/>
          <w:b/>
          <w:bCs/>
          <w:sz w:val="24"/>
          <w:szCs w:val="24"/>
        </w:rPr>
        <w:t>regulação de agrotóxicos</w:t>
      </w:r>
      <w:r w:rsidRPr="00B021B1">
        <w:rPr>
          <w:rFonts w:ascii="Times New Roman" w:hAnsi="Times New Roman" w:cs="Times New Roman"/>
          <w:sz w:val="24"/>
          <w:szCs w:val="24"/>
        </w:rPr>
        <w:t xml:space="preserve"> no Brasil. </w:t>
      </w:r>
      <w:r w:rsidR="00F83D21" w:rsidRPr="00B021B1">
        <w:rPr>
          <w:rFonts w:ascii="Times New Roman" w:hAnsi="Times New Roman" w:cs="Times New Roman"/>
          <w:sz w:val="24"/>
          <w:szCs w:val="24"/>
        </w:rPr>
        <w:t>De acordo com a Lei nº 7.802, de 11 de julho de 1989, o processo regulatório de produtos agrotóxicos é um ato complexo que envolve o Ministério da Agricultura, Pecuária e Abastecimento (MAPA), o Ministério do Meio Ambiente</w:t>
      </w:r>
      <w:r w:rsidR="006813CA">
        <w:rPr>
          <w:rFonts w:ascii="Times New Roman" w:hAnsi="Times New Roman" w:cs="Times New Roman"/>
          <w:sz w:val="24"/>
          <w:szCs w:val="24"/>
        </w:rPr>
        <w:t xml:space="preserve"> (MMA)</w:t>
      </w:r>
      <w:r w:rsidR="00F83D21" w:rsidRPr="00B021B1">
        <w:rPr>
          <w:rFonts w:ascii="Times New Roman" w:hAnsi="Times New Roman" w:cs="Times New Roman"/>
          <w:sz w:val="24"/>
          <w:szCs w:val="24"/>
        </w:rPr>
        <w:t>, por meio do IBAMA</w:t>
      </w:r>
      <w:r w:rsidR="006813CA">
        <w:rPr>
          <w:rFonts w:ascii="Times New Roman" w:hAnsi="Times New Roman" w:cs="Times New Roman"/>
          <w:sz w:val="24"/>
          <w:szCs w:val="24"/>
        </w:rPr>
        <w:t>,</w:t>
      </w:r>
      <w:r w:rsidR="00F83D21" w:rsidRPr="00B021B1">
        <w:rPr>
          <w:rFonts w:ascii="Times New Roman" w:hAnsi="Times New Roman" w:cs="Times New Roman"/>
          <w:sz w:val="24"/>
          <w:szCs w:val="24"/>
        </w:rPr>
        <w:t xml:space="preserve"> e o M</w:t>
      </w:r>
      <w:r w:rsidR="006813CA">
        <w:rPr>
          <w:rFonts w:ascii="Times New Roman" w:hAnsi="Times New Roman" w:cs="Times New Roman"/>
          <w:sz w:val="24"/>
          <w:szCs w:val="24"/>
        </w:rPr>
        <w:t>S</w:t>
      </w:r>
      <w:r w:rsidR="00F83D21" w:rsidRPr="00B021B1">
        <w:rPr>
          <w:rFonts w:ascii="Times New Roman" w:hAnsi="Times New Roman" w:cs="Times New Roman"/>
          <w:sz w:val="24"/>
          <w:szCs w:val="24"/>
        </w:rPr>
        <w:t xml:space="preserve">, por meio da </w:t>
      </w:r>
      <w:r w:rsidR="006813CA">
        <w:rPr>
          <w:rFonts w:ascii="Times New Roman" w:hAnsi="Times New Roman" w:cs="Times New Roman"/>
          <w:sz w:val="24"/>
          <w:szCs w:val="24"/>
        </w:rPr>
        <w:t>Anvisa</w:t>
      </w:r>
      <w:r w:rsidR="00F83D21" w:rsidRPr="00B021B1">
        <w:rPr>
          <w:rFonts w:ascii="Times New Roman" w:hAnsi="Times New Roman" w:cs="Times New Roman"/>
          <w:sz w:val="24"/>
          <w:szCs w:val="24"/>
        </w:rPr>
        <w:t>. Cada órgão atua analisando o pleito de registro em sua área de atuação, cabendo ao MAPA, como órgão registrador, a emissão do certificado de registro.</w:t>
      </w:r>
    </w:p>
    <w:p w14:paraId="4BF188F4" w14:textId="466D960D" w:rsidR="00F83D21" w:rsidRPr="006813CA" w:rsidRDefault="00F83D21" w:rsidP="00AF7F39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A avaliação toxicológica para fins de segurança de uso de um agrotóxico é uma ata de alta especificidade e complexidade técnica. Nesse contexto, devido a essa particularidade do processo, a avaliação é multidisciplinar e interdependente. Tal prática </w:t>
      </w:r>
      <w:r w:rsidR="006813CA">
        <w:rPr>
          <w:rFonts w:ascii="Times New Roman" w:hAnsi="Times New Roman" w:cs="Times New Roman"/>
          <w:sz w:val="24"/>
          <w:szCs w:val="24"/>
        </w:rPr>
        <w:t>contribui</w:t>
      </w:r>
      <w:r w:rsidR="006813CA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Pr="00B021B1">
        <w:rPr>
          <w:rFonts w:ascii="Times New Roman" w:hAnsi="Times New Roman" w:cs="Times New Roman"/>
          <w:sz w:val="24"/>
          <w:szCs w:val="24"/>
        </w:rPr>
        <w:t xml:space="preserve">para a avaliação segura de um produto utilizado no processo produtivo e que pode trazer impactos à sociedade brasileira, por meio da exposição ocupacional ou </w:t>
      </w:r>
      <w:r w:rsidR="006813CA">
        <w:rPr>
          <w:rFonts w:ascii="Times New Roman" w:hAnsi="Times New Roman" w:cs="Times New Roman"/>
          <w:sz w:val="24"/>
          <w:szCs w:val="24"/>
        </w:rPr>
        <w:t>da</w:t>
      </w:r>
      <w:r w:rsidRPr="00B021B1">
        <w:rPr>
          <w:rFonts w:ascii="Times New Roman" w:hAnsi="Times New Roman" w:cs="Times New Roman"/>
          <w:sz w:val="24"/>
          <w:szCs w:val="24"/>
        </w:rPr>
        <w:t xml:space="preserve"> exposição dietética aos resíduos desses produtos nos alimentos.</w:t>
      </w:r>
      <w:r w:rsidR="006813CA">
        <w:rPr>
          <w:rFonts w:ascii="Times New Roman" w:hAnsi="Times New Roman" w:cs="Times New Roman"/>
          <w:sz w:val="24"/>
          <w:szCs w:val="24"/>
        </w:rPr>
        <w:t xml:space="preserve"> Por esse motivo, </w:t>
      </w:r>
      <w:r w:rsidRPr="006813CA">
        <w:rPr>
          <w:rFonts w:ascii="Times New Roman" w:hAnsi="Times New Roman" w:cs="Times New Roman"/>
          <w:bCs/>
          <w:sz w:val="24"/>
          <w:szCs w:val="24"/>
        </w:rPr>
        <w:t>é preciso es</w:t>
      </w:r>
      <w:r w:rsidRPr="006813CA">
        <w:rPr>
          <w:rFonts w:ascii="Times New Roman" w:eastAsia="Calibri" w:hAnsi="Times New Roman" w:cs="Times New Roman"/>
          <w:bCs/>
          <w:sz w:val="24"/>
          <w:szCs w:val="24"/>
        </w:rPr>
        <w:t>ti</w:t>
      </w:r>
      <w:r w:rsidRPr="006813CA">
        <w:rPr>
          <w:rFonts w:ascii="Times New Roman" w:hAnsi="Times New Roman" w:cs="Times New Roman"/>
          <w:bCs/>
          <w:sz w:val="24"/>
          <w:szCs w:val="24"/>
        </w:rPr>
        <w:t>mar, da maneira mais precisa possível, a quan</w:t>
      </w:r>
      <w:r w:rsidRPr="006813CA">
        <w:rPr>
          <w:rFonts w:ascii="Times New Roman" w:eastAsia="Calibri" w:hAnsi="Times New Roman" w:cs="Times New Roman"/>
          <w:bCs/>
          <w:sz w:val="24"/>
          <w:szCs w:val="24"/>
        </w:rPr>
        <w:t>ti</w:t>
      </w:r>
      <w:r w:rsidRPr="006813CA">
        <w:rPr>
          <w:rFonts w:ascii="Times New Roman" w:hAnsi="Times New Roman" w:cs="Times New Roman"/>
          <w:bCs/>
          <w:sz w:val="24"/>
          <w:szCs w:val="24"/>
        </w:rPr>
        <w:t>dade de agrotóxicos a que os indivíduos estão expostos.</w:t>
      </w:r>
    </w:p>
    <w:p w14:paraId="031F7BB8" w14:textId="39A37AB6" w:rsidR="00F83D21" w:rsidRPr="00B021B1" w:rsidRDefault="00F83D21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Do ponto de vista do consumidor, tal estimativa é realizada por meio da avaliação do risco dietético, que consiste em analisar a probabilidade de aparecimento de efeitos adversos à saúde humana, resultante</w:t>
      </w:r>
      <w:r w:rsidR="00F37477">
        <w:rPr>
          <w:rFonts w:ascii="Times New Roman" w:hAnsi="Times New Roman" w:cs="Times New Roman"/>
          <w:sz w:val="24"/>
          <w:szCs w:val="24"/>
        </w:rPr>
        <w:t>s</w:t>
      </w:r>
      <w:r w:rsidRPr="00B021B1">
        <w:rPr>
          <w:rFonts w:ascii="Times New Roman" w:hAnsi="Times New Roman" w:cs="Times New Roman"/>
          <w:sz w:val="24"/>
          <w:szCs w:val="24"/>
        </w:rPr>
        <w:t xml:space="preserve"> da ingestão de alimentos que contenham resíduos de agrotóxicos. A partir dessa avaliação, são estabelecidos diferentes parâmetros, entre </w:t>
      </w:r>
      <w:r w:rsidR="00F37477">
        <w:rPr>
          <w:rFonts w:ascii="Times New Roman" w:hAnsi="Times New Roman" w:cs="Times New Roman"/>
          <w:sz w:val="24"/>
          <w:szCs w:val="24"/>
        </w:rPr>
        <w:t>os quais</w:t>
      </w:r>
      <w:r w:rsidRPr="00B021B1">
        <w:rPr>
          <w:rFonts w:ascii="Times New Roman" w:hAnsi="Times New Roman" w:cs="Times New Roman"/>
          <w:sz w:val="24"/>
          <w:szCs w:val="24"/>
        </w:rPr>
        <w:t xml:space="preserve"> a Dose de Referência Aguda (</w:t>
      </w:r>
      <w:proofErr w:type="spellStart"/>
      <w:r w:rsidRPr="00B021B1">
        <w:rPr>
          <w:rFonts w:ascii="Times New Roman" w:hAnsi="Times New Roman" w:cs="Times New Roman"/>
          <w:sz w:val="24"/>
          <w:szCs w:val="24"/>
        </w:rPr>
        <w:t>DRfA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 xml:space="preserve">), a Ingestão Diária Aceitável (IDA) e o Limite Máximo de Resíduos (LMR) em alimentos. Portanto, verifica-se que a avaliação do risco dietético faz parte da rotina de avaliação da </w:t>
      </w:r>
      <w:r w:rsidR="00F37477">
        <w:rPr>
          <w:rFonts w:ascii="Times New Roman" w:hAnsi="Times New Roman" w:cs="Times New Roman"/>
          <w:sz w:val="24"/>
          <w:szCs w:val="24"/>
        </w:rPr>
        <w:t>Anvisa</w:t>
      </w:r>
      <w:r w:rsidRPr="00B021B1">
        <w:rPr>
          <w:rFonts w:ascii="Times New Roman" w:hAnsi="Times New Roman" w:cs="Times New Roman"/>
          <w:sz w:val="24"/>
          <w:szCs w:val="24"/>
        </w:rPr>
        <w:t>.</w:t>
      </w:r>
    </w:p>
    <w:p w14:paraId="057890F0" w14:textId="77BF16F7" w:rsidR="005177F7" w:rsidRPr="00B021B1" w:rsidRDefault="00F83D21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A Anvisa também realiza o monitoramento dos níveis de agrotóxicos em alimentos, no âmbito do Programa de Análise de Resíduos de Agrotóxicos de Alimentos (PARA</w:t>
      </w:r>
      <w:r w:rsidR="005177F7" w:rsidRPr="00B021B1">
        <w:rPr>
          <w:rFonts w:ascii="Times New Roman" w:hAnsi="Times New Roman" w:cs="Times New Roman"/>
          <w:sz w:val="24"/>
          <w:szCs w:val="24"/>
        </w:rPr>
        <w:t>)</w:t>
      </w:r>
      <w:r w:rsidRPr="00B021B1">
        <w:rPr>
          <w:rFonts w:ascii="Times New Roman" w:hAnsi="Times New Roman" w:cs="Times New Roman"/>
          <w:sz w:val="24"/>
          <w:szCs w:val="24"/>
        </w:rPr>
        <w:t xml:space="preserve">. O programa é uma ação do Sistema Nacional de Vigilância Sanitária (SNVS), coordenado pela </w:t>
      </w:r>
      <w:r w:rsidRPr="00B021B1">
        <w:rPr>
          <w:rFonts w:ascii="Times New Roman" w:hAnsi="Times New Roman" w:cs="Times New Roman"/>
          <w:sz w:val="24"/>
          <w:szCs w:val="24"/>
        </w:rPr>
        <w:lastRenderedPageBreak/>
        <w:t>Anvisa</w:t>
      </w:r>
      <w:r w:rsidR="009D5E66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em conjunto com os órgãos estaduais de vigilância sanitária e </w:t>
      </w:r>
      <w:r w:rsidR="009D5E66">
        <w:rPr>
          <w:rFonts w:ascii="Times New Roman" w:hAnsi="Times New Roman" w:cs="Times New Roman"/>
          <w:sz w:val="24"/>
          <w:szCs w:val="24"/>
        </w:rPr>
        <w:t xml:space="preserve">os </w:t>
      </w:r>
      <w:r w:rsidRPr="00B021B1">
        <w:rPr>
          <w:rFonts w:ascii="Times New Roman" w:hAnsi="Times New Roman" w:cs="Times New Roman"/>
          <w:sz w:val="24"/>
          <w:szCs w:val="24"/>
        </w:rPr>
        <w:t xml:space="preserve">Laboratórios Centrais de Saúde Pública (Lacen). Foi criado </w:t>
      </w:r>
      <w:r w:rsidR="009D5E66">
        <w:rPr>
          <w:rFonts w:ascii="Times New Roman" w:hAnsi="Times New Roman" w:cs="Times New Roman"/>
          <w:sz w:val="24"/>
          <w:szCs w:val="24"/>
        </w:rPr>
        <w:t>em</w:t>
      </w:r>
      <w:r w:rsidRPr="00B021B1">
        <w:rPr>
          <w:rFonts w:ascii="Times New Roman" w:hAnsi="Times New Roman" w:cs="Times New Roman"/>
          <w:sz w:val="24"/>
          <w:szCs w:val="24"/>
        </w:rPr>
        <w:t xml:space="preserve"> 2001</w:t>
      </w:r>
      <w:r w:rsidR="009D5E66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como um projeto </w:t>
      </w:r>
      <w:r w:rsidR="005177F7" w:rsidRPr="00B021B1">
        <w:rPr>
          <w:rFonts w:ascii="Times New Roman" w:hAnsi="Times New Roman" w:cs="Times New Roman"/>
          <w:sz w:val="24"/>
          <w:szCs w:val="24"/>
        </w:rPr>
        <w:t>e</w:t>
      </w:r>
      <w:r w:rsidR="009D5E66">
        <w:rPr>
          <w:rFonts w:ascii="Times New Roman" w:hAnsi="Times New Roman" w:cs="Times New Roman"/>
          <w:sz w:val="24"/>
          <w:szCs w:val="24"/>
        </w:rPr>
        <w:t>,</w:t>
      </w:r>
      <w:r w:rsidR="005177F7" w:rsidRPr="00B021B1">
        <w:rPr>
          <w:rFonts w:ascii="Times New Roman" w:hAnsi="Times New Roman" w:cs="Times New Roman"/>
          <w:sz w:val="24"/>
          <w:szCs w:val="24"/>
        </w:rPr>
        <w:t xml:space="preserve"> a partir de 2003</w:t>
      </w:r>
      <w:r w:rsidR="009D5E66">
        <w:rPr>
          <w:rFonts w:ascii="Times New Roman" w:hAnsi="Times New Roman" w:cs="Times New Roman"/>
          <w:sz w:val="24"/>
          <w:szCs w:val="24"/>
        </w:rPr>
        <w:t>,</w:t>
      </w:r>
      <w:r w:rsidR="005177F7" w:rsidRPr="00B021B1">
        <w:rPr>
          <w:rFonts w:ascii="Times New Roman" w:hAnsi="Times New Roman" w:cs="Times New Roman"/>
          <w:sz w:val="24"/>
          <w:szCs w:val="24"/>
        </w:rPr>
        <w:t xml:space="preserve"> foi institucionalizado</w:t>
      </w:r>
      <w:r w:rsidR="009D5E66">
        <w:rPr>
          <w:rFonts w:ascii="Times New Roman" w:hAnsi="Times New Roman" w:cs="Times New Roman"/>
          <w:sz w:val="24"/>
          <w:szCs w:val="24"/>
        </w:rPr>
        <w:t>,</w:t>
      </w:r>
      <w:r w:rsidR="005177F7" w:rsidRPr="00B021B1">
        <w:rPr>
          <w:rFonts w:ascii="Times New Roman" w:hAnsi="Times New Roman" w:cs="Times New Roman"/>
          <w:sz w:val="24"/>
          <w:szCs w:val="24"/>
        </w:rPr>
        <w:t xml:space="preserve"> na forma de um programa, por meio da Resolução da Diretoria Colegiada – RDC nº 119, de 19 de maio de 2003. Desde então, foram analisadas mais de 35 mil amostras de diversos alimentos representativos da dieta da população brasileira.</w:t>
      </w:r>
    </w:p>
    <w:p w14:paraId="20123E1A" w14:textId="110BFE19" w:rsidR="005177F7" w:rsidRPr="00B021B1" w:rsidRDefault="005177F7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O </w:t>
      </w:r>
      <w:r w:rsidR="00C551E7">
        <w:rPr>
          <w:rFonts w:ascii="Times New Roman" w:hAnsi="Times New Roman" w:cs="Times New Roman"/>
          <w:sz w:val="24"/>
          <w:szCs w:val="24"/>
        </w:rPr>
        <w:t>p</w:t>
      </w:r>
      <w:r w:rsidRPr="00B021B1">
        <w:rPr>
          <w:rFonts w:ascii="Times New Roman" w:hAnsi="Times New Roman" w:cs="Times New Roman"/>
          <w:sz w:val="24"/>
          <w:szCs w:val="24"/>
        </w:rPr>
        <w:t>rograma tem como objetivo principal monitorar resíduos de agrotóxicos em alimentos</w:t>
      </w:r>
      <w:r w:rsidR="00C551E7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visando a mitigar o risco à saúde decorrente da exposição a essas substâncias p</w:t>
      </w:r>
      <w:r w:rsidR="00C551E7">
        <w:rPr>
          <w:rFonts w:ascii="Times New Roman" w:hAnsi="Times New Roman" w:cs="Times New Roman"/>
          <w:sz w:val="24"/>
          <w:szCs w:val="24"/>
        </w:rPr>
        <w:t>or meio da</w:t>
      </w:r>
      <w:r w:rsidRPr="00B021B1">
        <w:rPr>
          <w:rFonts w:ascii="Times New Roman" w:hAnsi="Times New Roman" w:cs="Times New Roman"/>
          <w:sz w:val="24"/>
          <w:szCs w:val="24"/>
        </w:rPr>
        <w:t xml:space="preserve"> dieta</w:t>
      </w:r>
      <w:r w:rsidR="00C551E7">
        <w:rPr>
          <w:rFonts w:ascii="Times New Roman" w:hAnsi="Times New Roman" w:cs="Times New Roman"/>
          <w:sz w:val="24"/>
          <w:szCs w:val="24"/>
        </w:rPr>
        <w:t xml:space="preserve"> alimentar</w:t>
      </w:r>
      <w:r w:rsidRPr="00B021B1">
        <w:rPr>
          <w:rFonts w:ascii="Times New Roman" w:hAnsi="Times New Roman" w:cs="Times New Roman"/>
          <w:sz w:val="24"/>
          <w:szCs w:val="24"/>
        </w:rPr>
        <w:t>, mediante avaliação de irregularidades e risco</w:t>
      </w:r>
      <w:r w:rsidR="00C551E7">
        <w:rPr>
          <w:rFonts w:ascii="Times New Roman" w:hAnsi="Times New Roman" w:cs="Times New Roman"/>
          <w:sz w:val="24"/>
          <w:szCs w:val="24"/>
        </w:rPr>
        <w:t>s</w:t>
      </w:r>
      <w:r w:rsidRPr="00B021B1">
        <w:rPr>
          <w:rFonts w:ascii="Times New Roman" w:hAnsi="Times New Roman" w:cs="Times New Roman"/>
          <w:sz w:val="24"/>
          <w:szCs w:val="24"/>
        </w:rPr>
        <w:t xml:space="preserve"> à saúde, a partir dos resultados de análises de amostras coletadas em todo o país.</w:t>
      </w:r>
    </w:p>
    <w:p w14:paraId="3EC9BD15" w14:textId="1F76BD71" w:rsidR="005177F7" w:rsidRPr="00B021B1" w:rsidRDefault="005177F7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Os resultados das análises do programa são avaliados pela Anvisa, que mapeia a distribuição dos resíduos de agrotóxicos nos alimentos, </w:t>
      </w:r>
      <w:r w:rsidR="00C551E7">
        <w:rPr>
          <w:rFonts w:ascii="Times New Roman" w:hAnsi="Times New Roman" w:cs="Times New Roman"/>
          <w:sz w:val="24"/>
          <w:szCs w:val="24"/>
        </w:rPr>
        <w:t>para que sejam adotadas</w:t>
      </w:r>
      <w:r w:rsidRPr="00B021B1">
        <w:rPr>
          <w:rFonts w:ascii="Times New Roman" w:hAnsi="Times New Roman" w:cs="Times New Roman"/>
          <w:sz w:val="24"/>
          <w:szCs w:val="24"/>
        </w:rPr>
        <w:t xml:space="preserve"> medidas mitigatórias</w:t>
      </w:r>
      <w:r w:rsidR="00C551E7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quando verificadas irregularidades ou risco à saúde. Consequentemente, contribu</w:t>
      </w:r>
      <w:r w:rsidR="00C551E7">
        <w:rPr>
          <w:rFonts w:ascii="Times New Roman" w:hAnsi="Times New Roman" w:cs="Times New Roman"/>
          <w:sz w:val="24"/>
          <w:szCs w:val="24"/>
        </w:rPr>
        <w:t>i</w:t>
      </w:r>
      <w:r w:rsidRPr="00B021B1">
        <w:rPr>
          <w:rFonts w:ascii="Times New Roman" w:hAnsi="Times New Roman" w:cs="Times New Roman"/>
          <w:sz w:val="24"/>
          <w:szCs w:val="24"/>
        </w:rPr>
        <w:t xml:space="preserve"> para a segurança alimentar, orientando as cadeias produtivas sobre as inconformidades existentes em seu processo produtivo e incentivando a adoção das Boas Práticas Agrícolas (BPA). Os resultados do PARA são publicados em relatórios detalhados</w:t>
      </w:r>
      <w:r w:rsidR="00C551E7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mantidos no portal eletrônico da Agência</w:t>
      </w:r>
      <w:r w:rsidR="003634DB" w:rsidRPr="00B021B1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B021B1">
        <w:rPr>
          <w:rFonts w:ascii="Times New Roman" w:hAnsi="Times New Roman" w:cs="Times New Roman"/>
          <w:sz w:val="24"/>
          <w:szCs w:val="24"/>
        </w:rPr>
        <w:t>.</w:t>
      </w:r>
    </w:p>
    <w:p w14:paraId="4DFFD3D4" w14:textId="16AE904C" w:rsidR="005177F7" w:rsidRPr="00B021B1" w:rsidRDefault="005177F7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Em 2019</w:t>
      </w:r>
      <w:r w:rsidR="00296ED0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foi publicado relatório com os resultados do primeiro ciclo do Plano Plurianual 2017-2020 do PARA. Ao todo, foram analisadas 4.616 amostras de 14 alimentos de origem vegetal representa</w:t>
      </w:r>
      <w:r w:rsidR="00296ED0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vos da dieta da população brasileira: abacaxi, alface, alho, arroz, batata-doce, beterraba, cenoura, chuchu, goiaba, laranja, manga, pimentão, tomate e uva. As amostras foram coletadas em estabelecimentos varejistas localizados em 77 municípios brasileiros</w:t>
      </w:r>
      <w:r w:rsidR="00296ED0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296ED0">
        <w:rPr>
          <w:rFonts w:ascii="Times New Roman" w:hAnsi="Times New Roman" w:cs="Times New Roman"/>
          <w:sz w:val="24"/>
          <w:szCs w:val="24"/>
        </w:rPr>
        <w:t>s</w:t>
      </w:r>
      <w:r w:rsidRPr="00B021B1">
        <w:rPr>
          <w:rFonts w:ascii="Times New Roman" w:hAnsi="Times New Roman" w:cs="Times New Roman"/>
          <w:sz w:val="24"/>
          <w:szCs w:val="24"/>
        </w:rPr>
        <w:t>endo pesquisados até 270 agrotóxicos diferentes nas amostras analisadas.</w:t>
      </w:r>
    </w:p>
    <w:p w14:paraId="221EDDD7" w14:textId="60E8E065" w:rsidR="005177F7" w:rsidRPr="00B021B1" w:rsidRDefault="005177F7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Do total de amostras analisadas, 3.544 (77%) foram consideradas sa</w:t>
      </w:r>
      <w:r w:rsidRPr="00B021B1">
        <w:rPr>
          <w:rFonts w:ascii="Times New Roman" w:eastAsia="Calibri" w:hAnsi="Times New Roman" w:cs="Times New Roman"/>
          <w:sz w:val="24"/>
          <w:szCs w:val="24"/>
        </w:rPr>
        <w:t>tis</w:t>
      </w:r>
      <w:r w:rsidRPr="00B021B1">
        <w:rPr>
          <w:rFonts w:ascii="Times New Roman" w:hAnsi="Times New Roman" w:cs="Times New Roman"/>
          <w:sz w:val="24"/>
          <w:szCs w:val="24"/>
        </w:rPr>
        <w:t>fatórias quanto aos agrotóxicos pesquisados</w:t>
      </w:r>
      <w:r w:rsidR="00296ED0">
        <w:rPr>
          <w:rFonts w:ascii="Times New Roman" w:hAnsi="Times New Roman" w:cs="Times New Roman"/>
          <w:sz w:val="24"/>
          <w:szCs w:val="24"/>
        </w:rPr>
        <w:t>.</w:t>
      </w:r>
      <w:r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296ED0">
        <w:rPr>
          <w:rFonts w:ascii="Times New Roman" w:hAnsi="Times New Roman" w:cs="Times New Roman"/>
          <w:sz w:val="24"/>
          <w:szCs w:val="24"/>
        </w:rPr>
        <w:t>E</w:t>
      </w:r>
      <w:r w:rsidRPr="00B021B1">
        <w:rPr>
          <w:rFonts w:ascii="Times New Roman" w:hAnsi="Times New Roman" w:cs="Times New Roman"/>
          <w:sz w:val="24"/>
          <w:szCs w:val="24"/>
        </w:rPr>
        <w:t xml:space="preserve">m 2.254 </w:t>
      </w:r>
      <w:r w:rsidR="00296ED0">
        <w:rPr>
          <w:rFonts w:ascii="Times New Roman" w:hAnsi="Times New Roman" w:cs="Times New Roman"/>
          <w:sz w:val="24"/>
          <w:szCs w:val="24"/>
        </w:rPr>
        <w:t xml:space="preserve">amostras </w:t>
      </w:r>
      <w:r w:rsidRPr="00B021B1">
        <w:rPr>
          <w:rFonts w:ascii="Times New Roman" w:hAnsi="Times New Roman" w:cs="Times New Roman"/>
          <w:sz w:val="24"/>
          <w:szCs w:val="24"/>
        </w:rPr>
        <w:t>(49%)</w:t>
      </w:r>
      <w:r w:rsidR="00296ED0">
        <w:rPr>
          <w:rFonts w:ascii="Times New Roman" w:hAnsi="Times New Roman" w:cs="Times New Roman"/>
          <w:sz w:val="24"/>
          <w:szCs w:val="24"/>
        </w:rPr>
        <w:t xml:space="preserve">, </w:t>
      </w:r>
      <w:r w:rsidRPr="00B021B1">
        <w:rPr>
          <w:rFonts w:ascii="Times New Roman" w:hAnsi="Times New Roman" w:cs="Times New Roman"/>
          <w:sz w:val="24"/>
          <w:szCs w:val="24"/>
        </w:rPr>
        <w:t xml:space="preserve">não foram detectados resíduos, e 1.290 </w:t>
      </w:r>
      <w:r w:rsidR="00296ED0">
        <w:rPr>
          <w:rFonts w:ascii="Times New Roman" w:hAnsi="Times New Roman" w:cs="Times New Roman"/>
          <w:sz w:val="24"/>
          <w:szCs w:val="24"/>
        </w:rPr>
        <w:t xml:space="preserve">amostras </w:t>
      </w:r>
      <w:r w:rsidRPr="00B021B1">
        <w:rPr>
          <w:rFonts w:ascii="Times New Roman" w:hAnsi="Times New Roman" w:cs="Times New Roman"/>
          <w:sz w:val="24"/>
          <w:szCs w:val="24"/>
        </w:rPr>
        <w:t>(28%) apresentaram resíduos com concentrações iguais ou inferiores ao Limite Máximo de Resíduos (LMR), estabelecido pela Anvisa. Foram consideradas insa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sfatórias 1.072 amostras (23%) em relação à conformidade com o LMR.</w:t>
      </w:r>
    </w:p>
    <w:p w14:paraId="2492FFDA" w14:textId="1D61FFE7" w:rsidR="005177F7" w:rsidRPr="00B021B1" w:rsidRDefault="005177F7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Considerando-se os resultados ob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dos no ciclo 2017/2018, foi realizada a avaliação do risco agudo para todos os resíduos detectados de agrotóxicos que possuem Dose de Referência Aguda (</w:t>
      </w:r>
      <w:proofErr w:type="spellStart"/>
      <w:r w:rsidRPr="00B021B1">
        <w:rPr>
          <w:rFonts w:ascii="Times New Roman" w:hAnsi="Times New Roman" w:cs="Times New Roman"/>
          <w:sz w:val="24"/>
          <w:szCs w:val="24"/>
        </w:rPr>
        <w:t>DRfA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 xml:space="preserve">) estabelecida, parâmetro de segurança toxicológica aguda. </w:t>
      </w:r>
      <w:r w:rsidR="00956F9D">
        <w:rPr>
          <w:rFonts w:ascii="Times New Roman" w:hAnsi="Times New Roman" w:cs="Times New Roman"/>
          <w:sz w:val="24"/>
          <w:szCs w:val="24"/>
        </w:rPr>
        <w:t>O</w:t>
      </w:r>
      <w:r w:rsidRPr="00B021B1">
        <w:rPr>
          <w:rFonts w:ascii="Times New Roman" w:hAnsi="Times New Roman" w:cs="Times New Roman"/>
          <w:sz w:val="24"/>
          <w:szCs w:val="24"/>
        </w:rPr>
        <w:t xml:space="preserve">s resultados </w:t>
      </w:r>
      <w:r w:rsidR="00956F9D">
        <w:rPr>
          <w:rFonts w:ascii="Times New Roman" w:hAnsi="Times New Roman" w:cs="Times New Roman"/>
          <w:sz w:val="24"/>
          <w:szCs w:val="24"/>
        </w:rPr>
        <w:t>dessa</w:t>
      </w:r>
      <w:r w:rsidRPr="00B021B1">
        <w:rPr>
          <w:rFonts w:ascii="Times New Roman" w:hAnsi="Times New Roman" w:cs="Times New Roman"/>
          <w:sz w:val="24"/>
          <w:szCs w:val="24"/>
        </w:rPr>
        <w:t xml:space="preserve"> avaliação indicaram que 0,89% das amostras analisadas apresentaram um potencial de risco agudo à saúde.</w:t>
      </w:r>
    </w:p>
    <w:p w14:paraId="427837B5" w14:textId="321B6399" w:rsidR="005177F7" w:rsidRPr="00B021B1" w:rsidRDefault="005177F7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lastRenderedPageBreak/>
        <w:t>Em relação à avaliação de risco crônico, considerando-se os dados ob</w:t>
      </w:r>
      <w:r w:rsidRPr="00B021B1">
        <w:rPr>
          <w:rFonts w:ascii="Times New Roman" w:eastAsia="Calibri" w:hAnsi="Times New Roman" w:cs="Times New Roman"/>
          <w:sz w:val="24"/>
          <w:szCs w:val="24"/>
        </w:rPr>
        <w:t>tid</w:t>
      </w:r>
      <w:r w:rsidRPr="00B021B1">
        <w:rPr>
          <w:rFonts w:ascii="Times New Roman" w:hAnsi="Times New Roman" w:cs="Times New Roman"/>
          <w:sz w:val="24"/>
          <w:szCs w:val="24"/>
        </w:rPr>
        <w:t xml:space="preserve">os no período de 2013 a 2018, não houve situações de potencial risco à saúde dos consumidores, considerando-se a faixa etária acima de </w:t>
      </w:r>
      <w:r w:rsidR="00D9452A">
        <w:rPr>
          <w:rFonts w:ascii="Times New Roman" w:hAnsi="Times New Roman" w:cs="Times New Roman"/>
          <w:sz w:val="24"/>
          <w:szCs w:val="24"/>
        </w:rPr>
        <w:t>dez</w:t>
      </w:r>
      <w:r w:rsidRPr="00B021B1">
        <w:rPr>
          <w:rFonts w:ascii="Times New Roman" w:hAnsi="Times New Roman" w:cs="Times New Roman"/>
          <w:sz w:val="24"/>
          <w:szCs w:val="24"/>
        </w:rPr>
        <w:t xml:space="preserve"> anos de idade, que é a população abrangida </w:t>
      </w:r>
      <w:r w:rsidR="00D9452A">
        <w:rPr>
          <w:rFonts w:ascii="Times New Roman" w:hAnsi="Times New Roman" w:cs="Times New Roman"/>
          <w:sz w:val="24"/>
          <w:szCs w:val="24"/>
        </w:rPr>
        <w:t>pela</w:t>
      </w:r>
      <w:r w:rsidRPr="00B021B1">
        <w:rPr>
          <w:rFonts w:ascii="Times New Roman" w:hAnsi="Times New Roman" w:cs="Times New Roman"/>
          <w:sz w:val="24"/>
          <w:szCs w:val="24"/>
        </w:rPr>
        <w:t xml:space="preserve"> úl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ma pesquisa publicada dos dados de consumo de alimentos no país (Pesquisa de Orçamentos Familiares POF/IBGE de 2008-2009).</w:t>
      </w:r>
    </w:p>
    <w:p w14:paraId="23A94873" w14:textId="0034FD52" w:rsidR="005177F7" w:rsidRPr="00B021B1" w:rsidRDefault="005177F7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Dessa forma, os resultados de monitoramento e avaliação do risco compilados nes</w:t>
      </w:r>
      <w:r w:rsidR="00D9452A">
        <w:rPr>
          <w:rFonts w:ascii="Times New Roman" w:hAnsi="Times New Roman" w:cs="Times New Roman"/>
          <w:sz w:val="24"/>
          <w:szCs w:val="24"/>
        </w:rPr>
        <w:t>s</w:t>
      </w:r>
      <w:r w:rsidRPr="00B021B1">
        <w:rPr>
          <w:rFonts w:ascii="Times New Roman" w:hAnsi="Times New Roman" w:cs="Times New Roman"/>
          <w:sz w:val="24"/>
          <w:szCs w:val="24"/>
        </w:rPr>
        <w:t>e relatório, correspondentes às análises de diversos alimentos que fazem parte da dieta básica do brasileiro, indicam que os alimentos consumidos no Brasil são seguros quanto a potenciais riscos de intoxicação aguda e crônica advindos da exposição dieté</w:t>
      </w:r>
      <w:r w:rsidR="008344FE"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 xml:space="preserve">ca a resíduos de agrotóxicos. As situações de risco agudo </w:t>
      </w:r>
      <w:r w:rsidR="00D9452A">
        <w:rPr>
          <w:rFonts w:ascii="Times New Roman" w:hAnsi="Times New Roman" w:cs="Times New Roman"/>
          <w:sz w:val="24"/>
          <w:szCs w:val="24"/>
        </w:rPr>
        <w:t>registradas</w:t>
      </w:r>
      <w:r w:rsidR="00D9452A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Pr="00B021B1">
        <w:rPr>
          <w:rFonts w:ascii="Times New Roman" w:hAnsi="Times New Roman" w:cs="Times New Roman"/>
          <w:sz w:val="24"/>
          <w:szCs w:val="24"/>
        </w:rPr>
        <w:t>são pontuais e de origem conhecida, de modo que a</w:t>
      </w:r>
      <w:r w:rsidR="008344FE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Pr="00B021B1">
        <w:rPr>
          <w:rFonts w:ascii="Times New Roman" w:hAnsi="Times New Roman" w:cs="Times New Roman"/>
          <w:sz w:val="24"/>
          <w:szCs w:val="24"/>
        </w:rPr>
        <w:t>Anvisa vem adotando providências com vistas à mi</w:t>
      </w:r>
      <w:r w:rsidR="008344FE"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gação de riscos iden</w:t>
      </w:r>
      <w:r w:rsidR="008344FE"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 xml:space="preserve">ficados e </w:t>
      </w:r>
      <w:r w:rsidR="00D9452A">
        <w:rPr>
          <w:rFonts w:ascii="Times New Roman" w:hAnsi="Times New Roman" w:cs="Times New Roman"/>
          <w:sz w:val="24"/>
          <w:szCs w:val="24"/>
        </w:rPr>
        <w:t>à</w:t>
      </w:r>
      <w:r w:rsidRPr="00B021B1">
        <w:rPr>
          <w:rFonts w:ascii="Times New Roman" w:hAnsi="Times New Roman" w:cs="Times New Roman"/>
          <w:sz w:val="24"/>
          <w:szCs w:val="24"/>
        </w:rPr>
        <w:t xml:space="preserve"> elaboração de normas que possibilit</w:t>
      </w:r>
      <w:r w:rsidR="00D9452A">
        <w:rPr>
          <w:rFonts w:ascii="Times New Roman" w:hAnsi="Times New Roman" w:cs="Times New Roman"/>
          <w:sz w:val="24"/>
          <w:szCs w:val="24"/>
        </w:rPr>
        <w:t>em</w:t>
      </w:r>
      <w:r w:rsidRPr="00B021B1">
        <w:rPr>
          <w:rFonts w:ascii="Times New Roman" w:hAnsi="Times New Roman" w:cs="Times New Roman"/>
          <w:sz w:val="24"/>
          <w:szCs w:val="24"/>
        </w:rPr>
        <w:t xml:space="preserve"> o controle e o uso adequado</w:t>
      </w:r>
      <w:r w:rsidR="008344FE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Pr="00B021B1">
        <w:rPr>
          <w:rFonts w:ascii="Times New Roman" w:hAnsi="Times New Roman" w:cs="Times New Roman"/>
          <w:sz w:val="24"/>
          <w:szCs w:val="24"/>
        </w:rPr>
        <w:t>dos agrotóxicos pelas diferentes cadeias produ</w:t>
      </w:r>
      <w:r w:rsidR="008344FE"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vas de alimentos. Destaca-se que os resultados quanto aos ri</w:t>
      </w:r>
      <w:r w:rsidR="002274D3" w:rsidRPr="00B021B1">
        <w:rPr>
          <w:rFonts w:ascii="Times New Roman" w:hAnsi="Times New Roman" w:cs="Times New Roman"/>
          <w:sz w:val="24"/>
          <w:szCs w:val="24"/>
        </w:rPr>
        <w:t>s</w:t>
      </w:r>
      <w:r w:rsidRPr="00B021B1">
        <w:rPr>
          <w:rFonts w:ascii="Times New Roman" w:hAnsi="Times New Roman" w:cs="Times New Roman"/>
          <w:sz w:val="24"/>
          <w:szCs w:val="24"/>
        </w:rPr>
        <w:t>cos iden</w:t>
      </w:r>
      <w:r w:rsidR="008344FE"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ficados são semelhantes aos ob</w:t>
      </w:r>
      <w:r w:rsidR="008344FE"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dos no</w:t>
      </w:r>
      <w:r w:rsidR="008344FE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Pr="00B021B1">
        <w:rPr>
          <w:rFonts w:ascii="Times New Roman" w:hAnsi="Times New Roman" w:cs="Times New Roman"/>
          <w:sz w:val="24"/>
          <w:szCs w:val="24"/>
        </w:rPr>
        <w:t>programa de controle de resíduos europeu conduzido pela Autoridade Europeia de Segurança Alimentar (EFSA).</w:t>
      </w:r>
    </w:p>
    <w:p w14:paraId="2FB7A87E" w14:textId="0BE6ED76" w:rsidR="00987575" w:rsidRPr="00B021B1" w:rsidRDefault="00D9452A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Ressalta-se, ainda,</w:t>
      </w:r>
      <w:r w:rsidR="00987575" w:rsidRPr="00B021B1">
        <w:rPr>
          <w:rFonts w:ascii="Times New Roman" w:hAnsi="Times New Roman" w:cs="Times New Roman"/>
          <w:sz w:val="24"/>
          <w:szCs w:val="24"/>
        </w:rPr>
        <w:t xml:space="preserve"> que a metodologia de análise adotada pela Anvisa para avaliação e reavaliação toxicológica de agrotóxicos está em consonância com as melhores práticas regulatórias internacionais. Todas as provas e ensaios devem ser efetuados de acordo com as especificações publicadas pela Organização Mundial da Saúde (OMS), </w:t>
      </w:r>
      <w:r>
        <w:rPr>
          <w:rFonts w:ascii="Times New Roman" w:hAnsi="Times New Roman" w:cs="Times New Roman"/>
          <w:sz w:val="24"/>
          <w:szCs w:val="24"/>
        </w:rPr>
        <w:t xml:space="preserve">pelo </w:t>
      </w:r>
      <w:r w:rsidR="00987575" w:rsidRPr="00B021B1">
        <w:rPr>
          <w:rFonts w:ascii="Times New Roman" w:hAnsi="Times New Roman" w:cs="Times New Roman"/>
          <w:sz w:val="24"/>
          <w:szCs w:val="24"/>
        </w:rPr>
        <w:t xml:space="preserve">Programa Internacional de Segurança de Substâncias Químicas (IPCS/OMS), </w:t>
      </w:r>
      <w:r>
        <w:rPr>
          <w:rFonts w:ascii="Times New Roman" w:hAnsi="Times New Roman" w:cs="Times New Roman"/>
          <w:sz w:val="24"/>
          <w:szCs w:val="24"/>
        </w:rPr>
        <w:t xml:space="preserve">pela </w:t>
      </w:r>
      <w:r w:rsidR="00987575" w:rsidRPr="00B021B1">
        <w:rPr>
          <w:rFonts w:ascii="Times New Roman" w:hAnsi="Times New Roman" w:cs="Times New Roman"/>
          <w:sz w:val="24"/>
          <w:szCs w:val="24"/>
        </w:rPr>
        <w:t xml:space="preserve">Agência Internacional de Pesquisas sobre o Câncer (IARC/OMS), </w:t>
      </w:r>
      <w:r>
        <w:rPr>
          <w:rFonts w:ascii="Times New Roman" w:hAnsi="Times New Roman" w:cs="Times New Roman"/>
          <w:sz w:val="24"/>
          <w:szCs w:val="24"/>
        </w:rPr>
        <w:t xml:space="preserve">pelo </w:t>
      </w:r>
      <w:r w:rsidR="00987575" w:rsidRPr="00B021B1">
        <w:rPr>
          <w:rFonts w:ascii="Times New Roman" w:hAnsi="Times New Roman" w:cs="Times New Roman"/>
          <w:sz w:val="24"/>
          <w:szCs w:val="24"/>
        </w:rPr>
        <w:t xml:space="preserve">Centro Pan-Americano de Ecologia Humana e Saúde (ECO/OPS), </w:t>
      </w:r>
      <w:r>
        <w:rPr>
          <w:rFonts w:ascii="Times New Roman" w:hAnsi="Times New Roman" w:cs="Times New Roman"/>
          <w:sz w:val="24"/>
          <w:szCs w:val="24"/>
        </w:rPr>
        <w:t xml:space="preserve">pela </w:t>
      </w:r>
      <w:r w:rsidR="00987575" w:rsidRPr="00B021B1">
        <w:rPr>
          <w:rFonts w:ascii="Times New Roman" w:hAnsi="Times New Roman" w:cs="Times New Roman"/>
          <w:sz w:val="24"/>
          <w:szCs w:val="24"/>
        </w:rPr>
        <w:t xml:space="preserve">Organização das Nações Unidas para a Agricultura e Alimentação (FAO), </w:t>
      </w:r>
      <w:r>
        <w:rPr>
          <w:rFonts w:ascii="Times New Roman" w:hAnsi="Times New Roman" w:cs="Times New Roman"/>
          <w:sz w:val="24"/>
          <w:szCs w:val="24"/>
        </w:rPr>
        <w:t xml:space="preserve">pelo </w:t>
      </w:r>
      <w:r w:rsidR="00987575" w:rsidRPr="00B021B1">
        <w:rPr>
          <w:rFonts w:ascii="Times New Roman" w:hAnsi="Times New Roman" w:cs="Times New Roman"/>
          <w:sz w:val="24"/>
          <w:szCs w:val="24"/>
        </w:rPr>
        <w:t xml:space="preserve">Registro Internacional de Substâncias Potencialmente Tóxicas do Programa das Nações Unidas para o Meio Ambiente (IRPTC/UNEP), </w:t>
      </w:r>
      <w:r>
        <w:rPr>
          <w:rFonts w:ascii="Times New Roman" w:hAnsi="Times New Roman" w:cs="Times New Roman"/>
          <w:sz w:val="24"/>
          <w:szCs w:val="24"/>
        </w:rPr>
        <w:t xml:space="preserve">pela </w:t>
      </w:r>
      <w:r w:rsidR="00987575" w:rsidRPr="00B021B1">
        <w:rPr>
          <w:rFonts w:ascii="Times New Roman" w:hAnsi="Times New Roman" w:cs="Times New Roman"/>
          <w:sz w:val="24"/>
          <w:szCs w:val="24"/>
        </w:rPr>
        <w:t xml:space="preserve">Organização para Cooperação Econômica e Desenvolvimento da Comunidade Econômica Europeia (OECD/CEE) e </w:t>
      </w:r>
      <w:r>
        <w:rPr>
          <w:rFonts w:ascii="Times New Roman" w:hAnsi="Times New Roman" w:cs="Times New Roman"/>
          <w:sz w:val="24"/>
          <w:szCs w:val="24"/>
        </w:rPr>
        <w:t xml:space="preserve">pela </w:t>
      </w:r>
      <w:r w:rsidR="00987575" w:rsidRPr="00B021B1">
        <w:rPr>
          <w:rFonts w:ascii="Times New Roman" w:hAnsi="Times New Roman" w:cs="Times New Roman"/>
          <w:sz w:val="24"/>
          <w:szCs w:val="24"/>
        </w:rPr>
        <w:t>Agência de Proteção Ambiental dos Estados Unidos da América (EPA).</w:t>
      </w:r>
    </w:p>
    <w:p w14:paraId="2C1D1DAB" w14:textId="2E667997" w:rsidR="00987575" w:rsidRPr="00B021B1" w:rsidRDefault="00987575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A seguir, serão destacados os trechos da versão preliminar do </w:t>
      </w:r>
      <w:r w:rsidR="00D9452A">
        <w:rPr>
          <w:rFonts w:ascii="Times New Roman" w:hAnsi="Times New Roman" w:cs="Times New Roman"/>
          <w:sz w:val="24"/>
          <w:szCs w:val="24"/>
        </w:rPr>
        <w:t>r</w:t>
      </w:r>
      <w:r w:rsidRPr="00B021B1">
        <w:rPr>
          <w:rFonts w:ascii="Times New Roman" w:hAnsi="Times New Roman" w:cs="Times New Roman"/>
          <w:sz w:val="24"/>
          <w:szCs w:val="24"/>
        </w:rPr>
        <w:t>elatório do Relator Especial que merecem comentários e esclarecimentos</w:t>
      </w:r>
      <w:r w:rsidR="00D9452A">
        <w:rPr>
          <w:rFonts w:ascii="Times New Roman" w:hAnsi="Times New Roman" w:cs="Times New Roman"/>
          <w:sz w:val="24"/>
          <w:szCs w:val="24"/>
        </w:rPr>
        <w:t>.</w:t>
      </w:r>
    </w:p>
    <w:p w14:paraId="34E9ADDF" w14:textId="2AAD63BB" w:rsidR="00987575" w:rsidRPr="00B021B1" w:rsidRDefault="00392188" w:rsidP="0093332C">
      <w:pPr>
        <w:spacing w:after="0" w:line="36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>30. Pesticides prohibited by other countries because of environmental or health risks remain in use in Brazil. Forty-four percent of active ingredients in Brazil are not approved in the EU (pg. 8)</w:t>
      </w:r>
      <w:r w:rsidR="00DF08BF"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57237DF" w14:textId="12DBE626" w:rsidR="00DF08BF" w:rsidRPr="00B021B1" w:rsidRDefault="00DF08BF" w:rsidP="0093332C">
      <w:pPr>
        <w:spacing w:after="0" w:line="36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58. Brazil’s laws and policies have not eliminated many hazardous substances and processes forbidden around the world. To the contrary, </w:t>
      </w:r>
      <w:r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the Government’s deregulatory agenda has increased the hazards confronting workers (pg. 14).</w:t>
      </w:r>
    </w:p>
    <w:p w14:paraId="1918F78E" w14:textId="55E1397F" w:rsidR="00DF08BF" w:rsidRPr="00B021B1" w:rsidRDefault="00DF08BF" w:rsidP="0093332C">
      <w:pPr>
        <w:spacing w:after="0" w:line="36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>(n) Develop time bound plants to urgently reduce pesticide and toxic industrial chemical use and exposure, including: (vi) Ban the use of industrial chemicals forbidden from use in OECD countries (pg. 63)</w:t>
      </w:r>
    </w:p>
    <w:p w14:paraId="571744A3" w14:textId="51C9C9AA" w:rsidR="00DF08BF" w:rsidRPr="00B021B1" w:rsidRDefault="00DF08BF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b/>
          <w:bCs/>
          <w:sz w:val="24"/>
          <w:szCs w:val="24"/>
        </w:rPr>
        <w:t xml:space="preserve">Cumpre informar que o dado </w:t>
      </w:r>
      <w:r w:rsidR="00813E27" w:rsidRPr="00B021B1">
        <w:rPr>
          <w:rFonts w:ascii="Times New Roman" w:hAnsi="Times New Roman" w:cs="Times New Roman"/>
          <w:b/>
          <w:bCs/>
          <w:sz w:val="24"/>
          <w:szCs w:val="24"/>
        </w:rPr>
        <w:t>está</w:t>
      </w:r>
      <w:r w:rsidRPr="00B021B1">
        <w:rPr>
          <w:rFonts w:ascii="Times New Roman" w:hAnsi="Times New Roman" w:cs="Times New Roman"/>
          <w:b/>
          <w:bCs/>
          <w:sz w:val="24"/>
          <w:szCs w:val="24"/>
        </w:rPr>
        <w:t xml:space="preserve"> desatualizado, visto que, de acordo com a referência original, datada de 31 de julho de 2019</w:t>
      </w:r>
      <w:r w:rsidR="00D85B0B" w:rsidRPr="00B021B1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Pr="00B021B1">
        <w:rPr>
          <w:rFonts w:ascii="Times New Roman" w:hAnsi="Times New Roman" w:cs="Times New Roman"/>
          <w:b/>
          <w:bCs/>
          <w:sz w:val="24"/>
          <w:szCs w:val="24"/>
        </w:rPr>
        <w:t xml:space="preserve">, não se levou em consideração a exclusão de diversas monografias de ingredientes ativos efetuada pela Anvisa no ano de 2019. </w:t>
      </w:r>
      <w:r w:rsidRPr="00B021B1">
        <w:rPr>
          <w:rFonts w:ascii="Times New Roman" w:hAnsi="Times New Roman" w:cs="Times New Roman"/>
          <w:sz w:val="24"/>
          <w:szCs w:val="24"/>
        </w:rPr>
        <w:t>Is</w:t>
      </w:r>
      <w:r w:rsidR="009B71E7">
        <w:rPr>
          <w:rFonts w:ascii="Times New Roman" w:hAnsi="Times New Roman" w:cs="Times New Roman"/>
          <w:sz w:val="24"/>
          <w:szCs w:val="24"/>
        </w:rPr>
        <w:t>s</w:t>
      </w:r>
      <w:r w:rsidRPr="00B021B1">
        <w:rPr>
          <w:rFonts w:ascii="Times New Roman" w:hAnsi="Times New Roman" w:cs="Times New Roman"/>
          <w:sz w:val="24"/>
          <w:szCs w:val="24"/>
        </w:rPr>
        <w:t>o significa que</w:t>
      </w:r>
      <w:r w:rsidRPr="00B021B1">
        <w:rPr>
          <w:rFonts w:ascii="Times New Roman" w:hAnsi="Times New Roman" w:cs="Times New Roman"/>
          <w:b/>
          <w:bCs/>
          <w:sz w:val="24"/>
          <w:szCs w:val="24"/>
        </w:rPr>
        <w:t xml:space="preserve"> tais substâncias não são mais autorizadas no Brasil, </w:t>
      </w:r>
      <w:r w:rsidR="009B71E7">
        <w:rPr>
          <w:rFonts w:ascii="Times New Roman" w:hAnsi="Times New Roman" w:cs="Times New Roman"/>
          <w:b/>
          <w:bCs/>
          <w:sz w:val="24"/>
          <w:szCs w:val="24"/>
        </w:rPr>
        <w:t xml:space="preserve">tendo ocorrido </w:t>
      </w:r>
      <w:r w:rsidRPr="00B021B1">
        <w:rPr>
          <w:rFonts w:ascii="Times New Roman" w:hAnsi="Times New Roman" w:cs="Times New Roman"/>
          <w:b/>
          <w:bCs/>
          <w:sz w:val="24"/>
          <w:szCs w:val="24"/>
        </w:rPr>
        <w:t>a eliminação de 47 ingredientes ativos de agrotóxicos.</w:t>
      </w:r>
      <w:r w:rsidRPr="00B021B1">
        <w:rPr>
          <w:rFonts w:ascii="Times New Roman" w:hAnsi="Times New Roman" w:cs="Times New Roman"/>
          <w:sz w:val="24"/>
          <w:szCs w:val="24"/>
        </w:rPr>
        <w:t xml:space="preserve"> A Anvisa adotou es</w:t>
      </w:r>
      <w:r w:rsidR="009B71E7">
        <w:rPr>
          <w:rFonts w:ascii="Times New Roman" w:hAnsi="Times New Roman" w:cs="Times New Roman"/>
          <w:sz w:val="24"/>
          <w:szCs w:val="24"/>
        </w:rPr>
        <w:t>s</w:t>
      </w:r>
      <w:r w:rsidRPr="00B021B1">
        <w:rPr>
          <w:rFonts w:ascii="Times New Roman" w:hAnsi="Times New Roman" w:cs="Times New Roman"/>
          <w:sz w:val="24"/>
          <w:szCs w:val="24"/>
        </w:rPr>
        <w:t>a medida em virtude da ausência de produtos registrados a base desses ingredientes ativos.</w:t>
      </w:r>
    </w:p>
    <w:p w14:paraId="0BB03C50" w14:textId="66B19517" w:rsidR="00DF08BF" w:rsidRPr="00B021B1" w:rsidRDefault="00DF08BF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Além disso, a pesquisa não pontuou que algumas monografias de substâncias autorizadas no Brasil e consideradas proibidas na União Europeia são permitidas exclusivamente </w:t>
      </w:r>
      <w:r w:rsidR="009B71E7">
        <w:rPr>
          <w:rFonts w:ascii="Times New Roman" w:hAnsi="Times New Roman" w:cs="Times New Roman"/>
          <w:sz w:val="24"/>
          <w:szCs w:val="24"/>
        </w:rPr>
        <w:t>para</w:t>
      </w:r>
      <w:r w:rsidRPr="00B021B1">
        <w:rPr>
          <w:rFonts w:ascii="Times New Roman" w:hAnsi="Times New Roman" w:cs="Times New Roman"/>
          <w:sz w:val="24"/>
          <w:szCs w:val="24"/>
        </w:rPr>
        <w:t xml:space="preserve"> uso como </w:t>
      </w:r>
      <w:proofErr w:type="spellStart"/>
      <w:r w:rsidRPr="00B021B1">
        <w:rPr>
          <w:rFonts w:ascii="Times New Roman" w:hAnsi="Times New Roman" w:cs="Times New Roman"/>
          <w:sz w:val="24"/>
          <w:szCs w:val="24"/>
        </w:rPr>
        <w:t>domissanitário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 xml:space="preserve"> ou preservativo de madeira, não se enquadrando como agrotóxicos, ou seja, não são autorizados para uso agrícola no Brasil. O banco de informações europeu utilizado na consulta </w:t>
      </w:r>
      <w:r w:rsidR="009B71E7">
        <w:rPr>
          <w:rFonts w:ascii="Times New Roman" w:hAnsi="Times New Roman" w:cs="Times New Roman"/>
          <w:sz w:val="24"/>
          <w:szCs w:val="24"/>
        </w:rPr>
        <w:t>apresenta</w:t>
      </w:r>
      <w:r w:rsidR="009B71E7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Pr="00B021B1">
        <w:rPr>
          <w:rFonts w:ascii="Times New Roman" w:hAnsi="Times New Roman" w:cs="Times New Roman"/>
          <w:sz w:val="24"/>
          <w:szCs w:val="24"/>
        </w:rPr>
        <w:t xml:space="preserve">resultados de substâncias utilizadas exclusivamente como agrotóxicos ou </w:t>
      </w:r>
      <w:proofErr w:type="spellStart"/>
      <w:r w:rsidRPr="00B021B1">
        <w:rPr>
          <w:rFonts w:ascii="Times New Roman" w:hAnsi="Times New Roman" w:cs="Times New Roman"/>
          <w:i/>
          <w:iCs/>
          <w:sz w:val="24"/>
          <w:szCs w:val="24"/>
        </w:rPr>
        <w:t>pesticides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>. Sendo assim, a informação atualizada seria a descrita a seguir, na coluna à direita, adotando-se a tradução liter</w:t>
      </w:r>
      <w:r w:rsidR="002274D3" w:rsidRPr="00B021B1">
        <w:rPr>
          <w:rFonts w:ascii="Times New Roman" w:hAnsi="Times New Roman" w:cs="Times New Roman"/>
          <w:sz w:val="24"/>
          <w:szCs w:val="24"/>
        </w:rPr>
        <w:t>al</w:t>
      </w:r>
      <w:r w:rsidRPr="00B021B1">
        <w:rPr>
          <w:rFonts w:ascii="Times New Roman" w:hAnsi="Times New Roman" w:cs="Times New Roman"/>
          <w:sz w:val="24"/>
          <w:szCs w:val="24"/>
        </w:rPr>
        <w:t xml:space="preserve"> do termo utilizado pela Comissão Europeia (</w:t>
      </w:r>
      <w:proofErr w:type="spellStart"/>
      <w:r w:rsidRPr="00B021B1">
        <w:rPr>
          <w:rFonts w:ascii="Times New Roman" w:hAnsi="Times New Roman" w:cs="Times New Roman"/>
          <w:i/>
          <w:iCs/>
          <w:sz w:val="24"/>
          <w:szCs w:val="24"/>
        </w:rPr>
        <w:t>approved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 xml:space="preserve"> ou</w:t>
      </w:r>
      <w:r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21B1">
        <w:rPr>
          <w:rFonts w:ascii="Times New Roman" w:hAnsi="Times New Roman" w:cs="Times New Roman"/>
          <w:i/>
          <w:iCs/>
          <w:sz w:val="24"/>
          <w:szCs w:val="24"/>
        </w:rPr>
        <w:t>not</w:t>
      </w:r>
      <w:proofErr w:type="spellEnd"/>
      <w:r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21B1">
        <w:rPr>
          <w:rFonts w:ascii="Times New Roman" w:hAnsi="Times New Roman" w:cs="Times New Roman"/>
          <w:i/>
          <w:iCs/>
          <w:sz w:val="24"/>
          <w:szCs w:val="24"/>
        </w:rPr>
        <w:t>approved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>). Destaca-se que este é um dado dinâmico, devendo ser periodicamente atualizado.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F08BF" w:rsidRPr="00B021B1" w14:paraId="06965D55" w14:textId="77777777" w:rsidTr="00DF08BF">
        <w:tc>
          <w:tcPr>
            <w:tcW w:w="4530" w:type="dxa"/>
          </w:tcPr>
          <w:p w14:paraId="30A9EC2B" w14:textId="64260A47" w:rsidR="00DF08BF" w:rsidRPr="00B021B1" w:rsidRDefault="00DF08BF" w:rsidP="0093332C">
            <w:pPr>
              <w:pStyle w:val="PargrafodaLista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B1">
              <w:rPr>
                <w:rFonts w:ascii="Times New Roman" w:hAnsi="Times New Roman" w:cs="Times New Roman"/>
                <w:sz w:val="24"/>
                <w:szCs w:val="24"/>
              </w:rPr>
              <w:t>Informação da referência citada</w:t>
            </w:r>
          </w:p>
        </w:tc>
        <w:tc>
          <w:tcPr>
            <w:tcW w:w="4531" w:type="dxa"/>
          </w:tcPr>
          <w:p w14:paraId="01D5EA9E" w14:textId="2FB371CD" w:rsidR="00DF08BF" w:rsidRPr="00B021B1" w:rsidRDefault="00DF08BF" w:rsidP="0093332C">
            <w:pPr>
              <w:pStyle w:val="PargrafodaLista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B1">
              <w:rPr>
                <w:rFonts w:ascii="Times New Roman" w:hAnsi="Times New Roman" w:cs="Times New Roman"/>
                <w:sz w:val="24"/>
                <w:szCs w:val="24"/>
              </w:rPr>
              <w:t>Informação atualizada em 31/07/2020 pela Anvisa</w:t>
            </w:r>
          </w:p>
        </w:tc>
      </w:tr>
      <w:tr w:rsidR="00DF08BF" w:rsidRPr="00B021B1" w14:paraId="025F1742" w14:textId="77777777" w:rsidTr="00DF08BF">
        <w:tc>
          <w:tcPr>
            <w:tcW w:w="4530" w:type="dxa"/>
          </w:tcPr>
          <w:p w14:paraId="2B0C1CB3" w14:textId="77777777" w:rsidR="00DF08BF" w:rsidRPr="00B021B1" w:rsidRDefault="00DF08BF" w:rsidP="0093332C">
            <w:pPr>
              <w:pStyle w:val="PargrafodaLista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B1">
              <w:rPr>
                <w:rFonts w:ascii="Times New Roman" w:hAnsi="Times New Roman" w:cs="Times New Roman"/>
                <w:sz w:val="24"/>
                <w:szCs w:val="24"/>
              </w:rPr>
              <w:t>Dos 353 princípios ativos liberados no Brasil:</w:t>
            </w:r>
          </w:p>
          <w:p w14:paraId="78F0D436" w14:textId="37BD2661" w:rsidR="00DF08BF" w:rsidRPr="00B021B1" w:rsidRDefault="00DF08BF" w:rsidP="0093332C">
            <w:pPr>
              <w:pStyle w:val="PargrafodaLista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B1">
              <w:rPr>
                <w:rFonts w:ascii="Times New Roman" w:hAnsi="Times New Roman" w:cs="Times New Roman"/>
                <w:sz w:val="24"/>
                <w:szCs w:val="24"/>
              </w:rPr>
              <w:t>- 194 (55%) são LIBERADOS na União Europeia</w:t>
            </w:r>
            <w:r w:rsidR="009B1394" w:rsidRPr="00B021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87469E" w14:textId="7D082293" w:rsidR="00DF08BF" w:rsidRPr="00B021B1" w:rsidRDefault="00DF08BF" w:rsidP="0093332C">
            <w:pPr>
              <w:pStyle w:val="PargrafodaLista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B1">
              <w:rPr>
                <w:rFonts w:ascii="Times New Roman" w:hAnsi="Times New Roman" w:cs="Times New Roman"/>
                <w:sz w:val="24"/>
                <w:szCs w:val="24"/>
              </w:rPr>
              <w:t xml:space="preserve">- 155 (44%) são PROIBIDOS na </w:t>
            </w:r>
            <w:r w:rsidR="009B71E7">
              <w:rPr>
                <w:rFonts w:ascii="Times New Roman" w:hAnsi="Times New Roman" w:cs="Times New Roman"/>
                <w:sz w:val="24"/>
                <w:szCs w:val="24"/>
              </w:rPr>
              <w:t>UE.</w:t>
            </w:r>
            <w:r w:rsidRPr="00B021B1">
              <w:rPr>
                <w:rFonts w:ascii="Times New Roman" w:hAnsi="Times New Roman" w:cs="Times New Roman"/>
                <w:sz w:val="24"/>
                <w:szCs w:val="24"/>
              </w:rPr>
              <w:t xml:space="preserve"> 22 ou 14</w:t>
            </w:r>
            <w:r w:rsidR="009B71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21B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="002D12BA" w:rsidRPr="00B021B1">
              <w:rPr>
                <w:rFonts w:ascii="Times New Roman" w:hAnsi="Times New Roman" w:cs="Times New Roman"/>
                <w:sz w:val="24"/>
                <w:szCs w:val="24"/>
              </w:rPr>
              <w:t xml:space="preserve"> das substâncias proibidas são BANIDAS na Europa.</w:t>
            </w:r>
          </w:p>
        </w:tc>
        <w:tc>
          <w:tcPr>
            <w:tcW w:w="4531" w:type="dxa"/>
          </w:tcPr>
          <w:p w14:paraId="5E72AEF5" w14:textId="77777777" w:rsidR="00DF08BF" w:rsidRPr="00B021B1" w:rsidRDefault="009B1394" w:rsidP="0093332C">
            <w:pPr>
              <w:pStyle w:val="PargrafodaLista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B1">
              <w:rPr>
                <w:rFonts w:ascii="Times New Roman" w:hAnsi="Times New Roman" w:cs="Times New Roman"/>
                <w:sz w:val="24"/>
                <w:szCs w:val="24"/>
              </w:rPr>
              <w:t>Dos 393 ingredientes ativos liberados no Brasil:</w:t>
            </w:r>
          </w:p>
          <w:p w14:paraId="5D21E07F" w14:textId="77777777" w:rsidR="009B1394" w:rsidRPr="00B021B1" w:rsidRDefault="009B1394" w:rsidP="0093332C">
            <w:pPr>
              <w:pStyle w:val="PargrafodaLista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B1">
              <w:rPr>
                <w:rFonts w:ascii="Times New Roman" w:hAnsi="Times New Roman" w:cs="Times New Roman"/>
                <w:sz w:val="24"/>
                <w:szCs w:val="24"/>
              </w:rPr>
              <w:t>-277 (70%) são aprovados na União Europeia;</w:t>
            </w:r>
          </w:p>
          <w:p w14:paraId="4DAD09D5" w14:textId="7E1FFAC4" w:rsidR="009B1394" w:rsidRPr="00B021B1" w:rsidRDefault="009B1394" w:rsidP="0093332C">
            <w:pPr>
              <w:pStyle w:val="PargrafodaLista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B1">
              <w:rPr>
                <w:rFonts w:ascii="Times New Roman" w:hAnsi="Times New Roman" w:cs="Times New Roman"/>
                <w:sz w:val="24"/>
                <w:szCs w:val="24"/>
              </w:rPr>
              <w:t>- 116 (30%) não são aprovados na União Europeia.</w:t>
            </w:r>
          </w:p>
        </w:tc>
      </w:tr>
    </w:tbl>
    <w:p w14:paraId="0A537E49" w14:textId="2189A623" w:rsidR="00DF08BF" w:rsidRPr="00B021B1" w:rsidRDefault="009B1394" w:rsidP="0093332C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ab/>
        <w:t>Fonte: Anvisa (2020).</w:t>
      </w:r>
    </w:p>
    <w:p w14:paraId="38B7418A" w14:textId="77777777" w:rsidR="002274D3" w:rsidRPr="00B021B1" w:rsidRDefault="002274D3" w:rsidP="0093332C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73044A5" w14:textId="0781BD12" w:rsidR="00DF08BF" w:rsidRPr="00B021B1" w:rsidRDefault="009B1394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É importante esclarecer que a não aprovação de um ingrediente ativo de agrotóxico em um determinado país pode estar associada a diversos motivos, não sendo necessariamente </w:t>
      </w:r>
      <w:r w:rsidRPr="00B021B1">
        <w:rPr>
          <w:rFonts w:ascii="Times New Roman" w:hAnsi="Times New Roman" w:cs="Times New Roman"/>
          <w:sz w:val="24"/>
          <w:szCs w:val="24"/>
        </w:rPr>
        <w:lastRenderedPageBreak/>
        <w:t xml:space="preserve">resultante de uma restrição relacionada a riscos à saúde humana. Características locais relacionadas ao tipo de cultivo, </w:t>
      </w:r>
      <w:r w:rsidR="00E6447F">
        <w:rPr>
          <w:rFonts w:ascii="Times New Roman" w:hAnsi="Times New Roman" w:cs="Times New Roman"/>
          <w:sz w:val="24"/>
          <w:szCs w:val="24"/>
        </w:rPr>
        <w:t xml:space="preserve">ao </w:t>
      </w:r>
      <w:r w:rsidRPr="00B021B1">
        <w:rPr>
          <w:rFonts w:ascii="Times New Roman" w:hAnsi="Times New Roman" w:cs="Times New Roman"/>
          <w:sz w:val="24"/>
          <w:szCs w:val="24"/>
        </w:rPr>
        <w:t>clima e às pragas enfrentadas no campo podem ser determinantes para definir as reais necessidades para as práticas agrícolas de cada país. Eventuais impactos ambientais também podem ocasionar restrições com o objetivo de minimizar riscos. Além disso, o não cumprimento de todos os requisitos e exigências legais também podem impedir o registro ou a renovação de uso de um ingrediente ativo em determinado país.</w:t>
      </w:r>
    </w:p>
    <w:p w14:paraId="37F45798" w14:textId="3C23576A" w:rsidR="009B1394" w:rsidRPr="00B021B1" w:rsidRDefault="009B1394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Nesse sentido, nota-se que é inapropriado</w:t>
      </w:r>
      <w:r w:rsidR="005E1B3E">
        <w:rPr>
          <w:rFonts w:ascii="Times New Roman" w:hAnsi="Times New Roman" w:cs="Times New Roman"/>
          <w:sz w:val="24"/>
          <w:szCs w:val="24"/>
        </w:rPr>
        <w:t>, em termos técnicos,</w:t>
      </w:r>
      <w:r w:rsidRPr="00B021B1">
        <w:rPr>
          <w:rFonts w:ascii="Times New Roman" w:hAnsi="Times New Roman" w:cs="Times New Roman"/>
          <w:sz w:val="24"/>
          <w:szCs w:val="24"/>
        </w:rPr>
        <w:t xml:space="preserve"> mencionar a informação constante no item 30 da minuta de forma isolada, sem considerar todo o contexto vinculado a tal menção.</w:t>
      </w:r>
    </w:p>
    <w:p w14:paraId="06BFA4FB" w14:textId="70EB3D50" w:rsidR="009B1394" w:rsidRPr="00B021B1" w:rsidRDefault="005E1B3E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Deve-se considerar, também,</w:t>
      </w:r>
      <w:r w:rsidR="009B1394" w:rsidRPr="00B02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B1394" w:rsidRPr="00B021B1">
        <w:rPr>
          <w:rFonts w:ascii="Times New Roman" w:hAnsi="Times New Roman" w:cs="Times New Roman"/>
          <w:sz w:val="24"/>
          <w:szCs w:val="24"/>
        </w:rPr>
        <w:t xml:space="preserve"> quantidade em que cada um desses ingredientes ativos está sendo comercializada no Brasil.</w:t>
      </w:r>
    </w:p>
    <w:p w14:paraId="67145809" w14:textId="30904CCF" w:rsidR="009B1394" w:rsidRPr="00B021B1" w:rsidRDefault="009B1394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Os dados do relatório de comercialização de agrotóxicos emitido pelo Ibama referente ao ano de 2018 demonstram que</w:t>
      </w:r>
      <w:r w:rsidR="005E1B3E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dos dez ingredientes ativos mais comercializados no Brasil, os quais correspondem a cerca de 71% do volume de agrotóxicos comercializados no país, todos estão aprovados nos Estados Unidos e somente três não estão aprovados na União Europeia. Destes, dois foram reavaliados recentemente pela Anvisa e obtiveram uma série de medidas de mitigação de riscos à saúde.</w:t>
      </w:r>
    </w:p>
    <w:p w14:paraId="381AD6AB" w14:textId="2EDF5EB2" w:rsidR="00106E15" w:rsidRPr="00B021B1" w:rsidRDefault="00106E15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Nos últimos dez anos, foram reavaliados </w:t>
      </w:r>
      <w:r w:rsidR="008639A9">
        <w:rPr>
          <w:rFonts w:ascii="Times New Roman" w:hAnsi="Times New Roman" w:cs="Times New Roman"/>
          <w:sz w:val="24"/>
          <w:szCs w:val="24"/>
        </w:rPr>
        <w:t>treze</w:t>
      </w:r>
      <w:r w:rsidRPr="00B021B1">
        <w:rPr>
          <w:rFonts w:ascii="Times New Roman" w:hAnsi="Times New Roman" w:cs="Times New Roman"/>
          <w:sz w:val="24"/>
          <w:szCs w:val="24"/>
        </w:rPr>
        <w:t xml:space="preserve"> ingredientes ativos de agrotóxicos, dos quais </w:t>
      </w:r>
      <w:r w:rsidR="008639A9">
        <w:rPr>
          <w:rFonts w:ascii="Times New Roman" w:hAnsi="Times New Roman" w:cs="Times New Roman"/>
          <w:sz w:val="24"/>
          <w:szCs w:val="24"/>
        </w:rPr>
        <w:t>oito</w:t>
      </w:r>
      <w:r w:rsidRPr="00B021B1">
        <w:rPr>
          <w:rFonts w:ascii="Times New Roman" w:hAnsi="Times New Roman" w:cs="Times New Roman"/>
          <w:sz w:val="24"/>
          <w:szCs w:val="24"/>
        </w:rPr>
        <w:t xml:space="preserve"> foram proibidos no Brasil</w:t>
      </w:r>
      <w:r w:rsidR="008639A9">
        <w:rPr>
          <w:rFonts w:ascii="Times New Roman" w:hAnsi="Times New Roman" w:cs="Times New Roman"/>
          <w:sz w:val="24"/>
          <w:szCs w:val="24"/>
        </w:rPr>
        <w:t>, tendo sido estabelecidas</w:t>
      </w:r>
      <w:r w:rsidRPr="00B021B1">
        <w:rPr>
          <w:rFonts w:ascii="Times New Roman" w:hAnsi="Times New Roman" w:cs="Times New Roman"/>
          <w:sz w:val="24"/>
          <w:szCs w:val="24"/>
        </w:rPr>
        <w:t xml:space="preserve"> diversas restrições</w:t>
      </w:r>
      <w:r w:rsidR="008639A9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com o objetivo de mitigar os riscos identificados.</w:t>
      </w:r>
      <w:r w:rsidR="00F271C5" w:rsidRPr="00B021B1">
        <w:rPr>
          <w:rFonts w:ascii="Times New Roman" w:hAnsi="Times New Roman" w:cs="Times New Roman"/>
          <w:sz w:val="24"/>
          <w:szCs w:val="24"/>
        </w:rPr>
        <w:t xml:space="preserve"> Em 26 de agosto de 2019, a Anvisa publicou nova lista de ingredientes de agrotóxicos que passarão pelo processo de reavaliação toxicológica. </w:t>
      </w:r>
      <w:r w:rsidR="008639A9">
        <w:rPr>
          <w:rFonts w:ascii="Times New Roman" w:hAnsi="Times New Roman" w:cs="Times New Roman"/>
          <w:sz w:val="24"/>
          <w:szCs w:val="24"/>
        </w:rPr>
        <w:t xml:space="preserve">Essa </w:t>
      </w:r>
      <w:r w:rsidR="00F271C5" w:rsidRPr="00B021B1">
        <w:rPr>
          <w:rFonts w:ascii="Times New Roman" w:hAnsi="Times New Roman" w:cs="Times New Roman"/>
          <w:sz w:val="24"/>
          <w:szCs w:val="24"/>
        </w:rPr>
        <w:t>lista foi definida com base em avaliação objetiva, utilizando-se a pontuação com base em critérios de perigo e risco</w:t>
      </w:r>
      <w:r w:rsidR="0016661E">
        <w:rPr>
          <w:rFonts w:ascii="Times New Roman" w:hAnsi="Times New Roman" w:cs="Times New Roman"/>
          <w:sz w:val="24"/>
          <w:szCs w:val="24"/>
        </w:rPr>
        <w:t>,</w:t>
      </w:r>
      <w:r w:rsidR="00F271C5" w:rsidRPr="00B021B1">
        <w:rPr>
          <w:rFonts w:ascii="Times New Roman" w:hAnsi="Times New Roman" w:cs="Times New Roman"/>
          <w:sz w:val="24"/>
          <w:szCs w:val="24"/>
        </w:rPr>
        <w:t xml:space="preserve"> para definir os agrotóxicos com prioridade de reavaliação.</w:t>
      </w:r>
    </w:p>
    <w:p w14:paraId="55B706CD" w14:textId="4556FC6D" w:rsidR="00ED4BBC" w:rsidRPr="00B021B1" w:rsidRDefault="00ED4BBC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A lista</w:t>
      </w:r>
      <w:r w:rsidR="0016661E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elaborada com ampla participação da sociedade, foi estabelecida a partir de critérios de perigo e risco à saúde humana. A escolha dos critérios priorizou os riscos a consumidores e trabalhadores rurais.</w:t>
      </w:r>
    </w:p>
    <w:p w14:paraId="02760DB1" w14:textId="351EAE2D" w:rsidR="00ED4BBC" w:rsidRPr="00B021B1" w:rsidRDefault="00ED4BBC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Destac</w:t>
      </w:r>
      <w:r w:rsidR="00311074">
        <w:rPr>
          <w:rFonts w:ascii="Times New Roman" w:hAnsi="Times New Roman" w:cs="Times New Roman"/>
          <w:sz w:val="24"/>
          <w:szCs w:val="24"/>
        </w:rPr>
        <w:t>a-se</w:t>
      </w:r>
      <w:r w:rsidRPr="00B021B1">
        <w:rPr>
          <w:rFonts w:ascii="Times New Roman" w:hAnsi="Times New Roman" w:cs="Times New Roman"/>
          <w:sz w:val="24"/>
          <w:szCs w:val="24"/>
        </w:rPr>
        <w:t>, ainda, a afirmação apontada na página 8 do relatório preliminar</w:t>
      </w:r>
      <w:r w:rsidR="00311074">
        <w:rPr>
          <w:rFonts w:ascii="Times New Roman" w:hAnsi="Times New Roman" w:cs="Times New Roman"/>
          <w:sz w:val="24"/>
          <w:szCs w:val="24"/>
        </w:rPr>
        <w:t>, qual seja</w:t>
      </w:r>
      <w:r w:rsidRPr="00B021B1">
        <w:rPr>
          <w:rFonts w:ascii="Times New Roman" w:hAnsi="Times New Roman" w:cs="Times New Roman"/>
          <w:sz w:val="24"/>
          <w:szCs w:val="24"/>
        </w:rPr>
        <w:t>:</w:t>
      </w:r>
    </w:p>
    <w:p w14:paraId="05F7EFDC" w14:textId="7E5201D3" w:rsidR="00ED4BBC" w:rsidRPr="00B021B1" w:rsidRDefault="00ED4BBC" w:rsidP="0093332C">
      <w:pPr>
        <w:spacing w:after="0" w:line="36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8. Brazil continues to use and export </w:t>
      </w:r>
      <w:proofErr w:type="spellStart"/>
      <w:r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>sulfuramid</w:t>
      </w:r>
      <w:proofErr w:type="spellEnd"/>
      <w:r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to other countries, a pesticide banned in other jurisdictions for decades, which degrades into “forever chemical” substances contaminating people around the world.</w:t>
      </w:r>
    </w:p>
    <w:p w14:paraId="53A1D505" w14:textId="346AB3EC" w:rsidR="00ED4BBC" w:rsidRPr="00B021B1" w:rsidRDefault="00ED4BBC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Não se identificou a fonte da informação destacada no que tange à exportação da substância “</w:t>
      </w:r>
      <w:proofErr w:type="spellStart"/>
      <w:r w:rsidRPr="00B021B1">
        <w:rPr>
          <w:rFonts w:ascii="Times New Roman" w:hAnsi="Times New Roman" w:cs="Times New Roman"/>
          <w:sz w:val="24"/>
          <w:szCs w:val="24"/>
        </w:rPr>
        <w:t>sulfluramida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>” pelo Brasil.</w:t>
      </w:r>
    </w:p>
    <w:p w14:paraId="7C852A90" w14:textId="18FE74EB" w:rsidR="00ED4BBC" w:rsidRPr="00B021B1" w:rsidRDefault="00ED4BBC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lastRenderedPageBreak/>
        <w:t>De todo modo, é importante informar que a “</w:t>
      </w:r>
      <w:proofErr w:type="spellStart"/>
      <w:r w:rsidRPr="00B021B1">
        <w:rPr>
          <w:rFonts w:ascii="Times New Roman" w:hAnsi="Times New Roman" w:cs="Times New Roman"/>
          <w:sz w:val="24"/>
          <w:szCs w:val="24"/>
        </w:rPr>
        <w:t>sulfluramida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 xml:space="preserve">” está na posição 81ª dentre os ingredientes ativos comercializados no Brasil no ano de 2018, de acordo com o Boletim de Comercialização de Agrotóxicos do Ibama. O volume de </w:t>
      </w:r>
      <w:proofErr w:type="spellStart"/>
      <w:r w:rsidRPr="00B021B1">
        <w:rPr>
          <w:rFonts w:ascii="Times New Roman" w:hAnsi="Times New Roman" w:cs="Times New Roman"/>
          <w:sz w:val="24"/>
          <w:szCs w:val="24"/>
        </w:rPr>
        <w:t>sulfluramida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 xml:space="preserve"> comercializado corresponde a 0,01% do volume total de ingredientes ativos comercializados no ano de 2018, segundo o referido boletim.</w:t>
      </w:r>
    </w:p>
    <w:p w14:paraId="74D81477" w14:textId="750CC03F" w:rsidR="00ED4BBC" w:rsidRPr="00B021B1" w:rsidRDefault="00ED4BBC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Outro dado</w:t>
      </w:r>
      <w:r w:rsidR="0049579F" w:rsidRPr="00B021B1">
        <w:rPr>
          <w:rFonts w:ascii="Times New Roman" w:hAnsi="Times New Roman" w:cs="Times New Roman"/>
          <w:sz w:val="24"/>
          <w:szCs w:val="24"/>
        </w:rPr>
        <w:t xml:space="preserve"> relevante é que o ingrediente ativo </w:t>
      </w:r>
      <w:proofErr w:type="spellStart"/>
      <w:r w:rsidR="0049579F" w:rsidRPr="00B021B1">
        <w:rPr>
          <w:rFonts w:ascii="Times New Roman" w:hAnsi="Times New Roman" w:cs="Times New Roman"/>
          <w:sz w:val="24"/>
          <w:szCs w:val="24"/>
        </w:rPr>
        <w:t>sulfluramida</w:t>
      </w:r>
      <w:proofErr w:type="spellEnd"/>
      <w:r w:rsidR="0049579F" w:rsidRPr="00B021B1">
        <w:rPr>
          <w:rFonts w:ascii="Times New Roman" w:hAnsi="Times New Roman" w:cs="Times New Roman"/>
          <w:sz w:val="24"/>
          <w:szCs w:val="24"/>
        </w:rPr>
        <w:t xml:space="preserve"> foi pesquisado em mais de sete mil amostras de diversos alimentos no período de 2013 a 2018</w:t>
      </w:r>
      <w:r w:rsidR="0097693D">
        <w:rPr>
          <w:rFonts w:ascii="Times New Roman" w:hAnsi="Times New Roman" w:cs="Times New Roman"/>
          <w:sz w:val="24"/>
          <w:szCs w:val="24"/>
        </w:rPr>
        <w:t>,</w:t>
      </w:r>
      <w:r w:rsidR="0049579F" w:rsidRPr="00B021B1">
        <w:rPr>
          <w:rFonts w:ascii="Times New Roman" w:hAnsi="Times New Roman" w:cs="Times New Roman"/>
          <w:sz w:val="24"/>
          <w:szCs w:val="24"/>
        </w:rPr>
        <w:t xml:space="preserve"> no âmbito do </w:t>
      </w:r>
      <w:r w:rsidR="0097693D">
        <w:rPr>
          <w:rFonts w:ascii="Times New Roman" w:hAnsi="Times New Roman" w:cs="Times New Roman"/>
          <w:sz w:val="24"/>
          <w:szCs w:val="24"/>
        </w:rPr>
        <w:t>p</w:t>
      </w:r>
      <w:r w:rsidR="0049579F" w:rsidRPr="00B021B1">
        <w:rPr>
          <w:rFonts w:ascii="Times New Roman" w:hAnsi="Times New Roman" w:cs="Times New Roman"/>
          <w:sz w:val="24"/>
          <w:szCs w:val="24"/>
        </w:rPr>
        <w:t xml:space="preserve">rograma PARA, não tendo sido detectado em nenhuma amostra. Atualmente, a substância está autorizada no Brasil como inseticida e formicida no controle de formigas das espécies </w:t>
      </w:r>
      <w:r w:rsidR="0049579F" w:rsidRPr="00AF7F39">
        <w:rPr>
          <w:rFonts w:ascii="Times New Roman" w:hAnsi="Times New Roman" w:cs="Times New Roman"/>
          <w:i/>
          <w:iCs/>
          <w:sz w:val="24"/>
          <w:szCs w:val="24"/>
        </w:rPr>
        <w:t xml:space="preserve">Atta </w:t>
      </w:r>
      <w:proofErr w:type="spellStart"/>
      <w:r w:rsidR="0049579F" w:rsidRPr="00AF7F39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="0049579F" w:rsidRPr="00B021B1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49579F" w:rsidRPr="00AF7F39">
        <w:rPr>
          <w:rFonts w:ascii="Times New Roman" w:hAnsi="Times New Roman" w:cs="Times New Roman"/>
          <w:i/>
          <w:iCs/>
          <w:sz w:val="24"/>
          <w:szCs w:val="24"/>
        </w:rPr>
        <w:t>Acr</w:t>
      </w:r>
      <w:r w:rsidR="00A85FD2" w:rsidRPr="00AF7F39">
        <w:rPr>
          <w:rFonts w:ascii="Times New Roman" w:hAnsi="Times New Roman" w:cs="Times New Roman"/>
          <w:i/>
          <w:iCs/>
          <w:sz w:val="24"/>
          <w:szCs w:val="24"/>
        </w:rPr>
        <w:t>omyrmex</w:t>
      </w:r>
      <w:proofErr w:type="spellEnd"/>
      <w:r w:rsidR="00A85FD2" w:rsidRPr="00AF7F39">
        <w:rPr>
          <w:rFonts w:ascii="Times New Roman" w:hAnsi="Times New Roman" w:cs="Times New Roman"/>
          <w:i/>
          <w:iCs/>
          <w:sz w:val="24"/>
          <w:szCs w:val="24"/>
        </w:rPr>
        <w:t xml:space="preserve"> spp</w:t>
      </w:r>
      <w:r w:rsidR="00A85FD2" w:rsidRPr="00B021B1">
        <w:rPr>
          <w:rFonts w:ascii="Times New Roman" w:hAnsi="Times New Roman" w:cs="Times New Roman"/>
          <w:sz w:val="24"/>
          <w:szCs w:val="24"/>
        </w:rPr>
        <w:t>.</w:t>
      </w:r>
    </w:p>
    <w:p w14:paraId="0D8C7588" w14:textId="0538312B" w:rsidR="00A85FD2" w:rsidRPr="00B021B1" w:rsidRDefault="0097693D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na</w:t>
      </w:r>
      <w:r w:rsidR="00A85FD2" w:rsidRPr="00B021B1">
        <w:rPr>
          <w:rFonts w:ascii="Times New Roman" w:hAnsi="Times New Roman" w:cs="Times New Roman"/>
          <w:sz w:val="24"/>
          <w:szCs w:val="24"/>
        </w:rPr>
        <w:t xml:space="preserve"> página 9 do relatório preliminar</w:t>
      </w:r>
      <w:r>
        <w:rPr>
          <w:rFonts w:ascii="Times New Roman" w:hAnsi="Times New Roman" w:cs="Times New Roman"/>
          <w:sz w:val="24"/>
          <w:szCs w:val="24"/>
        </w:rPr>
        <w:t>, é indicado o seguinte</w:t>
      </w:r>
      <w:r w:rsidR="00A85FD2" w:rsidRPr="00B021B1">
        <w:rPr>
          <w:rFonts w:ascii="Times New Roman" w:hAnsi="Times New Roman" w:cs="Times New Roman"/>
          <w:sz w:val="24"/>
          <w:szCs w:val="24"/>
        </w:rPr>
        <w:t>:</w:t>
      </w:r>
    </w:p>
    <w:p w14:paraId="6085A697" w14:textId="4ED9A6D8" w:rsidR="00A85FD2" w:rsidRPr="00B021B1" w:rsidRDefault="00A85FD2" w:rsidP="0093332C">
      <w:pPr>
        <w:spacing w:after="0" w:line="36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>To the contrary, Brazil has increasingly pursued deregulatory measures to authorize additional hazardous pesticides through legislative and regulatory changes promoted by industry.</w:t>
      </w:r>
    </w:p>
    <w:p w14:paraId="0EE29DC3" w14:textId="0ECF281A" w:rsidR="00A85FD2" w:rsidRPr="00B021B1" w:rsidRDefault="00A85FD2" w:rsidP="0093332C">
      <w:pPr>
        <w:spacing w:after="0" w:line="36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>In recent years, the “flexibilization” of pesticides regulations points to a tendency of misplaced interests. In 2019 alone, Brazil permitted the introduction into the market of 474 new pesticides products.</w:t>
      </w:r>
    </w:p>
    <w:p w14:paraId="4663E893" w14:textId="1480AD8A" w:rsidR="00D306A7" w:rsidRPr="00B021B1" w:rsidRDefault="00290139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Re</w:t>
      </w:r>
      <w:r w:rsidR="00642F27">
        <w:rPr>
          <w:rFonts w:ascii="Times New Roman" w:hAnsi="Times New Roman" w:cs="Times New Roman"/>
          <w:sz w:val="24"/>
          <w:szCs w:val="24"/>
        </w:rPr>
        <w:t>corda</w:t>
      </w:r>
      <w:r w:rsidRPr="00B021B1">
        <w:rPr>
          <w:rFonts w:ascii="Times New Roman" w:hAnsi="Times New Roman" w:cs="Times New Roman"/>
          <w:sz w:val="24"/>
          <w:szCs w:val="24"/>
        </w:rPr>
        <w:t>-se</w:t>
      </w:r>
      <w:r w:rsidR="00D306A7" w:rsidRPr="00B021B1">
        <w:rPr>
          <w:rFonts w:ascii="Times New Roman" w:hAnsi="Times New Roman" w:cs="Times New Roman"/>
          <w:sz w:val="24"/>
          <w:szCs w:val="24"/>
        </w:rPr>
        <w:t xml:space="preserve"> que o registro de agrotóxico</w:t>
      </w:r>
      <w:r w:rsidR="0040168A" w:rsidRPr="00B021B1">
        <w:rPr>
          <w:rFonts w:ascii="Times New Roman" w:hAnsi="Times New Roman" w:cs="Times New Roman"/>
          <w:sz w:val="24"/>
          <w:szCs w:val="24"/>
        </w:rPr>
        <w:t>s</w:t>
      </w:r>
      <w:r w:rsidR="00D306A7" w:rsidRPr="00B021B1">
        <w:rPr>
          <w:rFonts w:ascii="Times New Roman" w:hAnsi="Times New Roman" w:cs="Times New Roman"/>
          <w:sz w:val="24"/>
          <w:szCs w:val="24"/>
        </w:rPr>
        <w:t>, seus componentes e afins é uma atribuição compar</w:t>
      </w:r>
      <w:r w:rsidR="00D306A7"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="00D306A7" w:rsidRPr="00B021B1">
        <w:rPr>
          <w:rFonts w:ascii="Times New Roman" w:hAnsi="Times New Roman" w:cs="Times New Roman"/>
          <w:sz w:val="24"/>
          <w:szCs w:val="24"/>
        </w:rPr>
        <w:t xml:space="preserve">lhada entre três órgãos federais: </w:t>
      </w:r>
      <w:r w:rsidR="00642F27">
        <w:rPr>
          <w:rFonts w:ascii="Times New Roman" w:hAnsi="Times New Roman" w:cs="Times New Roman"/>
          <w:sz w:val="24"/>
          <w:szCs w:val="24"/>
        </w:rPr>
        <w:t xml:space="preserve">o </w:t>
      </w:r>
      <w:r w:rsidR="00D306A7" w:rsidRPr="00B021B1">
        <w:rPr>
          <w:rFonts w:ascii="Times New Roman" w:hAnsi="Times New Roman" w:cs="Times New Roman"/>
          <w:sz w:val="24"/>
          <w:szCs w:val="24"/>
        </w:rPr>
        <w:t xml:space="preserve">Ministério da Agricultura, Pecuária e Abastecimento, </w:t>
      </w:r>
      <w:r w:rsidR="00642F27">
        <w:rPr>
          <w:rFonts w:ascii="Times New Roman" w:hAnsi="Times New Roman" w:cs="Times New Roman"/>
          <w:sz w:val="24"/>
          <w:szCs w:val="24"/>
        </w:rPr>
        <w:t xml:space="preserve">o </w:t>
      </w:r>
      <w:r w:rsidR="00D306A7" w:rsidRPr="00B021B1">
        <w:rPr>
          <w:rFonts w:ascii="Times New Roman" w:hAnsi="Times New Roman" w:cs="Times New Roman"/>
          <w:sz w:val="24"/>
          <w:szCs w:val="24"/>
        </w:rPr>
        <w:t>Ministério da Saúde, representado pela Anvisa, e Ministério do Meio Ambiente, representado pelo Ibama, que possuem igual poder decisório sobre a concessão, ou não, do registro, resguardadas suas respec</w:t>
      </w:r>
      <w:r w:rsidR="00D306A7"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="00D306A7" w:rsidRPr="00B021B1">
        <w:rPr>
          <w:rFonts w:ascii="Times New Roman" w:hAnsi="Times New Roman" w:cs="Times New Roman"/>
          <w:sz w:val="24"/>
          <w:szCs w:val="24"/>
        </w:rPr>
        <w:t>vas áreas de atuação e competências ins</w:t>
      </w:r>
      <w:r w:rsidR="00D306A7"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="00D306A7" w:rsidRPr="00B021B1">
        <w:rPr>
          <w:rFonts w:ascii="Times New Roman" w:hAnsi="Times New Roman" w:cs="Times New Roman"/>
          <w:sz w:val="24"/>
          <w:szCs w:val="24"/>
        </w:rPr>
        <w:t>tucionais.</w:t>
      </w:r>
    </w:p>
    <w:p w14:paraId="4CBA2B4D" w14:textId="18CCA8EE" w:rsidR="005E107A" w:rsidRPr="00B021B1" w:rsidRDefault="005E107A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É importante destacar que os três órgãos federais têm buscado soluções próprias </w:t>
      </w:r>
      <w:r w:rsidR="00F51E92">
        <w:rPr>
          <w:rFonts w:ascii="Times New Roman" w:hAnsi="Times New Roman" w:cs="Times New Roman"/>
          <w:sz w:val="24"/>
          <w:szCs w:val="24"/>
        </w:rPr>
        <w:t>a</w:t>
      </w:r>
      <w:r w:rsidRPr="00B021B1">
        <w:rPr>
          <w:rFonts w:ascii="Times New Roman" w:hAnsi="Times New Roman" w:cs="Times New Roman"/>
          <w:sz w:val="24"/>
          <w:szCs w:val="24"/>
        </w:rPr>
        <w:t xml:space="preserve"> suas realidades internas</w:t>
      </w:r>
      <w:r w:rsidR="00F51E92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para obter aumento de produ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 xml:space="preserve">vidade no processo de avaliação dos requerimentos de registro de agrotóxicos. </w:t>
      </w:r>
      <w:r w:rsidR="00F51E92">
        <w:rPr>
          <w:rFonts w:ascii="Times New Roman" w:hAnsi="Times New Roman" w:cs="Times New Roman"/>
          <w:sz w:val="24"/>
          <w:szCs w:val="24"/>
        </w:rPr>
        <w:t>Como consequência</w:t>
      </w:r>
      <w:r w:rsidRPr="00B021B1">
        <w:rPr>
          <w:rFonts w:ascii="Times New Roman" w:hAnsi="Times New Roman" w:cs="Times New Roman"/>
          <w:sz w:val="24"/>
          <w:szCs w:val="24"/>
        </w:rPr>
        <w:t xml:space="preserve"> desse esforço conjunto</w:t>
      </w:r>
      <w:r w:rsidR="00F51E92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F51E92">
        <w:rPr>
          <w:rFonts w:ascii="Times New Roman" w:hAnsi="Times New Roman" w:cs="Times New Roman"/>
          <w:sz w:val="24"/>
          <w:szCs w:val="24"/>
        </w:rPr>
        <w:t xml:space="preserve">é natural </w:t>
      </w:r>
      <w:r w:rsidRPr="00B021B1">
        <w:rPr>
          <w:rFonts w:ascii="Times New Roman" w:hAnsi="Times New Roman" w:cs="Times New Roman"/>
          <w:sz w:val="24"/>
          <w:szCs w:val="24"/>
        </w:rPr>
        <w:t>que haja crescimento da quan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dade de produtos avaliados e, em muitos casos, registrados, acompanhando a tendência de crescimento da demanda por registro apresentada pelo setor regulado.</w:t>
      </w:r>
    </w:p>
    <w:p w14:paraId="035E47B7" w14:textId="6FAC53E6" w:rsidR="00BA5F16" w:rsidRPr="00B021B1" w:rsidRDefault="000D4F68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Nesse contexto,</w:t>
      </w:r>
      <w:r w:rsidR="00ED10F4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Pr="00B021B1">
        <w:rPr>
          <w:rFonts w:ascii="Times New Roman" w:hAnsi="Times New Roman" w:cs="Times New Roman"/>
          <w:sz w:val="24"/>
          <w:szCs w:val="24"/>
        </w:rPr>
        <w:t>c</w:t>
      </w:r>
      <w:r w:rsidR="00A85FD2" w:rsidRPr="00B021B1">
        <w:rPr>
          <w:rFonts w:ascii="Times New Roman" w:hAnsi="Times New Roman" w:cs="Times New Roman"/>
          <w:sz w:val="24"/>
          <w:szCs w:val="24"/>
        </w:rPr>
        <w:t xml:space="preserve">umpre </w:t>
      </w:r>
      <w:r w:rsidR="00104176">
        <w:rPr>
          <w:rFonts w:ascii="Times New Roman" w:hAnsi="Times New Roman" w:cs="Times New Roman"/>
          <w:sz w:val="24"/>
          <w:szCs w:val="24"/>
        </w:rPr>
        <w:t>reiterar</w:t>
      </w:r>
      <w:r w:rsidR="00104176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A85FD2" w:rsidRPr="00B021B1">
        <w:rPr>
          <w:rFonts w:ascii="Times New Roman" w:hAnsi="Times New Roman" w:cs="Times New Roman"/>
          <w:sz w:val="24"/>
          <w:szCs w:val="24"/>
        </w:rPr>
        <w:t>que todos os produtos registrados são submetidos previamente a rigorosa avaliação técnica realizada p</w:t>
      </w:r>
      <w:r w:rsidR="00ED10F4" w:rsidRPr="00B021B1">
        <w:rPr>
          <w:rFonts w:ascii="Times New Roman" w:hAnsi="Times New Roman" w:cs="Times New Roman"/>
          <w:sz w:val="24"/>
          <w:szCs w:val="24"/>
        </w:rPr>
        <w:t>or aquele</w:t>
      </w:r>
      <w:r w:rsidR="0031465C" w:rsidRPr="00B021B1">
        <w:rPr>
          <w:rFonts w:ascii="Times New Roman" w:hAnsi="Times New Roman" w:cs="Times New Roman"/>
          <w:sz w:val="24"/>
          <w:szCs w:val="24"/>
        </w:rPr>
        <w:t>s</w:t>
      </w:r>
      <w:r w:rsidR="00ED10F4" w:rsidRPr="00B021B1">
        <w:rPr>
          <w:rFonts w:ascii="Times New Roman" w:hAnsi="Times New Roman" w:cs="Times New Roman"/>
          <w:sz w:val="24"/>
          <w:szCs w:val="24"/>
        </w:rPr>
        <w:t xml:space="preserve"> órg</w:t>
      </w:r>
      <w:r w:rsidR="0031465C" w:rsidRPr="00B021B1">
        <w:rPr>
          <w:rFonts w:ascii="Times New Roman" w:hAnsi="Times New Roman" w:cs="Times New Roman"/>
          <w:sz w:val="24"/>
          <w:szCs w:val="24"/>
        </w:rPr>
        <w:t>ãos</w:t>
      </w:r>
      <w:r w:rsidR="00A85FD2" w:rsidRPr="00B021B1">
        <w:rPr>
          <w:rFonts w:ascii="Times New Roman" w:hAnsi="Times New Roman" w:cs="Times New Roman"/>
          <w:sz w:val="24"/>
          <w:szCs w:val="24"/>
        </w:rPr>
        <w:t xml:space="preserve"> no que tange a aspectos relacionados à saúde</w:t>
      </w:r>
      <w:r w:rsidR="0031465C" w:rsidRPr="00B021B1">
        <w:rPr>
          <w:rFonts w:ascii="Times New Roman" w:hAnsi="Times New Roman" w:cs="Times New Roman"/>
          <w:sz w:val="24"/>
          <w:szCs w:val="24"/>
        </w:rPr>
        <w:t xml:space="preserve"> e </w:t>
      </w:r>
      <w:r w:rsidR="00104176">
        <w:rPr>
          <w:rFonts w:ascii="Times New Roman" w:hAnsi="Times New Roman" w:cs="Times New Roman"/>
          <w:sz w:val="24"/>
          <w:szCs w:val="24"/>
        </w:rPr>
        <w:t xml:space="preserve">ao </w:t>
      </w:r>
      <w:r w:rsidR="0031465C" w:rsidRPr="00B021B1">
        <w:rPr>
          <w:rFonts w:ascii="Times New Roman" w:hAnsi="Times New Roman" w:cs="Times New Roman"/>
          <w:sz w:val="24"/>
          <w:szCs w:val="24"/>
        </w:rPr>
        <w:t>meio ambiente</w:t>
      </w:r>
      <w:r w:rsidR="00A85FD2" w:rsidRPr="00B021B1">
        <w:rPr>
          <w:rFonts w:ascii="Times New Roman" w:hAnsi="Times New Roman" w:cs="Times New Roman"/>
          <w:sz w:val="24"/>
          <w:szCs w:val="24"/>
        </w:rPr>
        <w:t xml:space="preserve">. Desse modo, a quantidade de produtos registrados ao ano não dever ser considerada indicador negativo, uma vez que se refere somente à inserção </w:t>
      </w:r>
      <w:r w:rsidR="00104176">
        <w:rPr>
          <w:rFonts w:ascii="Times New Roman" w:hAnsi="Times New Roman" w:cs="Times New Roman"/>
          <w:sz w:val="24"/>
          <w:szCs w:val="24"/>
        </w:rPr>
        <w:t xml:space="preserve">no mercado </w:t>
      </w:r>
      <w:r w:rsidR="00A85FD2" w:rsidRPr="00B021B1">
        <w:rPr>
          <w:rFonts w:ascii="Times New Roman" w:hAnsi="Times New Roman" w:cs="Times New Roman"/>
          <w:sz w:val="24"/>
          <w:szCs w:val="24"/>
        </w:rPr>
        <w:t>de novas alternativas seguras ao produtor rural, que abrange</w:t>
      </w:r>
      <w:r w:rsidR="00104176">
        <w:rPr>
          <w:rFonts w:ascii="Times New Roman" w:hAnsi="Times New Roman" w:cs="Times New Roman"/>
          <w:sz w:val="24"/>
          <w:szCs w:val="24"/>
        </w:rPr>
        <w:t>m</w:t>
      </w:r>
      <w:r w:rsidR="00A85FD2" w:rsidRPr="00B021B1">
        <w:rPr>
          <w:rFonts w:ascii="Times New Roman" w:hAnsi="Times New Roman" w:cs="Times New Roman"/>
          <w:sz w:val="24"/>
          <w:szCs w:val="24"/>
        </w:rPr>
        <w:t xml:space="preserve"> produtos químicos </w:t>
      </w:r>
      <w:r w:rsidR="00104176">
        <w:rPr>
          <w:rFonts w:ascii="Times New Roman" w:hAnsi="Times New Roman" w:cs="Times New Roman"/>
          <w:sz w:val="24"/>
          <w:szCs w:val="24"/>
        </w:rPr>
        <w:t xml:space="preserve">e </w:t>
      </w:r>
      <w:r w:rsidR="00A85FD2" w:rsidRPr="00B021B1">
        <w:rPr>
          <w:rFonts w:ascii="Times New Roman" w:hAnsi="Times New Roman" w:cs="Times New Roman"/>
          <w:sz w:val="24"/>
          <w:szCs w:val="24"/>
        </w:rPr>
        <w:lastRenderedPageBreak/>
        <w:t>biológicos</w:t>
      </w:r>
      <w:r w:rsidR="00104176">
        <w:rPr>
          <w:rFonts w:ascii="Times New Roman" w:hAnsi="Times New Roman" w:cs="Times New Roman"/>
          <w:sz w:val="24"/>
          <w:szCs w:val="24"/>
        </w:rPr>
        <w:t>,</w:t>
      </w:r>
      <w:r w:rsidR="00A85FD2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104176">
        <w:rPr>
          <w:rFonts w:ascii="Times New Roman" w:hAnsi="Times New Roman" w:cs="Times New Roman"/>
          <w:sz w:val="24"/>
          <w:szCs w:val="24"/>
        </w:rPr>
        <w:t xml:space="preserve">os quais </w:t>
      </w:r>
      <w:r w:rsidR="00037713">
        <w:rPr>
          <w:rFonts w:ascii="Times New Roman" w:hAnsi="Times New Roman" w:cs="Times New Roman"/>
          <w:sz w:val="24"/>
          <w:szCs w:val="24"/>
        </w:rPr>
        <w:t xml:space="preserve">foram </w:t>
      </w:r>
      <w:r w:rsidR="00A85FD2" w:rsidRPr="00B021B1">
        <w:rPr>
          <w:rFonts w:ascii="Times New Roman" w:hAnsi="Times New Roman" w:cs="Times New Roman"/>
          <w:sz w:val="24"/>
          <w:szCs w:val="24"/>
        </w:rPr>
        <w:t>aprovadas porque atenderam aos quesitos toxicológicos criteriosamente estabelecidos.</w:t>
      </w:r>
    </w:p>
    <w:p w14:paraId="2EB23D05" w14:textId="6A0D7926" w:rsidR="00BA5F16" w:rsidRPr="00B021B1" w:rsidRDefault="00037713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Apresenta-se, abaixo,</w:t>
      </w:r>
      <w:r w:rsidR="00BA5F16" w:rsidRPr="00B021B1">
        <w:rPr>
          <w:rFonts w:ascii="Times New Roman" w:hAnsi="Times New Roman" w:cs="Times New Roman"/>
          <w:sz w:val="24"/>
          <w:szCs w:val="24"/>
        </w:rPr>
        <w:t xml:space="preserve"> gráfico no qual são informados o número total de pedidos de avaliação protocolad</w:t>
      </w:r>
      <w:r>
        <w:rPr>
          <w:rFonts w:ascii="Times New Roman" w:hAnsi="Times New Roman" w:cs="Times New Roman"/>
          <w:sz w:val="24"/>
          <w:szCs w:val="24"/>
        </w:rPr>
        <w:t>o</w:t>
      </w:r>
      <w:r w:rsidR="00BA5F16" w:rsidRPr="00B021B1">
        <w:rPr>
          <w:rFonts w:ascii="Times New Roman" w:hAnsi="Times New Roman" w:cs="Times New Roman"/>
          <w:sz w:val="24"/>
          <w:szCs w:val="24"/>
        </w:rPr>
        <w:t xml:space="preserve">s pelas empresas interessadas em obter </w:t>
      </w:r>
      <w:r>
        <w:rPr>
          <w:rFonts w:ascii="Times New Roman" w:hAnsi="Times New Roman" w:cs="Times New Roman"/>
          <w:sz w:val="24"/>
          <w:szCs w:val="24"/>
        </w:rPr>
        <w:t>seu</w:t>
      </w:r>
      <w:r w:rsidR="00BA5F16" w:rsidRPr="00B021B1">
        <w:rPr>
          <w:rFonts w:ascii="Times New Roman" w:hAnsi="Times New Roman" w:cs="Times New Roman"/>
          <w:sz w:val="24"/>
          <w:szCs w:val="24"/>
        </w:rPr>
        <w:t xml:space="preserve"> registro, o número de análises favoráveis por </w:t>
      </w:r>
      <w:r w:rsidR="00BA5F16"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="00BA5F16" w:rsidRPr="00B021B1">
        <w:rPr>
          <w:rFonts w:ascii="Times New Roman" w:hAnsi="Times New Roman" w:cs="Times New Roman"/>
          <w:sz w:val="24"/>
          <w:szCs w:val="24"/>
        </w:rPr>
        <w:t>pologia de registro e o número de análises não concedidas, por terem sido arquivadas ou indeferidas, que, somad</w:t>
      </w:r>
      <w:r>
        <w:rPr>
          <w:rFonts w:ascii="Times New Roman" w:hAnsi="Times New Roman" w:cs="Times New Roman"/>
          <w:sz w:val="24"/>
          <w:szCs w:val="24"/>
        </w:rPr>
        <w:t>o</w:t>
      </w:r>
      <w:r w:rsidR="00BA5F16" w:rsidRPr="00B021B1">
        <w:rPr>
          <w:rFonts w:ascii="Times New Roman" w:hAnsi="Times New Roman" w:cs="Times New Roman"/>
          <w:sz w:val="24"/>
          <w:szCs w:val="24"/>
        </w:rPr>
        <w:t>s, totalizam o número de solicitações processadas pelo Ibama</w:t>
      </w:r>
      <w:r w:rsidR="00A03383" w:rsidRPr="00B021B1">
        <w:rPr>
          <w:rFonts w:ascii="Times New Roman" w:hAnsi="Times New Roman" w:cs="Times New Roman"/>
          <w:sz w:val="24"/>
          <w:szCs w:val="24"/>
        </w:rPr>
        <w:t>:</w:t>
      </w:r>
    </w:p>
    <w:p w14:paraId="6C12DAC1" w14:textId="2A5F0571" w:rsidR="001C7CC1" w:rsidRPr="00B021B1" w:rsidRDefault="001C7CC1" w:rsidP="0093332C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60861D" wp14:editId="0405B3A5">
            <wp:extent cx="5325745" cy="4235450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4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28B95" w14:textId="7BB56E7C" w:rsidR="007134EC" w:rsidRPr="00B021B1" w:rsidRDefault="007134EC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color w:val="000000"/>
          <w:sz w:val="24"/>
          <w:szCs w:val="24"/>
        </w:rPr>
        <w:t>Durante o período considerado no gráfico, foram feitos inves</w:t>
      </w:r>
      <w:r w:rsidRPr="00B021B1">
        <w:rPr>
          <w:rFonts w:ascii="Times New Roman" w:eastAsia="Calibri" w:hAnsi="Times New Roman" w:cs="Times New Roman"/>
          <w:color w:val="000000"/>
          <w:sz w:val="24"/>
          <w:szCs w:val="24"/>
        </w:rPr>
        <w:t>ti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mentos em ferramentas de tecnologia de informação, aporte de pessoas, sistemas de gestão, entre outros, </w:t>
      </w:r>
      <w:r w:rsidR="0027542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o que levou à 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>diminuição do tempo de análise dos processos individuais.</w:t>
      </w:r>
    </w:p>
    <w:p w14:paraId="42717658" w14:textId="05C9498C" w:rsidR="007134EC" w:rsidRPr="00B021B1" w:rsidRDefault="007134EC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color w:val="000000"/>
          <w:sz w:val="24"/>
          <w:szCs w:val="24"/>
        </w:rPr>
        <w:t>Des</w:t>
      </w:r>
      <w:r w:rsidR="0003771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>a forma, os quan</w:t>
      </w:r>
      <w:r w:rsidRPr="00B021B1">
        <w:rPr>
          <w:rFonts w:ascii="Times New Roman" w:eastAsia="Calibri" w:hAnsi="Times New Roman" w:cs="Times New Roman"/>
          <w:color w:val="000000"/>
          <w:sz w:val="24"/>
          <w:szCs w:val="24"/>
        </w:rPr>
        <w:t>ti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B021B1">
        <w:rPr>
          <w:rFonts w:ascii="Times New Roman" w:eastAsia="Calibri" w:hAnsi="Times New Roman" w:cs="Times New Roman"/>
          <w:color w:val="000000"/>
          <w:sz w:val="24"/>
          <w:szCs w:val="24"/>
        </w:rPr>
        <w:t>ti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>vos devem ser interpretados considerando que</w:t>
      </w:r>
      <w:r w:rsidR="000377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desde 2011</w:t>
      </w:r>
      <w:r w:rsidR="000377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o Ibama </w:t>
      </w:r>
      <w:r w:rsidR="0003771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os demais órgãos </w:t>
      </w:r>
      <w:r w:rsidR="00037713">
        <w:rPr>
          <w:rFonts w:ascii="Times New Roman" w:hAnsi="Times New Roman" w:cs="Times New Roman"/>
          <w:color w:val="000000"/>
          <w:sz w:val="24"/>
          <w:szCs w:val="24"/>
        </w:rPr>
        <w:t xml:space="preserve">competentes </w:t>
      </w:r>
      <w:r w:rsidR="0027542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>aperfeiçoaram e harmonizaram diversas ro</w:t>
      </w:r>
      <w:r w:rsidRPr="00B021B1">
        <w:rPr>
          <w:rFonts w:ascii="Times New Roman" w:eastAsia="Calibri" w:hAnsi="Times New Roman" w:cs="Times New Roman"/>
          <w:color w:val="000000"/>
          <w:sz w:val="24"/>
          <w:szCs w:val="24"/>
        </w:rPr>
        <w:t>ti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>nas administra</w:t>
      </w:r>
      <w:r w:rsidRPr="00B021B1">
        <w:rPr>
          <w:rFonts w:ascii="Times New Roman" w:eastAsia="Calibri" w:hAnsi="Times New Roman" w:cs="Times New Roman"/>
          <w:color w:val="000000"/>
          <w:sz w:val="24"/>
          <w:szCs w:val="24"/>
        </w:rPr>
        <w:t>ti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>vas, que interferem na dinâmica do gerenciamento dos processos, de forma a racionalizar o fluxo</w:t>
      </w:r>
      <w:r w:rsidR="005F2D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de trabalho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D5F60C" w14:textId="0909CA43" w:rsidR="007134EC" w:rsidRPr="00B021B1" w:rsidRDefault="00037713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É importante </w:t>
      </w:r>
      <w:r w:rsidR="007134EC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reforçar que </w:t>
      </w:r>
      <w:r>
        <w:rPr>
          <w:rFonts w:ascii="Times New Roman" w:hAnsi="Times New Roman" w:cs="Times New Roman"/>
          <w:color w:val="000000"/>
          <w:sz w:val="24"/>
          <w:szCs w:val="24"/>
        </w:rPr>
        <w:t>ess</w:t>
      </w:r>
      <w:r w:rsidR="007134EC" w:rsidRPr="00B021B1">
        <w:rPr>
          <w:rFonts w:ascii="Times New Roman" w:hAnsi="Times New Roman" w:cs="Times New Roman"/>
          <w:color w:val="000000"/>
          <w:sz w:val="24"/>
          <w:szCs w:val="24"/>
        </w:rPr>
        <w:t>as modificações não representam “flexibilização” de critérios técnico-cien</w:t>
      </w:r>
      <w:r w:rsidR="007134EC" w:rsidRPr="00B021B1">
        <w:rPr>
          <w:rFonts w:ascii="Times New Roman" w:eastAsia="Calibri" w:hAnsi="Times New Roman" w:cs="Times New Roman"/>
          <w:color w:val="000000"/>
          <w:sz w:val="24"/>
          <w:szCs w:val="24"/>
        </w:rPr>
        <w:t>tí</w:t>
      </w:r>
      <w:r w:rsidR="007134EC" w:rsidRPr="00B021B1">
        <w:rPr>
          <w:rFonts w:ascii="Times New Roman" w:hAnsi="Times New Roman" w:cs="Times New Roman"/>
          <w:color w:val="000000"/>
          <w:sz w:val="24"/>
          <w:szCs w:val="24"/>
        </w:rPr>
        <w:t>ficos u</w:t>
      </w:r>
      <w:r w:rsidR="007134EC" w:rsidRPr="00B021B1">
        <w:rPr>
          <w:rFonts w:ascii="Times New Roman" w:eastAsia="Calibri" w:hAnsi="Times New Roman" w:cs="Times New Roman"/>
          <w:color w:val="000000"/>
          <w:sz w:val="24"/>
          <w:szCs w:val="24"/>
        </w:rPr>
        <w:t>ti</w:t>
      </w:r>
      <w:r w:rsidR="007134EC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lizados para avaliar os produtos. Pelo contrário, ao longo dos anos, observa-se aumento do rigor técnico para a conclusão das avaliações ambientais, tais </w:t>
      </w:r>
      <w:r w:rsidR="007134EC" w:rsidRPr="00B021B1">
        <w:rPr>
          <w:rFonts w:ascii="Times New Roman" w:hAnsi="Times New Roman" w:cs="Times New Roman"/>
          <w:color w:val="000000"/>
          <w:sz w:val="24"/>
          <w:szCs w:val="24"/>
        </w:rPr>
        <w:lastRenderedPageBreak/>
        <w:t>como a aplicação de metodologias adicionais e mais complexas de análise para Produtos Técnicos Novos (Avaliação de Risco), a definição de critérios para que um produto mais tóxico ao meio ambiente não seja aprovado quando comparado a um já existente no mercado para o mesmo fim</w:t>
      </w:r>
      <w:r w:rsidR="004B1081" w:rsidRPr="00B021B1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="007134EC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e, o estabelecimento de critérios para avaliação de risco voltada especificamente à proteção de polinizadores</w:t>
      </w:r>
      <w:r w:rsidR="004B1081" w:rsidRPr="00B021B1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="007134EC" w:rsidRPr="00B021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EB18E4" w14:textId="2E7CDFE2" w:rsidR="001F47FA" w:rsidRPr="00B021B1" w:rsidRDefault="00D15DF9" w:rsidP="001F47FA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Ressalta-se, ainda, que esses números correspondem às análises que foram feitas pelo Ibama, mas não necessariamente todas redundaram em produtos que foram registrados pelo </w:t>
      </w:r>
      <w:r w:rsidR="003B7BD4">
        <w:rPr>
          <w:rFonts w:ascii="Times New Roman" w:hAnsi="Times New Roman" w:cs="Times New Roman"/>
          <w:sz w:val="24"/>
          <w:szCs w:val="24"/>
        </w:rPr>
        <w:t>MAPA</w:t>
      </w:r>
      <w:r w:rsidRPr="00B021B1">
        <w:rPr>
          <w:rFonts w:ascii="Times New Roman" w:hAnsi="Times New Roman" w:cs="Times New Roman"/>
          <w:sz w:val="24"/>
          <w:szCs w:val="24"/>
        </w:rPr>
        <w:t xml:space="preserve">, pois um produto pode ter atendido aos critérios </w:t>
      </w:r>
      <w:r w:rsidR="003B7BD4">
        <w:rPr>
          <w:rFonts w:ascii="Times New Roman" w:hAnsi="Times New Roman" w:cs="Times New Roman"/>
          <w:sz w:val="24"/>
          <w:szCs w:val="24"/>
        </w:rPr>
        <w:t>ambientais</w:t>
      </w:r>
      <w:r w:rsidRPr="00B021B1">
        <w:rPr>
          <w:rFonts w:ascii="Times New Roman" w:hAnsi="Times New Roman" w:cs="Times New Roman"/>
          <w:sz w:val="24"/>
          <w:szCs w:val="24"/>
        </w:rPr>
        <w:t xml:space="preserve"> e ser considerado apto a registr</w:t>
      </w:r>
      <w:r w:rsidR="003B7BD4">
        <w:rPr>
          <w:rFonts w:ascii="Times New Roman" w:hAnsi="Times New Roman" w:cs="Times New Roman"/>
          <w:sz w:val="24"/>
          <w:szCs w:val="24"/>
        </w:rPr>
        <w:t>o</w:t>
      </w:r>
      <w:r w:rsidRPr="00B021B1">
        <w:rPr>
          <w:rFonts w:ascii="Times New Roman" w:hAnsi="Times New Roman" w:cs="Times New Roman"/>
          <w:sz w:val="24"/>
          <w:szCs w:val="24"/>
        </w:rPr>
        <w:t xml:space="preserve"> pelo Ibama, mas pode não ter atendido aos critérios de saúde e ser considerado não</w:t>
      </w:r>
      <w:r w:rsidR="003B7BD4">
        <w:rPr>
          <w:rFonts w:ascii="Times New Roman" w:hAnsi="Times New Roman" w:cs="Times New Roman"/>
          <w:sz w:val="24"/>
          <w:szCs w:val="24"/>
        </w:rPr>
        <w:t xml:space="preserve"> </w:t>
      </w:r>
      <w:r w:rsidRPr="00B021B1">
        <w:rPr>
          <w:rFonts w:ascii="Times New Roman" w:hAnsi="Times New Roman" w:cs="Times New Roman"/>
          <w:sz w:val="24"/>
          <w:szCs w:val="24"/>
        </w:rPr>
        <w:t xml:space="preserve">apto a registro pela Anvisa, </w:t>
      </w:r>
      <w:r w:rsidR="003B7BD4">
        <w:rPr>
          <w:rFonts w:ascii="Times New Roman" w:hAnsi="Times New Roman" w:cs="Times New Roman"/>
          <w:sz w:val="24"/>
          <w:szCs w:val="24"/>
        </w:rPr>
        <w:t>assim como pode ocorrer o contrário</w:t>
      </w:r>
      <w:r w:rsidRPr="00B021B1">
        <w:rPr>
          <w:rFonts w:ascii="Times New Roman" w:hAnsi="Times New Roman" w:cs="Times New Roman"/>
          <w:sz w:val="24"/>
          <w:szCs w:val="24"/>
        </w:rPr>
        <w:t>.</w:t>
      </w:r>
    </w:p>
    <w:p w14:paraId="582B7317" w14:textId="1276CE09" w:rsidR="001F47FA" w:rsidRPr="00B021B1" w:rsidRDefault="001F47FA" w:rsidP="001F47FA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Por oportuno, cabe </w:t>
      </w:r>
      <w:r w:rsidR="003B7BD4">
        <w:rPr>
          <w:rFonts w:ascii="Times New Roman" w:hAnsi="Times New Roman" w:cs="Times New Roman"/>
          <w:sz w:val="24"/>
          <w:szCs w:val="24"/>
        </w:rPr>
        <w:t>mencionar</w:t>
      </w:r>
      <w:r w:rsidRPr="00B021B1">
        <w:rPr>
          <w:rFonts w:ascii="Times New Roman" w:hAnsi="Times New Roman" w:cs="Times New Roman"/>
          <w:sz w:val="24"/>
          <w:szCs w:val="24"/>
        </w:rPr>
        <w:t xml:space="preserve"> que, em função da grande demanda de pleitos para avaliação, recebida pelo Ibama e </w:t>
      </w:r>
      <w:r w:rsidR="003B7BD4">
        <w:rPr>
          <w:rFonts w:ascii="Times New Roman" w:hAnsi="Times New Roman" w:cs="Times New Roman"/>
          <w:sz w:val="24"/>
          <w:szCs w:val="24"/>
        </w:rPr>
        <w:t xml:space="preserve">por </w:t>
      </w:r>
      <w:r w:rsidRPr="00B021B1">
        <w:rPr>
          <w:rFonts w:ascii="Times New Roman" w:hAnsi="Times New Roman" w:cs="Times New Roman"/>
          <w:sz w:val="24"/>
          <w:szCs w:val="24"/>
        </w:rPr>
        <w:t>demais órgãos federais envolvidos no processo de registro de agrotóxico</w:t>
      </w:r>
      <w:r w:rsidR="003B7BD4">
        <w:rPr>
          <w:rFonts w:ascii="Times New Roman" w:hAnsi="Times New Roman" w:cs="Times New Roman"/>
          <w:sz w:val="24"/>
          <w:szCs w:val="24"/>
        </w:rPr>
        <w:t>s</w:t>
      </w:r>
      <w:r w:rsidRPr="00B021B1">
        <w:rPr>
          <w:rFonts w:ascii="Times New Roman" w:hAnsi="Times New Roman" w:cs="Times New Roman"/>
          <w:sz w:val="24"/>
          <w:szCs w:val="24"/>
        </w:rPr>
        <w:t>, o MAPA publicou</w:t>
      </w:r>
      <w:r w:rsidR="003B7BD4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no D</w:t>
      </w:r>
      <w:r w:rsidR="003B7BD4">
        <w:rPr>
          <w:rFonts w:ascii="Times New Roman" w:hAnsi="Times New Roman" w:cs="Times New Roman"/>
          <w:sz w:val="24"/>
          <w:szCs w:val="24"/>
        </w:rPr>
        <w:t xml:space="preserve">iário </w:t>
      </w:r>
      <w:r w:rsidRPr="00B021B1">
        <w:rPr>
          <w:rFonts w:ascii="Times New Roman" w:hAnsi="Times New Roman" w:cs="Times New Roman"/>
          <w:sz w:val="24"/>
          <w:szCs w:val="24"/>
        </w:rPr>
        <w:t>O</w:t>
      </w:r>
      <w:r w:rsidR="003B7BD4">
        <w:rPr>
          <w:rFonts w:ascii="Times New Roman" w:hAnsi="Times New Roman" w:cs="Times New Roman"/>
          <w:sz w:val="24"/>
          <w:szCs w:val="24"/>
        </w:rPr>
        <w:t xml:space="preserve">ficial da </w:t>
      </w:r>
      <w:r w:rsidRPr="00B021B1">
        <w:rPr>
          <w:rFonts w:ascii="Times New Roman" w:hAnsi="Times New Roman" w:cs="Times New Roman"/>
          <w:sz w:val="24"/>
          <w:szCs w:val="24"/>
        </w:rPr>
        <w:t>U</w:t>
      </w:r>
      <w:r w:rsidR="003B7BD4">
        <w:rPr>
          <w:rFonts w:ascii="Times New Roman" w:hAnsi="Times New Roman" w:cs="Times New Roman"/>
          <w:sz w:val="24"/>
          <w:szCs w:val="24"/>
        </w:rPr>
        <w:t>nião</w:t>
      </w:r>
      <w:r w:rsidRPr="00B021B1">
        <w:rPr>
          <w:rFonts w:ascii="Times New Roman" w:hAnsi="Times New Roman" w:cs="Times New Roman"/>
          <w:sz w:val="24"/>
          <w:szCs w:val="24"/>
        </w:rPr>
        <w:t xml:space="preserve"> de 12 de agosto de 2015</w:t>
      </w:r>
      <w:r w:rsidR="003B7BD4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a Portaria nº 163, de 11 de agosto de 2015, que </w:t>
      </w:r>
      <w:r w:rsidRPr="00B021B1">
        <w:rPr>
          <w:rFonts w:ascii="Times New Roman" w:hAnsi="Times New Roman" w:cs="Times New Roman"/>
          <w:b/>
          <w:bCs/>
          <w:sz w:val="24"/>
          <w:szCs w:val="24"/>
        </w:rPr>
        <w:t xml:space="preserve">estabelece critérios de priorização de análise de produtos agrotóxicos visando </w:t>
      </w:r>
      <w:r w:rsidR="002274D3" w:rsidRPr="00B021B1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Pr="00B021B1">
        <w:rPr>
          <w:rFonts w:ascii="Times New Roman" w:hAnsi="Times New Roman" w:cs="Times New Roman"/>
          <w:b/>
          <w:bCs/>
          <w:sz w:val="24"/>
          <w:szCs w:val="24"/>
        </w:rPr>
        <w:t xml:space="preserve"> sanidade dos vegetais, tendo em conta as pragas de maior risco, as principais culturas e a lista dos ingredientes ativos, produtos e tecnologias agrícolas submetidos a registro. </w:t>
      </w:r>
      <w:r w:rsidRPr="00B021B1">
        <w:rPr>
          <w:rFonts w:ascii="Times New Roman" w:hAnsi="Times New Roman" w:cs="Times New Roman"/>
          <w:sz w:val="24"/>
          <w:szCs w:val="24"/>
        </w:rPr>
        <w:t>Em 2016, 2017 e 2019</w:t>
      </w:r>
      <w:r w:rsidR="0033495F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o MAPA publicou os produtos agrotóxicos que deveriam ser priorizados para avaliação, considerando a relevância agronômica brasileira</w:t>
      </w:r>
      <w:r w:rsidRPr="00B021B1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B021B1">
        <w:rPr>
          <w:rFonts w:ascii="Times New Roman" w:hAnsi="Times New Roman" w:cs="Times New Roman"/>
          <w:sz w:val="24"/>
          <w:szCs w:val="24"/>
        </w:rPr>
        <w:t>.</w:t>
      </w:r>
    </w:p>
    <w:p w14:paraId="13E77441" w14:textId="6D582052" w:rsidR="004B0641" w:rsidRPr="00B021B1" w:rsidRDefault="00825C1D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Em relação à avaliação técnica de agrotóxicos realizada pelo Ibama, </w:t>
      </w:r>
      <w:r w:rsidR="0033495F">
        <w:rPr>
          <w:rFonts w:ascii="Times New Roman" w:hAnsi="Times New Roman" w:cs="Times New Roman"/>
          <w:sz w:val="24"/>
          <w:szCs w:val="24"/>
        </w:rPr>
        <w:t xml:space="preserve">há </w:t>
      </w:r>
      <w:r w:rsidRPr="00B021B1">
        <w:rPr>
          <w:rFonts w:ascii="Times New Roman" w:hAnsi="Times New Roman" w:cs="Times New Roman"/>
          <w:sz w:val="24"/>
          <w:szCs w:val="24"/>
        </w:rPr>
        <w:t>duas etapas: a Avaliação do Potencial de Periculosidade Ambiental (PPA) e a Avaliação de Risco Ambiental (ARA).</w:t>
      </w:r>
    </w:p>
    <w:p w14:paraId="40D1535A" w14:textId="2D016305" w:rsidR="004B0641" w:rsidRPr="00B021B1" w:rsidRDefault="00825C1D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A primeira</w:t>
      </w:r>
      <w:r w:rsidR="0033495F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realizada desde 1990, permite conhecer as características intrínsecas de cada produto, bem como seu comportamento e des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no ambiental, estando disciplinada pela Portaria Norma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va IBAMA nº 84/96.</w:t>
      </w:r>
    </w:p>
    <w:p w14:paraId="2031B84C" w14:textId="29408F29" w:rsidR="00193D6B" w:rsidRPr="00B021B1" w:rsidRDefault="00825C1D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A avaliação e </w:t>
      </w:r>
      <w:r w:rsidR="0004761D">
        <w:rPr>
          <w:rFonts w:ascii="Times New Roman" w:hAnsi="Times New Roman" w:cs="Times New Roman"/>
          <w:sz w:val="24"/>
          <w:szCs w:val="24"/>
        </w:rPr>
        <w:t xml:space="preserve">a </w:t>
      </w:r>
      <w:r w:rsidRPr="00B021B1">
        <w:rPr>
          <w:rFonts w:ascii="Times New Roman" w:hAnsi="Times New Roman" w:cs="Times New Roman"/>
          <w:sz w:val="24"/>
          <w:szCs w:val="24"/>
        </w:rPr>
        <w:t>classificação do PPA de um agrotóxico se baseia</w:t>
      </w:r>
      <w:r w:rsidR="0004761D">
        <w:rPr>
          <w:rFonts w:ascii="Times New Roman" w:hAnsi="Times New Roman" w:cs="Times New Roman"/>
          <w:sz w:val="24"/>
          <w:szCs w:val="24"/>
        </w:rPr>
        <w:t>m</w:t>
      </w:r>
      <w:r w:rsidRPr="00B021B1">
        <w:rPr>
          <w:rFonts w:ascii="Times New Roman" w:hAnsi="Times New Roman" w:cs="Times New Roman"/>
          <w:sz w:val="24"/>
          <w:szCs w:val="24"/>
        </w:rPr>
        <w:t xml:space="preserve"> na toxicidade inerente do produto (toxicidade a micro-organismos do solo, minhocas, algas, peixes, </w:t>
      </w:r>
      <w:proofErr w:type="spellStart"/>
      <w:r w:rsidRPr="00B021B1">
        <w:rPr>
          <w:rFonts w:ascii="Times New Roman" w:hAnsi="Times New Roman" w:cs="Times New Roman"/>
          <w:sz w:val="24"/>
          <w:szCs w:val="24"/>
        </w:rPr>
        <w:t>microcrustáceos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>, abelhas, aves e mamíferos) e no comportamento do seu ingrediente a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 xml:space="preserve">vo no </w:t>
      </w:r>
      <w:r w:rsidR="0033495F">
        <w:rPr>
          <w:rFonts w:ascii="Times New Roman" w:hAnsi="Times New Roman" w:cs="Times New Roman"/>
          <w:sz w:val="24"/>
          <w:szCs w:val="24"/>
        </w:rPr>
        <w:t xml:space="preserve">meio </w:t>
      </w:r>
      <w:r w:rsidRPr="00B021B1">
        <w:rPr>
          <w:rFonts w:ascii="Times New Roman" w:hAnsi="Times New Roman" w:cs="Times New Roman"/>
          <w:sz w:val="24"/>
          <w:szCs w:val="24"/>
        </w:rPr>
        <w:t xml:space="preserve">ambiente, no que se refere </w:t>
      </w:r>
      <w:r w:rsidR="00340F6E">
        <w:rPr>
          <w:rFonts w:ascii="Times New Roman" w:hAnsi="Times New Roman" w:cs="Times New Roman"/>
          <w:sz w:val="24"/>
          <w:szCs w:val="24"/>
        </w:rPr>
        <w:t>a sua</w:t>
      </w:r>
      <w:r w:rsidRPr="00B021B1">
        <w:rPr>
          <w:rFonts w:ascii="Times New Roman" w:hAnsi="Times New Roman" w:cs="Times New Roman"/>
          <w:sz w:val="24"/>
          <w:szCs w:val="24"/>
        </w:rPr>
        <w:t xml:space="preserve"> persistência, </w:t>
      </w:r>
      <w:proofErr w:type="spellStart"/>
      <w:r w:rsidRPr="00B021B1">
        <w:rPr>
          <w:rFonts w:ascii="Times New Roman" w:hAnsi="Times New Roman" w:cs="Times New Roman"/>
          <w:sz w:val="24"/>
          <w:szCs w:val="24"/>
        </w:rPr>
        <w:t>bioacumulação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 xml:space="preserve"> e transporte.</w:t>
      </w:r>
    </w:p>
    <w:p w14:paraId="72B36284" w14:textId="6CAD2C79" w:rsidR="00EE28F0" w:rsidRPr="00B021B1" w:rsidRDefault="00EE28F0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lastRenderedPageBreak/>
        <w:t>A classificação final do PPA d</w:t>
      </w:r>
      <w:r w:rsidR="003C2D1C">
        <w:rPr>
          <w:rFonts w:ascii="Times New Roman" w:hAnsi="Times New Roman" w:cs="Times New Roman"/>
          <w:sz w:val="24"/>
          <w:szCs w:val="24"/>
        </w:rPr>
        <w:t>o</w:t>
      </w:r>
      <w:r w:rsidRPr="00B021B1">
        <w:rPr>
          <w:rFonts w:ascii="Times New Roman" w:hAnsi="Times New Roman" w:cs="Times New Roman"/>
          <w:sz w:val="24"/>
          <w:szCs w:val="24"/>
        </w:rPr>
        <w:t xml:space="preserve"> produto avaliado é realizada conforme metodologia de ranqueamento, sendo resultante do somatório das classificações individuais atribuídas a cada um dos resultados dos testes de toxicidade a organismos não</w:t>
      </w:r>
      <w:r w:rsidR="003C2D1C">
        <w:rPr>
          <w:rFonts w:ascii="Times New Roman" w:hAnsi="Times New Roman" w:cs="Times New Roman"/>
          <w:sz w:val="24"/>
          <w:szCs w:val="24"/>
        </w:rPr>
        <w:t xml:space="preserve"> </w:t>
      </w:r>
      <w:r w:rsidRPr="00B021B1">
        <w:rPr>
          <w:rFonts w:ascii="Times New Roman" w:hAnsi="Times New Roman" w:cs="Times New Roman"/>
          <w:sz w:val="24"/>
          <w:szCs w:val="24"/>
        </w:rPr>
        <w:t>alvo, bem como dos testes referentes ao comportamento ambiental, observad</w:t>
      </w:r>
      <w:r w:rsidR="002274D3" w:rsidRPr="00B021B1">
        <w:rPr>
          <w:rFonts w:ascii="Times New Roman" w:hAnsi="Times New Roman" w:cs="Times New Roman"/>
          <w:sz w:val="24"/>
          <w:szCs w:val="24"/>
        </w:rPr>
        <w:t>o</w:t>
      </w:r>
      <w:r w:rsidRPr="00B021B1">
        <w:rPr>
          <w:rFonts w:ascii="Times New Roman" w:hAnsi="Times New Roman" w:cs="Times New Roman"/>
          <w:sz w:val="24"/>
          <w:szCs w:val="24"/>
        </w:rPr>
        <w:t xml:space="preserve">s os critérios de ponderação (pesos atribuídos), e resulta no enquadrando do produto em </w:t>
      </w:r>
      <w:r w:rsidR="003C2D1C">
        <w:rPr>
          <w:rFonts w:ascii="Times New Roman" w:hAnsi="Times New Roman" w:cs="Times New Roman"/>
          <w:sz w:val="24"/>
          <w:szCs w:val="24"/>
        </w:rPr>
        <w:t>quatro</w:t>
      </w:r>
      <w:r w:rsidRPr="00B021B1">
        <w:rPr>
          <w:rFonts w:ascii="Times New Roman" w:hAnsi="Times New Roman" w:cs="Times New Roman"/>
          <w:sz w:val="24"/>
          <w:szCs w:val="24"/>
        </w:rPr>
        <w:t xml:space="preserve"> possíveis classes ambientais, conforme art</w:t>
      </w:r>
      <w:r w:rsidR="003C2D1C">
        <w:rPr>
          <w:rFonts w:ascii="Times New Roman" w:hAnsi="Times New Roman" w:cs="Times New Roman"/>
          <w:sz w:val="24"/>
          <w:szCs w:val="24"/>
        </w:rPr>
        <w:t>igo</w:t>
      </w:r>
      <w:r w:rsidRPr="00B021B1">
        <w:rPr>
          <w:rFonts w:ascii="Times New Roman" w:hAnsi="Times New Roman" w:cs="Times New Roman"/>
          <w:sz w:val="24"/>
          <w:szCs w:val="24"/>
        </w:rPr>
        <w:t xml:space="preserve"> 3° da Portaria Ibama n° 84/96.</w:t>
      </w:r>
    </w:p>
    <w:p w14:paraId="729C996B" w14:textId="12558583" w:rsidR="00EE28F0" w:rsidRPr="00B021B1" w:rsidRDefault="00EE28F0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Os agrotóxicos potencialmente mais perigosos ao meio ambiente, em um cômputo global, são os que recebem a classificação I – Produto Altamente Perigoso ao </w:t>
      </w:r>
      <w:r w:rsidR="00B2091E">
        <w:rPr>
          <w:rFonts w:ascii="Times New Roman" w:hAnsi="Times New Roman" w:cs="Times New Roman"/>
          <w:sz w:val="24"/>
          <w:szCs w:val="24"/>
        </w:rPr>
        <w:t>M</w:t>
      </w:r>
      <w:r w:rsidRPr="00B021B1">
        <w:rPr>
          <w:rFonts w:ascii="Times New Roman" w:hAnsi="Times New Roman" w:cs="Times New Roman"/>
          <w:sz w:val="24"/>
          <w:szCs w:val="24"/>
        </w:rPr>
        <w:t xml:space="preserve">eio </w:t>
      </w:r>
      <w:r w:rsidR="00B2091E">
        <w:rPr>
          <w:rFonts w:ascii="Times New Roman" w:hAnsi="Times New Roman" w:cs="Times New Roman"/>
          <w:sz w:val="24"/>
          <w:szCs w:val="24"/>
        </w:rPr>
        <w:t>A</w:t>
      </w:r>
      <w:r w:rsidRPr="00B021B1">
        <w:rPr>
          <w:rFonts w:ascii="Times New Roman" w:hAnsi="Times New Roman" w:cs="Times New Roman"/>
          <w:sz w:val="24"/>
          <w:szCs w:val="24"/>
        </w:rPr>
        <w:t>mbiente, seguido pelos de Classe II, III e IV.</w:t>
      </w:r>
    </w:p>
    <w:p w14:paraId="67691193" w14:textId="066C4439" w:rsidR="00EE28F0" w:rsidRPr="00B021B1" w:rsidRDefault="00EE28F0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De acordo com o parágrafo único do </w:t>
      </w:r>
      <w:r w:rsidR="00B2091E">
        <w:rPr>
          <w:rFonts w:ascii="Times New Roman" w:hAnsi="Times New Roman" w:cs="Times New Roman"/>
          <w:sz w:val="24"/>
          <w:szCs w:val="24"/>
        </w:rPr>
        <w:t>artigo</w:t>
      </w:r>
      <w:r w:rsidRPr="00B021B1">
        <w:rPr>
          <w:rFonts w:ascii="Times New Roman" w:hAnsi="Times New Roman" w:cs="Times New Roman"/>
          <w:sz w:val="24"/>
          <w:szCs w:val="24"/>
        </w:rPr>
        <w:t xml:space="preserve"> 3° da Instrução Norma</w:t>
      </w:r>
      <w:r w:rsidR="004B0641"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va Ibama n° 84/96, aos agrotóxicos, seus componentes e afins que se enquadrem em pelo menos um dos seguintes critérios será conferida a classificação de "Produto de Periculosidade Impedi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va à Obtenção de Registro":</w:t>
      </w:r>
    </w:p>
    <w:p w14:paraId="5F7DC7B9" w14:textId="0305252A" w:rsidR="00EE28F0" w:rsidRPr="00210463" w:rsidRDefault="00EE28F0" w:rsidP="004B1081">
      <w:pPr>
        <w:pStyle w:val="PargrafodaLista"/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10463">
        <w:rPr>
          <w:rFonts w:ascii="Times New Roman" w:hAnsi="Times New Roman" w:cs="Times New Roman"/>
          <w:sz w:val="20"/>
          <w:szCs w:val="20"/>
        </w:rPr>
        <w:t>a) não houver disponibilidade no país de métodos para sua desa</w:t>
      </w:r>
      <w:r w:rsidR="004B0641" w:rsidRPr="00210463">
        <w:rPr>
          <w:rFonts w:ascii="Times New Roman" w:eastAsia="Calibri" w:hAnsi="Times New Roman" w:cs="Times New Roman"/>
          <w:sz w:val="20"/>
          <w:szCs w:val="20"/>
        </w:rPr>
        <w:t>ti</w:t>
      </w:r>
      <w:r w:rsidRPr="00210463">
        <w:rPr>
          <w:rFonts w:ascii="Times New Roman" w:hAnsi="Times New Roman" w:cs="Times New Roman"/>
          <w:sz w:val="20"/>
          <w:szCs w:val="20"/>
        </w:rPr>
        <w:t>vação e de seus componentes, como preceitua a alínea a, do § 6°, do ar</w:t>
      </w:r>
      <w:r w:rsidR="002274D3" w:rsidRPr="00210463">
        <w:rPr>
          <w:rFonts w:ascii="Times New Roman" w:eastAsia="Calibri" w:hAnsi="Times New Roman" w:cs="Times New Roman"/>
          <w:sz w:val="20"/>
          <w:szCs w:val="20"/>
        </w:rPr>
        <w:t>ti</w:t>
      </w:r>
      <w:r w:rsidRPr="00210463">
        <w:rPr>
          <w:rFonts w:ascii="Times New Roman" w:hAnsi="Times New Roman" w:cs="Times New Roman"/>
          <w:sz w:val="20"/>
          <w:szCs w:val="20"/>
        </w:rPr>
        <w:t>go 3°, da Lei 7.802 e inciso</w:t>
      </w:r>
    </w:p>
    <w:p w14:paraId="7763E9A8" w14:textId="716AA6B9" w:rsidR="00EE28F0" w:rsidRPr="00210463" w:rsidRDefault="00EE28F0" w:rsidP="004B1081">
      <w:pPr>
        <w:pStyle w:val="PargrafodaLista"/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10463">
        <w:rPr>
          <w:rFonts w:ascii="Times New Roman" w:hAnsi="Times New Roman" w:cs="Times New Roman"/>
          <w:sz w:val="20"/>
          <w:szCs w:val="20"/>
        </w:rPr>
        <w:t>I, do ar</w:t>
      </w:r>
      <w:r w:rsidRPr="00210463">
        <w:rPr>
          <w:rFonts w:ascii="Times New Roman" w:eastAsia="Calibri" w:hAnsi="Times New Roman" w:cs="Times New Roman"/>
          <w:sz w:val="20"/>
          <w:szCs w:val="20"/>
        </w:rPr>
        <w:t>ti</w:t>
      </w:r>
      <w:r w:rsidRPr="00210463">
        <w:rPr>
          <w:rFonts w:ascii="Times New Roman" w:hAnsi="Times New Roman" w:cs="Times New Roman"/>
          <w:sz w:val="20"/>
          <w:szCs w:val="20"/>
        </w:rPr>
        <w:t>go 22, do Decreto 98.816;</w:t>
      </w:r>
    </w:p>
    <w:p w14:paraId="4F07CFFC" w14:textId="7DB02097" w:rsidR="00EE28F0" w:rsidRPr="00210463" w:rsidRDefault="00EE28F0" w:rsidP="004B1081">
      <w:pPr>
        <w:pStyle w:val="PargrafodaLista"/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10463">
        <w:rPr>
          <w:rFonts w:ascii="Times New Roman" w:hAnsi="Times New Roman" w:cs="Times New Roman"/>
          <w:sz w:val="20"/>
          <w:szCs w:val="20"/>
        </w:rPr>
        <w:t>b) apresentar caracterís</w:t>
      </w:r>
      <w:r w:rsidR="008D3840" w:rsidRPr="00210463">
        <w:rPr>
          <w:rFonts w:ascii="Times New Roman" w:eastAsia="Calibri" w:hAnsi="Times New Roman" w:cs="Times New Roman"/>
          <w:sz w:val="20"/>
          <w:szCs w:val="20"/>
        </w:rPr>
        <w:t>ti</w:t>
      </w:r>
      <w:r w:rsidRPr="00210463">
        <w:rPr>
          <w:rFonts w:ascii="Times New Roman" w:hAnsi="Times New Roman" w:cs="Times New Roman"/>
          <w:sz w:val="20"/>
          <w:szCs w:val="20"/>
        </w:rPr>
        <w:t>cas mutagênicas, teratogênicas ou carcinogênicas referidas na alínea c, do §6°, do ar</w:t>
      </w:r>
      <w:r w:rsidR="008D3840" w:rsidRPr="00210463">
        <w:rPr>
          <w:rFonts w:ascii="Times New Roman" w:eastAsia="Calibri" w:hAnsi="Times New Roman" w:cs="Times New Roman"/>
          <w:sz w:val="20"/>
          <w:szCs w:val="20"/>
        </w:rPr>
        <w:t>ti</w:t>
      </w:r>
      <w:r w:rsidRPr="00210463">
        <w:rPr>
          <w:rFonts w:ascii="Times New Roman" w:hAnsi="Times New Roman" w:cs="Times New Roman"/>
          <w:sz w:val="20"/>
          <w:szCs w:val="20"/>
        </w:rPr>
        <w:t>go 3°, da Lei 7.802 e incisos III, IV e V, do ar</w:t>
      </w:r>
      <w:r w:rsidR="008D3840" w:rsidRPr="00210463">
        <w:rPr>
          <w:rFonts w:ascii="Times New Roman" w:eastAsia="Calibri" w:hAnsi="Times New Roman" w:cs="Times New Roman"/>
          <w:sz w:val="20"/>
          <w:szCs w:val="20"/>
        </w:rPr>
        <w:t>ti</w:t>
      </w:r>
      <w:r w:rsidRPr="00210463">
        <w:rPr>
          <w:rFonts w:ascii="Times New Roman" w:hAnsi="Times New Roman" w:cs="Times New Roman"/>
          <w:sz w:val="20"/>
          <w:szCs w:val="20"/>
        </w:rPr>
        <w:t>go 22, do</w:t>
      </w:r>
    </w:p>
    <w:p w14:paraId="79C2DD6C" w14:textId="77777777" w:rsidR="00EE28F0" w:rsidRPr="00210463" w:rsidRDefault="00EE28F0" w:rsidP="004B1081">
      <w:pPr>
        <w:pStyle w:val="PargrafodaLista"/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10463">
        <w:rPr>
          <w:rFonts w:ascii="Times New Roman" w:hAnsi="Times New Roman" w:cs="Times New Roman"/>
          <w:sz w:val="20"/>
          <w:szCs w:val="20"/>
        </w:rPr>
        <w:t>Decreto 98.816;</w:t>
      </w:r>
    </w:p>
    <w:p w14:paraId="1FC2344E" w14:textId="4CDC2F19" w:rsidR="004B0641" w:rsidRPr="00210463" w:rsidRDefault="00EE28F0" w:rsidP="004B1081">
      <w:pPr>
        <w:pStyle w:val="PargrafodaLista"/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10463">
        <w:rPr>
          <w:rFonts w:ascii="Times New Roman" w:hAnsi="Times New Roman" w:cs="Times New Roman"/>
          <w:sz w:val="20"/>
          <w:szCs w:val="20"/>
        </w:rPr>
        <w:t xml:space="preserve">c) a classificação de </w:t>
      </w:r>
      <w:r w:rsidR="002274D3" w:rsidRPr="00210463">
        <w:rPr>
          <w:rFonts w:ascii="Times New Roman" w:hAnsi="Times New Roman" w:cs="Times New Roman"/>
          <w:sz w:val="20"/>
          <w:szCs w:val="20"/>
        </w:rPr>
        <w:t>PPA</w:t>
      </w:r>
      <w:r w:rsidRPr="00210463">
        <w:rPr>
          <w:rFonts w:ascii="Times New Roman" w:hAnsi="Times New Roman" w:cs="Times New Roman"/>
          <w:sz w:val="20"/>
          <w:szCs w:val="20"/>
        </w:rPr>
        <w:t xml:space="preserve"> e/ou avaliação do risco ambiental indicarem índices não aceitáveis de periculosidade e/ou risco, considerando os usos propostos.</w:t>
      </w:r>
    </w:p>
    <w:p w14:paraId="1B155FE0" w14:textId="6B7D303F" w:rsidR="00EE28F0" w:rsidRPr="00B021B1" w:rsidRDefault="00EE28F0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A Avaliação de Risco Ambiental</w:t>
      </w:r>
      <w:r w:rsidR="00097B8D">
        <w:rPr>
          <w:rFonts w:ascii="Times New Roman" w:hAnsi="Times New Roman" w:cs="Times New Roman"/>
          <w:sz w:val="24"/>
          <w:szCs w:val="24"/>
        </w:rPr>
        <w:t>, que</w:t>
      </w:r>
      <w:r w:rsidRPr="00B021B1">
        <w:rPr>
          <w:rFonts w:ascii="Times New Roman" w:hAnsi="Times New Roman" w:cs="Times New Roman"/>
          <w:sz w:val="24"/>
          <w:szCs w:val="24"/>
        </w:rPr>
        <w:t xml:space="preserve"> ocorre posteriormente à avaliação do PPA</w:t>
      </w:r>
      <w:r w:rsidR="00097B8D">
        <w:rPr>
          <w:rFonts w:ascii="Times New Roman" w:hAnsi="Times New Roman" w:cs="Times New Roman"/>
          <w:sz w:val="24"/>
          <w:szCs w:val="24"/>
        </w:rPr>
        <w:t>,</w:t>
      </w:r>
      <w:r w:rsidR="00E94B98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Pr="00B021B1">
        <w:rPr>
          <w:rFonts w:ascii="Times New Roman" w:hAnsi="Times New Roman" w:cs="Times New Roman"/>
          <w:sz w:val="24"/>
          <w:szCs w:val="24"/>
        </w:rPr>
        <w:t>também se baseia na toxicidade inerente do produto e no comportamento ob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do nos testes laboratoriais, mas agrega à avaliação o fator exposição potencial dos organismos não</w:t>
      </w:r>
      <w:r w:rsidR="00813467">
        <w:rPr>
          <w:rFonts w:ascii="Times New Roman" w:hAnsi="Times New Roman" w:cs="Times New Roman"/>
          <w:sz w:val="24"/>
          <w:szCs w:val="24"/>
        </w:rPr>
        <w:t xml:space="preserve"> </w:t>
      </w:r>
      <w:r w:rsidRPr="00B021B1">
        <w:rPr>
          <w:rFonts w:ascii="Times New Roman" w:hAnsi="Times New Roman" w:cs="Times New Roman"/>
          <w:sz w:val="24"/>
          <w:szCs w:val="24"/>
        </w:rPr>
        <w:t>alvo, ou seja, passa a ser necessário avaliar diversas outras variáveis, entre as quais o modo como o produto será u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lizado na prá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 xml:space="preserve">ca e suas possíveis consequências. Para a ARA, o modo e a época de aplicação, as doses, a cultura, o clima </w:t>
      </w:r>
      <w:r w:rsidR="00813467">
        <w:rPr>
          <w:rFonts w:ascii="Times New Roman" w:hAnsi="Times New Roman" w:cs="Times New Roman"/>
          <w:sz w:val="24"/>
          <w:szCs w:val="24"/>
        </w:rPr>
        <w:t xml:space="preserve">e </w:t>
      </w:r>
      <w:r w:rsidRPr="00B021B1">
        <w:rPr>
          <w:rFonts w:ascii="Times New Roman" w:hAnsi="Times New Roman" w:cs="Times New Roman"/>
          <w:sz w:val="24"/>
          <w:szCs w:val="24"/>
        </w:rPr>
        <w:t>diversos outros fatores passam a ter grande importância na avaliação, tornando-a mais abrangente e realista, e, por isso, mais complexa.</w:t>
      </w:r>
    </w:p>
    <w:p w14:paraId="091002A9" w14:textId="1FBE6A89" w:rsidR="00D56C4F" w:rsidRPr="00B021B1" w:rsidRDefault="00EE28F0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Observa-se, </w:t>
      </w:r>
      <w:r w:rsidR="00683574" w:rsidRPr="00B021B1">
        <w:rPr>
          <w:rFonts w:ascii="Times New Roman" w:hAnsi="Times New Roman" w:cs="Times New Roman"/>
          <w:sz w:val="24"/>
          <w:szCs w:val="24"/>
        </w:rPr>
        <w:t>também,</w:t>
      </w:r>
      <w:r w:rsidRPr="00B021B1">
        <w:rPr>
          <w:rFonts w:ascii="Times New Roman" w:hAnsi="Times New Roman" w:cs="Times New Roman"/>
          <w:sz w:val="24"/>
          <w:szCs w:val="24"/>
        </w:rPr>
        <w:t xml:space="preserve"> a existência de diferentes 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pologias de registro, as quais demandam diferentes níveis de complexidade e requisitos específicos na legislação, resultando em diferentes tempos de análise, sendo que a conclusão d</w:t>
      </w:r>
      <w:r w:rsidR="00813467">
        <w:rPr>
          <w:rFonts w:ascii="Times New Roman" w:hAnsi="Times New Roman" w:cs="Times New Roman"/>
          <w:sz w:val="24"/>
          <w:szCs w:val="24"/>
        </w:rPr>
        <w:t>a</w:t>
      </w:r>
      <w:r w:rsidRPr="00B021B1">
        <w:rPr>
          <w:rFonts w:ascii="Times New Roman" w:hAnsi="Times New Roman" w:cs="Times New Roman"/>
          <w:sz w:val="24"/>
          <w:szCs w:val="24"/>
        </w:rPr>
        <w:t xml:space="preserve"> análise - deferimento ou indeferimento - deve ser publicada no Diário Oficial da União, independentemente </w:t>
      </w:r>
      <w:r w:rsidR="00813467">
        <w:rPr>
          <w:rFonts w:ascii="Times New Roman" w:hAnsi="Times New Roman" w:cs="Times New Roman"/>
          <w:sz w:val="24"/>
          <w:szCs w:val="24"/>
        </w:rPr>
        <w:t>de</w:t>
      </w:r>
      <w:r w:rsidRPr="00B021B1">
        <w:rPr>
          <w:rFonts w:ascii="Times New Roman" w:hAnsi="Times New Roman" w:cs="Times New Roman"/>
          <w:sz w:val="24"/>
          <w:szCs w:val="24"/>
        </w:rPr>
        <w:t xml:space="preserve"> a 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pologia a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ng</w:t>
      </w:r>
      <w:r w:rsidR="00813467">
        <w:rPr>
          <w:rFonts w:ascii="Times New Roman" w:hAnsi="Times New Roman" w:cs="Times New Roman"/>
          <w:sz w:val="24"/>
          <w:szCs w:val="24"/>
        </w:rPr>
        <w:t>ir</w:t>
      </w:r>
      <w:r w:rsidRPr="00B021B1">
        <w:rPr>
          <w:rFonts w:ascii="Times New Roman" w:hAnsi="Times New Roman" w:cs="Times New Roman"/>
          <w:sz w:val="24"/>
          <w:szCs w:val="24"/>
        </w:rPr>
        <w:t xml:space="preserve"> o consumidor final.</w:t>
      </w:r>
    </w:p>
    <w:p w14:paraId="55F2188B" w14:textId="6709D6CB" w:rsidR="009028C5" w:rsidRPr="00B021B1" w:rsidRDefault="000F792F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028C5" w:rsidRPr="00B021B1">
        <w:rPr>
          <w:rFonts w:ascii="Times New Roman" w:hAnsi="Times New Roman" w:cs="Times New Roman"/>
          <w:sz w:val="24"/>
          <w:szCs w:val="24"/>
        </w:rPr>
        <w:t xml:space="preserve"> respeito do uso de agrotóxicos e pesticid</w:t>
      </w:r>
      <w:r w:rsidR="00FA0AEF" w:rsidRPr="00B021B1">
        <w:rPr>
          <w:rFonts w:ascii="Times New Roman" w:hAnsi="Times New Roman" w:cs="Times New Roman"/>
          <w:sz w:val="24"/>
          <w:szCs w:val="24"/>
        </w:rPr>
        <w:t>as</w:t>
      </w:r>
      <w:r w:rsidR="0006665B" w:rsidRPr="00B021B1">
        <w:rPr>
          <w:rFonts w:ascii="Times New Roman" w:hAnsi="Times New Roman" w:cs="Times New Roman"/>
          <w:sz w:val="24"/>
          <w:szCs w:val="24"/>
        </w:rPr>
        <w:t xml:space="preserve">, na página 24 do Relatório há a </w:t>
      </w:r>
      <w:r>
        <w:rPr>
          <w:rFonts w:ascii="Times New Roman" w:hAnsi="Times New Roman" w:cs="Times New Roman"/>
          <w:sz w:val="24"/>
          <w:szCs w:val="24"/>
        </w:rPr>
        <w:t xml:space="preserve">seguinte </w:t>
      </w:r>
      <w:r w:rsidR="0006665B" w:rsidRPr="00B021B1">
        <w:rPr>
          <w:rFonts w:ascii="Times New Roman" w:hAnsi="Times New Roman" w:cs="Times New Roman"/>
          <w:sz w:val="24"/>
          <w:szCs w:val="24"/>
        </w:rPr>
        <w:t>recomendação:</w:t>
      </w:r>
    </w:p>
    <w:p w14:paraId="753AEE8F" w14:textId="52AC6F09" w:rsidR="00232B9D" w:rsidRPr="00B021B1" w:rsidRDefault="00A25349" w:rsidP="0093332C">
      <w:pPr>
        <w:pStyle w:val="PargrafodaLista"/>
        <w:spacing w:after="0" w:line="360" w:lineRule="auto"/>
        <w:ind w:left="198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(n) </w:t>
      </w:r>
      <w:r w:rsidR="00292A84"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>Develop time bound plans to urgently reduce pesticide and toxic</w:t>
      </w:r>
      <w:r w:rsidR="00A71FE1"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92A84"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>industrial chemical use and exposure</w:t>
      </w:r>
      <w:r w:rsidR="006D6583"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>, including:</w:t>
      </w:r>
    </w:p>
    <w:p w14:paraId="3C2C92FF" w14:textId="7F820079" w:rsidR="006D6583" w:rsidRPr="00B021B1" w:rsidRDefault="006D6583" w:rsidP="0093332C">
      <w:pPr>
        <w:pStyle w:val="PargrafodaLista"/>
        <w:spacing w:after="0" w:line="360" w:lineRule="auto"/>
        <w:ind w:left="198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>(…)</w:t>
      </w:r>
    </w:p>
    <w:p w14:paraId="612D2E48" w14:textId="0BE255B8" w:rsidR="00AD61C7" w:rsidRPr="00B021B1" w:rsidRDefault="00232B9D" w:rsidP="0093332C">
      <w:pPr>
        <w:pStyle w:val="PargrafodaLista"/>
        <w:spacing w:after="0" w:line="360" w:lineRule="auto"/>
        <w:ind w:left="198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(ii) </w:t>
      </w:r>
      <w:r w:rsidR="00AD61C7"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>Phase out the use of highly hazardous pesticides, including</w:t>
      </w:r>
      <w:r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D61C7"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>glyphosate and atrazine;</w:t>
      </w:r>
    </w:p>
    <w:p w14:paraId="171E88EC" w14:textId="3DFDB30E" w:rsidR="00BC7C7C" w:rsidRPr="00B021B1" w:rsidRDefault="002B06E8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A</w:t>
      </w:r>
      <w:r w:rsidR="00BC7C7C" w:rsidRPr="00B021B1">
        <w:rPr>
          <w:rFonts w:ascii="Times New Roman" w:hAnsi="Times New Roman" w:cs="Times New Roman"/>
          <w:sz w:val="24"/>
          <w:szCs w:val="24"/>
        </w:rPr>
        <w:t xml:space="preserve"> Anvisa está finalizando a reavaliação toxicológica </w:t>
      </w:r>
      <w:r w:rsidRPr="00B021B1">
        <w:rPr>
          <w:rFonts w:ascii="Times New Roman" w:hAnsi="Times New Roman" w:cs="Times New Roman"/>
          <w:sz w:val="24"/>
          <w:szCs w:val="24"/>
        </w:rPr>
        <w:t>do glifosato</w:t>
      </w:r>
      <w:r w:rsidR="00BC7C7C" w:rsidRPr="00B021B1">
        <w:rPr>
          <w:rFonts w:ascii="Times New Roman" w:hAnsi="Times New Roman" w:cs="Times New Roman"/>
          <w:sz w:val="24"/>
          <w:szCs w:val="24"/>
        </w:rPr>
        <w:t>, tendo realizado análise de estudos toxicológicos e dados de monitoramento de resíduos e intoxicações</w:t>
      </w:r>
      <w:r w:rsidR="00165E4C">
        <w:rPr>
          <w:rFonts w:ascii="Times New Roman" w:hAnsi="Times New Roman" w:cs="Times New Roman"/>
          <w:sz w:val="24"/>
          <w:szCs w:val="24"/>
        </w:rPr>
        <w:t>,</w:t>
      </w:r>
      <w:r w:rsidR="00BC7C7C" w:rsidRPr="00B021B1">
        <w:rPr>
          <w:rFonts w:ascii="Times New Roman" w:hAnsi="Times New Roman" w:cs="Times New Roman"/>
          <w:sz w:val="24"/>
          <w:szCs w:val="24"/>
        </w:rPr>
        <w:t xml:space="preserve"> e emi</w:t>
      </w:r>
      <w:r w:rsidR="00BC7C7C"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="00BC7C7C" w:rsidRPr="00B021B1">
        <w:rPr>
          <w:rFonts w:ascii="Times New Roman" w:hAnsi="Times New Roman" w:cs="Times New Roman"/>
          <w:sz w:val="24"/>
          <w:szCs w:val="24"/>
        </w:rPr>
        <w:t>do Nota Técnica preliminar de reavaliação como subsídio da decisão a ser tomada.</w:t>
      </w:r>
    </w:p>
    <w:p w14:paraId="48F02D17" w14:textId="63498FEA" w:rsidR="00BC7C7C" w:rsidRPr="00B021B1" w:rsidRDefault="00BC7C7C" w:rsidP="002B06E8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A decisão da Anvisa foi colocada </w:t>
      </w:r>
      <w:r w:rsidR="00165E4C">
        <w:rPr>
          <w:rFonts w:ascii="Times New Roman" w:hAnsi="Times New Roman" w:cs="Times New Roman"/>
          <w:sz w:val="24"/>
          <w:szCs w:val="24"/>
        </w:rPr>
        <w:t>submetida a</w:t>
      </w:r>
      <w:r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165E4C">
        <w:rPr>
          <w:rFonts w:ascii="Times New Roman" w:hAnsi="Times New Roman" w:cs="Times New Roman"/>
          <w:sz w:val="24"/>
          <w:szCs w:val="24"/>
        </w:rPr>
        <w:t>c</w:t>
      </w:r>
      <w:r w:rsidRPr="00B021B1">
        <w:rPr>
          <w:rFonts w:ascii="Times New Roman" w:hAnsi="Times New Roman" w:cs="Times New Roman"/>
          <w:sz w:val="24"/>
          <w:szCs w:val="24"/>
        </w:rPr>
        <w:t xml:space="preserve">onsulta </w:t>
      </w:r>
      <w:r w:rsidR="00165E4C">
        <w:rPr>
          <w:rFonts w:ascii="Times New Roman" w:hAnsi="Times New Roman" w:cs="Times New Roman"/>
          <w:sz w:val="24"/>
          <w:szCs w:val="24"/>
        </w:rPr>
        <w:t>p</w:t>
      </w:r>
      <w:r w:rsidRPr="00B021B1">
        <w:rPr>
          <w:rFonts w:ascii="Times New Roman" w:hAnsi="Times New Roman" w:cs="Times New Roman"/>
          <w:sz w:val="24"/>
          <w:szCs w:val="24"/>
        </w:rPr>
        <w:t>ública (CP n° 613, de 28 de fevereiro de 2019), juntamente com a Proposta de Resolução da Diretoria Colegiada sobre a manutenção do ingrediente a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vo glifosato em produtos agrotóxicos no país e as medidas decorrentes de sua avaliação toxicológica</w:t>
      </w:r>
      <w:r w:rsidR="002B06E8" w:rsidRPr="00B021B1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Pr="00B021B1">
        <w:rPr>
          <w:rFonts w:ascii="Times New Roman" w:hAnsi="Times New Roman" w:cs="Times New Roman"/>
          <w:sz w:val="24"/>
          <w:szCs w:val="24"/>
        </w:rPr>
        <w:t>.</w:t>
      </w:r>
    </w:p>
    <w:p w14:paraId="40FE99BB" w14:textId="77777777" w:rsidR="00BC7C7C" w:rsidRPr="00B021B1" w:rsidRDefault="00BC7C7C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Cabe ressaltar que a metodologia de análise utilizada pela Anvisa para a avaliação toxicológica de agrotóxicos está em consonância com as melhores práticas regulatórias internacionais. As agências regulatórias americana (USEPA), canadense (PMRA) e europeia (EFSA) alcançaram as mesmas conclusões da proposta de consulta pública da Anvisa e propuseram a manutenção dos produtos à base de glifosato em seus países.</w:t>
      </w:r>
    </w:p>
    <w:p w14:paraId="025C74A0" w14:textId="182302DD" w:rsidR="00BC7C7C" w:rsidRPr="00B021B1" w:rsidRDefault="00165E4C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esse respeito</w:t>
      </w:r>
      <w:r w:rsidR="00BC7C7C" w:rsidRPr="00B021B1">
        <w:rPr>
          <w:rFonts w:ascii="Times New Roman" w:hAnsi="Times New Roman" w:cs="Times New Roman"/>
          <w:sz w:val="24"/>
          <w:szCs w:val="24"/>
        </w:rPr>
        <w:t>, vale mencionar que o glifosato não está proibido em nenhum país até a presente data.</w:t>
      </w:r>
    </w:p>
    <w:p w14:paraId="2FF2E1DD" w14:textId="0B45AE9D" w:rsidR="00BC7C7C" w:rsidRPr="00B021B1" w:rsidRDefault="00BC7C7C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Destaca-se que a avaliação d</w:t>
      </w:r>
      <w:r w:rsidR="00165E4C">
        <w:rPr>
          <w:rFonts w:ascii="Times New Roman" w:hAnsi="Times New Roman" w:cs="Times New Roman"/>
          <w:sz w:val="24"/>
          <w:szCs w:val="24"/>
        </w:rPr>
        <w:t>e</w:t>
      </w:r>
      <w:r w:rsidRPr="00B021B1">
        <w:rPr>
          <w:rFonts w:ascii="Times New Roman" w:hAnsi="Times New Roman" w:cs="Times New Roman"/>
          <w:sz w:val="24"/>
          <w:szCs w:val="24"/>
        </w:rPr>
        <w:t xml:space="preserve"> riscos a trabalhadores, operadores, residentes e transeuntes realizada pela Anvisa apontou, na Nota Técnica</w:t>
      </w:r>
      <w:r w:rsidR="00165E4C">
        <w:rPr>
          <w:rFonts w:ascii="Times New Roman" w:hAnsi="Times New Roman" w:cs="Times New Roman"/>
          <w:sz w:val="24"/>
          <w:szCs w:val="24"/>
        </w:rPr>
        <w:t xml:space="preserve"> mencionada</w:t>
      </w:r>
      <w:r w:rsidRPr="00B021B1">
        <w:rPr>
          <w:rFonts w:ascii="Times New Roman" w:hAnsi="Times New Roman" w:cs="Times New Roman"/>
          <w:sz w:val="24"/>
          <w:szCs w:val="24"/>
        </w:rPr>
        <w:t>, a necessidade de adoção de medidas para garantir maior segurança das pessoas que estão em contato com os produtos contendo glifosato</w:t>
      </w:r>
      <w:r w:rsidR="00165E4C">
        <w:rPr>
          <w:rFonts w:ascii="Times New Roman" w:hAnsi="Times New Roman" w:cs="Times New Roman"/>
          <w:sz w:val="24"/>
          <w:szCs w:val="24"/>
        </w:rPr>
        <w:t>, como</w:t>
      </w:r>
      <w:r w:rsidRPr="00B021B1">
        <w:rPr>
          <w:rFonts w:ascii="Times New Roman" w:hAnsi="Times New Roman" w:cs="Times New Roman"/>
          <w:sz w:val="24"/>
          <w:szCs w:val="24"/>
        </w:rPr>
        <w:t xml:space="preserve"> utilização d</w:t>
      </w:r>
      <w:r w:rsidR="00165E4C">
        <w:rPr>
          <w:rFonts w:ascii="Times New Roman" w:hAnsi="Times New Roman" w:cs="Times New Roman"/>
          <w:sz w:val="24"/>
          <w:szCs w:val="24"/>
        </w:rPr>
        <w:t>e</w:t>
      </w:r>
      <w:r w:rsidRPr="00B021B1">
        <w:rPr>
          <w:rFonts w:ascii="Times New Roman" w:hAnsi="Times New Roman" w:cs="Times New Roman"/>
          <w:sz w:val="24"/>
          <w:szCs w:val="24"/>
        </w:rPr>
        <w:t xml:space="preserve"> equipamentos de proteção individual, inclusão de informações de segurança nas bulas e </w:t>
      </w:r>
      <w:r w:rsidR="00222C3D">
        <w:rPr>
          <w:rFonts w:ascii="Times New Roman" w:hAnsi="Times New Roman" w:cs="Times New Roman"/>
          <w:sz w:val="24"/>
          <w:szCs w:val="24"/>
        </w:rPr>
        <w:t xml:space="preserve">na </w:t>
      </w:r>
      <w:r w:rsidRPr="00B021B1">
        <w:rPr>
          <w:rFonts w:ascii="Times New Roman" w:hAnsi="Times New Roman" w:cs="Times New Roman"/>
          <w:sz w:val="24"/>
          <w:szCs w:val="24"/>
        </w:rPr>
        <w:t>monografia; proibição de taxas de aplicação e tipos de formulação; e programas de educação e manejo para os usuários desses produtos.</w:t>
      </w:r>
    </w:p>
    <w:p w14:paraId="13CF968F" w14:textId="75282239" w:rsidR="00BC7C7C" w:rsidRPr="00B021B1" w:rsidRDefault="00BC7C7C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O processo de reavaliação do glifosato encontra-se </w:t>
      </w:r>
      <w:r w:rsidR="00F850B1">
        <w:rPr>
          <w:rFonts w:ascii="Times New Roman" w:hAnsi="Times New Roman" w:cs="Times New Roman"/>
          <w:sz w:val="24"/>
          <w:szCs w:val="24"/>
        </w:rPr>
        <w:t>em</w:t>
      </w:r>
      <w:r w:rsidRPr="00B021B1">
        <w:rPr>
          <w:rFonts w:ascii="Times New Roman" w:hAnsi="Times New Roman" w:cs="Times New Roman"/>
          <w:sz w:val="24"/>
          <w:szCs w:val="24"/>
        </w:rPr>
        <w:t xml:space="preserve"> etapa de finalização e deve ser deliberado em breve pela Diretoria Colegiada da Anvisa (</w:t>
      </w:r>
      <w:proofErr w:type="spellStart"/>
      <w:r w:rsidRPr="00B021B1">
        <w:rPr>
          <w:rFonts w:ascii="Times New Roman" w:hAnsi="Times New Roman" w:cs="Times New Roman"/>
          <w:sz w:val="24"/>
          <w:szCs w:val="24"/>
        </w:rPr>
        <w:t>Dicol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>). A decisão será publicada por meio de Resolução da Diretoria Colegiada no Diário Oficial da União, a qual concluirá o processo de reavaliação toxicológica da Anvisa para es</w:t>
      </w:r>
      <w:r w:rsidR="007766AE" w:rsidRPr="00B021B1">
        <w:rPr>
          <w:rFonts w:ascii="Times New Roman" w:hAnsi="Times New Roman" w:cs="Times New Roman"/>
          <w:sz w:val="24"/>
          <w:szCs w:val="24"/>
        </w:rPr>
        <w:t>s</w:t>
      </w:r>
      <w:r w:rsidRPr="00B021B1">
        <w:rPr>
          <w:rFonts w:ascii="Times New Roman" w:hAnsi="Times New Roman" w:cs="Times New Roman"/>
          <w:sz w:val="24"/>
          <w:szCs w:val="24"/>
        </w:rPr>
        <w:t>e ingrediente ativo e definirá as medidas de mitigação de riscos a serem adotadas.</w:t>
      </w:r>
    </w:p>
    <w:p w14:paraId="1DCFAA11" w14:textId="20D947DC" w:rsidR="00BC7C7C" w:rsidRPr="00B021B1" w:rsidRDefault="00BC7C7C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A respeito da substância </w:t>
      </w:r>
      <w:proofErr w:type="spellStart"/>
      <w:r w:rsidRPr="00B021B1">
        <w:rPr>
          <w:rFonts w:ascii="Times New Roman" w:hAnsi="Times New Roman" w:cs="Times New Roman"/>
          <w:sz w:val="24"/>
          <w:szCs w:val="24"/>
        </w:rPr>
        <w:t>atrazina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>, cumpre esclarecer que es</w:t>
      </w:r>
      <w:r w:rsidR="007766AE" w:rsidRPr="00B021B1">
        <w:rPr>
          <w:rFonts w:ascii="Times New Roman" w:hAnsi="Times New Roman" w:cs="Times New Roman"/>
          <w:sz w:val="24"/>
          <w:szCs w:val="24"/>
        </w:rPr>
        <w:t>s</w:t>
      </w:r>
      <w:r w:rsidRPr="00B021B1">
        <w:rPr>
          <w:rFonts w:ascii="Times New Roman" w:hAnsi="Times New Roman" w:cs="Times New Roman"/>
          <w:sz w:val="24"/>
          <w:szCs w:val="24"/>
        </w:rPr>
        <w:t>e ingrediente ativo de agrotóxico não está aprovado na Europa desde 2004 em decorrência d</w:t>
      </w:r>
      <w:r w:rsidR="001A07CC">
        <w:rPr>
          <w:rFonts w:ascii="Times New Roman" w:hAnsi="Times New Roman" w:cs="Times New Roman"/>
          <w:sz w:val="24"/>
          <w:szCs w:val="24"/>
        </w:rPr>
        <w:t>e</w:t>
      </w:r>
      <w:r w:rsidRPr="00B021B1">
        <w:rPr>
          <w:rFonts w:ascii="Times New Roman" w:hAnsi="Times New Roman" w:cs="Times New Roman"/>
          <w:sz w:val="24"/>
          <w:szCs w:val="24"/>
        </w:rPr>
        <w:t xml:space="preserve"> risco </w:t>
      </w:r>
      <w:r w:rsidR="001A07CC">
        <w:rPr>
          <w:rFonts w:ascii="Times New Roman" w:hAnsi="Times New Roman" w:cs="Times New Roman"/>
          <w:sz w:val="24"/>
          <w:szCs w:val="24"/>
        </w:rPr>
        <w:t>ao meio ambiente</w:t>
      </w:r>
      <w:r w:rsidRPr="00B021B1">
        <w:rPr>
          <w:rFonts w:ascii="Times New Roman" w:hAnsi="Times New Roman" w:cs="Times New Roman"/>
          <w:sz w:val="24"/>
          <w:szCs w:val="24"/>
        </w:rPr>
        <w:t xml:space="preserve">, </w:t>
      </w:r>
      <w:r w:rsidR="001A07CC">
        <w:rPr>
          <w:rFonts w:ascii="Times New Roman" w:hAnsi="Times New Roman" w:cs="Times New Roman"/>
          <w:sz w:val="24"/>
          <w:szCs w:val="24"/>
        </w:rPr>
        <w:lastRenderedPageBreak/>
        <w:t xml:space="preserve">mas </w:t>
      </w:r>
      <w:r w:rsidRPr="00B021B1">
        <w:rPr>
          <w:rFonts w:ascii="Times New Roman" w:hAnsi="Times New Roman" w:cs="Times New Roman"/>
          <w:sz w:val="24"/>
          <w:szCs w:val="24"/>
        </w:rPr>
        <w:t xml:space="preserve">não à saúde. Concluiu-se não haver comprovação de que o limite de 0,1 </w:t>
      </w:r>
      <w:proofErr w:type="spellStart"/>
      <w:r w:rsidRPr="00B021B1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>/L em águas subterrâneas não é excedido.</w:t>
      </w:r>
    </w:p>
    <w:p w14:paraId="42BC17E8" w14:textId="4AA67978" w:rsidR="00BC7C7C" w:rsidRPr="00B021B1" w:rsidRDefault="00BC7C7C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No Brasil, o ingrediente ativo encontra-se autorizado para aplicação em </w:t>
      </w:r>
      <w:proofErr w:type="spellStart"/>
      <w:r w:rsidRPr="00B021B1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1A07CC">
        <w:rPr>
          <w:rFonts w:ascii="Times New Roman" w:hAnsi="Times New Roman" w:cs="Times New Roman"/>
          <w:sz w:val="24"/>
          <w:szCs w:val="24"/>
        </w:rPr>
        <w:t>-emergência</w:t>
      </w:r>
      <w:r w:rsidRPr="00B021B1">
        <w:rPr>
          <w:rFonts w:ascii="Times New Roman" w:hAnsi="Times New Roman" w:cs="Times New Roman"/>
          <w:sz w:val="24"/>
          <w:szCs w:val="24"/>
        </w:rPr>
        <w:t xml:space="preserve"> e pós-emergência das plantas infestantes nas culturas de abacaxi, cana-de-açúcar, milho, milheto, pinus, seringueira, sisal e sorgo. </w:t>
      </w:r>
      <w:r w:rsidR="001A07CC">
        <w:rPr>
          <w:rFonts w:ascii="Times New Roman" w:hAnsi="Times New Roman" w:cs="Times New Roman"/>
          <w:sz w:val="24"/>
          <w:szCs w:val="24"/>
        </w:rPr>
        <w:t>Esse ingrediente f</w:t>
      </w:r>
      <w:r w:rsidRPr="00B021B1">
        <w:rPr>
          <w:rFonts w:ascii="Times New Roman" w:hAnsi="Times New Roman" w:cs="Times New Roman"/>
          <w:sz w:val="24"/>
          <w:szCs w:val="24"/>
        </w:rPr>
        <w:t>oi monitorado em 14.958 amostras de alimentos no período de 2013 a 2018, tendo sido detectado em 11 amostras (0,07%).</w:t>
      </w:r>
    </w:p>
    <w:p w14:paraId="1B4A940D" w14:textId="3D38140E" w:rsidR="00BC7C7C" w:rsidRPr="00B021B1" w:rsidRDefault="00BC7C7C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Ante o exposto, resta clara a atuação da Anvisa na avaliação toxicológica realizada previamente ao registro de produtos agrotóxicos no Brasil, seguindo critérios transparentes e alinhados às melhores prá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cas cien</w:t>
      </w:r>
      <w:r w:rsidRPr="00B021B1">
        <w:rPr>
          <w:rFonts w:ascii="Times New Roman" w:eastAsia="Calibri" w:hAnsi="Times New Roman" w:cs="Times New Roman"/>
          <w:sz w:val="24"/>
          <w:szCs w:val="24"/>
        </w:rPr>
        <w:t>tí</w:t>
      </w:r>
      <w:r w:rsidRPr="00B021B1">
        <w:rPr>
          <w:rFonts w:ascii="Times New Roman" w:hAnsi="Times New Roman" w:cs="Times New Roman"/>
          <w:sz w:val="24"/>
          <w:szCs w:val="24"/>
        </w:rPr>
        <w:t>ficas e regulatórias adotadas internacionalmente. Salienta-se</w:t>
      </w:r>
      <w:r w:rsidR="00FD1FFF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também</w:t>
      </w:r>
      <w:r w:rsidR="00FD1FFF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a a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va atuação da Agência em ações de pós-comercialização desses produtos, por meio da avaliação d</w:t>
      </w:r>
      <w:r w:rsidR="00FD1FFF">
        <w:rPr>
          <w:rFonts w:ascii="Times New Roman" w:hAnsi="Times New Roman" w:cs="Times New Roman"/>
          <w:sz w:val="24"/>
          <w:szCs w:val="24"/>
        </w:rPr>
        <w:t>e</w:t>
      </w:r>
      <w:r w:rsidRPr="00B021B1">
        <w:rPr>
          <w:rFonts w:ascii="Times New Roman" w:hAnsi="Times New Roman" w:cs="Times New Roman"/>
          <w:sz w:val="24"/>
          <w:szCs w:val="24"/>
        </w:rPr>
        <w:t xml:space="preserve"> dados provenientes do programa de monitoramento de resíduos de agrotóxicos bem como </w:t>
      </w:r>
      <w:r w:rsidR="00FD1FFF">
        <w:rPr>
          <w:rFonts w:ascii="Times New Roman" w:hAnsi="Times New Roman" w:cs="Times New Roman"/>
          <w:sz w:val="24"/>
          <w:szCs w:val="24"/>
        </w:rPr>
        <w:t>d</w:t>
      </w:r>
      <w:r w:rsidRPr="00B021B1">
        <w:rPr>
          <w:rFonts w:ascii="Times New Roman" w:hAnsi="Times New Roman" w:cs="Times New Roman"/>
          <w:sz w:val="24"/>
          <w:szCs w:val="24"/>
        </w:rPr>
        <w:t>a realização da reavaliação toxicológica de ingredientes a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vos u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lizados na agricultura.</w:t>
      </w:r>
    </w:p>
    <w:p w14:paraId="64EA8726" w14:textId="2B663FD8" w:rsidR="004615D0" w:rsidRPr="00B021B1" w:rsidRDefault="00FD1FFF" w:rsidP="004615D0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</w:t>
      </w:r>
      <w:r w:rsidR="00A55926" w:rsidRPr="00B021B1">
        <w:rPr>
          <w:rFonts w:ascii="Times New Roman" w:hAnsi="Times New Roman" w:cs="Times New Roman"/>
          <w:sz w:val="24"/>
          <w:szCs w:val="24"/>
        </w:rPr>
        <w:t>, n</w:t>
      </w:r>
      <w:r w:rsidR="004615D0" w:rsidRPr="00B021B1">
        <w:rPr>
          <w:rFonts w:ascii="Times New Roman" w:hAnsi="Times New Roman" w:cs="Times New Roman"/>
          <w:sz w:val="24"/>
          <w:szCs w:val="24"/>
        </w:rPr>
        <w:t>o que se refere ao aprimoramento da ciência regulatória sobre as análises de agrotóxicos e afins,</w:t>
      </w:r>
      <w:r w:rsidR="00A55926" w:rsidRPr="00B021B1">
        <w:rPr>
          <w:rFonts w:ascii="Times New Roman" w:hAnsi="Times New Roman" w:cs="Times New Roman"/>
          <w:sz w:val="24"/>
          <w:szCs w:val="24"/>
        </w:rPr>
        <w:t xml:space="preserve"> o IBAMA tem intensificado seus esforços</w:t>
      </w:r>
      <w:r w:rsidR="004615D0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A55926" w:rsidRPr="00B021B1">
        <w:rPr>
          <w:rFonts w:ascii="Times New Roman" w:hAnsi="Times New Roman" w:cs="Times New Roman"/>
          <w:sz w:val="24"/>
          <w:szCs w:val="24"/>
        </w:rPr>
        <w:t>por meio da realização</w:t>
      </w:r>
      <w:r w:rsidR="004615D0" w:rsidRPr="00B021B1">
        <w:rPr>
          <w:rFonts w:ascii="Times New Roman" w:hAnsi="Times New Roman" w:cs="Times New Roman"/>
          <w:sz w:val="24"/>
          <w:szCs w:val="24"/>
        </w:rPr>
        <w:t xml:space="preserve"> de cinco projetos:</w:t>
      </w:r>
    </w:p>
    <w:p w14:paraId="144FACE7" w14:textId="0CAC0462" w:rsidR="004615D0" w:rsidRPr="00FD1FFF" w:rsidRDefault="004615D0" w:rsidP="004615D0">
      <w:pPr>
        <w:pStyle w:val="PargrafodaLista"/>
        <w:spacing w:after="0" w:line="360" w:lineRule="auto"/>
        <w:ind w:left="22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0463">
        <w:rPr>
          <w:rFonts w:ascii="Times New Roman" w:hAnsi="Times New Roman" w:cs="Times New Roman"/>
          <w:sz w:val="24"/>
          <w:szCs w:val="24"/>
        </w:rPr>
        <w:t xml:space="preserve">I - Projeto de </w:t>
      </w:r>
      <w:r w:rsidR="00FD1FFF">
        <w:rPr>
          <w:rFonts w:ascii="Times New Roman" w:hAnsi="Times New Roman" w:cs="Times New Roman"/>
          <w:sz w:val="24"/>
          <w:szCs w:val="24"/>
        </w:rPr>
        <w:t>m</w:t>
      </w:r>
      <w:r w:rsidRPr="00210463">
        <w:rPr>
          <w:rFonts w:ascii="Times New Roman" w:hAnsi="Times New Roman" w:cs="Times New Roman"/>
          <w:sz w:val="24"/>
          <w:szCs w:val="24"/>
        </w:rPr>
        <w:t>onitoramento de agrotóxicos em matrizes ambientais: água superficial, água de chuva e solo</w:t>
      </w:r>
      <w:r w:rsidR="00FD1FFF">
        <w:rPr>
          <w:rFonts w:ascii="Times New Roman" w:hAnsi="Times New Roman" w:cs="Times New Roman"/>
          <w:sz w:val="24"/>
          <w:szCs w:val="24"/>
        </w:rPr>
        <w:t>;</w:t>
      </w:r>
    </w:p>
    <w:p w14:paraId="4FA8C334" w14:textId="4FC49E19" w:rsidR="004615D0" w:rsidRPr="00FD1FFF" w:rsidRDefault="004615D0" w:rsidP="004615D0">
      <w:pPr>
        <w:pStyle w:val="PargrafodaLista"/>
        <w:spacing w:after="0" w:line="360" w:lineRule="auto"/>
        <w:ind w:left="22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0463">
        <w:rPr>
          <w:rFonts w:ascii="Times New Roman" w:hAnsi="Times New Roman" w:cs="Times New Roman"/>
          <w:sz w:val="24"/>
          <w:szCs w:val="24"/>
        </w:rPr>
        <w:t xml:space="preserve">II - Projeto Implementação da </w:t>
      </w:r>
      <w:r w:rsidR="00FD1FFF">
        <w:rPr>
          <w:rFonts w:ascii="Times New Roman" w:hAnsi="Times New Roman" w:cs="Times New Roman"/>
          <w:sz w:val="24"/>
          <w:szCs w:val="24"/>
        </w:rPr>
        <w:t>a</w:t>
      </w:r>
      <w:r w:rsidRPr="00210463">
        <w:rPr>
          <w:rFonts w:ascii="Times New Roman" w:hAnsi="Times New Roman" w:cs="Times New Roman"/>
          <w:sz w:val="24"/>
          <w:szCs w:val="24"/>
        </w:rPr>
        <w:t xml:space="preserve">valiação de </w:t>
      </w:r>
      <w:r w:rsidR="00FD1FFF">
        <w:rPr>
          <w:rFonts w:ascii="Times New Roman" w:hAnsi="Times New Roman" w:cs="Times New Roman"/>
          <w:sz w:val="24"/>
          <w:szCs w:val="24"/>
        </w:rPr>
        <w:t>r</w:t>
      </w:r>
      <w:r w:rsidRPr="00210463">
        <w:rPr>
          <w:rFonts w:ascii="Times New Roman" w:hAnsi="Times New Roman" w:cs="Times New Roman"/>
          <w:sz w:val="24"/>
          <w:szCs w:val="24"/>
        </w:rPr>
        <w:t xml:space="preserve">isco </w:t>
      </w:r>
      <w:r w:rsidR="00FD1FFF">
        <w:rPr>
          <w:rFonts w:ascii="Times New Roman" w:hAnsi="Times New Roman" w:cs="Times New Roman"/>
          <w:sz w:val="24"/>
          <w:szCs w:val="24"/>
        </w:rPr>
        <w:t>a</w:t>
      </w:r>
      <w:r w:rsidRPr="00210463">
        <w:rPr>
          <w:rFonts w:ascii="Times New Roman" w:hAnsi="Times New Roman" w:cs="Times New Roman"/>
          <w:sz w:val="24"/>
          <w:szCs w:val="24"/>
        </w:rPr>
        <w:t>mbiental para proteger a vida dos riscos associados ao uso dos agrotóxicos</w:t>
      </w:r>
      <w:r w:rsidR="00FD1FFF">
        <w:rPr>
          <w:rFonts w:ascii="Times New Roman" w:hAnsi="Times New Roman" w:cs="Times New Roman"/>
          <w:sz w:val="24"/>
          <w:szCs w:val="24"/>
        </w:rPr>
        <w:t>;</w:t>
      </w:r>
    </w:p>
    <w:p w14:paraId="18557EF4" w14:textId="73207638" w:rsidR="004615D0" w:rsidRPr="00210463" w:rsidRDefault="004615D0" w:rsidP="004615D0">
      <w:pPr>
        <w:pStyle w:val="PargrafodaLista"/>
        <w:spacing w:after="0" w:line="360" w:lineRule="auto"/>
        <w:ind w:left="22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0463">
        <w:rPr>
          <w:rFonts w:ascii="Times New Roman" w:hAnsi="Times New Roman" w:cs="Times New Roman"/>
          <w:sz w:val="24"/>
          <w:szCs w:val="24"/>
        </w:rPr>
        <w:t>III - Projeto Melhoria da efe</w:t>
      </w:r>
      <w:r w:rsidRPr="00210463">
        <w:rPr>
          <w:rFonts w:ascii="Times New Roman" w:eastAsia="Calibri" w:hAnsi="Times New Roman" w:cs="Times New Roman"/>
          <w:sz w:val="24"/>
          <w:szCs w:val="24"/>
        </w:rPr>
        <w:t>ti</w:t>
      </w:r>
      <w:r w:rsidRPr="00210463">
        <w:rPr>
          <w:rFonts w:ascii="Times New Roman" w:hAnsi="Times New Roman" w:cs="Times New Roman"/>
          <w:sz w:val="24"/>
          <w:szCs w:val="24"/>
        </w:rPr>
        <w:t>vidade e transparência dos sistemas de registro de agrotóxicos dos países da América La</w:t>
      </w:r>
      <w:r w:rsidRPr="00210463">
        <w:rPr>
          <w:rFonts w:ascii="Times New Roman" w:eastAsia="Calibri" w:hAnsi="Times New Roman" w:cs="Times New Roman"/>
          <w:sz w:val="24"/>
          <w:szCs w:val="24"/>
        </w:rPr>
        <w:t>ti</w:t>
      </w:r>
      <w:r w:rsidRPr="00210463">
        <w:rPr>
          <w:rFonts w:ascii="Times New Roman" w:hAnsi="Times New Roman" w:cs="Times New Roman"/>
          <w:sz w:val="24"/>
          <w:szCs w:val="24"/>
        </w:rPr>
        <w:t>na e Caribe</w:t>
      </w:r>
      <w:r w:rsidR="00FD1FFF">
        <w:rPr>
          <w:rFonts w:ascii="Times New Roman" w:hAnsi="Times New Roman" w:cs="Times New Roman"/>
          <w:sz w:val="24"/>
          <w:szCs w:val="24"/>
        </w:rPr>
        <w:t>;</w:t>
      </w:r>
    </w:p>
    <w:p w14:paraId="22F4210C" w14:textId="5A91969D" w:rsidR="004615D0" w:rsidRPr="00210463" w:rsidRDefault="004615D0" w:rsidP="004615D0">
      <w:pPr>
        <w:pStyle w:val="PargrafodaLista"/>
        <w:spacing w:after="0" w:line="360" w:lineRule="auto"/>
        <w:ind w:left="22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0463">
        <w:rPr>
          <w:rFonts w:ascii="Times New Roman" w:hAnsi="Times New Roman" w:cs="Times New Roman"/>
          <w:sz w:val="24"/>
          <w:szCs w:val="24"/>
        </w:rPr>
        <w:t xml:space="preserve">IV - Projetos de </w:t>
      </w:r>
      <w:r w:rsidR="00FD1FFF">
        <w:rPr>
          <w:rFonts w:ascii="Times New Roman" w:hAnsi="Times New Roman" w:cs="Times New Roman"/>
          <w:sz w:val="24"/>
          <w:szCs w:val="24"/>
        </w:rPr>
        <w:t>p</w:t>
      </w:r>
      <w:r w:rsidRPr="00210463">
        <w:rPr>
          <w:rFonts w:ascii="Times New Roman" w:hAnsi="Times New Roman" w:cs="Times New Roman"/>
          <w:sz w:val="24"/>
          <w:szCs w:val="24"/>
        </w:rPr>
        <w:t xml:space="preserve">esquisa e </w:t>
      </w:r>
      <w:r w:rsidR="00FD1FFF">
        <w:rPr>
          <w:rFonts w:ascii="Times New Roman" w:hAnsi="Times New Roman" w:cs="Times New Roman"/>
          <w:sz w:val="24"/>
          <w:szCs w:val="24"/>
        </w:rPr>
        <w:t>d</w:t>
      </w:r>
      <w:r w:rsidRPr="00210463">
        <w:rPr>
          <w:rFonts w:ascii="Times New Roman" w:hAnsi="Times New Roman" w:cs="Times New Roman"/>
          <w:sz w:val="24"/>
          <w:szCs w:val="24"/>
        </w:rPr>
        <w:t xml:space="preserve">esenvolvimento em </w:t>
      </w:r>
      <w:r w:rsidR="00FD1FFF">
        <w:rPr>
          <w:rFonts w:ascii="Times New Roman" w:hAnsi="Times New Roman" w:cs="Times New Roman"/>
          <w:sz w:val="24"/>
          <w:szCs w:val="24"/>
        </w:rPr>
        <w:t>s</w:t>
      </w:r>
      <w:r w:rsidRPr="00210463">
        <w:rPr>
          <w:rFonts w:ascii="Times New Roman" w:hAnsi="Times New Roman" w:cs="Times New Roman"/>
          <w:sz w:val="24"/>
          <w:szCs w:val="24"/>
        </w:rPr>
        <w:t xml:space="preserve">erviços de </w:t>
      </w:r>
      <w:r w:rsidR="00FD1FFF">
        <w:rPr>
          <w:rFonts w:ascii="Times New Roman" w:hAnsi="Times New Roman" w:cs="Times New Roman"/>
          <w:sz w:val="24"/>
          <w:szCs w:val="24"/>
        </w:rPr>
        <w:t>p</w:t>
      </w:r>
      <w:r w:rsidRPr="00210463">
        <w:rPr>
          <w:rFonts w:ascii="Times New Roman" w:hAnsi="Times New Roman" w:cs="Times New Roman"/>
          <w:sz w:val="24"/>
          <w:szCs w:val="24"/>
        </w:rPr>
        <w:t xml:space="preserve">olinização, </w:t>
      </w:r>
      <w:r w:rsidR="00FD1FFF">
        <w:rPr>
          <w:rFonts w:ascii="Times New Roman" w:hAnsi="Times New Roman" w:cs="Times New Roman"/>
          <w:sz w:val="24"/>
          <w:szCs w:val="24"/>
        </w:rPr>
        <w:t>b</w:t>
      </w:r>
      <w:r w:rsidRPr="00210463">
        <w:rPr>
          <w:rFonts w:ascii="Times New Roman" w:hAnsi="Times New Roman" w:cs="Times New Roman"/>
          <w:sz w:val="24"/>
          <w:szCs w:val="24"/>
        </w:rPr>
        <w:t xml:space="preserve">iodiversidade e </w:t>
      </w:r>
      <w:r w:rsidR="00FD1FFF">
        <w:rPr>
          <w:rFonts w:ascii="Times New Roman" w:hAnsi="Times New Roman" w:cs="Times New Roman"/>
          <w:sz w:val="24"/>
          <w:szCs w:val="24"/>
        </w:rPr>
        <w:t>r</w:t>
      </w:r>
      <w:r w:rsidRPr="00210463">
        <w:rPr>
          <w:rFonts w:ascii="Times New Roman" w:hAnsi="Times New Roman" w:cs="Times New Roman"/>
          <w:sz w:val="24"/>
          <w:szCs w:val="24"/>
        </w:rPr>
        <w:t xml:space="preserve">elação com a </w:t>
      </w:r>
      <w:r w:rsidR="00FD1FFF">
        <w:rPr>
          <w:rFonts w:ascii="Times New Roman" w:hAnsi="Times New Roman" w:cs="Times New Roman"/>
          <w:sz w:val="24"/>
          <w:szCs w:val="24"/>
        </w:rPr>
        <w:t>a</w:t>
      </w:r>
      <w:r w:rsidRPr="00210463">
        <w:rPr>
          <w:rFonts w:ascii="Times New Roman" w:hAnsi="Times New Roman" w:cs="Times New Roman"/>
          <w:sz w:val="24"/>
          <w:szCs w:val="24"/>
        </w:rPr>
        <w:t xml:space="preserve">gricultura para </w:t>
      </w:r>
      <w:r w:rsidR="00FD1FFF">
        <w:rPr>
          <w:rFonts w:ascii="Times New Roman" w:hAnsi="Times New Roman" w:cs="Times New Roman"/>
          <w:sz w:val="24"/>
          <w:szCs w:val="24"/>
        </w:rPr>
        <w:t>i</w:t>
      </w:r>
      <w:r w:rsidRPr="00210463">
        <w:rPr>
          <w:rFonts w:ascii="Times New Roman" w:hAnsi="Times New Roman" w:cs="Times New Roman"/>
          <w:sz w:val="24"/>
          <w:szCs w:val="24"/>
        </w:rPr>
        <w:t xml:space="preserve">nsetos </w:t>
      </w:r>
      <w:r w:rsidR="00FD1FFF">
        <w:rPr>
          <w:rFonts w:ascii="Times New Roman" w:hAnsi="Times New Roman" w:cs="Times New Roman"/>
          <w:sz w:val="24"/>
          <w:szCs w:val="24"/>
        </w:rPr>
        <w:t>p</w:t>
      </w:r>
      <w:r w:rsidRPr="00210463">
        <w:rPr>
          <w:rFonts w:ascii="Times New Roman" w:hAnsi="Times New Roman" w:cs="Times New Roman"/>
          <w:sz w:val="24"/>
          <w:szCs w:val="24"/>
        </w:rPr>
        <w:t>olinizadores</w:t>
      </w:r>
      <w:r w:rsidR="00FD1FFF">
        <w:rPr>
          <w:rFonts w:ascii="Times New Roman" w:hAnsi="Times New Roman" w:cs="Times New Roman"/>
          <w:sz w:val="24"/>
          <w:szCs w:val="24"/>
        </w:rPr>
        <w:t>; e</w:t>
      </w:r>
    </w:p>
    <w:p w14:paraId="0AA48B00" w14:textId="77777777" w:rsidR="004615D0" w:rsidRPr="00FD1FFF" w:rsidRDefault="004615D0" w:rsidP="004615D0">
      <w:pPr>
        <w:pStyle w:val="PargrafodaLista"/>
        <w:spacing w:after="0" w:line="360" w:lineRule="auto"/>
        <w:ind w:left="22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0463">
        <w:rPr>
          <w:rFonts w:ascii="Times New Roman" w:hAnsi="Times New Roman" w:cs="Times New Roman"/>
          <w:sz w:val="24"/>
          <w:szCs w:val="24"/>
        </w:rPr>
        <w:t>V - Projeto GEF Pró Espécies: todos contra a ex</w:t>
      </w:r>
      <w:r w:rsidRPr="00210463">
        <w:rPr>
          <w:rFonts w:ascii="Times New Roman" w:eastAsia="Calibri" w:hAnsi="Times New Roman" w:cs="Times New Roman"/>
          <w:sz w:val="24"/>
          <w:szCs w:val="24"/>
        </w:rPr>
        <w:t>ti</w:t>
      </w:r>
      <w:r w:rsidRPr="00210463">
        <w:rPr>
          <w:rFonts w:ascii="Times New Roman" w:hAnsi="Times New Roman" w:cs="Times New Roman"/>
          <w:sz w:val="24"/>
          <w:szCs w:val="24"/>
        </w:rPr>
        <w:t>nção</w:t>
      </w:r>
    </w:p>
    <w:p w14:paraId="0CB9557A" w14:textId="5BB829AF" w:rsidR="004615D0" w:rsidRPr="00B021B1" w:rsidRDefault="00804C91" w:rsidP="00804C91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Esses projeto</w:t>
      </w:r>
      <w:r w:rsidR="001F47FA" w:rsidRPr="00B021B1">
        <w:rPr>
          <w:rFonts w:ascii="Times New Roman" w:hAnsi="Times New Roman" w:cs="Times New Roman"/>
          <w:sz w:val="24"/>
          <w:szCs w:val="24"/>
        </w:rPr>
        <w:t>s</w:t>
      </w:r>
      <w:r w:rsidRPr="00B021B1">
        <w:rPr>
          <w:rFonts w:ascii="Times New Roman" w:hAnsi="Times New Roman" w:cs="Times New Roman"/>
          <w:sz w:val="24"/>
          <w:szCs w:val="24"/>
        </w:rPr>
        <w:t xml:space="preserve"> v</w:t>
      </w:r>
      <w:r w:rsidR="001F47FA" w:rsidRPr="00B021B1">
        <w:rPr>
          <w:rFonts w:ascii="Times New Roman" w:hAnsi="Times New Roman" w:cs="Times New Roman"/>
          <w:sz w:val="24"/>
          <w:szCs w:val="24"/>
        </w:rPr>
        <w:t>ê</w:t>
      </w:r>
      <w:r w:rsidRPr="00B021B1">
        <w:rPr>
          <w:rFonts w:ascii="Times New Roman" w:hAnsi="Times New Roman" w:cs="Times New Roman"/>
          <w:sz w:val="24"/>
          <w:szCs w:val="24"/>
        </w:rPr>
        <w:t xml:space="preserve">m sendo desenvolvidos </w:t>
      </w:r>
      <w:r w:rsidR="004615D0" w:rsidRPr="00B021B1">
        <w:rPr>
          <w:rFonts w:ascii="Times New Roman" w:hAnsi="Times New Roman" w:cs="Times New Roman"/>
          <w:sz w:val="24"/>
          <w:szCs w:val="24"/>
        </w:rPr>
        <w:t>para que a ciência regulatória seja baseada nos melhores critérios disponíveis e aplicáveis ao Brasil, permi</w:t>
      </w:r>
      <w:r w:rsidR="004615D0"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="004615D0" w:rsidRPr="00B021B1">
        <w:rPr>
          <w:rFonts w:ascii="Times New Roman" w:hAnsi="Times New Roman" w:cs="Times New Roman"/>
          <w:sz w:val="24"/>
          <w:szCs w:val="24"/>
        </w:rPr>
        <w:t>ndo que atribuição d</w:t>
      </w:r>
      <w:r w:rsidRPr="00B021B1">
        <w:rPr>
          <w:rFonts w:ascii="Times New Roman" w:hAnsi="Times New Roman" w:cs="Times New Roman"/>
          <w:sz w:val="24"/>
          <w:szCs w:val="24"/>
        </w:rPr>
        <w:t xml:space="preserve">aquele </w:t>
      </w:r>
      <w:r w:rsidR="004615D0" w:rsidRPr="00B021B1">
        <w:rPr>
          <w:rFonts w:ascii="Times New Roman" w:hAnsi="Times New Roman" w:cs="Times New Roman"/>
          <w:sz w:val="24"/>
          <w:szCs w:val="24"/>
        </w:rPr>
        <w:t>órgão seja cumprida dentro dos prazos legais estabelecidos.</w:t>
      </w:r>
    </w:p>
    <w:p w14:paraId="06D862F1" w14:textId="3FD54049" w:rsidR="001B2CA4" w:rsidRPr="00B021B1" w:rsidRDefault="008228C0" w:rsidP="001B2CA4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Q</w:t>
      </w:r>
      <w:r w:rsidR="00BC7C7C" w:rsidRPr="00B021B1">
        <w:rPr>
          <w:rFonts w:ascii="Times New Roman" w:hAnsi="Times New Roman" w:cs="Times New Roman"/>
          <w:sz w:val="24"/>
          <w:szCs w:val="24"/>
        </w:rPr>
        <w:t xml:space="preserve">uanto à recomendação descrita na página 24 do relatório, a respeito de </w:t>
      </w:r>
      <w:r w:rsidR="00BC7C7C" w:rsidRPr="00B021B1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BC7C7C" w:rsidRPr="00B021B1">
        <w:rPr>
          <w:rFonts w:ascii="Times New Roman" w:hAnsi="Times New Roman" w:cs="Times New Roman"/>
          <w:i/>
          <w:iCs/>
          <w:sz w:val="24"/>
          <w:szCs w:val="24"/>
        </w:rPr>
        <w:t>ban</w:t>
      </w:r>
      <w:proofErr w:type="spellEnd"/>
      <w:r w:rsidR="00BC7C7C"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7C7C" w:rsidRPr="00B021B1">
        <w:rPr>
          <w:rFonts w:ascii="Times New Roman" w:hAnsi="Times New Roman" w:cs="Times New Roman"/>
          <w:i/>
          <w:iCs/>
          <w:sz w:val="24"/>
          <w:szCs w:val="24"/>
        </w:rPr>
        <w:t>aerial</w:t>
      </w:r>
      <w:proofErr w:type="spellEnd"/>
      <w:r w:rsidR="00BC7C7C"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7C7C" w:rsidRPr="00B021B1">
        <w:rPr>
          <w:rFonts w:ascii="Times New Roman" w:hAnsi="Times New Roman" w:cs="Times New Roman"/>
          <w:i/>
          <w:iCs/>
          <w:sz w:val="24"/>
          <w:szCs w:val="24"/>
        </w:rPr>
        <w:t>spraying</w:t>
      </w:r>
      <w:proofErr w:type="spellEnd"/>
      <w:r w:rsidR="00BC7C7C"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7C7C" w:rsidRPr="00B021B1">
        <w:rPr>
          <w:rFonts w:ascii="Times New Roman" w:hAnsi="Times New Roman" w:cs="Times New Roman"/>
          <w:i/>
          <w:iCs/>
          <w:sz w:val="24"/>
          <w:szCs w:val="24"/>
        </w:rPr>
        <w:t>especially</w:t>
      </w:r>
      <w:proofErr w:type="spellEnd"/>
      <w:r w:rsidR="00BC7C7C"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over </w:t>
      </w:r>
      <w:proofErr w:type="spellStart"/>
      <w:r w:rsidR="00BC7C7C" w:rsidRPr="00B021B1">
        <w:rPr>
          <w:rFonts w:ascii="Times New Roman" w:hAnsi="Times New Roman" w:cs="Times New Roman"/>
          <w:i/>
          <w:iCs/>
          <w:sz w:val="24"/>
          <w:szCs w:val="24"/>
        </w:rPr>
        <w:t>inhabited</w:t>
      </w:r>
      <w:proofErr w:type="spellEnd"/>
      <w:r w:rsidR="00BC7C7C"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7C7C" w:rsidRPr="00B021B1">
        <w:rPr>
          <w:rFonts w:ascii="Times New Roman" w:hAnsi="Times New Roman" w:cs="Times New Roman"/>
          <w:i/>
          <w:iCs/>
          <w:sz w:val="24"/>
          <w:szCs w:val="24"/>
        </w:rPr>
        <w:t>areas</w:t>
      </w:r>
      <w:proofErr w:type="spellEnd"/>
      <w:r w:rsidR="00BC7C7C" w:rsidRPr="00B021B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BC7C7C" w:rsidRPr="00B021B1">
        <w:rPr>
          <w:rFonts w:ascii="Times New Roman" w:hAnsi="Times New Roman" w:cs="Times New Roman"/>
          <w:sz w:val="24"/>
          <w:szCs w:val="24"/>
        </w:rPr>
        <w:t>, a Anvisa está trabalhando em uma regulamentação com o objetivo de estabelecer as diretrizes para avaliação do risco ocupacional, ampliando-se a avaliação também para residentes e transeuntes.</w:t>
      </w:r>
    </w:p>
    <w:p w14:paraId="3F775D65" w14:textId="2FD2FA61" w:rsidR="007E26B3" w:rsidRPr="00B021B1" w:rsidRDefault="00654F44" w:rsidP="00C61B34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No que concerne, ainda,</w:t>
      </w:r>
      <w:r w:rsidR="001002DE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056349" w:rsidRPr="00B021B1">
        <w:rPr>
          <w:rFonts w:ascii="Times New Roman" w:hAnsi="Times New Roman" w:cs="Times New Roman"/>
          <w:color w:val="000000"/>
          <w:sz w:val="24"/>
          <w:szCs w:val="24"/>
        </w:rPr>
        <w:t>s temas apresentados pelo Relator no</w:t>
      </w:r>
      <w:r w:rsidR="001002DE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tópico </w:t>
      </w:r>
      <w:r w:rsidR="001B2CA4" w:rsidRPr="00B021B1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="001B2CA4" w:rsidRPr="00B021B1">
        <w:rPr>
          <w:rFonts w:ascii="Times New Roman" w:hAnsi="Times New Roman" w:cs="Times New Roman"/>
          <w:i/>
          <w:iCs/>
          <w:sz w:val="24"/>
          <w:szCs w:val="24"/>
        </w:rPr>
        <w:t>Duties</w:t>
      </w:r>
      <w:proofErr w:type="spellEnd"/>
      <w:r w:rsidR="001B2CA4"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B2CA4" w:rsidRPr="00B021B1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1B2CA4"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B2CA4" w:rsidRPr="00B021B1">
        <w:rPr>
          <w:rFonts w:ascii="Times New Roman" w:hAnsi="Times New Roman" w:cs="Times New Roman"/>
          <w:i/>
          <w:iCs/>
          <w:sz w:val="24"/>
          <w:szCs w:val="24"/>
        </w:rPr>
        <w:t>responsibilities</w:t>
      </w:r>
      <w:proofErr w:type="spellEnd"/>
      <w:r w:rsidR="001B2CA4"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B2CA4" w:rsidRPr="00B021B1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="001B2CA4"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B2CA4" w:rsidRPr="00B021B1">
        <w:rPr>
          <w:rFonts w:ascii="Times New Roman" w:hAnsi="Times New Roman" w:cs="Times New Roman"/>
          <w:i/>
          <w:iCs/>
          <w:sz w:val="24"/>
          <w:szCs w:val="24"/>
        </w:rPr>
        <w:t>protect</w:t>
      </w:r>
      <w:proofErr w:type="spellEnd"/>
      <w:r w:rsidR="001B2CA4"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B2CA4" w:rsidRPr="00B021B1">
        <w:rPr>
          <w:rFonts w:ascii="Times New Roman" w:hAnsi="Times New Roman" w:cs="Times New Roman"/>
          <w:i/>
          <w:iCs/>
          <w:sz w:val="24"/>
          <w:szCs w:val="24"/>
        </w:rPr>
        <w:t>life</w:t>
      </w:r>
      <w:proofErr w:type="spellEnd"/>
      <w:r w:rsidR="001B2CA4"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B2CA4" w:rsidRPr="00B021B1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1B2CA4"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B2CA4" w:rsidRPr="00B021B1">
        <w:rPr>
          <w:rFonts w:ascii="Times New Roman" w:hAnsi="Times New Roman" w:cs="Times New Roman"/>
          <w:i/>
          <w:iCs/>
          <w:sz w:val="24"/>
          <w:szCs w:val="24"/>
        </w:rPr>
        <w:t>prevent</w:t>
      </w:r>
      <w:proofErr w:type="spellEnd"/>
      <w:r w:rsidR="001B2CA4"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B2CA4" w:rsidRPr="00B021B1">
        <w:rPr>
          <w:rFonts w:ascii="Times New Roman" w:hAnsi="Times New Roman" w:cs="Times New Roman"/>
          <w:i/>
          <w:iCs/>
          <w:sz w:val="24"/>
          <w:szCs w:val="24"/>
        </w:rPr>
        <w:t>exposure</w:t>
      </w:r>
      <w:proofErr w:type="spellEnd"/>
      <w:r w:rsidR="001B2CA4" w:rsidRPr="00B021B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1B2CA4" w:rsidRPr="00B021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indica-se que </w:t>
      </w:r>
      <w:r w:rsidR="007E26B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dados produzidos pelo Instituto Nacional de Pesquisas Espaciais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E26B3" w:rsidRPr="00B021B1">
        <w:rPr>
          <w:rFonts w:ascii="Times New Roman" w:hAnsi="Times New Roman" w:cs="Times New Roman"/>
          <w:color w:val="000000"/>
          <w:sz w:val="24"/>
          <w:szCs w:val="24"/>
        </w:rPr>
        <w:t>INPE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E26B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demonstram que os focos de calor detectados em 2019 nos biomas Amazônia e Cerrado encontram-se abaixo da média da série histórica (exceto o mês de agosto no bioma Amazônia), mensurada pelo Instituto desde 1998</w:t>
      </w:r>
      <w:r w:rsidR="0022288A" w:rsidRPr="00B021B1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="0022288A" w:rsidRPr="00B021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46C0BC" w14:textId="77777777" w:rsidR="007E26B3" w:rsidRPr="00B021B1" w:rsidRDefault="007E26B3" w:rsidP="007E26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B5460D" wp14:editId="2E4D662C">
            <wp:extent cx="5400040" cy="2740025"/>
            <wp:effectExtent l="0" t="0" r="0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CCC5A" w14:textId="77777777" w:rsidR="007E26B3" w:rsidRPr="00B021B1" w:rsidRDefault="007E26B3" w:rsidP="007E26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556CCA" wp14:editId="6A3B742C">
            <wp:extent cx="5398770" cy="2757805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893A6" w14:textId="5618DE09" w:rsidR="007E26B3" w:rsidRPr="00B021B1" w:rsidRDefault="007E26B3" w:rsidP="007E26B3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Apesar de ter </w:t>
      </w:r>
      <w:r w:rsidR="000944B0">
        <w:rPr>
          <w:rFonts w:ascii="Times New Roman" w:hAnsi="Times New Roman" w:cs="Times New Roman"/>
          <w:sz w:val="24"/>
          <w:szCs w:val="24"/>
        </w:rPr>
        <w:t>havido</w:t>
      </w:r>
      <w:r w:rsidRPr="00B021B1">
        <w:rPr>
          <w:rFonts w:ascii="Times New Roman" w:hAnsi="Times New Roman" w:cs="Times New Roman"/>
          <w:sz w:val="24"/>
          <w:szCs w:val="24"/>
        </w:rPr>
        <w:t xml:space="preserve"> incremento no registro de focos de calor em relação ao ano anterior, o total de registros em 2019 apresentou patamar semelhante ao de 2017</w:t>
      </w:r>
      <w:r w:rsidR="0022288A" w:rsidRPr="00B021B1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="0022288A" w:rsidRPr="00B021B1">
        <w:rPr>
          <w:rFonts w:ascii="Times New Roman" w:hAnsi="Times New Roman" w:cs="Times New Roman"/>
          <w:sz w:val="24"/>
          <w:szCs w:val="24"/>
        </w:rPr>
        <w:t>:</w:t>
      </w:r>
    </w:p>
    <w:p w14:paraId="62E54A5A" w14:textId="77777777" w:rsidR="007E26B3" w:rsidRPr="00B021B1" w:rsidRDefault="007E26B3" w:rsidP="007E26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5E4A051" wp14:editId="2EE6FF38">
            <wp:extent cx="5398770" cy="141160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25310" w14:textId="34897024" w:rsidR="007E26B3" w:rsidRPr="00B021B1" w:rsidRDefault="007E26B3" w:rsidP="007E26B3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color w:val="000000"/>
          <w:sz w:val="24"/>
          <w:szCs w:val="24"/>
        </w:rPr>
        <w:t>No gráfico abaixo</w:t>
      </w:r>
      <w:r w:rsidR="003E49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é possível visualizar que somente nos meses de agosto e novembro de 2019 houve maior detecção de focos de calor em relação aos mesmos meses de 2017</w:t>
      </w:r>
      <w:r w:rsidR="008228C0" w:rsidRPr="00B021B1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9"/>
      </w:r>
      <w:r w:rsidR="008228C0" w:rsidRPr="00B021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41943AA" w14:textId="77777777" w:rsidR="007E26B3" w:rsidRPr="00B021B1" w:rsidRDefault="007E26B3" w:rsidP="007E26B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D9DF3B" wp14:editId="3755DD1C">
            <wp:extent cx="5391150" cy="3101340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37CA8" w14:textId="77777777" w:rsidR="004C12D4" w:rsidRPr="00B021B1" w:rsidRDefault="004C12D4" w:rsidP="0093332C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1FD9963" w14:textId="42D1E11E" w:rsidR="00092553" w:rsidRPr="00B021B1" w:rsidRDefault="00092553" w:rsidP="0093332C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Desastres com Barragens de Rejeitos</w:t>
      </w:r>
    </w:p>
    <w:p w14:paraId="575D032F" w14:textId="2EC206B2" w:rsidR="00B44357" w:rsidRPr="00B021B1" w:rsidRDefault="00B44357" w:rsidP="009333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B017B" w14:textId="2D4B154A" w:rsidR="00092553" w:rsidRPr="00B021B1" w:rsidRDefault="00B44357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Em referência à </w:t>
      </w:r>
      <w:r w:rsidR="00C51D66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>ecomendação (m) “</w:t>
      </w:r>
      <w:r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Improve </w:t>
      </w:r>
      <w:proofErr w:type="spellStart"/>
      <w:r w:rsidRPr="00B021B1">
        <w:rPr>
          <w:rFonts w:ascii="Times New Roman" w:hAnsi="Times New Roman" w:cs="Times New Roman"/>
          <w:i/>
          <w:iCs/>
          <w:sz w:val="24"/>
          <w:szCs w:val="24"/>
        </w:rPr>
        <w:t>accountability</w:t>
      </w:r>
      <w:proofErr w:type="spellEnd"/>
      <w:r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021B1">
        <w:rPr>
          <w:rFonts w:ascii="Times New Roman" w:hAnsi="Times New Roman" w:cs="Times New Roman"/>
          <w:i/>
          <w:iCs/>
          <w:sz w:val="24"/>
          <w:szCs w:val="24"/>
        </w:rPr>
        <w:t>access</w:t>
      </w:r>
      <w:proofErr w:type="spellEnd"/>
      <w:r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21B1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justice </w:t>
      </w:r>
      <w:proofErr w:type="spellStart"/>
      <w:r w:rsidRPr="00B021B1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21B1">
        <w:rPr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21B1">
        <w:rPr>
          <w:rFonts w:ascii="Times New Roman" w:hAnsi="Times New Roman" w:cs="Times New Roman"/>
          <w:i/>
          <w:iCs/>
          <w:sz w:val="24"/>
          <w:szCs w:val="24"/>
        </w:rPr>
        <w:t>effective</w:t>
      </w:r>
      <w:proofErr w:type="spellEnd"/>
      <w:r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21B1">
        <w:rPr>
          <w:rFonts w:ascii="Times New Roman" w:hAnsi="Times New Roman" w:cs="Times New Roman"/>
          <w:i/>
          <w:iCs/>
          <w:sz w:val="24"/>
          <w:szCs w:val="24"/>
        </w:rPr>
        <w:t>remedy</w:t>
      </w:r>
      <w:proofErr w:type="spellEnd"/>
      <w:r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for </w:t>
      </w:r>
      <w:proofErr w:type="spellStart"/>
      <w:r w:rsidRPr="00B021B1">
        <w:rPr>
          <w:rFonts w:ascii="Times New Roman" w:hAnsi="Times New Roman" w:cs="Times New Roman"/>
          <w:i/>
          <w:iCs/>
          <w:sz w:val="24"/>
          <w:szCs w:val="24"/>
        </w:rPr>
        <w:t>victims</w:t>
      </w:r>
      <w:proofErr w:type="spellEnd"/>
      <w:r w:rsidRPr="00B021B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FD4" w:rsidRPr="00B021B1">
        <w:rPr>
          <w:rFonts w:ascii="Times New Roman" w:hAnsi="Times New Roman" w:cs="Times New Roman"/>
          <w:color w:val="000000"/>
          <w:sz w:val="24"/>
          <w:szCs w:val="24"/>
        </w:rPr>
        <w:t>e suas alíneas,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no que concerne 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ao rompimento da barragem de Fundão, ocorrido em</w:t>
      </w:r>
      <w:r w:rsidR="00092553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Mariana/MG, merece </w:t>
      </w:r>
      <w:r w:rsidR="00C51D66">
        <w:rPr>
          <w:rFonts w:ascii="Times New Roman" w:hAnsi="Times New Roman" w:cs="Times New Roman"/>
          <w:color w:val="000000"/>
          <w:sz w:val="24"/>
          <w:szCs w:val="24"/>
        </w:rPr>
        <w:t>atenção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a criação do Comitê </w:t>
      </w:r>
      <w:proofErr w:type="spellStart"/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Interfeder</w:t>
      </w:r>
      <w:r w:rsidR="005E4186" w:rsidRPr="00B021B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tivo</w:t>
      </w:r>
      <w:proofErr w:type="spellEnd"/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1D6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CIF</w:t>
      </w:r>
      <w:r w:rsidR="00C51D6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como instância de acompanhamento, monitoramento e fiscalização dos </w:t>
      </w:r>
      <w:r w:rsidR="00C51D6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rogramas previstos no </w:t>
      </w:r>
      <w:r w:rsidR="00C51D66">
        <w:rPr>
          <w:rFonts w:ascii="Times New Roman" w:hAnsi="Times New Roman" w:cs="Times New Roman"/>
          <w:color w:val="000000"/>
          <w:sz w:val="24"/>
          <w:szCs w:val="24"/>
        </w:rPr>
        <w:t>Termo de Transação e de Ajustamento de Conduta (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TTAC</w:t>
      </w:r>
      <w:r w:rsidR="00C51D6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, propostos e executados pela Fundação Renova, a partir da assinatura do TTAC celebrado entre órgãos e entidades da União, dos </w:t>
      </w:r>
      <w:r w:rsidR="00C51D6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stados de Minas Gerais e Espírito Santo, e as empresas SAMARCO, VALE e BHP, no bojo dos autos judiciais em trâmite na 12ª Vara Federal da Seção Judiciária de Minas Gerais.</w:t>
      </w:r>
    </w:p>
    <w:p w14:paraId="5280A568" w14:textId="686925BD" w:rsidR="00092553" w:rsidRPr="00B021B1" w:rsidRDefault="00092553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Adicionalmente, foi firmado o Termo de Ajustamento </w:t>
      </w:r>
      <w:r w:rsidR="00616216">
        <w:rPr>
          <w:rFonts w:ascii="Times New Roman" w:hAnsi="Times New Roman" w:cs="Times New Roman"/>
          <w:color w:val="000000"/>
          <w:sz w:val="24"/>
          <w:szCs w:val="24"/>
        </w:rPr>
        <w:t>denominado</w:t>
      </w:r>
      <w:r w:rsidR="00616216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TAC Governança, que ampliou a participação das pessoas atingidas no Sistema CIF, garantindo assento com voz e voto no Comitê e </w:t>
      </w:r>
      <w:r w:rsidR="00616216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>suas Câmaras Técnicas</w:t>
      </w:r>
      <w:r w:rsidR="00E9036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E9036E">
        <w:rPr>
          <w:rFonts w:ascii="Times New Roman" w:hAnsi="Times New Roman" w:cs="Times New Roman"/>
          <w:color w:val="000000"/>
          <w:sz w:val="24"/>
          <w:szCs w:val="24"/>
        </w:rPr>
        <w:t>CTs</w:t>
      </w:r>
      <w:proofErr w:type="spellEnd"/>
      <w:r w:rsidR="00E9036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16216">
        <w:rPr>
          <w:rFonts w:ascii="Times New Roman" w:hAnsi="Times New Roman" w:cs="Times New Roman"/>
          <w:color w:val="000000"/>
          <w:sz w:val="24"/>
          <w:szCs w:val="24"/>
        </w:rPr>
        <w:t>, bem como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nos conselhos da Fundação Renova, e proporcionando assessorias técnicas para apoio às comunidades no exercício d</w:t>
      </w:r>
      <w:r w:rsidR="0061621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participação qualificada nes</w:t>
      </w:r>
      <w:r w:rsidR="0061621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>es espaços.</w:t>
      </w:r>
    </w:p>
    <w:p w14:paraId="00B398D0" w14:textId="2F0DEF1C" w:rsidR="00092553" w:rsidRPr="00B021B1" w:rsidRDefault="00092553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color w:val="000000"/>
          <w:sz w:val="24"/>
          <w:szCs w:val="24"/>
        </w:rPr>
        <w:t>O CIF</w:t>
      </w:r>
      <w:r w:rsidR="00E903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composto por representantes da União, dos governos de Minas Gerais e Espírito Santo, dos municípios impactados, da população a</w:t>
      </w:r>
      <w:r w:rsidR="00213FD4" w:rsidRPr="00B021B1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ngida, dos Ministérios Públicos Federal e Estadual, das Defensorias Públicas da União e dos Estados, </w:t>
      </w:r>
      <w:r w:rsidR="00E9036E">
        <w:rPr>
          <w:rFonts w:ascii="Times New Roman" w:hAnsi="Times New Roman" w:cs="Times New Roman"/>
          <w:color w:val="000000"/>
          <w:sz w:val="24"/>
          <w:szCs w:val="24"/>
        </w:rPr>
        <w:t>bem como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do Comitê da Bacia Hidrográfica do Rio Doce, é</w:t>
      </w:r>
      <w:r w:rsidR="00E903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hoje</w:t>
      </w:r>
      <w:r w:rsidR="00E903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presidido pelo Ibama. Reúne</w:t>
      </w:r>
      <w:r w:rsidR="00E903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ao todo</w:t>
      </w:r>
      <w:r w:rsidR="00E903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cerca de 130 instituições</w:t>
      </w:r>
      <w:r w:rsidR="00E903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para orientar e fiscalizar a reparação dos danos causados </w:t>
      </w:r>
      <w:r w:rsidR="00E9036E">
        <w:rPr>
          <w:rFonts w:ascii="Times New Roman" w:hAnsi="Times New Roman" w:cs="Times New Roman"/>
          <w:color w:val="000000"/>
          <w:sz w:val="24"/>
          <w:szCs w:val="24"/>
        </w:rPr>
        <w:t>rompimento da barragem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em Mariana/MG.</w:t>
      </w:r>
    </w:p>
    <w:p w14:paraId="1FEC7271" w14:textId="03D7AE5C" w:rsidR="00092553" w:rsidRPr="00B021B1" w:rsidRDefault="00092553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Os 42 programas socioeconômicos e ambientais previstos no TTAC serão executados até 2031. Para apoiar o CIF, foram formadas </w:t>
      </w:r>
      <w:r w:rsidR="00E9036E">
        <w:rPr>
          <w:rFonts w:ascii="Times New Roman" w:hAnsi="Times New Roman" w:cs="Times New Roman"/>
          <w:color w:val="000000"/>
          <w:sz w:val="24"/>
          <w:szCs w:val="24"/>
        </w:rPr>
        <w:t>onze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Câmaras Técnicas, de papel consultivo, compostas por representantes de reconhecida excelência técnica das instituições que integram o Comitê.</w:t>
      </w:r>
    </w:p>
    <w:p w14:paraId="26EC486C" w14:textId="77777777" w:rsidR="00092553" w:rsidRPr="00B021B1" w:rsidRDefault="00092553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color w:val="000000"/>
          <w:sz w:val="24"/>
          <w:szCs w:val="24"/>
        </w:rPr>
        <w:t>As Câmaras Técnicas prestam assessoria aos membros do CIF, dando suporte às deliberações por meio de estudos e notas técnicas. Também avaliam a execução dos programas e propõem ao Comitê adequações e correções para o melhor andamento das ações de reparação e compensação.</w:t>
      </w:r>
    </w:p>
    <w:p w14:paraId="67EAFA2A" w14:textId="4DD6F293" w:rsidR="00092553" w:rsidRPr="00B021B1" w:rsidRDefault="00E9036E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Atualmente,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o CIF se reúne ordinariamente oito vezes ao ano, assim como cada uma das </w:t>
      </w:r>
      <w:r>
        <w:rPr>
          <w:rFonts w:ascii="Times New Roman" w:hAnsi="Times New Roman" w:cs="Times New Roman"/>
          <w:color w:val="000000"/>
          <w:sz w:val="24"/>
          <w:szCs w:val="24"/>
        </w:rPr>
        <w:t>onze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Câmaras Técnicas. Todas as pautas discutidas no CIF são lastreadas por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otas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écnicas produzidas nas </w:t>
      </w:r>
      <w:proofErr w:type="spellStart"/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CTs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com base em suas reuniões, ou por manifestaç</w:t>
      </w:r>
      <w:r w:rsidR="009836F4" w:rsidRPr="00B021B1">
        <w:rPr>
          <w:rFonts w:ascii="Times New Roman" w:hAnsi="Times New Roman" w:cs="Times New Roman"/>
          <w:color w:val="000000"/>
          <w:sz w:val="24"/>
          <w:szCs w:val="24"/>
        </w:rPr>
        <w:t>ões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Fundação Renova.</w:t>
      </w:r>
    </w:p>
    <w:p w14:paraId="5AF1F218" w14:textId="3D15C5D1" w:rsidR="000B1A0D" w:rsidRPr="00B021B1" w:rsidRDefault="00E9036E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respeito do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direito à informação</w:t>
      </w:r>
      <w:r w:rsidR="00F345B2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(pg. 16)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cabe ressaltar que as ações governamentais relativas ao</w:t>
      </w:r>
      <w:r w:rsidR="000B1A0D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rompimento da barragem em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Mariana foram pautadas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desde o princípio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pela transparência, com imediata criação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pelos entes governamentais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de portal de informação à sociedade. </w:t>
      </w:r>
      <w:r>
        <w:rPr>
          <w:rFonts w:ascii="Times New Roman" w:hAnsi="Times New Roman" w:cs="Times New Roman"/>
          <w:color w:val="000000"/>
          <w:sz w:val="24"/>
          <w:szCs w:val="24"/>
        </w:rPr>
        <w:t>Esse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princípio foi </w:t>
      </w:r>
      <w:r>
        <w:rPr>
          <w:rFonts w:ascii="Times New Roman" w:hAnsi="Times New Roman" w:cs="Times New Roman"/>
          <w:color w:val="000000"/>
          <w:sz w:val="24"/>
          <w:szCs w:val="24"/>
        </w:rPr>
        <w:t>observado, também, no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Termo de Transação </w:t>
      </w:r>
      <w:r w:rsidR="003017C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de Ajust</w:t>
      </w:r>
      <w:r w:rsidR="003017C3">
        <w:rPr>
          <w:rFonts w:ascii="Times New Roman" w:hAnsi="Times New Roman" w:cs="Times New Roman"/>
          <w:color w:val="000000"/>
          <w:sz w:val="24"/>
          <w:szCs w:val="24"/>
        </w:rPr>
        <w:t>amento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de Conduta. Desde as primeiras análises sobre o rompimento da barragem de Fundão, os órgãos ambientais deixaram clara a extensão dos impactos. Destac</w:t>
      </w:r>
      <w:r w:rsidR="003017C3">
        <w:rPr>
          <w:rFonts w:ascii="Times New Roman" w:hAnsi="Times New Roman" w:cs="Times New Roman"/>
          <w:color w:val="000000"/>
          <w:sz w:val="24"/>
          <w:szCs w:val="24"/>
        </w:rPr>
        <w:t>a-se, nesse sentido,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trecho da Nota </w:t>
      </w:r>
      <w:r w:rsidR="003017C3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01/2016</w:t>
      </w:r>
      <w:r w:rsidR="003017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3017C3">
        <w:rPr>
          <w:rFonts w:ascii="Times New Roman" w:hAnsi="Times New Roman" w:cs="Times New Roman"/>
          <w:color w:val="000000"/>
          <w:sz w:val="24"/>
          <w:szCs w:val="24"/>
        </w:rPr>
        <w:t xml:space="preserve"> dispõe o seguinte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18F4C92" w14:textId="095D5CB1" w:rsidR="000B1A0D" w:rsidRPr="00DB2EDA" w:rsidRDefault="00092553" w:rsidP="005021ED">
      <w:pPr>
        <w:pStyle w:val="PargrafodaLista"/>
        <w:spacing w:after="0" w:line="360" w:lineRule="auto"/>
        <w:ind w:left="22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B2EDA">
        <w:rPr>
          <w:rFonts w:ascii="Times New Roman" w:hAnsi="Times New Roman" w:cs="Times New Roman"/>
          <w:color w:val="000000"/>
          <w:sz w:val="20"/>
          <w:szCs w:val="20"/>
        </w:rPr>
        <w:t>Laudo Técnico Preliminar, concluído em 26 de novembro de 2015, aponta que 'o nível de impacto</w:t>
      </w:r>
      <w:r w:rsidR="000B1A0D" w:rsidRPr="00DB2ED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2EDA">
        <w:rPr>
          <w:rFonts w:ascii="Times New Roman" w:hAnsi="Times New Roman" w:cs="Times New Roman"/>
          <w:color w:val="000000"/>
          <w:sz w:val="20"/>
          <w:szCs w:val="20"/>
        </w:rPr>
        <w:t>foi tão profundo e perverso ao longo de diversos estratos ecológicos que é impossível estimar um</w:t>
      </w:r>
      <w:r w:rsidR="000B1A0D" w:rsidRPr="00DB2ED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2EDA">
        <w:rPr>
          <w:rFonts w:ascii="Times New Roman" w:hAnsi="Times New Roman" w:cs="Times New Roman"/>
          <w:color w:val="000000"/>
          <w:sz w:val="20"/>
          <w:szCs w:val="20"/>
        </w:rPr>
        <w:t>prazo de retorno da fauna ao local'. (...) "A força do volume de rejeitos lançado com o rompimento</w:t>
      </w:r>
      <w:r w:rsidR="000B1A0D" w:rsidRPr="00DB2ED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2EDA">
        <w:rPr>
          <w:rFonts w:ascii="Times New Roman" w:hAnsi="Times New Roman" w:cs="Times New Roman"/>
          <w:color w:val="000000"/>
          <w:sz w:val="20"/>
          <w:szCs w:val="20"/>
        </w:rPr>
        <w:t>da barragem também pode ter revolvido e colocado novamente em suspensão os sedimentos de</w:t>
      </w:r>
      <w:r w:rsidR="000B1A0D" w:rsidRPr="00DB2ED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2EDA">
        <w:rPr>
          <w:rFonts w:ascii="Times New Roman" w:hAnsi="Times New Roman" w:cs="Times New Roman"/>
          <w:color w:val="000000"/>
          <w:sz w:val="20"/>
          <w:szCs w:val="20"/>
        </w:rPr>
        <w:t>fundo dos cursos d'água afetados, que pelo histórico de uso e relatos na literatura já continham</w:t>
      </w:r>
      <w:r w:rsidR="000B1A0D" w:rsidRPr="00DB2ED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2EDA">
        <w:rPr>
          <w:rFonts w:ascii="Times New Roman" w:hAnsi="Times New Roman" w:cs="Times New Roman"/>
          <w:color w:val="000000"/>
          <w:sz w:val="20"/>
          <w:szCs w:val="20"/>
        </w:rPr>
        <w:t>metais pesados.</w:t>
      </w:r>
    </w:p>
    <w:p w14:paraId="0B60F098" w14:textId="66885B79" w:rsidR="000B1A0D" w:rsidRPr="00B021B1" w:rsidRDefault="00A55C55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Embora o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s dados demonstra</w:t>
      </w:r>
      <w:r>
        <w:rPr>
          <w:rFonts w:ascii="Times New Roman" w:hAnsi="Times New Roman" w:cs="Times New Roman"/>
          <w:color w:val="000000"/>
          <w:sz w:val="24"/>
          <w:szCs w:val="24"/>
        </w:rPr>
        <w:t>ssem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que o tipo de material depositado na barragem era preliminarmente inerte, o Ibama alertou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F95C71" w:rsidRPr="00B021B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sua página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que a passagem da onda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rejeitos poderia ter revolvido contaminantes presentes no leito 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margem dos rios afetados, destacando os impactos esperados em todo trecho da bacia do rio Doce.</w:t>
      </w:r>
    </w:p>
    <w:p w14:paraId="4EF77774" w14:textId="06F489F9" w:rsidR="0011536A" w:rsidRPr="00B021B1" w:rsidRDefault="00092553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Em relação aos estudos sobre os impactos à saúde humana, </w:t>
      </w:r>
      <w:r w:rsidR="00D21BA8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cumpre ressaltar que 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a contratação da empresa </w:t>
      </w:r>
      <w:proofErr w:type="spellStart"/>
      <w:r w:rsidRPr="00B021B1">
        <w:rPr>
          <w:rFonts w:ascii="Times New Roman" w:hAnsi="Times New Roman" w:cs="Times New Roman"/>
          <w:color w:val="000000"/>
          <w:sz w:val="24"/>
          <w:szCs w:val="24"/>
        </w:rPr>
        <w:t>Ambios</w:t>
      </w:r>
      <w:proofErr w:type="spellEnd"/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foi baseada em termo de referência validado pela Câmara Técnica de Saúde, órgão de assessoramento das decisões do CIF, composto por profissionais das Secretarias de Saúde dos Estados e pelo Ministério da Saúde, entre outros. </w:t>
      </w:r>
      <w:r w:rsidR="00A55C5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>ontua</w:t>
      </w:r>
      <w:r w:rsidR="00A55C55">
        <w:rPr>
          <w:rFonts w:ascii="Times New Roman" w:hAnsi="Times New Roman" w:cs="Times New Roman"/>
          <w:color w:val="000000"/>
          <w:sz w:val="24"/>
          <w:szCs w:val="24"/>
        </w:rPr>
        <w:t>-se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que, como explicitado na Nota Técnica CT-Saúde nº 11/2017, o Estudo de Avaliação de Risco a Saúde Humana (EARSH) tem como obje</w:t>
      </w:r>
      <w:r w:rsidR="007E1293" w:rsidRPr="00B021B1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vo a definição de contaminantes de interesse, rotas de exposição e população exposta </w:t>
      </w:r>
      <w:r w:rsidRPr="00B0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para orientar os Estudos Epidemiológicos e Toxicológicos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não sendo, portando, um fim em si mesmo.</w:t>
      </w:r>
    </w:p>
    <w:p w14:paraId="1F620FDA" w14:textId="5C44CA8D" w:rsidR="000B1A0D" w:rsidRPr="00B021B1" w:rsidRDefault="00092553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Nesse sentido, uma vez disponibilizado o relatório final, os órgãos de saúde iniciam uma avaliação técnica, podendo solicitar esclarecimentos, apontar incorreções, realizar recomendações e até solicitar a complementação das informações apresentadas no documento, para que o EARSH cumpra seu objetivo de orientar ações de saúde e monitoramento dos estudos de seguimento populacional. Na Deliberação do CIF que determinou a elaboração do Estudo nº 106, aprovou-se como orientação as Diretrizes do Ministério da Saúde e o documento de “Bases Mínimas” da CT-Saúde. </w:t>
      </w:r>
    </w:p>
    <w:p w14:paraId="6FD0188E" w14:textId="358579C8" w:rsidR="000B1A0D" w:rsidRPr="00B021B1" w:rsidRDefault="00D21BA8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color w:val="000000"/>
          <w:sz w:val="24"/>
          <w:szCs w:val="24"/>
        </w:rPr>
        <w:t>Após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19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avaliação, são elaboradas ações e estratégias com vista</w:t>
      </w:r>
      <w:r w:rsidR="00CD319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CD319C">
        <w:rPr>
          <w:rFonts w:ascii="Times New Roman" w:hAnsi="Times New Roman" w:cs="Times New Roman"/>
          <w:color w:val="000000"/>
          <w:sz w:val="24"/>
          <w:szCs w:val="24"/>
        </w:rPr>
        <w:t>preservar a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saúde do</w:t>
      </w:r>
      <w:r w:rsidR="00CD319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cidadão</w:t>
      </w:r>
      <w:r w:rsidR="00CD319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D319C">
        <w:rPr>
          <w:rFonts w:ascii="Times New Roman" w:hAnsi="Times New Roman" w:cs="Times New Roman"/>
          <w:color w:val="000000"/>
          <w:sz w:val="24"/>
          <w:szCs w:val="24"/>
        </w:rPr>
        <w:t>No processo de elaboração dessas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medidas, a atuação do Poder Público </w:t>
      </w:r>
      <w:r w:rsidR="004070B2">
        <w:rPr>
          <w:rFonts w:ascii="Times New Roman" w:hAnsi="Times New Roman" w:cs="Times New Roman"/>
          <w:color w:val="000000"/>
          <w:sz w:val="24"/>
          <w:szCs w:val="24"/>
        </w:rPr>
        <w:t>consiste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0B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a disponibilização d</w:t>
      </w:r>
      <w:r w:rsidR="00131B6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informações de forma </w:t>
      </w:r>
      <w:r w:rsidR="00092553" w:rsidRPr="00B0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oportuna e razoável</w:t>
      </w:r>
      <w:r w:rsidR="00172A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4014E8" w14:textId="46D89258" w:rsidR="000B1A0D" w:rsidRPr="00B021B1" w:rsidRDefault="00172A06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sclarece-se</w:t>
      </w:r>
      <w:r w:rsidR="00CA0323">
        <w:rPr>
          <w:rFonts w:ascii="Times New Roman" w:hAnsi="Times New Roman" w:cs="Times New Roman"/>
          <w:color w:val="000000"/>
          <w:sz w:val="24"/>
          <w:szCs w:val="24"/>
        </w:rPr>
        <w:t>, ainda,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r w:rsidR="00CA0323">
        <w:rPr>
          <w:rFonts w:ascii="Times New Roman" w:hAnsi="Times New Roman" w:cs="Times New Roman"/>
          <w:color w:val="000000"/>
          <w:sz w:val="24"/>
          <w:szCs w:val="24"/>
        </w:rPr>
        <w:t>foram revogadas, em setembro de 2018, por meio da Deliberação CIF 197, a determinação de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propriedade intelectual </w:t>
      </w:r>
      <w:r w:rsidR="00CA0323">
        <w:rPr>
          <w:rFonts w:ascii="Times New Roman" w:hAnsi="Times New Roman" w:cs="Times New Roman"/>
          <w:color w:val="000000"/>
          <w:sz w:val="24"/>
          <w:szCs w:val="24"/>
        </w:rPr>
        <w:t xml:space="preserve">da Fundação Renova 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sobre os Estudos Epidemiológicos e Toxicológicos, bem como </w:t>
      </w:r>
      <w:r w:rsidR="00CA0323">
        <w:rPr>
          <w:rFonts w:ascii="Times New Roman" w:hAnsi="Times New Roman" w:cs="Times New Roman"/>
          <w:color w:val="000000"/>
          <w:sz w:val="24"/>
          <w:szCs w:val="24"/>
        </w:rPr>
        <w:t xml:space="preserve">a necessidade 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A0323">
        <w:rPr>
          <w:rFonts w:ascii="Times New Roman" w:hAnsi="Times New Roman" w:cs="Times New Roman"/>
          <w:color w:val="000000"/>
          <w:sz w:val="24"/>
          <w:szCs w:val="24"/>
        </w:rPr>
        <w:t>e autorização prévia da Fundação Renova, em conjunto com a CT-Saúde, para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divulgação dos mesmos</w:t>
      </w:r>
      <w:r w:rsidR="00CA03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A única vedação para divulgação dos dados era e ainda é para a empresa contratada.</w:t>
      </w:r>
    </w:p>
    <w:p w14:paraId="7FF6E32B" w14:textId="0AFA0B96" w:rsidR="00724F0E" w:rsidRPr="00B021B1" w:rsidRDefault="00092553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Dessa forma, </w:t>
      </w:r>
      <w:r w:rsidRPr="00B0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deve-se esclarecer que não há cláusula de propriedade que permita à Fundação Renova </w:t>
      </w:r>
      <w:r w:rsidR="00CA0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omitir </w:t>
      </w:r>
      <w:r w:rsidRPr="00B0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 dados dos estudos</w:t>
      </w:r>
      <w:r w:rsidR="00CA0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B0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0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que há é vedação de</w:t>
      </w:r>
      <w:r w:rsidRPr="00B0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que a empresa contratada para sua elaboração </w:t>
      </w:r>
      <w:r w:rsidR="00CA0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faça sua</w:t>
      </w:r>
      <w:r w:rsidRPr="00B0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divulgação por conta própria</w:t>
      </w:r>
      <w:r w:rsidR="00CA0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B02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sem que haja avaliação pelos órgãos competentes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5F12C0" w14:textId="1E6C2882" w:rsidR="000B1A0D" w:rsidRPr="00B021B1" w:rsidRDefault="00E21BCB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15532" w:rsidRPr="00B021B1">
        <w:rPr>
          <w:rFonts w:ascii="Times New Roman" w:hAnsi="Times New Roman" w:cs="Times New Roman"/>
          <w:color w:val="000000"/>
          <w:sz w:val="24"/>
          <w:szCs w:val="24"/>
        </w:rPr>
        <w:t>eforça-se</w:t>
      </w:r>
      <w:r>
        <w:rPr>
          <w:rFonts w:ascii="Times New Roman" w:hAnsi="Times New Roman" w:cs="Times New Roman"/>
          <w:color w:val="000000"/>
          <w:sz w:val="24"/>
          <w:szCs w:val="24"/>
        </w:rPr>
        <w:t>, ademais,</w:t>
      </w:r>
      <w:r w:rsidR="00C15532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que t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odas as ações de reparação</w:t>
      </w:r>
      <w:r w:rsidR="00C15532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devem ser aprovadas pelo CIF, </w:t>
      </w:r>
      <w:r w:rsidR="00882BD6" w:rsidRPr="00B021B1">
        <w:rPr>
          <w:rFonts w:ascii="Times New Roman" w:hAnsi="Times New Roman" w:cs="Times New Roman"/>
          <w:color w:val="000000"/>
          <w:sz w:val="24"/>
          <w:szCs w:val="24"/>
        </w:rPr>
        <w:t>o qual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se rege pel</w:t>
      </w:r>
      <w:r>
        <w:rPr>
          <w:rFonts w:ascii="Times New Roman" w:hAnsi="Times New Roman" w:cs="Times New Roman"/>
          <w:color w:val="000000"/>
          <w:sz w:val="24"/>
          <w:szCs w:val="24"/>
        </w:rPr>
        <w:t>os princípios da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legalidade,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impessoalidade 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>moralidade, não havendo qualquer interesse em beneficiar ou prejudicar consultores contratados.</w:t>
      </w:r>
    </w:p>
    <w:p w14:paraId="0D11C1F8" w14:textId="41073D13" w:rsidR="00AA14D0" w:rsidRPr="00B021B1" w:rsidRDefault="00AA14D0" w:rsidP="0093332C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33E62FC" w14:textId="77777777" w:rsidR="00303F53" w:rsidRPr="00B021B1" w:rsidRDefault="00303F53" w:rsidP="00303F53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021B1">
        <w:rPr>
          <w:rFonts w:ascii="Times New Roman" w:hAnsi="Times New Roman" w:cs="Times New Roman"/>
          <w:i/>
          <w:iCs/>
          <w:sz w:val="24"/>
          <w:szCs w:val="24"/>
        </w:rPr>
        <w:t>Protecting</w:t>
      </w:r>
      <w:proofErr w:type="spellEnd"/>
      <w:r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21B1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21B1">
        <w:rPr>
          <w:rFonts w:ascii="Times New Roman" w:hAnsi="Times New Roman" w:cs="Times New Roman"/>
          <w:i/>
          <w:iCs/>
          <w:sz w:val="24"/>
          <w:szCs w:val="24"/>
        </w:rPr>
        <w:t>most</w:t>
      </w:r>
      <w:proofErr w:type="spellEnd"/>
      <w:r w:rsidRPr="00B0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21B1">
        <w:rPr>
          <w:rFonts w:ascii="Times New Roman" w:hAnsi="Times New Roman" w:cs="Times New Roman"/>
          <w:i/>
          <w:iCs/>
          <w:sz w:val="24"/>
          <w:szCs w:val="24"/>
        </w:rPr>
        <w:t>vulnerable</w:t>
      </w:r>
      <w:proofErr w:type="spellEnd"/>
    </w:p>
    <w:p w14:paraId="43C89EB0" w14:textId="77777777" w:rsidR="00AA14D0" w:rsidRPr="00B021B1" w:rsidRDefault="00AA14D0" w:rsidP="0093332C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68D308E" w14:textId="365AC2B1" w:rsidR="000B1A0D" w:rsidRPr="00B021B1" w:rsidRDefault="00092553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18204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021B1">
        <w:rPr>
          <w:rFonts w:ascii="Times New Roman" w:hAnsi="Times New Roman" w:cs="Times New Roman"/>
          <w:color w:val="000000"/>
          <w:sz w:val="24"/>
          <w:szCs w:val="24"/>
        </w:rPr>
        <w:t>elator cita a deposição de resíduos em área pertencente a um bairro periférico de população predominantemente afrodescendente como um possível caso de discriminação racial</w:t>
      </w:r>
      <w:r w:rsidR="003502AE" w:rsidRPr="00B021B1">
        <w:rPr>
          <w:rFonts w:ascii="Times New Roman" w:hAnsi="Times New Roman" w:cs="Times New Roman"/>
          <w:color w:val="000000"/>
          <w:sz w:val="24"/>
          <w:szCs w:val="24"/>
        </w:rPr>
        <w:t>, citando o caso de Bar</w:t>
      </w:r>
      <w:r w:rsidR="00A70561" w:rsidRPr="00B021B1">
        <w:rPr>
          <w:rFonts w:ascii="Times New Roman" w:hAnsi="Times New Roman" w:cs="Times New Roman"/>
          <w:color w:val="000000"/>
          <w:sz w:val="24"/>
          <w:szCs w:val="24"/>
        </w:rPr>
        <w:t>ra Longa</w:t>
      </w:r>
      <w:r w:rsidR="00101D20" w:rsidRPr="00B021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D4783F" w14:textId="67382BA2" w:rsidR="00F73897" w:rsidRPr="00B021B1" w:rsidRDefault="00F73897" w:rsidP="0093332C">
      <w:pPr>
        <w:autoSpaceDE w:val="0"/>
        <w:autoSpaceDN w:val="0"/>
        <w:adjustRightInd w:val="0"/>
        <w:spacing w:after="0" w:line="360" w:lineRule="auto"/>
        <w:ind w:left="198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“Low-income families, including Afro-Brazilians, suffered disproportionate exposure to dust and heavy metals in mud heaped in Barra Longa following the Mariana dam collapse by agents of the companies and the </w:t>
      </w:r>
      <w:proofErr w:type="spellStart"/>
      <w:r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>Renova</w:t>
      </w:r>
      <w:proofErr w:type="spellEnd"/>
      <w:r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foundation.</w:t>
      </w:r>
      <w:r w:rsidR="00101D20"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(pg. 12)</w:t>
      </w:r>
    </w:p>
    <w:p w14:paraId="7AA6A845" w14:textId="34EC7EB1" w:rsidR="003125FD" w:rsidRPr="00B021B1" w:rsidRDefault="0046778C" w:rsidP="0093332C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esse respeito,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é importante mencionar que o CIF </w:t>
      </w:r>
      <w:r w:rsidR="00DF7B6A" w:rsidRPr="00B021B1">
        <w:rPr>
          <w:rFonts w:ascii="Times New Roman" w:hAnsi="Times New Roman" w:cs="Times New Roman"/>
          <w:color w:val="000000"/>
          <w:sz w:val="24"/>
          <w:szCs w:val="24"/>
        </w:rPr>
        <w:t>aplicou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diversas sanções</w:t>
      </w:r>
      <w:r w:rsidR="00DF7B6A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à Fundação Renova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relativas ao programa de manejo de rejeitos presente no TTAC. Ressalta-se, também, que o CIF não endossa qualquer tipo de discriminação, </w:t>
      </w:r>
      <w:r w:rsidR="00182045">
        <w:rPr>
          <w:rFonts w:ascii="Times New Roman" w:hAnsi="Times New Roman" w:cs="Times New Roman"/>
          <w:color w:val="000000"/>
          <w:sz w:val="24"/>
          <w:szCs w:val="24"/>
        </w:rPr>
        <w:t>pautando-se</w:t>
      </w:r>
      <w:r w:rsidR="00092553" w:rsidRPr="00B021B1">
        <w:rPr>
          <w:rFonts w:ascii="Times New Roman" w:hAnsi="Times New Roman" w:cs="Times New Roman"/>
          <w:color w:val="000000"/>
          <w:sz w:val="24"/>
          <w:szCs w:val="24"/>
        </w:rPr>
        <w:t xml:space="preserve"> por avaliações técnicas, e que as decisões sobre localização e deposição de resíduos seguem a legislação ambiental.</w:t>
      </w:r>
    </w:p>
    <w:p w14:paraId="3C2D0239" w14:textId="5BCF71BD" w:rsidR="00890893" w:rsidRPr="00B021B1" w:rsidRDefault="00182045" w:rsidP="0093332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relação, ainda, à </w:t>
      </w:r>
      <w:r w:rsidR="00AD75C7" w:rsidRPr="00B021B1">
        <w:rPr>
          <w:rFonts w:ascii="Times New Roman" w:hAnsi="Times New Roman" w:cs="Times New Roman"/>
          <w:sz w:val="24"/>
          <w:szCs w:val="24"/>
        </w:rPr>
        <w:t xml:space="preserve">proteção aos vulneráveis, </w:t>
      </w:r>
      <w:r>
        <w:rPr>
          <w:rFonts w:ascii="Times New Roman" w:hAnsi="Times New Roman" w:cs="Times New Roman"/>
          <w:sz w:val="24"/>
          <w:szCs w:val="24"/>
        </w:rPr>
        <w:t>recorda-se</w:t>
      </w:r>
      <w:r w:rsidR="001F69F8" w:rsidRPr="00B021B1">
        <w:rPr>
          <w:rFonts w:ascii="Times New Roman" w:hAnsi="Times New Roman" w:cs="Times New Roman"/>
          <w:sz w:val="24"/>
          <w:szCs w:val="24"/>
        </w:rPr>
        <w:t xml:space="preserve"> que</w:t>
      </w:r>
      <w:r w:rsidR="00AD75C7" w:rsidRPr="00B021B1">
        <w:rPr>
          <w:rFonts w:ascii="Times New Roman" w:hAnsi="Times New Roman" w:cs="Times New Roman"/>
          <w:sz w:val="24"/>
          <w:szCs w:val="24"/>
        </w:rPr>
        <w:t xml:space="preserve"> a</w:t>
      </w:r>
      <w:r w:rsidR="00A02CE6" w:rsidRPr="00B021B1">
        <w:rPr>
          <w:rFonts w:ascii="Times New Roman" w:hAnsi="Times New Roman" w:cs="Times New Roman"/>
          <w:sz w:val="24"/>
          <w:szCs w:val="24"/>
        </w:rPr>
        <w:t xml:space="preserve"> Coordenação-Geral de Saúde do Trabalhador</w:t>
      </w:r>
      <w:r w:rsidR="00F666FD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A02CE6" w:rsidRPr="00B021B1">
        <w:rPr>
          <w:rFonts w:ascii="Times New Roman" w:hAnsi="Times New Roman" w:cs="Times New Roman"/>
          <w:sz w:val="24"/>
          <w:szCs w:val="24"/>
        </w:rPr>
        <w:t>(CGSAT)</w:t>
      </w:r>
      <w:r w:rsidR="00F666FD" w:rsidRPr="00B021B1">
        <w:rPr>
          <w:rFonts w:ascii="Times New Roman" w:hAnsi="Times New Roman" w:cs="Times New Roman"/>
          <w:sz w:val="24"/>
          <w:szCs w:val="24"/>
        </w:rPr>
        <w:t xml:space="preserve"> do Ministério da Saúde</w:t>
      </w:r>
      <w:r w:rsidR="00A02CE6" w:rsidRPr="00B021B1">
        <w:rPr>
          <w:rFonts w:ascii="Times New Roman" w:hAnsi="Times New Roman" w:cs="Times New Roman"/>
          <w:sz w:val="24"/>
          <w:szCs w:val="24"/>
        </w:rPr>
        <w:t xml:space="preserve"> participou efetivamente das reuniões técnicas realizadas durante a visita do </w:t>
      </w:r>
      <w:r>
        <w:rPr>
          <w:rFonts w:ascii="Times New Roman" w:hAnsi="Times New Roman" w:cs="Times New Roman"/>
          <w:sz w:val="24"/>
          <w:szCs w:val="24"/>
        </w:rPr>
        <w:t>Relator,</w:t>
      </w:r>
      <w:r w:rsidR="00A02CE6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0044E5" w:rsidRPr="00B021B1">
        <w:rPr>
          <w:rFonts w:ascii="Times New Roman" w:hAnsi="Times New Roman" w:cs="Times New Roman"/>
          <w:sz w:val="24"/>
          <w:szCs w:val="24"/>
        </w:rPr>
        <w:t xml:space="preserve">tendo informado que </w:t>
      </w:r>
      <w:r w:rsidR="00A02CE6" w:rsidRPr="00B021B1">
        <w:rPr>
          <w:rFonts w:ascii="Times New Roman" w:hAnsi="Times New Roman" w:cs="Times New Roman"/>
          <w:sz w:val="24"/>
          <w:szCs w:val="24"/>
        </w:rPr>
        <w:t>vem trabalhado con</w:t>
      </w:r>
      <w:r w:rsidR="00A02CE6"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="00A02CE6" w:rsidRPr="00B021B1">
        <w:rPr>
          <w:rFonts w:ascii="Times New Roman" w:hAnsi="Times New Roman" w:cs="Times New Roman"/>
          <w:sz w:val="24"/>
          <w:szCs w:val="24"/>
        </w:rPr>
        <w:t xml:space="preserve">nuamente para promover a saúde integral de todos os trabalhadores, especialmente os de maior vulnerabilidade, como os expostos a substâncias químicas. </w:t>
      </w:r>
    </w:p>
    <w:p w14:paraId="03063D77" w14:textId="63AFCD0E" w:rsidR="00A02CE6" w:rsidRPr="00B021B1" w:rsidRDefault="00A02CE6" w:rsidP="0093332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Para ta</w:t>
      </w:r>
      <w:r w:rsidR="00890893" w:rsidRPr="00B021B1">
        <w:rPr>
          <w:rFonts w:ascii="Times New Roman" w:hAnsi="Times New Roman" w:cs="Times New Roman"/>
          <w:sz w:val="24"/>
          <w:szCs w:val="24"/>
        </w:rPr>
        <w:t>nto</w:t>
      </w:r>
      <w:r w:rsidRPr="00B021B1">
        <w:rPr>
          <w:rFonts w:ascii="Times New Roman" w:hAnsi="Times New Roman" w:cs="Times New Roman"/>
          <w:sz w:val="24"/>
          <w:szCs w:val="24"/>
        </w:rPr>
        <w:t xml:space="preserve">, a CGSAT vem fortalecendo a Rede Nacional de Atenção Integral à Saúde do Trabalhador </w:t>
      </w:r>
      <w:r w:rsidR="004F61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21B1">
        <w:rPr>
          <w:rFonts w:ascii="Times New Roman" w:hAnsi="Times New Roman" w:cs="Times New Roman"/>
          <w:sz w:val="24"/>
          <w:szCs w:val="24"/>
        </w:rPr>
        <w:t>Renast</w:t>
      </w:r>
      <w:proofErr w:type="spellEnd"/>
      <w:r w:rsidR="004F617A">
        <w:rPr>
          <w:rFonts w:ascii="Times New Roman" w:hAnsi="Times New Roman" w:cs="Times New Roman"/>
          <w:sz w:val="24"/>
          <w:szCs w:val="24"/>
        </w:rPr>
        <w:t>)</w:t>
      </w:r>
      <w:r w:rsidRPr="00B021B1">
        <w:rPr>
          <w:rFonts w:ascii="Times New Roman" w:hAnsi="Times New Roman" w:cs="Times New Roman"/>
          <w:sz w:val="24"/>
          <w:szCs w:val="24"/>
        </w:rPr>
        <w:t>, estruturando programas existentes e elaborando novas ações de promoção à saúde, prevenção e monitoramento d</w:t>
      </w:r>
      <w:r w:rsidR="00AA757C">
        <w:rPr>
          <w:rFonts w:ascii="Times New Roman" w:hAnsi="Times New Roman" w:cs="Times New Roman"/>
          <w:sz w:val="24"/>
          <w:szCs w:val="24"/>
        </w:rPr>
        <w:t>e</w:t>
      </w:r>
      <w:r w:rsidRPr="00B021B1">
        <w:rPr>
          <w:rFonts w:ascii="Times New Roman" w:hAnsi="Times New Roman" w:cs="Times New Roman"/>
          <w:sz w:val="24"/>
          <w:szCs w:val="24"/>
        </w:rPr>
        <w:t xml:space="preserve"> fatores de risco e agravos, com vistas a intervir nos determinantes da exposição a substâncias químicas que interferem na saúde humana.</w:t>
      </w:r>
    </w:p>
    <w:p w14:paraId="7781909D" w14:textId="4BA19311" w:rsidR="006B4C88" w:rsidRPr="00B021B1" w:rsidRDefault="00AA757C" w:rsidP="0093332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463BD" w:rsidRPr="00B021B1">
        <w:rPr>
          <w:rFonts w:ascii="Times New Roman" w:hAnsi="Times New Roman" w:cs="Times New Roman"/>
          <w:sz w:val="24"/>
          <w:szCs w:val="24"/>
        </w:rPr>
        <w:t>ntre as</w:t>
      </w:r>
      <w:r w:rsidR="00A02CE6" w:rsidRPr="00B021B1">
        <w:rPr>
          <w:rFonts w:ascii="Times New Roman" w:hAnsi="Times New Roman" w:cs="Times New Roman"/>
          <w:sz w:val="24"/>
          <w:szCs w:val="24"/>
        </w:rPr>
        <w:t xml:space="preserve"> inicia</w:t>
      </w:r>
      <w:r w:rsidR="00A02CE6"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="00A02CE6" w:rsidRPr="00B021B1">
        <w:rPr>
          <w:rFonts w:ascii="Times New Roman" w:hAnsi="Times New Roman" w:cs="Times New Roman"/>
          <w:sz w:val="24"/>
          <w:szCs w:val="24"/>
        </w:rPr>
        <w:t>vas da CGSAT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63BD" w:rsidRPr="00B021B1">
        <w:rPr>
          <w:rFonts w:ascii="Times New Roman" w:hAnsi="Times New Roman" w:cs="Times New Roman"/>
          <w:sz w:val="24"/>
          <w:szCs w:val="24"/>
        </w:rPr>
        <w:t xml:space="preserve"> destaca</w:t>
      </w:r>
      <w:r>
        <w:rPr>
          <w:rFonts w:ascii="Times New Roman" w:hAnsi="Times New Roman" w:cs="Times New Roman"/>
          <w:sz w:val="24"/>
          <w:szCs w:val="24"/>
        </w:rPr>
        <w:t>-se</w:t>
      </w:r>
      <w:r w:rsidR="00A463BD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A02CE6" w:rsidRPr="00B021B1">
        <w:rPr>
          <w:rFonts w:ascii="Times New Roman" w:hAnsi="Times New Roman" w:cs="Times New Roman"/>
          <w:sz w:val="24"/>
          <w:szCs w:val="24"/>
        </w:rPr>
        <w:t>o Projeto CAREX Brasil, que é um sistema internacional de informação para elaboração de uma matriz de exposição ocupacional</w:t>
      </w:r>
      <w:r>
        <w:rPr>
          <w:rFonts w:ascii="Times New Roman" w:hAnsi="Times New Roman" w:cs="Times New Roman"/>
          <w:sz w:val="24"/>
          <w:szCs w:val="24"/>
        </w:rPr>
        <w:t>, cujo objetivo é</w:t>
      </w:r>
      <w:r w:rsidR="00A02CE6" w:rsidRPr="00B021B1">
        <w:rPr>
          <w:rFonts w:ascii="Times New Roman" w:hAnsi="Times New Roman" w:cs="Times New Roman"/>
          <w:sz w:val="24"/>
          <w:szCs w:val="24"/>
        </w:rPr>
        <w:t xml:space="preserve"> estimar a proporção de trabalhadores expostos a agentes cancerígenos, para apoiar ações de intervenção nos territórios.</w:t>
      </w:r>
    </w:p>
    <w:p w14:paraId="2145EF3D" w14:textId="5294FC54" w:rsidR="00A02CE6" w:rsidRPr="00B021B1" w:rsidRDefault="00A02CE6" w:rsidP="0093332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Atualmente, o projeto está passando por revisão e ajustes</w:t>
      </w:r>
      <w:r w:rsidR="0009123C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antes da inclusão de novos agentes, mas sua versão preliminar demonstrou boa consistência</w:t>
      </w:r>
      <w:r w:rsidR="0009123C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ao analisar as exposições aos agrotóxicos </w:t>
      </w:r>
      <w:proofErr w:type="spellStart"/>
      <w:r w:rsidRPr="00B021B1">
        <w:rPr>
          <w:rFonts w:ascii="Times New Roman" w:hAnsi="Times New Roman" w:cs="Times New Roman"/>
          <w:sz w:val="24"/>
          <w:szCs w:val="24"/>
        </w:rPr>
        <w:t>Clorotalonil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1B1">
        <w:rPr>
          <w:rFonts w:ascii="Times New Roman" w:hAnsi="Times New Roman" w:cs="Times New Roman"/>
          <w:sz w:val="24"/>
          <w:szCs w:val="24"/>
        </w:rPr>
        <w:t>Mala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 xml:space="preserve"> e Glifosato, </w:t>
      </w:r>
      <w:r w:rsidR="0009123C">
        <w:rPr>
          <w:rFonts w:ascii="Times New Roman" w:hAnsi="Times New Roman" w:cs="Times New Roman"/>
          <w:sz w:val="24"/>
          <w:szCs w:val="24"/>
        </w:rPr>
        <w:t xml:space="preserve">ao </w:t>
      </w:r>
      <w:r w:rsidRPr="00B021B1">
        <w:rPr>
          <w:rFonts w:ascii="Times New Roman" w:hAnsi="Times New Roman" w:cs="Times New Roman"/>
          <w:sz w:val="24"/>
          <w:szCs w:val="24"/>
        </w:rPr>
        <w:t xml:space="preserve">Amianto, </w:t>
      </w:r>
      <w:r w:rsidR="0009123C">
        <w:rPr>
          <w:rFonts w:ascii="Times New Roman" w:hAnsi="Times New Roman" w:cs="Times New Roman"/>
          <w:sz w:val="24"/>
          <w:szCs w:val="24"/>
        </w:rPr>
        <w:t xml:space="preserve">à </w:t>
      </w:r>
      <w:r w:rsidRPr="00B021B1">
        <w:rPr>
          <w:rFonts w:ascii="Times New Roman" w:hAnsi="Times New Roman" w:cs="Times New Roman"/>
          <w:sz w:val="24"/>
          <w:szCs w:val="24"/>
        </w:rPr>
        <w:t xml:space="preserve">Sílica, </w:t>
      </w:r>
      <w:r w:rsidR="0009123C">
        <w:rPr>
          <w:rFonts w:ascii="Times New Roman" w:hAnsi="Times New Roman" w:cs="Times New Roman"/>
          <w:sz w:val="24"/>
          <w:szCs w:val="24"/>
        </w:rPr>
        <w:t xml:space="preserve">ao </w:t>
      </w:r>
      <w:r w:rsidRPr="00B021B1">
        <w:rPr>
          <w:rFonts w:ascii="Times New Roman" w:hAnsi="Times New Roman" w:cs="Times New Roman"/>
          <w:sz w:val="24"/>
          <w:szCs w:val="24"/>
        </w:rPr>
        <w:t xml:space="preserve">Benzeno e </w:t>
      </w:r>
      <w:r w:rsidR="0009123C">
        <w:rPr>
          <w:rFonts w:ascii="Times New Roman" w:hAnsi="Times New Roman" w:cs="Times New Roman"/>
          <w:sz w:val="24"/>
          <w:szCs w:val="24"/>
        </w:rPr>
        <w:t>a r</w:t>
      </w:r>
      <w:r w:rsidRPr="00B021B1">
        <w:rPr>
          <w:rFonts w:ascii="Times New Roman" w:hAnsi="Times New Roman" w:cs="Times New Roman"/>
          <w:sz w:val="24"/>
          <w:szCs w:val="24"/>
        </w:rPr>
        <w:t xml:space="preserve">adiações </w:t>
      </w:r>
      <w:r w:rsidR="0009123C">
        <w:rPr>
          <w:rFonts w:ascii="Times New Roman" w:hAnsi="Times New Roman" w:cs="Times New Roman"/>
          <w:sz w:val="24"/>
          <w:szCs w:val="24"/>
        </w:rPr>
        <w:t>i</w:t>
      </w:r>
      <w:r w:rsidRPr="00B021B1">
        <w:rPr>
          <w:rFonts w:ascii="Times New Roman" w:hAnsi="Times New Roman" w:cs="Times New Roman"/>
          <w:sz w:val="24"/>
          <w:szCs w:val="24"/>
        </w:rPr>
        <w:t>onizantes.</w:t>
      </w:r>
    </w:p>
    <w:p w14:paraId="7FDE63C1" w14:textId="68F48359" w:rsidR="00A02CE6" w:rsidRPr="00B021B1" w:rsidRDefault="00A02CE6" w:rsidP="0093332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A exposição aos agrotóxicos é um importante </w:t>
      </w:r>
      <w:r w:rsidR="00F87960">
        <w:rPr>
          <w:rFonts w:ascii="Times New Roman" w:hAnsi="Times New Roman" w:cs="Times New Roman"/>
          <w:sz w:val="24"/>
          <w:szCs w:val="24"/>
        </w:rPr>
        <w:t>tema da área de</w:t>
      </w:r>
      <w:r w:rsidRPr="00B021B1">
        <w:rPr>
          <w:rFonts w:ascii="Times New Roman" w:hAnsi="Times New Roman" w:cs="Times New Roman"/>
          <w:sz w:val="24"/>
          <w:szCs w:val="24"/>
        </w:rPr>
        <w:t xml:space="preserve"> saúde pública</w:t>
      </w:r>
      <w:r w:rsidR="00F87960">
        <w:rPr>
          <w:rFonts w:ascii="Times New Roman" w:hAnsi="Times New Roman" w:cs="Times New Roman"/>
          <w:sz w:val="24"/>
          <w:szCs w:val="24"/>
        </w:rPr>
        <w:t>, sendo considerado</w:t>
      </w:r>
      <w:r w:rsidRPr="00B021B1">
        <w:rPr>
          <w:rFonts w:ascii="Times New Roman" w:hAnsi="Times New Roman" w:cs="Times New Roman"/>
          <w:sz w:val="24"/>
          <w:szCs w:val="24"/>
        </w:rPr>
        <w:t xml:space="preserve"> prioritário </w:t>
      </w:r>
      <w:r w:rsidR="00F87960">
        <w:rPr>
          <w:rFonts w:ascii="Times New Roman" w:hAnsi="Times New Roman" w:cs="Times New Roman"/>
          <w:sz w:val="24"/>
          <w:szCs w:val="24"/>
        </w:rPr>
        <w:t>pela</w:t>
      </w:r>
      <w:r w:rsidRPr="00B021B1">
        <w:rPr>
          <w:rFonts w:ascii="Times New Roman" w:hAnsi="Times New Roman" w:cs="Times New Roman"/>
          <w:sz w:val="24"/>
          <w:szCs w:val="24"/>
        </w:rPr>
        <w:t xml:space="preserve"> CGSAT</w:t>
      </w:r>
      <w:r w:rsidR="00F87960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que</w:t>
      </w:r>
      <w:r w:rsidR="003943E7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F87960">
        <w:rPr>
          <w:rFonts w:ascii="Times New Roman" w:hAnsi="Times New Roman" w:cs="Times New Roman"/>
          <w:sz w:val="24"/>
          <w:szCs w:val="24"/>
        </w:rPr>
        <w:t>promove</w:t>
      </w:r>
      <w:r w:rsidRPr="00B021B1">
        <w:rPr>
          <w:rFonts w:ascii="Times New Roman" w:hAnsi="Times New Roman" w:cs="Times New Roman"/>
          <w:sz w:val="24"/>
          <w:szCs w:val="24"/>
        </w:rPr>
        <w:t xml:space="preserve"> diversas polí</w:t>
      </w:r>
      <w:r w:rsidR="006B4C88" w:rsidRPr="00B021B1">
        <w:rPr>
          <w:rFonts w:ascii="Times New Roman" w:eastAsia="Calibri" w:hAnsi="Times New Roman" w:cs="Times New Roman"/>
          <w:sz w:val="24"/>
          <w:szCs w:val="24"/>
        </w:rPr>
        <w:t>t</w:t>
      </w:r>
      <w:r w:rsidR="00447940" w:rsidRPr="00B021B1">
        <w:rPr>
          <w:rFonts w:ascii="Times New Roman" w:eastAsia="Calibri" w:hAnsi="Times New Roman" w:cs="Times New Roman"/>
          <w:sz w:val="24"/>
          <w:szCs w:val="24"/>
        </w:rPr>
        <w:t>i</w:t>
      </w:r>
      <w:r w:rsidRPr="00B021B1">
        <w:rPr>
          <w:rFonts w:ascii="Times New Roman" w:hAnsi="Times New Roman" w:cs="Times New Roman"/>
          <w:sz w:val="24"/>
          <w:szCs w:val="24"/>
        </w:rPr>
        <w:t xml:space="preserve">cas e programas voltados aos </w:t>
      </w:r>
      <w:r w:rsidRPr="00B021B1">
        <w:rPr>
          <w:rFonts w:ascii="Times New Roman" w:hAnsi="Times New Roman" w:cs="Times New Roman"/>
          <w:sz w:val="24"/>
          <w:szCs w:val="24"/>
        </w:rPr>
        <w:lastRenderedPageBreak/>
        <w:t>trabalhadores agropecuários, como a Polí</w:t>
      </w:r>
      <w:r w:rsidR="006B4C88"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ca Nacional de Saúde Integral das Populações do Campo e da Floresta (PNSIPCF) e o Programa de Vigilância em Saúde de Populações Expostas a Agrotóxicos (VSPEA).</w:t>
      </w:r>
    </w:p>
    <w:p w14:paraId="626329FC" w14:textId="14191564" w:rsidR="00A02CE6" w:rsidRPr="00B021B1" w:rsidRDefault="001457B8" w:rsidP="0093332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</w:t>
      </w:r>
      <w:r w:rsidR="00A02CE6" w:rsidRPr="00B021B1">
        <w:rPr>
          <w:rFonts w:ascii="Times New Roman" w:hAnsi="Times New Roman" w:cs="Times New Roman"/>
          <w:sz w:val="24"/>
          <w:szCs w:val="24"/>
        </w:rPr>
        <w:t xml:space="preserve">, </w:t>
      </w:r>
      <w:r w:rsidR="00CA228D" w:rsidRPr="00B021B1">
        <w:rPr>
          <w:rFonts w:ascii="Times New Roman" w:hAnsi="Times New Roman" w:cs="Times New Roman"/>
          <w:sz w:val="24"/>
          <w:szCs w:val="24"/>
        </w:rPr>
        <w:t>encontra-se em</w:t>
      </w:r>
      <w:r w:rsidR="00A02CE6" w:rsidRPr="00B021B1">
        <w:rPr>
          <w:rFonts w:ascii="Times New Roman" w:hAnsi="Times New Roman" w:cs="Times New Roman"/>
          <w:sz w:val="24"/>
          <w:szCs w:val="24"/>
        </w:rPr>
        <w:t xml:space="preserve"> elaboração um sistema de registro e acompanhamento dos trabalhadores expostos ao Amianto no Brasil, com possibilidade de acompanhamento dos dados em tempo real. A plataforma já está em estágio bastante avançado e conta com a par</w:t>
      </w:r>
      <w:r w:rsidR="00A02CE6" w:rsidRPr="00B021B1">
        <w:rPr>
          <w:rFonts w:ascii="Times New Roman" w:eastAsia="Calibri" w:hAnsi="Times New Roman" w:cs="Times New Roman"/>
          <w:sz w:val="24"/>
          <w:szCs w:val="24"/>
        </w:rPr>
        <w:t>tic</w:t>
      </w:r>
      <w:r w:rsidR="00A02CE6" w:rsidRPr="00B021B1">
        <w:rPr>
          <w:rFonts w:ascii="Times New Roman" w:hAnsi="Times New Roman" w:cs="Times New Roman"/>
          <w:sz w:val="24"/>
          <w:szCs w:val="24"/>
        </w:rPr>
        <w:t xml:space="preserve">ipação de diversos especialistas e </w:t>
      </w:r>
      <w:r w:rsidR="00F7390A">
        <w:rPr>
          <w:rFonts w:ascii="Times New Roman" w:hAnsi="Times New Roman" w:cs="Times New Roman"/>
          <w:sz w:val="24"/>
          <w:szCs w:val="24"/>
        </w:rPr>
        <w:t xml:space="preserve">o </w:t>
      </w:r>
      <w:r w:rsidR="00A02CE6" w:rsidRPr="00B021B1">
        <w:rPr>
          <w:rFonts w:ascii="Times New Roman" w:hAnsi="Times New Roman" w:cs="Times New Roman"/>
          <w:sz w:val="24"/>
          <w:szCs w:val="24"/>
        </w:rPr>
        <w:t>apoio do Ministério Público Federal.</w:t>
      </w:r>
    </w:p>
    <w:p w14:paraId="57F4855E" w14:textId="1C34F81C" w:rsidR="005A7EC4" w:rsidRPr="00B021B1" w:rsidRDefault="00A02CE6" w:rsidP="005A7EC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Em relação ao rompimento de barragens de rejeitos de mineração, a CGSAT par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cipa</w:t>
      </w:r>
      <w:r w:rsidR="00F7390A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juntamente com a Coordenação Geral de Vigilância em Saúde Ambiental (CGVAM)</w:t>
      </w:r>
      <w:r w:rsidR="00F7390A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de diversas inicia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vas voltadas para o cuidado das populações a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 xml:space="preserve">ngidas, </w:t>
      </w:r>
      <w:r w:rsidR="00E16A13">
        <w:rPr>
          <w:rFonts w:ascii="Times New Roman" w:hAnsi="Times New Roman" w:cs="Times New Roman"/>
          <w:sz w:val="24"/>
          <w:szCs w:val="24"/>
        </w:rPr>
        <w:t>com vistas a</w:t>
      </w:r>
      <w:r w:rsidR="00E16A13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Pr="00B021B1">
        <w:rPr>
          <w:rFonts w:ascii="Times New Roman" w:hAnsi="Times New Roman" w:cs="Times New Roman"/>
          <w:sz w:val="24"/>
          <w:szCs w:val="24"/>
        </w:rPr>
        <w:t>garan</w:t>
      </w:r>
      <w:r w:rsidRPr="00B021B1">
        <w:rPr>
          <w:rFonts w:ascii="Times New Roman" w:eastAsia="Calibri" w:hAnsi="Times New Roman" w:cs="Times New Roman"/>
          <w:sz w:val="24"/>
          <w:szCs w:val="24"/>
        </w:rPr>
        <w:t>ti</w:t>
      </w:r>
      <w:r w:rsidRPr="00B021B1">
        <w:rPr>
          <w:rFonts w:ascii="Times New Roman" w:hAnsi="Times New Roman" w:cs="Times New Roman"/>
          <w:sz w:val="24"/>
          <w:szCs w:val="24"/>
        </w:rPr>
        <w:t>r o acompanhamento da situação de saúde</w:t>
      </w:r>
      <w:r w:rsidR="00E16A13">
        <w:rPr>
          <w:rFonts w:ascii="Times New Roman" w:hAnsi="Times New Roman" w:cs="Times New Roman"/>
          <w:sz w:val="24"/>
          <w:szCs w:val="24"/>
        </w:rPr>
        <w:t xml:space="preserve"> e</w:t>
      </w:r>
      <w:r w:rsidRPr="00B021B1">
        <w:rPr>
          <w:rFonts w:ascii="Times New Roman" w:hAnsi="Times New Roman" w:cs="Times New Roman"/>
          <w:sz w:val="24"/>
          <w:szCs w:val="24"/>
        </w:rPr>
        <w:t xml:space="preserve"> o acolhimento dessas famílias pelo Sistema Único de Saúde </w:t>
      </w:r>
      <w:r w:rsidR="00E16A13">
        <w:rPr>
          <w:rFonts w:ascii="Times New Roman" w:hAnsi="Times New Roman" w:cs="Times New Roman"/>
          <w:sz w:val="24"/>
          <w:szCs w:val="24"/>
        </w:rPr>
        <w:t>(SUS),</w:t>
      </w:r>
      <w:r w:rsidRPr="00B021B1">
        <w:rPr>
          <w:rFonts w:ascii="Times New Roman" w:hAnsi="Times New Roman" w:cs="Times New Roman"/>
          <w:sz w:val="24"/>
          <w:szCs w:val="24"/>
        </w:rPr>
        <w:t xml:space="preserve"> em observância às dinâmicas </w:t>
      </w:r>
      <w:r w:rsidR="00E16A13">
        <w:rPr>
          <w:rFonts w:ascii="Times New Roman" w:hAnsi="Times New Roman" w:cs="Times New Roman"/>
          <w:sz w:val="24"/>
          <w:szCs w:val="24"/>
        </w:rPr>
        <w:t xml:space="preserve">locais </w:t>
      </w:r>
      <w:r w:rsidRPr="00B021B1">
        <w:rPr>
          <w:rFonts w:ascii="Times New Roman" w:hAnsi="Times New Roman" w:cs="Times New Roman"/>
          <w:sz w:val="24"/>
          <w:szCs w:val="24"/>
        </w:rPr>
        <w:t>de vida e trabalho.</w:t>
      </w:r>
    </w:p>
    <w:p w14:paraId="0E4EB52A" w14:textId="3FDAE297" w:rsidR="005B2BE6" w:rsidRPr="00B021B1" w:rsidRDefault="00E76CDF" w:rsidP="00707BD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Em se tratando da proteção aos povos indígenas,</w:t>
      </w:r>
      <w:r w:rsidR="00C12469" w:rsidRPr="00B021B1">
        <w:rPr>
          <w:rFonts w:ascii="Times New Roman" w:hAnsi="Times New Roman" w:cs="Times New Roman"/>
          <w:sz w:val="24"/>
          <w:szCs w:val="24"/>
        </w:rPr>
        <w:t xml:space="preserve"> a Polícia Federal </w:t>
      </w:r>
      <w:r w:rsidR="005B2BE6" w:rsidRPr="00B021B1">
        <w:rPr>
          <w:rFonts w:ascii="Times New Roman" w:hAnsi="Times New Roman" w:cs="Times New Roman"/>
          <w:sz w:val="24"/>
          <w:szCs w:val="24"/>
        </w:rPr>
        <w:t>possui</w:t>
      </w:r>
      <w:r w:rsidR="00E16A13">
        <w:rPr>
          <w:rFonts w:ascii="Times New Roman" w:hAnsi="Times New Roman" w:cs="Times New Roman"/>
          <w:sz w:val="24"/>
          <w:szCs w:val="24"/>
        </w:rPr>
        <w:t>,</w:t>
      </w:r>
      <w:r w:rsidR="005B2BE6" w:rsidRPr="00B021B1">
        <w:rPr>
          <w:rFonts w:ascii="Times New Roman" w:hAnsi="Times New Roman" w:cs="Times New Roman"/>
          <w:sz w:val="24"/>
          <w:szCs w:val="24"/>
        </w:rPr>
        <w:t xml:space="preserve"> em sua estrutura organizacional</w:t>
      </w:r>
      <w:r w:rsidR="00E16A13">
        <w:rPr>
          <w:rFonts w:ascii="Times New Roman" w:hAnsi="Times New Roman" w:cs="Times New Roman"/>
          <w:sz w:val="24"/>
          <w:szCs w:val="24"/>
        </w:rPr>
        <w:t>,</w:t>
      </w:r>
      <w:r w:rsidR="005B2BE6" w:rsidRPr="00B021B1">
        <w:rPr>
          <w:rFonts w:ascii="Times New Roman" w:hAnsi="Times New Roman" w:cs="Times New Roman"/>
          <w:sz w:val="24"/>
          <w:szCs w:val="24"/>
        </w:rPr>
        <w:t xml:space="preserve"> a Divisão de Repressão a Crimes contra Direitos Sociais e Cidadania </w:t>
      </w:r>
      <w:r w:rsidR="00E16A13">
        <w:rPr>
          <w:rFonts w:ascii="Times New Roman" w:hAnsi="Times New Roman" w:cs="Times New Roman"/>
          <w:sz w:val="24"/>
          <w:szCs w:val="24"/>
        </w:rPr>
        <w:t>(</w:t>
      </w:r>
      <w:r w:rsidR="005B2BE6" w:rsidRPr="00B021B1">
        <w:rPr>
          <w:rFonts w:ascii="Times New Roman" w:hAnsi="Times New Roman" w:cs="Times New Roman"/>
          <w:sz w:val="24"/>
          <w:szCs w:val="24"/>
        </w:rPr>
        <w:t>DDSC</w:t>
      </w:r>
      <w:r w:rsidR="00E16A13">
        <w:rPr>
          <w:rFonts w:ascii="Times New Roman" w:hAnsi="Times New Roman" w:cs="Times New Roman"/>
          <w:sz w:val="24"/>
          <w:szCs w:val="24"/>
        </w:rPr>
        <w:t>)</w:t>
      </w:r>
      <w:r w:rsidR="008671E5" w:rsidRPr="00B021B1">
        <w:rPr>
          <w:rFonts w:ascii="Times New Roman" w:hAnsi="Times New Roman" w:cs="Times New Roman"/>
          <w:sz w:val="24"/>
          <w:szCs w:val="24"/>
        </w:rPr>
        <w:t>, a qual</w:t>
      </w:r>
      <w:r w:rsidR="005B2BE6" w:rsidRPr="00B021B1">
        <w:rPr>
          <w:rFonts w:ascii="Times New Roman" w:hAnsi="Times New Roman" w:cs="Times New Roman"/>
          <w:sz w:val="24"/>
          <w:szCs w:val="24"/>
        </w:rPr>
        <w:t xml:space="preserve"> conta com o Serviço de Repressão a Crimes contra Comunidades Indígenas </w:t>
      </w:r>
      <w:r w:rsidR="00E16A13">
        <w:rPr>
          <w:rFonts w:ascii="Times New Roman" w:hAnsi="Times New Roman" w:cs="Times New Roman"/>
          <w:sz w:val="24"/>
          <w:szCs w:val="24"/>
        </w:rPr>
        <w:t>(</w:t>
      </w:r>
      <w:r w:rsidR="005B2BE6" w:rsidRPr="00B021B1">
        <w:rPr>
          <w:rFonts w:ascii="Times New Roman" w:hAnsi="Times New Roman" w:cs="Times New Roman"/>
          <w:sz w:val="24"/>
          <w:szCs w:val="24"/>
        </w:rPr>
        <w:t>SRCCI/DDSC/CGDIHC/DICOR/PF</w:t>
      </w:r>
      <w:r w:rsidR="00E16A13">
        <w:rPr>
          <w:rFonts w:ascii="Times New Roman" w:hAnsi="Times New Roman" w:cs="Times New Roman"/>
          <w:sz w:val="24"/>
          <w:szCs w:val="24"/>
        </w:rPr>
        <w:t>)</w:t>
      </w:r>
      <w:r w:rsidR="005B2BE6" w:rsidRPr="00B021B1">
        <w:rPr>
          <w:rFonts w:ascii="Times New Roman" w:hAnsi="Times New Roman" w:cs="Times New Roman"/>
          <w:sz w:val="24"/>
          <w:szCs w:val="24"/>
        </w:rPr>
        <w:t>.</w:t>
      </w:r>
    </w:p>
    <w:p w14:paraId="30CB9882" w14:textId="15BC7840" w:rsidR="00163ACA" w:rsidRPr="00B021B1" w:rsidRDefault="0054489F" w:rsidP="00163AC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Nesse contexto, observa-se que</w:t>
      </w:r>
      <w:r w:rsidR="00B32E88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8665EC" w:rsidRPr="00B021B1">
        <w:rPr>
          <w:rFonts w:ascii="Times New Roman" w:hAnsi="Times New Roman" w:cs="Times New Roman"/>
          <w:sz w:val="24"/>
          <w:szCs w:val="24"/>
        </w:rPr>
        <w:t xml:space="preserve">em diversos pontos do </w:t>
      </w:r>
      <w:r w:rsidR="00B32E88">
        <w:rPr>
          <w:rFonts w:ascii="Times New Roman" w:hAnsi="Times New Roman" w:cs="Times New Roman"/>
          <w:sz w:val="24"/>
          <w:szCs w:val="24"/>
        </w:rPr>
        <w:t>r</w:t>
      </w:r>
      <w:r w:rsidR="008665EC" w:rsidRPr="00B021B1">
        <w:rPr>
          <w:rFonts w:ascii="Times New Roman" w:hAnsi="Times New Roman" w:cs="Times New Roman"/>
          <w:sz w:val="24"/>
          <w:szCs w:val="24"/>
        </w:rPr>
        <w:t>elatório</w:t>
      </w:r>
      <w:r w:rsidR="00B32E88">
        <w:rPr>
          <w:rFonts w:ascii="Times New Roman" w:hAnsi="Times New Roman" w:cs="Times New Roman"/>
          <w:sz w:val="24"/>
          <w:szCs w:val="24"/>
        </w:rPr>
        <w:t>,</w:t>
      </w:r>
      <w:r w:rsidR="008665EC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163ACA" w:rsidRPr="00B021B1">
        <w:rPr>
          <w:rFonts w:ascii="Times New Roman" w:hAnsi="Times New Roman" w:cs="Times New Roman"/>
          <w:sz w:val="24"/>
          <w:szCs w:val="24"/>
        </w:rPr>
        <w:t xml:space="preserve">é citada a questão dos povos </w:t>
      </w:r>
      <w:proofErr w:type="spellStart"/>
      <w:r w:rsidR="00163ACA" w:rsidRPr="00B021B1">
        <w:rPr>
          <w:rFonts w:ascii="Times New Roman" w:hAnsi="Times New Roman" w:cs="Times New Roman"/>
          <w:sz w:val="24"/>
          <w:szCs w:val="24"/>
        </w:rPr>
        <w:t>Yanomami</w:t>
      </w:r>
      <w:proofErr w:type="spellEnd"/>
      <w:r w:rsidR="00163ACA" w:rsidRPr="00B021B1">
        <w:rPr>
          <w:rFonts w:ascii="Times New Roman" w:hAnsi="Times New Roman" w:cs="Times New Roman"/>
          <w:sz w:val="24"/>
          <w:szCs w:val="24"/>
        </w:rPr>
        <w:t xml:space="preserve">, </w:t>
      </w:r>
      <w:r w:rsidR="00B32E88">
        <w:rPr>
          <w:rFonts w:ascii="Times New Roman" w:hAnsi="Times New Roman" w:cs="Times New Roman"/>
          <w:sz w:val="24"/>
          <w:szCs w:val="24"/>
        </w:rPr>
        <w:t>como no trecho a seguir</w:t>
      </w:r>
      <w:r w:rsidR="00163ACA" w:rsidRPr="00B021B1">
        <w:rPr>
          <w:rFonts w:ascii="Times New Roman" w:hAnsi="Times New Roman" w:cs="Times New Roman"/>
          <w:sz w:val="24"/>
          <w:szCs w:val="24"/>
        </w:rPr>
        <w:t>:</w:t>
      </w:r>
    </w:p>
    <w:p w14:paraId="41A95705" w14:textId="63D5987C" w:rsidR="00163ACA" w:rsidRPr="00B021B1" w:rsidRDefault="00163ACA" w:rsidP="00163ACA">
      <w:pPr>
        <w:pStyle w:val="PargrafodaLista"/>
        <w:autoSpaceDE w:val="0"/>
        <w:autoSpaceDN w:val="0"/>
        <w:adjustRightInd w:val="0"/>
        <w:spacing w:after="0" w:line="360" w:lineRule="auto"/>
        <w:ind w:left="2268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021B1">
        <w:rPr>
          <w:rFonts w:ascii="Times New Roman" w:hAnsi="Times New Roman" w:cs="Times New Roman"/>
          <w:i/>
          <w:iCs/>
          <w:sz w:val="24"/>
          <w:szCs w:val="24"/>
          <w:lang w:val="en-US"/>
        </w:rPr>
        <w:t>“Renegade artisanal gold miners continue to poison the Yanomami people leaving irreversible impacts on children and a toxic legacy of disease and disability for future generations” (pg. 12)</w:t>
      </w:r>
    </w:p>
    <w:p w14:paraId="1470B825" w14:textId="7A5DFA1A" w:rsidR="005B2BE6" w:rsidRPr="00B021B1" w:rsidRDefault="00163ACA" w:rsidP="001B7E9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E</w:t>
      </w:r>
      <w:r w:rsidR="005B2BE6" w:rsidRPr="00B021B1">
        <w:rPr>
          <w:rFonts w:ascii="Times New Roman" w:hAnsi="Times New Roman" w:cs="Times New Roman"/>
          <w:sz w:val="24"/>
          <w:szCs w:val="24"/>
        </w:rPr>
        <w:t>spec</w:t>
      </w:r>
      <w:r w:rsidRPr="00B021B1">
        <w:rPr>
          <w:rFonts w:ascii="Times New Roman" w:hAnsi="Times New Roman" w:cs="Times New Roman"/>
          <w:sz w:val="24"/>
          <w:szCs w:val="24"/>
        </w:rPr>
        <w:t xml:space="preserve">ificamente no que tange </w:t>
      </w:r>
      <w:r w:rsidR="008B5D5D">
        <w:rPr>
          <w:rFonts w:ascii="Times New Roman" w:hAnsi="Times New Roman" w:cs="Times New Roman"/>
          <w:sz w:val="24"/>
          <w:szCs w:val="24"/>
        </w:rPr>
        <w:t>à</w:t>
      </w:r>
      <w:r w:rsidR="005B2BE6" w:rsidRPr="00B021B1">
        <w:rPr>
          <w:rFonts w:ascii="Times New Roman" w:hAnsi="Times New Roman" w:cs="Times New Roman"/>
          <w:sz w:val="24"/>
          <w:szCs w:val="24"/>
        </w:rPr>
        <w:t xml:space="preserve"> T</w:t>
      </w:r>
      <w:r w:rsidR="008665EC" w:rsidRPr="00B021B1">
        <w:rPr>
          <w:rFonts w:ascii="Times New Roman" w:hAnsi="Times New Roman" w:cs="Times New Roman"/>
          <w:sz w:val="24"/>
          <w:szCs w:val="24"/>
        </w:rPr>
        <w:t xml:space="preserve">erra </w:t>
      </w:r>
      <w:r w:rsidR="005B2BE6" w:rsidRPr="00B021B1">
        <w:rPr>
          <w:rFonts w:ascii="Times New Roman" w:hAnsi="Times New Roman" w:cs="Times New Roman"/>
          <w:sz w:val="24"/>
          <w:szCs w:val="24"/>
        </w:rPr>
        <w:t>I</w:t>
      </w:r>
      <w:r w:rsidR="008665EC" w:rsidRPr="00B021B1">
        <w:rPr>
          <w:rFonts w:ascii="Times New Roman" w:hAnsi="Times New Roman" w:cs="Times New Roman"/>
          <w:sz w:val="24"/>
          <w:szCs w:val="24"/>
        </w:rPr>
        <w:t>ndígena</w:t>
      </w:r>
      <w:r w:rsidR="005B2BE6" w:rsidRPr="00B0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BE6" w:rsidRPr="00B021B1">
        <w:rPr>
          <w:rFonts w:ascii="Times New Roman" w:hAnsi="Times New Roman" w:cs="Times New Roman"/>
          <w:sz w:val="24"/>
          <w:szCs w:val="24"/>
        </w:rPr>
        <w:t>Yanomami</w:t>
      </w:r>
      <w:proofErr w:type="spellEnd"/>
      <w:r w:rsidR="005B2BE6" w:rsidRPr="00B021B1">
        <w:rPr>
          <w:rFonts w:ascii="Times New Roman" w:hAnsi="Times New Roman" w:cs="Times New Roman"/>
          <w:sz w:val="24"/>
          <w:szCs w:val="24"/>
        </w:rPr>
        <w:t xml:space="preserve">, </w:t>
      </w:r>
      <w:r w:rsidRPr="00B021B1">
        <w:rPr>
          <w:rFonts w:ascii="Times New Roman" w:hAnsi="Times New Roman" w:cs="Times New Roman"/>
          <w:sz w:val="24"/>
          <w:szCs w:val="24"/>
        </w:rPr>
        <w:t>a Polícia Federal e o</w:t>
      </w:r>
      <w:r w:rsidR="005B2BE6" w:rsidRPr="00B021B1">
        <w:rPr>
          <w:rFonts w:ascii="Times New Roman" w:hAnsi="Times New Roman" w:cs="Times New Roman"/>
          <w:sz w:val="24"/>
          <w:szCs w:val="24"/>
        </w:rPr>
        <w:t xml:space="preserve"> M</w:t>
      </w:r>
      <w:r w:rsidRPr="00B021B1">
        <w:rPr>
          <w:rFonts w:ascii="Times New Roman" w:hAnsi="Times New Roman" w:cs="Times New Roman"/>
          <w:sz w:val="24"/>
          <w:szCs w:val="24"/>
        </w:rPr>
        <w:t xml:space="preserve">inistério da </w:t>
      </w:r>
      <w:r w:rsidR="005B2BE6" w:rsidRPr="00B021B1">
        <w:rPr>
          <w:rFonts w:ascii="Times New Roman" w:hAnsi="Times New Roman" w:cs="Times New Roman"/>
          <w:sz w:val="24"/>
          <w:szCs w:val="24"/>
        </w:rPr>
        <w:t>J</w:t>
      </w:r>
      <w:r w:rsidRPr="00B021B1">
        <w:rPr>
          <w:rFonts w:ascii="Times New Roman" w:hAnsi="Times New Roman" w:cs="Times New Roman"/>
          <w:sz w:val="24"/>
          <w:szCs w:val="24"/>
        </w:rPr>
        <w:t xml:space="preserve">ustiça e </w:t>
      </w:r>
      <w:r w:rsidR="005B2BE6" w:rsidRPr="00B021B1">
        <w:rPr>
          <w:rFonts w:ascii="Times New Roman" w:hAnsi="Times New Roman" w:cs="Times New Roman"/>
          <w:sz w:val="24"/>
          <w:szCs w:val="24"/>
        </w:rPr>
        <w:t>S</w:t>
      </w:r>
      <w:r w:rsidRPr="00B021B1">
        <w:rPr>
          <w:rFonts w:ascii="Times New Roman" w:hAnsi="Times New Roman" w:cs="Times New Roman"/>
          <w:sz w:val="24"/>
          <w:szCs w:val="24"/>
        </w:rPr>
        <w:t xml:space="preserve">egurança </w:t>
      </w:r>
      <w:r w:rsidR="005B2BE6" w:rsidRPr="00B021B1">
        <w:rPr>
          <w:rFonts w:ascii="Times New Roman" w:hAnsi="Times New Roman" w:cs="Times New Roman"/>
          <w:sz w:val="24"/>
          <w:szCs w:val="24"/>
        </w:rPr>
        <w:t>P</w:t>
      </w:r>
      <w:r w:rsidRPr="00B021B1">
        <w:rPr>
          <w:rFonts w:ascii="Times New Roman" w:hAnsi="Times New Roman" w:cs="Times New Roman"/>
          <w:sz w:val="24"/>
          <w:szCs w:val="24"/>
        </w:rPr>
        <w:t>ública</w:t>
      </w:r>
      <w:r w:rsidR="001B7E9E" w:rsidRPr="00B021B1">
        <w:rPr>
          <w:rFonts w:ascii="Times New Roman" w:hAnsi="Times New Roman" w:cs="Times New Roman"/>
          <w:sz w:val="24"/>
          <w:szCs w:val="24"/>
        </w:rPr>
        <w:t xml:space="preserve"> estão desenvolvendo</w:t>
      </w:r>
      <w:r w:rsidR="005B2BE6" w:rsidRPr="00B021B1">
        <w:rPr>
          <w:rFonts w:ascii="Times New Roman" w:hAnsi="Times New Roman" w:cs="Times New Roman"/>
          <w:sz w:val="24"/>
          <w:szCs w:val="24"/>
        </w:rPr>
        <w:t xml:space="preserve"> um planejamento de ações integradas para coibir crimes de qualquer natureza </w:t>
      </w:r>
      <w:r w:rsidR="00F25C98" w:rsidRPr="00B021B1">
        <w:rPr>
          <w:rFonts w:ascii="Times New Roman" w:hAnsi="Times New Roman" w:cs="Times New Roman"/>
          <w:sz w:val="24"/>
          <w:szCs w:val="24"/>
        </w:rPr>
        <w:t>em seu interior</w:t>
      </w:r>
      <w:r w:rsidR="001B7E9E" w:rsidRPr="00B021B1">
        <w:rPr>
          <w:rFonts w:ascii="Times New Roman" w:hAnsi="Times New Roman" w:cs="Times New Roman"/>
          <w:sz w:val="24"/>
          <w:szCs w:val="24"/>
        </w:rPr>
        <w:t xml:space="preserve">, </w:t>
      </w:r>
      <w:r w:rsidR="00F25C98" w:rsidRPr="00B021B1">
        <w:rPr>
          <w:rFonts w:ascii="Times New Roman" w:hAnsi="Times New Roman" w:cs="Times New Roman"/>
          <w:sz w:val="24"/>
          <w:szCs w:val="24"/>
        </w:rPr>
        <w:t>no qual</w:t>
      </w:r>
      <w:r w:rsidR="001B7E9E" w:rsidRPr="00B021B1">
        <w:rPr>
          <w:rFonts w:ascii="Times New Roman" w:hAnsi="Times New Roman" w:cs="Times New Roman"/>
          <w:sz w:val="24"/>
          <w:szCs w:val="24"/>
        </w:rPr>
        <w:t xml:space="preserve"> constará </w:t>
      </w:r>
      <w:r w:rsidR="005B2BE6" w:rsidRPr="00B021B1">
        <w:rPr>
          <w:rFonts w:ascii="Times New Roman" w:hAnsi="Times New Roman" w:cs="Times New Roman"/>
          <w:sz w:val="24"/>
          <w:szCs w:val="24"/>
        </w:rPr>
        <w:t xml:space="preserve">o enfrentamento dos crimes de poluição das águas </w:t>
      </w:r>
      <w:r w:rsidR="00F25C98" w:rsidRPr="00B021B1">
        <w:rPr>
          <w:rFonts w:ascii="Times New Roman" w:hAnsi="Times New Roman" w:cs="Times New Roman"/>
          <w:sz w:val="24"/>
          <w:szCs w:val="24"/>
        </w:rPr>
        <w:t>d</w:t>
      </w:r>
      <w:r w:rsidR="005B2BE6" w:rsidRPr="00B021B1">
        <w:rPr>
          <w:rFonts w:ascii="Times New Roman" w:hAnsi="Times New Roman" w:cs="Times New Roman"/>
          <w:sz w:val="24"/>
          <w:szCs w:val="24"/>
        </w:rPr>
        <w:t>a</w:t>
      </w:r>
      <w:r w:rsidR="00F5294C" w:rsidRPr="00B021B1">
        <w:rPr>
          <w:rFonts w:ascii="Times New Roman" w:hAnsi="Times New Roman" w:cs="Times New Roman"/>
          <w:sz w:val="24"/>
          <w:szCs w:val="24"/>
        </w:rPr>
        <w:t>quela TI</w:t>
      </w:r>
      <w:r w:rsidR="005B2BE6" w:rsidRPr="00B021B1">
        <w:rPr>
          <w:rFonts w:ascii="Times New Roman" w:hAnsi="Times New Roman" w:cs="Times New Roman"/>
          <w:sz w:val="24"/>
          <w:szCs w:val="24"/>
        </w:rPr>
        <w:t>.</w:t>
      </w:r>
    </w:p>
    <w:p w14:paraId="5722DAFC" w14:textId="0406A0BD" w:rsidR="005971C1" w:rsidRPr="00B021B1" w:rsidRDefault="008B5D5D" w:rsidP="005971C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Destaca-se, ademais,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 na estrutura da Polícia Federal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 há a Divisão de Repressão a Crimes Contra o Meio Ambiente e o Patrimônio Histórico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971C1" w:rsidRPr="00B021B1">
        <w:rPr>
          <w:rFonts w:ascii="Times New Roman" w:hAnsi="Times New Roman" w:cs="Times New Roman"/>
          <w:sz w:val="24"/>
          <w:szCs w:val="24"/>
        </w:rPr>
        <w:t>DMAPH/CGPFAZ/DICOR/PF</w:t>
      </w:r>
      <w:r>
        <w:rPr>
          <w:rFonts w:ascii="Times New Roman" w:hAnsi="Times New Roman" w:cs="Times New Roman"/>
          <w:sz w:val="24"/>
          <w:szCs w:val="24"/>
        </w:rPr>
        <w:t>)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, unidade vinculada à Diretoria de Investigação e Combate ao Crime Organizado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971C1" w:rsidRPr="00B021B1">
        <w:rPr>
          <w:rFonts w:ascii="Times New Roman" w:hAnsi="Times New Roman" w:cs="Times New Roman"/>
          <w:sz w:val="24"/>
          <w:szCs w:val="24"/>
        </w:rPr>
        <w:t>DICOR</w:t>
      </w:r>
      <w:r>
        <w:rPr>
          <w:rFonts w:ascii="Times New Roman" w:hAnsi="Times New Roman" w:cs="Times New Roman"/>
          <w:sz w:val="24"/>
          <w:szCs w:val="24"/>
        </w:rPr>
        <w:t>)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, que </w:t>
      </w:r>
      <w:r>
        <w:rPr>
          <w:rFonts w:ascii="Times New Roman" w:hAnsi="Times New Roman" w:cs="Times New Roman"/>
          <w:sz w:val="24"/>
          <w:szCs w:val="24"/>
        </w:rPr>
        <w:t>visa,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 entre outros objetivos,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 coordenação 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971C1" w:rsidRPr="00B021B1">
        <w:rPr>
          <w:rFonts w:ascii="Times New Roman" w:hAnsi="Times New Roman" w:cs="Times New Roman"/>
          <w:sz w:val="24"/>
          <w:szCs w:val="24"/>
        </w:rPr>
        <w:t>o alinhamento das ações operacionais realizadas nes</w:t>
      </w:r>
      <w:r w:rsidR="0028163E">
        <w:rPr>
          <w:rFonts w:ascii="Times New Roman" w:hAnsi="Times New Roman" w:cs="Times New Roman"/>
          <w:sz w:val="24"/>
          <w:szCs w:val="24"/>
        </w:rPr>
        <w:t>s</w:t>
      </w:r>
      <w:r w:rsidR="005971C1" w:rsidRPr="00B021B1">
        <w:rPr>
          <w:rFonts w:ascii="Times New Roman" w:hAnsi="Times New Roman" w:cs="Times New Roman"/>
          <w:sz w:val="24"/>
          <w:szCs w:val="24"/>
        </w:rPr>
        <w:t>as áreas por todas as unidades do país.</w:t>
      </w:r>
    </w:p>
    <w:p w14:paraId="6F37CE09" w14:textId="26CE1926" w:rsidR="005971C1" w:rsidRPr="00B021B1" w:rsidRDefault="005971C1" w:rsidP="005971C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Cada uma das Superintendências Regionais, instaladas nas capitais de todos os </w:t>
      </w:r>
      <w:r w:rsidR="0028163E">
        <w:rPr>
          <w:rFonts w:ascii="Times New Roman" w:hAnsi="Times New Roman" w:cs="Times New Roman"/>
          <w:sz w:val="24"/>
          <w:szCs w:val="24"/>
        </w:rPr>
        <w:t>e</w:t>
      </w:r>
      <w:r w:rsidRPr="00B021B1">
        <w:rPr>
          <w:rFonts w:ascii="Times New Roman" w:hAnsi="Times New Roman" w:cs="Times New Roman"/>
          <w:sz w:val="24"/>
          <w:szCs w:val="24"/>
        </w:rPr>
        <w:t>stados da Federação</w:t>
      </w:r>
      <w:r w:rsidR="0028163E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possui uma Delegacia Regional de Repressão a Crimes Contra o Meio Ambiente e o Patrimônio Histórico </w:t>
      </w:r>
      <w:r w:rsidR="0028163E">
        <w:rPr>
          <w:rFonts w:ascii="Times New Roman" w:hAnsi="Times New Roman" w:cs="Times New Roman"/>
          <w:sz w:val="24"/>
          <w:szCs w:val="24"/>
        </w:rPr>
        <w:t>(</w:t>
      </w:r>
      <w:r w:rsidRPr="00B021B1">
        <w:rPr>
          <w:rFonts w:ascii="Times New Roman" w:hAnsi="Times New Roman" w:cs="Times New Roman"/>
          <w:sz w:val="24"/>
          <w:szCs w:val="24"/>
        </w:rPr>
        <w:t>DELEMAPH/DRCOR/SR/PF/UF</w:t>
      </w:r>
      <w:r w:rsidR="0028163E">
        <w:rPr>
          <w:rFonts w:ascii="Times New Roman" w:hAnsi="Times New Roman" w:cs="Times New Roman"/>
          <w:sz w:val="24"/>
          <w:szCs w:val="24"/>
        </w:rPr>
        <w:t>)</w:t>
      </w:r>
      <w:r w:rsidRPr="00B021B1">
        <w:rPr>
          <w:rFonts w:ascii="Times New Roman" w:hAnsi="Times New Roman" w:cs="Times New Roman"/>
          <w:sz w:val="24"/>
          <w:szCs w:val="24"/>
        </w:rPr>
        <w:t>, responsável pela coordenação des</w:t>
      </w:r>
      <w:r w:rsidR="0028163E">
        <w:rPr>
          <w:rFonts w:ascii="Times New Roman" w:hAnsi="Times New Roman" w:cs="Times New Roman"/>
          <w:sz w:val="24"/>
          <w:szCs w:val="24"/>
        </w:rPr>
        <w:t>s</w:t>
      </w:r>
      <w:r w:rsidRPr="00B021B1">
        <w:rPr>
          <w:rFonts w:ascii="Times New Roman" w:hAnsi="Times New Roman" w:cs="Times New Roman"/>
          <w:sz w:val="24"/>
          <w:szCs w:val="24"/>
        </w:rPr>
        <w:t xml:space="preserve">as mesmas atividades em âmbito estadual. </w:t>
      </w:r>
      <w:r w:rsidR="0028163E">
        <w:rPr>
          <w:rFonts w:ascii="Times New Roman" w:hAnsi="Times New Roman" w:cs="Times New Roman"/>
          <w:sz w:val="24"/>
          <w:szCs w:val="24"/>
        </w:rPr>
        <w:t>É i</w:t>
      </w:r>
      <w:r w:rsidRPr="00B021B1">
        <w:rPr>
          <w:rFonts w:ascii="Times New Roman" w:hAnsi="Times New Roman" w:cs="Times New Roman"/>
          <w:sz w:val="24"/>
          <w:szCs w:val="24"/>
        </w:rPr>
        <w:t>mportante</w:t>
      </w:r>
      <w:r w:rsidR="0028163E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ainda</w:t>
      </w:r>
      <w:r w:rsidR="0028163E">
        <w:rPr>
          <w:rFonts w:ascii="Times New Roman" w:hAnsi="Times New Roman" w:cs="Times New Roman"/>
          <w:sz w:val="24"/>
          <w:szCs w:val="24"/>
        </w:rPr>
        <w:t>,</w:t>
      </w:r>
      <w:r w:rsidRPr="00B021B1">
        <w:rPr>
          <w:rFonts w:ascii="Times New Roman" w:hAnsi="Times New Roman" w:cs="Times New Roman"/>
          <w:sz w:val="24"/>
          <w:szCs w:val="24"/>
        </w:rPr>
        <w:t xml:space="preserve"> considerar que todas as </w:t>
      </w:r>
      <w:r w:rsidRPr="00B021B1">
        <w:rPr>
          <w:rFonts w:ascii="Times New Roman" w:hAnsi="Times New Roman" w:cs="Times New Roman"/>
          <w:sz w:val="24"/>
          <w:szCs w:val="24"/>
        </w:rPr>
        <w:lastRenderedPageBreak/>
        <w:t xml:space="preserve">delegacias da Polícia Federal no país também atuam na repressão aos crimes praticados contra o meio ambiente, </w:t>
      </w:r>
      <w:r w:rsidR="00F500DC">
        <w:rPr>
          <w:rFonts w:ascii="Times New Roman" w:hAnsi="Times New Roman" w:cs="Times New Roman"/>
          <w:sz w:val="24"/>
          <w:szCs w:val="24"/>
        </w:rPr>
        <w:t>de acordo com</w:t>
      </w:r>
      <w:r w:rsidRPr="00B021B1">
        <w:rPr>
          <w:rFonts w:ascii="Times New Roman" w:hAnsi="Times New Roman" w:cs="Times New Roman"/>
          <w:sz w:val="24"/>
          <w:szCs w:val="24"/>
        </w:rPr>
        <w:t xml:space="preserve"> suas limitações e </w:t>
      </w:r>
      <w:r w:rsidR="00F500DC">
        <w:rPr>
          <w:rFonts w:ascii="Times New Roman" w:hAnsi="Times New Roman" w:cs="Times New Roman"/>
          <w:sz w:val="24"/>
          <w:szCs w:val="24"/>
        </w:rPr>
        <w:t xml:space="preserve">com as </w:t>
      </w:r>
      <w:r w:rsidRPr="00B021B1">
        <w:rPr>
          <w:rFonts w:ascii="Times New Roman" w:hAnsi="Times New Roman" w:cs="Times New Roman"/>
          <w:sz w:val="24"/>
          <w:szCs w:val="24"/>
        </w:rPr>
        <w:t>demandas apresentadas.</w:t>
      </w:r>
    </w:p>
    <w:p w14:paraId="4AE8286E" w14:textId="5A29D01F" w:rsidR="005971C1" w:rsidRPr="00B021B1" w:rsidRDefault="005971C1" w:rsidP="005971C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Na Amazônia Legal, a Polícia Federal conta com nove Delegacias de Repressão a Crimes contra o Meio Ambiente e Patrimônio Histórico e outras 19 Delegacias Descentralizadas que também atuam na repressão aos crimes contra o meio ambiente, </w:t>
      </w:r>
      <w:r w:rsidR="00E61582">
        <w:rPr>
          <w:rFonts w:ascii="Times New Roman" w:hAnsi="Times New Roman" w:cs="Times New Roman"/>
          <w:sz w:val="24"/>
          <w:szCs w:val="24"/>
        </w:rPr>
        <w:t xml:space="preserve">embora de forma </w:t>
      </w:r>
      <w:r w:rsidRPr="00B021B1">
        <w:rPr>
          <w:rFonts w:ascii="Times New Roman" w:hAnsi="Times New Roman" w:cs="Times New Roman"/>
          <w:sz w:val="24"/>
          <w:szCs w:val="24"/>
        </w:rPr>
        <w:t>não especializada. Além das unidades mencionadas acima, a Polícia Federal pretende instalar três bases para utilização pelos Grupos de Investigações Ambientais Sensíveis (</w:t>
      </w:r>
      <w:proofErr w:type="spellStart"/>
      <w:r w:rsidRPr="00B021B1">
        <w:rPr>
          <w:rFonts w:ascii="Times New Roman" w:hAnsi="Times New Roman" w:cs="Times New Roman"/>
          <w:sz w:val="24"/>
          <w:szCs w:val="24"/>
        </w:rPr>
        <w:t>GIASEs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 xml:space="preserve">) e um Posto Avançado em área considerada estratégica para a repressão do desmatamento no sul do </w:t>
      </w:r>
      <w:r w:rsidR="00F6175C">
        <w:rPr>
          <w:rFonts w:ascii="Times New Roman" w:hAnsi="Times New Roman" w:cs="Times New Roman"/>
          <w:sz w:val="24"/>
          <w:szCs w:val="24"/>
        </w:rPr>
        <w:t>e</w:t>
      </w:r>
      <w:r w:rsidRPr="00B021B1">
        <w:rPr>
          <w:rFonts w:ascii="Times New Roman" w:hAnsi="Times New Roman" w:cs="Times New Roman"/>
          <w:sz w:val="24"/>
          <w:szCs w:val="24"/>
        </w:rPr>
        <w:t>stado do Amazonas</w:t>
      </w:r>
      <w:r w:rsidR="00F6175C">
        <w:rPr>
          <w:rFonts w:ascii="Times New Roman" w:hAnsi="Times New Roman" w:cs="Times New Roman"/>
          <w:sz w:val="24"/>
          <w:szCs w:val="24"/>
        </w:rPr>
        <w:t>, em</w:t>
      </w:r>
      <w:r w:rsidRPr="00B021B1">
        <w:rPr>
          <w:rFonts w:ascii="Times New Roman" w:hAnsi="Times New Roman" w:cs="Times New Roman"/>
          <w:sz w:val="24"/>
          <w:szCs w:val="24"/>
        </w:rPr>
        <w:t xml:space="preserve"> Santo Antônio do </w:t>
      </w:r>
      <w:proofErr w:type="spellStart"/>
      <w:r w:rsidRPr="00B021B1">
        <w:rPr>
          <w:rFonts w:ascii="Times New Roman" w:hAnsi="Times New Roman" w:cs="Times New Roman"/>
          <w:sz w:val="24"/>
          <w:szCs w:val="24"/>
        </w:rPr>
        <w:t>Matúpí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>.</w:t>
      </w:r>
    </w:p>
    <w:p w14:paraId="4763D2DC" w14:textId="7161A83E" w:rsidR="005971C1" w:rsidRPr="00B021B1" w:rsidRDefault="005971C1" w:rsidP="005971C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A Polícia Federal, por meio da Divisão de Repressão a Crimes contra o Meio Ambiente e o Patrimônio Histórico, apresentou três ações para </w:t>
      </w:r>
      <w:r w:rsidR="002D3FC2">
        <w:rPr>
          <w:rFonts w:ascii="Times New Roman" w:hAnsi="Times New Roman" w:cs="Times New Roman"/>
          <w:sz w:val="24"/>
          <w:szCs w:val="24"/>
        </w:rPr>
        <w:t>lidar com os</w:t>
      </w:r>
      <w:r w:rsidRPr="00B021B1">
        <w:rPr>
          <w:rFonts w:ascii="Times New Roman" w:hAnsi="Times New Roman" w:cs="Times New Roman"/>
          <w:sz w:val="24"/>
          <w:szCs w:val="24"/>
        </w:rPr>
        <w:t xml:space="preserve"> desafios na área de repressão a crimes ambientais: i) Implementação do Grupo de Investigações Ambientais Sensíveis da Amazônia Legal; </w:t>
      </w:r>
      <w:proofErr w:type="spellStart"/>
      <w:r w:rsidRPr="00B021B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 xml:space="preserve">) Planejamento e execução de um calendário coordenado e integrado de ações para a Operação Amazônia Legal; </w:t>
      </w:r>
      <w:r w:rsidR="002D3FC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B021B1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B021B1">
        <w:rPr>
          <w:rFonts w:ascii="Times New Roman" w:hAnsi="Times New Roman" w:cs="Times New Roman"/>
          <w:sz w:val="24"/>
          <w:szCs w:val="24"/>
        </w:rPr>
        <w:t xml:space="preserve">) Definição de metodologia de compartilhamento de alertas de desmatamento para as Delegacias de Repressão a Crimes contra o Meio Ambiente e o Patrimônio Histórico e </w:t>
      </w:r>
      <w:r w:rsidR="002D3FC2">
        <w:rPr>
          <w:rFonts w:ascii="Times New Roman" w:hAnsi="Times New Roman" w:cs="Times New Roman"/>
          <w:sz w:val="24"/>
          <w:szCs w:val="24"/>
        </w:rPr>
        <w:t xml:space="preserve">as </w:t>
      </w:r>
      <w:r w:rsidRPr="00B021B1">
        <w:rPr>
          <w:rFonts w:ascii="Times New Roman" w:hAnsi="Times New Roman" w:cs="Times New Roman"/>
          <w:sz w:val="24"/>
          <w:szCs w:val="24"/>
        </w:rPr>
        <w:t>Delegacias descentralizadas.</w:t>
      </w:r>
    </w:p>
    <w:p w14:paraId="5B9D2606" w14:textId="5ECBC6C1" w:rsidR="005971C1" w:rsidRPr="00B021B1" w:rsidRDefault="002D3FC2" w:rsidP="005971C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 está sendo implementado o GIASE, unidade especializada no enfrentamento a crimes ambientais praticados por organizações criminosas</w:t>
      </w:r>
      <w:r w:rsidR="00ED7379">
        <w:rPr>
          <w:rFonts w:ascii="Times New Roman" w:hAnsi="Times New Roman" w:cs="Times New Roman"/>
          <w:sz w:val="24"/>
          <w:szCs w:val="24"/>
        </w:rPr>
        <w:t>.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ED7379">
        <w:rPr>
          <w:rFonts w:ascii="Times New Roman" w:hAnsi="Times New Roman" w:cs="Times New Roman"/>
          <w:sz w:val="24"/>
          <w:szCs w:val="24"/>
        </w:rPr>
        <w:t>S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ua instituição pode </w:t>
      </w:r>
      <w:r w:rsidR="00ED7379">
        <w:rPr>
          <w:rFonts w:ascii="Times New Roman" w:hAnsi="Times New Roman" w:cs="Times New Roman"/>
          <w:sz w:val="24"/>
          <w:szCs w:val="24"/>
        </w:rPr>
        <w:t>ocorrer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 sempre que se verificar a necessidade de realização de investigações complexas e prioritárias, com características transnacionais ou interestaduais.</w:t>
      </w:r>
    </w:p>
    <w:p w14:paraId="36C8A7CC" w14:textId="19A31FE7" w:rsidR="005971C1" w:rsidRPr="00B021B1" w:rsidRDefault="005971C1" w:rsidP="005971C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 xml:space="preserve">O foco de atuação </w:t>
      </w:r>
      <w:r w:rsidR="00ED7379">
        <w:rPr>
          <w:rFonts w:ascii="Times New Roman" w:hAnsi="Times New Roman" w:cs="Times New Roman"/>
          <w:sz w:val="24"/>
          <w:szCs w:val="24"/>
        </w:rPr>
        <w:t>desse grupo</w:t>
      </w:r>
      <w:r w:rsidRPr="00B021B1">
        <w:rPr>
          <w:rFonts w:ascii="Times New Roman" w:hAnsi="Times New Roman" w:cs="Times New Roman"/>
          <w:sz w:val="24"/>
          <w:szCs w:val="24"/>
        </w:rPr>
        <w:t xml:space="preserve"> é a prisão de líderes d</w:t>
      </w:r>
      <w:r w:rsidR="00ED7379">
        <w:rPr>
          <w:rFonts w:ascii="Times New Roman" w:hAnsi="Times New Roman" w:cs="Times New Roman"/>
          <w:sz w:val="24"/>
          <w:szCs w:val="24"/>
        </w:rPr>
        <w:t>e</w:t>
      </w:r>
      <w:r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ED7379">
        <w:rPr>
          <w:rFonts w:ascii="Times New Roman" w:hAnsi="Times New Roman" w:cs="Times New Roman"/>
          <w:sz w:val="24"/>
          <w:szCs w:val="24"/>
        </w:rPr>
        <w:t>o</w:t>
      </w:r>
      <w:r w:rsidRPr="00B021B1">
        <w:rPr>
          <w:rFonts w:ascii="Times New Roman" w:hAnsi="Times New Roman" w:cs="Times New Roman"/>
          <w:sz w:val="24"/>
          <w:szCs w:val="24"/>
        </w:rPr>
        <w:t xml:space="preserve">rganizações </w:t>
      </w:r>
      <w:r w:rsidR="00ED7379">
        <w:rPr>
          <w:rFonts w:ascii="Times New Roman" w:hAnsi="Times New Roman" w:cs="Times New Roman"/>
          <w:sz w:val="24"/>
          <w:szCs w:val="24"/>
        </w:rPr>
        <w:t>c</w:t>
      </w:r>
      <w:r w:rsidRPr="00B021B1">
        <w:rPr>
          <w:rFonts w:ascii="Times New Roman" w:hAnsi="Times New Roman" w:cs="Times New Roman"/>
          <w:sz w:val="24"/>
          <w:szCs w:val="24"/>
        </w:rPr>
        <w:t xml:space="preserve">riminosas que atuam na Amazônia Legal na prática de crimes ambientais. </w:t>
      </w:r>
      <w:r w:rsidR="00ED7379">
        <w:rPr>
          <w:rFonts w:ascii="Times New Roman" w:hAnsi="Times New Roman" w:cs="Times New Roman"/>
          <w:sz w:val="24"/>
          <w:szCs w:val="24"/>
        </w:rPr>
        <w:t>O grupo visa, ainda, a</w:t>
      </w:r>
      <w:r w:rsidRPr="00B021B1">
        <w:rPr>
          <w:rFonts w:ascii="Times New Roman" w:hAnsi="Times New Roman" w:cs="Times New Roman"/>
          <w:sz w:val="24"/>
          <w:szCs w:val="24"/>
        </w:rPr>
        <w:t xml:space="preserve"> realizar o sequestro e o confisco de bens e valores oriundos da lavagem de dinheiro do crime organizado ambiental</w:t>
      </w:r>
      <w:r w:rsidR="00ED7379">
        <w:rPr>
          <w:rFonts w:ascii="Times New Roman" w:hAnsi="Times New Roman" w:cs="Times New Roman"/>
          <w:sz w:val="24"/>
          <w:szCs w:val="24"/>
        </w:rPr>
        <w:t>, com</w:t>
      </w:r>
      <w:r w:rsidRPr="00B021B1">
        <w:rPr>
          <w:rFonts w:ascii="Times New Roman" w:hAnsi="Times New Roman" w:cs="Times New Roman"/>
          <w:sz w:val="24"/>
          <w:szCs w:val="24"/>
        </w:rPr>
        <w:t xml:space="preserve"> forte viés de cooperação internacional em matéria de crimes ambientais.</w:t>
      </w:r>
    </w:p>
    <w:p w14:paraId="4AD9FB00" w14:textId="6CBCD41F" w:rsidR="005971C1" w:rsidRPr="00B021B1" w:rsidRDefault="00ED7379" w:rsidP="005971C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 realizados</w:t>
      </w:r>
      <w:r>
        <w:rPr>
          <w:rFonts w:ascii="Times New Roman" w:hAnsi="Times New Roman" w:cs="Times New Roman"/>
          <w:sz w:val="24"/>
          <w:szCs w:val="24"/>
        </w:rPr>
        <w:t>, ademais,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monitoramento 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971C1" w:rsidRPr="00B021B1">
        <w:rPr>
          <w:rFonts w:ascii="Times New Roman" w:hAnsi="Times New Roman" w:cs="Times New Roman"/>
          <w:sz w:val="24"/>
          <w:szCs w:val="24"/>
        </w:rPr>
        <w:t>emissão de alertas de desmatamento e outros crimes ambientais, com base em metodologia definida pelo órgão central e pelas Superintendências Regionais, a partir d</w:t>
      </w:r>
      <w:r>
        <w:rPr>
          <w:rFonts w:ascii="Times New Roman" w:hAnsi="Times New Roman" w:cs="Times New Roman"/>
          <w:sz w:val="24"/>
          <w:szCs w:val="24"/>
        </w:rPr>
        <w:t>a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 utilização de sistemas de informação geográfica e da extração,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análise 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cruzamento de dados contidos nos bandos </w:t>
      </w:r>
      <w:proofErr w:type="spellStart"/>
      <w:r w:rsidR="005971C1" w:rsidRPr="00B021B1">
        <w:rPr>
          <w:rFonts w:ascii="Times New Roman" w:hAnsi="Times New Roman" w:cs="Times New Roman"/>
          <w:sz w:val="24"/>
          <w:szCs w:val="24"/>
        </w:rPr>
        <w:t>titularizados</w:t>
      </w:r>
      <w:proofErr w:type="spellEnd"/>
      <w:r w:rsidR="005971C1" w:rsidRPr="00B021B1">
        <w:rPr>
          <w:rFonts w:ascii="Times New Roman" w:hAnsi="Times New Roman" w:cs="Times New Roman"/>
          <w:sz w:val="24"/>
          <w:szCs w:val="24"/>
        </w:rPr>
        <w:t xml:space="preserve"> ou acessíveis à Polícia Federal, para auxiliar no desenvolvimento das ações mencionadas acima.</w:t>
      </w:r>
    </w:p>
    <w:p w14:paraId="277F0A31" w14:textId="5DBB3F5B" w:rsidR="005971C1" w:rsidRPr="00B021B1" w:rsidRDefault="00561742" w:rsidP="005971C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t>Saliente-se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3C1DA5" w:rsidRPr="00B021B1">
        <w:rPr>
          <w:rFonts w:ascii="Times New Roman" w:hAnsi="Times New Roman" w:cs="Times New Roman"/>
          <w:sz w:val="24"/>
          <w:szCs w:val="24"/>
        </w:rPr>
        <w:t>que</w:t>
      </w:r>
      <w:r w:rsidR="00ED7379">
        <w:rPr>
          <w:rFonts w:ascii="Times New Roman" w:hAnsi="Times New Roman" w:cs="Times New Roman"/>
          <w:sz w:val="24"/>
          <w:szCs w:val="24"/>
        </w:rPr>
        <w:t>,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 na </w:t>
      </w:r>
      <w:r w:rsidR="005971C1" w:rsidRPr="00B021B1">
        <w:rPr>
          <w:rFonts w:ascii="Times New Roman" w:hAnsi="Times New Roman" w:cs="Times New Roman"/>
          <w:b/>
          <w:bCs/>
          <w:sz w:val="24"/>
          <w:szCs w:val="24"/>
        </w:rPr>
        <w:t>Amazônia Legal</w:t>
      </w:r>
      <w:r w:rsidR="00ED73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971C1" w:rsidRPr="00B02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foram </w:t>
      </w:r>
      <w:r w:rsidR="00ED7379">
        <w:rPr>
          <w:rFonts w:ascii="Times New Roman" w:hAnsi="Times New Roman" w:cs="Times New Roman"/>
          <w:sz w:val="24"/>
          <w:szCs w:val="24"/>
        </w:rPr>
        <w:t xml:space="preserve">realizadas 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364 </w:t>
      </w:r>
      <w:r w:rsidR="00ED7379">
        <w:rPr>
          <w:rFonts w:ascii="Times New Roman" w:hAnsi="Times New Roman" w:cs="Times New Roman"/>
          <w:sz w:val="24"/>
          <w:szCs w:val="24"/>
        </w:rPr>
        <w:t>o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perações de repressão a crimes ambientais e 105 </w:t>
      </w:r>
      <w:r w:rsidR="00ED7379">
        <w:rPr>
          <w:rFonts w:ascii="Times New Roman" w:hAnsi="Times New Roman" w:cs="Times New Roman"/>
          <w:sz w:val="24"/>
          <w:szCs w:val="24"/>
        </w:rPr>
        <w:t>o</w:t>
      </w:r>
      <w:r w:rsidR="005971C1" w:rsidRPr="00B021B1">
        <w:rPr>
          <w:rFonts w:ascii="Times New Roman" w:hAnsi="Times New Roman" w:cs="Times New Roman"/>
          <w:sz w:val="24"/>
          <w:szCs w:val="24"/>
        </w:rPr>
        <w:t xml:space="preserve">perações </w:t>
      </w:r>
      <w:r w:rsidR="00ED7379">
        <w:rPr>
          <w:rFonts w:ascii="Times New Roman" w:hAnsi="Times New Roman" w:cs="Times New Roman"/>
          <w:sz w:val="24"/>
          <w:szCs w:val="24"/>
        </w:rPr>
        <w:t>e</w:t>
      </w:r>
      <w:r w:rsidR="005971C1" w:rsidRPr="00B021B1">
        <w:rPr>
          <w:rFonts w:ascii="Times New Roman" w:hAnsi="Times New Roman" w:cs="Times New Roman"/>
          <w:sz w:val="24"/>
          <w:szCs w:val="24"/>
        </w:rPr>
        <w:t>speciais de Polícia Judiciária no último quinquênio.</w:t>
      </w:r>
    </w:p>
    <w:p w14:paraId="558B0B2E" w14:textId="1CBB96E9" w:rsidR="00343B86" w:rsidRPr="00B021B1" w:rsidRDefault="00343B86" w:rsidP="00343B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918D2" w14:textId="68894B6E" w:rsidR="00343B86" w:rsidRPr="00B021B1" w:rsidRDefault="00343B86" w:rsidP="00343B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1B1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1FCA573B" w14:textId="77777777" w:rsidR="00343B86" w:rsidRPr="00B021B1" w:rsidRDefault="00343B86" w:rsidP="00343B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25CF8" w14:textId="17383B03" w:rsidR="00343B86" w:rsidRPr="00B021B1" w:rsidRDefault="003634DB" w:rsidP="00AD0D2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1B1">
        <w:rPr>
          <w:rFonts w:ascii="Times New Roman" w:hAnsi="Times New Roman" w:cs="Times New Roman"/>
          <w:sz w:val="24"/>
          <w:szCs w:val="24"/>
        </w:rPr>
        <w:lastRenderedPageBreak/>
        <w:t>Tendo em vista o exposto</w:t>
      </w:r>
      <w:r w:rsidR="0077284A" w:rsidRPr="00B021B1">
        <w:rPr>
          <w:rFonts w:ascii="Times New Roman" w:hAnsi="Times New Roman" w:cs="Times New Roman"/>
          <w:sz w:val="24"/>
          <w:szCs w:val="24"/>
        </w:rPr>
        <w:t>,</w:t>
      </w:r>
      <w:r w:rsidR="00907AE1" w:rsidRPr="00B021B1">
        <w:rPr>
          <w:rFonts w:ascii="Times New Roman" w:hAnsi="Times New Roman" w:cs="Times New Roman"/>
          <w:sz w:val="24"/>
          <w:szCs w:val="24"/>
        </w:rPr>
        <w:t xml:space="preserve"> o </w:t>
      </w:r>
      <w:r w:rsidR="00C27CD9">
        <w:rPr>
          <w:rFonts w:ascii="Times New Roman" w:hAnsi="Times New Roman" w:cs="Times New Roman"/>
          <w:sz w:val="24"/>
          <w:szCs w:val="24"/>
        </w:rPr>
        <w:t>e</w:t>
      </w:r>
      <w:r w:rsidR="00907AE1" w:rsidRPr="00B021B1">
        <w:rPr>
          <w:rFonts w:ascii="Times New Roman" w:hAnsi="Times New Roman" w:cs="Times New Roman"/>
          <w:sz w:val="24"/>
          <w:szCs w:val="24"/>
        </w:rPr>
        <w:t>stado brasileiro reafirma seu compromisso com a proteção ao meio ambiente</w:t>
      </w:r>
      <w:r w:rsidR="000C7142" w:rsidRPr="00B021B1">
        <w:rPr>
          <w:rFonts w:ascii="Times New Roman" w:hAnsi="Times New Roman" w:cs="Times New Roman"/>
          <w:sz w:val="24"/>
          <w:szCs w:val="24"/>
        </w:rPr>
        <w:t xml:space="preserve">, à saúde de sua população e </w:t>
      </w:r>
      <w:r w:rsidR="00907AE1" w:rsidRPr="00B021B1">
        <w:rPr>
          <w:rFonts w:ascii="Times New Roman" w:hAnsi="Times New Roman" w:cs="Times New Roman"/>
          <w:sz w:val="24"/>
          <w:szCs w:val="24"/>
        </w:rPr>
        <w:t xml:space="preserve">aos povos e comunidades tradicionais, </w:t>
      </w:r>
      <w:r w:rsidR="00AD0D26" w:rsidRPr="00B021B1">
        <w:rPr>
          <w:rFonts w:ascii="Times New Roman" w:hAnsi="Times New Roman" w:cs="Times New Roman"/>
          <w:sz w:val="24"/>
          <w:szCs w:val="24"/>
        </w:rPr>
        <w:t>e</w:t>
      </w:r>
      <w:r w:rsidR="000C7142" w:rsidRPr="00B021B1">
        <w:rPr>
          <w:rFonts w:ascii="Times New Roman" w:hAnsi="Times New Roman" w:cs="Times New Roman"/>
          <w:sz w:val="24"/>
          <w:szCs w:val="24"/>
        </w:rPr>
        <w:t xml:space="preserve"> </w:t>
      </w:r>
      <w:r w:rsidR="00935CBE" w:rsidRPr="00B021B1">
        <w:rPr>
          <w:rFonts w:ascii="Times New Roman" w:hAnsi="Times New Roman" w:cs="Times New Roman"/>
          <w:sz w:val="24"/>
          <w:szCs w:val="24"/>
        </w:rPr>
        <w:t xml:space="preserve">se coloca à disposição para quaisquer esclarecimentos que o Relator </w:t>
      </w:r>
      <w:r w:rsidR="00C27CD9">
        <w:rPr>
          <w:rFonts w:ascii="Times New Roman" w:hAnsi="Times New Roman" w:cs="Times New Roman"/>
          <w:sz w:val="24"/>
          <w:szCs w:val="24"/>
        </w:rPr>
        <w:t xml:space="preserve">Especial </w:t>
      </w:r>
      <w:r w:rsidR="00935CBE" w:rsidRPr="00B021B1">
        <w:rPr>
          <w:rFonts w:ascii="Times New Roman" w:hAnsi="Times New Roman" w:cs="Times New Roman"/>
          <w:sz w:val="24"/>
          <w:szCs w:val="24"/>
        </w:rPr>
        <w:t xml:space="preserve">venha a considerar necessários para o </w:t>
      </w:r>
      <w:r w:rsidR="009402E8" w:rsidRPr="00B021B1">
        <w:rPr>
          <w:rFonts w:ascii="Times New Roman" w:hAnsi="Times New Roman" w:cs="Times New Roman"/>
          <w:sz w:val="24"/>
          <w:szCs w:val="24"/>
        </w:rPr>
        <w:t>processo de finalização de seu relatório de visita</w:t>
      </w:r>
      <w:r w:rsidR="005A1B90" w:rsidRPr="00B021B1">
        <w:rPr>
          <w:rFonts w:ascii="Times New Roman" w:hAnsi="Times New Roman" w:cs="Times New Roman"/>
          <w:sz w:val="24"/>
          <w:szCs w:val="24"/>
        </w:rPr>
        <w:t xml:space="preserve"> ao Brasil.</w:t>
      </w:r>
    </w:p>
    <w:sectPr w:rsidR="00343B86" w:rsidRPr="00B021B1" w:rsidSect="0004658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4CFCB" w14:textId="77777777" w:rsidR="0005315A" w:rsidRDefault="0005315A" w:rsidP="00C30C3C">
      <w:pPr>
        <w:spacing w:after="0" w:line="240" w:lineRule="auto"/>
      </w:pPr>
      <w:r>
        <w:separator/>
      </w:r>
    </w:p>
  </w:endnote>
  <w:endnote w:type="continuationSeparator" w:id="0">
    <w:p w14:paraId="1FEB32E9" w14:textId="77777777" w:rsidR="0005315A" w:rsidRDefault="0005315A" w:rsidP="00C3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AFFC2" w14:textId="77777777" w:rsidR="00B021B1" w:rsidRDefault="00B021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29D8E" w14:textId="77777777" w:rsidR="00B021B1" w:rsidRDefault="00B021B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762E4" w14:textId="77777777" w:rsidR="00B021B1" w:rsidRDefault="00B021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D435B" w14:textId="77777777" w:rsidR="0005315A" w:rsidRDefault="0005315A" w:rsidP="00C30C3C">
      <w:pPr>
        <w:spacing w:after="0" w:line="240" w:lineRule="auto"/>
      </w:pPr>
      <w:r>
        <w:separator/>
      </w:r>
    </w:p>
  </w:footnote>
  <w:footnote w:type="continuationSeparator" w:id="0">
    <w:p w14:paraId="50CFED02" w14:textId="77777777" w:rsidR="0005315A" w:rsidRDefault="0005315A" w:rsidP="00C30C3C">
      <w:pPr>
        <w:spacing w:after="0" w:line="240" w:lineRule="auto"/>
      </w:pPr>
      <w:r>
        <w:continuationSeparator/>
      </w:r>
    </w:p>
  </w:footnote>
  <w:footnote w:id="1">
    <w:p w14:paraId="2168AF33" w14:textId="4E280C65" w:rsidR="003634DB" w:rsidRPr="00DB2EDA" w:rsidRDefault="003634DB">
      <w:pPr>
        <w:pStyle w:val="Textodenotaderodap"/>
        <w:rPr>
          <w:rFonts w:ascii="Times New Roman" w:hAnsi="Times New Roman" w:cs="Times New Roman"/>
        </w:rPr>
      </w:pPr>
      <w:r w:rsidRPr="00DB2EDA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DB2ED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hyperlink r:id="rId1" w:history="1">
        <w:r w:rsidRPr="00DB2EDA">
          <w:rPr>
            <w:rStyle w:val="Hyperlink"/>
            <w:rFonts w:ascii="Times New Roman" w:hAnsi="Times New Roman" w:cs="Times New Roman"/>
            <w:color w:val="000000" w:themeColor="text1"/>
          </w:rPr>
          <w:t>http://portal.anvisa.gov.br/programa-de-analise-de-registro-deagrotoxicos-para</w:t>
        </w:r>
      </w:hyperlink>
    </w:p>
  </w:footnote>
  <w:footnote w:id="2">
    <w:p w14:paraId="64F540C2" w14:textId="1DA1D071" w:rsidR="00D85B0B" w:rsidRPr="00DB2EDA" w:rsidRDefault="00D85B0B">
      <w:pPr>
        <w:pStyle w:val="Textodenotaderodap"/>
        <w:rPr>
          <w:rFonts w:ascii="Times New Roman" w:hAnsi="Times New Roman" w:cs="Times New Roman"/>
        </w:rPr>
      </w:pPr>
      <w:r w:rsidRPr="00DB2EDA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DB2EDA">
        <w:rPr>
          <w:rFonts w:ascii="Times New Roman" w:hAnsi="Times New Roman" w:cs="Times New Roman"/>
          <w:color w:val="000000" w:themeColor="text1"/>
        </w:rPr>
        <w:t xml:space="preserve"> </w:t>
      </w:r>
      <w:hyperlink r:id="rId2" w:history="1">
        <w:r w:rsidRPr="00DB2EDA">
          <w:rPr>
            <w:rStyle w:val="Hyperlink"/>
            <w:rFonts w:ascii="Times New Roman" w:hAnsi="Times New Roman" w:cs="Times New Roman"/>
            <w:color w:val="000000" w:themeColor="text1"/>
          </w:rPr>
          <w:t>https://contraosagrotoxicos.org/wp-content/uploads/2020/02/AGROTOXICOS-BRASIL-UE-JUL-2019.pdf</w:t>
        </w:r>
      </w:hyperlink>
    </w:p>
  </w:footnote>
  <w:footnote w:id="3">
    <w:p w14:paraId="3E74F19C" w14:textId="7414F7AB" w:rsidR="004B1081" w:rsidRPr="00210463" w:rsidRDefault="004B1081">
      <w:pPr>
        <w:pStyle w:val="Textodenotaderodap"/>
        <w:rPr>
          <w:rFonts w:ascii="Times New Roman" w:hAnsi="Times New Roman" w:cs="Times New Roman"/>
          <w:color w:val="000000" w:themeColor="text1"/>
        </w:rPr>
      </w:pPr>
      <w:r w:rsidRPr="00210463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210463">
        <w:rPr>
          <w:rFonts w:ascii="Times New Roman" w:hAnsi="Times New Roman" w:cs="Times New Roman"/>
          <w:color w:val="000000" w:themeColor="text1"/>
        </w:rPr>
        <w:t xml:space="preserve"> Instrução Norma</w:t>
      </w:r>
      <w:r w:rsidRPr="00210463">
        <w:rPr>
          <w:rFonts w:ascii="Times New Roman" w:eastAsia="Calibri" w:hAnsi="Times New Roman" w:cs="Times New Roman"/>
          <w:color w:val="000000" w:themeColor="text1"/>
        </w:rPr>
        <w:t>ti</w:t>
      </w:r>
      <w:r w:rsidRPr="00210463">
        <w:rPr>
          <w:rFonts w:ascii="Times New Roman" w:hAnsi="Times New Roman" w:cs="Times New Roman"/>
          <w:color w:val="000000" w:themeColor="text1"/>
        </w:rPr>
        <w:t>va nº 27, de 27/12/2018 e alterações pela IN 3/2019</w:t>
      </w:r>
    </w:p>
  </w:footnote>
  <w:footnote w:id="4">
    <w:p w14:paraId="44922F3A" w14:textId="6CCC4618" w:rsidR="004B1081" w:rsidRPr="00210463" w:rsidRDefault="004B1081">
      <w:pPr>
        <w:pStyle w:val="Textodenotaderodap"/>
        <w:rPr>
          <w:rFonts w:ascii="Times New Roman" w:hAnsi="Times New Roman" w:cs="Times New Roman"/>
          <w:color w:val="000000" w:themeColor="text1"/>
        </w:rPr>
      </w:pPr>
      <w:r w:rsidRPr="00210463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210463">
        <w:rPr>
          <w:rFonts w:ascii="Times New Roman" w:hAnsi="Times New Roman" w:cs="Times New Roman"/>
          <w:color w:val="000000" w:themeColor="text1"/>
        </w:rPr>
        <w:t xml:space="preserve"> </w:t>
      </w:r>
      <w:hyperlink r:id="rId3" w:history="1">
        <w:r w:rsidR="001F47FA" w:rsidRPr="00210463">
          <w:rPr>
            <w:rStyle w:val="Hyperlink"/>
            <w:rFonts w:ascii="Times New Roman" w:hAnsi="Times New Roman" w:cs="Times New Roman"/>
            <w:color w:val="000000" w:themeColor="text1"/>
          </w:rPr>
          <w:t>https://www.ibama.gov.br/phocadownload/agrotoxicos/reavaliacaoambiental/2017/2017-07-25-Manual-IBAMA-ARA-Abelhas-IN0217-WEB.pdf</w:t>
        </w:r>
      </w:hyperlink>
      <w:r w:rsidR="001F47FA" w:rsidRPr="00210463">
        <w:rPr>
          <w:rFonts w:ascii="Times New Roman" w:hAnsi="Times New Roman" w:cs="Times New Roman"/>
          <w:color w:val="000000" w:themeColor="text1"/>
        </w:rPr>
        <w:t xml:space="preserve"> </w:t>
      </w:r>
    </w:p>
  </w:footnote>
  <w:footnote w:id="5">
    <w:p w14:paraId="26244EB9" w14:textId="7C808CDC" w:rsidR="001F47FA" w:rsidRDefault="001F47FA">
      <w:pPr>
        <w:pStyle w:val="Textodenotaderodap"/>
      </w:pPr>
      <w:r w:rsidRPr="00210463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210463">
        <w:rPr>
          <w:rFonts w:ascii="Times New Roman" w:hAnsi="Times New Roman" w:cs="Times New Roman"/>
          <w:color w:val="000000" w:themeColor="text1"/>
        </w:rPr>
        <w:t xml:space="preserve"> </w:t>
      </w:r>
      <w:hyperlink r:id="rId4" w:history="1">
        <w:r w:rsidRPr="00210463">
          <w:rPr>
            <w:rStyle w:val="Hyperlink"/>
            <w:rFonts w:ascii="Times New Roman" w:hAnsi="Times New Roman" w:cs="Times New Roman"/>
            <w:color w:val="000000" w:themeColor="text1"/>
          </w:rPr>
          <w:t>https://www.gov.br/agricultura/pt-br/assuntos/insumos-agropecuarios/insumos-agricolas/agrotoxicos/informacoes-tecnicas</w:t>
        </w:r>
      </w:hyperlink>
      <w:r w:rsidRPr="00210463">
        <w:rPr>
          <w:rFonts w:cstheme="minorHAnsi"/>
          <w:color w:val="000000" w:themeColor="text1"/>
        </w:rPr>
        <w:t xml:space="preserve"> </w:t>
      </w:r>
    </w:p>
  </w:footnote>
  <w:footnote w:id="6">
    <w:p w14:paraId="492FBB0C" w14:textId="7DD190BB" w:rsidR="002B06E8" w:rsidRPr="00DB2EDA" w:rsidRDefault="002B06E8">
      <w:pPr>
        <w:pStyle w:val="Textodenotaderodap"/>
        <w:rPr>
          <w:rFonts w:ascii="Times New Roman" w:hAnsi="Times New Roman" w:cs="Times New Roman"/>
        </w:rPr>
      </w:pPr>
      <w:r w:rsidRPr="00DB2EDA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DB2ED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DB2EDA">
        <w:rPr>
          <w:rFonts w:ascii="Times New Roman" w:hAnsi="Times New Roman" w:cs="Times New Roman"/>
          <w:color w:val="000000" w:themeColor="text1"/>
        </w:rPr>
        <w:t xml:space="preserve">Todos os documentos estão disponíveis e podem ser acessados no domínio eletrônico:  </w:t>
      </w:r>
      <w:hyperlink r:id="rId5" w:anchor="/visualizar/391760" w:history="1">
        <w:r w:rsidRPr="00DB2EDA">
          <w:rPr>
            <w:rStyle w:val="Hyperlink"/>
            <w:rFonts w:ascii="Times New Roman" w:hAnsi="Times New Roman" w:cs="Times New Roman"/>
            <w:color w:val="000000" w:themeColor="text1"/>
          </w:rPr>
          <w:t>http://portal.anvisa.gov.br/consultaspublicas#/visualizar/391760</w:t>
        </w:r>
      </w:hyperlink>
    </w:p>
  </w:footnote>
  <w:footnote w:id="7">
    <w:p w14:paraId="554E2F5E" w14:textId="107A811E" w:rsidR="0022288A" w:rsidRPr="00210463" w:rsidRDefault="0022288A">
      <w:pPr>
        <w:pStyle w:val="Textodenotaderodap"/>
        <w:rPr>
          <w:rFonts w:ascii="Times New Roman" w:hAnsi="Times New Roman" w:cs="Times New Roman"/>
          <w:color w:val="000000" w:themeColor="text1"/>
        </w:rPr>
      </w:pPr>
      <w:r w:rsidRPr="00210463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210463">
        <w:rPr>
          <w:rFonts w:ascii="Times New Roman" w:hAnsi="Times New Roman" w:cs="Times New Roman"/>
          <w:color w:val="000000" w:themeColor="text1"/>
        </w:rPr>
        <w:t xml:space="preserve"> </w:t>
      </w:r>
      <w:hyperlink r:id="rId6" w:history="1">
        <w:r w:rsidRPr="00210463">
          <w:rPr>
            <w:rStyle w:val="Hyperlink"/>
            <w:rFonts w:ascii="Times New Roman" w:hAnsi="Times New Roman" w:cs="Times New Roman"/>
            <w:color w:val="000000" w:themeColor="text1"/>
          </w:rPr>
          <w:t>http://queimadas.dgi.inpe.br/queimadas/portal-sta_c/estatisticas_estados/</w:t>
        </w:r>
      </w:hyperlink>
    </w:p>
  </w:footnote>
  <w:footnote w:id="8">
    <w:p w14:paraId="6C3AAC3C" w14:textId="5E8324B5" w:rsidR="0022288A" w:rsidRDefault="0022288A">
      <w:pPr>
        <w:pStyle w:val="Textodenotaderodap"/>
      </w:pPr>
      <w:r w:rsidRPr="00210463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21046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hyperlink r:id="rId7" w:history="1">
        <w:r w:rsidRPr="00210463">
          <w:rPr>
            <w:rStyle w:val="Hyperlink"/>
            <w:rFonts w:ascii="Times New Roman" w:hAnsi="Times New Roman" w:cs="Times New Roman"/>
            <w:color w:val="000000" w:themeColor="text1"/>
          </w:rPr>
          <w:t>http://queimadas.dgi.inpe.br/queimadas/portal-sta_c/situacao-atual/</w:t>
        </w:r>
      </w:hyperlink>
    </w:p>
  </w:footnote>
  <w:footnote w:id="9">
    <w:p w14:paraId="29A682FF" w14:textId="7E8E2515" w:rsidR="008228C0" w:rsidRPr="00DB2EDA" w:rsidRDefault="008228C0">
      <w:pPr>
        <w:pStyle w:val="Textodenotaderodap"/>
        <w:rPr>
          <w:rFonts w:ascii="Times New Roman" w:hAnsi="Times New Roman" w:cs="Times New Roman"/>
        </w:rPr>
      </w:pPr>
      <w:r w:rsidRPr="00DB2EDA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DB2EDA">
        <w:rPr>
          <w:rFonts w:ascii="Times New Roman" w:hAnsi="Times New Roman" w:cs="Times New Roman"/>
          <w:color w:val="000000" w:themeColor="text1"/>
        </w:rPr>
        <w:t xml:space="preserve"> http://queimadas.dgi.inpe.br/queimadas/portal-sta_c/esta_s_cas_paises/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29DF" w14:textId="23247826" w:rsidR="00092553" w:rsidRDefault="000925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ACEAB" w14:textId="49220E10" w:rsidR="00092553" w:rsidRDefault="0009255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B02E6" w14:textId="7DEA5DFC" w:rsidR="00092553" w:rsidRDefault="000925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5B4C"/>
    <w:multiLevelType w:val="hybridMultilevel"/>
    <w:tmpl w:val="6E7C1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346"/>
    <w:multiLevelType w:val="hybridMultilevel"/>
    <w:tmpl w:val="3CD2BA6A"/>
    <w:lvl w:ilvl="0" w:tplc="49BAD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7F0520"/>
    <w:multiLevelType w:val="hybridMultilevel"/>
    <w:tmpl w:val="81BC858C"/>
    <w:lvl w:ilvl="0" w:tplc="99666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2F43F5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67E67"/>
    <w:multiLevelType w:val="hybridMultilevel"/>
    <w:tmpl w:val="B9CA319E"/>
    <w:lvl w:ilvl="0" w:tplc="0416000F">
      <w:start w:val="1"/>
      <w:numFmt w:val="decimal"/>
      <w:lvlText w:val="%1."/>
      <w:lvlJc w:val="left"/>
      <w:pPr>
        <w:ind w:left="1434" w:hanging="360"/>
      </w:pPr>
    </w:lvl>
    <w:lvl w:ilvl="1" w:tplc="04160019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65FE0598"/>
    <w:multiLevelType w:val="hybridMultilevel"/>
    <w:tmpl w:val="29481462"/>
    <w:lvl w:ilvl="0" w:tplc="224035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32"/>
    <w:rsid w:val="000044E5"/>
    <w:rsid w:val="00012375"/>
    <w:rsid w:val="0002448F"/>
    <w:rsid w:val="00037713"/>
    <w:rsid w:val="00046587"/>
    <w:rsid w:val="0004761D"/>
    <w:rsid w:val="0005315A"/>
    <w:rsid w:val="00054623"/>
    <w:rsid w:val="00056349"/>
    <w:rsid w:val="0006665B"/>
    <w:rsid w:val="000676D7"/>
    <w:rsid w:val="000773EB"/>
    <w:rsid w:val="000848E7"/>
    <w:rsid w:val="0009123C"/>
    <w:rsid w:val="00092553"/>
    <w:rsid w:val="000944B0"/>
    <w:rsid w:val="00097B8D"/>
    <w:rsid w:val="000A2C4E"/>
    <w:rsid w:val="000B0BD0"/>
    <w:rsid w:val="000B1A0D"/>
    <w:rsid w:val="000C7142"/>
    <w:rsid w:val="000D4F68"/>
    <w:rsid w:val="000E3D64"/>
    <w:rsid w:val="000F3718"/>
    <w:rsid w:val="000F792F"/>
    <w:rsid w:val="001002DE"/>
    <w:rsid w:val="00101D20"/>
    <w:rsid w:val="001029AF"/>
    <w:rsid w:val="00104176"/>
    <w:rsid w:val="00106E15"/>
    <w:rsid w:val="0011536A"/>
    <w:rsid w:val="0011731C"/>
    <w:rsid w:val="00131B69"/>
    <w:rsid w:val="001457B8"/>
    <w:rsid w:val="00157556"/>
    <w:rsid w:val="00163ACA"/>
    <w:rsid w:val="00165E4C"/>
    <w:rsid w:val="0016661E"/>
    <w:rsid w:val="00172A06"/>
    <w:rsid w:val="00174D81"/>
    <w:rsid w:val="00182045"/>
    <w:rsid w:val="00193624"/>
    <w:rsid w:val="00193D6B"/>
    <w:rsid w:val="001A07CC"/>
    <w:rsid w:val="001A4110"/>
    <w:rsid w:val="001A7572"/>
    <w:rsid w:val="001B1FD7"/>
    <w:rsid w:val="001B2CA4"/>
    <w:rsid w:val="001B7E00"/>
    <w:rsid w:val="001B7E9E"/>
    <w:rsid w:val="001C308C"/>
    <w:rsid w:val="001C7CC1"/>
    <w:rsid w:val="001F010E"/>
    <w:rsid w:val="001F47FA"/>
    <w:rsid w:val="001F4A76"/>
    <w:rsid w:val="001F69F8"/>
    <w:rsid w:val="00203361"/>
    <w:rsid w:val="0020370D"/>
    <w:rsid w:val="0020688C"/>
    <w:rsid w:val="00210463"/>
    <w:rsid w:val="00210D5D"/>
    <w:rsid w:val="00213FD4"/>
    <w:rsid w:val="00221518"/>
    <w:rsid w:val="00221808"/>
    <w:rsid w:val="0022288A"/>
    <w:rsid w:val="00222C3D"/>
    <w:rsid w:val="002274D3"/>
    <w:rsid w:val="00232B9D"/>
    <w:rsid w:val="00240375"/>
    <w:rsid w:val="00250DB0"/>
    <w:rsid w:val="00251939"/>
    <w:rsid w:val="00255177"/>
    <w:rsid w:val="00275423"/>
    <w:rsid w:val="0028163E"/>
    <w:rsid w:val="00290139"/>
    <w:rsid w:val="00292A84"/>
    <w:rsid w:val="00296ED0"/>
    <w:rsid w:val="002A15CA"/>
    <w:rsid w:val="002A19E9"/>
    <w:rsid w:val="002B06E8"/>
    <w:rsid w:val="002B3F32"/>
    <w:rsid w:val="002C4C23"/>
    <w:rsid w:val="002D12BA"/>
    <w:rsid w:val="002D3FC2"/>
    <w:rsid w:val="002E0810"/>
    <w:rsid w:val="002E13F0"/>
    <w:rsid w:val="003017C3"/>
    <w:rsid w:val="00301FF2"/>
    <w:rsid w:val="00303C77"/>
    <w:rsid w:val="00303F53"/>
    <w:rsid w:val="00310407"/>
    <w:rsid w:val="00311074"/>
    <w:rsid w:val="003125FD"/>
    <w:rsid w:val="0031465C"/>
    <w:rsid w:val="00323C97"/>
    <w:rsid w:val="0033495F"/>
    <w:rsid w:val="00340F6E"/>
    <w:rsid w:val="00343B86"/>
    <w:rsid w:val="0034532C"/>
    <w:rsid w:val="003502AE"/>
    <w:rsid w:val="00352052"/>
    <w:rsid w:val="003634DB"/>
    <w:rsid w:val="00366DBB"/>
    <w:rsid w:val="00381FC2"/>
    <w:rsid w:val="00391B2D"/>
    <w:rsid w:val="00392188"/>
    <w:rsid w:val="003943E7"/>
    <w:rsid w:val="003954FA"/>
    <w:rsid w:val="003B7BD4"/>
    <w:rsid w:val="003C1DA5"/>
    <w:rsid w:val="003C2D1C"/>
    <w:rsid w:val="003D47C2"/>
    <w:rsid w:val="003D7A3D"/>
    <w:rsid w:val="003E4986"/>
    <w:rsid w:val="003F646B"/>
    <w:rsid w:val="0040168A"/>
    <w:rsid w:val="00404BD0"/>
    <w:rsid w:val="004070B2"/>
    <w:rsid w:val="0040766D"/>
    <w:rsid w:val="0042646B"/>
    <w:rsid w:val="00447940"/>
    <w:rsid w:val="00460635"/>
    <w:rsid w:val="004615D0"/>
    <w:rsid w:val="0046778C"/>
    <w:rsid w:val="00490410"/>
    <w:rsid w:val="0049579F"/>
    <w:rsid w:val="004A74AE"/>
    <w:rsid w:val="004B0641"/>
    <w:rsid w:val="004B1081"/>
    <w:rsid w:val="004C12D4"/>
    <w:rsid w:val="004C4BE6"/>
    <w:rsid w:val="004D1981"/>
    <w:rsid w:val="004E60F1"/>
    <w:rsid w:val="004F617A"/>
    <w:rsid w:val="005021ED"/>
    <w:rsid w:val="005034FD"/>
    <w:rsid w:val="005177F7"/>
    <w:rsid w:val="0054489F"/>
    <w:rsid w:val="00561742"/>
    <w:rsid w:val="00567E70"/>
    <w:rsid w:val="005811AD"/>
    <w:rsid w:val="00581C57"/>
    <w:rsid w:val="00590FBA"/>
    <w:rsid w:val="005971C1"/>
    <w:rsid w:val="005A1B90"/>
    <w:rsid w:val="005A7EC4"/>
    <w:rsid w:val="005B2BE6"/>
    <w:rsid w:val="005B5B7B"/>
    <w:rsid w:val="005C59FD"/>
    <w:rsid w:val="005E107A"/>
    <w:rsid w:val="005E1976"/>
    <w:rsid w:val="005E1B3E"/>
    <w:rsid w:val="005E4186"/>
    <w:rsid w:val="005F0968"/>
    <w:rsid w:val="005F2D53"/>
    <w:rsid w:val="005F3A8B"/>
    <w:rsid w:val="005F45C9"/>
    <w:rsid w:val="00600A06"/>
    <w:rsid w:val="00600ED7"/>
    <w:rsid w:val="006049EE"/>
    <w:rsid w:val="00613598"/>
    <w:rsid w:val="00616216"/>
    <w:rsid w:val="00622C06"/>
    <w:rsid w:val="006303E7"/>
    <w:rsid w:val="00636F86"/>
    <w:rsid w:val="00642F27"/>
    <w:rsid w:val="00654F44"/>
    <w:rsid w:val="00661F10"/>
    <w:rsid w:val="006629C2"/>
    <w:rsid w:val="006662D7"/>
    <w:rsid w:val="0067797C"/>
    <w:rsid w:val="0068026E"/>
    <w:rsid w:val="006813CA"/>
    <w:rsid w:val="006824CE"/>
    <w:rsid w:val="00683574"/>
    <w:rsid w:val="006838EB"/>
    <w:rsid w:val="006842A5"/>
    <w:rsid w:val="00686047"/>
    <w:rsid w:val="00693530"/>
    <w:rsid w:val="006B369B"/>
    <w:rsid w:val="006B4C88"/>
    <w:rsid w:val="006D2024"/>
    <w:rsid w:val="006D401F"/>
    <w:rsid w:val="006D6583"/>
    <w:rsid w:val="00706BB0"/>
    <w:rsid w:val="007134EC"/>
    <w:rsid w:val="00724F0E"/>
    <w:rsid w:val="007275E9"/>
    <w:rsid w:val="0072763D"/>
    <w:rsid w:val="007279A3"/>
    <w:rsid w:val="007443ED"/>
    <w:rsid w:val="00763EAA"/>
    <w:rsid w:val="00765CA8"/>
    <w:rsid w:val="0077284A"/>
    <w:rsid w:val="00775609"/>
    <w:rsid w:val="007766AE"/>
    <w:rsid w:val="00780945"/>
    <w:rsid w:val="007B7A58"/>
    <w:rsid w:val="007D6045"/>
    <w:rsid w:val="007D617C"/>
    <w:rsid w:val="007D657D"/>
    <w:rsid w:val="007D659C"/>
    <w:rsid w:val="007E1293"/>
    <w:rsid w:val="007E26B3"/>
    <w:rsid w:val="007E4F2D"/>
    <w:rsid w:val="007E7B8E"/>
    <w:rsid w:val="00804C91"/>
    <w:rsid w:val="00813467"/>
    <w:rsid w:val="00813E27"/>
    <w:rsid w:val="0081523C"/>
    <w:rsid w:val="00815A82"/>
    <w:rsid w:val="008228C0"/>
    <w:rsid w:val="00825C1D"/>
    <w:rsid w:val="008344FE"/>
    <w:rsid w:val="008367AB"/>
    <w:rsid w:val="008527BF"/>
    <w:rsid w:val="008543A6"/>
    <w:rsid w:val="008639A9"/>
    <w:rsid w:val="008665EC"/>
    <w:rsid w:val="008671E5"/>
    <w:rsid w:val="00876789"/>
    <w:rsid w:val="0087762D"/>
    <w:rsid w:val="00882BD6"/>
    <w:rsid w:val="008902C2"/>
    <w:rsid w:val="00890893"/>
    <w:rsid w:val="00893058"/>
    <w:rsid w:val="008967DE"/>
    <w:rsid w:val="00897DD1"/>
    <w:rsid w:val="00897FCB"/>
    <w:rsid w:val="008B33B8"/>
    <w:rsid w:val="008B5D5D"/>
    <w:rsid w:val="008C0F11"/>
    <w:rsid w:val="008D3840"/>
    <w:rsid w:val="008E44A5"/>
    <w:rsid w:val="008E686D"/>
    <w:rsid w:val="009028C5"/>
    <w:rsid w:val="009057E5"/>
    <w:rsid w:val="00907AE1"/>
    <w:rsid w:val="0093332C"/>
    <w:rsid w:val="00935CBE"/>
    <w:rsid w:val="00937568"/>
    <w:rsid w:val="009402E8"/>
    <w:rsid w:val="009549EA"/>
    <w:rsid w:val="00956F9D"/>
    <w:rsid w:val="00970048"/>
    <w:rsid w:val="00972CBE"/>
    <w:rsid w:val="0097693D"/>
    <w:rsid w:val="00981876"/>
    <w:rsid w:val="009836F4"/>
    <w:rsid w:val="00987575"/>
    <w:rsid w:val="009954E2"/>
    <w:rsid w:val="00996A3A"/>
    <w:rsid w:val="009B1394"/>
    <w:rsid w:val="009B31E7"/>
    <w:rsid w:val="009B71E7"/>
    <w:rsid w:val="009C1157"/>
    <w:rsid w:val="009C4AC4"/>
    <w:rsid w:val="009C7BB2"/>
    <w:rsid w:val="009D5E66"/>
    <w:rsid w:val="009E618F"/>
    <w:rsid w:val="00A02CE6"/>
    <w:rsid w:val="00A03383"/>
    <w:rsid w:val="00A049E4"/>
    <w:rsid w:val="00A058BE"/>
    <w:rsid w:val="00A06442"/>
    <w:rsid w:val="00A15ED2"/>
    <w:rsid w:val="00A207BA"/>
    <w:rsid w:val="00A25349"/>
    <w:rsid w:val="00A35F06"/>
    <w:rsid w:val="00A41B9D"/>
    <w:rsid w:val="00A46309"/>
    <w:rsid w:val="00A463BD"/>
    <w:rsid w:val="00A55926"/>
    <w:rsid w:val="00A55C55"/>
    <w:rsid w:val="00A617AE"/>
    <w:rsid w:val="00A70561"/>
    <w:rsid w:val="00A70DFC"/>
    <w:rsid w:val="00A71FE1"/>
    <w:rsid w:val="00A77DA6"/>
    <w:rsid w:val="00A85FD2"/>
    <w:rsid w:val="00A94A69"/>
    <w:rsid w:val="00AA0386"/>
    <w:rsid w:val="00AA09F2"/>
    <w:rsid w:val="00AA14D0"/>
    <w:rsid w:val="00AA757C"/>
    <w:rsid w:val="00AB2C7B"/>
    <w:rsid w:val="00AC4605"/>
    <w:rsid w:val="00AD0D26"/>
    <w:rsid w:val="00AD61C7"/>
    <w:rsid w:val="00AD6310"/>
    <w:rsid w:val="00AD75C7"/>
    <w:rsid w:val="00AF11D2"/>
    <w:rsid w:val="00AF7F39"/>
    <w:rsid w:val="00B0024C"/>
    <w:rsid w:val="00B021B1"/>
    <w:rsid w:val="00B2091E"/>
    <w:rsid w:val="00B24660"/>
    <w:rsid w:val="00B32044"/>
    <w:rsid w:val="00B32E88"/>
    <w:rsid w:val="00B44357"/>
    <w:rsid w:val="00B5176B"/>
    <w:rsid w:val="00B65E9F"/>
    <w:rsid w:val="00B71A64"/>
    <w:rsid w:val="00B721BF"/>
    <w:rsid w:val="00BA5F16"/>
    <w:rsid w:val="00BC7C7C"/>
    <w:rsid w:val="00BD01A8"/>
    <w:rsid w:val="00BE2F8E"/>
    <w:rsid w:val="00C109C3"/>
    <w:rsid w:val="00C12469"/>
    <w:rsid w:val="00C15532"/>
    <w:rsid w:val="00C27CD9"/>
    <w:rsid w:val="00C30C3C"/>
    <w:rsid w:val="00C42F51"/>
    <w:rsid w:val="00C50426"/>
    <w:rsid w:val="00C51D66"/>
    <w:rsid w:val="00C54AC4"/>
    <w:rsid w:val="00C54ADD"/>
    <w:rsid w:val="00C551E7"/>
    <w:rsid w:val="00C63523"/>
    <w:rsid w:val="00C92E65"/>
    <w:rsid w:val="00C94F86"/>
    <w:rsid w:val="00CA0323"/>
    <w:rsid w:val="00CA0B50"/>
    <w:rsid w:val="00CA228D"/>
    <w:rsid w:val="00CA4C8B"/>
    <w:rsid w:val="00CB23AC"/>
    <w:rsid w:val="00CB2CEC"/>
    <w:rsid w:val="00CC79C6"/>
    <w:rsid w:val="00CD319C"/>
    <w:rsid w:val="00CD57F4"/>
    <w:rsid w:val="00CE4419"/>
    <w:rsid w:val="00D15DF9"/>
    <w:rsid w:val="00D21BA8"/>
    <w:rsid w:val="00D306A7"/>
    <w:rsid w:val="00D56C4F"/>
    <w:rsid w:val="00D64788"/>
    <w:rsid w:val="00D85B0B"/>
    <w:rsid w:val="00D86D6F"/>
    <w:rsid w:val="00D9452A"/>
    <w:rsid w:val="00DA583B"/>
    <w:rsid w:val="00DB2EDA"/>
    <w:rsid w:val="00DD1A6A"/>
    <w:rsid w:val="00DD2984"/>
    <w:rsid w:val="00DF08BF"/>
    <w:rsid w:val="00DF4F2E"/>
    <w:rsid w:val="00DF7B6A"/>
    <w:rsid w:val="00E16A13"/>
    <w:rsid w:val="00E21BCB"/>
    <w:rsid w:val="00E23BFE"/>
    <w:rsid w:val="00E6110F"/>
    <w:rsid w:val="00E61582"/>
    <w:rsid w:val="00E6447F"/>
    <w:rsid w:val="00E75FCB"/>
    <w:rsid w:val="00E76CDF"/>
    <w:rsid w:val="00E77AF3"/>
    <w:rsid w:val="00E81834"/>
    <w:rsid w:val="00E8401D"/>
    <w:rsid w:val="00E87B35"/>
    <w:rsid w:val="00E9036E"/>
    <w:rsid w:val="00E94B98"/>
    <w:rsid w:val="00EA6253"/>
    <w:rsid w:val="00EB37A9"/>
    <w:rsid w:val="00EC2A5D"/>
    <w:rsid w:val="00ED10F4"/>
    <w:rsid w:val="00ED438C"/>
    <w:rsid w:val="00ED4BBC"/>
    <w:rsid w:val="00ED7379"/>
    <w:rsid w:val="00EE28F0"/>
    <w:rsid w:val="00EF673E"/>
    <w:rsid w:val="00F02B3D"/>
    <w:rsid w:val="00F13445"/>
    <w:rsid w:val="00F25BE8"/>
    <w:rsid w:val="00F25C98"/>
    <w:rsid w:val="00F271C5"/>
    <w:rsid w:val="00F345B2"/>
    <w:rsid w:val="00F37477"/>
    <w:rsid w:val="00F500DC"/>
    <w:rsid w:val="00F51E92"/>
    <w:rsid w:val="00F5294C"/>
    <w:rsid w:val="00F52D00"/>
    <w:rsid w:val="00F54F1B"/>
    <w:rsid w:val="00F6175C"/>
    <w:rsid w:val="00F666FD"/>
    <w:rsid w:val="00F73897"/>
    <w:rsid w:val="00F7390A"/>
    <w:rsid w:val="00F83D21"/>
    <w:rsid w:val="00F850B1"/>
    <w:rsid w:val="00F87960"/>
    <w:rsid w:val="00F95C71"/>
    <w:rsid w:val="00FA0AEF"/>
    <w:rsid w:val="00FD1FFF"/>
    <w:rsid w:val="00FD42AA"/>
    <w:rsid w:val="00FE0020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CC865"/>
  <w15:chartTrackingRefBased/>
  <w15:docId w15:val="{CB5CAF80-F9C6-49F4-B7FE-C1E57211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43A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E2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BE2F8E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E2F8E"/>
    <w:pPr>
      <w:spacing w:after="100"/>
    </w:pPr>
  </w:style>
  <w:style w:type="character" w:styleId="Hyperlink">
    <w:name w:val="Hyperlink"/>
    <w:basedOn w:val="Fontepargpadro"/>
    <w:uiPriority w:val="99"/>
    <w:unhideWhenUsed/>
    <w:rsid w:val="00BE2F8E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0C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0C3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30C3C"/>
    <w:rPr>
      <w:vertAlign w:val="superscript"/>
    </w:rPr>
  </w:style>
  <w:style w:type="paragraph" w:customStyle="1" w:styleId="tabelatextocentralizado">
    <w:name w:val="tabela_texto_centralizado"/>
    <w:basedOn w:val="Normal"/>
    <w:rsid w:val="00EC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2A5D"/>
    <w:rPr>
      <w:b/>
      <w:bCs/>
    </w:rPr>
  </w:style>
  <w:style w:type="paragraph" w:customStyle="1" w:styleId="paragrafonumeradonivel1">
    <w:name w:val="paragrafo_numerado_nivel1"/>
    <w:basedOn w:val="Normal"/>
    <w:rsid w:val="0090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90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90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90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057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B0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0BD0"/>
  </w:style>
  <w:style w:type="paragraph" w:styleId="Rodap">
    <w:name w:val="footer"/>
    <w:basedOn w:val="Normal"/>
    <w:link w:val="RodapChar"/>
    <w:uiPriority w:val="99"/>
    <w:unhideWhenUsed/>
    <w:rsid w:val="000B0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BD0"/>
  </w:style>
  <w:style w:type="table" w:styleId="Tabelacomgrade">
    <w:name w:val="Table Grid"/>
    <w:basedOn w:val="Tabelanormal"/>
    <w:uiPriority w:val="39"/>
    <w:rsid w:val="00DF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21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1B1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44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4B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4B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4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4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bama.gov.br/phocadownload/agrotoxicos/reavaliacaoambiental/2017/2017-07-25-Manual-IBAMA-ARA-Abelhas-IN0217-WEB.pdf" TargetMode="External"/><Relationship Id="rId7" Type="http://schemas.openxmlformats.org/officeDocument/2006/relationships/hyperlink" Target="http://queimadas.dgi.inpe.br/queimadas/portal-sta_c/situacao-atual/" TargetMode="External"/><Relationship Id="rId2" Type="http://schemas.openxmlformats.org/officeDocument/2006/relationships/hyperlink" Target="https://contraosagrotoxicos.org/wp-content/uploads/2020/02/AGROTOXICOS-BRASIL-UE-JUL-2019.pdf" TargetMode="External"/><Relationship Id="rId1" Type="http://schemas.openxmlformats.org/officeDocument/2006/relationships/hyperlink" Target="http://portal.anvisa.gov.br/programa-de-analise-de-registro-deagrotoxicos-para" TargetMode="External"/><Relationship Id="rId6" Type="http://schemas.openxmlformats.org/officeDocument/2006/relationships/hyperlink" Target="http://queimadas.dgi.inpe.br/queimadas/portal-sta_c/estatisticas_estados/" TargetMode="External"/><Relationship Id="rId5" Type="http://schemas.openxmlformats.org/officeDocument/2006/relationships/hyperlink" Target="http://portal.anvisa.gov.br/consultaspublicas" TargetMode="External"/><Relationship Id="rId4" Type="http://schemas.openxmlformats.org/officeDocument/2006/relationships/hyperlink" Target="https://www.gov.br/agricultura/pt-br/assuntos/insumos-agropecuarios/insumos-agricolas/agrotoxicos/informacoes-tecnic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E40CE-158E-42EE-BDF3-54198C9EE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3F8A3-F415-4FE0-BA2C-62B303F079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5224BD-DB26-4DC4-9517-A88A90FA8465}"/>
</file>

<file path=customXml/itemProps4.xml><?xml version="1.0" encoding="utf-8"?>
<ds:datastoreItem xmlns:ds="http://schemas.openxmlformats.org/officeDocument/2006/customXml" ds:itemID="{E85E08DA-7A1D-44C9-BA94-7B35F0B4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6416</Words>
  <Characters>34648</Characters>
  <Application>Microsoft Office Word</Application>
  <DocSecurity>0</DocSecurity>
  <Lines>288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dos Santos Rodrigues</dc:creator>
  <cp:keywords/>
  <dc:description/>
  <cp:lastModifiedBy>Debora Lobato</cp:lastModifiedBy>
  <cp:revision>6</cp:revision>
  <dcterms:created xsi:type="dcterms:W3CDTF">2020-08-12T18:16:00Z</dcterms:created>
  <dcterms:modified xsi:type="dcterms:W3CDTF">2020-08-12T18:22:00Z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