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0377" w14:textId="537BC9EC" w:rsidR="00F60159" w:rsidRDefault="00F60159" w:rsidP="00F60159">
      <w:pPr>
        <w:jc w:val="right"/>
        <w:rPr>
          <w:bCs/>
          <w:sz w:val="28"/>
          <w:szCs w:val="28"/>
          <w:lang w:val="en-US"/>
        </w:rPr>
      </w:pPr>
      <w:bookmarkStart w:id="0" w:name="_GoBack"/>
      <w:bookmarkEnd w:id="0"/>
      <w:r>
        <w:rPr>
          <w:bCs/>
          <w:noProof/>
          <w:sz w:val="28"/>
          <w:szCs w:val="28"/>
          <w:lang w:val="en-GB" w:eastAsia="en-GB"/>
        </w:rPr>
        <w:drawing>
          <wp:inline distT="0" distB="0" distL="0" distR="0" wp14:anchorId="3F6C20A0" wp14:editId="3F50D118">
            <wp:extent cx="2286000" cy="13227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E44D1" w14:textId="77777777" w:rsidR="00F60159" w:rsidRPr="00F60159" w:rsidRDefault="00F60159" w:rsidP="00F60159">
      <w:pPr>
        <w:jc w:val="right"/>
        <w:rPr>
          <w:bCs/>
          <w:sz w:val="28"/>
          <w:szCs w:val="28"/>
          <w:lang w:val="en-US"/>
        </w:rPr>
      </w:pPr>
    </w:p>
    <w:p w14:paraId="1E5CE6B9" w14:textId="68A7DBBE" w:rsidR="0026463C" w:rsidRDefault="0026463C" w:rsidP="00970CF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German contribution </w:t>
      </w:r>
    </w:p>
    <w:p w14:paraId="74CE126B" w14:textId="77777777" w:rsidR="00E560A3" w:rsidRDefault="00970CF5" w:rsidP="00E560A3">
      <w:pPr>
        <w:jc w:val="center"/>
        <w:rPr>
          <w:b/>
          <w:sz w:val="28"/>
          <w:szCs w:val="28"/>
          <w:lang w:val="en-US"/>
        </w:rPr>
      </w:pPr>
      <w:r w:rsidRPr="00970CF5">
        <w:rPr>
          <w:b/>
          <w:sz w:val="28"/>
          <w:szCs w:val="28"/>
          <w:lang w:val="en-US"/>
        </w:rPr>
        <w:t xml:space="preserve">Questionnaire of the Special Rapporteur on </w:t>
      </w:r>
      <w:r w:rsidR="00E560A3">
        <w:rPr>
          <w:b/>
          <w:sz w:val="28"/>
          <w:szCs w:val="28"/>
          <w:lang w:val="en-US"/>
        </w:rPr>
        <w:t>Trafficking in Persons, especially Women and Children</w:t>
      </w:r>
      <w:r w:rsidRPr="00970CF5">
        <w:rPr>
          <w:b/>
          <w:sz w:val="28"/>
          <w:szCs w:val="28"/>
          <w:lang w:val="en-US"/>
        </w:rPr>
        <w:t xml:space="preserve"> </w:t>
      </w:r>
    </w:p>
    <w:p w14:paraId="1B098C94" w14:textId="1D48F9BF" w:rsidR="00E53CBA" w:rsidRPr="00970CF5" w:rsidRDefault="00911679" w:rsidP="00E560A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</w:t>
      </w:r>
      <w:r w:rsidR="00970CF5" w:rsidRPr="00970CF5">
        <w:rPr>
          <w:b/>
          <w:sz w:val="28"/>
          <w:szCs w:val="28"/>
          <w:lang w:val="en-US"/>
        </w:rPr>
        <w:t>n</w:t>
      </w:r>
      <w:r w:rsidR="00E560A3">
        <w:rPr>
          <w:b/>
          <w:sz w:val="28"/>
          <w:szCs w:val="28"/>
          <w:lang w:val="en-US"/>
        </w:rPr>
        <w:t xml:space="preserve"> the implementation of the non-punishment principle in the context of trafficking in persons</w:t>
      </w:r>
    </w:p>
    <w:p w14:paraId="62A33B6C" w14:textId="6EF493EE" w:rsidR="00970CF5" w:rsidRPr="00E560A3" w:rsidRDefault="00970CF5" w:rsidP="00F60159">
      <w:pPr>
        <w:jc w:val="center"/>
        <w:rPr>
          <w:bCs/>
          <w:sz w:val="24"/>
          <w:szCs w:val="24"/>
          <w:lang w:val="en-US"/>
        </w:rPr>
      </w:pPr>
    </w:p>
    <w:p w14:paraId="7CD64A3A" w14:textId="653F724C" w:rsidR="00970CF5" w:rsidRDefault="00970CF5" w:rsidP="001A0F33">
      <w:pPr>
        <w:spacing w:after="0" w:line="240" w:lineRule="auto"/>
        <w:rPr>
          <w:b/>
          <w:sz w:val="24"/>
          <w:szCs w:val="24"/>
          <w:lang w:val="en-US"/>
        </w:rPr>
      </w:pPr>
    </w:p>
    <w:p w14:paraId="4E10C844" w14:textId="43125D36" w:rsidR="00F60159" w:rsidRDefault="00F60159" w:rsidP="001A0F33">
      <w:pPr>
        <w:spacing w:after="0" w:line="240" w:lineRule="auto"/>
        <w:rPr>
          <w:b/>
          <w:sz w:val="24"/>
          <w:szCs w:val="24"/>
          <w:lang w:val="en-US"/>
        </w:rPr>
      </w:pPr>
      <w:r w:rsidRPr="00F60159">
        <w:rPr>
          <w:bCs/>
          <w:sz w:val="24"/>
          <w:szCs w:val="24"/>
          <w:lang w:val="en-US"/>
        </w:rPr>
        <w:t>With reference to the Special Rapporteur’s letter to the Permanent</w:t>
      </w:r>
      <w:r>
        <w:rPr>
          <w:bCs/>
          <w:sz w:val="24"/>
          <w:szCs w:val="24"/>
          <w:lang w:val="en-US"/>
        </w:rPr>
        <w:t xml:space="preserve"> Mission of the Federal Republic of Germany to the United Nations Office in Geneva </w:t>
      </w:r>
      <w:r w:rsidR="00911679">
        <w:rPr>
          <w:bCs/>
          <w:sz w:val="24"/>
          <w:szCs w:val="24"/>
          <w:lang w:val="en-US"/>
        </w:rPr>
        <w:t>dated</w:t>
      </w:r>
      <w:r w:rsidRPr="00E560A3">
        <w:rPr>
          <w:bCs/>
          <w:sz w:val="24"/>
          <w:szCs w:val="24"/>
          <w:lang w:val="en-US"/>
        </w:rPr>
        <w:t xml:space="preserve"> 14 December 2020</w:t>
      </w:r>
      <w:r>
        <w:rPr>
          <w:bCs/>
          <w:sz w:val="24"/>
          <w:szCs w:val="24"/>
          <w:lang w:val="en-US"/>
        </w:rPr>
        <w:t>, the Federal Foreign Office makes the following contribution</w:t>
      </w:r>
      <w:r w:rsidR="00044D1C">
        <w:rPr>
          <w:bCs/>
          <w:sz w:val="24"/>
          <w:szCs w:val="24"/>
          <w:lang w:val="en-US"/>
        </w:rPr>
        <w:t>:</w:t>
      </w:r>
    </w:p>
    <w:p w14:paraId="46CE1947" w14:textId="15DFC5E8" w:rsidR="00F60159" w:rsidRPr="001A0F33" w:rsidRDefault="00F60159" w:rsidP="001A0F33">
      <w:pPr>
        <w:spacing w:after="0" w:line="240" w:lineRule="auto"/>
        <w:rPr>
          <w:sz w:val="24"/>
          <w:szCs w:val="24"/>
          <w:lang w:val="en-US"/>
        </w:rPr>
      </w:pPr>
    </w:p>
    <w:p w14:paraId="51821F22" w14:textId="77777777" w:rsidR="00751A04" w:rsidRDefault="000134A9" w:rsidP="00195F22">
      <w:pPr>
        <w:spacing w:after="0" w:line="240" w:lineRule="auto"/>
        <w:rPr>
          <w:iCs/>
          <w:sz w:val="24"/>
          <w:szCs w:val="24"/>
          <w:lang w:val="en-US"/>
        </w:rPr>
      </w:pPr>
      <w:r w:rsidRPr="00B865A1">
        <w:rPr>
          <w:iCs/>
          <w:sz w:val="24"/>
          <w:szCs w:val="24"/>
          <w:lang w:val="en-US"/>
        </w:rPr>
        <w:t xml:space="preserve">In German law, the principle of legality applies, which means that the public prosecutor's office is obliged to investigate criminal offences. </w:t>
      </w:r>
    </w:p>
    <w:p w14:paraId="4A255AE6" w14:textId="77777777" w:rsidR="00751A04" w:rsidRDefault="00751A04" w:rsidP="00195F22">
      <w:pPr>
        <w:spacing w:after="0" w:line="240" w:lineRule="auto"/>
        <w:rPr>
          <w:iCs/>
          <w:sz w:val="24"/>
          <w:szCs w:val="24"/>
          <w:lang w:val="en-US"/>
        </w:rPr>
      </w:pPr>
    </w:p>
    <w:p w14:paraId="161CF53C" w14:textId="77777777" w:rsidR="00751A04" w:rsidRDefault="000134A9" w:rsidP="00195F22">
      <w:pPr>
        <w:spacing w:after="0" w:line="240" w:lineRule="auto"/>
        <w:rPr>
          <w:iCs/>
          <w:sz w:val="24"/>
          <w:szCs w:val="24"/>
          <w:lang w:val="en-US"/>
        </w:rPr>
      </w:pPr>
      <w:r w:rsidRPr="00B865A1">
        <w:rPr>
          <w:iCs/>
          <w:sz w:val="24"/>
          <w:szCs w:val="24"/>
          <w:lang w:val="en-US"/>
        </w:rPr>
        <w:t>However, there are some exceptions to this principle in the German Code of Criminal Procedure (StPO</w:t>
      </w:r>
      <w:r w:rsidR="00A0177B">
        <w:rPr>
          <w:rStyle w:val="FootnoteReference"/>
          <w:iCs/>
          <w:sz w:val="24"/>
          <w:szCs w:val="24"/>
          <w:lang w:val="en-US"/>
        </w:rPr>
        <w:footnoteReference w:id="1"/>
      </w:r>
      <w:r w:rsidRPr="00B865A1">
        <w:rPr>
          <w:iCs/>
          <w:sz w:val="24"/>
          <w:szCs w:val="24"/>
          <w:lang w:val="en-US"/>
        </w:rPr>
        <w:t xml:space="preserve">) that allow the non-prosecution of a criminal offence under certain conditions. </w:t>
      </w:r>
    </w:p>
    <w:p w14:paraId="357C9AD7" w14:textId="77777777" w:rsidR="00751A04" w:rsidRDefault="00751A04" w:rsidP="00195F22">
      <w:pPr>
        <w:spacing w:after="0" w:line="240" w:lineRule="auto"/>
        <w:rPr>
          <w:iCs/>
          <w:sz w:val="24"/>
          <w:szCs w:val="24"/>
          <w:lang w:val="en-US"/>
        </w:rPr>
      </w:pPr>
    </w:p>
    <w:p w14:paraId="3DAE7728" w14:textId="067FC09C" w:rsidR="00751A04" w:rsidRDefault="00BB7660" w:rsidP="00195F22">
      <w:pPr>
        <w:spacing w:after="0" w:line="24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It is possible to forgo</w:t>
      </w:r>
      <w:r w:rsidR="000134A9" w:rsidRPr="00B865A1">
        <w:rPr>
          <w:iCs/>
          <w:sz w:val="24"/>
          <w:szCs w:val="24"/>
          <w:lang w:val="en-US"/>
        </w:rPr>
        <w:t xml:space="preserve"> further prosecution</w:t>
      </w:r>
      <w:r w:rsidR="0039526E">
        <w:rPr>
          <w:iCs/>
          <w:sz w:val="24"/>
          <w:szCs w:val="24"/>
          <w:lang w:val="en-US"/>
        </w:rPr>
        <w:t>,</w:t>
      </w:r>
      <w:r w:rsidR="000134A9" w:rsidRPr="00B865A1">
        <w:rPr>
          <w:iCs/>
          <w:sz w:val="24"/>
          <w:szCs w:val="24"/>
          <w:lang w:val="en-US"/>
        </w:rPr>
        <w:t xml:space="preserve"> in particular under section 153 StPO (Non-prosecution of petty offences), section 153a StPO (Non-prosecution subject to imposition of conditions and directions) and section 154c StPO (Non-prosecution of victims of coercion or extortion). Within the scope of the exercise of discretion, the concrete circumstances of the respective individual case are</w:t>
      </w:r>
      <w:r w:rsidR="0039526E">
        <w:rPr>
          <w:iCs/>
          <w:sz w:val="24"/>
          <w:szCs w:val="24"/>
          <w:lang w:val="en-US"/>
        </w:rPr>
        <w:t xml:space="preserve"> critical</w:t>
      </w:r>
      <w:r w:rsidR="000134A9" w:rsidRPr="00B865A1">
        <w:rPr>
          <w:iCs/>
          <w:sz w:val="24"/>
          <w:szCs w:val="24"/>
          <w:lang w:val="en-US"/>
        </w:rPr>
        <w:t>.</w:t>
      </w:r>
    </w:p>
    <w:p w14:paraId="3ED1D81A" w14:textId="77777777" w:rsidR="00751A04" w:rsidRDefault="00751A04" w:rsidP="00195F22">
      <w:pPr>
        <w:spacing w:after="0" w:line="240" w:lineRule="auto"/>
        <w:rPr>
          <w:iCs/>
          <w:sz w:val="24"/>
          <w:szCs w:val="24"/>
          <w:lang w:val="en-US"/>
        </w:rPr>
      </w:pPr>
    </w:p>
    <w:p w14:paraId="24E68839" w14:textId="691DFF23" w:rsidR="000134A9" w:rsidRPr="00B865A1" w:rsidRDefault="00751A04" w:rsidP="00195F22">
      <w:pPr>
        <w:spacing w:after="0" w:line="24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lastRenderedPageBreak/>
        <w:t>S</w:t>
      </w:r>
      <w:r w:rsidR="000134A9" w:rsidRPr="00B865A1">
        <w:rPr>
          <w:iCs/>
          <w:sz w:val="24"/>
          <w:szCs w:val="24"/>
          <w:lang w:val="en-US"/>
        </w:rPr>
        <w:t xml:space="preserve">ection 153 and 153a StPO are only applicable to </w:t>
      </w:r>
      <w:r w:rsidR="00195F22" w:rsidRPr="00B865A1">
        <w:rPr>
          <w:iCs/>
          <w:sz w:val="24"/>
          <w:szCs w:val="24"/>
          <w:lang w:val="en-US"/>
        </w:rPr>
        <w:t xml:space="preserve">less </w:t>
      </w:r>
      <w:r w:rsidR="000134A9" w:rsidRPr="00B865A1">
        <w:rPr>
          <w:iCs/>
          <w:sz w:val="24"/>
          <w:szCs w:val="24"/>
          <w:lang w:val="en-US"/>
        </w:rPr>
        <w:t>serious criminal offences</w:t>
      </w:r>
      <w:r w:rsidR="00195F22" w:rsidRPr="00B865A1">
        <w:rPr>
          <w:iCs/>
          <w:sz w:val="24"/>
          <w:szCs w:val="24"/>
          <w:lang w:val="en-US"/>
        </w:rPr>
        <w:t>, i.e. unlawful acts which according to the German Criminal Code are punishable by a less</w:t>
      </w:r>
      <w:r w:rsidR="002477E7">
        <w:rPr>
          <w:iCs/>
          <w:sz w:val="24"/>
          <w:szCs w:val="24"/>
          <w:lang w:val="en-US"/>
        </w:rPr>
        <w:t>er</w:t>
      </w:r>
      <w:r w:rsidR="00195F22" w:rsidRPr="00B865A1">
        <w:rPr>
          <w:iCs/>
          <w:sz w:val="24"/>
          <w:szCs w:val="24"/>
          <w:lang w:val="en-US"/>
        </w:rPr>
        <w:t xml:space="preserve"> minimum term of imprisonment or by a fine (section 12</w:t>
      </w:r>
      <w:r w:rsidR="000466B5" w:rsidRPr="00B865A1">
        <w:rPr>
          <w:iCs/>
          <w:sz w:val="24"/>
          <w:szCs w:val="24"/>
          <w:lang w:val="en-US"/>
        </w:rPr>
        <w:t xml:space="preserve"> paragraph</w:t>
      </w:r>
      <w:r w:rsidR="00C9442D">
        <w:rPr>
          <w:iCs/>
          <w:sz w:val="24"/>
          <w:szCs w:val="24"/>
          <w:lang w:val="en-US"/>
        </w:rPr>
        <w:t>s 1 and</w:t>
      </w:r>
      <w:r w:rsidR="000466B5" w:rsidRPr="00B865A1">
        <w:rPr>
          <w:iCs/>
          <w:sz w:val="24"/>
          <w:szCs w:val="24"/>
          <w:lang w:val="en-US"/>
        </w:rPr>
        <w:t xml:space="preserve"> 2 German Criminal Code – StGB</w:t>
      </w:r>
      <w:r w:rsidR="00A0177B">
        <w:rPr>
          <w:rStyle w:val="FootnoteReference"/>
          <w:iCs/>
          <w:sz w:val="24"/>
          <w:szCs w:val="24"/>
          <w:lang w:val="en-US"/>
        </w:rPr>
        <w:footnoteReference w:id="2"/>
      </w:r>
      <w:r w:rsidR="000466B5" w:rsidRPr="00B865A1">
        <w:rPr>
          <w:iCs/>
          <w:sz w:val="24"/>
          <w:szCs w:val="24"/>
          <w:lang w:val="en-US"/>
        </w:rPr>
        <w:t>)</w:t>
      </w:r>
      <w:r w:rsidR="00441FE8" w:rsidRPr="00B865A1">
        <w:rPr>
          <w:iCs/>
          <w:sz w:val="24"/>
          <w:szCs w:val="24"/>
          <w:lang w:val="en-US"/>
        </w:rPr>
        <w:t>, such as theft (section 242 of the German Criminal Code), forgery of documents (section 267 StGB) or offences under the penal provisions of section 95 of the Residence Act</w:t>
      </w:r>
      <w:r w:rsidR="000134A9" w:rsidRPr="00B865A1">
        <w:rPr>
          <w:iCs/>
          <w:sz w:val="24"/>
          <w:szCs w:val="24"/>
          <w:lang w:val="en-US"/>
        </w:rPr>
        <w:t>.</w:t>
      </w:r>
    </w:p>
    <w:p w14:paraId="3B04A9C8" w14:textId="77777777" w:rsidR="000134A9" w:rsidRPr="00B865A1" w:rsidRDefault="000134A9" w:rsidP="000134A9">
      <w:pPr>
        <w:spacing w:after="0" w:line="240" w:lineRule="auto"/>
        <w:rPr>
          <w:iCs/>
          <w:sz w:val="24"/>
          <w:szCs w:val="24"/>
          <w:lang w:val="en-US"/>
        </w:rPr>
      </w:pPr>
    </w:p>
    <w:p w14:paraId="3CF2248A" w14:textId="0430DDD8" w:rsidR="000134A9" w:rsidRPr="00B865A1" w:rsidRDefault="000134A9" w:rsidP="000466B5">
      <w:pPr>
        <w:spacing w:after="0" w:line="240" w:lineRule="auto"/>
        <w:rPr>
          <w:iCs/>
          <w:sz w:val="24"/>
          <w:szCs w:val="24"/>
          <w:lang w:val="en-US"/>
        </w:rPr>
      </w:pPr>
      <w:r w:rsidRPr="00B865A1">
        <w:rPr>
          <w:iCs/>
          <w:sz w:val="24"/>
          <w:szCs w:val="24"/>
          <w:lang w:val="en-US"/>
        </w:rPr>
        <w:t>The victim's predicament is taken into account</w:t>
      </w:r>
      <w:r w:rsidR="00CA7492">
        <w:rPr>
          <w:iCs/>
          <w:sz w:val="24"/>
          <w:szCs w:val="24"/>
          <w:lang w:val="en-US"/>
        </w:rPr>
        <w:t>,</w:t>
      </w:r>
      <w:r w:rsidRPr="00B865A1">
        <w:rPr>
          <w:iCs/>
          <w:sz w:val="24"/>
          <w:szCs w:val="24"/>
          <w:lang w:val="en-US"/>
        </w:rPr>
        <w:t xml:space="preserve"> in particular in the case of section 154c StPO</w:t>
      </w:r>
      <w:r w:rsidR="000466B5" w:rsidRPr="00B865A1">
        <w:rPr>
          <w:iCs/>
          <w:sz w:val="24"/>
          <w:szCs w:val="24"/>
          <w:lang w:val="en-US"/>
        </w:rPr>
        <w:t xml:space="preserve"> (Non-prosecution of victims of coercion or extortion)</w:t>
      </w:r>
      <w:r w:rsidRPr="00B865A1">
        <w:rPr>
          <w:iCs/>
          <w:sz w:val="24"/>
          <w:szCs w:val="24"/>
          <w:lang w:val="en-US"/>
        </w:rPr>
        <w:t xml:space="preserve">. In the area of trafficking in human beings, section 154c paragraph 2 </w:t>
      </w:r>
      <w:r w:rsidR="000466B5" w:rsidRPr="00B865A1">
        <w:rPr>
          <w:iCs/>
          <w:sz w:val="24"/>
          <w:szCs w:val="24"/>
          <w:lang w:val="en-US"/>
        </w:rPr>
        <w:t>StPO</w:t>
      </w:r>
      <w:r w:rsidRPr="00B865A1">
        <w:rPr>
          <w:iCs/>
          <w:sz w:val="24"/>
          <w:szCs w:val="24"/>
          <w:lang w:val="en-US"/>
        </w:rPr>
        <w:t xml:space="preserve"> is of particular importance: </w:t>
      </w:r>
      <w:r w:rsidR="00D41765">
        <w:rPr>
          <w:iCs/>
          <w:sz w:val="24"/>
          <w:szCs w:val="24"/>
          <w:lang w:val="en-US"/>
        </w:rPr>
        <w:t>i</w:t>
      </w:r>
      <w:r w:rsidRPr="00B865A1">
        <w:rPr>
          <w:iCs/>
          <w:sz w:val="24"/>
          <w:szCs w:val="24"/>
          <w:lang w:val="en-US"/>
        </w:rPr>
        <w:t xml:space="preserve">f a victim of trafficking reports this offence and if, as a result, an offence committed by the victim becomes known, the public prosecutor's office may refrain from prosecuting the offence unless </w:t>
      </w:r>
      <w:r w:rsidR="001F2190">
        <w:rPr>
          <w:iCs/>
          <w:sz w:val="24"/>
          <w:szCs w:val="24"/>
          <w:lang w:val="en-US"/>
        </w:rPr>
        <w:t xml:space="preserve">it </w:t>
      </w:r>
      <w:r w:rsidRPr="00B865A1">
        <w:rPr>
          <w:iCs/>
          <w:sz w:val="24"/>
          <w:szCs w:val="24"/>
          <w:lang w:val="en-US"/>
        </w:rPr>
        <w:t xml:space="preserve">is </w:t>
      </w:r>
      <w:r w:rsidR="0039526E">
        <w:rPr>
          <w:iCs/>
          <w:sz w:val="24"/>
          <w:szCs w:val="24"/>
          <w:lang w:val="en-US"/>
        </w:rPr>
        <w:t xml:space="preserve">imperative </w:t>
      </w:r>
      <w:r w:rsidRPr="00B865A1">
        <w:rPr>
          <w:iCs/>
          <w:sz w:val="24"/>
          <w:szCs w:val="24"/>
          <w:lang w:val="en-US"/>
        </w:rPr>
        <w:t>due to the gravity of the offence. The consent of the court is not required for this.</w:t>
      </w:r>
    </w:p>
    <w:p w14:paraId="30709587" w14:textId="77777777" w:rsidR="000134A9" w:rsidRPr="00B865A1" w:rsidRDefault="000134A9" w:rsidP="000134A9">
      <w:pPr>
        <w:spacing w:after="0" w:line="240" w:lineRule="auto"/>
        <w:rPr>
          <w:iCs/>
          <w:sz w:val="24"/>
          <w:szCs w:val="24"/>
          <w:lang w:val="en-US"/>
        </w:rPr>
      </w:pPr>
    </w:p>
    <w:p w14:paraId="3D020C28" w14:textId="0A51FE19" w:rsidR="000134A9" w:rsidRPr="00B865A1" w:rsidRDefault="000134A9" w:rsidP="000134A9">
      <w:pPr>
        <w:spacing w:after="0" w:line="240" w:lineRule="auto"/>
        <w:rPr>
          <w:sz w:val="24"/>
          <w:szCs w:val="24"/>
          <w:lang w:val="en-US"/>
        </w:rPr>
      </w:pPr>
      <w:r w:rsidRPr="00B865A1">
        <w:rPr>
          <w:iCs/>
          <w:sz w:val="24"/>
          <w:szCs w:val="24"/>
          <w:lang w:val="en-US"/>
        </w:rPr>
        <w:t xml:space="preserve">Furthermore, it must be pointed out that a person who commits a crime under the </w:t>
      </w:r>
      <w:r w:rsidR="0066068F">
        <w:rPr>
          <w:iCs/>
          <w:sz w:val="24"/>
          <w:szCs w:val="24"/>
          <w:lang w:val="en-US"/>
        </w:rPr>
        <w:t xml:space="preserve">circumstances </w:t>
      </w:r>
      <w:r w:rsidR="0039526E">
        <w:rPr>
          <w:iCs/>
          <w:sz w:val="24"/>
          <w:szCs w:val="24"/>
          <w:lang w:val="en-US"/>
        </w:rPr>
        <w:t xml:space="preserve">set out in </w:t>
      </w:r>
      <w:r w:rsidRPr="00B865A1">
        <w:rPr>
          <w:iCs/>
          <w:sz w:val="24"/>
          <w:szCs w:val="24"/>
          <w:lang w:val="en-US"/>
        </w:rPr>
        <w:t xml:space="preserve">section 35 paragraph </w:t>
      </w:r>
      <w:r w:rsidR="00C9442D">
        <w:rPr>
          <w:iCs/>
          <w:sz w:val="24"/>
          <w:szCs w:val="24"/>
          <w:lang w:val="en-US"/>
        </w:rPr>
        <w:t xml:space="preserve">1 </w:t>
      </w:r>
      <w:r w:rsidR="00654FA5" w:rsidRPr="00B865A1">
        <w:rPr>
          <w:iCs/>
          <w:sz w:val="24"/>
          <w:szCs w:val="24"/>
          <w:lang w:val="en-US"/>
        </w:rPr>
        <w:t>StGB</w:t>
      </w:r>
      <w:r w:rsidR="000A7A5D">
        <w:rPr>
          <w:iCs/>
          <w:sz w:val="24"/>
          <w:szCs w:val="24"/>
          <w:lang w:val="en-US"/>
        </w:rPr>
        <w:t xml:space="preserve"> </w:t>
      </w:r>
      <w:r w:rsidR="000A7A5D" w:rsidRPr="000A7A5D">
        <w:rPr>
          <w:iCs/>
          <w:sz w:val="24"/>
          <w:szCs w:val="24"/>
          <w:lang w:val="en-US"/>
        </w:rPr>
        <w:t>acts without guilt</w:t>
      </w:r>
      <w:r w:rsidR="000A7A5D">
        <w:rPr>
          <w:iCs/>
          <w:sz w:val="24"/>
          <w:szCs w:val="24"/>
          <w:lang w:val="en-US"/>
        </w:rPr>
        <w:t xml:space="preserve"> and therefore cannot be punished</w:t>
      </w:r>
      <w:r w:rsidRPr="00B865A1">
        <w:rPr>
          <w:iCs/>
          <w:sz w:val="24"/>
          <w:szCs w:val="24"/>
          <w:lang w:val="en-US"/>
        </w:rPr>
        <w:t xml:space="preserve">. This is the case if the person commits the punishable act in order to avert </w:t>
      </w:r>
      <w:r w:rsidR="0066068F">
        <w:rPr>
          <w:iCs/>
          <w:sz w:val="24"/>
          <w:szCs w:val="24"/>
          <w:lang w:val="en-US"/>
        </w:rPr>
        <w:t xml:space="preserve">from himself or herself or a relative or another person close to him or her </w:t>
      </w:r>
      <w:r w:rsidRPr="00B865A1">
        <w:rPr>
          <w:iCs/>
          <w:sz w:val="24"/>
          <w:szCs w:val="24"/>
          <w:lang w:val="en-US"/>
        </w:rPr>
        <w:t>a present danger to life, limb or liberty which cannot otherwise be averted.</w:t>
      </w:r>
    </w:p>
    <w:p w14:paraId="1A80B1ED" w14:textId="5636A23E" w:rsidR="000134A9" w:rsidRPr="00B865A1" w:rsidRDefault="000134A9" w:rsidP="001A0F33">
      <w:pPr>
        <w:spacing w:after="0" w:line="240" w:lineRule="auto"/>
        <w:rPr>
          <w:sz w:val="24"/>
          <w:szCs w:val="24"/>
          <w:lang w:val="en-US"/>
        </w:rPr>
      </w:pPr>
    </w:p>
    <w:sectPr w:rsidR="000134A9" w:rsidRPr="00B865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93BF" w14:textId="77777777" w:rsidR="0059168D" w:rsidRDefault="0059168D" w:rsidP="00585AD8">
      <w:pPr>
        <w:spacing w:after="0" w:line="240" w:lineRule="auto"/>
      </w:pPr>
      <w:r>
        <w:separator/>
      </w:r>
    </w:p>
  </w:endnote>
  <w:endnote w:type="continuationSeparator" w:id="0">
    <w:p w14:paraId="1397CE0E" w14:textId="77777777" w:rsidR="0059168D" w:rsidRDefault="0059168D" w:rsidP="0058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3DD8" w14:textId="77777777" w:rsidR="0059168D" w:rsidRDefault="0059168D" w:rsidP="00585AD8">
      <w:pPr>
        <w:spacing w:after="0" w:line="240" w:lineRule="auto"/>
      </w:pPr>
      <w:r>
        <w:separator/>
      </w:r>
    </w:p>
  </w:footnote>
  <w:footnote w:type="continuationSeparator" w:id="0">
    <w:p w14:paraId="588B566D" w14:textId="77777777" w:rsidR="0059168D" w:rsidRDefault="0059168D" w:rsidP="00585AD8">
      <w:pPr>
        <w:spacing w:after="0" w:line="240" w:lineRule="auto"/>
      </w:pPr>
      <w:r>
        <w:continuationSeparator/>
      </w:r>
    </w:p>
  </w:footnote>
  <w:footnote w:id="1">
    <w:p w14:paraId="3DDA29AC" w14:textId="6A876CCD" w:rsidR="00A0177B" w:rsidRDefault="00A0177B" w:rsidP="00A01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177B">
        <w:t>https://www.gesetze-im-internet.de/englisch_stpo/</w:t>
      </w:r>
    </w:p>
  </w:footnote>
  <w:footnote w:id="2">
    <w:p w14:paraId="238D5C10" w14:textId="2E04002C" w:rsidR="00A0177B" w:rsidRDefault="00A01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177B">
        <w:t>https://www.gesetze-im-internet.de/englisch_stgb/englisch_stgb.html#p0116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A90"/>
    <w:multiLevelType w:val="hybridMultilevel"/>
    <w:tmpl w:val="FF66B9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31AB6"/>
    <w:multiLevelType w:val="hybridMultilevel"/>
    <w:tmpl w:val="C4CA0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5645"/>
    <w:multiLevelType w:val="hybridMultilevel"/>
    <w:tmpl w:val="A412F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46DD"/>
    <w:multiLevelType w:val="hybridMultilevel"/>
    <w:tmpl w:val="8BDE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B0D11"/>
    <w:multiLevelType w:val="hybridMultilevel"/>
    <w:tmpl w:val="F2D09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5"/>
    <w:rsid w:val="0000701C"/>
    <w:rsid w:val="000134A9"/>
    <w:rsid w:val="0002408F"/>
    <w:rsid w:val="0003525F"/>
    <w:rsid w:val="00044D1C"/>
    <w:rsid w:val="000466B5"/>
    <w:rsid w:val="000A7A5D"/>
    <w:rsid w:val="000A7F00"/>
    <w:rsid w:val="00120505"/>
    <w:rsid w:val="00190E7F"/>
    <w:rsid w:val="00195F22"/>
    <w:rsid w:val="001A0F33"/>
    <w:rsid w:val="001C0C32"/>
    <w:rsid w:val="001F2190"/>
    <w:rsid w:val="0020077F"/>
    <w:rsid w:val="0020090E"/>
    <w:rsid w:val="002477E7"/>
    <w:rsid w:val="0026463C"/>
    <w:rsid w:val="00307281"/>
    <w:rsid w:val="00375339"/>
    <w:rsid w:val="0039526E"/>
    <w:rsid w:val="003D5015"/>
    <w:rsid w:val="00422ECB"/>
    <w:rsid w:val="00441FE8"/>
    <w:rsid w:val="00482421"/>
    <w:rsid w:val="00585AD8"/>
    <w:rsid w:val="0059168D"/>
    <w:rsid w:val="006545AB"/>
    <w:rsid w:val="00654FA5"/>
    <w:rsid w:val="0066068F"/>
    <w:rsid w:val="006F3C6E"/>
    <w:rsid w:val="00751A04"/>
    <w:rsid w:val="00753402"/>
    <w:rsid w:val="00756C60"/>
    <w:rsid w:val="007C35D1"/>
    <w:rsid w:val="007E74D4"/>
    <w:rsid w:val="0086110A"/>
    <w:rsid w:val="008C2D34"/>
    <w:rsid w:val="008D340F"/>
    <w:rsid w:val="00902F27"/>
    <w:rsid w:val="00911679"/>
    <w:rsid w:val="00931504"/>
    <w:rsid w:val="00970CF5"/>
    <w:rsid w:val="0097397A"/>
    <w:rsid w:val="009D5AAA"/>
    <w:rsid w:val="00A0177B"/>
    <w:rsid w:val="00AC607F"/>
    <w:rsid w:val="00B230FD"/>
    <w:rsid w:val="00B865A1"/>
    <w:rsid w:val="00BB7660"/>
    <w:rsid w:val="00BD3050"/>
    <w:rsid w:val="00C3174A"/>
    <w:rsid w:val="00C32EF5"/>
    <w:rsid w:val="00C378EF"/>
    <w:rsid w:val="00C9442D"/>
    <w:rsid w:val="00CA7492"/>
    <w:rsid w:val="00CC4B84"/>
    <w:rsid w:val="00CF07DC"/>
    <w:rsid w:val="00CF3DFC"/>
    <w:rsid w:val="00D4131B"/>
    <w:rsid w:val="00D41765"/>
    <w:rsid w:val="00D76C02"/>
    <w:rsid w:val="00DD4083"/>
    <w:rsid w:val="00DF3E24"/>
    <w:rsid w:val="00E51295"/>
    <w:rsid w:val="00E53CBA"/>
    <w:rsid w:val="00E560A3"/>
    <w:rsid w:val="00E67FB0"/>
    <w:rsid w:val="00EA1D8B"/>
    <w:rsid w:val="00EB5624"/>
    <w:rsid w:val="00F60159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ABD0"/>
  <w15:docId w15:val="{99382E8B-33D6-423F-A5F8-DF10115F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B8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4B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B84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07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D8"/>
  </w:style>
  <w:style w:type="paragraph" w:styleId="Footer">
    <w:name w:val="footer"/>
    <w:basedOn w:val="Normal"/>
    <w:link w:val="FooterChar"/>
    <w:uiPriority w:val="99"/>
    <w:unhideWhenUsed/>
    <w:rsid w:val="0058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D8"/>
  </w:style>
  <w:style w:type="paragraph" w:styleId="FootnoteText">
    <w:name w:val="footnote text"/>
    <w:basedOn w:val="Normal"/>
    <w:link w:val="FootnoteTextChar"/>
    <w:uiPriority w:val="99"/>
    <w:semiHidden/>
    <w:unhideWhenUsed/>
    <w:rsid w:val="00A01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C00F3-58B9-4F7C-9AA1-5FC780FD3EA1}"/>
</file>

<file path=customXml/itemProps2.xml><?xml version="1.0" encoding="utf-8"?>
<ds:datastoreItem xmlns:ds="http://schemas.openxmlformats.org/officeDocument/2006/customXml" ds:itemID="{C53CBB5C-258F-42B3-8175-A4D1835E8780}"/>
</file>

<file path=customXml/itemProps3.xml><?xml version="1.0" encoding="utf-8"?>
<ds:datastoreItem xmlns:ds="http://schemas.openxmlformats.org/officeDocument/2006/customXml" ds:itemID="{3377C807-04E4-4DFF-B1EA-27117C9D7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 El Aziz, Dinah (AA privat)</dc:creator>
  <cp:lastModifiedBy>ASENSIO PEREZ Vanessa</cp:lastModifiedBy>
  <cp:revision>2</cp:revision>
  <dcterms:created xsi:type="dcterms:W3CDTF">2021-02-11T11:17:00Z</dcterms:created>
  <dcterms:modified xsi:type="dcterms:W3CDTF">2021-02-11T11:17:00Z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