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5C" w:rsidRPr="0046063E" w:rsidRDefault="00DA0028" w:rsidP="00DA0028">
      <w:pPr>
        <w:tabs>
          <w:tab w:val="left" w:pos="1125"/>
        </w:tabs>
        <w:rPr>
          <w:sz w:val="64"/>
          <w:szCs w:val="64"/>
          <w:lang w:val="en-GB"/>
        </w:rPr>
      </w:pPr>
      <w:r w:rsidRPr="0046063E">
        <w:rPr>
          <w:noProof/>
          <w:sz w:val="64"/>
          <w:szCs w:val="64"/>
          <w:lang w:val="en-GB" w:eastAsia="en-GB"/>
        </w:rPr>
        <w:drawing>
          <wp:anchor distT="0" distB="0" distL="114300" distR="114300" simplePos="0" relativeHeight="251679744" behindDoc="1" locked="0" layoutInCell="1" allowOverlap="1" wp14:anchorId="28FFAF0C" wp14:editId="73EB2783">
            <wp:simplePos x="0" y="0"/>
            <wp:positionH relativeFrom="column">
              <wp:posOffset>5136</wp:posOffset>
            </wp:positionH>
            <wp:positionV relativeFrom="paragraph">
              <wp:posOffset>-220894</wp:posOffset>
            </wp:positionV>
            <wp:extent cx="6698751" cy="2198669"/>
            <wp:effectExtent l="0" t="0" r="6985" b="0"/>
            <wp:wrapNone/>
            <wp:docPr id="6" name="Picture 6" descr=" Cities night sce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ForAlpine-img" descr=" Cities night scen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9149" cy="2202082"/>
                    </a:xfrm>
                    <a:prstGeom prst="rect">
                      <a:avLst/>
                    </a:prstGeom>
                    <a:noFill/>
                    <a:ln>
                      <a:noFill/>
                    </a:ln>
                  </pic:spPr>
                </pic:pic>
              </a:graphicData>
            </a:graphic>
            <wp14:sizeRelH relativeFrom="page">
              <wp14:pctWidth>0</wp14:pctWidth>
            </wp14:sizeRelH>
            <wp14:sizeRelV relativeFrom="page">
              <wp14:pctHeight>0</wp14:pctHeight>
            </wp14:sizeRelV>
          </wp:anchor>
        </w:drawing>
      </w:r>
      <w:r w:rsidR="00EE127F">
        <w:rPr>
          <w:rFonts w:ascii="Century Gothic" w:eastAsia="MS Mincho" w:hAnsi="Century Gothic"/>
          <w:b/>
          <w:smallCaps/>
          <w:sz w:val="64"/>
          <w:szCs w:val="64"/>
          <w:vertAlign w:val="subscript"/>
          <w:lang w:val="en-GB"/>
          <w14:shadow w14:blurRad="63500" w14:dist="25400" w14:dir="3060000" w14:sx="100000" w14:sy="100000" w14:kx="0" w14:ky="0" w14:algn="tl">
            <w14:srgbClr w14:val="000000">
              <w14:alpha w14:val="32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46063E">
        <w:rPr>
          <w:rFonts w:ascii="Century Gothic" w:eastAsia="MS Mincho" w:hAnsi="Century Gothic"/>
          <w:b/>
          <w:smallCaps/>
          <w:sz w:val="64"/>
          <w:szCs w:val="64"/>
          <w:vertAlign w:val="subscript"/>
          <w:lang w:val="en-GB"/>
          <w14:shadow w14:blurRad="63500" w14:dist="25400" w14:dir="3060000" w14:sx="100000" w14:sy="100000" w14:kx="0" w14:ky="0" w14:algn="tl">
            <w14:srgbClr w14:val="000000">
              <w14:alpha w14:val="32000"/>
            </w14:srgbClr>
          </w14:shadow>
          <w14:textOutline w14:w="9207" w14:cap="flat" w14:cmpd="sng" w14:algn="ctr">
            <w14:solidFill>
              <w14:srgbClr w14:val="FFFFFF"/>
            </w14:solidFill>
            <w14:prstDash w14:val="solid"/>
            <w14:round/>
          </w14:textOutline>
          <w14:textFill>
            <w14:solidFill>
              <w14:srgbClr w14:val="FFFFFF"/>
            </w14:solidFill>
          </w14:textFill>
        </w:rPr>
        <w:t>Municipal Finance and Human Rights</w:t>
      </w:r>
    </w:p>
    <w:p w:rsidR="00B445E7" w:rsidRDefault="00B445E7" w:rsidP="006D245A">
      <w:pPr>
        <w:jc w:val="both"/>
        <w:rPr>
          <w:rFonts w:ascii="Tahoma" w:eastAsia="MS Mincho" w:hAnsi="Tahoma" w:cs="Tahoma"/>
          <w:b/>
          <w:bCs/>
          <w:color w:val="548DD4"/>
          <w:sz w:val="24"/>
          <w:szCs w:val="24"/>
        </w:rPr>
      </w:pPr>
    </w:p>
    <w:p w:rsidR="002F581A" w:rsidRDefault="002F581A" w:rsidP="006D245A">
      <w:pPr>
        <w:jc w:val="both"/>
        <w:rPr>
          <w:rFonts w:ascii="Tahoma" w:eastAsia="MS Mincho" w:hAnsi="Tahoma" w:cs="Tahoma"/>
          <w:b/>
          <w:bCs/>
          <w:color w:val="548DD4"/>
          <w:sz w:val="24"/>
          <w:szCs w:val="24"/>
        </w:rPr>
      </w:pPr>
    </w:p>
    <w:p w:rsidR="002F581A" w:rsidRPr="002F581A" w:rsidRDefault="00564E59" w:rsidP="002F581A">
      <w:pPr>
        <w:spacing w:after="0"/>
        <w:jc w:val="center"/>
        <w:rPr>
          <w:rFonts w:ascii="Tahoma" w:hAnsi="Tahoma" w:cs="Tahoma"/>
          <w:iCs/>
          <w:sz w:val="21"/>
          <w:szCs w:val="21"/>
        </w:rPr>
      </w:pPr>
      <w:r w:rsidRPr="0046063E">
        <w:rPr>
          <w:smallCaps/>
          <w:noProof/>
          <w:color w:val="FFFFFF"/>
          <w:sz w:val="64"/>
          <w:szCs w:val="64"/>
          <w:vertAlign w:val="subscript"/>
          <w:lang w:val="en-GB" w:eastAsia="en-GB"/>
        </w:rPr>
        <mc:AlternateContent>
          <mc:Choice Requires="wps">
            <w:drawing>
              <wp:anchor distT="0" distB="0" distL="114300" distR="114300" simplePos="0" relativeHeight="251681792" behindDoc="0" locked="0" layoutInCell="1" allowOverlap="1" wp14:anchorId="1F57C9B9" wp14:editId="05E27EE0">
                <wp:simplePos x="0" y="0"/>
                <wp:positionH relativeFrom="column">
                  <wp:posOffset>4747895</wp:posOffset>
                </wp:positionH>
                <wp:positionV relativeFrom="paragraph">
                  <wp:posOffset>161290</wp:posOffset>
                </wp:positionV>
                <wp:extent cx="1959610" cy="35433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5961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028" w:rsidRPr="001C6053" w:rsidRDefault="00DA0028" w:rsidP="00DA0028">
                            <w:pPr>
                              <w:rPr>
                                <w:b/>
                                <w:color w:val="F2F2F2" w:themeColor="background1" w:themeShade="F2"/>
                                <w:sz w:val="16"/>
                                <w:szCs w:val="16"/>
                                <w:lang w:val="fr-CH"/>
                              </w:rPr>
                            </w:pPr>
                            <w:proofErr w:type="spellStart"/>
                            <w:r w:rsidRPr="001C6053">
                              <w:rPr>
                                <w:b/>
                                <w:color w:val="F2F2F2" w:themeColor="background1" w:themeShade="F2"/>
                                <w:sz w:val="16"/>
                                <w:szCs w:val="16"/>
                                <w:lang w:val="fr-CH"/>
                              </w:rPr>
                              <w:t>Cities</w:t>
                            </w:r>
                            <w:proofErr w:type="spellEnd"/>
                            <w:r w:rsidRPr="001C6053">
                              <w:rPr>
                                <w:b/>
                                <w:color w:val="F2F2F2" w:themeColor="background1" w:themeShade="F2"/>
                                <w:sz w:val="16"/>
                                <w:szCs w:val="16"/>
                                <w:lang w:val="fr-CH"/>
                              </w:rPr>
                              <w:t xml:space="preserve"> Night </w:t>
                            </w:r>
                            <w:proofErr w:type="spellStart"/>
                            <w:r w:rsidRPr="001C6053">
                              <w:rPr>
                                <w:b/>
                                <w:color w:val="F2F2F2" w:themeColor="background1" w:themeShade="F2"/>
                                <w:sz w:val="16"/>
                                <w:szCs w:val="16"/>
                                <w:lang w:val="fr-CH"/>
                              </w:rPr>
                              <w:t>Scene</w:t>
                            </w:r>
                            <w:proofErr w:type="spellEnd"/>
                            <w:r w:rsidRPr="001C6053">
                              <w:rPr>
                                <w:b/>
                                <w:color w:val="F2F2F2" w:themeColor="background1" w:themeShade="F2"/>
                                <w:sz w:val="16"/>
                                <w:szCs w:val="16"/>
                                <w:lang w:val="fr-CH"/>
                              </w:rPr>
                              <w:t xml:space="preserve"> © UN-Habitat</w:t>
                            </w:r>
                          </w:p>
                          <w:p w:rsidR="00DA0028" w:rsidRPr="00982F0D" w:rsidRDefault="00DA0028" w:rsidP="00DA0028">
                            <w:pPr>
                              <w:rPr>
                                <w:b/>
                                <w:color w:val="404040" w:themeColor="text1" w:themeTint="BF"/>
                                <w:sz w:val="16"/>
                                <w:szCs w:val="16"/>
                                <w:lang w:val="fr-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3.85pt;margin-top:12.7pt;width:154.3pt;height:27.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" filled="f" stroked="f">
                <v:textbox>
                  <w:txbxContent>
                    <w:p w:rsidR="00DA0028" w:rsidRPr="001C6053" w:rsidRDefault="00DA0028" w:rsidP="00DA0028">
                      <w:pPr>
                        <w:rPr>
                          <w:b/>
                          <w:color w:val="F2F2F2" w:themeColor="background1" w:themeShade="F2"/>
                          <w:sz w:val="16"/>
                          <w:szCs w:val="16"/>
                          <w:lang w:val="fr-CH"/>
                        </w:rPr>
                      </w:pPr>
                      <w:proofErr w:type="spellStart"/>
                      <w:r w:rsidRPr="001C6053">
                        <w:rPr>
                          <w:b/>
                          <w:color w:val="F2F2F2" w:themeColor="background1" w:themeShade="F2"/>
                          <w:sz w:val="16"/>
                          <w:szCs w:val="16"/>
                          <w:lang w:val="fr-CH"/>
                        </w:rPr>
                        <w:t>Cities</w:t>
                      </w:r>
                      <w:proofErr w:type="spellEnd"/>
                      <w:r w:rsidRPr="001C6053">
                        <w:rPr>
                          <w:b/>
                          <w:color w:val="F2F2F2" w:themeColor="background1" w:themeShade="F2"/>
                          <w:sz w:val="16"/>
                          <w:szCs w:val="16"/>
                          <w:lang w:val="fr-CH"/>
                        </w:rPr>
                        <w:t xml:space="preserve"> Night </w:t>
                      </w:r>
                      <w:proofErr w:type="spellStart"/>
                      <w:r w:rsidRPr="001C6053">
                        <w:rPr>
                          <w:b/>
                          <w:color w:val="F2F2F2" w:themeColor="background1" w:themeShade="F2"/>
                          <w:sz w:val="16"/>
                          <w:szCs w:val="16"/>
                          <w:lang w:val="fr-CH"/>
                        </w:rPr>
                        <w:t>Scene</w:t>
                      </w:r>
                      <w:proofErr w:type="spellEnd"/>
                      <w:r w:rsidRPr="001C6053">
                        <w:rPr>
                          <w:b/>
                          <w:color w:val="F2F2F2" w:themeColor="background1" w:themeShade="F2"/>
                          <w:sz w:val="16"/>
                          <w:szCs w:val="16"/>
                          <w:lang w:val="fr-CH"/>
                        </w:rPr>
                        <w:t xml:space="preserve"> © UN-Habitat</w:t>
                      </w:r>
                    </w:p>
                    <w:p w:rsidR="00DA0028" w:rsidRPr="00982F0D" w:rsidRDefault="00DA0028" w:rsidP="00DA0028">
                      <w:pPr>
                        <w:rPr>
                          <w:b/>
                          <w:color w:val="404040" w:themeColor="text1" w:themeTint="BF"/>
                          <w:sz w:val="16"/>
                          <w:szCs w:val="16"/>
                          <w:lang w:val="fr-CH"/>
                        </w:rPr>
                      </w:pPr>
                    </w:p>
                  </w:txbxContent>
                </v:textbox>
              </v:shape>
            </w:pict>
          </mc:Fallback>
        </mc:AlternateContent>
      </w:r>
      <w:r w:rsidR="002F581A" w:rsidRPr="002F581A">
        <w:rPr>
          <w:rFonts w:ascii="Tahoma" w:hAnsi="Tahoma" w:cs="Tahoma"/>
          <w:b/>
          <w:iCs/>
        </w:rPr>
        <w:t xml:space="preserve">A </w:t>
      </w:r>
    </w:p>
    <w:p w:rsidR="00DA0C3C" w:rsidRDefault="00DA0C3C" w:rsidP="00E34D2F">
      <w:pPr>
        <w:pStyle w:val="Default"/>
        <w:rPr>
          <w:rFonts w:ascii="Tahoma" w:eastAsia="MS Mincho" w:hAnsi="Tahoma" w:cs="Tahoma"/>
          <w:b/>
          <w:bCs/>
          <w:color w:val="548DD4"/>
        </w:rPr>
      </w:pPr>
    </w:p>
    <w:p w:rsidR="00564E59" w:rsidRDefault="00564E59" w:rsidP="00775CEE">
      <w:pPr>
        <w:pStyle w:val="Default"/>
        <w:rPr>
          <w:rFonts w:ascii="Tahoma" w:eastAsia="MS Mincho" w:hAnsi="Tahoma" w:cs="Tahoma"/>
          <w:b/>
          <w:bCs/>
          <w:color w:val="548DD4"/>
        </w:rPr>
      </w:pPr>
    </w:p>
    <w:p w:rsidR="00564E59" w:rsidRDefault="00564E59" w:rsidP="00775CEE">
      <w:pPr>
        <w:pStyle w:val="Default"/>
        <w:rPr>
          <w:rFonts w:ascii="Tahoma" w:eastAsia="MS Mincho" w:hAnsi="Tahoma" w:cs="Tahoma"/>
          <w:b/>
          <w:bCs/>
          <w:color w:val="548DD4"/>
        </w:rPr>
      </w:pPr>
    </w:p>
    <w:p w:rsidR="002F581A" w:rsidRPr="00DC0954" w:rsidRDefault="00775CEE" w:rsidP="00775CEE">
      <w:pPr>
        <w:pStyle w:val="Default"/>
        <w:rPr>
          <w:rFonts w:ascii="Tahoma" w:eastAsia="MS Mincho" w:hAnsi="Tahoma" w:cs="Tahoma"/>
          <w:b/>
          <w:bCs/>
          <w:color w:val="548DD4"/>
        </w:rPr>
      </w:pPr>
      <w:r>
        <w:rPr>
          <w:rFonts w:ascii="Tahoma" w:eastAsia="MS Mincho" w:hAnsi="Tahoma" w:cs="Tahoma"/>
          <w:b/>
          <w:bCs/>
          <w:color w:val="548DD4"/>
        </w:rPr>
        <w:t>National and local authorities</w:t>
      </w:r>
      <w:r w:rsidR="009F6CA9" w:rsidRPr="00DC0954">
        <w:rPr>
          <w:rFonts w:ascii="Tahoma" w:eastAsia="MS Mincho" w:hAnsi="Tahoma" w:cs="Tahoma"/>
          <w:b/>
          <w:bCs/>
          <w:color w:val="548DD4"/>
        </w:rPr>
        <w:t xml:space="preserve"> are responsible for </w:t>
      </w:r>
      <w:r w:rsidR="0016486F">
        <w:rPr>
          <w:rFonts w:ascii="Tahoma" w:eastAsia="MS Mincho" w:hAnsi="Tahoma" w:cs="Tahoma"/>
          <w:b/>
          <w:bCs/>
          <w:color w:val="548DD4"/>
        </w:rPr>
        <w:t xml:space="preserve">allocating the maximum available resources for </w:t>
      </w:r>
      <w:r w:rsidR="009F6CA9" w:rsidRPr="00DC0954">
        <w:rPr>
          <w:rFonts w:ascii="Tahoma" w:eastAsia="MS Mincho" w:hAnsi="Tahoma" w:cs="Tahoma"/>
          <w:b/>
          <w:bCs/>
          <w:color w:val="548DD4"/>
        </w:rPr>
        <w:t>the realization of human rights</w:t>
      </w:r>
      <w:r w:rsidR="0016486F">
        <w:rPr>
          <w:rFonts w:ascii="Tahoma" w:eastAsia="MS Mincho" w:hAnsi="Tahoma" w:cs="Tahoma"/>
          <w:b/>
          <w:bCs/>
          <w:color w:val="548DD4"/>
        </w:rPr>
        <w:t xml:space="preserve"> </w:t>
      </w:r>
    </w:p>
    <w:p w:rsidR="00086199" w:rsidRDefault="00086199" w:rsidP="00086199">
      <w:pPr>
        <w:jc w:val="both"/>
        <w:rPr>
          <w:rFonts w:ascii="Tahoma" w:hAnsi="Tahoma" w:cs="Tahoma"/>
          <w:b/>
          <w:bCs/>
          <w:iCs/>
          <w:sz w:val="20"/>
          <w:szCs w:val="20"/>
          <w:lang w:val="en-GB"/>
        </w:rPr>
      </w:pPr>
    </w:p>
    <w:p w:rsidR="009F6CA9" w:rsidRPr="00A63A89" w:rsidRDefault="00564E59" w:rsidP="00086199">
      <w:pPr>
        <w:jc w:val="both"/>
        <w:rPr>
          <w:rFonts w:ascii="Tahoma" w:hAnsi="Tahoma" w:cs="Tahoma"/>
          <w:b/>
          <w:bCs/>
          <w:iCs/>
          <w:sz w:val="21"/>
          <w:szCs w:val="21"/>
          <w:lang w:val="en-GB"/>
        </w:rPr>
      </w:pPr>
      <w:r w:rsidRPr="00A63A89">
        <w:rPr>
          <w:rFonts w:ascii="Tahoma" w:eastAsia="MS Mincho" w:hAnsi="Tahoma" w:cs="Tahoma"/>
          <w:b/>
          <w:bCs/>
          <w:noProof/>
          <w:color w:val="548DD4"/>
          <w:sz w:val="21"/>
          <w:szCs w:val="21"/>
          <w:lang w:val="en-GB" w:eastAsia="en-GB"/>
        </w:rPr>
        <mc:AlternateContent>
          <mc:Choice Requires="wps">
            <w:drawing>
              <wp:anchor distT="0" distB="0" distL="114300" distR="114300" simplePos="0" relativeHeight="251668480" behindDoc="0" locked="0" layoutInCell="0" allowOverlap="1" wp14:anchorId="5D2A017C" wp14:editId="2F87CF09">
                <wp:simplePos x="0" y="0"/>
                <wp:positionH relativeFrom="margin">
                  <wp:posOffset>3817620</wp:posOffset>
                </wp:positionH>
                <wp:positionV relativeFrom="margin">
                  <wp:posOffset>2937510</wp:posOffset>
                </wp:positionV>
                <wp:extent cx="2880360" cy="3388995"/>
                <wp:effectExtent l="57150" t="38100" r="72390" b="97155"/>
                <wp:wrapSquare wrapText="bothSides"/>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3388995"/>
                        </a:xfrm>
                        <a:prstGeom prst="bracketPair">
                          <a:avLst>
                            <a:gd name="adj" fmla="val 8051"/>
                          </a:avLst>
                        </a:prstGeom>
                        <a:noFill/>
                        <a:ln w="25400" cap="flat" cmpd="sng" algn="ctr">
                          <a:solidFill>
                            <a:srgbClr val="9BBB59"/>
                          </a:solidFill>
                          <a:prstDash val="solid"/>
                          <a:headEnd/>
                          <a:tailEnd/>
                        </a:ln>
                        <a:effectLst>
                          <a:outerShdw blurRad="40000" dist="20000" dir="5400000" rotWithShape="0">
                            <a:srgbClr val="000000">
                              <a:alpha val="38000"/>
                            </a:srgbClr>
                          </a:outerShdw>
                        </a:effectLst>
                        <a:extLst/>
                      </wps:spPr>
                      <wps:txbx>
                        <w:txbxContent>
                          <w:p w:rsidR="00191D5C" w:rsidRPr="00EB0AAD" w:rsidRDefault="00191D5C" w:rsidP="001A32EC">
                            <w:pPr>
                              <w:spacing w:after="0"/>
                              <w:jc w:val="center"/>
                              <w:rPr>
                                <w:b/>
                                <w:i/>
                                <w:iCs/>
                              </w:rPr>
                            </w:pPr>
                          </w:p>
                          <w:p w:rsidR="00EF3C72" w:rsidRPr="00EB0AAD" w:rsidRDefault="00EF3C72" w:rsidP="00EF3C72">
                            <w:pPr>
                              <w:spacing w:after="0"/>
                              <w:jc w:val="center"/>
                              <w:rPr>
                                <w:i/>
                                <w:iCs/>
                                <w:sz w:val="20"/>
                                <w:szCs w:val="20"/>
                                <w:lang w:val="en-GB"/>
                              </w:rPr>
                            </w:pPr>
                            <w:r w:rsidRPr="00EB0AAD">
                              <w:rPr>
                                <w:i/>
                                <w:iCs/>
                                <w:sz w:val="20"/>
                                <w:szCs w:val="20"/>
                                <w:lang w:val="en-GB"/>
                              </w:rPr>
                              <w:t>Municipal finance is about the revenue and expenditure decisions of municipal governments. It covers the sources of revenue that are used by municipal governments – taxes (property, income, sales, and excise taxes), user fees, and intergovernmental transfers. It includes ways of financing infrastructure through the use of operating revenues and borrowing as well as charges on developers and public-private partnerships. Municipal finance also addresses issues around expenditures at the local level and the accountability for expenditure and revenue decisions, including the municipal budgetary process and financial management.</w:t>
                            </w:r>
                          </w:p>
                          <w:p w:rsidR="00EF3C72" w:rsidRPr="00EB0AAD" w:rsidRDefault="00EF3C72" w:rsidP="008455E2">
                            <w:pPr>
                              <w:spacing w:after="0"/>
                              <w:jc w:val="center"/>
                              <w:rPr>
                                <w:i/>
                                <w:iCs/>
                                <w:sz w:val="20"/>
                                <w:szCs w:val="20"/>
                                <w:lang w:val="en-GB"/>
                              </w:rPr>
                            </w:pPr>
                          </w:p>
                          <w:p w:rsidR="00EF3C72" w:rsidRPr="00EB0AAD" w:rsidRDefault="00EF3C72" w:rsidP="00EF3C72">
                            <w:pPr>
                              <w:spacing w:after="0"/>
                              <w:jc w:val="center"/>
                              <w:rPr>
                                <w:i/>
                                <w:iCs/>
                                <w:sz w:val="20"/>
                                <w:szCs w:val="20"/>
                                <w:lang w:val="es-ES"/>
                              </w:rPr>
                            </w:pPr>
                            <w:r w:rsidRPr="00EB0AAD">
                              <w:rPr>
                                <w:i/>
                                <w:iCs/>
                                <w:sz w:val="20"/>
                                <w:szCs w:val="20"/>
                                <w:lang w:val="en-GB"/>
                              </w:rPr>
                              <w:t>UN-Habitat, Guide to Municipal Finance, 2009</w:t>
                            </w:r>
                            <w:r w:rsidRPr="00EB0AAD">
                              <w:rPr>
                                <w:i/>
                                <w:iCs/>
                                <w:sz w:val="20"/>
                                <w:szCs w:val="20"/>
                                <w:lang w:val="es-ES"/>
                              </w:rPr>
                              <w:t xml:space="preserve"> </w:t>
                            </w:r>
                          </w:p>
                          <w:p w:rsidR="00FA671F" w:rsidRDefault="00FA671F" w:rsidP="00FA671F">
                            <w:pPr>
                              <w:spacing w:after="0"/>
                              <w:jc w:val="center"/>
                              <w:rPr>
                                <w:i/>
                                <w:iCs/>
                                <w:color w:val="7F7F7F" w:themeColor="text1" w:themeTint="80"/>
                                <w:sz w:val="21"/>
                                <w:szCs w:val="21"/>
                                <w:lang w:val="en-GB"/>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300.6pt;margin-top:231.3pt;width:226.8pt;height:266.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" o:allowincell="f" adj="1739" strokecolor="#9bbb59" strokeweight="2pt">
                <v:shadow on="t" color="black" opacity="24903f" origin=",.5" offset="0,.55556mm"/>
                <v:textbox inset="3.6pt,,3.6pt">
                  <w:txbxContent>
                    <w:p w:rsidR="00191D5C" w:rsidRPr="00EB0AAD" w:rsidRDefault="00191D5C" w:rsidP="001A32EC">
                      <w:pPr>
                        <w:spacing w:after="0"/>
                        <w:jc w:val="center"/>
                        <w:rPr>
                          <w:b/>
                          <w:i/>
                          <w:iCs/>
                        </w:rPr>
                      </w:pPr>
                    </w:p>
                    <w:p w:rsidR="00EF3C72" w:rsidRPr="00EB0AAD" w:rsidRDefault="00EF3C72" w:rsidP="00EF3C72">
                      <w:pPr>
                        <w:spacing w:after="0"/>
                        <w:jc w:val="center"/>
                        <w:rPr>
                          <w:i/>
                          <w:iCs/>
                          <w:sz w:val="20"/>
                          <w:szCs w:val="20"/>
                          <w:lang w:val="en-GB"/>
                        </w:rPr>
                      </w:pPr>
                      <w:r w:rsidRPr="00EB0AAD">
                        <w:rPr>
                          <w:i/>
                          <w:iCs/>
                          <w:sz w:val="20"/>
                          <w:szCs w:val="20"/>
                          <w:lang w:val="en-GB"/>
                        </w:rPr>
                        <w:t>Municipal finance is about the revenue and expenditure decisions of municipal governments. It covers the sources of revenue that are used by municipal governments – taxes (property, income, sales, and excise taxes), user fees, and intergovernmental transfers. It includes ways of financing infrastructure through the use of operating revenues and borrowing as well as charges on developers and public-private partnerships. Municipal finance also addresses issues around expenditures at the local level and the accountability for expenditure and revenue decisions, including the municipal budgetary process and financial management.</w:t>
                      </w:r>
                    </w:p>
                    <w:p w:rsidR="00EF3C72" w:rsidRPr="00EB0AAD" w:rsidRDefault="00EF3C72" w:rsidP="008455E2">
                      <w:pPr>
                        <w:spacing w:after="0"/>
                        <w:jc w:val="center"/>
                        <w:rPr>
                          <w:i/>
                          <w:iCs/>
                          <w:sz w:val="20"/>
                          <w:szCs w:val="20"/>
                          <w:lang w:val="en-GB"/>
                        </w:rPr>
                      </w:pPr>
                    </w:p>
                    <w:p w:rsidR="00EF3C72" w:rsidRPr="00EB0AAD" w:rsidRDefault="00EF3C72" w:rsidP="00EF3C72">
                      <w:pPr>
                        <w:spacing w:after="0"/>
                        <w:jc w:val="center"/>
                        <w:rPr>
                          <w:i/>
                          <w:iCs/>
                          <w:sz w:val="20"/>
                          <w:szCs w:val="20"/>
                          <w:lang w:val="es-ES"/>
                        </w:rPr>
                      </w:pPr>
                      <w:r w:rsidRPr="00EB0AAD">
                        <w:rPr>
                          <w:i/>
                          <w:iCs/>
                          <w:sz w:val="20"/>
                          <w:szCs w:val="20"/>
                          <w:lang w:val="en-GB"/>
                        </w:rPr>
                        <w:t>UN-Habitat, Guide to Municipal Finance, 2009</w:t>
                      </w:r>
                      <w:r w:rsidRPr="00EB0AAD">
                        <w:rPr>
                          <w:i/>
                          <w:iCs/>
                          <w:sz w:val="20"/>
                          <w:szCs w:val="20"/>
                          <w:lang w:val="es-ES"/>
                        </w:rPr>
                        <w:t xml:space="preserve"> </w:t>
                      </w:r>
                    </w:p>
                    <w:p w:rsidR="00FA671F" w:rsidRDefault="00FA671F" w:rsidP="00FA671F">
                      <w:pPr>
                        <w:spacing w:after="0"/>
                        <w:jc w:val="center"/>
                        <w:rPr>
                          <w:i/>
                          <w:iCs/>
                          <w:color w:val="7F7F7F" w:themeColor="text1" w:themeTint="80"/>
                          <w:sz w:val="21"/>
                          <w:szCs w:val="21"/>
                          <w:lang w:val="en-GB"/>
                        </w:rPr>
                      </w:pPr>
                    </w:p>
                  </w:txbxContent>
                </v:textbox>
                <w10:wrap type="square" anchorx="margin" anchory="margin"/>
              </v:shape>
            </w:pict>
          </mc:Fallback>
        </mc:AlternateContent>
      </w:r>
      <w:r w:rsidR="009F6CA9" w:rsidRPr="00A63A89">
        <w:rPr>
          <w:rFonts w:ascii="Tahoma" w:hAnsi="Tahoma" w:cs="Tahoma"/>
          <w:b/>
          <w:bCs/>
          <w:iCs/>
          <w:sz w:val="21"/>
          <w:szCs w:val="21"/>
          <w:lang w:val="en-GB"/>
        </w:rPr>
        <w:t xml:space="preserve">Economic policies and institutions should be aligned with human rights standards. </w:t>
      </w:r>
      <w:r w:rsidR="009F6CA9" w:rsidRPr="00A63A89">
        <w:rPr>
          <w:rFonts w:ascii="Tahoma" w:hAnsi="Tahoma" w:cs="Tahoma"/>
          <w:iCs/>
          <w:sz w:val="21"/>
          <w:szCs w:val="21"/>
          <w:lang w:val="en-GB"/>
        </w:rPr>
        <w:t xml:space="preserve">Policy coherence </w:t>
      </w:r>
      <w:r w:rsidR="00B4566D" w:rsidRPr="00A63A89">
        <w:rPr>
          <w:rFonts w:ascii="Tahoma" w:hAnsi="Tahoma" w:cs="Tahoma"/>
          <w:iCs/>
          <w:sz w:val="21"/>
          <w:szCs w:val="21"/>
          <w:lang w:val="en-GB"/>
        </w:rPr>
        <w:t>is</w:t>
      </w:r>
      <w:r w:rsidR="009F6CA9" w:rsidRPr="00A63A89">
        <w:rPr>
          <w:rFonts w:ascii="Tahoma" w:hAnsi="Tahoma" w:cs="Tahoma"/>
          <w:iCs/>
          <w:sz w:val="21"/>
          <w:szCs w:val="21"/>
          <w:lang w:val="en-GB"/>
        </w:rPr>
        <w:t xml:space="preserve"> critical for the </w:t>
      </w:r>
      <w:r w:rsidR="00B4566D" w:rsidRPr="00A63A89">
        <w:rPr>
          <w:rFonts w:ascii="Tahoma" w:hAnsi="Tahoma" w:cs="Tahoma"/>
          <w:iCs/>
          <w:sz w:val="21"/>
          <w:szCs w:val="21"/>
          <w:lang w:val="en-GB"/>
        </w:rPr>
        <w:t xml:space="preserve">successful implementation of </w:t>
      </w:r>
      <w:r w:rsidR="0016486F" w:rsidRPr="00A63A89">
        <w:rPr>
          <w:rFonts w:ascii="Tahoma" w:hAnsi="Tahoma" w:cs="Tahoma"/>
          <w:iCs/>
          <w:sz w:val="21"/>
          <w:szCs w:val="21"/>
          <w:lang w:val="en-GB"/>
        </w:rPr>
        <w:t xml:space="preserve">the </w:t>
      </w:r>
      <w:r w:rsidR="00B4566D" w:rsidRPr="00A63A89">
        <w:rPr>
          <w:rFonts w:ascii="Tahoma" w:hAnsi="Tahoma" w:cs="Tahoma"/>
          <w:iCs/>
          <w:sz w:val="21"/>
          <w:szCs w:val="21"/>
          <w:lang w:val="en-GB"/>
        </w:rPr>
        <w:t>New Urban A</w:t>
      </w:r>
      <w:r w:rsidR="009F6CA9" w:rsidRPr="00A63A89">
        <w:rPr>
          <w:rFonts w:ascii="Tahoma" w:hAnsi="Tahoma" w:cs="Tahoma"/>
          <w:iCs/>
          <w:sz w:val="21"/>
          <w:szCs w:val="21"/>
          <w:lang w:val="en-GB"/>
        </w:rPr>
        <w:t xml:space="preserve">genda. This will entail taking measures to </w:t>
      </w:r>
      <w:r w:rsidR="0016486F" w:rsidRPr="00A63A89">
        <w:rPr>
          <w:rFonts w:ascii="Tahoma" w:hAnsi="Tahoma" w:cs="Tahoma"/>
          <w:iCs/>
          <w:sz w:val="21"/>
          <w:szCs w:val="21"/>
          <w:lang w:val="en-GB"/>
        </w:rPr>
        <w:t xml:space="preserve">bring about </w:t>
      </w:r>
      <w:r w:rsidR="009F6CA9" w:rsidRPr="00A63A89">
        <w:rPr>
          <w:rFonts w:ascii="Tahoma" w:hAnsi="Tahoma" w:cs="Tahoma"/>
          <w:iCs/>
          <w:sz w:val="21"/>
          <w:szCs w:val="21"/>
          <w:lang w:val="en-GB"/>
        </w:rPr>
        <w:t>coherence between the work of all institutions</w:t>
      </w:r>
      <w:r w:rsidR="0016486F" w:rsidRPr="00A63A89">
        <w:rPr>
          <w:rFonts w:ascii="Tahoma" w:hAnsi="Tahoma" w:cs="Tahoma"/>
          <w:iCs/>
          <w:sz w:val="21"/>
          <w:szCs w:val="21"/>
          <w:lang w:val="en-GB"/>
        </w:rPr>
        <w:t>,</w:t>
      </w:r>
      <w:r w:rsidR="009F6CA9" w:rsidRPr="00A63A89">
        <w:rPr>
          <w:rFonts w:ascii="Tahoma" w:hAnsi="Tahoma" w:cs="Tahoma"/>
          <w:iCs/>
          <w:sz w:val="21"/>
          <w:szCs w:val="21"/>
          <w:lang w:val="en-GB"/>
        </w:rPr>
        <w:t xml:space="preserve"> </w:t>
      </w:r>
      <w:r w:rsidR="0016486F" w:rsidRPr="00A63A89">
        <w:rPr>
          <w:rFonts w:ascii="Tahoma" w:hAnsi="Tahoma" w:cs="Tahoma"/>
          <w:iCs/>
          <w:sz w:val="21"/>
          <w:szCs w:val="21"/>
          <w:lang w:val="en-GB"/>
        </w:rPr>
        <w:t xml:space="preserve">ensuring the prosperity of </w:t>
      </w:r>
      <w:r w:rsidR="009F6CA9" w:rsidRPr="00A63A89">
        <w:rPr>
          <w:rFonts w:ascii="Tahoma" w:hAnsi="Tahoma" w:cs="Tahoma"/>
          <w:iCs/>
          <w:sz w:val="21"/>
          <w:szCs w:val="21"/>
          <w:lang w:val="en-GB"/>
        </w:rPr>
        <w:t xml:space="preserve">cities through </w:t>
      </w:r>
      <w:r w:rsidR="0016486F" w:rsidRPr="00A63A89">
        <w:rPr>
          <w:rFonts w:ascii="Tahoma" w:hAnsi="Tahoma" w:cs="Tahoma"/>
          <w:iCs/>
          <w:sz w:val="21"/>
          <w:szCs w:val="21"/>
          <w:lang w:val="en-GB"/>
        </w:rPr>
        <w:t xml:space="preserve">inclusive </w:t>
      </w:r>
      <w:r w:rsidR="009F6CA9" w:rsidRPr="00A63A89">
        <w:rPr>
          <w:rFonts w:ascii="Tahoma" w:hAnsi="Tahoma" w:cs="Tahoma"/>
          <w:iCs/>
          <w:sz w:val="21"/>
          <w:szCs w:val="21"/>
          <w:lang w:val="en-GB"/>
        </w:rPr>
        <w:t xml:space="preserve">employment, </w:t>
      </w:r>
      <w:r w:rsidR="0016486F" w:rsidRPr="00A63A89">
        <w:rPr>
          <w:rFonts w:ascii="Tahoma" w:hAnsi="Tahoma" w:cs="Tahoma"/>
          <w:iCs/>
          <w:sz w:val="21"/>
          <w:szCs w:val="21"/>
          <w:lang w:val="en-GB"/>
        </w:rPr>
        <w:t>reduced</w:t>
      </w:r>
      <w:r w:rsidR="009F6CA9" w:rsidRPr="00A63A89">
        <w:rPr>
          <w:rFonts w:ascii="Tahoma" w:hAnsi="Tahoma" w:cs="Tahoma"/>
          <w:iCs/>
          <w:sz w:val="21"/>
          <w:szCs w:val="21"/>
          <w:lang w:val="en-GB"/>
        </w:rPr>
        <w:t xml:space="preserve"> inequalities and discrimination,</w:t>
      </w:r>
      <w:r w:rsidR="0016486F" w:rsidRPr="00A63A89">
        <w:rPr>
          <w:rFonts w:ascii="Tahoma" w:hAnsi="Tahoma" w:cs="Tahoma"/>
          <w:iCs/>
          <w:sz w:val="21"/>
          <w:szCs w:val="21"/>
          <w:lang w:val="en-GB"/>
        </w:rPr>
        <w:t xml:space="preserve"> sustainable urban development </w:t>
      </w:r>
      <w:r w:rsidR="009F6CA9" w:rsidRPr="00A63A89">
        <w:rPr>
          <w:rFonts w:ascii="Tahoma" w:hAnsi="Tahoma" w:cs="Tahoma"/>
          <w:iCs/>
          <w:sz w:val="21"/>
          <w:szCs w:val="21"/>
          <w:lang w:val="en-GB"/>
        </w:rPr>
        <w:t xml:space="preserve">and the realization of the human rights of all </w:t>
      </w:r>
      <w:r w:rsidR="0016486F" w:rsidRPr="00A63A89">
        <w:rPr>
          <w:rFonts w:ascii="Tahoma" w:hAnsi="Tahoma" w:cs="Tahoma"/>
          <w:iCs/>
          <w:sz w:val="21"/>
          <w:szCs w:val="21"/>
          <w:lang w:val="en-GB"/>
        </w:rPr>
        <w:t xml:space="preserve">urban </w:t>
      </w:r>
      <w:r w:rsidR="009F6CA9" w:rsidRPr="00A63A89">
        <w:rPr>
          <w:rFonts w:ascii="Tahoma" w:hAnsi="Tahoma" w:cs="Tahoma"/>
          <w:iCs/>
          <w:sz w:val="21"/>
          <w:szCs w:val="21"/>
          <w:lang w:val="en-GB"/>
        </w:rPr>
        <w:t xml:space="preserve">inhabitants. </w:t>
      </w:r>
      <w:r w:rsidR="00752C8E" w:rsidRPr="00A63A89">
        <w:rPr>
          <w:rFonts w:ascii="Tahoma" w:hAnsi="Tahoma" w:cs="Tahoma"/>
          <w:iCs/>
          <w:sz w:val="21"/>
          <w:szCs w:val="21"/>
          <w:lang w:val="en-GB"/>
        </w:rPr>
        <w:t xml:space="preserve">Effective governance for sustainable urbanization demands that public institutions are in line with international human rights standards and principles and </w:t>
      </w:r>
      <w:r w:rsidR="00EE6B7D">
        <w:rPr>
          <w:rFonts w:ascii="Tahoma" w:hAnsi="Tahoma" w:cs="Tahoma"/>
          <w:iCs/>
          <w:sz w:val="21"/>
          <w:szCs w:val="21"/>
          <w:lang w:val="en-GB"/>
        </w:rPr>
        <w:t xml:space="preserve">are </w:t>
      </w:r>
      <w:r w:rsidR="00752C8E" w:rsidRPr="00A63A89">
        <w:rPr>
          <w:rFonts w:ascii="Tahoma" w:hAnsi="Tahoma" w:cs="Tahoma"/>
          <w:iCs/>
          <w:sz w:val="21"/>
          <w:szCs w:val="21"/>
          <w:lang w:val="en-GB"/>
        </w:rPr>
        <w:t>accountable to people.</w:t>
      </w:r>
    </w:p>
    <w:p w:rsidR="0078146E" w:rsidRPr="00A63A89" w:rsidRDefault="007366CA" w:rsidP="003F7B03">
      <w:pPr>
        <w:jc w:val="both"/>
        <w:rPr>
          <w:rFonts w:ascii="Tahoma" w:hAnsi="Tahoma" w:cs="Tahoma"/>
          <w:iCs/>
          <w:sz w:val="21"/>
          <w:szCs w:val="21"/>
          <w:lang w:val="en-GB"/>
        </w:rPr>
      </w:pPr>
      <w:r w:rsidRPr="00A63A89">
        <w:rPr>
          <w:rFonts w:ascii="Tahoma" w:hAnsi="Tahoma" w:cs="Tahoma"/>
          <w:b/>
          <w:bCs/>
          <w:iCs/>
          <w:sz w:val="21"/>
          <w:szCs w:val="21"/>
          <w:lang w:val="en-GB"/>
        </w:rPr>
        <w:t>The m</w:t>
      </w:r>
      <w:r w:rsidR="009F6CA9" w:rsidRPr="00A63A89">
        <w:rPr>
          <w:rFonts w:ascii="Tahoma" w:hAnsi="Tahoma" w:cs="Tahoma"/>
          <w:b/>
          <w:bCs/>
          <w:iCs/>
          <w:sz w:val="21"/>
          <w:szCs w:val="21"/>
          <w:lang w:val="en-GB"/>
        </w:rPr>
        <w:t xml:space="preserve">aximum available resources should be used to </w:t>
      </w:r>
      <w:r w:rsidRPr="00A63A89">
        <w:rPr>
          <w:rFonts w:ascii="Tahoma" w:hAnsi="Tahoma" w:cs="Tahoma"/>
          <w:b/>
          <w:bCs/>
          <w:iCs/>
          <w:sz w:val="21"/>
          <w:szCs w:val="21"/>
          <w:lang w:val="en-GB"/>
        </w:rPr>
        <w:t xml:space="preserve">realize </w:t>
      </w:r>
      <w:r w:rsidR="00392AA7" w:rsidRPr="00A63A89">
        <w:rPr>
          <w:rFonts w:ascii="Tahoma" w:hAnsi="Tahoma" w:cs="Tahoma"/>
          <w:b/>
          <w:bCs/>
          <w:iCs/>
          <w:sz w:val="21"/>
          <w:szCs w:val="21"/>
          <w:lang w:val="en-GB"/>
        </w:rPr>
        <w:t xml:space="preserve">the </w:t>
      </w:r>
      <w:r w:rsidR="009F6CA9" w:rsidRPr="00A63A89">
        <w:rPr>
          <w:rFonts w:ascii="Tahoma" w:hAnsi="Tahoma" w:cs="Tahoma"/>
          <w:b/>
          <w:bCs/>
          <w:iCs/>
          <w:sz w:val="21"/>
          <w:szCs w:val="21"/>
          <w:lang w:val="en-GB"/>
        </w:rPr>
        <w:t xml:space="preserve">human rights of </w:t>
      </w:r>
      <w:r w:rsidRPr="00A63A89">
        <w:rPr>
          <w:rFonts w:ascii="Tahoma" w:hAnsi="Tahoma" w:cs="Tahoma"/>
          <w:b/>
          <w:bCs/>
          <w:iCs/>
          <w:sz w:val="21"/>
          <w:szCs w:val="21"/>
          <w:lang w:val="en-GB"/>
        </w:rPr>
        <w:t>urban inhabitants</w:t>
      </w:r>
      <w:r w:rsidR="00EB0AAD" w:rsidRPr="00A63A89">
        <w:rPr>
          <w:rFonts w:ascii="Tahoma" w:hAnsi="Tahoma" w:cs="Tahoma"/>
          <w:b/>
          <w:bCs/>
          <w:iCs/>
          <w:sz w:val="21"/>
          <w:szCs w:val="21"/>
          <w:lang w:val="en-GB"/>
        </w:rPr>
        <w:t>.</w:t>
      </w:r>
      <w:r w:rsidR="00EB0AAD" w:rsidRPr="00A63A89">
        <w:rPr>
          <w:rFonts w:ascii="Tahoma" w:hAnsi="Tahoma" w:cs="Tahoma"/>
          <w:iCs/>
          <w:sz w:val="21"/>
          <w:szCs w:val="21"/>
          <w:lang w:val="en-GB"/>
        </w:rPr>
        <w:t xml:space="preserve"> </w:t>
      </w:r>
      <w:r w:rsidR="009F6CA9" w:rsidRPr="00A63A89">
        <w:rPr>
          <w:rFonts w:ascii="Tahoma" w:hAnsi="Tahoma" w:cs="Tahoma"/>
          <w:iCs/>
          <w:sz w:val="21"/>
          <w:szCs w:val="21"/>
          <w:lang w:val="en-GB"/>
        </w:rPr>
        <w:t xml:space="preserve">Under core human rights treaties, States are </w:t>
      </w:r>
      <w:r w:rsidRPr="00A63A89">
        <w:rPr>
          <w:rFonts w:ascii="Tahoma" w:hAnsi="Tahoma" w:cs="Tahoma"/>
          <w:iCs/>
          <w:sz w:val="21"/>
          <w:szCs w:val="21"/>
          <w:lang w:val="en-GB"/>
        </w:rPr>
        <w:t xml:space="preserve">obliged </w:t>
      </w:r>
      <w:r w:rsidR="009F6CA9" w:rsidRPr="00A63A89">
        <w:rPr>
          <w:rFonts w:ascii="Tahoma" w:hAnsi="Tahoma" w:cs="Tahoma"/>
          <w:iCs/>
          <w:sz w:val="21"/>
          <w:szCs w:val="21"/>
          <w:lang w:val="en-GB"/>
        </w:rPr>
        <w:t xml:space="preserve">to mobilize and allocate the maximum available resources for the realization of all human rights. To </w:t>
      </w:r>
      <w:r w:rsidRPr="00A63A89">
        <w:rPr>
          <w:rFonts w:ascii="Tahoma" w:hAnsi="Tahoma" w:cs="Tahoma"/>
          <w:iCs/>
          <w:sz w:val="21"/>
          <w:szCs w:val="21"/>
          <w:lang w:val="en-GB"/>
        </w:rPr>
        <w:t>fulfil their human rights obligations</w:t>
      </w:r>
      <w:r w:rsidR="00182FAD" w:rsidRPr="00A63A89">
        <w:rPr>
          <w:rFonts w:ascii="Tahoma" w:hAnsi="Tahoma" w:cs="Tahoma"/>
          <w:iCs/>
          <w:sz w:val="21"/>
          <w:szCs w:val="21"/>
          <w:lang w:val="en-GB"/>
        </w:rPr>
        <w:t xml:space="preserve">, to </w:t>
      </w:r>
      <w:r w:rsidRPr="00A63A89">
        <w:rPr>
          <w:rFonts w:ascii="Tahoma" w:hAnsi="Tahoma" w:cs="Tahoma"/>
          <w:iCs/>
          <w:sz w:val="21"/>
          <w:szCs w:val="21"/>
          <w:lang w:val="en-GB"/>
        </w:rPr>
        <w:t xml:space="preserve">end </w:t>
      </w:r>
      <w:r w:rsidR="009F6CA9" w:rsidRPr="00A63A89">
        <w:rPr>
          <w:rFonts w:ascii="Tahoma" w:hAnsi="Tahoma" w:cs="Tahoma"/>
          <w:iCs/>
          <w:sz w:val="21"/>
          <w:szCs w:val="21"/>
          <w:lang w:val="en-GB"/>
        </w:rPr>
        <w:t>poverty</w:t>
      </w:r>
      <w:r w:rsidRPr="00A63A89">
        <w:rPr>
          <w:rFonts w:ascii="Tahoma" w:hAnsi="Tahoma" w:cs="Tahoma"/>
          <w:iCs/>
          <w:sz w:val="21"/>
          <w:szCs w:val="21"/>
          <w:lang w:val="en-GB"/>
        </w:rPr>
        <w:t xml:space="preserve"> </w:t>
      </w:r>
      <w:r w:rsidR="00182FAD" w:rsidRPr="00A63A89">
        <w:rPr>
          <w:rFonts w:ascii="Tahoma" w:hAnsi="Tahoma" w:cs="Tahoma"/>
          <w:iCs/>
          <w:sz w:val="21"/>
          <w:szCs w:val="21"/>
          <w:lang w:val="en-GB"/>
        </w:rPr>
        <w:t xml:space="preserve">and to </w:t>
      </w:r>
      <w:r w:rsidRPr="00A63A89">
        <w:rPr>
          <w:rFonts w:ascii="Tahoma" w:hAnsi="Tahoma" w:cs="Tahoma"/>
          <w:iCs/>
          <w:sz w:val="21"/>
          <w:szCs w:val="21"/>
          <w:lang w:val="en-GB"/>
        </w:rPr>
        <w:t xml:space="preserve">deliver on </w:t>
      </w:r>
      <w:r w:rsidR="009F6CA9" w:rsidRPr="00A63A89">
        <w:rPr>
          <w:rFonts w:ascii="Tahoma" w:hAnsi="Tahoma" w:cs="Tahoma"/>
          <w:iCs/>
          <w:sz w:val="21"/>
          <w:szCs w:val="21"/>
          <w:lang w:val="en-GB"/>
        </w:rPr>
        <w:t xml:space="preserve">the </w:t>
      </w:r>
      <w:r w:rsidRPr="00A63A89">
        <w:rPr>
          <w:rFonts w:ascii="Tahoma" w:hAnsi="Tahoma" w:cs="Tahoma"/>
          <w:iCs/>
          <w:sz w:val="21"/>
          <w:szCs w:val="21"/>
          <w:lang w:val="en-GB"/>
        </w:rPr>
        <w:t>2030 Agenda for Sustainable Development</w:t>
      </w:r>
      <w:r w:rsidR="009F6CA9" w:rsidRPr="00A63A89">
        <w:rPr>
          <w:rFonts w:ascii="Tahoma" w:hAnsi="Tahoma" w:cs="Tahoma"/>
          <w:iCs/>
          <w:sz w:val="21"/>
          <w:szCs w:val="21"/>
          <w:lang w:val="en-GB"/>
        </w:rPr>
        <w:t xml:space="preserve">, States </w:t>
      </w:r>
      <w:r w:rsidRPr="00A63A89">
        <w:rPr>
          <w:rFonts w:ascii="Tahoma" w:hAnsi="Tahoma" w:cs="Tahoma"/>
          <w:iCs/>
          <w:sz w:val="21"/>
          <w:szCs w:val="21"/>
          <w:lang w:val="en-GB"/>
        </w:rPr>
        <w:t xml:space="preserve">should </w:t>
      </w:r>
      <w:r w:rsidR="009F6CA9" w:rsidRPr="00A63A89">
        <w:rPr>
          <w:rFonts w:ascii="Tahoma" w:hAnsi="Tahoma" w:cs="Tahoma"/>
          <w:iCs/>
          <w:sz w:val="21"/>
          <w:szCs w:val="21"/>
          <w:lang w:val="en-GB"/>
        </w:rPr>
        <w:t>endorse a financing framework</w:t>
      </w:r>
      <w:r w:rsidRPr="00A63A89">
        <w:rPr>
          <w:rFonts w:ascii="Tahoma" w:hAnsi="Tahoma" w:cs="Tahoma"/>
          <w:iCs/>
          <w:sz w:val="21"/>
          <w:szCs w:val="21"/>
          <w:lang w:val="en-GB"/>
        </w:rPr>
        <w:t xml:space="preserve"> for inclusive urbanization</w:t>
      </w:r>
      <w:r w:rsidR="009F6CA9" w:rsidRPr="00A63A89">
        <w:rPr>
          <w:rFonts w:ascii="Tahoma" w:hAnsi="Tahoma" w:cs="Tahoma"/>
          <w:iCs/>
          <w:sz w:val="21"/>
          <w:szCs w:val="21"/>
          <w:lang w:val="en-GB"/>
        </w:rPr>
        <w:t xml:space="preserve"> that equals these ambitions. </w:t>
      </w:r>
      <w:r w:rsidRPr="00A63A89">
        <w:rPr>
          <w:rFonts w:ascii="Tahoma" w:hAnsi="Tahoma" w:cs="Tahoma"/>
          <w:iCs/>
          <w:sz w:val="21"/>
          <w:szCs w:val="21"/>
          <w:lang w:val="en-GB"/>
        </w:rPr>
        <w:t xml:space="preserve">Substantial </w:t>
      </w:r>
      <w:r w:rsidR="009F6CA9" w:rsidRPr="00A63A89">
        <w:rPr>
          <w:rFonts w:ascii="Tahoma" w:hAnsi="Tahoma" w:cs="Tahoma"/>
          <w:iCs/>
          <w:sz w:val="21"/>
          <w:szCs w:val="21"/>
          <w:lang w:val="en-GB"/>
        </w:rPr>
        <w:t xml:space="preserve">resources </w:t>
      </w:r>
      <w:r w:rsidR="006B1585" w:rsidRPr="00A63A89">
        <w:rPr>
          <w:rFonts w:ascii="Tahoma" w:hAnsi="Tahoma" w:cs="Tahoma"/>
          <w:iCs/>
          <w:sz w:val="21"/>
          <w:szCs w:val="21"/>
          <w:lang w:val="en-GB"/>
        </w:rPr>
        <w:t xml:space="preserve">will be </w:t>
      </w:r>
      <w:r w:rsidR="009F6CA9" w:rsidRPr="00A63A89">
        <w:rPr>
          <w:rFonts w:ascii="Tahoma" w:hAnsi="Tahoma" w:cs="Tahoma"/>
          <w:iCs/>
          <w:sz w:val="21"/>
          <w:szCs w:val="21"/>
          <w:lang w:val="en-GB"/>
        </w:rPr>
        <w:t xml:space="preserve">needed </w:t>
      </w:r>
      <w:r w:rsidR="006B1585" w:rsidRPr="00A63A89">
        <w:rPr>
          <w:rFonts w:ascii="Tahoma" w:hAnsi="Tahoma" w:cs="Tahoma"/>
          <w:iCs/>
          <w:sz w:val="21"/>
          <w:szCs w:val="21"/>
          <w:lang w:val="en-GB"/>
        </w:rPr>
        <w:t xml:space="preserve">to </w:t>
      </w:r>
      <w:r w:rsidR="009F6CA9" w:rsidRPr="00A63A89">
        <w:rPr>
          <w:rFonts w:ascii="Tahoma" w:hAnsi="Tahoma" w:cs="Tahoma"/>
          <w:iCs/>
          <w:sz w:val="21"/>
          <w:szCs w:val="21"/>
          <w:lang w:val="en-GB"/>
        </w:rPr>
        <w:t>implement</w:t>
      </w:r>
      <w:r w:rsidR="006B1585" w:rsidRPr="00A63A89">
        <w:rPr>
          <w:rFonts w:ascii="Tahoma" w:hAnsi="Tahoma" w:cs="Tahoma"/>
          <w:iCs/>
          <w:sz w:val="21"/>
          <w:szCs w:val="21"/>
          <w:lang w:val="en-GB"/>
        </w:rPr>
        <w:t xml:space="preserve"> a</w:t>
      </w:r>
      <w:r w:rsidR="009954AB" w:rsidRPr="00A63A89">
        <w:rPr>
          <w:rFonts w:ascii="Tahoma" w:hAnsi="Tahoma" w:cs="Tahoma"/>
          <w:iCs/>
          <w:sz w:val="21"/>
          <w:szCs w:val="21"/>
          <w:lang w:val="en-GB"/>
        </w:rPr>
        <w:t xml:space="preserve"> New Urban A</w:t>
      </w:r>
      <w:r w:rsidR="009F6CA9" w:rsidRPr="00A63A89">
        <w:rPr>
          <w:rFonts w:ascii="Tahoma" w:hAnsi="Tahoma" w:cs="Tahoma"/>
          <w:iCs/>
          <w:sz w:val="21"/>
          <w:szCs w:val="21"/>
          <w:lang w:val="en-GB"/>
        </w:rPr>
        <w:t>genda</w:t>
      </w:r>
      <w:r w:rsidRPr="00A63A89">
        <w:rPr>
          <w:rFonts w:ascii="Tahoma" w:hAnsi="Tahoma" w:cs="Tahoma"/>
          <w:iCs/>
          <w:sz w:val="21"/>
          <w:szCs w:val="21"/>
          <w:lang w:val="en-GB"/>
        </w:rPr>
        <w:t xml:space="preserve"> that is sustainable and inclusive</w:t>
      </w:r>
      <w:r w:rsidR="009F6CA9" w:rsidRPr="00A63A89">
        <w:rPr>
          <w:rFonts w:ascii="Tahoma" w:hAnsi="Tahoma" w:cs="Tahoma"/>
          <w:iCs/>
          <w:sz w:val="21"/>
          <w:szCs w:val="21"/>
          <w:lang w:val="en-GB"/>
        </w:rPr>
        <w:t xml:space="preserve">, </w:t>
      </w:r>
      <w:r w:rsidRPr="00A63A89">
        <w:rPr>
          <w:rFonts w:ascii="Tahoma" w:hAnsi="Tahoma" w:cs="Tahoma"/>
          <w:iCs/>
          <w:sz w:val="21"/>
          <w:szCs w:val="21"/>
          <w:lang w:val="en-GB"/>
        </w:rPr>
        <w:t xml:space="preserve">and this will require the effective mobilization of resources from among </w:t>
      </w:r>
      <w:r w:rsidR="009F6CA9" w:rsidRPr="00A63A89">
        <w:rPr>
          <w:rFonts w:ascii="Tahoma" w:hAnsi="Tahoma" w:cs="Tahoma"/>
          <w:iCs/>
          <w:sz w:val="21"/>
          <w:szCs w:val="21"/>
          <w:lang w:val="en-GB"/>
        </w:rPr>
        <w:t xml:space="preserve">all </w:t>
      </w:r>
      <w:r w:rsidRPr="00A63A89">
        <w:rPr>
          <w:rFonts w:ascii="Tahoma" w:hAnsi="Tahoma" w:cs="Tahoma"/>
          <w:iCs/>
          <w:sz w:val="21"/>
          <w:szCs w:val="21"/>
          <w:lang w:val="en-GB"/>
        </w:rPr>
        <w:t xml:space="preserve">key </w:t>
      </w:r>
      <w:r w:rsidR="009F6CA9" w:rsidRPr="00A63A89">
        <w:rPr>
          <w:rFonts w:ascii="Tahoma" w:hAnsi="Tahoma" w:cs="Tahoma"/>
          <w:iCs/>
          <w:sz w:val="21"/>
          <w:szCs w:val="21"/>
          <w:lang w:val="en-GB"/>
        </w:rPr>
        <w:t>stakeholders</w:t>
      </w:r>
      <w:r w:rsidRPr="00A63A89">
        <w:rPr>
          <w:rFonts w:ascii="Tahoma" w:hAnsi="Tahoma" w:cs="Tahoma"/>
          <w:iCs/>
          <w:sz w:val="21"/>
          <w:szCs w:val="21"/>
          <w:lang w:val="en-GB"/>
        </w:rPr>
        <w:t>,</w:t>
      </w:r>
      <w:r w:rsidR="009F6CA9" w:rsidRPr="00A63A89">
        <w:rPr>
          <w:rFonts w:ascii="Tahoma" w:hAnsi="Tahoma" w:cs="Tahoma"/>
          <w:iCs/>
          <w:sz w:val="21"/>
          <w:szCs w:val="21"/>
          <w:lang w:val="en-GB"/>
        </w:rPr>
        <w:t xml:space="preserve"> with the aim of reducing inequalities and </w:t>
      </w:r>
      <w:r w:rsidR="0082624C" w:rsidRPr="00A63A89">
        <w:rPr>
          <w:rFonts w:ascii="Tahoma" w:hAnsi="Tahoma" w:cs="Tahoma"/>
          <w:iCs/>
          <w:sz w:val="21"/>
          <w:szCs w:val="21"/>
          <w:lang w:val="en-GB"/>
        </w:rPr>
        <w:t>promoting prosperity</w:t>
      </w:r>
      <w:r w:rsidRPr="00A63A89">
        <w:rPr>
          <w:rFonts w:ascii="Tahoma" w:hAnsi="Tahoma" w:cs="Tahoma"/>
          <w:iCs/>
          <w:sz w:val="21"/>
          <w:szCs w:val="21"/>
          <w:lang w:val="en-GB"/>
        </w:rPr>
        <w:t xml:space="preserve"> for all</w:t>
      </w:r>
      <w:r w:rsidR="009F6CA9" w:rsidRPr="00A63A89">
        <w:rPr>
          <w:rFonts w:ascii="Tahoma" w:hAnsi="Tahoma" w:cs="Tahoma"/>
          <w:iCs/>
          <w:sz w:val="21"/>
          <w:szCs w:val="21"/>
          <w:lang w:val="en-GB"/>
        </w:rPr>
        <w:t xml:space="preserve">. </w:t>
      </w:r>
      <w:r w:rsidR="001921A0" w:rsidRPr="00A63A89">
        <w:rPr>
          <w:rFonts w:ascii="Tahoma" w:hAnsi="Tahoma" w:cs="Tahoma"/>
          <w:iCs/>
          <w:sz w:val="21"/>
          <w:szCs w:val="21"/>
          <w:lang w:val="en-GB"/>
        </w:rPr>
        <w:t>It will also require</w:t>
      </w:r>
      <w:r w:rsidR="009F6CA9" w:rsidRPr="00A63A89">
        <w:rPr>
          <w:rFonts w:ascii="Tahoma" w:hAnsi="Tahoma" w:cs="Tahoma"/>
          <w:iCs/>
          <w:sz w:val="21"/>
          <w:szCs w:val="21"/>
          <w:lang w:val="en-GB"/>
        </w:rPr>
        <w:t xml:space="preserve"> the prioritization </w:t>
      </w:r>
      <w:r w:rsidR="001921A0" w:rsidRPr="00A63A89">
        <w:rPr>
          <w:rFonts w:ascii="Tahoma" w:hAnsi="Tahoma" w:cs="Tahoma"/>
          <w:iCs/>
          <w:sz w:val="21"/>
          <w:szCs w:val="21"/>
          <w:lang w:val="en-GB"/>
        </w:rPr>
        <w:t xml:space="preserve">of targeted </w:t>
      </w:r>
      <w:r w:rsidR="009F6CA9" w:rsidRPr="00A63A89">
        <w:rPr>
          <w:rFonts w:ascii="Tahoma" w:hAnsi="Tahoma" w:cs="Tahoma"/>
          <w:iCs/>
          <w:sz w:val="21"/>
          <w:szCs w:val="21"/>
          <w:lang w:val="en-GB"/>
        </w:rPr>
        <w:t xml:space="preserve">policies and programmes </w:t>
      </w:r>
      <w:r w:rsidR="001921A0" w:rsidRPr="00A63A89">
        <w:rPr>
          <w:rFonts w:ascii="Tahoma" w:hAnsi="Tahoma" w:cs="Tahoma"/>
          <w:iCs/>
          <w:sz w:val="21"/>
          <w:szCs w:val="21"/>
          <w:lang w:val="en-GB"/>
        </w:rPr>
        <w:t>to include and fulfil the human rights of those</w:t>
      </w:r>
      <w:r w:rsidR="009F6CA9" w:rsidRPr="00A63A89">
        <w:rPr>
          <w:rFonts w:ascii="Tahoma" w:hAnsi="Tahoma" w:cs="Tahoma"/>
          <w:iCs/>
          <w:sz w:val="21"/>
          <w:szCs w:val="21"/>
          <w:lang w:val="en-GB"/>
        </w:rPr>
        <w:t xml:space="preserve"> individuals, groups and communities </w:t>
      </w:r>
      <w:r w:rsidR="001921A0" w:rsidRPr="00A63A89">
        <w:rPr>
          <w:rFonts w:ascii="Tahoma" w:hAnsi="Tahoma" w:cs="Tahoma"/>
          <w:iCs/>
          <w:sz w:val="21"/>
          <w:szCs w:val="21"/>
          <w:lang w:val="en-GB"/>
        </w:rPr>
        <w:t>in situations of vulnerability</w:t>
      </w:r>
      <w:r w:rsidR="009F6CA9" w:rsidRPr="00A63A89">
        <w:rPr>
          <w:rFonts w:ascii="Tahoma" w:hAnsi="Tahoma" w:cs="Tahoma"/>
          <w:iCs/>
          <w:sz w:val="21"/>
          <w:szCs w:val="21"/>
          <w:lang w:val="en-GB"/>
        </w:rPr>
        <w:t xml:space="preserve">. </w:t>
      </w:r>
    </w:p>
    <w:p w:rsidR="00EB0AAD" w:rsidRPr="00A63A89" w:rsidRDefault="00A65B3C" w:rsidP="008E74E4">
      <w:pPr>
        <w:jc w:val="both"/>
        <w:rPr>
          <w:rFonts w:ascii="Tahoma" w:hAnsi="Tahoma" w:cs="Tahoma"/>
          <w:iCs/>
          <w:sz w:val="21"/>
          <w:szCs w:val="21"/>
          <w:lang w:val="en-GB"/>
        </w:rPr>
      </w:pPr>
      <w:r w:rsidRPr="00A63A89">
        <w:rPr>
          <w:rFonts w:ascii="Tahoma" w:hAnsi="Tahoma" w:cs="Tahoma"/>
          <w:b/>
          <w:bCs/>
          <w:iCs/>
          <w:sz w:val="21"/>
          <w:szCs w:val="21"/>
          <w:lang w:val="en-GB"/>
        </w:rPr>
        <w:t>U</w:t>
      </w:r>
      <w:r w:rsidR="00EB0AAD" w:rsidRPr="00A63A89">
        <w:rPr>
          <w:rFonts w:ascii="Tahoma" w:hAnsi="Tahoma" w:cs="Tahoma"/>
          <w:b/>
          <w:bCs/>
          <w:iCs/>
          <w:sz w:val="21"/>
          <w:szCs w:val="21"/>
          <w:lang w:val="en-GB"/>
        </w:rPr>
        <w:t>rban</w:t>
      </w:r>
      <w:r w:rsidRPr="00A63A89">
        <w:rPr>
          <w:rFonts w:ascii="Tahoma" w:hAnsi="Tahoma" w:cs="Tahoma"/>
          <w:b/>
          <w:bCs/>
          <w:iCs/>
          <w:sz w:val="21"/>
          <w:szCs w:val="21"/>
          <w:lang w:val="en-GB"/>
        </w:rPr>
        <w:t xml:space="preserve"> financing should be </w:t>
      </w:r>
      <w:r w:rsidR="00EB0AAD" w:rsidRPr="00A63A89">
        <w:rPr>
          <w:rFonts w:ascii="Tahoma" w:hAnsi="Tahoma" w:cs="Tahoma"/>
          <w:b/>
          <w:bCs/>
          <w:iCs/>
          <w:sz w:val="21"/>
          <w:szCs w:val="21"/>
          <w:lang w:val="en-GB"/>
        </w:rPr>
        <w:t>participatory and human rights-based.</w:t>
      </w:r>
      <w:r w:rsidR="00752C8E" w:rsidRPr="00A63A89">
        <w:rPr>
          <w:rFonts w:ascii="Tahoma" w:hAnsi="Tahoma" w:cs="Tahoma"/>
          <w:b/>
          <w:bCs/>
          <w:iCs/>
          <w:sz w:val="21"/>
          <w:szCs w:val="21"/>
          <w:lang w:val="en-GB"/>
        </w:rPr>
        <w:t xml:space="preserve"> </w:t>
      </w:r>
      <w:r w:rsidR="001C2C26" w:rsidRPr="00A63A89">
        <w:rPr>
          <w:rFonts w:ascii="Tahoma" w:hAnsi="Tahoma" w:cs="Tahoma"/>
          <w:iCs/>
          <w:sz w:val="21"/>
          <w:szCs w:val="21"/>
          <w:lang w:val="en-GB"/>
        </w:rPr>
        <w:t>F</w:t>
      </w:r>
      <w:r w:rsidR="00EB0AAD" w:rsidRPr="00A63A89">
        <w:rPr>
          <w:rFonts w:ascii="Tahoma" w:hAnsi="Tahoma" w:cs="Tahoma"/>
          <w:iCs/>
          <w:sz w:val="21"/>
          <w:szCs w:val="21"/>
          <w:lang w:val="en-GB"/>
        </w:rPr>
        <w:t>inancing strategies, fiscal policies, tax systems, subsidies, development plans, and budgets should benefit the poorest and most marginalised</w:t>
      </w:r>
      <w:r w:rsidR="00752C8E" w:rsidRPr="00A63A89">
        <w:rPr>
          <w:rFonts w:ascii="Tahoma" w:hAnsi="Tahoma" w:cs="Tahoma"/>
          <w:iCs/>
          <w:sz w:val="21"/>
          <w:szCs w:val="21"/>
          <w:lang w:val="en-GB"/>
        </w:rPr>
        <w:t>,</w:t>
      </w:r>
      <w:r w:rsidR="00EB0AAD" w:rsidRPr="00A63A89">
        <w:rPr>
          <w:rFonts w:ascii="Tahoma" w:hAnsi="Tahoma" w:cs="Tahoma"/>
          <w:iCs/>
          <w:sz w:val="21"/>
          <w:szCs w:val="21"/>
          <w:lang w:val="en-GB"/>
        </w:rPr>
        <w:t xml:space="preserve"> and</w:t>
      </w:r>
      <w:r w:rsidR="00752C8E" w:rsidRPr="00A63A89">
        <w:rPr>
          <w:rFonts w:ascii="Tahoma" w:hAnsi="Tahoma" w:cs="Tahoma"/>
          <w:iCs/>
          <w:sz w:val="21"/>
          <w:szCs w:val="21"/>
          <w:lang w:val="en-GB"/>
        </w:rPr>
        <w:t xml:space="preserve"> should</w:t>
      </w:r>
      <w:r w:rsidR="00EB0AAD" w:rsidRPr="00A63A89">
        <w:rPr>
          <w:rFonts w:ascii="Tahoma" w:hAnsi="Tahoma" w:cs="Tahoma"/>
          <w:iCs/>
          <w:sz w:val="21"/>
          <w:szCs w:val="21"/>
          <w:lang w:val="en-GB"/>
        </w:rPr>
        <w:t xml:space="preserve"> be the product of transparent and participatory processes. </w:t>
      </w:r>
      <w:r w:rsidR="00752C8E" w:rsidRPr="00A63A89">
        <w:rPr>
          <w:rFonts w:ascii="Tahoma" w:hAnsi="Tahoma" w:cs="Tahoma"/>
          <w:iCs/>
          <w:sz w:val="21"/>
          <w:szCs w:val="21"/>
          <w:lang w:val="en-GB"/>
        </w:rPr>
        <w:t xml:space="preserve">They should also be supported by laws </w:t>
      </w:r>
      <w:r w:rsidR="003B7AE4" w:rsidRPr="00A63A89">
        <w:rPr>
          <w:rFonts w:ascii="Tahoma" w:hAnsi="Tahoma" w:cs="Tahoma"/>
          <w:iCs/>
          <w:sz w:val="21"/>
          <w:szCs w:val="21"/>
          <w:lang w:val="en-GB"/>
        </w:rPr>
        <w:t>that</w:t>
      </w:r>
      <w:r w:rsidR="00752C8E" w:rsidRPr="00A63A89">
        <w:rPr>
          <w:rFonts w:ascii="Tahoma" w:hAnsi="Tahoma" w:cs="Tahoma"/>
          <w:iCs/>
          <w:sz w:val="21"/>
          <w:szCs w:val="21"/>
          <w:lang w:val="en-GB"/>
        </w:rPr>
        <w:t xml:space="preserve"> </w:t>
      </w:r>
      <w:r w:rsidR="00EB0AAD" w:rsidRPr="00A63A89">
        <w:rPr>
          <w:rFonts w:ascii="Tahoma" w:hAnsi="Tahoma" w:cs="Tahoma"/>
          <w:iCs/>
          <w:sz w:val="21"/>
          <w:szCs w:val="21"/>
          <w:lang w:val="en-GB"/>
        </w:rPr>
        <w:t>protect human rights, including in the economic sphere</w:t>
      </w:r>
      <w:r w:rsidR="00752C8E" w:rsidRPr="00A63A89">
        <w:rPr>
          <w:rFonts w:ascii="Tahoma" w:hAnsi="Tahoma" w:cs="Tahoma"/>
          <w:iCs/>
          <w:sz w:val="21"/>
          <w:szCs w:val="21"/>
          <w:lang w:val="en-GB"/>
        </w:rPr>
        <w:t>, and by public institutions that are non-discriminatory, inclusive, participatory and accountable for financial policies and strategies</w:t>
      </w:r>
      <w:r w:rsidR="00EB0AAD" w:rsidRPr="00A63A89">
        <w:rPr>
          <w:rFonts w:ascii="Tahoma" w:hAnsi="Tahoma" w:cs="Tahoma"/>
          <w:iCs/>
          <w:sz w:val="21"/>
          <w:szCs w:val="21"/>
          <w:lang w:val="en-GB"/>
        </w:rPr>
        <w:t>.</w:t>
      </w:r>
    </w:p>
    <w:p w:rsidR="00EB0AAD" w:rsidRPr="00A63A89" w:rsidRDefault="00EB0AAD" w:rsidP="00EB0AAD">
      <w:pPr>
        <w:jc w:val="both"/>
        <w:rPr>
          <w:rFonts w:ascii="Tahoma" w:hAnsi="Tahoma" w:cs="Tahoma"/>
          <w:iCs/>
          <w:sz w:val="21"/>
          <w:szCs w:val="21"/>
          <w:lang w:val="en-GB"/>
        </w:rPr>
      </w:pPr>
      <w:r w:rsidRPr="00A63A89">
        <w:rPr>
          <w:rFonts w:ascii="Tahoma" w:hAnsi="Tahoma" w:cs="Tahoma"/>
          <w:b/>
          <w:bCs/>
          <w:iCs/>
          <w:sz w:val="21"/>
          <w:szCs w:val="21"/>
          <w:lang w:val="en-GB"/>
        </w:rPr>
        <w:t>Equal</w:t>
      </w:r>
      <w:r w:rsidR="00F8017B" w:rsidRPr="00A63A89">
        <w:rPr>
          <w:rFonts w:ascii="Tahoma" w:hAnsi="Tahoma" w:cs="Tahoma"/>
          <w:b/>
          <w:bCs/>
          <w:iCs/>
          <w:sz w:val="21"/>
          <w:szCs w:val="21"/>
          <w:lang w:val="en-GB"/>
        </w:rPr>
        <w:t xml:space="preserve"> and non-discriminatory</w:t>
      </w:r>
      <w:r w:rsidRPr="00A63A89">
        <w:rPr>
          <w:rFonts w:ascii="Tahoma" w:hAnsi="Tahoma" w:cs="Tahoma"/>
          <w:b/>
          <w:bCs/>
          <w:iCs/>
          <w:sz w:val="21"/>
          <w:szCs w:val="21"/>
          <w:lang w:val="en-GB"/>
        </w:rPr>
        <w:t xml:space="preserve"> </w:t>
      </w:r>
      <w:r w:rsidR="00F8017B" w:rsidRPr="00A63A89">
        <w:rPr>
          <w:rFonts w:ascii="Tahoma" w:hAnsi="Tahoma" w:cs="Tahoma"/>
          <w:b/>
          <w:bCs/>
          <w:iCs/>
          <w:sz w:val="21"/>
          <w:szCs w:val="21"/>
          <w:lang w:val="en-GB"/>
        </w:rPr>
        <w:t xml:space="preserve">financial service </w:t>
      </w:r>
      <w:r w:rsidRPr="00A63A89">
        <w:rPr>
          <w:rFonts w:ascii="Tahoma" w:hAnsi="Tahoma" w:cs="Tahoma"/>
          <w:b/>
          <w:bCs/>
          <w:iCs/>
          <w:sz w:val="21"/>
          <w:szCs w:val="21"/>
          <w:lang w:val="en-GB"/>
        </w:rPr>
        <w:t xml:space="preserve">access should be guaranteed for all. </w:t>
      </w:r>
      <w:r w:rsidRPr="00A63A89">
        <w:rPr>
          <w:rFonts w:ascii="Tahoma" w:hAnsi="Tahoma" w:cs="Tahoma"/>
          <w:iCs/>
          <w:sz w:val="21"/>
          <w:szCs w:val="21"/>
          <w:lang w:val="en-GB"/>
        </w:rPr>
        <w:t>States have committed to guarantee</w:t>
      </w:r>
      <w:r w:rsidR="00F8017B" w:rsidRPr="00A63A89">
        <w:rPr>
          <w:rFonts w:ascii="Tahoma" w:hAnsi="Tahoma" w:cs="Tahoma"/>
          <w:iCs/>
          <w:sz w:val="21"/>
          <w:szCs w:val="21"/>
          <w:lang w:val="en-GB"/>
        </w:rPr>
        <w:t>ing</w:t>
      </w:r>
      <w:r w:rsidRPr="00A63A89">
        <w:rPr>
          <w:rFonts w:ascii="Tahoma" w:hAnsi="Tahoma" w:cs="Tahoma"/>
          <w:iCs/>
          <w:sz w:val="21"/>
          <w:szCs w:val="21"/>
          <w:lang w:val="en-GB"/>
        </w:rPr>
        <w:t xml:space="preserve"> equality and non-discrimination</w:t>
      </w:r>
      <w:r w:rsidR="00F8017B" w:rsidRPr="00A63A89">
        <w:rPr>
          <w:rFonts w:ascii="Tahoma" w:hAnsi="Tahoma" w:cs="Tahoma"/>
          <w:iCs/>
          <w:sz w:val="21"/>
          <w:szCs w:val="21"/>
          <w:lang w:val="en-GB"/>
        </w:rPr>
        <w:t>, and</w:t>
      </w:r>
      <w:r w:rsidRPr="00A63A89">
        <w:rPr>
          <w:rFonts w:ascii="Tahoma" w:hAnsi="Tahoma" w:cs="Tahoma"/>
          <w:iCs/>
          <w:sz w:val="21"/>
          <w:szCs w:val="21"/>
          <w:lang w:val="en-GB"/>
        </w:rPr>
        <w:t xml:space="preserve"> should strive to ensure universal access to affordable and appropriate financial services across income, gender, geograph</w:t>
      </w:r>
      <w:r w:rsidR="007D467D" w:rsidRPr="00A63A89">
        <w:rPr>
          <w:rFonts w:ascii="Tahoma" w:hAnsi="Tahoma" w:cs="Tahoma"/>
          <w:iCs/>
          <w:sz w:val="21"/>
          <w:szCs w:val="21"/>
          <w:lang w:val="en-GB"/>
        </w:rPr>
        <w:t>ic</w:t>
      </w:r>
      <w:r w:rsidRPr="00A63A89">
        <w:rPr>
          <w:rFonts w:ascii="Tahoma" w:hAnsi="Tahoma" w:cs="Tahoma"/>
          <w:iCs/>
          <w:sz w:val="21"/>
          <w:szCs w:val="21"/>
          <w:lang w:val="en-GB"/>
        </w:rPr>
        <w:t xml:space="preserve">, age and other groups. </w:t>
      </w:r>
      <w:r w:rsidR="00090B0F" w:rsidRPr="00A63A89">
        <w:rPr>
          <w:rFonts w:ascii="Tahoma" w:hAnsi="Tahoma" w:cs="Tahoma"/>
          <w:iCs/>
          <w:sz w:val="21"/>
          <w:szCs w:val="21"/>
          <w:lang w:val="en-GB"/>
        </w:rPr>
        <w:t xml:space="preserve">This </w:t>
      </w:r>
      <w:r w:rsidR="00F8017B" w:rsidRPr="00A63A89">
        <w:rPr>
          <w:rFonts w:ascii="Tahoma" w:hAnsi="Tahoma" w:cs="Tahoma"/>
          <w:iCs/>
          <w:sz w:val="21"/>
          <w:szCs w:val="21"/>
          <w:lang w:val="en-GB"/>
        </w:rPr>
        <w:t xml:space="preserve">will require the establishment of </w:t>
      </w:r>
      <w:r w:rsidRPr="00A63A89">
        <w:rPr>
          <w:rFonts w:ascii="Tahoma" w:hAnsi="Tahoma" w:cs="Tahoma"/>
          <w:iCs/>
          <w:sz w:val="21"/>
          <w:szCs w:val="21"/>
          <w:lang w:val="en-GB"/>
        </w:rPr>
        <w:t>effective regulation</w:t>
      </w:r>
      <w:r w:rsidR="007D467D" w:rsidRPr="00A63A89">
        <w:rPr>
          <w:rFonts w:ascii="Tahoma" w:hAnsi="Tahoma" w:cs="Tahoma"/>
          <w:iCs/>
          <w:sz w:val="21"/>
          <w:szCs w:val="21"/>
          <w:lang w:val="en-GB"/>
        </w:rPr>
        <w:t xml:space="preserve"> and </w:t>
      </w:r>
      <w:r w:rsidRPr="00A63A89">
        <w:rPr>
          <w:rFonts w:ascii="Tahoma" w:hAnsi="Tahoma" w:cs="Tahoma"/>
          <w:iCs/>
          <w:sz w:val="21"/>
          <w:szCs w:val="21"/>
          <w:lang w:val="en-GB"/>
        </w:rPr>
        <w:t>recourse mechanisms</w:t>
      </w:r>
      <w:r w:rsidR="007D467D" w:rsidRPr="00A63A89">
        <w:rPr>
          <w:rFonts w:ascii="Tahoma" w:hAnsi="Tahoma" w:cs="Tahoma"/>
          <w:iCs/>
          <w:sz w:val="21"/>
          <w:szCs w:val="21"/>
          <w:lang w:val="en-GB"/>
        </w:rPr>
        <w:t>,</w:t>
      </w:r>
      <w:r w:rsidRPr="00A63A89">
        <w:rPr>
          <w:rFonts w:ascii="Tahoma" w:hAnsi="Tahoma" w:cs="Tahoma"/>
          <w:iCs/>
          <w:sz w:val="21"/>
          <w:szCs w:val="21"/>
          <w:lang w:val="en-GB"/>
        </w:rPr>
        <w:t xml:space="preserve"> </w:t>
      </w:r>
      <w:r w:rsidR="007D467D" w:rsidRPr="00A63A89">
        <w:rPr>
          <w:rFonts w:ascii="Tahoma" w:hAnsi="Tahoma" w:cs="Tahoma"/>
          <w:iCs/>
          <w:sz w:val="21"/>
          <w:szCs w:val="21"/>
          <w:lang w:val="en-GB"/>
        </w:rPr>
        <w:t xml:space="preserve">as well as </w:t>
      </w:r>
      <w:r w:rsidRPr="00A63A89">
        <w:rPr>
          <w:rFonts w:ascii="Tahoma" w:hAnsi="Tahoma" w:cs="Tahoma"/>
          <w:iCs/>
          <w:sz w:val="21"/>
          <w:szCs w:val="21"/>
          <w:lang w:val="en-GB"/>
        </w:rPr>
        <w:t>consumer protection agencies to prevent predatory lending</w:t>
      </w:r>
      <w:r w:rsidR="007D467D" w:rsidRPr="00A63A89">
        <w:rPr>
          <w:rFonts w:ascii="Tahoma" w:hAnsi="Tahoma" w:cs="Tahoma"/>
          <w:iCs/>
          <w:sz w:val="21"/>
          <w:szCs w:val="21"/>
          <w:lang w:val="en-GB"/>
        </w:rPr>
        <w:t>. It is also important</w:t>
      </w:r>
      <w:r w:rsidRPr="00A63A89">
        <w:rPr>
          <w:rFonts w:ascii="Tahoma" w:hAnsi="Tahoma" w:cs="Tahoma"/>
          <w:iCs/>
          <w:sz w:val="21"/>
          <w:szCs w:val="21"/>
          <w:lang w:val="en-GB"/>
        </w:rPr>
        <w:t xml:space="preserve"> </w:t>
      </w:r>
      <w:r w:rsidR="00F8017B" w:rsidRPr="00A63A89">
        <w:rPr>
          <w:rFonts w:ascii="Tahoma" w:hAnsi="Tahoma" w:cs="Tahoma"/>
          <w:iCs/>
          <w:sz w:val="21"/>
          <w:szCs w:val="21"/>
          <w:lang w:val="en-GB"/>
        </w:rPr>
        <w:t>to</w:t>
      </w:r>
      <w:r w:rsidR="007D467D" w:rsidRPr="00A63A89">
        <w:rPr>
          <w:rFonts w:ascii="Tahoma" w:hAnsi="Tahoma" w:cs="Tahoma"/>
          <w:iCs/>
          <w:sz w:val="21"/>
          <w:szCs w:val="21"/>
          <w:lang w:val="en-GB"/>
        </w:rPr>
        <w:t xml:space="preserve"> establish effective programmes to</w:t>
      </w:r>
      <w:r w:rsidR="00F8017B" w:rsidRPr="00A63A89">
        <w:rPr>
          <w:rFonts w:ascii="Tahoma" w:hAnsi="Tahoma" w:cs="Tahoma"/>
          <w:iCs/>
          <w:sz w:val="21"/>
          <w:szCs w:val="21"/>
          <w:lang w:val="en-GB"/>
        </w:rPr>
        <w:t xml:space="preserve"> </w:t>
      </w:r>
      <w:r w:rsidR="007D467D" w:rsidRPr="00A63A89">
        <w:rPr>
          <w:rFonts w:ascii="Tahoma" w:hAnsi="Tahoma" w:cs="Tahoma"/>
          <w:iCs/>
          <w:sz w:val="21"/>
          <w:szCs w:val="21"/>
          <w:lang w:val="en-GB"/>
        </w:rPr>
        <w:t xml:space="preserve">build </w:t>
      </w:r>
      <w:r w:rsidRPr="00A63A89">
        <w:rPr>
          <w:rFonts w:ascii="Tahoma" w:hAnsi="Tahoma" w:cs="Tahoma"/>
          <w:iCs/>
          <w:sz w:val="21"/>
          <w:szCs w:val="21"/>
          <w:lang w:val="en-GB"/>
        </w:rPr>
        <w:t xml:space="preserve">greater financial literacy </w:t>
      </w:r>
      <w:r w:rsidR="00F8017B" w:rsidRPr="00A63A89">
        <w:rPr>
          <w:rFonts w:ascii="Tahoma" w:hAnsi="Tahoma" w:cs="Tahoma"/>
          <w:iCs/>
          <w:sz w:val="21"/>
          <w:szCs w:val="21"/>
          <w:lang w:val="en-GB"/>
        </w:rPr>
        <w:t>among all urban inhabitants</w:t>
      </w:r>
      <w:r w:rsidR="007D467D" w:rsidRPr="00A63A89">
        <w:rPr>
          <w:rFonts w:ascii="Tahoma" w:hAnsi="Tahoma" w:cs="Tahoma"/>
          <w:iCs/>
          <w:sz w:val="21"/>
          <w:szCs w:val="21"/>
          <w:lang w:val="en-GB"/>
        </w:rPr>
        <w:t>, with a focus on the most economically marginalized groups</w:t>
      </w:r>
      <w:r w:rsidRPr="00A63A89">
        <w:rPr>
          <w:rFonts w:ascii="Tahoma" w:hAnsi="Tahoma" w:cs="Tahoma"/>
          <w:iCs/>
          <w:sz w:val="21"/>
          <w:szCs w:val="21"/>
          <w:lang w:val="en-GB"/>
        </w:rPr>
        <w:t xml:space="preserve">. </w:t>
      </w:r>
    </w:p>
    <w:p w:rsidR="00DC0954" w:rsidRPr="00A63A89" w:rsidRDefault="00DC0954" w:rsidP="00ED704E">
      <w:pPr>
        <w:jc w:val="both"/>
        <w:rPr>
          <w:rFonts w:ascii="Tahoma" w:hAnsi="Tahoma" w:cs="Tahoma"/>
          <w:bCs/>
          <w:iCs/>
          <w:sz w:val="21"/>
          <w:szCs w:val="21"/>
          <w:lang w:val="en-GB"/>
        </w:rPr>
      </w:pPr>
      <w:r w:rsidRPr="00A63A89">
        <w:rPr>
          <w:rFonts w:ascii="Tahoma" w:hAnsi="Tahoma" w:cs="Tahoma"/>
          <w:b/>
          <w:bCs/>
          <w:iCs/>
          <w:sz w:val="21"/>
          <w:szCs w:val="21"/>
          <w:lang w:val="en-GB"/>
        </w:rPr>
        <w:lastRenderedPageBreak/>
        <w:t xml:space="preserve">Excluded groups should be empowered. </w:t>
      </w:r>
      <w:r w:rsidRPr="00A63A89">
        <w:rPr>
          <w:rFonts w:ascii="Tahoma" w:hAnsi="Tahoma" w:cs="Tahoma"/>
          <w:bCs/>
          <w:iCs/>
          <w:sz w:val="21"/>
          <w:szCs w:val="21"/>
          <w:lang w:val="en-GB"/>
        </w:rPr>
        <w:t xml:space="preserve">States </w:t>
      </w:r>
      <w:r w:rsidR="00165BDA" w:rsidRPr="00A63A89">
        <w:rPr>
          <w:rFonts w:ascii="Tahoma" w:hAnsi="Tahoma" w:cs="Tahoma"/>
          <w:bCs/>
          <w:iCs/>
          <w:sz w:val="21"/>
          <w:szCs w:val="21"/>
          <w:lang w:val="en-GB"/>
        </w:rPr>
        <w:t>must be</w:t>
      </w:r>
      <w:r w:rsidR="007D467D" w:rsidRPr="00A63A89">
        <w:rPr>
          <w:rFonts w:ascii="Tahoma" w:hAnsi="Tahoma" w:cs="Tahoma"/>
          <w:bCs/>
          <w:iCs/>
          <w:sz w:val="21"/>
          <w:szCs w:val="21"/>
          <w:lang w:val="en-GB"/>
        </w:rPr>
        <w:t xml:space="preserve"> committed to upholding</w:t>
      </w:r>
      <w:r w:rsidRPr="00A63A89">
        <w:rPr>
          <w:rFonts w:ascii="Tahoma" w:hAnsi="Tahoma" w:cs="Tahoma"/>
          <w:bCs/>
          <w:iCs/>
          <w:sz w:val="21"/>
          <w:szCs w:val="21"/>
          <w:lang w:val="en-GB"/>
        </w:rPr>
        <w:t xml:space="preserve"> the rights of</w:t>
      </w:r>
      <w:r w:rsidRPr="00A63A89">
        <w:rPr>
          <w:rFonts w:ascii="Tahoma" w:hAnsi="Tahoma" w:cs="Tahoma"/>
          <w:b/>
          <w:bCs/>
          <w:iCs/>
          <w:sz w:val="21"/>
          <w:szCs w:val="21"/>
          <w:lang w:val="en-GB"/>
        </w:rPr>
        <w:t xml:space="preserve"> </w:t>
      </w:r>
      <w:r w:rsidR="007D467D" w:rsidRPr="00A63A89">
        <w:rPr>
          <w:rFonts w:ascii="Tahoma" w:hAnsi="Tahoma" w:cs="Tahoma"/>
          <w:bCs/>
          <w:iCs/>
          <w:sz w:val="21"/>
          <w:szCs w:val="21"/>
          <w:lang w:val="en-GB"/>
        </w:rPr>
        <w:t xml:space="preserve">all people, and special measures are needed to protect the rights of </w:t>
      </w:r>
      <w:r w:rsidRPr="00A63A89">
        <w:rPr>
          <w:rFonts w:ascii="Tahoma" w:hAnsi="Tahoma" w:cs="Tahoma"/>
          <w:bCs/>
          <w:iCs/>
          <w:sz w:val="21"/>
          <w:szCs w:val="21"/>
          <w:lang w:val="en-GB"/>
        </w:rPr>
        <w:t>the</w:t>
      </w:r>
      <w:r w:rsidR="00CB6014" w:rsidRPr="00A63A89">
        <w:rPr>
          <w:rFonts w:ascii="Tahoma" w:hAnsi="Tahoma" w:cs="Tahoma"/>
          <w:bCs/>
          <w:iCs/>
          <w:sz w:val="21"/>
          <w:szCs w:val="21"/>
          <w:lang w:val="en-GB"/>
        </w:rPr>
        <w:t xml:space="preserve"> most</w:t>
      </w:r>
      <w:r w:rsidRPr="00A63A89">
        <w:rPr>
          <w:rFonts w:ascii="Tahoma" w:hAnsi="Tahoma" w:cs="Tahoma"/>
          <w:bCs/>
          <w:iCs/>
          <w:sz w:val="21"/>
          <w:szCs w:val="21"/>
          <w:lang w:val="en-GB"/>
        </w:rPr>
        <w:t xml:space="preserve"> excluded groups in society, </w:t>
      </w:r>
      <w:r w:rsidR="0027621F" w:rsidRPr="00A63A89">
        <w:rPr>
          <w:rFonts w:ascii="Tahoma" w:hAnsi="Tahoma" w:cs="Tahoma"/>
          <w:bCs/>
          <w:iCs/>
          <w:sz w:val="21"/>
          <w:szCs w:val="21"/>
          <w:lang w:val="en-GB"/>
        </w:rPr>
        <w:t xml:space="preserve">including </w:t>
      </w:r>
      <w:r w:rsidRPr="00A63A89">
        <w:rPr>
          <w:rFonts w:ascii="Tahoma" w:hAnsi="Tahoma" w:cs="Tahoma"/>
          <w:bCs/>
          <w:iCs/>
          <w:sz w:val="21"/>
          <w:szCs w:val="21"/>
          <w:lang w:val="en-GB"/>
        </w:rPr>
        <w:t>women</w:t>
      </w:r>
      <w:r w:rsidR="00CB6014" w:rsidRPr="00A63A89">
        <w:rPr>
          <w:rFonts w:ascii="Tahoma" w:hAnsi="Tahoma" w:cs="Tahoma"/>
          <w:bCs/>
          <w:iCs/>
          <w:sz w:val="21"/>
          <w:szCs w:val="21"/>
          <w:lang w:val="en-GB"/>
        </w:rPr>
        <w:t xml:space="preserve"> and </w:t>
      </w:r>
      <w:r w:rsidRPr="00A63A89">
        <w:rPr>
          <w:rFonts w:ascii="Tahoma" w:hAnsi="Tahoma" w:cs="Tahoma"/>
          <w:bCs/>
          <w:iCs/>
          <w:sz w:val="21"/>
          <w:szCs w:val="21"/>
          <w:lang w:val="en-GB"/>
        </w:rPr>
        <w:t>children</w:t>
      </w:r>
      <w:r w:rsidR="00CB6014" w:rsidRPr="00A63A89">
        <w:rPr>
          <w:rFonts w:ascii="Tahoma" w:hAnsi="Tahoma" w:cs="Tahoma"/>
          <w:bCs/>
          <w:iCs/>
          <w:sz w:val="21"/>
          <w:szCs w:val="21"/>
          <w:lang w:val="en-GB"/>
        </w:rPr>
        <w:t xml:space="preserve"> in situations of greatest vulnerability</w:t>
      </w:r>
      <w:r w:rsidRPr="00A63A89">
        <w:rPr>
          <w:rFonts w:ascii="Tahoma" w:hAnsi="Tahoma" w:cs="Tahoma"/>
          <w:bCs/>
          <w:iCs/>
          <w:sz w:val="21"/>
          <w:szCs w:val="21"/>
          <w:lang w:val="en-GB"/>
        </w:rPr>
        <w:t xml:space="preserve">, </w:t>
      </w:r>
      <w:r w:rsidR="00165BDA" w:rsidRPr="00A63A89">
        <w:rPr>
          <w:rFonts w:ascii="Tahoma" w:hAnsi="Tahoma" w:cs="Tahoma"/>
          <w:bCs/>
          <w:iCs/>
          <w:sz w:val="21"/>
          <w:szCs w:val="21"/>
          <w:lang w:val="en-GB"/>
        </w:rPr>
        <w:t>persons with disabilities</w:t>
      </w:r>
      <w:r w:rsidRPr="00A63A89">
        <w:rPr>
          <w:rFonts w:ascii="Tahoma" w:hAnsi="Tahoma" w:cs="Tahoma"/>
          <w:bCs/>
          <w:iCs/>
          <w:sz w:val="21"/>
          <w:szCs w:val="21"/>
          <w:lang w:val="en-GB"/>
        </w:rPr>
        <w:t xml:space="preserve">, migrants, and the </w:t>
      </w:r>
      <w:r w:rsidR="00CB6014" w:rsidRPr="00A63A89">
        <w:rPr>
          <w:rFonts w:ascii="Tahoma" w:hAnsi="Tahoma" w:cs="Tahoma"/>
          <w:bCs/>
          <w:iCs/>
          <w:sz w:val="21"/>
          <w:szCs w:val="21"/>
          <w:lang w:val="en-GB"/>
        </w:rPr>
        <w:t xml:space="preserve">urban </w:t>
      </w:r>
      <w:r w:rsidRPr="00A63A89">
        <w:rPr>
          <w:rFonts w:ascii="Tahoma" w:hAnsi="Tahoma" w:cs="Tahoma"/>
          <w:bCs/>
          <w:iCs/>
          <w:sz w:val="21"/>
          <w:szCs w:val="21"/>
          <w:lang w:val="en-GB"/>
        </w:rPr>
        <w:t xml:space="preserve">poor. </w:t>
      </w:r>
      <w:r w:rsidR="00617896" w:rsidRPr="00A63A89">
        <w:rPr>
          <w:rFonts w:ascii="Tahoma" w:hAnsi="Tahoma" w:cs="Tahoma"/>
          <w:bCs/>
          <w:iCs/>
          <w:sz w:val="21"/>
          <w:szCs w:val="21"/>
          <w:lang w:val="en-GB"/>
        </w:rPr>
        <w:t>The full realization of the h</w:t>
      </w:r>
      <w:r w:rsidRPr="00A63A89">
        <w:rPr>
          <w:rFonts w:ascii="Tahoma" w:hAnsi="Tahoma" w:cs="Tahoma"/>
          <w:bCs/>
          <w:iCs/>
          <w:sz w:val="21"/>
          <w:szCs w:val="21"/>
          <w:lang w:val="en-GB"/>
        </w:rPr>
        <w:t xml:space="preserve">uman rights </w:t>
      </w:r>
      <w:r w:rsidR="00617896" w:rsidRPr="00A63A89">
        <w:rPr>
          <w:rFonts w:ascii="Tahoma" w:hAnsi="Tahoma" w:cs="Tahoma"/>
          <w:bCs/>
          <w:iCs/>
          <w:sz w:val="21"/>
          <w:szCs w:val="21"/>
          <w:lang w:val="en-GB"/>
        </w:rPr>
        <w:t xml:space="preserve">of all </w:t>
      </w:r>
      <w:r w:rsidRPr="00A63A89">
        <w:rPr>
          <w:rFonts w:ascii="Tahoma" w:hAnsi="Tahoma" w:cs="Tahoma"/>
          <w:bCs/>
          <w:iCs/>
          <w:sz w:val="21"/>
          <w:szCs w:val="21"/>
          <w:lang w:val="en-GB"/>
        </w:rPr>
        <w:t xml:space="preserve">can </w:t>
      </w:r>
      <w:r w:rsidR="00CB6014" w:rsidRPr="00A63A89">
        <w:rPr>
          <w:rFonts w:ascii="Tahoma" w:hAnsi="Tahoma" w:cs="Tahoma"/>
          <w:bCs/>
          <w:iCs/>
          <w:sz w:val="21"/>
          <w:szCs w:val="21"/>
          <w:lang w:val="en-GB"/>
        </w:rPr>
        <w:t xml:space="preserve">only </w:t>
      </w:r>
      <w:r w:rsidRPr="00A63A89">
        <w:rPr>
          <w:rFonts w:ascii="Tahoma" w:hAnsi="Tahoma" w:cs="Tahoma"/>
          <w:bCs/>
          <w:iCs/>
          <w:sz w:val="21"/>
          <w:szCs w:val="21"/>
          <w:lang w:val="en-GB"/>
        </w:rPr>
        <w:t xml:space="preserve">be attained when excluded groups </w:t>
      </w:r>
      <w:r w:rsidR="0027621F" w:rsidRPr="00A63A89">
        <w:rPr>
          <w:rFonts w:ascii="Tahoma" w:hAnsi="Tahoma" w:cs="Tahoma"/>
          <w:bCs/>
          <w:iCs/>
          <w:sz w:val="21"/>
          <w:szCs w:val="21"/>
          <w:lang w:val="en-GB"/>
        </w:rPr>
        <w:t xml:space="preserve">are effectively integrated </w:t>
      </w:r>
      <w:r w:rsidRPr="00A63A89">
        <w:rPr>
          <w:rFonts w:ascii="Tahoma" w:hAnsi="Tahoma" w:cs="Tahoma"/>
          <w:bCs/>
          <w:iCs/>
          <w:sz w:val="21"/>
          <w:szCs w:val="21"/>
          <w:lang w:val="en-GB"/>
        </w:rPr>
        <w:t>in</w:t>
      </w:r>
      <w:r w:rsidR="0027621F" w:rsidRPr="00A63A89">
        <w:rPr>
          <w:rFonts w:ascii="Tahoma" w:hAnsi="Tahoma" w:cs="Tahoma"/>
          <w:bCs/>
          <w:iCs/>
          <w:sz w:val="21"/>
          <w:szCs w:val="21"/>
          <w:lang w:val="en-GB"/>
        </w:rPr>
        <w:t>to</w:t>
      </w:r>
      <w:r w:rsidRPr="00A63A89">
        <w:rPr>
          <w:rFonts w:ascii="Tahoma" w:hAnsi="Tahoma" w:cs="Tahoma"/>
          <w:bCs/>
          <w:iCs/>
          <w:sz w:val="21"/>
          <w:szCs w:val="21"/>
          <w:lang w:val="en-GB"/>
        </w:rPr>
        <w:t xml:space="preserve"> society. Specific barriers to women’s access to finance must be eliminated. Women and girls must have equal access to financial services, and the right to own land and other assets. The human rights of migrants should be protected, regardless of their status and not be treated as an econom</w:t>
      </w:r>
      <w:r w:rsidR="00ED704E">
        <w:rPr>
          <w:rFonts w:ascii="Tahoma" w:hAnsi="Tahoma" w:cs="Tahoma"/>
          <w:bCs/>
          <w:iCs/>
          <w:sz w:val="21"/>
          <w:szCs w:val="21"/>
          <w:lang w:val="en-GB"/>
        </w:rPr>
        <w:t>ic commodity.</w:t>
      </w:r>
    </w:p>
    <w:p w:rsidR="00DC0954" w:rsidRPr="00A63A89" w:rsidRDefault="00DC0954" w:rsidP="00DC0954">
      <w:pPr>
        <w:jc w:val="both"/>
        <w:rPr>
          <w:rFonts w:ascii="Tahoma" w:hAnsi="Tahoma" w:cs="Tahoma"/>
          <w:bCs/>
          <w:iCs/>
          <w:sz w:val="21"/>
          <w:szCs w:val="21"/>
          <w:lang w:val="en-GB"/>
        </w:rPr>
      </w:pPr>
      <w:r w:rsidRPr="00A63A89">
        <w:rPr>
          <w:rFonts w:ascii="Tahoma" w:hAnsi="Tahoma" w:cs="Tahoma"/>
          <w:b/>
          <w:bCs/>
          <w:iCs/>
          <w:sz w:val="21"/>
          <w:szCs w:val="21"/>
          <w:lang w:val="en-GB"/>
        </w:rPr>
        <w:t xml:space="preserve">Accountability is </w:t>
      </w:r>
      <w:r w:rsidR="0027621F" w:rsidRPr="00A63A89">
        <w:rPr>
          <w:rFonts w:ascii="Tahoma" w:hAnsi="Tahoma" w:cs="Tahoma"/>
          <w:b/>
          <w:bCs/>
          <w:iCs/>
          <w:sz w:val="21"/>
          <w:szCs w:val="21"/>
          <w:lang w:val="en-GB"/>
        </w:rPr>
        <w:t>crucial</w:t>
      </w:r>
      <w:r w:rsidRPr="00A63A89">
        <w:rPr>
          <w:rFonts w:ascii="Tahoma" w:hAnsi="Tahoma" w:cs="Tahoma"/>
          <w:b/>
          <w:bCs/>
          <w:iCs/>
          <w:sz w:val="21"/>
          <w:szCs w:val="21"/>
          <w:lang w:val="en-GB"/>
        </w:rPr>
        <w:t>.</w:t>
      </w:r>
      <w:r w:rsidRPr="00A63A89">
        <w:rPr>
          <w:rFonts w:ascii="Tahoma" w:eastAsia="MS Mincho" w:hAnsi="Tahoma" w:cs="Tahoma"/>
          <w:b/>
          <w:bCs/>
          <w:color w:val="548DD4"/>
          <w:sz w:val="21"/>
          <w:szCs w:val="21"/>
        </w:rPr>
        <w:t xml:space="preserve"> </w:t>
      </w:r>
      <w:r w:rsidRPr="00A63A89">
        <w:rPr>
          <w:rFonts w:ascii="Tahoma" w:hAnsi="Tahoma" w:cs="Tahoma"/>
          <w:bCs/>
          <w:iCs/>
          <w:sz w:val="21"/>
          <w:szCs w:val="21"/>
          <w:lang w:val="en-GB"/>
        </w:rPr>
        <w:t>National and local authorities should adopt policies and institutional, legal and regulatory frameworks to encourage responsible and accountable public and private investment in cities. Such frameworks should include human rights and sustainability criteria</w:t>
      </w:r>
      <w:r w:rsidR="00940B6C" w:rsidRPr="00A63A89">
        <w:rPr>
          <w:rFonts w:ascii="Tahoma" w:hAnsi="Tahoma" w:cs="Tahoma"/>
          <w:bCs/>
          <w:iCs/>
          <w:sz w:val="21"/>
          <w:szCs w:val="21"/>
          <w:lang w:val="en-GB"/>
        </w:rPr>
        <w:t>,</w:t>
      </w:r>
      <w:r w:rsidRPr="00A63A89">
        <w:rPr>
          <w:rFonts w:ascii="Tahoma" w:hAnsi="Tahoma" w:cs="Tahoma"/>
          <w:bCs/>
          <w:iCs/>
          <w:sz w:val="21"/>
          <w:szCs w:val="21"/>
          <w:lang w:val="en-GB"/>
        </w:rPr>
        <w:t xml:space="preserve"> and </w:t>
      </w:r>
      <w:r w:rsidR="00940B6C" w:rsidRPr="00A63A89">
        <w:rPr>
          <w:rFonts w:ascii="Tahoma" w:hAnsi="Tahoma" w:cs="Tahoma"/>
          <w:bCs/>
          <w:iCs/>
          <w:sz w:val="21"/>
          <w:szCs w:val="21"/>
          <w:lang w:val="en-GB"/>
        </w:rPr>
        <w:t xml:space="preserve">should </w:t>
      </w:r>
      <w:r w:rsidRPr="00A63A89">
        <w:rPr>
          <w:rFonts w:ascii="Tahoma" w:hAnsi="Tahoma" w:cs="Tahoma"/>
          <w:bCs/>
          <w:iCs/>
          <w:sz w:val="21"/>
          <w:szCs w:val="21"/>
          <w:lang w:val="en-GB"/>
        </w:rPr>
        <w:t>align investor incentives with sustainable urbanization.</w:t>
      </w:r>
    </w:p>
    <w:p w:rsidR="00733858" w:rsidRDefault="00733858" w:rsidP="00A63A89">
      <w:pPr>
        <w:pStyle w:val="Default"/>
        <w:jc w:val="both"/>
        <w:rPr>
          <w:rFonts w:ascii="Tahoma" w:eastAsia="MS Mincho" w:hAnsi="Tahoma" w:cs="Tahoma"/>
          <w:b/>
          <w:bCs/>
          <w:color w:val="548DD4"/>
        </w:rPr>
      </w:pPr>
      <w:r w:rsidRPr="00A63A89">
        <w:rPr>
          <w:rFonts w:ascii="Tahoma" w:eastAsia="MS Mincho" w:hAnsi="Tahoma" w:cs="Tahoma"/>
          <w:b/>
          <w:bCs/>
          <w:color w:val="548DD4"/>
        </w:rPr>
        <w:t>By monitoring progress toward fulfilment of human rights objectives, States can make informed decisions regarding the effective use of resources for the progressive realization of human rights. State authorities should regularly review and monitor the impact of investments and finance based on specific, measureable, time-bound targets to ensure the accountability of all States for their commitments.</w:t>
      </w:r>
    </w:p>
    <w:p w:rsidR="00A63A89" w:rsidRDefault="00A63A89" w:rsidP="00A63A89">
      <w:pPr>
        <w:pStyle w:val="Default"/>
        <w:rPr>
          <w:rFonts w:ascii="Tahoma" w:eastAsia="MS Mincho" w:hAnsi="Tahoma" w:cs="Tahoma"/>
          <w:b/>
          <w:bCs/>
          <w:color w:val="548DD4"/>
        </w:rPr>
      </w:pPr>
    </w:p>
    <w:p w:rsidR="00A63A89" w:rsidRPr="00A63A89" w:rsidRDefault="00A63A89" w:rsidP="00A63A89">
      <w:pPr>
        <w:pStyle w:val="Default"/>
        <w:rPr>
          <w:rFonts w:ascii="Tahoma" w:eastAsia="MS Mincho" w:hAnsi="Tahoma" w:cs="Tahoma"/>
          <w:b/>
          <w:bCs/>
          <w:color w:val="548DD4"/>
        </w:rPr>
      </w:pPr>
    </w:p>
    <w:p w:rsidR="00470639" w:rsidRPr="00A63A89" w:rsidRDefault="00DC0954" w:rsidP="00DC0954">
      <w:pPr>
        <w:jc w:val="both"/>
        <w:rPr>
          <w:rFonts w:ascii="Tahoma" w:hAnsi="Tahoma" w:cs="Tahoma"/>
          <w:bCs/>
          <w:iCs/>
          <w:sz w:val="21"/>
          <w:szCs w:val="21"/>
          <w:lang w:val="en-GB"/>
        </w:rPr>
      </w:pPr>
      <w:r w:rsidRPr="00A63A89">
        <w:rPr>
          <w:rFonts w:ascii="Tahoma" w:hAnsi="Tahoma" w:cs="Tahoma"/>
          <w:b/>
          <w:bCs/>
          <w:iCs/>
          <w:sz w:val="21"/>
          <w:szCs w:val="21"/>
          <w:lang w:val="en-GB"/>
        </w:rPr>
        <w:t xml:space="preserve">All, including the private sector, should respect human rights and do no harm: </w:t>
      </w:r>
      <w:r w:rsidRPr="00A63A89">
        <w:rPr>
          <w:rFonts w:ascii="Tahoma" w:hAnsi="Tahoma" w:cs="Tahoma"/>
          <w:bCs/>
          <w:iCs/>
          <w:sz w:val="21"/>
          <w:szCs w:val="21"/>
          <w:lang w:val="en-GB"/>
        </w:rPr>
        <w:t>As businesses assume an ever-expanding role in the development and economic spheres their adherence to the human rights responsibilities outlined in the UN Guiding Principles on Business and Human Rights becomes increasingly critical. Businesses must respect human rights and do no harm. These responsibilities apply in the context of public private partnerships (PPPs), blended finance instruments, foreign direct investment and all private business activities. With regard to PPPs and blended finance, the risks and benefits of in</w:t>
      </w:r>
      <w:r w:rsidR="005C27FF" w:rsidRPr="00A63A89">
        <w:rPr>
          <w:rFonts w:ascii="Tahoma" w:hAnsi="Tahoma" w:cs="Tahoma"/>
          <w:bCs/>
          <w:iCs/>
          <w:sz w:val="21"/>
          <w:szCs w:val="21"/>
          <w:lang w:val="en-GB"/>
        </w:rPr>
        <w:t>vestments should be shared equi</w:t>
      </w:r>
      <w:r w:rsidRPr="00A63A89">
        <w:rPr>
          <w:rFonts w:ascii="Tahoma" w:hAnsi="Tahoma" w:cs="Tahoma"/>
          <w:bCs/>
          <w:iCs/>
          <w:sz w:val="21"/>
          <w:szCs w:val="21"/>
          <w:lang w:val="en-GB"/>
        </w:rPr>
        <w:t xml:space="preserve">tably between public and private investors. Both private and public sector partners must meet their respective human rights responsibilities and obligations. In working together, States and businesses should incorporate social, environmental, labour, human rights and gender equality considerations into their activities and subject public private partnerships to human rights safeguards and rigorous due diligence, including human rights impact assessments. </w:t>
      </w:r>
    </w:p>
    <w:p w:rsidR="00470639" w:rsidRDefault="00B67359" w:rsidP="00174EC6">
      <w:pPr>
        <w:pStyle w:val="BodyText"/>
      </w:pPr>
      <w:r>
        <w:t>Considering</w:t>
      </w:r>
      <w:r w:rsidR="003131AD">
        <w:t xml:space="preserve"> h</w:t>
      </w:r>
      <w:r w:rsidR="00940B6C" w:rsidRPr="00A63A89">
        <w:t xml:space="preserve">ousing </w:t>
      </w:r>
      <w:r w:rsidR="00B93527" w:rsidRPr="00A63A89">
        <w:t>a</w:t>
      </w:r>
      <w:r w:rsidR="002800E0">
        <w:t xml:space="preserve">s a </w:t>
      </w:r>
      <w:r w:rsidR="00174EC6">
        <w:t xml:space="preserve">mere </w:t>
      </w:r>
      <w:r w:rsidR="002800E0">
        <w:t xml:space="preserve">commodity and </w:t>
      </w:r>
      <w:r w:rsidR="00B93527" w:rsidRPr="00A63A89">
        <w:t>real-estate opportunity</w:t>
      </w:r>
      <w:r>
        <w:t xml:space="preserve"> leads to </w:t>
      </w:r>
      <w:r w:rsidR="00470639" w:rsidRPr="00A63A89">
        <w:t>speculation</w:t>
      </w:r>
      <w:r w:rsidR="00862D15">
        <w:t xml:space="preserve"> and </w:t>
      </w:r>
      <w:r w:rsidR="00174EC6">
        <w:t xml:space="preserve">to </w:t>
      </w:r>
      <w:r w:rsidR="00862D15">
        <w:t xml:space="preserve">the </w:t>
      </w:r>
      <w:r w:rsidR="00470639" w:rsidRPr="00A63A89">
        <w:t>social and spatial exclusion</w:t>
      </w:r>
      <w:r w:rsidR="00B93527" w:rsidRPr="00A63A89">
        <w:t xml:space="preserve"> of those in situations of vulnerability and </w:t>
      </w:r>
      <w:r w:rsidR="00C37936" w:rsidRPr="00A63A89">
        <w:t xml:space="preserve">economic </w:t>
      </w:r>
      <w:r w:rsidR="00B93527" w:rsidRPr="00A63A89">
        <w:t>marginalization</w:t>
      </w:r>
      <w:r w:rsidR="00470639" w:rsidRPr="00A63A89">
        <w:t xml:space="preserve">. Therefore, private sector partners and local </w:t>
      </w:r>
      <w:r w:rsidR="00B93527" w:rsidRPr="00A63A89">
        <w:t xml:space="preserve">financing plans </w:t>
      </w:r>
      <w:r w:rsidR="00470639" w:rsidRPr="00A63A89">
        <w:t>must put the city at the service</w:t>
      </w:r>
      <w:r w:rsidR="00E61C23">
        <w:t xml:space="preserve"> the </w:t>
      </w:r>
      <w:r w:rsidR="00470639" w:rsidRPr="00A63A89">
        <w:t>urban, social, economic, cultural, environmental and political rights</w:t>
      </w:r>
      <w:r w:rsidR="00E61C23">
        <w:t xml:space="preserve"> </w:t>
      </w:r>
      <w:r w:rsidR="00E61C23" w:rsidRPr="00A63A89">
        <w:t>of all inhabitants’</w:t>
      </w:r>
      <w:r w:rsidR="00470639" w:rsidRPr="00A63A89">
        <w:t xml:space="preserve">. </w:t>
      </w:r>
      <w:r w:rsidR="00B93527" w:rsidRPr="00A63A89">
        <w:t>This will require</w:t>
      </w:r>
      <w:r w:rsidR="00470639" w:rsidRPr="00A63A89">
        <w:t xml:space="preserve"> </w:t>
      </w:r>
      <w:r w:rsidR="00B93527" w:rsidRPr="00A63A89">
        <w:t xml:space="preserve">a redistributive approach </w:t>
      </w:r>
      <w:r w:rsidR="00C37936" w:rsidRPr="00A63A89">
        <w:t>i</w:t>
      </w:r>
      <w:r w:rsidR="00B93527" w:rsidRPr="00A63A89">
        <w:t xml:space="preserve">n which inequalities in housing </w:t>
      </w:r>
      <w:r w:rsidR="00C37936" w:rsidRPr="00A63A89">
        <w:t xml:space="preserve">opportunities </w:t>
      </w:r>
      <w:r w:rsidR="00B93527" w:rsidRPr="00A63A89">
        <w:t>and income</w:t>
      </w:r>
      <w:r w:rsidR="00C37936" w:rsidRPr="00A63A89">
        <w:t>s</w:t>
      </w:r>
      <w:r w:rsidR="00B93527" w:rsidRPr="00A63A89">
        <w:t xml:space="preserve"> are actively reduced through sustained redistributive mechanisms</w:t>
      </w:r>
      <w:r w:rsidR="00C37936" w:rsidRPr="00A63A89">
        <w:t>,</w:t>
      </w:r>
      <w:r w:rsidR="00B93527" w:rsidRPr="00A63A89">
        <w:t xml:space="preserve"> and </w:t>
      </w:r>
      <w:r w:rsidR="00C37936" w:rsidRPr="00A63A89">
        <w:t xml:space="preserve">in which </w:t>
      </w:r>
      <w:r w:rsidR="00B93527" w:rsidRPr="00A63A89">
        <w:t>local financing processes are transparent and participatory</w:t>
      </w:r>
      <w:r w:rsidR="00C37936" w:rsidRPr="00A63A89">
        <w:t>.</w:t>
      </w:r>
      <w:r w:rsidR="00470639" w:rsidRPr="00A63A89">
        <w:t xml:space="preserve"> </w:t>
      </w:r>
    </w:p>
    <w:p w:rsidR="00A63A89" w:rsidRPr="00A63A89" w:rsidRDefault="00A63A89" w:rsidP="00B93527">
      <w:pPr>
        <w:jc w:val="both"/>
        <w:rPr>
          <w:rFonts w:ascii="Tahoma" w:hAnsi="Tahoma" w:cs="Tahoma"/>
          <w:bCs/>
          <w:iCs/>
          <w:sz w:val="21"/>
          <w:szCs w:val="21"/>
          <w:lang w:val="en-GB"/>
        </w:rPr>
      </w:pPr>
      <w:bookmarkStart w:id="0" w:name="_GoBack"/>
      <w:bookmarkEnd w:id="0"/>
    </w:p>
    <w:p w:rsidR="00733858" w:rsidRPr="00A63A89" w:rsidRDefault="00733858" w:rsidP="00A63A89">
      <w:pPr>
        <w:pStyle w:val="Default"/>
        <w:jc w:val="both"/>
        <w:rPr>
          <w:rFonts w:ascii="Tahoma" w:eastAsia="MS Mincho" w:hAnsi="Tahoma" w:cs="Tahoma"/>
          <w:b/>
          <w:bCs/>
          <w:color w:val="548DD4"/>
        </w:rPr>
      </w:pPr>
      <w:r w:rsidRPr="00A63A89">
        <w:rPr>
          <w:rFonts w:ascii="Tahoma" w:eastAsia="MS Mincho" w:hAnsi="Tahoma" w:cs="Tahoma"/>
          <w:b/>
          <w:bCs/>
          <w:color w:val="548DD4"/>
        </w:rPr>
        <w:t>State authorities should establish appropriate regulations and oversight mechanisms to protect human rights from the potentially negative impacts of public-private partnerships and blended finance instruments.</w:t>
      </w:r>
    </w:p>
    <w:p w:rsidR="00AB6F76" w:rsidRPr="0074018F" w:rsidRDefault="00927628" w:rsidP="00400419">
      <w:pPr>
        <w:jc w:val="both"/>
        <w:rPr>
          <w:rFonts w:ascii="Tahoma" w:eastAsia="MS Mincho" w:hAnsi="Tahoma" w:cs="Tahoma"/>
          <w:b/>
          <w:bCs/>
          <w:color w:val="548DD4"/>
          <w:sz w:val="24"/>
          <w:szCs w:val="24"/>
        </w:rPr>
      </w:pPr>
      <w:r>
        <w:rPr>
          <w:rFonts w:ascii="Tahoma" w:eastAsia="MS Mincho" w:hAnsi="Tahoma" w:cs="Tahoma"/>
          <w:noProof/>
          <w:sz w:val="24"/>
          <w:szCs w:val="24"/>
          <w:lang w:val="en-GB" w:eastAsia="en-GB"/>
        </w:rPr>
        <w:drawing>
          <wp:anchor distT="0" distB="0" distL="114300" distR="114300" simplePos="0" relativeHeight="251671552" behindDoc="0" locked="0" layoutInCell="1" allowOverlap="1" wp14:anchorId="66339C23" wp14:editId="64F9E419">
            <wp:simplePos x="0" y="0"/>
            <wp:positionH relativeFrom="margin">
              <wp:posOffset>170180</wp:posOffset>
            </wp:positionH>
            <wp:positionV relativeFrom="margin">
              <wp:posOffset>8896985</wp:posOffset>
            </wp:positionV>
            <wp:extent cx="1838960" cy="61912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96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eastAsia="MS Mincho" w:hAnsi="Tahoma" w:cs="Tahoma"/>
          <w:noProof/>
          <w:sz w:val="24"/>
          <w:szCs w:val="24"/>
          <w:lang w:val="en-GB" w:eastAsia="en-GB"/>
        </w:rPr>
        <mc:AlternateContent>
          <mc:Choice Requires="wps">
            <w:drawing>
              <wp:anchor distT="0" distB="0" distL="114300" distR="114300" simplePos="0" relativeHeight="251682816" behindDoc="0" locked="0" layoutInCell="1" allowOverlap="1" wp14:anchorId="61B076CF" wp14:editId="49CADA56">
                <wp:simplePos x="0" y="0"/>
                <wp:positionH relativeFrom="column">
                  <wp:posOffset>2604135</wp:posOffset>
                </wp:positionH>
                <wp:positionV relativeFrom="paragraph">
                  <wp:posOffset>683260</wp:posOffset>
                </wp:positionV>
                <wp:extent cx="4110355" cy="872490"/>
                <wp:effectExtent l="0" t="0" r="4445"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872490"/>
                        </a:xfrm>
                        <a:prstGeom prst="rect">
                          <a:avLst/>
                        </a:prstGeom>
                        <a:solidFill>
                          <a:srgbClr val="B8CCE4">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419" w:rsidRPr="00501F65" w:rsidRDefault="00400419" w:rsidP="0019147D">
                            <w:pPr>
                              <w:spacing w:line="240" w:lineRule="auto"/>
                              <w:rPr>
                                <w:rFonts w:ascii="Tahoma" w:eastAsia="Malgun Gothic" w:hAnsi="Tahoma" w:cs="Tahoma"/>
                                <w:sz w:val="20"/>
                                <w:szCs w:val="20"/>
                              </w:rPr>
                            </w:pPr>
                            <w:r w:rsidRPr="00501F65">
                              <w:rPr>
                                <w:rFonts w:ascii="Tahoma" w:eastAsia="Malgun Gothic" w:hAnsi="Tahoma" w:cs="Tahoma"/>
                                <w:sz w:val="20"/>
                                <w:szCs w:val="20"/>
                              </w:rPr>
                              <w:t xml:space="preserve">For more information on human rights and urbanization, please visit: </w:t>
                            </w:r>
                          </w:p>
                          <w:p w:rsidR="00400419" w:rsidRDefault="00261D94" w:rsidP="0019147D">
                            <w:pPr>
                              <w:spacing w:line="240" w:lineRule="auto"/>
                              <w:rPr>
                                <w:rFonts w:ascii="Tahoma" w:eastAsia="Malgun Gothic" w:hAnsi="Tahoma" w:cs="Tahoma"/>
                                <w:sz w:val="20"/>
                                <w:szCs w:val="20"/>
                              </w:rPr>
                            </w:pPr>
                            <w:hyperlink r:id="rId10" w:history="1">
                              <w:r w:rsidR="00400419" w:rsidRPr="004B1007">
                                <w:rPr>
                                  <w:rStyle w:val="Hyperlink"/>
                                  <w:rFonts w:ascii="Tahoma" w:eastAsia="Malgun Gothic" w:hAnsi="Tahoma" w:cs="Tahoma"/>
                                  <w:sz w:val="20"/>
                                  <w:szCs w:val="20"/>
                                </w:rPr>
                                <w:t>http://www.ohchr.org/EN/Issues/Urbanization/Pages/UrbanizationHRIndex.aspx</w:t>
                              </w:r>
                            </w:hyperlink>
                          </w:p>
                          <w:p w:rsidR="00400419" w:rsidRDefault="00400419" w:rsidP="0019147D">
                            <w:pPr>
                              <w:spacing w:line="240" w:lineRule="auto"/>
                              <w:rPr>
                                <w:rFonts w:ascii="Tahoma" w:eastAsia="Malgun Gothic" w:hAnsi="Tahoma" w:cs="Tahoma"/>
                                <w:sz w:val="20"/>
                                <w:szCs w:val="20"/>
                              </w:rPr>
                            </w:pPr>
                          </w:p>
                          <w:p w:rsidR="00400419" w:rsidRPr="00501F65" w:rsidRDefault="00400419" w:rsidP="0019147D">
                            <w:pPr>
                              <w:spacing w:line="240" w:lineRule="auto"/>
                              <w:rPr>
                                <w:rFonts w:ascii="Tahoma" w:eastAsia="Malgun Gothic"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205.05pt;margin-top:53.8pt;width:323.65pt;height:6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" fillcolor="#b8cce4" stroked="f">
                <v:fill opacity="39321f"/>
                <v:textbox>
                  <w:txbxContent>
                    <w:p w:rsidR="00400419" w:rsidRPr="00501F65" w:rsidRDefault="00400419" w:rsidP="0019147D">
                      <w:pPr>
                        <w:spacing w:line="240" w:lineRule="auto"/>
                        <w:rPr>
                          <w:rFonts w:ascii="Tahoma" w:eastAsia="Malgun Gothic" w:hAnsi="Tahoma" w:cs="Tahoma"/>
                          <w:sz w:val="20"/>
                          <w:szCs w:val="20"/>
                        </w:rPr>
                      </w:pPr>
                      <w:r w:rsidRPr="00501F65">
                        <w:rPr>
                          <w:rFonts w:ascii="Tahoma" w:eastAsia="Malgun Gothic" w:hAnsi="Tahoma" w:cs="Tahoma"/>
                          <w:sz w:val="20"/>
                          <w:szCs w:val="20"/>
                        </w:rPr>
                        <w:t xml:space="preserve">For more information on human rights and urbanization, please visit: </w:t>
                      </w:r>
                    </w:p>
                    <w:p w:rsidR="00400419" w:rsidRDefault="002D60BC" w:rsidP="0019147D">
                      <w:pPr>
                        <w:spacing w:line="240" w:lineRule="auto"/>
                        <w:rPr>
                          <w:rFonts w:ascii="Tahoma" w:eastAsia="Malgun Gothic" w:hAnsi="Tahoma" w:cs="Tahoma"/>
                          <w:sz w:val="20"/>
                          <w:szCs w:val="20"/>
                        </w:rPr>
                      </w:pPr>
                      <w:hyperlink r:id="rId12" w:history="1">
                        <w:r w:rsidR="00400419" w:rsidRPr="004B1007">
                          <w:rPr>
                            <w:rStyle w:val="Hyperlink"/>
                            <w:rFonts w:ascii="Tahoma" w:eastAsia="Malgun Gothic" w:hAnsi="Tahoma" w:cs="Tahoma"/>
                            <w:sz w:val="20"/>
                            <w:szCs w:val="20"/>
                          </w:rPr>
                          <w:t>http://www.ohchr.org/EN/Issues/Urbanization/Pages/UrbanizationHRIndex.aspx</w:t>
                        </w:r>
                      </w:hyperlink>
                    </w:p>
                    <w:p w:rsidR="00400419" w:rsidRDefault="00400419" w:rsidP="0019147D">
                      <w:pPr>
                        <w:spacing w:line="240" w:lineRule="auto"/>
                        <w:rPr>
                          <w:rFonts w:ascii="Tahoma" w:eastAsia="Malgun Gothic" w:hAnsi="Tahoma" w:cs="Tahoma"/>
                          <w:sz w:val="20"/>
                          <w:szCs w:val="20"/>
                        </w:rPr>
                      </w:pPr>
                    </w:p>
                    <w:p w:rsidR="00400419" w:rsidRPr="00501F65" w:rsidRDefault="00400419" w:rsidP="0019147D">
                      <w:pPr>
                        <w:spacing w:line="240" w:lineRule="auto"/>
                        <w:rPr>
                          <w:rFonts w:ascii="Tahoma" w:eastAsia="Malgun Gothic" w:hAnsi="Tahoma" w:cs="Tahoma"/>
                          <w:sz w:val="20"/>
                          <w:szCs w:val="20"/>
                        </w:rPr>
                      </w:pPr>
                    </w:p>
                  </w:txbxContent>
                </v:textbox>
                <w10:wrap type="square"/>
              </v:shape>
            </w:pict>
          </mc:Fallback>
        </mc:AlternateContent>
      </w:r>
    </w:p>
    <w:sectPr w:rsidR="00AB6F76" w:rsidRPr="0074018F" w:rsidSect="00C02D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D94" w:rsidRDefault="00261D94" w:rsidP="00C01E26">
      <w:pPr>
        <w:spacing w:after="0" w:line="240" w:lineRule="auto"/>
      </w:pPr>
      <w:r>
        <w:separator/>
      </w:r>
    </w:p>
  </w:endnote>
  <w:endnote w:type="continuationSeparator" w:id="0">
    <w:p w:rsidR="00261D94" w:rsidRDefault="00261D94" w:rsidP="00C01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D94" w:rsidRDefault="00261D94" w:rsidP="00C01E26">
      <w:pPr>
        <w:spacing w:after="0" w:line="240" w:lineRule="auto"/>
      </w:pPr>
      <w:r>
        <w:separator/>
      </w:r>
    </w:p>
  </w:footnote>
  <w:footnote w:type="continuationSeparator" w:id="0">
    <w:p w:rsidR="00261D94" w:rsidRDefault="00261D94" w:rsidP="00C01E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C2DE6"/>
    <w:multiLevelType w:val="hybridMultilevel"/>
    <w:tmpl w:val="27CAF69E"/>
    <w:lvl w:ilvl="0" w:tplc="994C79CC">
      <w:start w:val="1"/>
      <w:numFmt w:val="bullet"/>
      <w:lvlText w:val="•"/>
      <w:lvlJc w:val="left"/>
      <w:pPr>
        <w:tabs>
          <w:tab w:val="num" w:pos="720"/>
        </w:tabs>
        <w:ind w:left="720" w:hanging="360"/>
      </w:pPr>
      <w:rPr>
        <w:rFonts w:ascii="Times New Roman" w:hAnsi="Times New Roman" w:hint="default"/>
      </w:rPr>
    </w:lvl>
    <w:lvl w:ilvl="1" w:tplc="18665F16" w:tentative="1">
      <w:start w:val="1"/>
      <w:numFmt w:val="bullet"/>
      <w:lvlText w:val="•"/>
      <w:lvlJc w:val="left"/>
      <w:pPr>
        <w:tabs>
          <w:tab w:val="num" w:pos="1440"/>
        </w:tabs>
        <w:ind w:left="1440" w:hanging="360"/>
      </w:pPr>
      <w:rPr>
        <w:rFonts w:ascii="Times New Roman" w:hAnsi="Times New Roman" w:hint="default"/>
      </w:rPr>
    </w:lvl>
    <w:lvl w:ilvl="2" w:tplc="53844E38" w:tentative="1">
      <w:start w:val="1"/>
      <w:numFmt w:val="bullet"/>
      <w:lvlText w:val="•"/>
      <w:lvlJc w:val="left"/>
      <w:pPr>
        <w:tabs>
          <w:tab w:val="num" w:pos="2160"/>
        </w:tabs>
        <w:ind w:left="2160" w:hanging="360"/>
      </w:pPr>
      <w:rPr>
        <w:rFonts w:ascii="Times New Roman" w:hAnsi="Times New Roman" w:hint="default"/>
      </w:rPr>
    </w:lvl>
    <w:lvl w:ilvl="3" w:tplc="3EC2FB34" w:tentative="1">
      <w:start w:val="1"/>
      <w:numFmt w:val="bullet"/>
      <w:lvlText w:val="•"/>
      <w:lvlJc w:val="left"/>
      <w:pPr>
        <w:tabs>
          <w:tab w:val="num" w:pos="2880"/>
        </w:tabs>
        <w:ind w:left="2880" w:hanging="360"/>
      </w:pPr>
      <w:rPr>
        <w:rFonts w:ascii="Times New Roman" w:hAnsi="Times New Roman" w:hint="default"/>
      </w:rPr>
    </w:lvl>
    <w:lvl w:ilvl="4" w:tplc="BE706676" w:tentative="1">
      <w:start w:val="1"/>
      <w:numFmt w:val="bullet"/>
      <w:lvlText w:val="•"/>
      <w:lvlJc w:val="left"/>
      <w:pPr>
        <w:tabs>
          <w:tab w:val="num" w:pos="3600"/>
        </w:tabs>
        <w:ind w:left="3600" w:hanging="360"/>
      </w:pPr>
      <w:rPr>
        <w:rFonts w:ascii="Times New Roman" w:hAnsi="Times New Roman" w:hint="default"/>
      </w:rPr>
    </w:lvl>
    <w:lvl w:ilvl="5" w:tplc="2A0EB606" w:tentative="1">
      <w:start w:val="1"/>
      <w:numFmt w:val="bullet"/>
      <w:lvlText w:val="•"/>
      <w:lvlJc w:val="left"/>
      <w:pPr>
        <w:tabs>
          <w:tab w:val="num" w:pos="4320"/>
        </w:tabs>
        <w:ind w:left="4320" w:hanging="360"/>
      </w:pPr>
      <w:rPr>
        <w:rFonts w:ascii="Times New Roman" w:hAnsi="Times New Roman" w:hint="default"/>
      </w:rPr>
    </w:lvl>
    <w:lvl w:ilvl="6" w:tplc="8090A788" w:tentative="1">
      <w:start w:val="1"/>
      <w:numFmt w:val="bullet"/>
      <w:lvlText w:val="•"/>
      <w:lvlJc w:val="left"/>
      <w:pPr>
        <w:tabs>
          <w:tab w:val="num" w:pos="5040"/>
        </w:tabs>
        <w:ind w:left="5040" w:hanging="360"/>
      </w:pPr>
      <w:rPr>
        <w:rFonts w:ascii="Times New Roman" w:hAnsi="Times New Roman" w:hint="default"/>
      </w:rPr>
    </w:lvl>
    <w:lvl w:ilvl="7" w:tplc="A93E3EE4" w:tentative="1">
      <w:start w:val="1"/>
      <w:numFmt w:val="bullet"/>
      <w:lvlText w:val="•"/>
      <w:lvlJc w:val="left"/>
      <w:pPr>
        <w:tabs>
          <w:tab w:val="num" w:pos="5760"/>
        </w:tabs>
        <w:ind w:left="5760" w:hanging="360"/>
      </w:pPr>
      <w:rPr>
        <w:rFonts w:ascii="Times New Roman" w:hAnsi="Times New Roman" w:hint="default"/>
      </w:rPr>
    </w:lvl>
    <w:lvl w:ilvl="8" w:tplc="04F45E68" w:tentative="1">
      <w:start w:val="1"/>
      <w:numFmt w:val="bullet"/>
      <w:lvlText w:val="•"/>
      <w:lvlJc w:val="left"/>
      <w:pPr>
        <w:tabs>
          <w:tab w:val="num" w:pos="6480"/>
        </w:tabs>
        <w:ind w:left="6480" w:hanging="360"/>
      </w:pPr>
      <w:rPr>
        <w:rFonts w:ascii="Times New Roman" w:hAnsi="Times New Roman" w:hint="default"/>
      </w:rPr>
    </w:lvl>
  </w:abstractNum>
  <w:abstractNum w:abstractNumId="1">
    <w:nsid w:val="43293DB7"/>
    <w:multiLevelType w:val="hybridMultilevel"/>
    <w:tmpl w:val="E9863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DF73EFA"/>
    <w:multiLevelType w:val="hybridMultilevel"/>
    <w:tmpl w:val="68FC04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34826E0"/>
    <w:multiLevelType w:val="hybridMultilevel"/>
    <w:tmpl w:val="D506017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1636D12"/>
    <w:multiLevelType w:val="hybridMultilevel"/>
    <w:tmpl w:val="204664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FFD5BAF"/>
    <w:multiLevelType w:val="hybridMultilevel"/>
    <w:tmpl w:val="DEE0F99A"/>
    <w:lvl w:ilvl="0" w:tplc="19FE6DC8">
      <w:start w:val="1"/>
      <w:numFmt w:val="decimal"/>
      <w:lvlText w:val="%1)"/>
      <w:lvlJc w:val="left"/>
      <w:pPr>
        <w:ind w:left="720" w:hanging="360"/>
      </w:pPr>
      <w:rPr>
        <w:rFonts w:ascii="Tahoma" w:eastAsiaTheme="minorEastAsia" w:hAnsi="Tahoma" w:cs="Tahom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B0"/>
    <w:rsid w:val="00037117"/>
    <w:rsid w:val="00040BA3"/>
    <w:rsid w:val="000613B5"/>
    <w:rsid w:val="00077A0E"/>
    <w:rsid w:val="00086199"/>
    <w:rsid w:val="00090B0F"/>
    <w:rsid w:val="000F0D53"/>
    <w:rsid w:val="00160D1E"/>
    <w:rsid w:val="0016486F"/>
    <w:rsid w:val="00165BDA"/>
    <w:rsid w:val="00174EC6"/>
    <w:rsid w:val="00182FAD"/>
    <w:rsid w:val="00184BE5"/>
    <w:rsid w:val="00191D5C"/>
    <w:rsid w:val="001921A0"/>
    <w:rsid w:val="001A32EC"/>
    <w:rsid w:val="001B0660"/>
    <w:rsid w:val="001C2C26"/>
    <w:rsid w:val="001C424D"/>
    <w:rsid w:val="001E1C3E"/>
    <w:rsid w:val="002317C1"/>
    <w:rsid w:val="002518BA"/>
    <w:rsid w:val="00261D94"/>
    <w:rsid w:val="0027621F"/>
    <w:rsid w:val="002800E0"/>
    <w:rsid w:val="00283339"/>
    <w:rsid w:val="002A0038"/>
    <w:rsid w:val="002A302A"/>
    <w:rsid w:val="002A5660"/>
    <w:rsid w:val="002A6421"/>
    <w:rsid w:val="002D598F"/>
    <w:rsid w:val="002D60BC"/>
    <w:rsid w:val="002E1AE6"/>
    <w:rsid w:val="002E1F9A"/>
    <w:rsid w:val="002E717C"/>
    <w:rsid w:val="002F581A"/>
    <w:rsid w:val="003131AD"/>
    <w:rsid w:val="003151A8"/>
    <w:rsid w:val="00392AA7"/>
    <w:rsid w:val="003B7AE4"/>
    <w:rsid w:val="003C2010"/>
    <w:rsid w:val="003C4F11"/>
    <w:rsid w:val="003C7B1C"/>
    <w:rsid w:val="003F7B03"/>
    <w:rsid w:val="00400419"/>
    <w:rsid w:val="00455593"/>
    <w:rsid w:val="0046063E"/>
    <w:rsid w:val="00462C01"/>
    <w:rsid w:val="00470639"/>
    <w:rsid w:val="00497B07"/>
    <w:rsid w:val="004C0D4C"/>
    <w:rsid w:val="004C79E4"/>
    <w:rsid w:val="004F5C21"/>
    <w:rsid w:val="004F6277"/>
    <w:rsid w:val="00514B03"/>
    <w:rsid w:val="0054073D"/>
    <w:rsid w:val="00564E59"/>
    <w:rsid w:val="00565A47"/>
    <w:rsid w:val="00573BCA"/>
    <w:rsid w:val="005743B1"/>
    <w:rsid w:val="005C27FF"/>
    <w:rsid w:val="005C2B65"/>
    <w:rsid w:val="005C595F"/>
    <w:rsid w:val="005D7EF5"/>
    <w:rsid w:val="00617896"/>
    <w:rsid w:val="00622395"/>
    <w:rsid w:val="00644752"/>
    <w:rsid w:val="006757EC"/>
    <w:rsid w:val="00691090"/>
    <w:rsid w:val="006941FB"/>
    <w:rsid w:val="006B1585"/>
    <w:rsid w:val="006B73ED"/>
    <w:rsid w:val="006D245A"/>
    <w:rsid w:val="006E1F25"/>
    <w:rsid w:val="006E4636"/>
    <w:rsid w:val="006E7FD9"/>
    <w:rsid w:val="006F1804"/>
    <w:rsid w:val="006F1E1D"/>
    <w:rsid w:val="006F76E8"/>
    <w:rsid w:val="007177F4"/>
    <w:rsid w:val="007206CA"/>
    <w:rsid w:val="00733858"/>
    <w:rsid w:val="007366CA"/>
    <w:rsid w:val="0074018F"/>
    <w:rsid w:val="00752C8E"/>
    <w:rsid w:val="007732AC"/>
    <w:rsid w:val="00775CEE"/>
    <w:rsid w:val="0078146E"/>
    <w:rsid w:val="00790786"/>
    <w:rsid w:val="007A29F5"/>
    <w:rsid w:val="007A78A9"/>
    <w:rsid w:val="007D467D"/>
    <w:rsid w:val="00813FB0"/>
    <w:rsid w:val="00821A30"/>
    <w:rsid w:val="0082624C"/>
    <w:rsid w:val="008455E2"/>
    <w:rsid w:val="008531AF"/>
    <w:rsid w:val="00862BD2"/>
    <w:rsid w:val="00862D15"/>
    <w:rsid w:val="00876C19"/>
    <w:rsid w:val="00881E2D"/>
    <w:rsid w:val="0088687D"/>
    <w:rsid w:val="00891B98"/>
    <w:rsid w:val="00891C1E"/>
    <w:rsid w:val="00895291"/>
    <w:rsid w:val="008A1830"/>
    <w:rsid w:val="008A6FBC"/>
    <w:rsid w:val="008E74E4"/>
    <w:rsid w:val="00900361"/>
    <w:rsid w:val="00925D8F"/>
    <w:rsid w:val="00927628"/>
    <w:rsid w:val="00940B6C"/>
    <w:rsid w:val="009614FA"/>
    <w:rsid w:val="00974E7A"/>
    <w:rsid w:val="0098044C"/>
    <w:rsid w:val="00982F0D"/>
    <w:rsid w:val="009842CB"/>
    <w:rsid w:val="00986B8D"/>
    <w:rsid w:val="009954AB"/>
    <w:rsid w:val="009A0B39"/>
    <w:rsid w:val="009C4F4F"/>
    <w:rsid w:val="009C6BCB"/>
    <w:rsid w:val="009D2177"/>
    <w:rsid w:val="009D3EA6"/>
    <w:rsid w:val="009F6CA9"/>
    <w:rsid w:val="00A165A3"/>
    <w:rsid w:val="00A35D5A"/>
    <w:rsid w:val="00A63A89"/>
    <w:rsid w:val="00A65B3C"/>
    <w:rsid w:val="00A74E6D"/>
    <w:rsid w:val="00A74EDE"/>
    <w:rsid w:val="00A75412"/>
    <w:rsid w:val="00AA3979"/>
    <w:rsid w:val="00AB4CE8"/>
    <w:rsid w:val="00AB6F76"/>
    <w:rsid w:val="00AD44F9"/>
    <w:rsid w:val="00AE14AF"/>
    <w:rsid w:val="00AE73D8"/>
    <w:rsid w:val="00B01328"/>
    <w:rsid w:val="00B02173"/>
    <w:rsid w:val="00B22B3B"/>
    <w:rsid w:val="00B33E6F"/>
    <w:rsid w:val="00B421B8"/>
    <w:rsid w:val="00B430F4"/>
    <w:rsid w:val="00B445E7"/>
    <w:rsid w:val="00B4566D"/>
    <w:rsid w:val="00B51BFA"/>
    <w:rsid w:val="00B64CD9"/>
    <w:rsid w:val="00B67359"/>
    <w:rsid w:val="00B93527"/>
    <w:rsid w:val="00BB7538"/>
    <w:rsid w:val="00BB7E81"/>
    <w:rsid w:val="00BD4B77"/>
    <w:rsid w:val="00BF71B1"/>
    <w:rsid w:val="00C01E26"/>
    <w:rsid w:val="00C02D38"/>
    <w:rsid w:val="00C04005"/>
    <w:rsid w:val="00C37936"/>
    <w:rsid w:val="00C71A0A"/>
    <w:rsid w:val="00C74206"/>
    <w:rsid w:val="00C842E5"/>
    <w:rsid w:val="00C90AA7"/>
    <w:rsid w:val="00C94F09"/>
    <w:rsid w:val="00CB474B"/>
    <w:rsid w:val="00CB6014"/>
    <w:rsid w:val="00CC31F4"/>
    <w:rsid w:val="00CE1DFB"/>
    <w:rsid w:val="00CF531A"/>
    <w:rsid w:val="00D02F5B"/>
    <w:rsid w:val="00D14CC5"/>
    <w:rsid w:val="00D31E9A"/>
    <w:rsid w:val="00D5109C"/>
    <w:rsid w:val="00D53F6A"/>
    <w:rsid w:val="00D603DD"/>
    <w:rsid w:val="00D82393"/>
    <w:rsid w:val="00DA0028"/>
    <w:rsid w:val="00DA0C3C"/>
    <w:rsid w:val="00DC0954"/>
    <w:rsid w:val="00DC6418"/>
    <w:rsid w:val="00DC6C28"/>
    <w:rsid w:val="00DE342C"/>
    <w:rsid w:val="00DF4B83"/>
    <w:rsid w:val="00E0285A"/>
    <w:rsid w:val="00E27A8A"/>
    <w:rsid w:val="00E34D2F"/>
    <w:rsid w:val="00E55FD7"/>
    <w:rsid w:val="00E56C7A"/>
    <w:rsid w:val="00E61C23"/>
    <w:rsid w:val="00E66DB9"/>
    <w:rsid w:val="00E8293E"/>
    <w:rsid w:val="00EA32E7"/>
    <w:rsid w:val="00EB0AAD"/>
    <w:rsid w:val="00ED5C60"/>
    <w:rsid w:val="00ED704E"/>
    <w:rsid w:val="00EE127F"/>
    <w:rsid w:val="00EE6B7D"/>
    <w:rsid w:val="00EF2183"/>
    <w:rsid w:val="00EF3C72"/>
    <w:rsid w:val="00EF4749"/>
    <w:rsid w:val="00F05008"/>
    <w:rsid w:val="00F6178E"/>
    <w:rsid w:val="00F8017B"/>
    <w:rsid w:val="00F83DA3"/>
    <w:rsid w:val="00FA671F"/>
    <w:rsid w:val="00FE7914"/>
    <w:rsid w:val="00FF7F7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1AF"/>
    <w:rPr>
      <w:rFonts w:ascii="Tahoma" w:hAnsi="Tahoma" w:cs="Tahoma"/>
      <w:sz w:val="16"/>
      <w:szCs w:val="16"/>
      <w:lang w:val="en-US"/>
    </w:rPr>
  </w:style>
  <w:style w:type="character" w:styleId="Hyperlink">
    <w:name w:val="Hyperlink"/>
    <w:uiPriority w:val="99"/>
    <w:unhideWhenUsed/>
    <w:rsid w:val="009614FA"/>
    <w:rPr>
      <w:color w:val="0000FF"/>
      <w:u w:val="single"/>
    </w:rPr>
  </w:style>
  <w:style w:type="paragraph" w:styleId="ListParagraph">
    <w:name w:val="List Paragraph"/>
    <w:basedOn w:val="Normal"/>
    <w:uiPriority w:val="34"/>
    <w:qFormat/>
    <w:rsid w:val="00E55FD7"/>
    <w:pPr>
      <w:ind w:left="720"/>
      <w:contextualSpacing/>
    </w:pPr>
  </w:style>
  <w:style w:type="paragraph" w:styleId="Header">
    <w:name w:val="header"/>
    <w:basedOn w:val="Normal"/>
    <w:link w:val="HeaderChar"/>
    <w:uiPriority w:val="99"/>
    <w:unhideWhenUsed/>
    <w:rsid w:val="00C01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E26"/>
    <w:rPr>
      <w:lang w:val="en-US"/>
    </w:rPr>
  </w:style>
  <w:style w:type="paragraph" w:styleId="Footer">
    <w:name w:val="footer"/>
    <w:basedOn w:val="Normal"/>
    <w:link w:val="FooterChar"/>
    <w:uiPriority w:val="99"/>
    <w:unhideWhenUsed/>
    <w:rsid w:val="00C01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E26"/>
    <w:rPr>
      <w:lang w:val="en-US"/>
    </w:rPr>
  </w:style>
  <w:style w:type="paragraph" w:customStyle="1" w:styleId="Default">
    <w:name w:val="Default"/>
    <w:rsid w:val="009F6CA9"/>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character" w:styleId="CommentReference">
    <w:name w:val="annotation reference"/>
    <w:basedOn w:val="DefaultParagraphFont"/>
    <w:uiPriority w:val="99"/>
    <w:semiHidden/>
    <w:unhideWhenUsed/>
    <w:rsid w:val="0016486F"/>
    <w:rPr>
      <w:sz w:val="16"/>
      <w:szCs w:val="16"/>
    </w:rPr>
  </w:style>
  <w:style w:type="paragraph" w:styleId="CommentText">
    <w:name w:val="annotation text"/>
    <w:basedOn w:val="Normal"/>
    <w:link w:val="CommentTextChar"/>
    <w:uiPriority w:val="99"/>
    <w:semiHidden/>
    <w:unhideWhenUsed/>
    <w:rsid w:val="0016486F"/>
    <w:pPr>
      <w:spacing w:line="240" w:lineRule="auto"/>
    </w:pPr>
    <w:rPr>
      <w:sz w:val="20"/>
      <w:szCs w:val="20"/>
    </w:rPr>
  </w:style>
  <w:style w:type="character" w:customStyle="1" w:styleId="CommentTextChar">
    <w:name w:val="Comment Text Char"/>
    <w:basedOn w:val="DefaultParagraphFont"/>
    <w:link w:val="CommentText"/>
    <w:uiPriority w:val="99"/>
    <w:semiHidden/>
    <w:rsid w:val="0016486F"/>
    <w:rPr>
      <w:sz w:val="20"/>
      <w:szCs w:val="20"/>
      <w:lang w:val="en-US"/>
    </w:rPr>
  </w:style>
  <w:style w:type="paragraph" w:styleId="CommentSubject">
    <w:name w:val="annotation subject"/>
    <w:basedOn w:val="CommentText"/>
    <w:next w:val="CommentText"/>
    <w:link w:val="CommentSubjectChar"/>
    <w:uiPriority w:val="99"/>
    <w:semiHidden/>
    <w:unhideWhenUsed/>
    <w:rsid w:val="0016486F"/>
    <w:rPr>
      <w:b/>
      <w:bCs/>
    </w:rPr>
  </w:style>
  <w:style w:type="character" w:customStyle="1" w:styleId="CommentSubjectChar">
    <w:name w:val="Comment Subject Char"/>
    <w:basedOn w:val="CommentTextChar"/>
    <w:link w:val="CommentSubject"/>
    <w:uiPriority w:val="99"/>
    <w:semiHidden/>
    <w:rsid w:val="0016486F"/>
    <w:rPr>
      <w:b/>
      <w:bCs/>
      <w:sz w:val="20"/>
      <w:szCs w:val="20"/>
      <w:lang w:val="en-US"/>
    </w:rPr>
  </w:style>
  <w:style w:type="paragraph" w:styleId="BodyText">
    <w:name w:val="Body Text"/>
    <w:basedOn w:val="Normal"/>
    <w:link w:val="BodyTextChar"/>
    <w:uiPriority w:val="99"/>
    <w:unhideWhenUsed/>
    <w:rsid w:val="00A63A89"/>
    <w:pPr>
      <w:jc w:val="both"/>
    </w:pPr>
    <w:rPr>
      <w:rFonts w:ascii="Tahoma" w:hAnsi="Tahoma" w:cs="Tahoma"/>
      <w:bCs/>
      <w:iCs/>
      <w:sz w:val="21"/>
      <w:szCs w:val="21"/>
      <w:lang w:val="en-GB"/>
    </w:rPr>
  </w:style>
  <w:style w:type="character" w:customStyle="1" w:styleId="BodyTextChar">
    <w:name w:val="Body Text Char"/>
    <w:basedOn w:val="DefaultParagraphFont"/>
    <w:link w:val="BodyText"/>
    <w:uiPriority w:val="99"/>
    <w:rsid w:val="00A63A89"/>
    <w:rPr>
      <w:rFonts w:ascii="Tahoma" w:hAnsi="Tahoma" w:cs="Tahoma"/>
      <w:bCs/>
      <w:iCs/>
      <w:sz w:val="21"/>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1AF"/>
    <w:rPr>
      <w:rFonts w:ascii="Tahoma" w:hAnsi="Tahoma" w:cs="Tahoma"/>
      <w:sz w:val="16"/>
      <w:szCs w:val="16"/>
      <w:lang w:val="en-US"/>
    </w:rPr>
  </w:style>
  <w:style w:type="character" w:styleId="Hyperlink">
    <w:name w:val="Hyperlink"/>
    <w:uiPriority w:val="99"/>
    <w:unhideWhenUsed/>
    <w:rsid w:val="009614FA"/>
    <w:rPr>
      <w:color w:val="0000FF"/>
      <w:u w:val="single"/>
    </w:rPr>
  </w:style>
  <w:style w:type="paragraph" w:styleId="ListParagraph">
    <w:name w:val="List Paragraph"/>
    <w:basedOn w:val="Normal"/>
    <w:uiPriority w:val="34"/>
    <w:qFormat/>
    <w:rsid w:val="00E55FD7"/>
    <w:pPr>
      <w:ind w:left="720"/>
      <w:contextualSpacing/>
    </w:pPr>
  </w:style>
  <w:style w:type="paragraph" w:styleId="Header">
    <w:name w:val="header"/>
    <w:basedOn w:val="Normal"/>
    <w:link w:val="HeaderChar"/>
    <w:uiPriority w:val="99"/>
    <w:unhideWhenUsed/>
    <w:rsid w:val="00C01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E26"/>
    <w:rPr>
      <w:lang w:val="en-US"/>
    </w:rPr>
  </w:style>
  <w:style w:type="paragraph" w:styleId="Footer">
    <w:name w:val="footer"/>
    <w:basedOn w:val="Normal"/>
    <w:link w:val="FooterChar"/>
    <w:uiPriority w:val="99"/>
    <w:unhideWhenUsed/>
    <w:rsid w:val="00C01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E26"/>
    <w:rPr>
      <w:lang w:val="en-US"/>
    </w:rPr>
  </w:style>
  <w:style w:type="paragraph" w:customStyle="1" w:styleId="Default">
    <w:name w:val="Default"/>
    <w:rsid w:val="009F6CA9"/>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character" w:styleId="CommentReference">
    <w:name w:val="annotation reference"/>
    <w:basedOn w:val="DefaultParagraphFont"/>
    <w:uiPriority w:val="99"/>
    <w:semiHidden/>
    <w:unhideWhenUsed/>
    <w:rsid w:val="0016486F"/>
    <w:rPr>
      <w:sz w:val="16"/>
      <w:szCs w:val="16"/>
    </w:rPr>
  </w:style>
  <w:style w:type="paragraph" w:styleId="CommentText">
    <w:name w:val="annotation text"/>
    <w:basedOn w:val="Normal"/>
    <w:link w:val="CommentTextChar"/>
    <w:uiPriority w:val="99"/>
    <w:semiHidden/>
    <w:unhideWhenUsed/>
    <w:rsid w:val="0016486F"/>
    <w:pPr>
      <w:spacing w:line="240" w:lineRule="auto"/>
    </w:pPr>
    <w:rPr>
      <w:sz w:val="20"/>
      <w:szCs w:val="20"/>
    </w:rPr>
  </w:style>
  <w:style w:type="character" w:customStyle="1" w:styleId="CommentTextChar">
    <w:name w:val="Comment Text Char"/>
    <w:basedOn w:val="DefaultParagraphFont"/>
    <w:link w:val="CommentText"/>
    <w:uiPriority w:val="99"/>
    <w:semiHidden/>
    <w:rsid w:val="0016486F"/>
    <w:rPr>
      <w:sz w:val="20"/>
      <w:szCs w:val="20"/>
      <w:lang w:val="en-US"/>
    </w:rPr>
  </w:style>
  <w:style w:type="paragraph" w:styleId="CommentSubject">
    <w:name w:val="annotation subject"/>
    <w:basedOn w:val="CommentText"/>
    <w:next w:val="CommentText"/>
    <w:link w:val="CommentSubjectChar"/>
    <w:uiPriority w:val="99"/>
    <w:semiHidden/>
    <w:unhideWhenUsed/>
    <w:rsid w:val="0016486F"/>
    <w:rPr>
      <w:b/>
      <w:bCs/>
    </w:rPr>
  </w:style>
  <w:style w:type="character" w:customStyle="1" w:styleId="CommentSubjectChar">
    <w:name w:val="Comment Subject Char"/>
    <w:basedOn w:val="CommentTextChar"/>
    <w:link w:val="CommentSubject"/>
    <w:uiPriority w:val="99"/>
    <w:semiHidden/>
    <w:rsid w:val="0016486F"/>
    <w:rPr>
      <w:b/>
      <w:bCs/>
      <w:sz w:val="20"/>
      <w:szCs w:val="20"/>
      <w:lang w:val="en-US"/>
    </w:rPr>
  </w:style>
  <w:style w:type="paragraph" w:styleId="BodyText">
    <w:name w:val="Body Text"/>
    <w:basedOn w:val="Normal"/>
    <w:link w:val="BodyTextChar"/>
    <w:uiPriority w:val="99"/>
    <w:unhideWhenUsed/>
    <w:rsid w:val="00A63A89"/>
    <w:pPr>
      <w:jc w:val="both"/>
    </w:pPr>
    <w:rPr>
      <w:rFonts w:ascii="Tahoma" w:hAnsi="Tahoma" w:cs="Tahoma"/>
      <w:bCs/>
      <w:iCs/>
      <w:sz w:val="21"/>
      <w:szCs w:val="21"/>
      <w:lang w:val="en-GB"/>
    </w:rPr>
  </w:style>
  <w:style w:type="character" w:customStyle="1" w:styleId="BodyTextChar">
    <w:name w:val="Body Text Char"/>
    <w:basedOn w:val="DefaultParagraphFont"/>
    <w:link w:val="BodyText"/>
    <w:uiPriority w:val="99"/>
    <w:rsid w:val="00A63A89"/>
    <w:rPr>
      <w:rFonts w:ascii="Tahoma" w:hAnsi="Tahoma" w:cs="Tahoma"/>
      <w:bCs/>
      <w:iC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32637">
      <w:bodyDiv w:val="1"/>
      <w:marLeft w:val="0"/>
      <w:marRight w:val="0"/>
      <w:marTop w:val="0"/>
      <w:marBottom w:val="0"/>
      <w:divBdr>
        <w:top w:val="none" w:sz="0" w:space="0" w:color="auto"/>
        <w:left w:val="none" w:sz="0" w:space="0" w:color="auto"/>
        <w:bottom w:val="none" w:sz="0" w:space="0" w:color="auto"/>
        <w:right w:val="none" w:sz="0" w:space="0" w:color="auto"/>
      </w:divBdr>
    </w:div>
    <w:div w:id="542521545">
      <w:bodyDiv w:val="1"/>
      <w:marLeft w:val="0"/>
      <w:marRight w:val="0"/>
      <w:marTop w:val="0"/>
      <w:marBottom w:val="0"/>
      <w:divBdr>
        <w:top w:val="none" w:sz="0" w:space="0" w:color="auto"/>
        <w:left w:val="none" w:sz="0" w:space="0" w:color="auto"/>
        <w:bottom w:val="none" w:sz="0" w:space="0" w:color="auto"/>
        <w:right w:val="none" w:sz="0" w:space="0" w:color="auto"/>
      </w:divBdr>
      <w:divsChild>
        <w:div w:id="888227916">
          <w:marLeft w:val="547"/>
          <w:marRight w:val="0"/>
          <w:marTop w:val="0"/>
          <w:marBottom w:val="0"/>
          <w:divBdr>
            <w:top w:val="none" w:sz="0" w:space="0" w:color="auto"/>
            <w:left w:val="none" w:sz="0" w:space="0" w:color="auto"/>
            <w:bottom w:val="none" w:sz="0" w:space="0" w:color="auto"/>
            <w:right w:val="none" w:sz="0" w:space="0" w:color="auto"/>
          </w:divBdr>
        </w:div>
        <w:div w:id="859047043">
          <w:marLeft w:val="547"/>
          <w:marRight w:val="0"/>
          <w:marTop w:val="0"/>
          <w:marBottom w:val="0"/>
          <w:divBdr>
            <w:top w:val="none" w:sz="0" w:space="0" w:color="auto"/>
            <w:left w:val="none" w:sz="0" w:space="0" w:color="auto"/>
            <w:bottom w:val="none" w:sz="0" w:space="0" w:color="auto"/>
            <w:right w:val="none" w:sz="0" w:space="0" w:color="auto"/>
          </w:divBdr>
        </w:div>
      </w:divsChild>
    </w:div>
    <w:div w:id="726685688">
      <w:bodyDiv w:val="1"/>
      <w:marLeft w:val="0"/>
      <w:marRight w:val="0"/>
      <w:marTop w:val="0"/>
      <w:marBottom w:val="0"/>
      <w:divBdr>
        <w:top w:val="none" w:sz="0" w:space="0" w:color="auto"/>
        <w:left w:val="none" w:sz="0" w:space="0" w:color="auto"/>
        <w:bottom w:val="none" w:sz="0" w:space="0" w:color="auto"/>
        <w:right w:val="none" w:sz="0" w:space="0" w:color="auto"/>
      </w:divBdr>
    </w:div>
    <w:div w:id="858547534">
      <w:bodyDiv w:val="1"/>
      <w:marLeft w:val="0"/>
      <w:marRight w:val="0"/>
      <w:marTop w:val="0"/>
      <w:marBottom w:val="0"/>
      <w:divBdr>
        <w:top w:val="none" w:sz="0" w:space="0" w:color="auto"/>
        <w:left w:val="none" w:sz="0" w:space="0" w:color="auto"/>
        <w:bottom w:val="none" w:sz="0" w:space="0" w:color="auto"/>
        <w:right w:val="none" w:sz="0" w:space="0" w:color="auto"/>
      </w:divBdr>
    </w:div>
    <w:div w:id="997804263">
      <w:bodyDiv w:val="1"/>
      <w:marLeft w:val="0"/>
      <w:marRight w:val="0"/>
      <w:marTop w:val="0"/>
      <w:marBottom w:val="0"/>
      <w:divBdr>
        <w:top w:val="none" w:sz="0" w:space="0" w:color="auto"/>
        <w:left w:val="none" w:sz="0" w:space="0" w:color="auto"/>
        <w:bottom w:val="none" w:sz="0" w:space="0" w:color="auto"/>
        <w:right w:val="none" w:sz="0" w:space="0" w:color="auto"/>
      </w:divBdr>
    </w:div>
    <w:div w:id="1172522612">
      <w:bodyDiv w:val="1"/>
      <w:marLeft w:val="0"/>
      <w:marRight w:val="0"/>
      <w:marTop w:val="0"/>
      <w:marBottom w:val="0"/>
      <w:divBdr>
        <w:top w:val="none" w:sz="0" w:space="0" w:color="auto"/>
        <w:left w:val="none" w:sz="0" w:space="0" w:color="auto"/>
        <w:bottom w:val="none" w:sz="0" w:space="0" w:color="auto"/>
        <w:right w:val="none" w:sz="0" w:space="0" w:color="auto"/>
      </w:divBdr>
    </w:div>
    <w:div w:id="1810439349">
      <w:bodyDiv w:val="1"/>
      <w:marLeft w:val="0"/>
      <w:marRight w:val="0"/>
      <w:marTop w:val="0"/>
      <w:marBottom w:val="0"/>
      <w:divBdr>
        <w:top w:val="none" w:sz="0" w:space="0" w:color="auto"/>
        <w:left w:val="none" w:sz="0" w:space="0" w:color="auto"/>
        <w:bottom w:val="none" w:sz="0" w:space="0" w:color="auto"/>
        <w:right w:val="none" w:sz="0" w:space="0" w:color="auto"/>
      </w:divBdr>
    </w:div>
    <w:div w:id="1827165742">
      <w:bodyDiv w:val="1"/>
      <w:marLeft w:val="0"/>
      <w:marRight w:val="0"/>
      <w:marTop w:val="0"/>
      <w:marBottom w:val="0"/>
      <w:divBdr>
        <w:top w:val="none" w:sz="0" w:space="0" w:color="auto"/>
        <w:left w:val="none" w:sz="0" w:space="0" w:color="auto"/>
        <w:bottom w:val="none" w:sz="0" w:space="0" w:color="auto"/>
        <w:right w:val="none" w:sz="0" w:space="0" w:color="auto"/>
      </w:divBdr>
    </w:div>
    <w:div w:id="1896578013">
      <w:bodyDiv w:val="1"/>
      <w:marLeft w:val="0"/>
      <w:marRight w:val="0"/>
      <w:marTop w:val="0"/>
      <w:marBottom w:val="0"/>
      <w:divBdr>
        <w:top w:val="none" w:sz="0" w:space="0" w:color="auto"/>
        <w:left w:val="none" w:sz="0" w:space="0" w:color="auto"/>
        <w:bottom w:val="none" w:sz="0" w:space="0" w:color="auto"/>
        <w:right w:val="none" w:sz="0" w:space="0" w:color="auto"/>
      </w:divBdr>
    </w:div>
    <w:div w:id="20785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hchr.org/EN/Issues/Urbanization/Pages/UrbanizationHRIndex.aspx"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ohchr.org/EN/Issues/Urbanization/Pages/UrbanizationHRIndex.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FA78E6-5B33-4CD6-B88B-A214430BF49E}"/>
</file>

<file path=customXml/itemProps2.xml><?xml version="1.0" encoding="utf-8"?>
<ds:datastoreItem xmlns:ds="http://schemas.openxmlformats.org/officeDocument/2006/customXml" ds:itemID="{AEBBBFC9-3A9C-48F6-AF6D-27768C52AF46}"/>
</file>

<file path=customXml/itemProps3.xml><?xml version="1.0" encoding="utf-8"?>
<ds:datastoreItem xmlns:ds="http://schemas.openxmlformats.org/officeDocument/2006/customXml" ds:itemID="{C01852E7-15E1-473B-ACCF-7808298926FD}"/>
</file>

<file path=docProps/app.xml><?xml version="1.0" encoding="utf-8"?>
<Properties xmlns="http://schemas.openxmlformats.org/officeDocument/2006/extended-properties" xmlns:vt="http://schemas.openxmlformats.org/officeDocument/2006/docPropsVTypes">
  <Template>Normal.dotm</Template>
  <TotalTime>1</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dc:creator>
  <cp:lastModifiedBy>Bahram GHAZI</cp:lastModifiedBy>
  <cp:revision>2</cp:revision>
  <dcterms:created xsi:type="dcterms:W3CDTF">2016-04-27T14:53:00Z</dcterms:created>
  <dcterms:modified xsi:type="dcterms:W3CDTF">2016-04-27T14:53:00Z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3499700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